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jc w:val="center"/>
        <w:rPr>
          <w:rFonts w:hint="eastAsia" w:ascii="宋体" w:hAnsi="宋体" w:eastAsia="宋体" w:cs="宋体"/>
          <w:b/>
          <w:color w:val="000000"/>
          <w:sz w:val="44"/>
          <w:szCs w:val="44"/>
          <w:highlight w:val="none"/>
          <w:lang w:eastAsia="zh-CN"/>
        </w:rPr>
      </w:pPr>
      <w:bookmarkStart w:id="239" w:name="_GoBack"/>
      <w:bookmarkEnd w:id="239"/>
    </w:p>
    <w:p>
      <w:pPr>
        <w:spacing w:before="156" w:beforeLines="50"/>
        <w:jc w:val="center"/>
        <w:rPr>
          <w:rFonts w:hint="eastAsia" w:ascii="宋体" w:hAnsi="宋体" w:eastAsia="宋体" w:cs="宋体"/>
          <w:b/>
          <w:color w:val="000000"/>
          <w:sz w:val="44"/>
          <w:szCs w:val="44"/>
          <w:highlight w:val="none"/>
          <w:lang w:eastAsia="zh-CN"/>
        </w:rPr>
      </w:pPr>
      <w:r>
        <w:rPr>
          <w:rFonts w:hint="eastAsia" w:ascii="宋体" w:hAnsi="宋体" w:eastAsia="宋体" w:cs="宋体"/>
          <w:b/>
          <w:color w:val="000000"/>
          <w:sz w:val="44"/>
          <w:szCs w:val="44"/>
          <w:highlight w:val="none"/>
          <w:lang w:eastAsia="zh-CN"/>
        </w:rPr>
        <w:t>嘉兴市港区乍浦农贸海鲜城物业管理项目</w:t>
      </w:r>
    </w:p>
    <w:p>
      <w:pPr>
        <w:spacing w:before="240" w:beforeLines="100" w:after="120" w:afterLines="50" w:line="700" w:lineRule="exact"/>
        <w:ind w:left="-21" w:leftChars="-10" w:firstLine="478" w:firstLineChars="171"/>
        <w:rPr>
          <w:rFonts w:hint="eastAsia"/>
          <w:sz w:val="28"/>
          <w:szCs w:val="28"/>
        </w:rPr>
      </w:pPr>
    </w:p>
    <w:p>
      <w:pPr>
        <w:pStyle w:val="45"/>
        <w:jc w:val="center"/>
        <w:rPr>
          <w:rFonts w:hint="eastAsia"/>
          <w:sz w:val="40"/>
          <w:szCs w:val="40"/>
        </w:rPr>
      </w:pPr>
    </w:p>
    <w:p>
      <w:pPr>
        <w:pStyle w:val="45"/>
        <w:jc w:val="center"/>
        <w:rPr>
          <w:rFonts w:hint="eastAsia"/>
          <w:sz w:val="48"/>
          <w:szCs w:val="48"/>
        </w:rPr>
      </w:pPr>
    </w:p>
    <w:p>
      <w:pPr>
        <w:spacing w:before="156" w:beforeLines="50"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采购文件</w:t>
      </w:r>
    </w:p>
    <w:p>
      <w:pPr>
        <w:pStyle w:val="45"/>
        <w:rPr>
          <w:rFonts w:hint="eastAsia"/>
        </w:rPr>
      </w:pPr>
    </w:p>
    <w:p>
      <w:pPr>
        <w:spacing w:before="240" w:beforeLines="100" w:after="120" w:afterLines="50" w:line="700" w:lineRule="exact"/>
        <w:ind w:left="-21" w:leftChars="-10" w:firstLine="478" w:firstLineChars="171"/>
        <w:rPr>
          <w:rFonts w:hint="eastAsia"/>
          <w:sz w:val="28"/>
          <w:szCs w:val="28"/>
        </w:rPr>
      </w:pPr>
    </w:p>
    <w:p>
      <w:pPr>
        <w:pStyle w:val="45"/>
        <w:rPr>
          <w:rFonts w:hint="eastAsia"/>
          <w:sz w:val="28"/>
          <w:szCs w:val="28"/>
        </w:rPr>
      </w:pPr>
    </w:p>
    <w:p>
      <w:pPr>
        <w:pStyle w:val="45"/>
        <w:rPr>
          <w:rFonts w:hint="eastAsia"/>
          <w:sz w:val="28"/>
          <w:szCs w:val="28"/>
        </w:rPr>
      </w:pPr>
    </w:p>
    <w:p>
      <w:pPr>
        <w:pStyle w:val="45"/>
        <w:rPr>
          <w:rFonts w:hint="eastAsia"/>
          <w:sz w:val="28"/>
          <w:szCs w:val="28"/>
        </w:rPr>
      </w:pPr>
    </w:p>
    <w:p>
      <w:pPr>
        <w:snapToGrid w:val="0"/>
        <w:spacing w:before="156" w:beforeLines="50" w:line="360" w:lineRule="auto"/>
        <w:ind w:firstLine="608" w:firstLineChars="200"/>
        <w:rPr>
          <w:rFonts w:hint="default"/>
          <w:sz w:val="28"/>
          <w:szCs w:val="28"/>
          <w:lang w:val="en-US"/>
        </w:rPr>
      </w:pPr>
      <w:r>
        <w:rPr>
          <w:rFonts w:hint="eastAsia" w:ascii="宋体" w:hAnsi="宋体" w:eastAsia="宋体" w:cs="宋体"/>
          <w:bCs/>
          <w:color w:val="000000"/>
          <w:w w:val="95"/>
          <w:sz w:val="32"/>
          <w:szCs w:val="32"/>
          <w:highlight w:val="none"/>
        </w:rPr>
        <w:t>项目编号：</w:t>
      </w:r>
      <w:r>
        <w:rPr>
          <w:rFonts w:hint="eastAsia" w:ascii="宋体" w:hAnsi="宋体" w:eastAsia="宋体" w:cs="宋体"/>
          <w:bCs/>
          <w:color w:val="000000"/>
          <w:w w:val="95"/>
          <w:kern w:val="2"/>
          <w:sz w:val="32"/>
          <w:szCs w:val="32"/>
          <w:highlight w:val="none"/>
          <w:u w:val="single"/>
          <w:lang w:val="en-US" w:eastAsia="zh-CN" w:bidi="ar-SA"/>
        </w:rPr>
        <w:t xml:space="preserve">JXQQPH-2020-051    </w:t>
      </w:r>
    </w:p>
    <w:p>
      <w:pPr>
        <w:spacing w:before="240" w:beforeLines="100" w:after="120" w:afterLines="50" w:line="700" w:lineRule="exact"/>
        <w:ind w:left="-21" w:leftChars="-10" w:firstLine="478" w:firstLineChars="171"/>
        <w:rPr>
          <w:rFonts w:hint="eastAsia"/>
          <w:sz w:val="28"/>
          <w:szCs w:val="28"/>
        </w:rPr>
      </w:pPr>
      <w:r>
        <w:rPr>
          <w:rFonts w:hint="eastAsia"/>
          <w:sz w:val="28"/>
          <w:szCs w:val="28"/>
        </w:rPr>
        <w:t>招标单位：</w:t>
      </w:r>
      <w:r>
        <w:rPr>
          <w:rFonts w:hint="eastAsia"/>
          <w:sz w:val="28"/>
          <w:szCs w:val="28"/>
          <w:u w:val="single"/>
          <w:lang w:eastAsia="zh-CN"/>
        </w:rPr>
        <w:t>嘉兴市港区乍浦农贸海鲜城业主委员会</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（盖章）</w:t>
      </w:r>
    </w:p>
    <w:p>
      <w:pPr>
        <w:spacing w:before="240" w:beforeLines="100" w:after="120" w:afterLines="50" w:line="700" w:lineRule="exact"/>
        <w:ind w:left="-21" w:leftChars="-10" w:firstLine="478" w:firstLineChars="171"/>
        <w:rPr>
          <w:rFonts w:hint="eastAsia"/>
          <w:sz w:val="28"/>
          <w:szCs w:val="28"/>
        </w:rPr>
      </w:pPr>
      <w:r>
        <w:rPr>
          <w:rFonts w:hint="eastAsia"/>
          <w:sz w:val="28"/>
          <w:szCs w:val="28"/>
        </w:rPr>
        <w:t>法人代表：</w:t>
      </w:r>
      <w:r>
        <w:rPr>
          <w:rFonts w:hint="eastAsia"/>
          <w:sz w:val="28"/>
          <w:szCs w:val="28"/>
          <w:u w:val="single"/>
        </w:rPr>
        <w:t xml:space="preserve">                           </w:t>
      </w:r>
      <w:r>
        <w:rPr>
          <w:rFonts w:hint="eastAsia"/>
          <w:sz w:val="28"/>
          <w:szCs w:val="28"/>
          <w:u w:val="none"/>
        </w:rPr>
        <w:t>（</w:t>
      </w:r>
      <w:r>
        <w:rPr>
          <w:rFonts w:hint="eastAsia"/>
          <w:sz w:val="28"/>
          <w:u w:val="none"/>
        </w:rPr>
        <w:t>签字</w:t>
      </w:r>
      <w:r>
        <w:rPr>
          <w:rFonts w:hint="eastAsia"/>
          <w:sz w:val="28"/>
          <w:u w:val="none"/>
          <w:lang w:val="en-US" w:eastAsia="zh-CN"/>
        </w:rPr>
        <w:t>或盖章</w:t>
      </w:r>
      <w:r>
        <w:rPr>
          <w:rFonts w:hint="eastAsia"/>
          <w:sz w:val="28"/>
          <w:szCs w:val="28"/>
          <w:u w:val="none"/>
        </w:rPr>
        <w:t>）</w:t>
      </w:r>
    </w:p>
    <w:p>
      <w:pPr>
        <w:spacing w:before="240" w:beforeLines="100" w:after="120" w:afterLines="50" w:line="700" w:lineRule="exact"/>
        <w:ind w:left="-21" w:leftChars="-10" w:firstLine="478" w:firstLineChars="171"/>
        <w:rPr>
          <w:rFonts w:hint="eastAsia"/>
          <w:sz w:val="28"/>
          <w:szCs w:val="28"/>
        </w:rPr>
      </w:pPr>
      <w:r>
        <w:rPr>
          <w:rFonts w:hint="eastAsia"/>
          <w:sz w:val="28"/>
          <w:szCs w:val="28"/>
        </w:rPr>
        <w:t>招标代理机构：</w:t>
      </w:r>
      <w:r>
        <w:rPr>
          <w:rFonts w:hint="eastAsia" w:ascii="宋体" w:hAnsi="宋体"/>
          <w:sz w:val="28"/>
          <w:szCs w:val="28"/>
          <w:u w:val="single"/>
        </w:rPr>
        <w:t>嘉兴市千秋工程咨询有限公司</w:t>
      </w:r>
      <w:r>
        <w:rPr>
          <w:rFonts w:hint="eastAsia"/>
          <w:sz w:val="28"/>
          <w:szCs w:val="28"/>
        </w:rPr>
        <w:t>（盖章）</w:t>
      </w:r>
    </w:p>
    <w:p>
      <w:pPr>
        <w:spacing w:before="240" w:beforeLines="100" w:after="120" w:afterLines="50" w:line="700" w:lineRule="exact"/>
        <w:ind w:left="-21" w:leftChars="-10" w:firstLine="478" w:firstLineChars="171"/>
        <w:rPr>
          <w:rFonts w:hint="eastAsia"/>
          <w:sz w:val="28"/>
          <w:szCs w:val="28"/>
        </w:rPr>
      </w:pPr>
      <w:r>
        <w:rPr>
          <w:rFonts w:hint="eastAsia"/>
          <w:sz w:val="28"/>
          <w:szCs w:val="28"/>
        </w:rPr>
        <w:t>法人代表：</w:t>
      </w:r>
      <w:r>
        <w:rPr>
          <w:rFonts w:hint="eastAsia"/>
          <w:sz w:val="28"/>
          <w:szCs w:val="28"/>
          <w:u w:val="single"/>
        </w:rPr>
        <w:t xml:space="preserve">                           </w:t>
      </w:r>
      <w:r>
        <w:rPr>
          <w:rFonts w:hint="eastAsia"/>
          <w:sz w:val="28"/>
          <w:szCs w:val="28"/>
          <w:u w:val="none"/>
        </w:rPr>
        <w:t>（</w:t>
      </w:r>
      <w:r>
        <w:rPr>
          <w:rFonts w:hint="eastAsia"/>
          <w:sz w:val="28"/>
          <w:u w:val="none"/>
        </w:rPr>
        <w:t>签字</w:t>
      </w:r>
      <w:r>
        <w:rPr>
          <w:rFonts w:hint="eastAsia"/>
          <w:sz w:val="28"/>
          <w:u w:val="none"/>
          <w:lang w:val="en-US" w:eastAsia="zh-CN"/>
        </w:rPr>
        <w:t>或盖章</w:t>
      </w:r>
      <w:r>
        <w:rPr>
          <w:rFonts w:hint="eastAsia"/>
          <w:sz w:val="28"/>
          <w:szCs w:val="28"/>
          <w:u w:val="none"/>
        </w:rPr>
        <w:t>）</w:t>
      </w:r>
    </w:p>
    <w:p>
      <w:pPr>
        <w:pStyle w:val="24"/>
        <w:snapToGrid w:val="0"/>
        <w:spacing w:before="0" w:beforeLines="0" w:after="0" w:afterLines="0" w:line="360" w:lineRule="auto"/>
        <w:ind w:firstLine="640" w:firstLineChars="200"/>
        <w:rPr>
          <w:rFonts w:hint="eastAsia" w:ascii="宋体" w:hAnsi="宋体" w:eastAsia="宋体" w:cs="宋体"/>
          <w:color w:val="000000"/>
          <w:sz w:val="32"/>
          <w:szCs w:val="32"/>
          <w:highlight w:val="none"/>
        </w:rPr>
      </w:pPr>
    </w:p>
    <w:p>
      <w:pPr>
        <w:pStyle w:val="24"/>
        <w:snapToGrid w:val="0"/>
        <w:spacing w:before="0" w:beforeLines="0" w:after="0" w:afterLines="0" w:line="360" w:lineRule="auto"/>
        <w:ind w:firstLine="320" w:firstLineChars="100"/>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编制日期：</w:t>
      </w:r>
      <w:r>
        <w:rPr>
          <w:rFonts w:hint="eastAsia" w:ascii="宋体" w:hAnsi="宋体" w:eastAsia="宋体" w:cs="宋体"/>
          <w:color w:val="000000"/>
          <w:sz w:val="32"/>
          <w:szCs w:val="32"/>
          <w:highlight w:val="none"/>
          <w:u w:val="single"/>
          <w:lang w:val="en-US" w:eastAsia="zh-CN"/>
        </w:rPr>
        <w:t>2020</w:t>
      </w:r>
      <w:r>
        <w:rPr>
          <w:rFonts w:hint="eastAsia" w:ascii="宋体" w:hAnsi="宋体" w:eastAsia="宋体" w:cs="宋体"/>
          <w:color w:val="000000"/>
          <w:sz w:val="32"/>
          <w:szCs w:val="32"/>
          <w:highlight w:val="none"/>
          <w:u w:val="single"/>
        </w:rPr>
        <w:t>年</w:t>
      </w:r>
      <w:r>
        <w:rPr>
          <w:rFonts w:hint="eastAsia" w:ascii="宋体" w:hAnsi="宋体" w:eastAsia="宋体" w:cs="宋体"/>
          <w:color w:val="000000"/>
          <w:sz w:val="32"/>
          <w:szCs w:val="32"/>
          <w:highlight w:val="none"/>
          <w:u w:val="single"/>
          <w:lang w:val="en-US" w:eastAsia="zh-CN"/>
        </w:rPr>
        <w:t xml:space="preserve"> 11</w:t>
      </w:r>
      <w:r>
        <w:rPr>
          <w:rFonts w:hint="eastAsia" w:ascii="宋体" w:hAnsi="宋体" w:eastAsia="宋体" w:cs="宋体"/>
          <w:color w:val="000000"/>
          <w:sz w:val="32"/>
          <w:szCs w:val="32"/>
          <w:highlight w:val="none"/>
          <w:u w:val="single"/>
        </w:rPr>
        <w:t>月</w:t>
      </w:r>
      <w:r>
        <w:rPr>
          <w:rFonts w:hint="eastAsia" w:ascii="宋体" w:hAnsi="宋体" w:eastAsia="宋体" w:cs="宋体"/>
          <w:color w:val="000000"/>
          <w:sz w:val="32"/>
          <w:szCs w:val="32"/>
          <w:highlight w:val="none"/>
          <w:u w:val="single"/>
          <w:lang w:val="en-US" w:eastAsia="zh-CN"/>
        </w:rPr>
        <w:t>03</w:t>
      </w:r>
      <w:r>
        <w:rPr>
          <w:rFonts w:hint="eastAsia" w:ascii="宋体" w:hAnsi="宋体" w:eastAsia="宋体" w:cs="宋体"/>
          <w:color w:val="000000"/>
          <w:sz w:val="32"/>
          <w:szCs w:val="32"/>
          <w:highlight w:val="none"/>
          <w:u w:val="single"/>
        </w:rPr>
        <w:t xml:space="preserve">日        </w:t>
      </w:r>
    </w:p>
    <w:p>
      <w:pPr>
        <w:tabs>
          <w:tab w:val="left" w:pos="2520"/>
        </w:tabs>
        <w:snapToGrid w:val="0"/>
        <w:spacing w:before="156" w:beforeLines="50" w:line="360" w:lineRule="auto"/>
        <w:jc w:val="both"/>
        <w:rPr>
          <w:rFonts w:hint="eastAsia" w:ascii="宋体" w:hAnsi="宋体" w:eastAsia="宋体" w:cs="宋体"/>
          <w:b/>
          <w:color w:val="000000"/>
          <w:sz w:val="48"/>
          <w:szCs w:val="48"/>
          <w:highlight w:val="none"/>
        </w:rPr>
      </w:pPr>
    </w:p>
    <w:p>
      <w:pPr>
        <w:tabs>
          <w:tab w:val="left" w:pos="2520"/>
        </w:tabs>
        <w:snapToGrid w:val="0"/>
        <w:spacing w:before="156" w:beforeLines="50"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目    录</w:t>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TOC \o "1-3" \h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_Toc9706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公开采购招标公告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_Toc9706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_Toc13278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招标需求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_Toc13278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_Toc2845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_Toc2845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_Toc20233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评标办法及评分标准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_Toc20233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_Toc31547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第五章  政府采购合同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_Toc31547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31"/>
        <w:tabs>
          <w:tab w:val="right" w:leader="dot" w:pos="9354"/>
        </w:tabs>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_Toc28819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_Toc28819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color w:val="000000"/>
          <w:sz w:val="28"/>
          <w:szCs w:val="28"/>
          <w:highlight w:val="none"/>
        </w:rPr>
        <w:fldChar w:fldCharType="end"/>
      </w:r>
    </w:p>
    <w:p>
      <w:pPr>
        <w:pStyle w:val="24"/>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jc w:val="center"/>
        <w:textAlignment w:val="auto"/>
        <w:outlineLvl w:val="0"/>
        <w:rPr>
          <w:rFonts w:hint="eastAsia" w:ascii="宋体" w:hAnsi="宋体" w:eastAsia="宋体" w:cs="宋体"/>
          <w:color w:val="000000"/>
          <w:sz w:val="32"/>
          <w:szCs w:val="32"/>
          <w:highlight w:val="none"/>
        </w:rPr>
      </w:pPr>
      <w:r>
        <w:rPr>
          <w:rFonts w:hint="eastAsia" w:ascii="宋体" w:hAnsi="宋体" w:eastAsia="宋体" w:cs="宋体"/>
          <w:color w:val="000000"/>
          <w:sz w:val="28"/>
          <w:szCs w:val="28"/>
          <w:highlight w:val="none"/>
        </w:rPr>
        <w:fldChar w:fldCharType="end"/>
      </w:r>
    </w:p>
    <w:p>
      <w:pPr>
        <w:pStyle w:val="24"/>
        <w:snapToGrid w:val="0"/>
        <w:spacing w:before="120" w:beforeLines="0" w:after="120" w:afterLines="0" w:line="360" w:lineRule="auto"/>
        <w:jc w:val="center"/>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24"/>
        <w:snapToGrid w:val="0"/>
        <w:spacing w:before="120" w:beforeLines="0" w:after="120" w:afterLines="0" w:line="360" w:lineRule="auto"/>
        <w:outlineLvl w:val="0"/>
        <w:rPr>
          <w:rFonts w:hint="eastAsia" w:ascii="宋体" w:hAnsi="宋体" w:eastAsia="宋体" w:cs="宋体"/>
          <w:color w:val="000000"/>
          <w:sz w:val="32"/>
          <w:szCs w:val="32"/>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20" w:after="20" w:line="900" w:lineRule="exact"/>
        <w:jc w:val="center"/>
        <w:textAlignment w:val="auto"/>
        <w:rPr>
          <w:rFonts w:hint="eastAsia" w:ascii="宋体" w:hAnsi="宋体" w:eastAsia="宋体" w:cs="宋体"/>
          <w:color w:val="000000"/>
          <w:highlight w:val="none"/>
        </w:rPr>
      </w:pPr>
      <w:bookmarkStart w:id="0" w:name="_第一章__公开招标采购公告"/>
      <w:bookmarkEnd w:id="0"/>
      <w:bookmarkStart w:id="1" w:name="_Toc19698"/>
      <w:bookmarkStart w:id="2" w:name="_Toc9706"/>
      <w:bookmarkStart w:id="3" w:name="_Toc31427"/>
      <w:r>
        <w:rPr>
          <w:rFonts w:hint="eastAsia" w:ascii="宋体" w:hAnsi="宋体" w:eastAsia="宋体" w:cs="宋体"/>
          <w:color w:val="000000"/>
          <w:highlight w:val="none"/>
        </w:rPr>
        <w:t>第一章  公开采购招标公告</w:t>
      </w:r>
      <w:bookmarkEnd w:id="1"/>
      <w:bookmarkEnd w:id="2"/>
      <w:bookmarkEnd w:id="3"/>
    </w:p>
    <w:p>
      <w:pPr>
        <w:pageBreakBefore w:val="0"/>
        <w:kinsoku/>
        <w:wordWrap/>
        <w:overflowPunct/>
        <w:topLinePunct w:val="0"/>
        <w:bidi w:val="0"/>
        <w:snapToGrid w:val="0"/>
        <w:spacing w:line="360" w:lineRule="auto"/>
        <w:ind w:firstLine="420" w:firstLineChars="200"/>
        <w:contextualSpacing/>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根据《中华人民共和国政府采购法》等有关法律规定，经批准，受</w:t>
      </w:r>
      <w:r>
        <w:rPr>
          <w:rFonts w:hint="eastAsia" w:ascii="宋体" w:hAnsi="宋体" w:eastAsia="宋体" w:cs="宋体"/>
          <w:color w:val="000000"/>
          <w:kern w:val="0"/>
          <w:sz w:val="21"/>
          <w:szCs w:val="21"/>
          <w:highlight w:val="none"/>
          <w:u w:val="single"/>
          <w:lang w:eastAsia="zh-CN"/>
        </w:rPr>
        <w:t>嘉兴市港区乍浦农贸海鲜城业主委员会</w:t>
      </w:r>
      <w:r>
        <w:rPr>
          <w:rFonts w:hint="eastAsia" w:ascii="宋体" w:hAnsi="宋体" w:eastAsia="宋体" w:cs="宋体"/>
          <w:color w:val="000000"/>
          <w:sz w:val="21"/>
          <w:szCs w:val="21"/>
          <w:highlight w:val="none"/>
        </w:rPr>
        <w:t>委托，现就</w:t>
      </w:r>
      <w:r>
        <w:rPr>
          <w:rFonts w:hint="eastAsia" w:ascii="宋体" w:hAnsi="宋体" w:eastAsia="宋体" w:cs="宋体"/>
          <w:color w:val="000000"/>
          <w:kern w:val="0"/>
          <w:sz w:val="21"/>
          <w:szCs w:val="21"/>
          <w:highlight w:val="none"/>
          <w:u w:val="single"/>
          <w:lang w:eastAsia="zh-CN"/>
        </w:rPr>
        <w:t>嘉兴市港区乍浦农贸海鲜城物业管理项目</w:t>
      </w:r>
      <w:r>
        <w:rPr>
          <w:rFonts w:hint="eastAsia" w:ascii="宋体" w:hAnsi="宋体" w:eastAsia="宋体" w:cs="宋体"/>
          <w:color w:val="000000"/>
          <w:sz w:val="21"/>
          <w:szCs w:val="21"/>
          <w:highlight w:val="none"/>
        </w:rPr>
        <w:t>进行公开招标采购，欢迎国内合格的供应商前来投标。</w:t>
      </w:r>
    </w:p>
    <w:p>
      <w:pPr>
        <w:pageBreakBefore w:val="0"/>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现将有关事项公告如下：</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2" w:firstLineChars="200"/>
        <w:contextualSpacing/>
        <w:textAlignment w:val="auto"/>
        <w:outlineLvl w:val="9"/>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一、项目基本情况</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contextualSpacing/>
        <w:textAlignment w:val="auto"/>
        <w:outlineLvl w:val="9"/>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rPr>
        <w:t>项目编号：</w:t>
      </w:r>
      <w:r>
        <w:rPr>
          <w:rFonts w:hint="eastAsia" w:ascii="宋体" w:hAnsi="宋体" w:eastAsia="宋体" w:cs="宋体"/>
          <w:b w:val="0"/>
          <w:bCs/>
          <w:color w:val="000000"/>
          <w:sz w:val="21"/>
          <w:szCs w:val="21"/>
          <w:highlight w:val="none"/>
          <w:lang w:val="en-US" w:eastAsia="zh-CN"/>
        </w:rPr>
        <w:t>JXQQPH-2020-051</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contextualSpacing/>
        <w:textAlignment w:val="auto"/>
        <w:outlineLvl w:val="9"/>
        <w:rPr>
          <w:rFonts w:hint="eastAsia" w:ascii="宋体" w:hAnsi="宋体" w:eastAsia="宋体" w:cs="宋体"/>
          <w:color w:val="000000"/>
          <w:kern w:val="0"/>
          <w:sz w:val="21"/>
          <w:szCs w:val="21"/>
          <w:highlight w:val="none"/>
          <w:u w:val="none"/>
          <w:lang w:eastAsia="zh-CN"/>
        </w:rPr>
      </w:pP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u w:val="none"/>
          <w:lang w:val="en-US" w:eastAsia="zh-CN"/>
        </w:rPr>
        <w:t>、项目名称：</w:t>
      </w:r>
      <w:r>
        <w:rPr>
          <w:rFonts w:hint="eastAsia" w:ascii="宋体" w:hAnsi="宋体" w:eastAsia="宋体" w:cs="宋体"/>
          <w:color w:val="000000"/>
          <w:kern w:val="0"/>
          <w:sz w:val="21"/>
          <w:szCs w:val="21"/>
          <w:highlight w:val="none"/>
          <w:u w:val="none"/>
          <w:lang w:eastAsia="zh-CN"/>
        </w:rPr>
        <w:t>嘉兴市港区乍浦农贸海鲜城物业管理项目</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0" w:firstLineChars="200"/>
        <w:contextualSpacing/>
        <w:textAlignment w:val="auto"/>
        <w:outlineLvl w:val="9"/>
        <w:rPr>
          <w:rFonts w:hint="eastAsia" w:ascii="宋体" w:hAnsi="宋体" w:eastAsia="宋体" w:cs="宋体"/>
          <w:b w:val="0"/>
          <w:bCs/>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3、最高限价：90</w:t>
      </w:r>
      <w:r>
        <w:rPr>
          <w:rFonts w:hint="eastAsia" w:ascii="宋体" w:hAnsi="宋体" w:eastAsia="宋体" w:cs="宋体"/>
          <w:color w:val="000000"/>
          <w:kern w:val="0"/>
          <w:sz w:val="21"/>
          <w:szCs w:val="21"/>
          <w:highlight w:val="none"/>
        </w:rPr>
        <w:t>万元</w:t>
      </w:r>
      <w:r>
        <w:rPr>
          <w:rFonts w:hint="eastAsia" w:ascii="宋体" w:hAnsi="宋体" w:eastAsia="宋体" w:cs="宋体"/>
          <w:b w:val="0"/>
          <w:bCs/>
          <w:color w:val="000000"/>
          <w:sz w:val="21"/>
          <w:szCs w:val="21"/>
          <w:highlight w:val="none"/>
          <w:lang w:val="en-US" w:eastAsia="zh-CN"/>
        </w:rPr>
        <w:t xml:space="preserve">              </w:t>
      </w:r>
    </w:p>
    <w:p>
      <w:pPr>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rPr>
        <w:t xml:space="preserve">采购方式：公开招标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b w:val="0"/>
          <w:bCs/>
          <w:color w:val="000000"/>
          <w:szCs w:val="21"/>
          <w:highlight w:val="none"/>
          <w:lang w:val="en-US" w:eastAsia="zh-CN"/>
        </w:rPr>
        <w:t>5、采购需求：嘉兴市港区乍浦农贸海鲜城业主委员会拟通过公开招标采购嘉兴市港区乍浦农贸海</w:t>
      </w:r>
      <w:r>
        <w:rPr>
          <w:rFonts w:hint="eastAsia"/>
          <w:lang w:val="en-US" w:eastAsia="zh-CN"/>
        </w:rPr>
        <w:t>鲜城物业管理项目供应商1家，提供相应的相关技术服务。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6、物业经理资格要求：全国注册物业管理师或物业经理上岗证。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eastAsia="宋体" w:cs="宋体"/>
          <w:b w:val="0"/>
          <w:bCs/>
          <w:color w:val="000000"/>
          <w:sz w:val="21"/>
          <w:szCs w:val="21"/>
          <w:highlight w:val="none"/>
          <w:lang w:val="en-US" w:eastAsia="zh-CN"/>
        </w:rPr>
        <w:t>7、</w:t>
      </w:r>
      <w:r>
        <w:rPr>
          <w:rFonts w:hint="eastAsia" w:ascii="宋体" w:hAnsi="宋体" w:cs="仿宋_GB2312"/>
          <w:szCs w:val="21"/>
        </w:rPr>
        <w:t>其他要求：（1）</w:t>
      </w:r>
      <w:r>
        <w:rPr>
          <w:rFonts w:hint="eastAsia" w:ascii="宋体" w:hAnsi="宋体" w:eastAsia="宋体" w:cs="宋体"/>
          <w:b w:val="0"/>
          <w:bCs/>
          <w:color w:val="000000"/>
          <w:sz w:val="21"/>
          <w:szCs w:val="21"/>
          <w:highlight w:val="none"/>
          <w:lang w:val="en-US" w:eastAsia="zh-CN"/>
        </w:rPr>
        <w:t>供应商</w:t>
      </w:r>
      <w:r>
        <w:rPr>
          <w:rFonts w:hint="eastAsia" w:ascii="宋体" w:hAnsi="宋体" w:cs="仿宋_GB2312"/>
          <w:szCs w:val="21"/>
        </w:rPr>
        <w:t>须具有企业法人营业执照；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szCs w:val="21"/>
        </w:rPr>
        <w:t xml:space="preserve">             （2）</w:t>
      </w:r>
      <w:r>
        <w:rPr>
          <w:rFonts w:hint="eastAsia" w:ascii="宋体" w:hAnsi="宋体" w:eastAsia="宋体" w:cs="宋体"/>
          <w:b w:val="0"/>
          <w:bCs/>
          <w:color w:val="000000"/>
          <w:sz w:val="21"/>
          <w:szCs w:val="21"/>
          <w:highlight w:val="none"/>
          <w:lang w:val="en-US" w:eastAsia="zh-CN"/>
        </w:rPr>
        <w:t>供应商</w:t>
      </w:r>
      <w:r>
        <w:rPr>
          <w:rFonts w:hint="eastAsia" w:ascii="宋体" w:hAnsi="宋体" w:cs="仿宋_GB2312"/>
          <w:szCs w:val="21"/>
        </w:rPr>
        <w:t>必须配备1名及以上具有消控证书的物业管理人员。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8、</w:t>
      </w:r>
      <w:r>
        <w:rPr>
          <w:rFonts w:hint="eastAsia"/>
        </w:rPr>
        <w:t>质量要求：</w:t>
      </w:r>
      <w:r>
        <w:rPr>
          <w:rFonts w:hint="eastAsia" w:ascii="宋体" w:hAnsi="宋体" w:cs="仿宋_GB2312"/>
          <w:szCs w:val="21"/>
        </w:rPr>
        <w:t>达到三级及以上标准。</w:t>
      </w:r>
    </w:p>
    <w:p>
      <w:pPr>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000000"/>
          <w:kern w:val="0"/>
          <w:sz w:val="21"/>
          <w:szCs w:val="21"/>
          <w:highlight w:val="none"/>
          <w:u w:val="single"/>
          <w:lang w:eastAsia="zh-CN"/>
        </w:rPr>
      </w:pPr>
      <w:r>
        <w:rPr>
          <w:rFonts w:hint="eastAsia" w:ascii="宋体" w:hAnsi="宋体" w:eastAsia="宋体" w:cs="宋体"/>
          <w:b w:val="0"/>
          <w:bCs w:val="0"/>
          <w:color w:val="000000"/>
          <w:sz w:val="21"/>
          <w:szCs w:val="21"/>
          <w:highlight w:val="none"/>
          <w:lang w:val="en-US" w:eastAsia="zh-CN"/>
        </w:rPr>
        <w:t>9、</w:t>
      </w:r>
      <w:r>
        <w:rPr>
          <w:rFonts w:hint="eastAsia" w:ascii="宋体" w:hAnsi="宋体" w:eastAsia="宋体" w:cs="宋体"/>
          <w:b w:val="0"/>
          <w:bCs w:val="0"/>
          <w:color w:val="000000"/>
          <w:sz w:val="21"/>
          <w:szCs w:val="21"/>
          <w:highlight w:val="none"/>
          <w:lang w:eastAsia="zh-CN"/>
        </w:rPr>
        <w:t>合同履行期限：</w:t>
      </w:r>
      <w:r>
        <w:rPr>
          <w:rFonts w:hint="eastAsia" w:ascii="宋体" w:hAnsi="宋体" w:eastAsia="宋体" w:cs="宋体"/>
          <w:color w:val="auto"/>
          <w:kern w:val="0"/>
          <w:sz w:val="21"/>
          <w:szCs w:val="21"/>
          <w:highlight w:val="none"/>
          <w:u w:val="single"/>
          <w:lang w:eastAsia="zh-CN"/>
        </w:rPr>
        <w:t>从物业服务合同签定起期满一年止。</w:t>
      </w:r>
    </w:p>
    <w:p>
      <w:pPr>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eastAsia="zh-CN"/>
        </w:rPr>
        <w:t>二</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合格投标人的资格要求</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1、符合政府采购法第二十二条供应商资格规定条件：</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（2）具有良好的商业信誉和健全的财务会计制度；</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（3）具有履行合同所必需的设备和专业技术能力；</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（4）有依法缴纳税收和社会保障资金的良好记录；</w:t>
      </w:r>
    </w:p>
    <w:p>
      <w:pPr>
        <w:pStyle w:val="109"/>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（5）参加政府采购活动前三年，在经营活动中没有重大违法记录；</w:t>
      </w:r>
    </w:p>
    <w:p>
      <w:pPr>
        <w:pStyle w:val="109"/>
        <w:pageBreakBefore w:val="0"/>
        <w:kinsoku/>
        <w:wordWrap/>
        <w:overflowPunct/>
        <w:topLinePunct w:val="0"/>
        <w:bidi w:val="0"/>
        <w:spacing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（6）法律、行政法规规定的其他条件。</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szCs w:val="21"/>
          <w:highlight w:val="none"/>
          <w:lang w:val="zh-CN"/>
        </w:rPr>
      </w:pPr>
      <w:r>
        <w:rPr>
          <w:rFonts w:hint="eastAsia" w:ascii="宋体" w:hAnsi="宋体"/>
          <w:szCs w:val="21"/>
          <w:highlight w:val="none"/>
          <w:lang w:val="zh-CN"/>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3、</w:t>
      </w:r>
      <w:r>
        <w:rPr>
          <w:rFonts w:ascii="宋体" w:hAnsi="宋体"/>
          <w:szCs w:val="21"/>
          <w:highlight w:val="none"/>
          <w:lang w:val="zh-CN"/>
        </w:rPr>
        <w:t>本项目不接受联合体投标。</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lang w:val="en-US" w:eastAsia="zh-CN"/>
        </w:rPr>
      </w:pPr>
      <w:r>
        <w:rPr>
          <w:rFonts w:hint="eastAsia"/>
          <w:lang w:val="en-US" w:eastAsia="zh-CN"/>
        </w:rPr>
        <w:t>4、本次招标要求投标人具有独立法人资格，营业执照经营范围内包含“物业管理”。且自2017年1月1日以来管理过面积10000平方米及以上的非住宅类物业管理业绩。</w:t>
      </w:r>
    </w:p>
    <w:p>
      <w:pPr>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r>
        <w:rPr>
          <w:rFonts w:hint="eastAsia"/>
          <w:b/>
          <w:bCs/>
          <w:lang w:eastAsia="zh-CN"/>
        </w:rPr>
        <w:t>三</w:t>
      </w:r>
      <w:r>
        <w:rPr>
          <w:rFonts w:hint="eastAsia"/>
          <w:b/>
          <w:bCs/>
        </w:rPr>
        <w:t>、招标文件的获取：</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lang w:val="en-US" w:eastAsia="zh-CN"/>
        </w:rPr>
      </w:pPr>
      <w:r>
        <w:rPr>
          <w:rFonts w:hint="eastAsia" w:ascii="宋体" w:hAnsi="宋体" w:eastAsia="宋体" w:cs="宋体"/>
          <w:lang w:val="en-US" w:eastAsia="zh-CN"/>
        </w:rPr>
        <w:t>3.1 本项目报名时间：2020年11月03日-2020年11月06日</w:t>
      </w:r>
    </w:p>
    <w:p>
      <w:pPr>
        <w:keepNext w:val="0"/>
        <w:keepLines w:val="0"/>
        <w:pageBreakBefore w:val="0"/>
        <w:tabs>
          <w:tab w:val="left" w:pos="360"/>
        </w:tabs>
        <w:kinsoku/>
        <w:wordWrap/>
        <w:overflowPunct/>
        <w:topLinePunct w:val="0"/>
        <w:autoSpaceDE/>
        <w:autoSpaceDN/>
        <w:bidi w:val="0"/>
        <w:adjustRightInd/>
        <w:spacing w:line="360" w:lineRule="auto"/>
        <w:ind w:firstLine="420" w:firstLineChars="200"/>
        <w:textAlignment w:val="auto"/>
        <w:rPr>
          <w:rFonts w:hint="default" w:ascii="宋体" w:hAnsi="宋体" w:cs="仿宋_GB2312"/>
          <w:color w:val="auto"/>
          <w:szCs w:val="21"/>
          <w:lang w:val="en-US" w:eastAsia="zh-CN"/>
        </w:rPr>
      </w:pPr>
      <w:r>
        <w:rPr>
          <w:rFonts w:hint="eastAsia" w:ascii="宋体" w:hAnsi="宋体" w:cs="仿宋_GB2312"/>
          <w:color w:val="auto"/>
          <w:szCs w:val="21"/>
          <w:lang w:val="en-US" w:eastAsia="zh-CN"/>
        </w:rPr>
        <w:t>3.2本项目报名所需资料：营业执照复印件、法定代表人身份证明或附有法定代表人身份证明的授权委托书、法定代表人或授权委托人的居民身份证原件。（复印件盖公章）</w:t>
      </w:r>
    </w:p>
    <w:p>
      <w:pPr>
        <w:keepNext w:val="0"/>
        <w:keepLines w:val="0"/>
        <w:pageBreakBefore w:val="0"/>
        <w:widowControl/>
        <w:numPr>
          <w:ilvl w:val="0"/>
          <w:numId w:val="0"/>
        </w:numPr>
        <w:kinsoku/>
        <w:wordWrap/>
        <w:overflowPunct/>
        <w:topLinePunct w:val="0"/>
        <w:bidi w:val="0"/>
        <w:snapToGrid w:val="0"/>
        <w:spacing w:line="360" w:lineRule="auto"/>
        <w:ind w:left="420" w:leftChars="200" w:firstLine="0" w:firstLineChars="0"/>
        <w:jc w:val="left"/>
        <w:textAlignment w:val="auto"/>
        <w:rPr>
          <w:rFonts w:hint="default" w:ascii="宋体" w:hAnsi="宋体" w:eastAsia="宋体" w:cs="宋体"/>
          <w:szCs w:val="21"/>
          <w:highlight w:val="none"/>
          <w:u w:val="single"/>
          <w:lang w:val="en-US" w:eastAsia="zh-CN"/>
        </w:rPr>
      </w:pPr>
      <w:r>
        <w:rPr>
          <w:rFonts w:hint="eastAsia" w:ascii="宋体" w:hAnsi="宋体" w:cs="仿宋_GB2312"/>
          <w:color w:val="auto"/>
          <w:szCs w:val="21"/>
          <w:lang w:val="en-US" w:eastAsia="zh-CN"/>
        </w:rPr>
        <w:t>3</w:t>
      </w:r>
      <w:r>
        <w:rPr>
          <w:rFonts w:hint="eastAsia" w:ascii="宋体" w:hAnsi="宋体" w:cs="仿宋_GB2312"/>
          <w:color w:val="auto"/>
          <w:szCs w:val="21"/>
        </w:rPr>
        <w:t>.</w:t>
      </w:r>
      <w:r>
        <w:rPr>
          <w:rFonts w:hint="eastAsia" w:ascii="宋体" w:hAnsi="宋体" w:cs="仿宋_GB2312"/>
          <w:color w:val="auto"/>
          <w:szCs w:val="21"/>
          <w:lang w:val="en-US" w:eastAsia="zh-CN"/>
        </w:rPr>
        <w:t>3</w:t>
      </w:r>
      <w:r>
        <w:rPr>
          <w:rFonts w:hint="eastAsia" w:ascii="宋体" w:hAnsi="宋体" w:cs="仿宋_GB2312"/>
          <w:color w:val="auto"/>
          <w:szCs w:val="21"/>
        </w:rPr>
        <w:t xml:space="preserve"> 本项目招标文件获取地址：  </w:t>
      </w:r>
      <w:r>
        <w:rPr>
          <w:rFonts w:hint="eastAsia" w:ascii="宋体" w:hAnsi="宋体" w:cs="仿宋_GB2312"/>
          <w:color w:val="auto"/>
          <w:szCs w:val="21"/>
          <w:u w:val="single"/>
        </w:rPr>
        <w:t xml:space="preserve"> </w:t>
      </w:r>
      <w:r>
        <w:rPr>
          <w:rFonts w:hint="eastAsia" w:ascii="宋体" w:hAnsi="宋体" w:cs="仿宋_GB2312"/>
          <w:color w:val="auto"/>
          <w:szCs w:val="21"/>
          <w:u w:val="single"/>
          <w:lang w:val="en-US" w:eastAsia="zh-CN"/>
        </w:rPr>
        <w:t xml:space="preserve">   平湖市当湖街道胜利路129号建工大厦10楼</w:t>
      </w:r>
      <w:r>
        <w:rPr>
          <w:rFonts w:hint="eastAsia" w:ascii="宋体" w:hAnsi="宋体" w:cs="仿宋_GB2312"/>
          <w:color w:val="auto"/>
          <w:szCs w:val="21"/>
          <w:u w:val="single"/>
        </w:rPr>
        <w:t xml:space="preserve">                   </w:t>
      </w:r>
      <w:r>
        <w:rPr>
          <w:rFonts w:hint="eastAsia" w:ascii="宋体" w:hAnsi="宋体" w:eastAsia="宋体" w:cs="宋体"/>
          <w:szCs w:val="21"/>
          <w:highlight w:val="none"/>
          <w:u w:val="none"/>
          <w:lang w:val="en-US" w:eastAsia="zh-CN"/>
        </w:rPr>
        <w:t>3.4</w:t>
      </w:r>
      <w:r>
        <w:rPr>
          <w:rFonts w:hint="eastAsia" w:ascii="宋体" w:hAnsi="宋体" w:eastAsia="宋体" w:cs="宋体"/>
          <w:szCs w:val="21"/>
          <w:highlight w:val="none"/>
          <w:u w:val="single"/>
          <w:lang w:val="en-US" w:eastAsia="zh-CN"/>
        </w:rPr>
        <w:t>招标文件工本费</w:t>
      </w:r>
      <w:r>
        <w:rPr>
          <w:rFonts w:hint="eastAsia" w:ascii="宋体" w:hAnsi="宋体" w:eastAsia="宋体" w:cs="宋体"/>
          <w:szCs w:val="21"/>
          <w:highlight w:val="none"/>
          <w:u w:val="single"/>
          <w:lang w:eastAsia="zh-CN"/>
        </w:rPr>
        <w:t>售价</w:t>
      </w:r>
      <w:r>
        <w:rPr>
          <w:rFonts w:hint="eastAsia" w:ascii="宋体" w:hAnsi="宋体" w:eastAsia="宋体" w:cs="宋体"/>
          <w:szCs w:val="21"/>
          <w:highlight w:val="none"/>
          <w:u w:val="single"/>
          <w:lang w:val="en-US" w:eastAsia="zh-CN"/>
        </w:rPr>
        <w:t>：500元。报名时缴纳</w:t>
      </w:r>
    </w:p>
    <w:p>
      <w:pPr>
        <w:pStyle w:val="2"/>
        <w:pageBreakBefore w:val="0"/>
        <w:kinsoku/>
        <w:wordWrap/>
        <w:overflowPunct/>
        <w:topLinePunct w:val="0"/>
        <w:autoSpaceDE/>
        <w:autoSpaceDN/>
        <w:bidi w:val="0"/>
        <w:adjustRightInd/>
        <w:spacing w:before="0" w:beforeLines="0" w:after="0" w:afterLines="0" w:line="360" w:lineRule="auto"/>
        <w:ind w:firstLine="422" w:firstLineChars="200"/>
        <w:textAlignment w:val="auto"/>
        <w:rPr>
          <w:rFonts w:hint="eastAsia" w:ascii="宋体" w:hAnsi="宋体" w:eastAsia="宋体" w:cs="宋体"/>
          <w:highlight w:val="none"/>
          <w:lang w:val="en-US" w:eastAsia="zh-CN"/>
        </w:rPr>
      </w:pPr>
      <w:bookmarkStart w:id="4" w:name="_Toc13966"/>
      <w:bookmarkStart w:id="5" w:name="_Toc27506"/>
      <w:r>
        <w:rPr>
          <w:rFonts w:hint="eastAsia" w:ascii="宋体" w:hAnsi="宋体" w:eastAsia="宋体" w:cs="宋体"/>
          <w:b/>
          <w:bCs w:val="0"/>
          <w:kern w:val="2"/>
          <w:sz w:val="21"/>
          <w:szCs w:val="21"/>
          <w:highlight w:val="none"/>
          <w:lang w:val="en-US" w:eastAsia="zh-CN" w:bidi="ar-SA"/>
        </w:rPr>
        <w:t>四、提交投标文件截止时间、开标时间和地点</w:t>
      </w:r>
      <w:bookmarkEnd w:id="4"/>
      <w:bookmarkEnd w:id="5"/>
    </w:p>
    <w:p>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color w:val="000000"/>
          <w:kern w:val="0"/>
          <w:szCs w:val="21"/>
          <w:highlight w:val="none"/>
        </w:rPr>
      </w:pPr>
      <w:r>
        <w:rPr>
          <w:rFonts w:hint="eastAsia" w:ascii="宋体" w:hAnsi="宋体" w:eastAsia="宋体" w:cs="宋体"/>
          <w:b w:val="0"/>
          <w:bCs/>
          <w:szCs w:val="21"/>
          <w:highlight w:val="none"/>
          <w:lang w:val="en-US" w:eastAsia="zh-CN"/>
        </w:rPr>
        <w:t>1、</w:t>
      </w:r>
      <w:r>
        <w:rPr>
          <w:rFonts w:hint="eastAsia" w:ascii="宋体" w:hAnsi="宋体" w:eastAsia="宋体" w:cs="宋体"/>
          <w:b w:val="0"/>
          <w:bCs/>
          <w:szCs w:val="21"/>
          <w:highlight w:val="none"/>
        </w:rPr>
        <w:t>投标截止时间：</w:t>
      </w:r>
      <w:r>
        <w:rPr>
          <w:rFonts w:hint="eastAsia" w:ascii="宋体" w:hAnsi="宋体" w:eastAsia="宋体" w:cs="宋体"/>
          <w:b w:val="0"/>
          <w:bCs/>
          <w:kern w:val="0"/>
          <w:szCs w:val="21"/>
          <w:highlight w:val="none"/>
          <w:u w:val="single"/>
        </w:rPr>
        <w:t>2020年</w:t>
      </w:r>
      <w:r>
        <w:rPr>
          <w:rFonts w:hint="eastAsia" w:ascii="宋体" w:hAnsi="宋体" w:eastAsia="宋体" w:cs="宋体"/>
          <w:b w:val="0"/>
          <w:bCs/>
          <w:kern w:val="0"/>
          <w:szCs w:val="21"/>
          <w:highlight w:val="none"/>
          <w:u w:val="single"/>
          <w:lang w:val="en-US" w:eastAsia="zh-CN"/>
        </w:rPr>
        <w:t>11</w:t>
      </w:r>
      <w:r>
        <w:rPr>
          <w:rFonts w:hint="eastAsia" w:ascii="宋体" w:hAnsi="宋体" w:eastAsia="宋体" w:cs="宋体"/>
          <w:b w:val="0"/>
          <w:bCs/>
          <w:kern w:val="0"/>
          <w:szCs w:val="21"/>
          <w:highlight w:val="none"/>
          <w:u w:val="single"/>
        </w:rPr>
        <w:t>月</w:t>
      </w:r>
      <w:r>
        <w:rPr>
          <w:rFonts w:hint="eastAsia" w:ascii="宋体" w:hAnsi="宋体" w:eastAsia="宋体" w:cs="宋体"/>
          <w:b w:val="0"/>
          <w:bCs/>
          <w:kern w:val="0"/>
          <w:szCs w:val="21"/>
          <w:highlight w:val="none"/>
          <w:u w:val="single"/>
          <w:lang w:val="en-US" w:eastAsia="zh-CN"/>
        </w:rPr>
        <w:t>13</w:t>
      </w:r>
      <w:r>
        <w:rPr>
          <w:rFonts w:hint="eastAsia" w:ascii="宋体" w:hAnsi="宋体" w:eastAsia="宋体" w:cs="宋体"/>
          <w:b w:val="0"/>
          <w:bCs/>
          <w:kern w:val="0"/>
          <w:szCs w:val="21"/>
          <w:highlight w:val="none"/>
          <w:u w:val="single"/>
        </w:rPr>
        <w:t>日</w:t>
      </w:r>
      <w:r>
        <w:rPr>
          <w:rFonts w:hint="eastAsia" w:ascii="宋体" w:hAnsi="宋体" w:eastAsia="宋体" w:cs="宋体"/>
          <w:b w:val="0"/>
          <w:bCs/>
          <w:kern w:val="0"/>
          <w:szCs w:val="21"/>
          <w:highlight w:val="none"/>
          <w:u w:val="single"/>
          <w:lang w:val="en-US" w:eastAsia="zh-CN"/>
        </w:rPr>
        <w:t xml:space="preserve"> 9</w:t>
      </w:r>
      <w:r>
        <w:rPr>
          <w:rFonts w:hint="eastAsia" w:ascii="宋体" w:hAnsi="宋体" w:eastAsia="宋体" w:cs="宋体"/>
          <w:b w:val="0"/>
          <w:bCs/>
          <w:kern w:val="0"/>
          <w:szCs w:val="21"/>
          <w:highlight w:val="none"/>
          <w:u w:val="single"/>
        </w:rPr>
        <w:t>时</w:t>
      </w:r>
      <w:r>
        <w:rPr>
          <w:rFonts w:hint="eastAsia" w:ascii="宋体" w:hAnsi="宋体" w:eastAsia="宋体" w:cs="宋体"/>
          <w:b w:val="0"/>
          <w:bCs/>
          <w:kern w:val="0"/>
          <w:szCs w:val="21"/>
          <w:highlight w:val="none"/>
          <w:u w:val="single"/>
          <w:lang w:val="en-US" w:eastAsia="zh-CN"/>
        </w:rPr>
        <w:t xml:space="preserve"> 30 </w:t>
      </w:r>
      <w:r>
        <w:rPr>
          <w:rFonts w:hint="eastAsia" w:ascii="宋体" w:hAnsi="宋体" w:eastAsia="宋体" w:cs="宋体"/>
          <w:b w:val="0"/>
          <w:bCs/>
          <w:kern w:val="0"/>
          <w:szCs w:val="21"/>
          <w:highlight w:val="none"/>
          <w:u w:val="single"/>
        </w:rPr>
        <w:t>分</w:t>
      </w:r>
      <w:r>
        <w:rPr>
          <w:rFonts w:hint="eastAsia" w:ascii="宋体" w:hAnsi="宋体" w:eastAsia="宋体" w:cs="宋体"/>
          <w:b w:val="0"/>
          <w:bCs/>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color w:val="000000"/>
          <w:kern w:val="0"/>
          <w:szCs w:val="21"/>
          <w:highlight w:val="none"/>
        </w:rPr>
      </w:pPr>
      <w:r>
        <w:rPr>
          <w:rFonts w:hint="eastAsia" w:ascii="宋体" w:hAnsi="宋体" w:eastAsia="宋体" w:cs="宋体"/>
          <w:b w:val="0"/>
          <w:bCs/>
          <w:szCs w:val="21"/>
          <w:highlight w:val="none"/>
          <w:lang w:val="en-US" w:eastAsia="zh-CN"/>
        </w:rPr>
        <w:t>2、</w:t>
      </w:r>
      <w:r>
        <w:rPr>
          <w:rFonts w:hint="eastAsia" w:ascii="宋体" w:hAnsi="宋体" w:eastAsia="宋体" w:cs="宋体"/>
          <w:b w:val="0"/>
          <w:bCs/>
          <w:szCs w:val="21"/>
          <w:highlight w:val="none"/>
        </w:rPr>
        <w:t>开标时间：</w:t>
      </w:r>
      <w:r>
        <w:rPr>
          <w:rFonts w:hint="eastAsia" w:ascii="宋体" w:hAnsi="宋体" w:eastAsia="宋体" w:cs="宋体"/>
          <w:b w:val="0"/>
          <w:bCs/>
          <w:kern w:val="0"/>
          <w:szCs w:val="21"/>
          <w:highlight w:val="none"/>
          <w:u w:val="single"/>
          <w:lang w:eastAsia="zh-CN"/>
        </w:rPr>
        <w:t>同投标截止时间。</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color w:val="000000"/>
          <w:kern w:val="0"/>
          <w:szCs w:val="21"/>
          <w:highlight w:val="none"/>
        </w:rPr>
      </w:pPr>
      <w:r>
        <w:rPr>
          <w:rFonts w:hint="eastAsia" w:ascii="宋体" w:hAnsi="宋体" w:eastAsia="宋体" w:cs="宋体"/>
          <w:b w:val="0"/>
          <w:bCs/>
          <w:szCs w:val="21"/>
          <w:highlight w:val="none"/>
          <w:lang w:val="en-US" w:eastAsia="zh-CN"/>
        </w:rPr>
        <w:t>3、</w:t>
      </w:r>
      <w:r>
        <w:rPr>
          <w:rFonts w:hint="eastAsia" w:ascii="宋体" w:hAnsi="宋体" w:eastAsia="宋体" w:cs="宋体"/>
          <w:b w:val="0"/>
          <w:bCs/>
          <w:szCs w:val="21"/>
          <w:highlight w:val="none"/>
        </w:rPr>
        <w:t>投标地点：</w:t>
      </w:r>
      <w:r>
        <w:rPr>
          <w:rFonts w:hint="eastAsia" w:ascii="宋体" w:hAnsi="宋体" w:eastAsia="宋体" w:cs="宋体"/>
          <w:b w:val="0"/>
          <w:bCs/>
          <w:szCs w:val="21"/>
          <w:highlight w:val="none"/>
          <w:u w:val="single"/>
        </w:rPr>
        <w:t>平湖市当湖街道胜利路129号建工大厦10楼</w:t>
      </w:r>
      <w:r>
        <w:rPr>
          <w:rFonts w:hint="eastAsia" w:ascii="宋体" w:hAnsi="宋体" w:eastAsia="宋体" w:cs="宋体"/>
          <w:b w:val="0"/>
          <w:bCs/>
          <w:szCs w:val="21"/>
          <w:highlight w:val="none"/>
          <w:u w:val="single"/>
          <w:lang w:val="en-US" w:eastAsia="zh-CN"/>
        </w:rPr>
        <w:t>嘉兴市千秋工程咨询有限公司</w:t>
      </w:r>
      <w:r>
        <w:rPr>
          <w:rFonts w:hint="eastAsia" w:ascii="宋体" w:hAnsi="宋体" w:eastAsia="宋体" w:cs="宋体"/>
          <w:b w:val="0"/>
          <w:bCs/>
          <w:kern w:val="0"/>
          <w:szCs w:val="21"/>
          <w:highlight w:val="none"/>
          <w:u w:val="single"/>
          <w:lang w:val="en-US" w:eastAsia="zh-CN"/>
        </w:rPr>
        <w:t xml:space="preserve"> ；</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kern w:val="0"/>
          <w:szCs w:val="21"/>
          <w:highlight w:val="none"/>
          <w:u w:val="single"/>
          <w:lang w:eastAsia="zh-CN"/>
        </w:rPr>
      </w:pPr>
      <w:r>
        <w:rPr>
          <w:rFonts w:hint="eastAsia" w:ascii="宋体" w:hAnsi="宋体" w:eastAsia="宋体" w:cs="宋体"/>
          <w:b w:val="0"/>
          <w:bCs/>
          <w:kern w:val="0"/>
          <w:szCs w:val="21"/>
          <w:highlight w:val="none"/>
          <w:u w:val="none"/>
          <w:lang w:val="en-US" w:eastAsia="zh-CN"/>
        </w:rPr>
        <w:t>4、</w:t>
      </w:r>
      <w:r>
        <w:rPr>
          <w:rFonts w:hint="eastAsia" w:ascii="宋体" w:hAnsi="宋体" w:eastAsia="宋体" w:cs="宋体"/>
          <w:b w:val="0"/>
          <w:bCs/>
          <w:kern w:val="0"/>
          <w:szCs w:val="21"/>
          <w:highlight w:val="none"/>
          <w:u w:val="none"/>
          <w:lang w:eastAsia="zh-CN"/>
        </w:rPr>
        <w:t>开标地点：</w:t>
      </w:r>
      <w:r>
        <w:rPr>
          <w:rFonts w:hint="eastAsia" w:ascii="宋体" w:hAnsi="宋体" w:eastAsia="宋体" w:cs="宋体"/>
          <w:b w:val="0"/>
          <w:bCs/>
          <w:szCs w:val="21"/>
          <w:highlight w:val="none"/>
          <w:u w:val="single"/>
        </w:rPr>
        <w:t>平湖市当湖街道胜利路129号建工大厦10楼</w:t>
      </w:r>
      <w:r>
        <w:rPr>
          <w:rFonts w:hint="eastAsia" w:ascii="宋体" w:hAnsi="宋体" w:eastAsia="宋体" w:cs="宋体"/>
          <w:b w:val="0"/>
          <w:bCs/>
          <w:szCs w:val="21"/>
          <w:highlight w:val="none"/>
          <w:u w:val="single"/>
          <w:lang w:val="en-US" w:eastAsia="zh-CN"/>
        </w:rPr>
        <w:t>嘉兴市千秋工程咨询有限公司</w:t>
      </w:r>
      <w:r>
        <w:rPr>
          <w:rFonts w:hint="eastAsia" w:ascii="宋体" w:hAnsi="宋体" w:eastAsia="宋体" w:cs="宋体"/>
          <w:b/>
          <w:kern w:val="0"/>
          <w:szCs w:val="21"/>
          <w:highlight w:val="none"/>
          <w:u w:val="singl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kern w:val="0"/>
          <w:szCs w:val="21"/>
          <w:highlight w:val="none"/>
          <w:u w:val="none"/>
          <w:lang w:eastAsia="zh-CN"/>
        </w:rPr>
      </w:pPr>
      <w:r>
        <w:rPr>
          <w:rFonts w:hint="eastAsia" w:ascii="宋体" w:hAnsi="宋体" w:eastAsia="宋体" w:cs="宋体"/>
          <w:b/>
          <w:kern w:val="0"/>
          <w:szCs w:val="21"/>
          <w:highlight w:val="none"/>
          <w:u w:val="none"/>
          <w:lang w:eastAsia="zh-CN"/>
        </w:rPr>
        <w:t>公告期限</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kern w:val="0"/>
          <w:szCs w:val="21"/>
          <w:highlight w:val="none"/>
          <w:u w:val="single"/>
          <w:lang w:eastAsia="zh-CN"/>
        </w:rPr>
      </w:pPr>
      <w:r>
        <w:rPr>
          <w:rFonts w:hint="eastAsia" w:ascii="宋体" w:hAnsi="宋体" w:eastAsia="宋体" w:cs="宋体"/>
          <w:szCs w:val="22"/>
          <w:highlight w:val="none"/>
          <w:u w:val="none"/>
          <w:lang w:eastAsia="zh-CN"/>
        </w:rPr>
        <w:t>自本公告发布之日起</w:t>
      </w:r>
      <w:r>
        <w:rPr>
          <w:rFonts w:hint="eastAsia" w:ascii="宋体" w:hAnsi="宋体" w:eastAsia="宋体" w:cs="宋体"/>
          <w:szCs w:val="22"/>
          <w:highlight w:val="none"/>
          <w:u w:val="none"/>
          <w:lang w:val="en-US" w:eastAsia="zh-CN"/>
        </w:rPr>
        <w:t>10</w:t>
      </w:r>
      <w:r>
        <w:rPr>
          <w:rFonts w:hint="eastAsia" w:ascii="宋体" w:hAnsi="宋体" w:eastAsia="宋体" w:cs="宋体"/>
          <w:szCs w:val="22"/>
          <w:highlight w:val="none"/>
          <w:u w:val="none"/>
          <w:lang w:eastAsia="zh-CN"/>
        </w:rPr>
        <w:t>个工作日。</w:t>
      </w:r>
    </w:p>
    <w:p>
      <w:pPr>
        <w:pStyle w:val="41"/>
        <w:pageBreakBefore w:val="0"/>
        <w:kinsoku/>
        <w:wordWrap/>
        <w:overflowPunct/>
        <w:topLinePunct w:val="0"/>
        <w:bidi w:val="0"/>
        <w:snapToGrid w:val="0"/>
        <w:spacing w:before="0" w:beforeAutospacing="0" w:after="0" w:afterAutospacing="0" w:line="360" w:lineRule="auto"/>
        <w:ind w:firstLine="422" w:firstLineChars="200"/>
        <w:textAlignment w:val="auto"/>
        <w:rPr>
          <w:rFonts w:cs="仿宋_GB2312"/>
          <w:color w:val="auto"/>
          <w:kern w:val="2"/>
          <w:sz w:val="21"/>
        </w:rPr>
      </w:pPr>
      <w:r>
        <w:rPr>
          <w:rFonts w:hint="eastAsia" w:ascii="宋体" w:hAnsi="宋体" w:eastAsia="宋体" w:cs="宋体"/>
          <w:b/>
          <w:color w:val="000000"/>
          <w:kern w:val="0"/>
          <w:szCs w:val="21"/>
          <w:highlight w:val="none"/>
          <w:lang w:eastAsia="zh-CN"/>
        </w:rPr>
        <w:t>六</w:t>
      </w:r>
      <w:r>
        <w:rPr>
          <w:rFonts w:hint="eastAsia" w:ascii="宋体" w:hAnsi="宋体" w:eastAsia="宋体" w:cs="宋体"/>
          <w:b/>
          <w:color w:val="000000"/>
          <w:kern w:val="0"/>
          <w:szCs w:val="21"/>
          <w:highlight w:val="none"/>
        </w:rPr>
        <w:t>、投标保证金：</w:t>
      </w:r>
      <w:r>
        <w:rPr>
          <w:rFonts w:hint="eastAsia" w:eastAsia="宋体" w:cs="宋体"/>
          <w:b w:val="0"/>
          <w:bCs/>
          <w:color w:val="000000"/>
          <w:kern w:val="0"/>
          <w:szCs w:val="21"/>
          <w:highlight w:val="none"/>
          <w:lang w:val="en-US" w:eastAsia="zh-CN"/>
        </w:rPr>
        <w:t>6.1</w:t>
      </w:r>
      <w:r>
        <w:rPr>
          <w:rFonts w:hint="eastAsia" w:cs="仿宋_GB2312"/>
          <w:color w:val="auto"/>
          <w:kern w:val="2"/>
          <w:sz w:val="21"/>
        </w:rPr>
        <w:t>投标人在提交投标文件同时，以</w:t>
      </w:r>
      <w:r>
        <w:rPr>
          <w:rFonts w:hint="eastAsia" w:cs="仿宋_GB2312"/>
          <w:bCs/>
          <w:color w:val="auto"/>
          <w:kern w:val="2"/>
          <w:sz w:val="21"/>
        </w:rPr>
        <w:t>银行汇票</w:t>
      </w:r>
      <w:r>
        <w:rPr>
          <w:rFonts w:hint="eastAsia" w:cs="仿宋_GB2312"/>
          <w:b/>
          <w:color w:val="auto"/>
          <w:kern w:val="2"/>
          <w:sz w:val="21"/>
        </w:rPr>
        <w:t>、</w:t>
      </w:r>
      <w:r>
        <w:rPr>
          <w:rFonts w:hint="eastAsia" w:cs="仿宋_GB2312"/>
          <w:color w:val="auto"/>
          <w:kern w:val="2"/>
          <w:sz w:val="21"/>
        </w:rPr>
        <w:t>电汇、支票、现金或保函 等形式递交</w:t>
      </w:r>
      <w:r>
        <w:rPr>
          <w:rFonts w:hint="eastAsia" w:cs="仿宋_GB2312"/>
          <w:color w:val="auto"/>
          <w:kern w:val="2"/>
          <w:sz w:val="21"/>
          <w:u w:val="single"/>
        </w:rPr>
        <w:t>贰万元</w:t>
      </w:r>
      <w:r>
        <w:rPr>
          <w:rFonts w:hint="eastAsia" w:cs="仿宋_GB2312"/>
          <w:color w:val="auto"/>
          <w:kern w:val="2"/>
          <w:sz w:val="21"/>
        </w:rPr>
        <w:t>投标保证金</w:t>
      </w:r>
      <w:r>
        <w:rPr>
          <w:rFonts w:hint="eastAsia" w:cs="仿宋_GB2312"/>
          <w:color w:val="auto"/>
          <w:kern w:val="2"/>
          <w:sz w:val="21"/>
          <w:lang w:eastAsia="zh-CN"/>
        </w:rPr>
        <w:t>（</w:t>
      </w:r>
      <w:r>
        <w:rPr>
          <w:rFonts w:hint="eastAsia" w:cs="仿宋_GB2312"/>
          <w:color w:val="auto"/>
          <w:kern w:val="2"/>
          <w:sz w:val="21"/>
          <w:lang w:val="en-US" w:eastAsia="zh-CN"/>
        </w:rPr>
        <w:t>不计息</w:t>
      </w:r>
      <w:r>
        <w:rPr>
          <w:rFonts w:hint="eastAsia" w:cs="仿宋_GB2312"/>
          <w:color w:val="auto"/>
          <w:kern w:val="2"/>
          <w:sz w:val="21"/>
          <w:lang w:eastAsia="zh-CN"/>
        </w:rPr>
        <w:t>）</w:t>
      </w:r>
      <w:r>
        <w:rPr>
          <w:rFonts w:hint="eastAsia" w:cs="仿宋_GB2312"/>
          <w:color w:val="auto"/>
          <w:kern w:val="2"/>
          <w:sz w:val="21"/>
        </w:rPr>
        <w:t xml:space="preserve">   </w:t>
      </w:r>
    </w:p>
    <w:p>
      <w:pPr>
        <w:pageBreakBefore w:val="0"/>
        <w:widowControl/>
        <w:shd w:val="clear" w:color="auto" w:fill="F4F4F4"/>
        <w:kinsoku/>
        <w:wordWrap/>
        <w:overflowPunct/>
        <w:topLinePunct w:val="0"/>
        <w:bidi w:val="0"/>
        <w:spacing w:line="360" w:lineRule="auto"/>
        <w:ind w:firstLine="420"/>
        <w:textAlignment w:val="auto"/>
        <w:rPr>
          <w:rFonts w:ascii="宋体" w:hAnsi="宋体" w:cs="仿宋_GB2312"/>
          <w:color w:val="auto"/>
        </w:rPr>
      </w:pPr>
      <w:r>
        <w:rPr>
          <w:rFonts w:hint="eastAsia" w:ascii="宋体" w:hAnsi="宋体" w:cs="仿宋_GB2312"/>
          <w:color w:val="auto"/>
        </w:rPr>
        <w:t xml:space="preserve">户  名：嘉兴市港区乍浦农贸海鲜城业主委员会                    </w:t>
      </w:r>
    </w:p>
    <w:p>
      <w:pPr>
        <w:pageBreakBefore w:val="0"/>
        <w:widowControl/>
        <w:shd w:val="clear" w:color="auto" w:fill="F4F4F4"/>
        <w:kinsoku/>
        <w:wordWrap/>
        <w:overflowPunct/>
        <w:topLinePunct w:val="0"/>
        <w:bidi w:val="0"/>
        <w:spacing w:line="360" w:lineRule="auto"/>
        <w:ind w:firstLine="420"/>
        <w:textAlignment w:val="auto"/>
        <w:rPr>
          <w:rFonts w:ascii="宋体" w:hAnsi="宋体" w:cs="仿宋_GB2312"/>
          <w:color w:val="auto"/>
        </w:rPr>
      </w:pPr>
      <w:r>
        <w:rPr>
          <w:rFonts w:hint="eastAsia" w:ascii="宋体" w:hAnsi="宋体" w:cs="仿宋_GB2312"/>
          <w:color w:val="auto"/>
        </w:rPr>
        <w:t>开户银行：中国农业银行乍浦支行</w:t>
      </w:r>
    </w:p>
    <w:p>
      <w:pPr>
        <w:pageBreakBefore w:val="0"/>
        <w:widowControl/>
        <w:shd w:val="clear" w:color="auto" w:fill="F4F4F4"/>
        <w:kinsoku/>
        <w:wordWrap/>
        <w:overflowPunct/>
        <w:topLinePunct w:val="0"/>
        <w:bidi w:val="0"/>
        <w:spacing w:line="360" w:lineRule="auto"/>
        <w:ind w:firstLine="420"/>
        <w:textAlignment w:val="auto"/>
        <w:rPr>
          <w:rFonts w:ascii="宋体" w:hAnsi="宋体" w:cs="仿宋_GB2312"/>
          <w:color w:val="auto"/>
        </w:rPr>
      </w:pPr>
      <w:r>
        <w:rPr>
          <w:rFonts w:hint="eastAsia" w:ascii="宋体" w:hAnsi="宋体" w:cs="仿宋_GB2312"/>
          <w:color w:val="auto"/>
        </w:rPr>
        <w:t xml:space="preserve">帐  号：19340801040020943  </w:t>
      </w:r>
    </w:p>
    <w:p>
      <w:pPr>
        <w:pageBreakBefore w:val="0"/>
        <w:kinsoku/>
        <w:wordWrap/>
        <w:overflowPunct/>
        <w:topLinePunct w:val="0"/>
        <w:bidi w:val="0"/>
        <w:spacing w:line="360" w:lineRule="auto"/>
        <w:ind w:firstLine="437"/>
        <w:textAlignment w:val="auto"/>
        <w:rPr>
          <w:rFonts w:ascii="宋体" w:hAnsi="宋体" w:cs="仿宋_GB2312"/>
          <w:color w:val="auto"/>
        </w:rPr>
      </w:pPr>
      <w:r>
        <w:rPr>
          <w:rFonts w:hint="eastAsia" w:ascii="宋体" w:hAnsi="宋体" w:cs="仿宋_GB2312"/>
          <w:color w:val="auto"/>
          <w:lang w:val="en-US" w:eastAsia="zh-CN"/>
        </w:rPr>
        <w:t>6</w:t>
      </w:r>
      <w:r>
        <w:rPr>
          <w:rFonts w:hint="eastAsia" w:ascii="宋体" w:hAnsi="宋体" w:cs="仿宋_GB2312"/>
          <w:color w:val="auto"/>
        </w:rPr>
        <w:t>.2 本次招标的招标文件、补充（答疑、澄清）、修改文件等所有相关文件</w:t>
      </w:r>
      <w:r>
        <w:rPr>
          <w:rFonts w:hint="eastAsia" w:ascii="宋体" w:hAnsi="宋体" w:cs="仿宋_GB2312"/>
          <w:color w:val="auto"/>
          <w:lang w:val="en-US" w:eastAsia="zh-CN"/>
        </w:rPr>
        <w:t>需前往招标代理公司领取</w:t>
      </w:r>
      <w:r>
        <w:rPr>
          <w:rFonts w:hint="eastAsia" w:ascii="宋体" w:hAnsi="宋体" w:cs="仿宋_GB2312"/>
          <w:color w:val="auto"/>
        </w:rPr>
        <w:t>，招标人不再一一通知。投标人因自身贻误行为导致投标失败的，责任自负。</w:t>
      </w:r>
    </w:p>
    <w:p>
      <w:pPr>
        <w:pageBreakBefore w:val="0"/>
        <w:kinsoku/>
        <w:wordWrap/>
        <w:overflowPunct/>
        <w:topLinePunct w:val="0"/>
        <w:bidi w:val="0"/>
        <w:spacing w:line="360" w:lineRule="auto"/>
        <w:ind w:firstLine="437"/>
        <w:textAlignment w:val="auto"/>
        <w:rPr>
          <w:rFonts w:hint="eastAsia" w:ascii="宋体" w:hAnsi="宋体" w:eastAsia="宋体" w:cs="宋体"/>
          <w:color w:val="000000"/>
          <w:kern w:val="0"/>
          <w:szCs w:val="21"/>
          <w:highlight w:val="none"/>
        </w:rPr>
      </w:pPr>
      <w:r>
        <w:rPr>
          <w:rFonts w:hint="eastAsia" w:ascii="宋体" w:hAnsi="宋体" w:cs="仿宋_GB2312"/>
          <w:color w:val="auto"/>
          <w:lang w:val="en-US" w:eastAsia="zh-CN"/>
        </w:rPr>
        <w:t>6</w:t>
      </w:r>
      <w:r>
        <w:rPr>
          <w:rFonts w:hint="eastAsia" w:ascii="宋体" w:hAnsi="宋体" w:cs="仿宋_GB2312"/>
          <w:color w:val="auto"/>
        </w:rPr>
        <w:t>.3</w:t>
      </w:r>
      <w:r>
        <w:rPr>
          <w:rFonts w:hint="eastAsia"/>
          <w:color w:val="auto"/>
          <w:szCs w:val="21"/>
        </w:rPr>
        <w:t>疫情期间，请参加投标的法定代表人或授权委托人做好个人防护措施，提供身份证原件、投标人员健康信息登记表、开标健康承诺书及“支付宝”或“浙里办”APP申领的嘉兴健康码绿码；配合现场体温检测，不超37.2℃。否则拒绝参与投标。</w:t>
      </w:r>
    </w:p>
    <w:p>
      <w:pPr>
        <w:keepNext w:val="0"/>
        <w:keepLines w:val="0"/>
        <w:pageBreakBefore w:val="0"/>
        <w:widowControl/>
        <w:kinsoku/>
        <w:wordWrap/>
        <w:overflowPunct/>
        <w:topLinePunct w:val="0"/>
        <w:autoSpaceDE/>
        <w:autoSpaceDN/>
        <w:bidi w:val="0"/>
        <w:spacing w:beforeAutospacing="0" w:afterAutospacing="0" w:line="440" w:lineRule="exact"/>
        <w:ind w:firstLine="211" w:firstLineChars="100"/>
        <w:jc w:val="left"/>
        <w:textAlignment w:val="auto"/>
        <w:outlineLvl w:val="9"/>
        <w:rPr>
          <w:rFonts w:hint="eastAsia" w:ascii="宋体" w:hAnsi="宋体" w:eastAsia="宋体" w:cs="宋体"/>
          <w:color w:val="000000"/>
          <w:kern w:val="0"/>
          <w:sz w:val="21"/>
          <w:szCs w:val="21"/>
          <w:highlight w:val="none"/>
          <w:lang w:bidi="ar"/>
        </w:rPr>
      </w:pPr>
      <w:r>
        <w:rPr>
          <w:rFonts w:hint="eastAsia" w:ascii="宋体" w:hAnsi="宋体" w:eastAsia="宋体" w:cs="宋体"/>
          <w:b/>
          <w:color w:val="000000"/>
          <w:sz w:val="21"/>
          <w:szCs w:val="21"/>
          <w:highlight w:val="none"/>
          <w:lang w:eastAsia="zh-CN"/>
        </w:rPr>
        <w:t>九</w:t>
      </w:r>
      <w:r>
        <w:rPr>
          <w:rFonts w:hint="eastAsia" w:ascii="宋体" w:hAnsi="宋体" w:eastAsia="宋体" w:cs="宋体"/>
          <w:b/>
          <w:color w:val="000000"/>
          <w:sz w:val="21"/>
          <w:szCs w:val="21"/>
          <w:highlight w:val="none"/>
        </w:rPr>
        <w:t>、联系方式</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1.采购单位:</w:t>
      </w:r>
      <w:r>
        <w:rPr>
          <w:rFonts w:hint="eastAsia" w:ascii="宋体" w:hAnsi="宋体" w:eastAsia="宋体" w:cs="宋体"/>
          <w:color w:val="000000"/>
          <w:sz w:val="21"/>
          <w:szCs w:val="21"/>
          <w:highlight w:val="none"/>
          <w:lang w:eastAsia="zh-CN"/>
        </w:rPr>
        <w:t>嘉兴市港区乍浦农贸海鲜城业主委员会</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0000FF"/>
          <w:sz w:val="21"/>
          <w:szCs w:val="21"/>
          <w:highlight w:val="none"/>
        </w:rPr>
      </w:pPr>
      <w:r>
        <w:rPr>
          <w:rFonts w:hint="eastAsia" w:ascii="宋体" w:hAnsi="宋体" w:eastAsia="宋体" w:cs="宋体"/>
          <w:color w:val="000000"/>
          <w:sz w:val="21"/>
          <w:szCs w:val="21"/>
          <w:highlight w:val="none"/>
        </w:rPr>
        <w:t xml:space="preserve">联系人：邢先生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联系电话：18268751884 </w:t>
      </w:r>
      <w:r>
        <w:rPr>
          <w:rFonts w:hint="eastAsia" w:ascii="宋体" w:hAnsi="宋体" w:eastAsia="宋体" w:cs="宋体"/>
          <w:color w:val="0000FF"/>
          <w:sz w:val="21"/>
          <w:szCs w:val="21"/>
          <w:highlight w:val="none"/>
        </w:rPr>
        <w:t xml:space="preserve">  </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2.代理单位：</w:t>
      </w:r>
      <w:r>
        <w:rPr>
          <w:rFonts w:hint="eastAsia" w:ascii="宋体" w:hAnsi="宋体" w:eastAsia="宋体" w:cs="宋体"/>
          <w:color w:val="000000"/>
          <w:sz w:val="21"/>
          <w:szCs w:val="21"/>
          <w:highlight w:val="none"/>
          <w:lang w:eastAsia="zh-CN"/>
        </w:rPr>
        <w:t xml:space="preserve">嘉兴市千秋工程咨询有限公司 </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 xml:space="preserve">江先生          </w:t>
      </w:r>
      <w:r>
        <w:rPr>
          <w:rFonts w:hint="eastAsia" w:ascii="宋体" w:hAnsi="宋体" w:eastAsia="宋体" w:cs="宋体"/>
          <w:color w:val="000000"/>
          <w:sz w:val="21"/>
          <w:szCs w:val="21"/>
          <w:highlight w:val="none"/>
        </w:rPr>
        <w:t>联系电话：0573-85126112</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.政府采购监督管理部门：</w:t>
      </w:r>
      <w:r>
        <w:rPr>
          <w:rFonts w:hint="eastAsia" w:ascii="宋体" w:hAnsi="宋体" w:eastAsia="宋体" w:cs="宋体"/>
          <w:color w:val="000000"/>
          <w:sz w:val="21"/>
          <w:szCs w:val="21"/>
          <w:highlight w:val="none"/>
          <w:lang w:val="en-US" w:eastAsia="zh-CN"/>
        </w:rPr>
        <w:t>平湖市</w:t>
      </w:r>
      <w:r>
        <w:rPr>
          <w:rFonts w:hint="eastAsia" w:ascii="宋体" w:hAnsi="宋体"/>
          <w:szCs w:val="21"/>
          <w:highlight w:val="none"/>
          <w:lang w:val="en-US" w:eastAsia="zh-CN"/>
        </w:rPr>
        <w:t>乍浦镇人民政府</w:t>
      </w:r>
    </w:p>
    <w:p>
      <w:pPr>
        <w:pStyle w:val="2"/>
        <w:rPr>
          <w:rFonts w:hint="eastAsia"/>
        </w:rPr>
      </w:pP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textAlignment w:val="auto"/>
        <w:outlineLvl w:val="9"/>
        <w:rPr>
          <w:rFonts w:hint="eastAsia" w:ascii="宋体" w:hAnsi="宋体" w:eastAsia="宋体" w:cs="宋体"/>
          <w:color w:val="000000"/>
          <w:sz w:val="21"/>
          <w:szCs w:val="21"/>
          <w:highlight w:val="none"/>
        </w:rPr>
      </w:pP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righ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嘉兴市港区乍浦农贸海鲜城业主委员会</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righ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嘉兴市千秋工程咨询有限公司 </w:t>
      </w:r>
    </w:p>
    <w:p>
      <w:pPr>
        <w:snapToGrid w:val="0"/>
        <w:spacing w:line="440" w:lineRule="exact"/>
        <w:ind w:firstLine="420" w:firstLineChars="200"/>
        <w:contextualSpacing/>
        <w:jc w:val="right"/>
        <w:rPr>
          <w:rFonts w:hint="eastAsia" w:ascii="宋体" w:hAnsi="宋体" w:eastAsia="宋体" w:cs="宋体"/>
          <w:color w:val="000000"/>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2020</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03</w:t>
      </w:r>
      <w:r>
        <w:rPr>
          <w:rFonts w:hint="eastAsia" w:ascii="宋体" w:hAnsi="宋体" w:eastAsia="宋体" w:cs="宋体"/>
          <w:color w:val="000000"/>
          <w:sz w:val="21"/>
          <w:szCs w:val="21"/>
          <w:highlight w:val="none"/>
        </w:rPr>
        <w:t>日</w:t>
      </w:r>
      <w:bookmarkStart w:id="6" w:name="csmb"/>
      <w:bookmarkEnd w:id="6"/>
      <w:bookmarkStart w:id="7" w:name="_第二章__招标需求"/>
      <w:bookmarkEnd w:id="7"/>
      <w:bookmarkStart w:id="8" w:name="_Toc8660"/>
      <w:bookmarkStart w:id="9" w:name="_Toc8047"/>
    </w:p>
    <w:p>
      <w:pPr>
        <w:pStyle w:val="4"/>
        <w:keepNext/>
        <w:keepLines/>
        <w:pageBreakBefore w:val="0"/>
        <w:widowControl w:val="0"/>
        <w:numPr>
          <w:ilvl w:val="0"/>
          <w:numId w:val="0"/>
        </w:numPr>
        <w:kinsoku/>
        <w:wordWrap/>
        <w:overflowPunct/>
        <w:topLinePunct w:val="0"/>
        <w:autoSpaceDE/>
        <w:autoSpaceDN/>
        <w:bidi w:val="0"/>
        <w:adjustRightInd/>
        <w:snapToGrid/>
        <w:spacing w:before="20" w:after="20" w:line="900" w:lineRule="exact"/>
        <w:jc w:val="center"/>
        <w:textAlignment w:val="auto"/>
        <w:rPr>
          <w:rFonts w:hint="eastAsia" w:ascii="宋体" w:hAnsi="宋体" w:eastAsia="宋体" w:cs="宋体"/>
          <w:color w:val="000000"/>
          <w:highlight w:val="none"/>
        </w:rPr>
      </w:pPr>
      <w:bookmarkStart w:id="10" w:name="_Toc13278"/>
      <w:r>
        <w:rPr>
          <w:rFonts w:hint="eastAsia" w:ascii="宋体" w:hAnsi="宋体" w:eastAsia="宋体" w:cs="宋体"/>
          <w:color w:val="000000"/>
          <w:highlight w:val="none"/>
        </w:rPr>
        <w:t>第二章  招标需求</w:t>
      </w:r>
      <w:bookmarkEnd w:id="8"/>
      <w:bookmarkEnd w:id="9"/>
      <w:bookmarkEnd w:id="10"/>
    </w:p>
    <w:p>
      <w:pPr>
        <w:pStyle w:val="89"/>
        <w:keepNext w:val="0"/>
        <w:keepLines w:val="0"/>
        <w:pageBreakBefore w:val="0"/>
        <w:widowControl w:val="0"/>
        <w:kinsoku/>
        <w:wordWrap/>
        <w:overflowPunct/>
        <w:topLinePunct w:val="0"/>
        <w:autoSpaceDE/>
        <w:autoSpaceDN/>
        <w:bidi w:val="0"/>
        <w:adjustRightInd w:val="0"/>
        <w:snapToGrid w:val="0"/>
        <w:spacing w:beforeLines="0" w:afterLines="0" w:line="400" w:lineRule="exact"/>
        <w:contextualSpacing/>
        <w:textAlignment w:val="auto"/>
        <w:outlineLvl w:val="2"/>
        <w:rPr>
          <w:rFonts w:hint="eastAsia" w:ascii="宋体" w:hAnsi="宋体" w:eastAsia="宋体" w:cs="宋体"/>
          <w:b/>
          <w:color w:val="000000"/>
          <w:sz w:val="21"/>
          <w:szCs w:val="21"/>
          <w:highlight w:val="none"/>
        </w:rPr>
      </w:pPr>
      <w:bookmarkStart w:id="11" w:name="_Toc3731"/>
      <w:bookmarkStart w:id="12" w:name="_Toc12256"/>
      <w:bookmarkStart w:id="13" w:name="_Toc16068"/>
      <w:r>
        <w:rPr>
          <w:rFonts w:hint="eastAsia" w:ascii="宋体" w:hAnsi="宋体" w:eastAsia="宋体" w:cs="宋体"/>
          <w:b/>
          <w:color w:val="000000"/>
          <w:sz w:val="21"/>
          <w:szCs w:val="21"/>
          <w:highlight w:val="none"/>
        </w:rPr>
        <w:t>一、服务内容</w:t>
      </w:r>
      <w:bookmarkEnd w:id="11"/>
      <w:bookmarkEnd w:id="12"/>
      <w:bookmarkEnd w:id="13"/>
    </w:p>
    <w:p>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招标人拟通过公开招标产生</w:t>
      </w:r>
      <w:r>
        <w:rPr>
          <w:rFonts w:hint="eastAsia" w:ascii="宋体" w:hAnsi="宋体" w:eastAsia="宋体" w:cs="宋体"/>
          <w:color w:val="000000"/>
          <w:sz w:val="21"/>
          <w:szCs w:val="21"/>
          <w:highlight w:val="none"/>
          <w:lang w:eastAsia="zh-CN"/>
        </w:rPr>
        <w:t>嘉兴市港区乍浦农贸海鲜城物业管理项目项目</w:t>
      </w:r>
      <w:r>
        <w:rPr>
          <w:rFonts w:hint="eastAsia" w:ascii="宋体" w:hAnsi="宋体" w:eastAsia="宋体" w:cs="宋体"/>
          <w:color w:val="000000"/>
          <w:sz w:val="21"/>
          <w:szCs w:val="21"/>
          <w:highlight w:val="none"/>
        </w:rPr>
        <w:t>中标单位1家。中标单位向</w:t>
      </w:r>
      <w:r>
        <w:rPr>
          <w:rFonts w:hint="eastAsia" w:ascii="宋体" w:hAnsi="宋体" w:eastAsia="宋体" w:cs="宋体"/>
          <w:color w:val="000000"/>
          <w:sz w:val="21"/>
          <w:szCs w:val="21"/>
          <w:highlight w:val="none"/>
          <w:lang w:eastAsia="zh-CN"/>
        </w:rPr>
        <w:t>嘉兴市港区乍浦农贸海鲜城业主委员会</w:t>
      </w:r>
      <w:r>
        <w:rPr>
          <w:rFonts w:hint="eastAsia" w:ascii="宋体" w:hAnsi="宋体" w:eastAsia="宋体" w:cs="宋体"/>
          <w:color w:val="000000"/>
          <w:sz w:val="21"/>
          <w:szCs w:val="21"/>
          <w:highlight w:val="none"/>
        </w:rPr>
        <w:t>提供相应的</w:t>
      </w:r>
      <w:r>
        <w:rPr>
          <w:rFonts w:hint="eastAsia" w:ascii="宋体" w:hAnsi="宋体" w:eastAsia="宋体" w:cs="宋体"/>
          <w:color w:val="000000"/>
          <w:sz w:val="21"/>
          <w:szCs w:val="21"/>
          <w:highlight w:val="none"/>
          <w:lang w:eastAsia="zh-CN"/>
        </w:rPr>
        <w:t>嘉兴市港区乍浦农贸海鲜城物业管理项目。</w:t>
      </w:r>
    </w:p>
    <w:p>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rPr>
      </w:pPr>
      <w:r>
        <w:rPr>
          <w:rFonts w:hint="eastAsia" w:ascii="宋体" w:hAnsi="宋体" w:eastAsia="宋体" w:cs="宋体"/>
          <w:color w:val="000000"/>
          <w:sz w:val="21"/>
          <w:szCs w:val="21"/>
          <w:highlight w:val="none"/>
          <w:lang w:eastAsia="zh-CN"/>
        </w:rPr>
        <w:t>预算金额：</w:t>
      </w:r>
      <w:r>
        <w:rPr>
          <w:rFonts w:hint="eastAsia" w:ascii="宋体" w:hAnsi="宋体" w:eastAsia="宋体" w:cs="宋体"/>
          <w:color w:val="000000"/>
          <w:sz w:val="21"/>
          <w:szCs w:val="21"/>
          <w:highlight w:val="none"/>
          <w:lang w:val="en-US" w:eastAsia="zh-CN"/>
        </w:rPr>
        <w:t>900000元</w:t>
      </w:r>
    </w:p>
    <w:p>
      <w:pPr>
        <w:spacing w:line="360" w:lineRule="auto"/>
        <w:rPr>
          <w:b/>
          <w:bCs/>
        </w:rPr>
      </w:pPr>
      <w:r>
        <w:rPr>
          <w:rFonts w:hint="eastAsia"/>
          <w:b/>
          <w:bCs/>
          <w:lang w:val="en-US" w:eastAsia="zh-CN"/>
        </w:rPr>
        <w:t>二</w:t>
      </w:r>
      <w:r>
        <w:rPr>
          <w:rFonts w:hint="eastAsia"/>
          <w:b/>
          <w:bCs/>
        </w:rPr>
        <w:t>、</w:t>
      </w:r>
      <w:r>
        <w:rPr>
          <w:rFonts w:hint="eastAsia"/>
          <w:b/>
          <w:bCs/>
          <w:lang w:val="en-US" w:eastAsia="zh-CN"/>
        </w:rPr>
        <w:t>乍浦农贸海鲜城</w:t>
      </w:r>
      <w:r>
        <w:rPr>
          <w:rFonts w:hint="eastAsia"/>
          <w:b/>
          <w:bCs/>
        </w:rPr>
        <w:t>规划建设基本情况</w:t>
      </w:r>
    </w:p>
    <w:p>
      <w:pPr>
        <w:spacing w:line="360" w:lineRule="auto"/>
        <w:ind w:firstLine="525" w:firstLineChars="250"/>
      </w:pPr>
      <w:r>
        <w:rPr>
          <w:rFonts w:hint="eastAsia"/>
        </w:rPr>
        <w:t>1、</w:t>
      </w:r>
      <w:r>
        <w:rPr>
          <w:rFonts w:hint="eastAsia"/>
          <w:lang w:val="en-US" w:eastAsia="zh-CN"/>
        </w:rPr>
        <w:t>乍浦农贸海鲜城6幢楼</w:t>
      </w:r>
      <w:r>
        <w:rPr>
          <w:rFonts w:hint="eastAsia"/>
        </w:rPr>
        <w:t>建筑面积约</w:t>
      </w:r>
      <w:r>
        <w:rPr>
          <w:rFonts w:hint="eastAsia"/>
          <w:lang w:val="en-US" w:eastAsia="zh-CN"/>
        </w:rPr>
        <w:t>33752</w:t>
      </w:r>
      <w:r>
        <w:rPr>
          <w:rFonts w:hint="eastAsia"/>
        </w:rPr>
        <w:t>平方米。</w:t>
      </w:r>
    </w:p>
    <w:p>
      <w:pPr>
        <w:spacing w:line="360" w:lineRule="auto"/>
        <w:ind w:firstLine="525" w:firstLineChars="250"/>
      </w:pPr>
      <w:r>
        <w:rPr>
          <w:rFonts w:hint="eastAsia"/>
        </w:rPr>
        <w:t>2、区域建筑的基本布局： “</w:t>
      </w:r>
      <w:r>
        <w:rPr>
          <w:rFonts w:hint="eastAsia"/>
          <w:lang w:val="en-US" w:eastAsia="zh-CN"/>
        </w:rPr>
        <w:t>乍浦农贸海鲜城</w:t>
      </w:r>
      <w:r>
        <w:rPr>
          <w:rFonts w:hint="eastAsia"/>
        </w:rPr>
        <w:t>”位于</w:t>
      </w:r>
      <w:r>
        <w:rPr>
          <w:rFonts w:hint="eastAsia"/>
          <w:lang w:val="en-US" w:eastAsia="zh-CN"/>
        </w:rPr>
        <w:t>乍浦镇外环中路225号</w:t>
      </w:r>
      <w:r>
        <w:rPr>
          <w:rFonts w:hint="eastAsia"/>
        </w:rPr>
        <w:t>，物业类型为商业用房。</w:t>
      </w:r>
    </w:p>
    <w:p>
      <w:pPr>
        <w:spacing w:line="360" w:lineRule="auto"/>
        <w:ind w:firstLine="420" w:firstLineChars="200"/>
      </w:pPr>
      <w:r>
        <w:rPr>
          <w:rFonts w:hint="eastAsia"/>
        </w:rPr>
        <w:t>3、公用设施及公共场所情况：绿地面积：绿地率</w:t>
      </w:r>
      <w:r>
        <w:rPr>
          <w:rFonts w:hint="eastAsia"/>
          <w:highlight w:val="none"/>
        </w:rPr>
        <w:t>20</w:t>
      </w:r>
      <w:r>
        <w:rPr>
          <w:rFonts w:hint="eastAsia"/>
        </w:rPr>
        <w:t>%；</w:t>
      </w:r>
    </w:p>
    <w:p>
      <w:pPr>
        <w:spacing w:line="360" w:lineRule="auto"/>
        <w:ind w:firstLine="525" w:firstLineChars="250"/>
      </w:pPr>
      <w:r>
        <w:rPr>
          <w:rFonts w:hint="eastAsia"/>
        </w:rPr>
        <w:t>4、区域的配套设施：</w:t>
      </w:r>
    </w:p>
    <w:p>
      <w:pPr>
        <w:spacing w:line="360" w:lineRule="auto"/>
        <w:ind w:firstLine="525" w:firstLineChars="250"/>
      </w:pPr>
      <w:r>
        <w:rPr>
          <w:rFonts w:hint="eastAsia"/>
        </w:rPr>
        <w:t>（1）供水：为一户一表，由业主自行</w:t>
      </w:r>
      <w:r>
        <w:rPr>
          <w:rFonts w:hint="eastAsia"/>
          <w:lang w:val="en-US" w:eastAsia="zh-CN"/>
        </w:rPr>
        <w:t>通过智能水表充值</w:t>
      </w:r>
      <w:r>
        <w:rPr>
          <w:rFonts w:hint="eastAsia"/>
        </w:rPr>
        <w:t>缴费；</w:t>
      </w:r>
    </w:p>
    <w:p>
      <w:pPr>
        <w:spacing w:line="360" w:lineRule="auto"/>
        <w:ind w:firstLine="525" w:firstLineChars="250"/>
      </w:pPr>
      <w:r>
        <w:rPr>
          <w:rFonts w:hint="eastAsia"/>
        </w:rPr>
        <w:t>（2）供电：为一户一表，由业主自行</w:t>
      </w:r>
      <w:r>
        <w:rPr>
          <w:rFonts w:hint="eastAsia"/>
          <w:lang w:val="en-US" w:eastAsia="zh-CN"/>
        </w:rPr>
        <w:t>通过智能电表充值</w:t>
      </w:r>
      <w:r>
        <w:rPr>
          <w:rFonts w:hint="eastAsia"/>
        </w:rPr>
        <w:t>缴费；公共部分单独设表，应考虑到物业管理费中去；涉及水泵及今后电梯运行费计量在由物业公司测算的物业管理费收费标准中；</w:t>
      </w:r>
    </w:p>
    <w:p>
      <w:pPr>
        <w:spacing w:line="360" w:lineRule="auto"/>
        <w:ind w:firstLine="420" w:firstLineChars="200"/>
      </w:pPr>
      <w:r>
        <w:rPr>
          <w:rFonts w:hint="eastAsia"/>
        </w:rPr>
        <w:t>（3）消防系统：按国家规范要求配套消防设备。</w:t>
      </w:r>
    </w:p>
    <w:p>
      <w:pPr>
        <w:spacing w:line="360" w:lineRule="auto"/>
      </w:pPr>
      <w:r>
        <w:rPr>
          <w:rFonts w:hint="eastAsia"/>
        </w:rPr>
        <w:t>二、</w:t>
      </w:r>
      <w:r>
        <w:rPr>
          <w:rFonts w:hint="eastAsia"/>
          <w:lang w:val="en-US" w:eastAsia="zh-CN"/>
        </w:rPr>
        <w:t>乍浦农贸海鲜</w:t>
      </w:r>
      <w:r>
        <w:rPr>
          <w:rFonts w:hint="eastAsia"/>
        </w:rPr>
        <w:t>城物业及配套设施、设备保修期限</w:t>
      </w:r>
    </w:p>
    <w:p>
      <w:pPr>
        <w:spacing w:line="360" w:lineRule="auto"/>
        <w:ind w:firstLine="525" w:firstLineChars="250"/>
      </w:pPr>
      <w:r>
        <w:rPr>
          <w:rFonts w:hint="eastAsia"/>
        </w:rPr>
        <w:t>1、物业保修期限</w:t>
      </w:r>
    </w:p>
    <w:p>
      <w:pPr>
        <w:spacing w:line="360" w:lineRule="auto"/>
        <w:ind w:firstLine="525" w:firstLineChars="250"/>
      </w:pPr>
      <w:r>
        <w:rPr>
          <w:rFonts w:hint="eastAsia"/>
        </w:rPr>
        <w:t>建设工程的保修期根据国务院279号令《建设工程质量管理条例》和《浙江省实施&lt;中华人民共和国消费者权益保护法&gt;办法（修正）》的规定执行，物业具体保修如下：</w:t>
      </w:r>
    </w:p>
    <w:p>
      <w:pPr>
        <w:spacing w:line="360" w:lineRule="auto"/>
        <w:ind w:firstLine="525" w:firstLineChars="250"/>
      </w:pPr>
      <w:r>
        <w:rPr>
          <w:rFonts w:hint="eastAsia"/>
        </w:rPr>
        <w:t>基础设施工程、房屋建筑的地基基础工程和主体结构工程，为设计文件规定的该工程的合理使用年限；</w:t>
      </w:r>
    </w:p>
    <w:p>
      <w:pPr>
        <w:spacing w:line="360" w:lineRule="auto"/>
        <w:ind w:firstLine="525" w:firstLineChars="250"/>
      </w:pPr>
      <w:r>
        <w:rPr>
          <w:rFonts w:hint="eastAsia"/>
        </w:rPr>
        <w:t>房面防水工程、有防水要求的卫生间、房间和外墙面的防渗漏，为8年；</w:t>
      </w:r>
    </w:p>
    <w:p>
      <w:pPr>
        <w:spacing w:line="360" w:lineRule="auto"/>
        <w:ind w:firstLine="525" w:firstLineChars="250"/>
      </w:pPr>
      <w:r>
        <w:rPr>
          <w:rFonts w:hint="eastAsia"/>
        </w:rPr>
        <w:t>电气管线、给排水管道、设备安装和装修工程，为2年。</w:t>
      </w:r>
    </w:p>
    <w:p>
      <w:pPr>
        <w:spacing w:line="360" w:lineRule="auto"/>
        <w:ind w:firstLine="525" w:firstLineChars="250"/>
      </w:pPr>
      <w:r>
        <w:rPr>
          <w:rFonts w:hint="eastAsia"/>
        </w:rPr>
        <w:t>其他项目的保修期限由发包方与承包方约定。（保修期起算时间为设备安装完毕经招标方工程部、监理单位、施工单位根据国家相关规定，对所安装设备进行外观、调试和运行等方面的检查检测，再取得招标方工程部、监理单位、施工单位、物业服务公司四方认同签章之日）</w:t>
      </w:r>
    </w:p>
    <w:p>
      <w:pPr>
        <w:spacing w:line="360" w:lineRule="auto"/>
        <w:ind w:firstLine="525" w:firstLineChars="250"/>
      </w:pPr>
      <w:r>
        <w:rPr>
          <w:rFonts w:hint="eastAsia"/>
        </w:rPr>
        <w:t>2、保修期限时间计算</w:t>
      </w:r>
    </w:p>
    <w:p>
      <w:pPr>
        <w:spacing w:line="360" w:lineRule="auto"/>
        <w:ind w:firstLine="525" w:firstLineChars="250"/>
      </w:pPr>
      <w:r>
        <w:rPr>
          <w:rFonts w:hint="eastAsia"/>
        </w:rPr>
        <w:t>自物业交付被拆迁人或买受人(承租人)之日起计算。</w:t>
      </w:r>
    </w:p>
    <w:p>
      <w:pPr>
        <w:spacing w:line="360" w:lineRule="auto"/>
      </w:pPr>
      <w:r>
        <w:rPr>
          <w:rFonts w:hint="eastAsia"/>
        </w:rPr>
        <w:t>三、前期物业管理内容</w:t>
      </w:r>
    </w:p>
    <w:p>
      <w:pPr>
        <w:spacing w:line="360" w:lineRule="auto"/>
        <w:ind w:firstLine="420" w:firstLineChars="200"/>
      </w:pPr>
      <w:r>
        <w:rPr>
          <w:rFonts w:hint="eastAsia"/>
        </w:rPr>
        <w:t>1、商铺部分</w:t>
      </w:r>
    </w:p>
    <w:p>
      <w:pPr>
        <w:spacing w:line="360" w:lineRule="auto"/>
        <w:ind w:firstLine="525" w:firstLineChars="250"/>
      </w:pPr>
      <w:r>
        <w:rPr>
          <w:rFonts w:hint="eastAsia"/>
        </w:rPr>
        <w:t>（1）前期物业介入顾问服务。</w:t>
      </w:r>
    </w:p>
    <w:p>
      <w:pPr>
        <w:spacing w:line="360" w:lineRule="auto"/>
        <w:ind w:firstLine="525" w:firstLineChars="250"/>
      </w:pPr>
      <w:r>
        <w:rPr>
          <w:rFonts w:hint="eastAsia"/>
        </w:rPr>
        <w:t>（2）商城的竣工验收和接管工作。</w:t>
      </w:r>
    </w:p>
    <w:p>
      <w:pPr>
        <w:spacing w:line="360" w:lineRule="auto"/>
        <w:ind w:firstLine="525" w:firstLineChars="250"/>
      </w:pPr>
      <w:r>
        <w:rPr>
          <w:rFonts w:hint="eastAsia"/>
        </w:rPr>
        <w:t>（3）商铺的管理、经营和公共配套设施的养护。</w:t>
      </w:r>
    </w:p>
    <w:p>
      <w:pPr>
        <w:spacing w:line="360" w:lineRule="auto"/>
        <w:ind w:firstLine="525" w:firstLineChars="250"/>
      </w:pPr>
      <w:r>
        <w:rPr>
          <w:rFonts w:hint="eastAsia"/>
        </w:rPr>
        <w:t>（4）商铺内公共场所的照明、消防设备、报警系统、供水系统、等的管理和养护。</w:t>
      </w:r>
    </w:p>
    <w:p>
      <w:pPr>
        <w:spacing w:line="360" w:lineRule="auto"/>
        <w:ind w:firstLine="525" w:firstLineChars="250"/>
      </w:pPr>
      <w:r>
        <w:rPr>
          <w:rFonts w:hint="eastAsia"/>
        </w:rPr>
        <w:t>（5）商铺内的服务设备、文化娱乐、体育活动场所的管理及维护养护；节能环保管理。</w:t>
      </w:r>
    </w:p>
    <w:p>
      <w:pPr>
        <w:spacing w:line="360" w:lineRule="auto"/>
        <w:ind w:firstLine="525" w:firstLineChars="250"/>
      </w:pPr>
      <w:r>
        <w:rPr>
          <w:rFonts w:hint="eastAsia"/>
        </w:rPr>
        <w:t>（6）维护商城、幢号的指示牌。</w:t>
      </w:r>
    </w:p>
    <w:p>
      <w:pPr>
        <w:spacing w:line="360" w:lineRule="auto"/>
        <w:ind w:firstLine="525" w:firstLineChars="250"/>
      </w:pPr>
      <w:r>
        <w:rPr>
          <w:rFonts w:hint="eastAsia"/>
        </w:rPr>
        <w:t>（7）商铺门口的清洁卫生和环境维护。</w:t>
      </w:r>
    </w:p>
    <w:p>
      <w:pPr>
        <w:spacing w:line="360" w:lineRule="auto"/>
        <w:ind w:firstLine="525" w:firstLineChars="250"/>
      </w:pPr>
      <w:r>
        <w:rPr>
          <w:rFonts w:hint="eastAsia"/>
        </w:rPr>
        <w:t>（8）商城内公共绿地、花草树木的养护、管理。</w:t>
      </w:r>
    </w:p>
    <w:p>
      <w:pPr>
        <w:spacing w:line="360" w:lineRule="auto"/>
        <w:ind w:firstLine="525" w:firstLineChars="250"/>
      </w:pPr>
      <w:r>
        <w:rPr>
          <w:rFonts w:hint="eastAsia"/>
        </w:rPr>
        <w:t>（9）对商场内的自行车和地上各种（包括机动和非机动）车辆的统一管理及道路养护。</w:t>
      </w:r>
    </w:p>
    <w:p>
      <w:pPr>
        <w:spacing w:line="360" w:lineRule="auto"/>
        <w:ind w:firstLine="525" w:firstLineChars="250"/>
      </w:pPr>
      <w:r>
        <w:rPr>
          <w:rFonts w:hint="eastAsia"/>
        </w:rPr>
        <w:t>（10）协助公安部门维护物业管理区域内的公共秩序，对违章违 法行为制止并及时报告。</w:t>
      </w:r>
    </w:p>
    <w:p>
      <w:pPr>
        <w:spacing w:line="360" w:lineRule="auto"/>
        <w:ind w:firstLine="525" w:firstLineChars="250"/>
      </w:pPr>
      <w:r>
        <w:rPr>
          <w:rFonts w:hint="eastAsia"/>
        </w:rPr>
        <w:t>（11）物业装饰、装修的管理服务，对商城内业主装修活动进行监督和管理。</w:t>
      </w:r>
    </w:p>
    <w:p>
      <w:pPr>
        <w:spacing w:line="360" w:lineRule="auto"/>
        <w:ind w:firstLine="525" w:firstLineChars="250"/>
      </w:pPr>
      <w:r>
        <w:rPr>
          <w:rFonts w:hint="eastAsia"/>
        </w:rPr>
        <w:t>（12）对商城内商业服务网点的物业服务与管理。</w:t>
      </w:r>
    </w:p>
    <w:p>
      <w:pPr>
        <w:spacing w:line="360" w:lineRule="auto"/>
        <w:ind w:firstLine="525" w:firstLineChars="250"/>
      </w:pPr>
      <w:r>
        <w:rPr>
          <w:rFonts w:hint="eastAsia"/>
        </w:rPr>
        <w:t>（13）组织商城内的文化活动。</w:t>
      </w:r>
    </w:p>
    <w:p>
      <w:pPr>
        <w:spacing w:line="360" w:lineRule="auto"/>
        <w:ind w:firstLine="525" w:firstLineChars="250"/>
      </w:pPr>
      <w:r>
        <w:rPr>
          <w:rFonts w:hint="eastAsia"/>
        </w:rPr>
        <w:t>（14）商铺的物业档案资料管理。</w:t>
      </w:r>
    </w:p>
    <w:p>
      <w:pPr>
        <w:spacing w:line="360" w:lineRule="auto"/>
        <w:ind w:firstLine="525" w:firstLineChars="250"/>
      </w:pPr>
      <w:r>
        <w:rPr>
          <w:rFonts w:hint="eastAsia"/>
        </w:rPr>
        <w:t>（15）其他约定项目的个性化收费服务工作。</w:t>
      </w:r>
    </w:p>
    <w:p>
      <w:pPr>
        <w:spacing w:line="360" w:lineRule="auto"/>
        <w:ind w:firstLine="525" w:firstLineChars="250"/>
      </w:pPr>
      <w:r>
        <w:rPr>
          <w:rFonts w:hint="eastAsia"/>
        </w:rPr>
        <w:t>（16）在物业服务合同终止或解除时，须将公用或未过户业主的水、电表交付给业主委员会签约的后期物业服务公司，并妥善结清相关费用。</w:t>
      </w:r>
    </w:p>
    <w:p>
      <w:pPr>
        <w:spacing w:line="360" w:lineRule="auto"/>
        <w:ind w:firstLine="525" w:firstLineChars="250"/>
      </w:pPr>
      <w:r>
        <w:rPr>
          <w:rFonts w:hint="eastAsia"/>
        </w:rPr>
        <w:t>（17）法律政策及合同规定的其他事项。</w:t>
      </w:r>
    </w:p>
    <w:p>
      <w:pPr>
        <w:spacing w:line="360" w:lineRule="auto"/>
        <w:ind w:firstLine="420" w:firstLineChars="200"/>
      </w:pPr>
      <w:r>
        <w:rPr>
          <w:rFonts w:hint="eastAsia"/>
        </w:rPr>
        <w:t>四、物业管理资金的来源和物业管理用房</w:t>
      </w:r>
    </w:p>
    <w:p>
      <w:pPr>
        <w:spacing w:line="360" w:lineRule="auto"/>
        <w:ind w:firstLine="525" w:firstLineChars="250"/>
      </w:pPr>
      <w:r>
        <w:rPr>
          <w:rFonts w:hint="eastAsia"/>
        </w:rPr>
        <w:t>1、物业维修资金</w:t>
      </w:r>
    </w:p>
    <w:p>
      <w:pPr>
        <w:spacing w:line="360" w:lineRule="auto"/>
        <w:ind w:firstLine="525" w:firstLineChars="250"/>
      </w:pPr>
      <w:r>
        <w:rPr>
          <w:rFonts w:hint="eastAsia"/>
        </w:rPr>
        <w:t xml:space="preserve">    物业维修资金按有关规定由建设单位足够代缴于物业专项维修资金账户。</w:t>
      </w:r>
    </w:p>
    <w:p>
      <w:pPr>
        <w:spacing w:line="360" w:lineRule="auto"/>
        <w:ind w:firstLine="525" w:firstLineChars="250"/>
      </w:pPr>
      <w:r>
        <w:rPr>
          <w:rFonts w:hint="eastAsia"/>
        </w:rPr>
        <w:t>物业管理用房建设单位在物业交付之前，将本项目实际确定的物业用房移交给中标单位使用。</w:t>
      </w:r>
    </w:p>
    <w:p>
      <w:pPr>
        <w:spacing w:line="360" w:lineRule="auto"/>
        <w:ind w:firstLine="525" w:firstLineChars="250"/>
      </w:pPr>
      <w:r>
        <w:rPr>
          <w:rFonts w:hint="eastAsia"/>
        </w:rPr>
        <w:t>2、物业管理收费标准</w:t>
      </w:r>
    </w:p>
    <w:p>
      <w:pPr>
        <w:spacing w:line="360" w:lineRule="auto"/>
        <w:ind w:firstLine="525" w:firstLineChars="250"/>
      </w:pPr>
      <w:r>
        <w:rPr>
          <w:rFonts w:hint="eastAsia"/>
        </w:rPr>
        <w:t>“</w:t>
      </w:r>
      <w:r>
        <w:rPr>
          <w:rFonts w:hint="eastAsia"/>
          <w:lang w:val="en-US" w:eastAsia="zh-CN"/>
        </w:rPr>
        <w:t>乍浦农贸海鲜城</w:t>
      </w:r>
      <w:r>
        <w:rPr>
          <w:rFonts w:hint="eastAsia"/>
        </w:rPr>
        <w:t>”为商业项目，物业服务收费参照</w:t>
      </w:r>
      <w:r>
        <w:rPr>
          <w:rFonts w:hint="eastAsia"/>
          <w:lang w:eastAsia="zh-CN"/>
        </w:rPr>
        <w:t>：</w:t>
      </w:r>
      <w:r>
        <w:rPr>
          <w:rFonts w:hint="eastAsia"/>
          <w:lang w:val="en-US" w:eastAsia="zh-CN"/>
        </w:rPr>
        <w:t>物业费1.8</w:t>
      </w:r>
      <w:r>
        <w:rPr>
          <w:rFonts w:hint="eastAsia"/>
        </w:rPr>
        <w:t>元/㎡/月</w:t>
      </w:r>
      <w:r>
        <w:rPr>
          <w:rFonts w:hint="eastAsia"/>
          <w:lang w:eastAsia="zh-CN"/>
        </w:rPr>
        <w:t>，</w:t>
      </w:r>
      <w:r>
        <w:rPr>
          <w:rFonts w:hint="eastAsia"/>
          <w:lang w:val="en-US" w:eastAsia="zh-CN"/>
        </w:rPr>
        <w:t>卫生费365元/年/户</w:t>
      </w:r>
      <w:r>
        <w:rPr>
          <w:rFonts w:hint="eastAsia"/>
        </w:rPr>
        <w:t>。</w:t>
      </w:r>
    </w:p>
    <w:p>
      <w:pPr>
        <w:tabs>
          <w:tab w:val="left" w:pos="720"/>
        </w:tabs>
        <w:spacing w:line="360" w:lineRule="auto"/>
        <w:ind w:firstLine="525" w:firstLineChars="250"/>
      </w:pPr>
      <w:r>
        <w:rPr>
          <w:rFonts w:hint="eastAsia"/>
        </w:rPr>
        <w:t>（1）水、电、有线电视、宽带等与入住相关的费用按照平湖市相关管理规定执行。</w:t>
      </w:r>
    </w:p>
    <w:p>
      <w:pPr>
        <w:tabs>
          <w:tab w:val="left" w:pos="720"/>
        </w:tabs>
        <w:spacing w:line="360" w:lineRule="auto"/>
        <w:ind w:firstLine="525" w:firstLineChars="250"/>
      </w:pPr>
      <w:r>
        <w:rPr>
          <w:rFonts w:hint="eastAsia"/>
        </w:rPr>
        <w:t>（2）汽车停泊服务费标准按政府指导价执行。</w:t>
      </w:r>
    </w:p>
    <w:p>
      <w:pPr>
        <w:tabs>
          <w:tab w:val="left" w:pos="720"/>
        </w:tabs>
        <w:spacing w:line="360" w:lineRule="auto"/>
        <w:ind w:firstLine="525" w:firstLineChars="250"/>
      </w:pPr>
      <w:r>
        <w:rPr>
          <w:rFonts w:hint="eastAsia"/>
        </w:rPr>
        <w:t>（3）装修押金收费标准为1000元/户，由住户自行缴纳。垃圾清运费200元/户，由物业服务企业按交房数与建设单位结算。</w:t>
      </w:r>
    </w:p>
    <w:p>
      <w:pPr>
        <w:tabs>
          <w:tab w:val="left" w:pos="720"/>
        </w:tabs>
        <w:spacing w:line="360" w:lineRule="auto"/>
        <w:ind w:firstLine="525" w:firstLineChars="250"/>
      </w:pPr>
      <w:r>
        <w:rPr>
          <w:rFonts w:hint="eastAsia"/>
        </w:rPr>
        <w:t>（4）空置单位物业管理收费标准</w:t>
      </w:r>
    </w:p>
    <w:p>
      <w:pPr>
        <w:spacing w:line="360" w:lineRule="auto"/>
        <w:ind w:firstLine="420" w:firstLineChars="200"/>
      </w:pPr>
      <w:r>
        <w:rPr>
          <w:rFonts w:hint="eastAsia"/>
        </w:rPr>
        <w:t xml:space="preserve"> （5） “</w:t>
      </w:r>
      <w:r>
        <w:rPr>
          <w:rFonts w:hint="eastAsia"/>
          <w:lang w:val="en-US" w:eastAsia="zh-CN"/>
        </w:rPr>
        <w:t>乍浦农贸海鲜城</w:t>
      </w:r>
      <w:r>
        <w:rPr>
          <w:rFonts w:hint="eastAsia"/>
        </w:rPr>
        <w:t>”未安置、未售出的空置房或因开发建设单位原因未按时交给买受人的物业，根据相关规定操作。</w:t>
      </w:r>
    </w:p>
    <w:p>
      <w:pPr>
        <w:spacing w:line="360" w:lineRule="auto"/>
        <w:ind w:firstLine="420" w:firstLineChars="200"/>
      </w:pPr>
      <w:r>
        <w:rPr>
          <w:rFonts w:hint="eastAsia"/>
        </w:rPr>
        <w:t>（6）所有物业费统一按中标价进行收取。</w:t>
      </w:r>
    </w:p>
    <w:p>
      <w:pPr>
        <w:spacing w:line="360" w:lineRule="auto"/>
        <w:ind w:firstLine="525" w:firstLineChars="250"/>
      </w:pPr>
      <w:r>
        <w:rPr>
          <w:rFonts w:hint="eastAsia"/>
        </w:rPr>
        <w:t>3、其他有偿服务项目</w:t>
      </w:r>
    </w:p>
    <w:p>
      <w:pPr>
        <w:spacing w:line="360" w:lineRule="auto"/>
        <w:ind w:firstLine="420" w:firstLineChars="200"/>
      </w:pPr>
      <w:r>
        <w:rPr>
          <w:rFonts w:hint="eastAsia"/>
        </w:rPr>
        <w:t xml:space="preserve"> 有偿服务的具体收费标准将在物业入住时，由中标单位根据设施配置和经营状况确定和调整。</w:t>
      </w:r>
    </w:p>
    <w:p>
      <w:pPr>
        <w:spacing w:line="360" w:lineRule="auto"/>
        <w:ind w:firstLine="420" w:firstLineChars="200"/>
      </w:pPr>
      <w:r>
        <w:rPr>
          <w:rFonts w:hint="eastAsia"/>
        </w:rPr>
        <w:t>4、有关说明</w:t>
      </w:r>
    </w:p>
    <w:p>
      <w:pPr>
        <w:spacing w:line="360" w:lineRule="auto"/>
        <w:ind w:firstLine="525" w:firstLineChars="250"/>
      </w:pPr>
      <w:r>
        <w:rPr>
          <w:rFonts w:hint="eastAsia"/>
        </w:rPr>
        <w:t>中标单位应根据国家、省、市的有关法律和规章以及与招标单位签订的前期物业服务合同对“</w:t>
      </w:r>
      <w:r>
        <w:rPr>
          <w:rFonts w:hint="eastAsia"/>
          <w:lang w:val="en-US" w:eastAsia="zh-CN"/>
        </w:rPr>
        <w:t>乍浦农贸海鲜城</w:t>
      </w:r>
      <w:r>
        <w:rPr>
          <w:rFonts w:hint="eastAsia"/>
        </w:rPr>
        <w:t>”实行统一管理，综合服务，自主经营，自负盈亏。</w:t>
      </w:r>
    </w:p>
    <w:p>
      <w:pPr>
        <w:spacing w:line="360" w:lineRule="auto"/>
        <w:ind w:firstLine="525" w:firstLineChars="250"/>
      </w:pPr>
      <w:r>
        <w:rPr>
          <w:rFonts w:hint="eastAsia"/>
        </w:rPr>
        <w:t>招标单位委托管理的期限从前期物业服务合同签定起至“</w:t>
      </w:r>
      <w:r>
        <w:rPr>
          <w:rFonts w:hint="eastAsia"/>
          <w:lang w:val="en-US" w:eastAsia="zh-CN"/>
        </w:rPr>
        <w:t>乍浦农贸海鲜城</w:t>
      </w:r>
      <w:r>
        <w:rPr>
          <w:rFonts w:hint="eastAsia"/>
        </w:rPr>
        <w:t>”业主委员会成立并与后期物业服务公司签定物业管理委托服务合同之日止。业主委员会成立后，由其视中标单位工作服务业绩状况决定续聘或解聘。</w:t>
      </w:r>
    </w:p>
    <w:p>
      <w:pPr>
        <w:spacing w:line="360" w:lineRule="auto"/>
        <w:ind w:firstLine="525" w:firstLineChars="250"/>
      </w:pPr>
      <w:r>
        <w:rPr>
          <w:rFonts w:hint="eastAsia"/>
        </w:rPr>
        <w:t>违反招标文件规定及在投标过程中违约违纪，或以任何方法采取不正当竞争手段的，一经查实按规定给予处罚，并取消本次投标资格，已经中标的终止委托管理合同，一切后果由责任者自负。</w:t>
      </w:r>
    </w:p>
    <w:p>
      <w:pPr>
        <w:spacing w:line="360" w:lineRule="auto"/>
      </w:pPr>
      <w:r>
        <w:rPr>
          <w:rFonts w:hint="eastAsia"/>
        </w:rPr>
        <w:t>五、相关标准</w:t>
      </w:r>
    </w:p>
    <w:p>
      <w:pPr>
        <w:spacing w:line="360" w:lineRule="auto"/>
        <w:ind w:firstLine="525" w:firstLineChars="250"/>
      </w:pPr>
      <w:r>
        <w:rPr>
          <w:rFonts w:hint="eastAsia"/>
        </w:rPr>
        <w:t>国务院《物业管理条例》、《建设部前期物业管理招标投标管理暂行办法》、等国家及省市有关物业管理的政策与法规。</w:t>
      </w:r>
    </w:p>
    <w:p>
      <w:pPr>
        <w:spacing w:line="360" w:lineRule="auto"/>
        <w:ind w:firstLine="525" w:firstLineChars="250"/>
      </w:pPr>
      <w:r>
        <w:rPr>
          <w:rFonts w:hint="eastAsia"/>
        </w:rPr>
        <w:t>“</w:t>
      </w:r>
      <w:r>
        <w:rPr>
          <w:rFonts w:hint="eastAsia"/>
          <w:lang w:val="en-US" w:eastAsia="zh-CN"/>
        </w:rPr>
        <w:t>乍浦农贸海鲜城</w:t>
      </w:r>
      <w:r>
        <w:rPr>
          <w:rFonts w:hint="eastAsia"/>
        </w:rPr>
        <w:t>”物业管理服务质量：要求按《前期物业服务合同》的约定执行。中标单位投标书中有关指标和内容超出上述标准或有关规定的，以投标书为准。</w:t>
      </w:r>
    </w:p>
    <w:p>
      <w:pPr>
        <w:spacing w:line="360" w:lineRule="auto"/>
      </w:pPr>
      <w:r>
        <w:rPr>
          <w:rFonts w:hint="eastAsia"/>
        </w:rPr>
        <w:t>六、其他</w:t>
      </w:r>
    </w:p>
    <w:p>
      <w:pPr>
        <w:spacing w:line="360" w:lineRule="auto"/>
        <w:ind w:firstLine="420"/>
      </w:pPr>
      <w:r>
        <w:rPr>
          <w:rFonts w:hint="eastAsia"/>
        </w:rPr>
        <w:t>1、安控室必须配备24小时的值班人员。</w:t>
      </w:r>
    </w:p>
    <w:p>
      <w:pPr>
        <w:spacing w:line="360" w:lineRule="auto"/>
        <w:ind w:firstLine="420"/>
      </w:pPr>
      <w:r>
        <w:rPr>
          <w:rFonts w:hint="eastAsia"/>
        </w:rPr>
        <w:t>2、必须配备1名及以上具有消控证书的人员。</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6、市民如厕完毕离开后，要及时打扫厕位，冲洗大、小便器，确保座便器、厕位地面干净干燥、无积存，无尿碱。</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7、公厕内各类设施、设备：门窗、照明、水龙头、座便器、干手器</w:t>
      </w:r>
      <w:r>
        <w:rPr>
          <w:rFonts w:hint="eastAsia" w:ascii="宋体" w:hAnsi="宋体" w:cs="宋体"/>
          <w:color w:val="auto"/>
          <w:kern w:val="0"/>
          <w:sz w:val="21"/>
          <w:szCs w:val="21"/>
        </w:rPr>
        <w:t>、清洗设备、管道</w:t>
      </w:r>
      <w:r>
        <w:rPr>
          <w:rFonts w:hint="eastAsia" w:ascii="宋体" w:hAnsi="宋体" w:cs="宋体"/>
          <w:kern w:val="0"/>
          <w:sz w:val="21"/>
          <w:szCs w:val="21"/>
        </w:rPr>
        <w:t>等要保持完好无损，正常使用，损坏及时修复。</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8、</w:t>
      </w:r>
      <w:r>
        <w:rPr>
          <w:rFonts w:hint="eastAsia" w:ascii="宋体" w:hAnsi="宋体" w:cs="宋体"/>
          <w:color w:val="000000"/>
          <w:kern w:val="0"/>
          <w:sz w:val="21"/>
          <w:szCs w:val="21"/>
        </w:rPr>
        <w:t>公厕内用水、用电系统应正常启用。做好用水、用电安全工作，严禁私拉、外接电线、水管，</w:t>
      </w:r>
      <w:r>
        <w:rPr>
          <w:rFonts w:hint="eastAsia" w:ascii="宋体" w:hAnsi="宋体" w:cs="宋体"/>
          <w:kern w:val="0"/>
          <w:sz w:val="21"/>
          <w:szCs w:val="21"/>
        </w:rPr>
        <w:t>低碳节能，节约用水，用电</w:t>
      </w:r>
      <w:r>
        <w:rPr>
          <w:rFonts w:hint="eastAsia" w:ascii="宋体" w:hAnsi="宋体" w:cs="宋体"/>
          <w:color w:val="000000"/>
          <w:kern w:val="0"/>
          <w:sz w:val="21"/>
          <w:szCs w:val="21"/>
        </w:rPr>
        <w:t>。</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9、</w:t>
      </w:r>
      <w:r>
        <w:rPr>
          <w:rFonts w:hint="eastAsia" w:ascii="宋体" w:hAnsi="宋体" w:cs="宋体"/>
          <w:color w:val="000000"/>
          <w:kern w:val="0"/>
          <w:sz w:val="21"/>
          <w:szCs w:val="21"/>
        </w:rPr>
        <w:t>公厕内</w:t>
      </w:r>
      <w:r>
        <w:rPr>
          <w:rFonts w:hint="eastAsia" w:ascii="宋体" w:hAnsi="宋体" w:cs="宋体"/>
          <w:kern w:val="0"/>
          <w:sz w:val="21"/>
          <w:szCs w:val="21"/>
        </w:rPr>
        <w:t>禁止使用明火，禁止使用大功率电器设备。</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10、</w:t>
      </w:r>
      <w:r>
        <w:rPr>
          <w:rFonts w:hint="eastAsia" w:ascii="宋体" w:hAnsi="宋体"/>
          <w:sz w:val="21"/>
          <w:szCs w:val="21"/>
        </w:rPr>
        <w:t>公共厕所内的地面应保持干燥、雨天应铺设防滑垫，防滑垫规格统一，无破损。</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11、</w:t>
      </w:r>
      <w:r>
        <w:rPr>
          <w:rFonts w:hint="eastAsia" w:ascii="宋体" w:hAnsi="宋体"/>
          <w:sz w:val="21"/>
          <w:szCs w:val="21"/>
        </w:rPr>
        <w:t>公共厕所内采光和通风应良好，</w:t>
      </w:r>
      <w:r>
        <w:rPr>
          <w:rFonts w:hint="eastAsia" w:ascii="宋体" w:hAnsi="宋体" w:cs="宋体"/>
          <w:kern w:val="0"/>
          <w:sz w:val="21"/>
          <w:szCs w:val="21"/>
        </w:rPr>
        <w:t>开窗通风，确保空气清新。</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12、纸篓、垃圾桶经常清理，塑料袋及时更换，垃圾要日产日清。</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13、公厕外绿化带经常打扫，保持整洁，</w:t>
      </w:r>
      <w:r>
        <w:rPr>
          <w:rFonts w:hint="eastAsia" w:ascii="宋体" w:hAnsi="宋体"/>
          <w:sz w:val="21"/>
          <w:szCs w:val="21"/>
        </w:rPr>
        <w:t>公共厕所外墙周围范围内保持环境卫生整洁，无垃圾、粪便、污水、无污迹、无渣土，无蚊蝇孳生地。</w:t>
      </w:r>
    </w:p>
    <w:p>
      <w:pPr>
        <w:widowControl w:val="0"/>
        <w:numPr>
          <w:ilvl w:val="0"/>
          <w:numId w:val="0"/>
        </w:numPr>
        <w:spacing w:before="120"/>
        <w:jc w:val="left"/>
        <w:rPr>
          <w:rFonts w:hint="eastAsia" w:ascii="宋体" w:hAnsi="宋体" w:eastAsia="宋体" w:cs="宋体"/>
          <w:color w:val="000000"/>
          <w:sz w:val="21"/>
          <w:szCs w:val="21"/>
          <w:highlight w:val="none"/>
          <w:lang w:val="en-US" w:eastAsia="zh-CN"/>
        </w:rPr>
      </w:pPr>
    </w:p>
    <w:p>
      <w:pPr>
        <w:widowControl w:val="0"/>
        <w:numPr>
          <w:ilvl w:val="0"/>
          <w:numId w:val="0"/>
        </w:numPr>
        <w:spacing w:before="12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商业物业管理服务规范</w:t>
      </w:r>
    </w:p>
    <w:p>
      <w:pPr>
        <w:widowControl w:val="0"/>
        <w:numPr>
          <w:ilvl w:val="0"/>
          <w:numId w:val="0"/>
        </w:numPr>
        <w:spacing w:before="120"/>
        <w:jc w:val="left"/>
        <w:rPr>
          <w:rFonts w:hint="eastAsia" w:ascii="宋体" w:hAnsi="宋体" w:eastAsia="宋体" w:cs="宋体"/>
          <w:color w:val="000000"/>
          <w:sz w:val="21"/>
          <w:szCs w:val="21"/>
          <w:highlight w:val="none"/>
          <w:lang w:val="en-US" w:eastAsia="zh-CN"/>
        </w:rPr>
      </w:pPr>
    </w:p>
    <w:p>
      <w:pPr>
        <w:pStyle w:val="83"/>
        <w:numPr>
          <w:ilvl w:val="1"/>
          <w:numId w:val="3"/>
        </w:numPr>
        <w:spacing w:before="156" w:after="156" w:line="360" w:lineRule="auto"/>
        <w:ind w:left="2"/>
        <w:outlineLvl w:val="0"/>
        <w:rPr>
          <w:b/>
          <w:color w:val="000000"/>
        </w:rPr>
      </w:pPr>
      <w:bookmarkStart w:id="14" w:name="_Toc519265258"/>
      <w:bookmarkStart w:id="15" w:name="_Toc306196582"/>
      <w:r>
        <w:rPr>
          <w:rFonts w:hint="eastAsia"/>
          <w:b/>
          <w:color w:val="000000"/>
        </w:rPr>
        <w:t>基础管理</w:t>
      </w:r>
      <w:bookmarkEnd w:id="14"/>
      <w:bookmarkEnd w:id="15"/>
    </w:p>
    <w:p>
      <w:pPr>
        <w:pStyle w:val="103"/>
        <w:numPr>
          <w:ilvl w:val="2"/>
          <w:numId w:val="3"/>
        </w:numPr>
        <w:spacing w:line="360" w:lineRule="auto"/>
        <w:outlineLvl w:val="1"/>
        <w:rPr>
          <w:b/>
        </w:rPr>
      </w:pPr>
      <w:bookmarkStart w:id="16" w:name="_Toc519265259"/>
      <w:bookmarkStart w:id="17" w:name="_Toc306196583"/>
      <w:r>
        <w:rPr>
          <w:rFonts w:hint="eastAsia"/>
          <w:b/>
        </w:rPr>
        <w:t>物业服务人员</w:t>
      </w:r>
      <w:bookmarkEnd w:id="16"/>
      <w:bookmarkEnd w:id="17"/>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物业管理服务从业人员取得职业资格证书或者岗位证书，专业操作人员须持证上岗。</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物业管理服务人员统一着装、佩戴标志，仪表仪容端庄整洁，举止大方，行为规范。</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物业管理服务人员待客主动、热情、专业，使用标准服务礼貌用语。</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在办公服务区域张贴管理服务人员架构图（姓名、照片、职位）。</w:t>
      </w:r>
    </w:p>
    <w:p>
      <w:pPr>
        <w:pStyle w:val="103"/>
        <w:numPr>
          <w:ilvl w:val="2"/>
          <w:numId w:val="3"/>
        </w:numPr>
        <w:spacing w:line="360" w:lineRule="auto"/>
        <w:outlineLvl w:val="1"/>
        <w:rPr>
          <w:b/>
        </w:rPr>
      </w:pPr>
      <w:bookmarkStart w:id="18" w:name="_Toc519265260"/>
      <w:bookmarkStart w:id="19" w:name="_Toc306196584"/>
      <w:r>
        <w:rPr>
          <w:rFonts w:hint="eastAsia"/>
          <w:b/>
        </w:rPr>
        <w:t>物业档案管理</w:t>
      </w:r>
      <w:bookmarkEnd w:id="18"/>
      <w:bookmarkEnd w:id="19"/>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建立完善的物业管理档案（包括:物业权属资料；物业竣工验收资料、设施设备管理资料、业主/使用人资料、物业租赁资料、装修管理资料、安全生产资料、日常管理资料等）。</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规范保管和移交物业管理所需资料。</w:t>
      </w:r>
    </w:p>
    <w:p>
      <w:pPr>
        <w:pStyle w:val="103"/>
        <w:numPr>
          <w:ilvl w:val="2"/>
          <w:numId w:val="3"/>
        </w:numPr>
        <w:spacing w:line="360" w:lineRule="auto"/>
        <w:outlineLvl w:val="1"/>
        <w:rPr>
          <w:b/>
        </w:rPr>
      </w:pPr>
      <w:bookmarkStart w:id="20" w:name="_Toc519265261"/>
      <w:bookmarkStart w:id="21" w:name="_Toc306196585"/>
      <w:r>
        <w:rPr>
          <w:rFonts w:hint="eastAsia"/>
          <w:b/>
        </w:rPr>
        <w:t>制度建设</w:t>
      </w:r>
      <w:bookmarkEnd w:id="20"/>
      <w:bookmarkEnd w:id="21"/>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物业服务企业必须具有独立的法人资格，并依法取得物业服务资质。</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服务与被服务双方签订规范的物业服务合同，双方权利义务关系明确。</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根据物业特点制定完善的物业管理方案和工作流程。</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制定完备的内部管理制度，并有具体的落实措施和考核办法。内容包括：</w:t>
      </w:r>
    </w:p>
    <w:p>
      <w:pPr>
        <w:pStyle w:val="94"/>
        <w:numPr>
          <w:ilvl w:val="0"/>
          <w:numId w:val="4"/>
        </w:numPr>
        <w:tabs>
          <w:tab w:val="left" w:pos="854"/>
          <w:tab w:val="left" w:pos="1035"/>
          <w:tab w:val="left" w:pos="1665"/>
          <w:tab w:val="clear" w:pos="1140"/>
        </w:tabs>
        <w:spacing w:line="360" w:lineRule="auto"/>
      </w:pPr>
      <w:r>
        <w:rPr>
          <w:rFonts w:hint="eastAsia"/>
        </w:rPr>
        <w:t>质量管理制度；</w:t>
      </w:r>
    </w:p>
    <w:p>
      <w:pPr>
        <w:pStyle w:val="94"/>
        <w:numPr>
          <w:ilvl w:val="0"/>
          <w:numId w:val="4"/>
        </w:numPr>
        <w:tabs>
          <w:tab w:val="left" w:pos="854"/>
          <w:tab w:val="left" w:pos="1035"/>
          <w:tab w:val="left" w:pos="1665"/>
          <w:tab w:val="clear" w:pos="1140"/>
        </w:tabs>
        <w:spacing w:line="360" w:lineRule="auto"/>
      </w:pPr>
      <w:r>
        <w:rPr>
          <w:rFonts w:hint="eastAsia"/>
        </w:rPr>
        <w:t>岗位职责制度；</w:t>
      </w:r>
    </w:p>
    <w:p>
      <w:pPr>
        <w:pStyle w:val="94"/>
        <w:numPr>
          <w:ilvl w:val="0"/>
          <w:numId w:val="4"/>
        </w:numPr>
        <w:tabs>
          <w:tab w:val="left" w:pos="854"/>
          <w:tab w:val="left" w:pos="1035"/>
          <w:tab w:val="left" w:pos="1665"/>
          <w:tab w:val="clear" w:pos="1140"/>
        </w:tabs>
        <w:spacing w:line="360" w:lineRule="auto"/>
      </w:pPr>
      <w:r>
        <w:rPr>
          <w:rFonts w:hint="eastAsia"/>
        </w:rPr>
        <w:t>财务管理制度；</w:t>
      </w:r>
    </w:p>
    <w:p>
      <w:pPr>
        <w:pStyle w:val="94"/>
        <w:numPr>
          <w:ilvl w:val="0"/>
          <w:numId w:val="4"/>
        </w:numPr>
        <w:tabs>
          <w:tab w:val="left" w:pos="854"/>
          <w:tab w:val="left" w:pos="1035"/>
          <w:tab w:val="left" w:pos="1665"/>
          <w:tab w:val="clear" w:pos="1140"/>
        </w:tabs>
        <w:spacing w:line="360" w:lineRule="auto"/>
      </w:pPr>
      <w:r>
        <w:rPr>
          <w:rFonts w:hint="eastAsia"/>
        </w:rPr>
        <w:t>绩效管理制度；</w:t>
      </w:r>
    </w:p>
    <w:p>
      <w:pPr>
        <w:pStyle w:val="94"/>
        <w:numPr>
          <w:ilvl w:val="0"/>
          <w:numId w:val="4"/>
        </w:numPr>
        <w:tabs>
          <w:tab w:val="left" w:pos="854"/>
          <w:tab w:val="left" w:pos="1035"/>
          <w:tab w:val="left" w:pos="1665"/>
          <w:tab w:val="clear" w:pos="1140"/>
        </w:tabs>
        <w:spacing w:line="360" w:lineRule="auto"/>
      </w:pPr>
      <w:r>
        <w:rPr>
          <w:rFonts w:hint="eastAsia"/>
        </w:rPr>
        <w:t>员工培训制度；</w:t>
      </w:r>
    </w:p>
    <w:p>
      <w:pPr>
        <w:pStyle w:val="94"/>
        <w:numPr>
          <w:ilvl w:val="0"/>
          <w:numId w:val="4"/>
        </w:numPr>
        <w:tabs>
          <w:tab w:val="left" w:pos="854"/>
          <w:tab w:val="left" w:pos="1035"/>
          <w:tab w:val="left" w:pos="1665"/>
          <w:tab w:val="clear" w:pos="1140"/>
        </w:tabs>
        <w:spacing w:line="360" w:lineRule="auto"/>
      </w:pPr>
      <w:r>
        <w:rPr>
          <w:rFonts w:hint="eastAsia"/>
        </w:rPr>
        <w:t>安全管理制度；</w:t>
      </w:r>
    </w:p>
    <w:p>
      <w:pPr>
        <w:pStyle w:val="94"/>
        <w:numPr>
          <w:ilvl w:val="0"/>
          <w:numId w:val="4"/>
        </w:numPr>
        <w:tabs>
          <w:tab w:val="left" w:pos="854"/>
          <w:tab w:val="left" w:pos="1035"/>
          <w:tab w:val="left" w:pos="1665"/>
          <w:tab w:val="clear" w:pos="1140"/>
        </w:tabs>
        <w:spacing w:line="360" w:lineRule="auto"/>
      </w:pPr>
      <w:r>
        <w:rPr>
          <w:rFonts w:hint="eastAsia"/>
        </w:rPr>
        <w:t>档案管理制度；</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按国家有关规定和合同约定规范使用专项维修资金。</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按照国家有关规定或合同约定公布物业服务费用的收支情况。</w:t>
      </w:r>
    </w:p>
    <w:p>
      <w:pPr>
        <w:pStyle w:val="83"/>
        <w:numPr>
          <w:ilvl w:val="1"/>
          <w:numId w:val="3"/>
        </w:numPr>
        <w:spacing w:before="156" w:after="156" w:line="360" w:lineRule="auto"/>
        <w:ind w:left="2"/>
        <w:outlineLvl w:val="0"/>
        <w:rPr>
          <w:b/>
          <w:color w:val="000000"/>
        </w:rPr>
      </w:pPr>
      <w:bookmarkStart w:id="22" w:name="_Toc519265262"/>
      <w:bookmarkStart w:id="23" w:name="_Toc306196586"/>
      <w:r>
        <w:rPr>
          <w:rFonts w:hint="eastAsia"/>
          <w:b/>
          <w:color w:val="000000"/>
        </w:rPr>
        <w:t>客户服务</w:t>
      </w:r>
      <w:bookmarkEnd w:id="22"/>
      <w:bookmarkEnd w:id="23"/>
    </w:p>
    <w:p>
      <w:pPr>
        <w:pStyle w:val="103"/>
        <w:numPr>
          <w:ilvl w:val="2"/>
          <w:numId w:val="3"/>
        </w:numPr>
        <w:spacing w:line="360" w:lineRule="auto"/>
        <w:outlineLvl w:val="1"/>
        <w:rPr>
          <w:b/>
        </w:rPr>
      </w:pPr>
      <w:bookmarkStart w:id="24" w:name="_Toc519265263"/>
      <w:bookmarkStart w:id="25" w:name="_Toc306196587"/>
      <w:r>
        <w:rPr>
          <w:rFonts w:hint="eastAsia"/>
          <w:b/>
        </w:rPr>
        <w:t>进驻和离场</w:t>
      </w:r>
      <w:bookmarkEnd w:id="24"/>
      <w:bookmarkEnd w:id="25"/>
    </w:p>
    <w:p>
      <w:pPr>
        <w:pStyle w:val="104"/>
        <w:tabs>
          <w:tab w:val="clear" w:pos="1680"/>
        </w:tabs>
        <w:spacing w:line="360" w:lineRule="auto"/>
        <w:ind w:left="0" w:firstLine="0"/>
        <w:outlineLvl w:val="9"/>
      </w:pPr>
      <w:r>
        <w:rPr>
          <w:rFonts w:hint="eastAsia" w:ascii="宋体" w:hAnsi="宋体" w:eastAsia="宋体"/>
        </w:rPr>
        <w:t>商户进驻时，服务人员应按规定程序及时受理：</w:t>
      </w:r>
    </w:p>
    <w:p>
      <w:pPr>
        <w:pStyle w:val="94"/>
        <w:numPr>
          <w:ilvl w:val="0"/>
          <w:numId w:val="4"/>
        </w:numPr>
        <w:tabs>
          <w:tab w:val="left" w:pos="854"/>
          <w:tab w:val="left" w:pos="1035"/>
          <w:tab w:val="left" w:pos="1665"/>
          <w:tab w:val="clear" w:pos="1140"/>
        </w:tabs>
        <w:spacing w:line="360" w:lineRule="auto"/>
      </w:pPr>
      <w:r>
        <w:rPr>
          <w:rFonts w:hint="eastAsia"/>
        </w:rPr>
        <w:t>结清前期物业管理费用。</w:t>
      </w:r>
    </w:p>
    <w:p>
      <w:pPr>
        <w:pStyle w:val="94"/>
        <w:numPr>
          <w:ilvl w:val="0"/>
          <w:numId w:val="4"/>
        </w:numPr>
        <w:tabs>
          <w:tab w:val="left" w:pos="854"/>
          <w:tab w:val="left" w:pos="1035"/>
          <w:tab w:val="left" w:pos="1665"/>
          <w:tab w:val="clear" w:pos="1140"/>
        </w:tabs>
        <w:spacing w:line="360" w:lineRule="auto"/>
      </w:pPr>
      <w:r>
        <w:rPr>
          <w:rFonts w:hint="eastAsia"/>
        </w:rPr>
        <w:t>提供服务手册，指引商户填写和提供进场资料，讲解商场管理规章，并建立商户档案。</w:t>
      </w:r>
    </w:p>
    <w:p>
      <w:pPr>
        <w:pStyle w:val="94"/>
        <w:numPr>
          <w:ilvl w:val="0"/>
          <w:numId w:val="4"/>
        </w:numPr>
        <w:tabs>
          <w:tab w:val="left" w:pos="854"/>
          <w:tab w:val="left" w:pos="1035"/>
          <w:tab w:val="left" w:pos="1665"/>
          <w:tab w:val="clear" w:pos="1140"/>
        </w:tabs>
        <w:spacing w:line="360" w:lineRule="auto"/>
      </w:pPr>
      <w:r>
        <w:rPr>
          <w:rFonts w:hint="eastAsia"/>
        </w:rPr>
        <w:t>提供水电气空调等服务，与商户确认有关读数。</w:t>
      </w:r>
    </w:p>
    <w:p>
      <w:pPr>
        <w:pStyle w:val="94"/>
        <w:numPr>
          <w:ilvl w:val="0"/>
          <w:numId w:val="4"/>
        </w:numPr>
        <w:tabs>
          <w:tab w:val="left" w:pos="854"/>
          <w:tab w:val="left" w:pos="1035"/>
          <w:tab w:val="left" w:pos="1665"/>
          <w:tab w:val="clear" w:pos="1140"/>
        </w:tabs>
        <w:spacing w:line="360" w:lineRule="auto"/>
      </w:pPr>
      <w:r>
        <w:rPr>
          <w:rFonts w:hint="eastAsia"/>
        </w:rPr>
        <w:t>门匙交收。</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商户离场时，服务人员应按规定程序及时受理：</w:t>
      </w:r>
    </w:p>
    <w:p>
      <w:pPr>
        <w:pStyle w:val="94"/>
        <w:numPr>
          <w:ilvl w:val="0"/>
          <w:numId w:val="4"/>
        </w:numPr>
        <w:tabs>
          <w:tab w:val="left" w:pos="854"/>
          <w:tab w:val="left" w:pos="1035"/>
          <w:tab w:val="left" w:pos="1665"/>
          <w:tab w:val="clear" w:pos="1140"/>
        </w:tabs>
        <w:spacing w:line="360" w:lineRule="auto"/>
      </w:pPr>
      <w:r>
        <w:rPr>
          <w:rFonts w:hint="eastAsia"/>
        </w:rPr>
        <w:t>结算各项物业管理费用和水电气等费用。</w:t>
      </w:r>
    </w:p>
    <w:p>
      <w:pPr>
        <w:pStyle w:val="94"/>
        <w:numPr>
          <w:ilvl w:val="0"/>
          <w:numId w:val="4"/>
        </w:numPr>
        <w:tabs>
          <w:tab w:val="left" w:pos="854"/>
          <w:tab w:val="left" w:pos="1035"/>
          <w:tab w:val="left" w:pos="1665"/>
          <w:tab w:val="clear" w:pos="1140"/>
        </w:tabs>
        <w:spacing w:line="360" w:lineRule="auto"/>
      </w:pPr>
      <w:r>
        <w:rPr>
          <w:rFonts w:hint="eastAsia"/>
        </w:rPr>
        <w:t>指引商户填写撤场资料。</w:t>
      </w:r>
    </w:p>
    <w:p>
      <w:pPr>
        <w:pStyle w:val="94"/>
        <w:numPr>
          <w:ilvl w:val="0"/>
          <w:numId w:val="4"/>
        </w:numPr>
        <w:tabs>
          <w:tab w:val="left" w:pos="854"/>
          <w:tab w:val="left" w:pos="1035"/>
          <w:tab w:val="left" w:pos="1665"/>
          <w:tab w:val="clear" w:pos="1140"/>
        </w:tabs>
        <w:spacing w:line="360" w:lineRule="auto"/>
      </w:pPr>
      <w:r>
        <w:rPr>
          <w:rFonts w:hint="eastAsia"/>
        </w:rPr>
        <w:t>对于商户的室内装修拆除告知禁止行为。</w:t>
      </w:r>
    </w:p>
    <w:p>
      <w:pPr>
        <w:pStyle w:val="94"/>
        <w:numPr>
          <w:ilvl w:val="0"/>
          <w:numId w:val="4"/>
        </w:numPr>
        <w:tabs>
          <w:tab w:val="left" w:pos="854"/>
          <w:tab w:val="left" w:pos="1035"/>
          <w:tab w:val="left" w:pos="1665"/>
          <w:tab w:val="clear" w:pos="1140"/>
        </w:tabs>
        <w:spacing w:line="360" w:lineRule="auto"/>
      </w:pPr>
      <w:r>
        <w:rPr>
          <w:rFonts w:hint="eastAsia"/>
        </w:rPr>
        <w:t>最后联同业主和商户对商铺进行设施设备安全检查，确保不遗留工程和安全隐患。</w:t>
      </w:r>
    </w:p>
    <w:p>
      <w:pPr>
        <w:pStyle w:val="103"/>
        <w:numPr>
          <w:ilvl w:val="2"/>
          <w:numId w:val="3"/>
        </w:numPr>
        <w:spacing w:line="360" w:lineRule="auto"/>
        <w:outlineLvl w:val="1"/>
        <w:rPr>
          <w:b/>
        </w:rPr>
      </w:pPr>
      <w:bookmarkStart w:id="26" w:name="_Toc306196588"/>
      <w:bookmarkStart w:id="27" w:name="_Toc519265264"/>
      <w:r>
        <w:rPr>
          <w:rFonts w:hint="eastAsia"/>
          <w:b/>
        </w:rPr>
        <w:t>装修管理</w:t>
      </w:r>
      <w:bookmarkEnd w:id="26"/>
      <w:bookmarkEnd w:id="27"/>
    </w:p>
    <w:p>
      <w:pPr>
        <w:pStyle w:val="104"/>
        <w:tabs>
          <w:tab w:val="clear" w:pos="1680"/>
        </w:tabs>
        <w:spacing w:line="360" w:lineRule="auto"/>
        <w:ind w:left="0" w:firstLine="0"/>
        <w:outlineLvl w:val="9"/>
        <w:rPr>
          <w:rFonts w:ascii="宋体" w:hAnsi="宋体" w:eastAsia="宋体"/>
        </w:rPr>
      </w:pPr>
      <w:bookmarkStart w:id="28" w:name="_Toc193076610"/>
      <w:r>
        <w:rPr>
          <w:rFonts w:ascii="宋体" w:hAnsi="宋体" w:eastAsia="宋体"/>
        </w:rPr>
        <w:t>配合业主方受理租户装修施工的申请，审核装修方案是否符合供电、供水、供气的容量限额，从物业管理的角度初步审核其是否符合消防、噪声、电磁干扰、排油烟（气）、排污、外造型、店招展示等相关要求</w:t>
      </w:r>
      <w:r>
        <w:rPr>
          <w:rFonts w:hint="eastAsia" w:ascii="宋体" w:hAnsi="宋体" w:eastAsia="宋体"/>
        </w:rPr>
        <w:t>。</w:t>
      </w:r>
    </w:p>
    <w:p>
      <w:pPr>
        <w:pStyle w:val="104"/>
        <w:tabs>
          <w:tab w:val="clear" w:pos="1680"/>
        </w:tabs>
        <w:spacing w:line="360" w:lineRule="auto"/>
        <w:ind w:left="0" w:firstLine="0"/>
        <w:outlineLvl w:val="9"/>
        <w:rPr>
          <w:rFonts w:ascii="宋体" w:hAnsi="宋体" w:eastAsia="宋体"/>
        </w:rPr>
      </w:pPr>
      <w:r>
        <w:rPr>
          <w:rFonts w:ascii="宋体" w:hAnsi="宋体" w:eastAsia="宋体"/>
        </w:rPr>
        <w:t>对装修材料、风格、道具的选用，按照业主方或经营方的统一规定进行审核。</w:t>
      </w:r>
    </w:p>
    <w:p>
      <w:pPr>
        <w:pStyle w:val="104"/>
        <w:tabs>
          <w:tab w:val="clear" w:pos="1680"/>
        </w:tabs>
        <w:spacing w:line="360" w:lineRule="auto"/>
        <w:ind w:left="0" w:firstLine="0"/>
        <w:outlineLvl w:val="9"/>
        <w:rPr>
          <w:rFonts w:ascii="宋体" w:hAnsi="宋体" w:eastAsia="宋体"/>
        </w:rPr>
      </w:pPr>
      <w:r>
        <w:rPr>
          <w:rFonts w:ascii="宋体" w:hAnsi="宋体" w:eastAsia="宋体"/>
        </w:rPr>
        <w:t>涉及到特殊经营的业态，必须办理政府相关部门包括但不限于消防、安全、卫生防疫、市容等书面</w:t>
      </w:r>
      <w:r>
        <w:rPr>
          <w:rFonts w:hint="eastAsia" w:ascii="宋体" w:hAnsi="宋体" w:eastAsia="宋体"/>
        </w:rPr>
        <w:t>的</w:t>
      </w:r>
      <w:r>
        <w:rPr>
          <w:rFonts w:ascii="宋体" w:hAnsi="宋体" w:eastAsia="宋体"/>
        </w:rPr>
        <w:t>专项批复。</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装修申请批准后，受理施工登记，核查特种作业人员的操作证，签订施工管理协议</w:t>
      </w:r>
      <w:r>
        <w:rPr>
          <w:rFonts w:ascii="宋体" w:hAnsi="宋体" w:eastAsia="宋体"/>
        </w:rPr>
        <w:t>和消防安全责任书</w:t>
      </w:r>
      <w:r>
        <w:rPr>
          <w:rFonts w:hint="eastAsia" w:ascii="宋体" w:hAnsi="宋体" w:eastAsia="宋体"/>
        </w:rPr>
        <w:t>，发放施工许可证明。</w:t>
      </w:r>
    </w:p>
    <w:p>
      <w:pPr>
        <w:pStyle w:val="104"/>
        <w:tabs>
          <w:tab w:val="clear" w:pos="1680"/>
        </w:tabs>
        <w:spacing w:line="360" w:lineRule="auto"/>
        <w:ind w:left="0" w:firstLine="0"/>
        <w:outlineLvl w:val="9"/>
        <w:rPr>
          <w:rFonts w:ascii="宋体" w:hAnsi="宋体" w:eastAsia="宋体"/>
        </w:rPr>
      </w:pPr>
      <w:r>
        <w:rPr>
          <w:rFonts w:ascii="宋体" w:hAnsi="宋体" w:eastAsia="宋体"/>
        </w:rPr>
        <w:t>装修期间负责协调与开发商、经营方、总包施工队伍之间的接口关系</w:t>
      </w:r>
      <w:r>
        <w:rPr>
          <w:rFonts w:hint="eastAsia" w:ascii="宋体" w:hAnsi="宋体" w:eastAsia="宋体"/>
        </w:rPr>
        <w:t>。</w:t>
      </w:r>
    </w:p>
    <w:p>
      <w:pPr>
        <w:pStyle w:val="104"/>
        <w:tabs>
          <w:tab w:val="clear" w:pos="1680"/>
        </w:tabs>
        <w:spacing w:line="360" w:lineRule="auto"/>
        <w:ind w:left="0" w:firstLine="0"/>
        <w:outlineLvl w:val="9"/>
        <w:rPr>
          <w:rFonts w:ascii="宋体" w:hAnsi="宋体" w:eastAsia="宋体"/>
        </w:rPr>
      </w:pPr>
      <w:bookmarkStart w:id="29" w:name="_Toc193076612"/>
      <w:r>
        <w:rPr>
          <w:rFonts w:hint="eastAsia" w:ascii="宋体" w:hAnsi="宋体" w:eastAsia="宋体"/>
        </w:rPr>
        <w:t>受业主方委托，对装修施工现场以下内容进行监管</w:t>
      </w:r>
      <w:bookmarkEnd w:id="29"/>
      <w:r>
        <w:rPr>
          <w:rFonts w:hint="eastAsia" w:ascii="宋体" w:hAnsi="宋体" w:eastAsia="宋体"/>
        </w:rPr>
        <w:t>：</w:t>
      </w:r>
      <w:bookmarkEnd w:id="28"/>
    </w:p>
    <w:p>
      <w:pPr>
        <w:pStyle w:val="94"/>
        <w:numPr>
          <w:ilvl w:val="0"/>
          <w:numId w:val="4"/>
        </w:numPr>
        <w:tabs>
          <w:tab w:val="left" w:pos="854"/>
          <w:tab w:val="left" w:pos="1035"/>
        </w:tabs>
        <w:spacing w:line="360" w:lineRule="auto"/>
      </w:pPr>
      <w:r>
        <w:rPr>
          <w:rFonts w:hint="eastAsia"/>
        </w:rPr>
        <w:t>施工时间、施工区域、建筑材料进出</w:t>
      </w:r>
      <w:r>
        <w:t>与临时仓库</w:t>
      </w:r>
      <w:r>
        <w:rPr>
          <w:rFonts w:hint="eastAsia"/>
        </w:rPr>
        <w:t>、建筑垃圾堆放与清运；</w:t>
      </w:r>
    </w:p>
    <w:p>
      <w:pPr>
        <w:pStyle w:val="94"/>
        <w:numPr>
          <w:ilvl w:val="0"/>
          <w:numId w:val="4"/>
        </w:numPr>
        <w:tabs>
          <w:tab w:val="left" w:pos="854"/>
          <w:tab w:val="left" w:pos="1035"/>
        </w:tabs>
        <w:spacing w:line="360" w:lineRule="auto"/>
      </w:pPr>
      <w:r>
        <w:t>施工人员的进出、现场管理，应主动控制营业期间施工人员的频繁出入；</w:t>
      </w:r>
    </w:p>
    <w:p>
      <w:pPr>
        <w:pStyle w:val="94"/>
        <w:numPr>
          <w:ilvl w:val="0"/>
          <w:numId w:val="4"/>
        </w:numPr>
        <w:tabs>
          <w:tab w:val="left" w:pos="854"/>
          <w:tab w:val="left" w:pos="1035"/>
        </w:tabs>
        <w:spacing w:line="360" w:lineRule="auto"/>
      </w:pPr>
      <w:r>
        <w:t>施工现场的外围装饰性一体化封闭隔离，噪音、异味、粉尘的控制，应严格控制营业期间的严重噪声和刺激性气味的施工；</w:t>
      </w:r>
      <w:r>
        <w:rPr>
          <w:rFonts w:hint="eastAsia"/>
        </w:rPr>
        <w:t>；</w:t>
      </w:r>
    </w:p>
    <w:p>
      <w:pPr>
        <w:pStyle w:val="94"/>
        <w:numPr>
          <w:ilvl w:val="0"/>
          <w:numId w:val="4"/>
        </w:numPr>
        <w:tabs>
          <w:tab w:val="left" w:pos="854"/>
          <w:tab w:val="left" w:pos="1035"/>
        </w:tabs>
        <w:spacing w:line="360" w:lineRule="auto"/>
      </w:pPr>
      <w:r>
        <w:t>临时供电、供水和升降等设备的使用</w:t>
      </w:r>
      <w:r>
        <w:rPr>
          <w:rFonts w:hint="eastAsia"/>
        </w:rPr>
        <w:t>；</w:t>
      </w:r>
    </w:p>
    <w:p>
      <w:pPr>
        <w:pStyle w:val="94"/>
        <w:numPr>
          <w:ilvl w:val="0"/>
          <w:numId w:val="4"/>
        </w:numPr>
        <w:tabs>
          <w:tab w:val="left" w:pos="854"/>
          <w:tab w:val="left" w:pos="1035"/>
        </w:tabs>
        <w:spacing w:line="360" w:lineRule="auto"/>
      </w:pPr>
      <w:r>
        <w:t>现场灭火器材的配置。动用明火，易燃易爆物品和化学危险品的使用必须办理手续；</w:t>
      </w:r>
    </w:p>
    <w:p>
      <w:pPr>
        <w:pStyle w:val="94"/>
        <w:numPr>
          <w:ilvl w:val="0"/>
          <w:numId w:val="4"/>
        </w:numPr>
        <w:tabs>
          <w:tab w:val="left" w:pos="854"/>
          <w:tab w:val="left" w:pos="1035"/>
        </w:tabs>
        <w:spacing w:line="360" w:lineRule="auto"/>
        <w:rPr>
          <w:rFonts w:hAnsi="宋体"/>
        </w:rPr>
      </w:pPr>
      <w:r>
        <w:rPr>
          <w:rFonts w:hint="eastAsia"/>
        </w:rPr>
        <w:t>建筑物本体和设施设备的保护；</w:t>
      </w:r>
    </w:p>
    <w:p>
      <w:pPr>
        <w:pStyle w:val="94"/>
        <w:numPr>
          <w:ilvl w:val="0"/>
          <w:numId w:val="4"/>
        </w:numPr>
        <w:tabs>
          <w:tab w:val="left" w:pos="854"/>
          <w:tab w:val="left" w:pos="1035"/>
        </w:tabs>
        <w:spacing w:line="360" w:lineRule="auto"/>
        <w:rPr>
          <w:rFonts w:hAnsi="宋体"/>
        </w:rPr>
      </w:pPr>
      <w:r>
        <w:t>制止违章搭建与占用行为。</w:t>
      </w:r>
    </w:p>
    <w:p>
      <w:pPr>
        <w:pStyle w:val="104"/>
        <w:tabs>
          <w:tab w:val="clear" w:pos="1680"/>
        </w:tabs>
        <w:spacing w:line="360" w:lineRule="auto"/>
        <w:ind w:left="0" w:firstLine="0"/>
        <w:outlineLvl w:val="9"/>
        <w:rPr>
          <w:rFonts w:ascii="宋体" w:hAnsi="宋体" w:eastAsia="宋体"/>
        </w:rPr>
      </w:pPr>
      <w:r>
        <w:rPr>
          <w:rFonts w:ascii="宋体" w:hAnsi="宋体" w:eastAsia="宋体"/>
        </w:rPr>
        <w:t>配合业主方、政府相关部门进行装修施工验收，监督租户限期整改发现的问题</w:t>
      </w:r>
      <w:r>
        <w:rPr>
          <w:rFonts w:hint="eastAsia" w:ascii="宋体" w:hAnsi="宋体" w:eastAsia="宋体"/>
        </w:rPr>
        <w:t>。</w:t>
      </w:r>
    </w:p>
    <w:p>
      <w:pPr>
        <w:pStyle w:val="104"/>
        <w:tabs>
          <w:tab w:val="clear" w:pos="1680"/>
        </w:tabs>
        <w:spacing w:line="360" w:lineRule="auto"/>
        <w:ind w:left="0" w:firstLine="0"/>
        <w:outlineLvl w:val="9"/>
        <w:rPr>
          <w:rFonts w:ascii="宋体" w:hAnsi="宋体" w:eastAsia="宋体"/>
        </w:rPr>
      </w:pPr>
      <w:r>
        <w:rPr>
          <w:rFonts w:ascii="宋体" w:hAnsi="宋体" w:eastAsia="宋体"/>
        </w:rPr>
        <w:t>收集租户装修登记、施工监督管理记录、装修项目竣工图纸和验收整改记录，归入装修管理档案。</w:t>
      </w:r>
    </w:p>
    <w:p>
      <w:pPr>
        <w:pStyle w:val="103"/>
        <w:numPr>
          <w:ilvl w:val="2"/>
          <w:numId w:val="3"/>
        </w:numPr>
        <w:spacing w:before="120" w:after="120" w:line="360" w:lineRule="auto"/>
        <w:outlineLvl w:val="1"/>
        <w:rPr>
          <w:b/>
          <w:color w:val="000000"/>
        </w:rPr>
      </w:pPr>
      <w:bookmarkStart w:id="30" w:name="_Toc519265265"/>
      <w:bookmarkStart w:id="31" w:name="_Toc306196589"/>
      <w:r>
        <w:rPr>
          <w:rFonts w:hint="eastAsia"/>
          <w:b/>
          <w:color w:val="000000"/>
        </w:rPr>
        <w:t>报修服务</w:t>
      </w:r>
      <w:bookmarkEnd w:id="30"/>
      <w:bookmarkEnd w:id="31"/>
    </w:p>
    <w:p>
      <w:pPr>
        <w:pStyle w:val="104"/>
        <w:tabs>
          <w:tab w:val="clear" w:pos="1680"/>
        </w:tabs>
        <w:spacing w:line="360" w:lineRule="auto"/>
        <w:ind w:left="0" w:firstLine="0"/>
        <w:outlineLvl w:val="9"/>
        <w:rPr>
          <w:rFonts w:ascii="宋体" w:hAnsi="宋体" w:eastAsia="宋体"/>
        </w:rPr>
      </w:pPr>
      <w:r>
        <w:rPr>
          <w:rFonts w:ascii="宋体" w:hAnsi="宋体" w:eastAsia="宋体"/>
        </w:rPr>
        <w:t>全天24小时受理报修。有值班记录和报修记录</w:t>
      </w:r>
      <w:r>
        <w:rPr>
          <w:rFonts w:hint="eastAsia" w:ascii="宋体" w:hAnsi="宋体" w:eastAsia="宋体"/>
        </w:rPr>
        <w:t>。</w:t>
      </w:r>
    </w:p>
    <w:p>
      <w:pPr>
        <w:pStyle w:val="104"/>
        <w:tabs>
          <w:tab w:val="clear" w:pos="1680"/>
        </w:tabs>
        <w:spacing w:line="360" w:lineRule="auto"/>
        <w:ind w:left="0" w:firstLine="0"/>
        <w:outlineLvl w:val="9"/>
        <w:rPr>
          <w:rFonts w:ascii="宋体" w:hAnsi="宋体" w:eastAsia="宋体"/>
        </w:rPr>
      </w:pPr>
      <w:r>
        <w:rPr>
          <w:rFonts w:ascii="宋体" w:hAnsi="宋体" w:eastAsia="宋体"/>
        </w:rPr>
        <w:t>报修15分钟内到场，小修项目24小时内修复(预约修理除外)，急修项目限时修复：如须说明维修责任或收费标准的，应予以说明。</w:t>
      </w:r>
    </w:p>
    <w:p>
      <w:pPr>
        <w:pStyle w:val="94"/>
        <w:numPr>
          <w:ilvl w:val="0"/>
          <w:numId w:val="4"/>
        </w:numPr>
        <w:tabs>
          <w:tab w:val="left" w:pos="854"/>
          <w:tab w:val="left" w:pos="1035"/>
        </w:tabs>
        <w:spacing w:line="360" w:lineRule="auto"/>
      </w:pPr>
      <w:r>
        <w:t>小修急修及时率100％；</w:t>
      </w:r>
    </w:p>
    <w:p>
      <w:pPr>
        <w:pStyle w:val="94"/>
        <w:numPr>
          <w:ilvl w:val="0"/>
          <w:numId w:val="4"/>
        </w:numPr>
        <w:tabs>
          <w:tab w:val="left" w:pos="854"/>
          <w:tab w:val="left" w:pos="1035"/>
        </w:tabs>
        <w:spacing w:line="360" w:lineRule="auto"/>
      </w:pPr>
      <w:r>
        <w:t>一次维修合格率&gt;90％；</w:t>
      </w:r>
    </w:p>
    <w:p>
      <w:pPr>
        <w:pStyle w:val="94"/>
        <w:numPr>
          <w:ilvl w:val="0"/>
          <w:numId w:val="4"/>
        </w:numPr>
        <w:tabs>
          <w:tab w:val="left" w:pos="854"/>
          <w:tab w:val="left" w:pos="1035"/>
        </w:tabs>
        <w:spacing w:line="360" w:lineRule="auto"/>
      </w:pPr>
      <w:r>
        <w:t>维修服务回访率30％；</w:t>
      </w:r>
    </w:p>
    <w:p>
      <w:pPr>
        <w:pStyle w:val="94"/>
        <w:numPr>
          <w:ilvl w:val="0"/>
          <w:numId w:val="4"/>
        </w:numPr>
        <w:tabs>
          <w:tab w:val="left" w:pos="854"/>
          <w:tab w:val="left" w:pos="1035"/>
        </w:tabs>
        <w:spacing w:line="360" w:lineRule="auto"/>
      </w:pPr>
      <w:r>
        <w:t>有报修记录、回访记录、返修分析及处理记录；每月统计一次。</w:t>
      </w:r>
    </w:p>
    <w:p>
      <w:pPr>
        <w:pStyle w:val="103"/>
        <w:numPr>
          <w:ilvl w:val="2"/>
          <w:numId w:val="3"/>
        </w:numPr>
        <w:spacing w:before="120" w:after="120" w:line="360" w:lineRule="auto"/>
        <w:outlineLvl w:val="1"/>
        <w:rPr>
          <w:b/>
          <w:color w:val="000000"/>
        </w:rPr>
      </w:pPr>
      <w:bookmarkStart w:id="32" w:name="_Toc519265266"/>
      <w:bookmarkStart w:id="33" w:name="_Toc306196590"/>
      <w:r>
        <w:rPr>
          <w:rFonts w:hint="eastAsia"/>
          <w:b/>
          <w:color w:val="000000"/>
        </w:rPr>
        <w:t>服务接待</w:t>
      </w:r>
      <w:bookmarkEnd w:id="32"/>
      <w:bookmarkEnd w:id="33"/>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文明礼貌，主动热情，耐心周到，规范使用礼貌用语，做好商户来电/来访/来函意见记录。</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设立客户服务中心；设立24小时服务热线电话；建立24小时值班制度；</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公示各类服务收费项目和收费标准，公示热线电话号码和服务承诺。</w:t>
      </w:r>
    </w:p>
    <w:p>
      <w:pPr>
        <w:pStyle w:val="103"/>
        <w:numPr>
          <w:ilvl w:val="2"/>
          <w:numId w:val="3"/>
        </w:numPr>
        <w:spacing w:before="120" w:after="120" w:line="360" w:lineRule="auto"/>
        <w:outlineLvl w:val="1"/>
        <w:rPr>
          <w:b/>
          <w:color w:val="000000"/>
        </w:rPr>
      </w:pPr>
      <w:bookmarkStart w:id="34" w:name="_Toc519265267"/>
      <w:bookmarkStart w:id="35" w:name="_Toc306196591"/>
      <w:r>
        <w:rPr>
          <w:rFonts w:hint="eastAsia"/>
          <w:b/>
          <w:color w:val="000000"/>
        </w:rPr>
        <w:t>客户意见管理</w:t>
      </w:r>
      <w:bookmarkEnd w:id="34"/>
      <w:bookmarkEnd w:id="35"/>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服务意见征询</w:t>
      </w:r>
    </w:p>
    <w:p>
      <w:pPr>
        <w:pStyle w:val="94"/>
        <w:numPr>
          <w:ilvl w:val="0"/>
          <w:numId w:val="4"/>
        </w:numPr>
        <w:tabs>
          <w:tab w:val="left" w:pos="854"/>
          <w:tab w:val="left" w:pos="1035"/>
        </w:tabs>
        <w:spacing w:line="360" w:lineRule="auto"/>
      </w:pPr>
      <w:r>
        <w:rPr>
          <w:rFonts w:hint="eastAsia"/>
        </w:rPr>
        <w:t>每半年进行一次抽样的物业服务意见征询；每年进行一次物业服务意见普调。</w:t>
      </w:r>
    </w:p>
    <w:p>
      <w:pPr>
        <w:pStyle w:val="94"/>
        <w:numPr>
          <w:ilvl w:val="0"/>
          <w:numId w:val="4"/>
        </w:numPr>
        <w:tabs>
          <w:tab w:val="left" w:pos="854"/>
          <w:tab w:val="left" w:pos="1035"/>
        </w:tabs>
        <w:spacing w:line="360" w:lineRule="auto"/>
      </w:pPr>
      <w:r>
        <w:rPr>
          <w:rFonts w:hint="eastAsia"/>
        </w:rPr>
        <w:t>征询面为商铺总户数的80%以上。</w:t>
      </w:r>
    </w:p>
    <w:p>
      <w:pPr>
        <w:pStyle w:val="94"/>
        <w:numPr>
          <w:ilvl w:val="0"/>
          <w:numId w:val="4"/>
        </w:numPr>
        <w:tabs>
          <w:tab w:val="left" w:pos="854"/>
          <w:tab w:val="left" w:pos="1035"/>
        </w:tabs>
        <w:spacing w:line="360" w:lineRule="auto"/>
      </w:pPr>
      <w:r>
        <w:rPr>
          <w:rFonts w:hint="eastAsia"/>
        </w:rPr>
        <w:t>征询表中选择范围设定为“满意、较满意、一般、不满意”。</w:t>
      </w:r>
    </w:p>
    <w:p>
      <w:pPr>
        <w:pStyle w:val="94"/>
        <w:numPr>
          <w:ilvl w:val="0"/>
          <w:numId w:val="4"/>
        </w:numPr>
        <w:tabs>
          <w:tab w:val="left" w:pos="854"/>
          <w:tab w:val="left" w:pos="1035"/>
        </w:tabs>
        <w:spacing w:line="360" w:lineRule="auto"/>
      </w:pPr>
      <w:r>
        <w:rPr>
          <w:rFonts w:hint="eastAsia"/>
        </w:rPr>
        <w:t>对商户意见进行统计分析，制定整改措施并向全体业户公布。</w:t>
      </w:r>
    </w:p>
    <w:p>
      <w:pPr>
        <w:pStyle w:val="94"/>
        <w:numPr>
          <w:ilvl w:val="0"/>
          <w:numId w:val="4"/>
        </w:numPr>
        <w:tabs>
          <w:tab w:val="left" w:pos="854"/>
          <w:tab w:val="left" w:pos="1035"/>
        </w:tabs>
        <w:spacing w:line="360" w:lineRule="auto"/>
      </w:pPr>
      <w:r>
        <w:rPr>
          <w:rFonts w:hint="eastAsia"/>
        </w:rPr>
        <w:t>物业服务满意率95%。</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客户投诉意见跟进处理</w:t>
      </w:r>
    </w:p>
    <w:p>
      <w:pPr>
        <w:pStyle w:val="94"/>
        <w:numPr>
          <w:ilvl w:val="0"/>
          <w:numId w:val="4"/>
        </w:numPr>
        <w:tabs>
          <w:tab w:val="left" w:pos="854"/>
          <w:tab w:val="left" w:pos="1035"/>
        </w:tabs>
        <w:spacing w:line="360" w:lineRule="auto"/>
      </w:pPr>
      <w:r>
        <w:rPr>
          <w:rFonts w:hint="eastAsia"/>
        </w:rPr>
        <w:t>一般情况下，即时受理的责任性投诉1小时内给予答复；书面来函的三个工作天内书面回复；非责任性投诉应向投诉人说明责任范围并协助解决。</w:t>
      </w:r>
    </w:p>
    <w:p>
      <w:pPr>
        <w:pStyle w:val="94"/>
        <w:numPr>
          <w:ilvl w:val="0"/>
          <w:numId w:val="4"/>
        </w:numPr>
        <w:tabs>
          <w:tab w:val="left" w:pos="854"/>
          <w:tab w:val="left" w:pos="1035"/>
        </w:tabs>
        <w:spacing w:line="360" w:lineRule="auto"/>
      </w:pPr>
      <w:r>
        <w:rPr>
          <w:rFonts w:hint="eastAsia"/>
        </w:rPr>
        <w:t>投诉处理及时率为100%。</w:t>
      </w:r>
    </w:p>
    <w:p>
      <w:pPr>
        <w:pStyle w:val="103"/>
        <w:numPr>
          <w:ilvl w:val="2"/>
          <w:numId w:val="3"/>
        </w:numPr>
        <w:spacing w:before="120" w:after="120" w:line="360" w:lineRule="auto"/>
        <w:outlineLvl w:val="1"/>
        <w:rPr>
          <w:b/>
          <w:color w:val="000000"/>
        </w:rPr>
      </w:pPr>
      <w:bookmarkStart w:id="36" w:name="_Toc519265268"/>
      <w:bookmarkStart w:id="37" w:name="_Toc306196592"/>
      <w:r>
        <w:rPr>
          <w:rFonts w:hint="eastAsia"/>
          <w:b/>
          <w:color w:val="000000"/>
        </w:rPr>
        <w:t>客户关系维护</w:t>
      </w:r>
      <w:bookmarkEnd w:id="36"/>
      <w:bookmarkEnd w:id="37"/>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每年不少于一次组织客户活动。</w:t>
      </w:r>
    </w:p>
    <w:p>
      <w:pPr>
        <w:pStyle w:val="83"/>
        <w:numPr>
          <w:ilvl w:val="1"/>
          <w:numId w:val="3"/>
        </w:numPr>
        <w:spacing w:before="156" w:after="156" w:line="360" w:lineRule="auto"/>
        <w:ind w:left="2"/>
        <w:outlineLvl w:val="0"/>
        <w:rPr>
          <w:b/>
          <w:color w:val="000000"/>
        </w:rPr>
      </w:pPr>
      <w:bookmarkStart w:id="38" w:name="_Toc519265269"/>
      <w:bookmarkStart w:id="39" w:name="_Toc306196593"/>
      <w:r>
        <w:rPr>
          <w:rFonts w:hint="eastAsia"/>
          <w:b/>
          <w:color w:val="000000"/>
        </w:rPr>
        <w:t>环境管理</w:t>
      </w:r>
      <w:bookmarkEnd w:id="38"/>
      <w:bookmarkEnd w:id="39"/>
    </w:p>
    <w:p>
      <w:pPr>
        <w:pStyle w:val="103"/>
        <w:numPr>
          <w:ilvl w:val="2"/>
          <w:numId w:val="3"/>
        </w:numPr>
        <w:spacing w:line="360" w:lineRule="auto"/>
        <w:outlineLvl w:val="1"/>
        <w:rPr>
          <w:b/>
        </w:rPr>
      </w:pPr>
      <w:bookmarkStart w:id="40" w:name="_Toc217646944"/>
      <w:bookmarkStart w:id="41" w:name="_Toc217650608"/>
      <w:bookmarkStart w:id="42" w:name="_Toc306196594"/>
      <w:bookmarkStart w:id="43" w:name="_Toc519265270"/>
      <w:bookmarkStart w:id="44" w:name="_Toc217651057"/>
      <w:bookmarkStart w:id="45" w:name="_Toc219807931"/>
      <w:bookmarkStart w:id="46" w:name="_Toc219806728"/>
      <w:bookmarkStart w:id="47" w:name="_Toc219806511"/>
      <w:r>
        <w:rPr>
          <w:rFonts w:hint="eastAsia"/>
          <w:b/>
        </w:rPr>
        <w:t>室外区域</w:t>
      </w:r>
      <w:bookmarkEnd w:id="40"/>
      <w:bookmarkEnd w:id="41"/>
      <w:bookmarkEnd w:id="42"/>
      <w:bookmarkEnd w:id="43"/>
      <w:bookmarkEnd w:id="44"/>
      <w:bookmarkEnd w:id="45"/>
      <w:bookmarkEnd w:id="46"/>
      <w:bookmarkEnd w:id="47"/>
    </w:p>
    <w:p>
      <w:pPr>
        <w:pStyle w:val="104"/>
        <w:numPr>
          <w:ilvl w:val="3"/>
          <w:numId w:val="3"/>
        </w:numPr>
        <w:spacing w:line="360" w:lineRule="auto"/>
        <w:outlineLvl w:val="9"/>
        <w:rPr>
          <w:rFonts w:eastAsia="宋体"/>
          <w:color w:val="000000"/>
        </w:rPr>
      </w:pPr>
      <w:bookmarkStart w:id="48" w:name="_Toc193076625"/>
      <w:r>
        <w:rPr>
          <w:rFonts w:hint="eastAsia" w:eastAsia="宋体"/>
          <w:color w:val="000000"/>
        </w:rPr>
        <w:t>建筑物外观、门面装饰、店招牌、户外广告设施及卫生设施应保持完好，无违章设摊、搭建、堆放等现象，保持环境整洁。</w:t>
      </w:r>
    </w:p>
    <w:bookmarkEnd w:id="48"/>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对具有抗风能力要求的中大型户外广告牌等设施应定期进行安全检查，</w:t>
      </w:r>
      <w:r>
        <w:rPr>
          <w:rFonts w:ascii="宋体" w:hAnsi="宋体" w:eastAsia="宋体"/>
          <w:szCs w:val="21"/>
        </w:rPr>
        <w:t>遇台风、汛期应采取相应的安全防范措施。</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出入口、安全疏散及残疾人通道</w:t>
      </w:r>
      <w:r>
        <w:rPr>
          <w:rFonts w:hint="eastAsia" w:ascii="宋体" w:hAnsi="宋体" w:eastAsia="宋体"/>
          <w:color w:val="000000"/>
          <w:szCs w:val="21"/>
        </w:rPr>
        <w:t>保持通畅，</w:t>
      </w:r>
      <w:r>
        <w:rPr>
          <w:rFonts w:hint="eastAsia" w:ascii="宋体" w:hAnsi="宋体" w:eastAsia="宋体"/>
          <w:color w:val="000000"/>
        </w:rPr>
        <w:t>步行道和台阶地面</w:t>
      </w:r>
      <w:r>
        <w:rPr>
          <w:rFonts w:hint="eastAsia" w:hAnsi="宋体" w:eastAsia="宋体"/>
          <w:bCs/>
          <w:color w:val="000000"/>
        </w:rPr>
        <w:t>宜采用防滑材料或铺设防滑垫，其附属设施</w:t>
      </w:r>
      <w:r>
        <w:rPr>
          <w:rFonts w:hint="eastAsia" w:ascii="宋体" w:hAnsi="宋体" w:eastAsia="宋体"/>
          <w:color w:val="000000"/>
        </w:rPr>
        <w:t>保持完好。</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szCs w:val="21"/>
        </w:rPr>
        <w:t>绿化养护要求</w:t>
      </w:r>
      <w:r>
        <w:rPr>
          <w:rFonts w:hint="eastAsia" w:ascii="宋体" w:hAnsi="宋体" w:eastAsia="宋体"/>
          <w:color w:val="000000"/>
        </w:rPr>
        <w:t>应符合相关</w:t>
      </w:r>
      <w:r>
        <w:rPr>
          <w:rFonts w:hint="eastAsia" w:ascii="宋体" w:hAnsi="宋体" w:eastAsia="宋体"/>
          <w:color w:val="000000"/>
          <w:szCs w:val="21"/>
        </w:rPr>
        <w:t>的规定，使用的药剂不应有害人体健康及造成环境污染。</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环境照明应符合城市环境（装饰）照明相关规范的要求，户外供电设施、用电设备，定期进行安全检查和维护。</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商业营运产生的噪声对周边的影响应符合GB22337《社会生活环境噪声排放标准》的规定。</w:t>
      </w:r>
    </w:p>
    <w:p>
      <w:pPr>
        <w:pStyle w:val="103"/>
        <w:numPr>
          <w:ilvl w:val="2"/>
          <w:numId w:val="3"/>
        </w:numPr>
        <w:spacing w:line="360" w:lineRule="auto"/>
        <w:outlineLvl w:val="1"/>
        <w:rPr>
          <w:b/>
        </w:rPr>
      </w:pPr>
      <w:bookmarkStart w:id="49" w:name="_Toc219807932"/>
      <w:bookmarkStart w:id="50" w:name="_Toc219806729"/>
      <w:bookmarkStart w:id="51" w:name="_Toc217651058"/>
      <w:bookmarkStart w:id="52" w:name="_Toc306196595"/>
      <w:bookmarkStart w:id="53" w:name="_Toc519265271"/>
      <w:bookmarkStart w:id="54" w:name="_Toc219806512"/>
      <w:bookmarkStart w:id="55" w:name="_Toc217650609"/>
      <w:bookmarkStart w:id="56" w:name="_Toc217646945"/>
      <w:r>
        <w:rPr>
          <w:rFonts w:hint="eastAsia"/>
          <w:b/>
        </w:rPr>
        <w:t>室内区域</w:t>
      </w:r>
      <w:bookmarkEnd w:id="49"/>
      <w:bookmarkEnd w:id="50"/>
      <w:bookmarkEnd w:id="51"/>
      <w:bookmarkEnd w:id="52"/>
      <w:bookmarkEnd w:id="53"/>
      <w:bookmarkEnd w:id="54"/>
      <w:bookmarkEnd w:id="55"/>
      <w:bookmarkEnd w:id="56"/>
    </w:p>
    <w:p>
      <w:pPr>
        <w:pStyle w:val="104"/>
        <w:numPr>
          <w:ilvl w:val="3"/>
          <w:numId w:val="3"/>
        </w:numPr>
        <w:spacing w:line="360" w:lineRule="auto"/>
        <w:outlineLvl w:val="9"/>
        <w:rPr>
          <w:rFonts w:ascii="宋体" w:hAnsi="宋体" w:eastAsia="宋体"/>
        </w:rPr>
      </w:pPr>
      <w:r>
        <w:rPr>
          <w:rFonts w:hint="eastAsia" w:ascii="宋体" w:hAnsi="宋体" w:eastAsia="宋体"/>
          <w:szCs w:val="21"/>
        </w:rPr>
        <w:t>保持</w:t>
      </w:r>
      <w:r>
        <w:rPr>
          <w:rFonts w:hint="eastAsia" w:ascii="宋体" w:hAnsi="宋体" w:eastAsia="宋体"/>
          <w:color w:val="000000"/>
        </w:rPr>
        <w:t>室内通风良好，温度适宜，空气质量宜符合</w:t>
      </w:r>
      <w:r>
        <w:rPr>
          <w:rFonts w:eastAsia="宋体"/>
          <w:color w:val="000000"/>
        </w:rPr>
        <w:t>GB/T18883</w:t>
      </w:r>
      <w:r>
        <w:rPr>
          <w:rFonts w:hint="eastAsia" w:ascii="宋体" w:hAnsi="宋体" w:eastAsia="宋体"/>
          <w:color w:val="000000"/>
        </w:rPr>
        <w:t>《室内空气质量标准》。</w:t>
      </w:r>
      <w:bookmarkStart w:id="57" w:name="_Toc193076633"/>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空调通风系统应符合国家公共场所空调通风系统运行卫生要求的规定。</w:t>
      </w:r>
      <w:bookmarkEnd w:id="57"/>
    </w:p>
    <w:p>
      <w:pPr>
        <w:pStyle w:val="104"/>
        <w:numPr>
          <w:ilvl w:val="3"/>
          <w:numId w:val="3"/>
        </w:numPr>
        <w:spacing w:line="360" w:lineRule="auto"/>
        <w:outlineLvl w:val="9"/>
        <w:rPr>
          <w:rFonts w:ascii="宋体" w:hAnsi="宋体" w:eastAsia="宋体"/>
          <w:color w:val="000000"/>
        </w:rPr>
      </w:pPr>
      <w:r>
        <w:rPr>
          <w:rFonts w:ascii="宋体" w:hAnsi="宋体" w:eastAsia="宋体"/>
          <w:color w:val="000000"/>
        </w:rPr>
        <w:t>柜台、通道、公共卫生间、电梯轿厢、自动扶梯扶手带等设施应定期消毒，在传染病流行期应按照卫生防疫部门的要求增加消毒频次</w:t>
      </w:r>
      <w:r>
        <w:rPr>
          <w:rFonts w:hint="eastAsia" w:ascii="宋体" w:hAnsi="宋体" w:eastAsia="宋体"/>
          <w:color w:val="000000"/>
        </w:rPr>
        <w:t>。</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生活饮用水水质应符合GB5749《生活饮用水卫生标准》的规定，二次供水设施应定期清洗、消毒或更换滤芯。</w:t>
      </w:r>
    </w:p>
    <w:p>
      <w:pPr>
        <w:pStyle w:val="104"/>
        <w:numPr>
          <w:ilvl w:val="3"/>
          <w:numId w:val="3"/>
        </w:numPr>
        <w:spacing w:line="360" w:lineRule="auto"/>
        <w:outlineLvl w:val="9"/>
        <w:rPr>
          <w:rFonts w:ascii="宋体" w:hAnsi="宋体" w:eastAsia="宋体"/>
        </w:rPr>
      </w:pPr>
      <w:r>
        <w:rPr>
          <w:rFonts w:hint="eastAsia" w:ascii="宋体" w:hAnsi="宋体" w:eastAsia="宋体"/>
        </w:rPr>
        <w:t>物业的污水排放应符合</w:t>
      </w:r>
      <w:r>
        <w:rPr>
          <w:rFonts w:hint="eastAsia" w:ascii="宋体" w:hAnsi="宋体" w:eastAsia="宋体" w:cs="宋体"/>
          <w:szCs w:val="21"/>
        </w:rPr>
        <w:t>《</w:t>
      </w:r>
      <w:r>
        <w:rPr>
          <w:rFonts w:hint="eastAsia" w:ascii="宋体" w:hAnsi="宋体" w:eastAsia="宋体" w:cs="宋体"/>
          <w:bCs/>
          <w:szCs w:val="21"/>
        </w:rPr>
        <w:t>污水综合排放标准</w:t>
      </w:r>
      <w:r>
        <w:rPr>
          <w:rFonts w:hint="eastAsia" w:ascii="宋体" w:hAnsi="宋体" w:eastAsia="宋体" w:cs="宋体"/>
          <w:szCs w:val="21"/>
        </w:rPr>
        <w:t>》</w:t>
      </w:r>
      <w:r>
        <w:rPr>
          <w:rFonts w:hint="eastAsia" w:ascii="宋体" w:hAnsi="宋体" w:eastAsia="宋体"/>
        </w:rPr>
        <w:t>的规定。</w:t>
      </w:r>
    </w:p>
    <w:p>
      <w:pPr>
        <w:pStyle w:val="104"/>
        <w:numPr>
          <w:ilvl w:val="3"/>
          <w:numId w:val="3"/>
        </w:numPr>
        <w:spacing w:line="360" w:lineRule="auto"/>
        <w:outlineLvl w:val="9"/>
        <w:rPr>
          <w:rFonts w:ascii="宋体" w:hAnsi="宋体" w:eastAsia="宋体"/>
        </w:rPr>
      </w:pPr>
      <w:r>
        <w:rPr>
          <w:rFonts w:hint="eastAsia" w:ascii="宋体" w:hAnsi="宋体" w:eastAsia="宋体"/>
          <w:color w:val="000000"/>
        </w:rPr>
        <w:t>按照饮食服务</w:t>
      </w:r>
      <w:r>
        <w:rPr>
          <w:rFonts w:hint="eastAsia" w:ascii="宋体" w:hAnsi="宋体" w:eastAsia="宋体"/>
        </w:rPr>
        <w:t>业环境污染防治管理办法的要求，</w:t>
      </w:r>
      <w:r>
        <w:rPr>
          <w:rFonts w:hint="eastAsia" w:ascii="宋体" w:hAnsi="宋体" w:eastAsia="宋体"/>
          <w:color w:val="000000"/>
        </w:rPr>
        <w:t>协助业主方对餐饮单位的废水、油烟排放、残渣处理进行检查。</w:t>
      </w:r>
      <w:r>
        <w:rPr>
          <w:rFonts w:hint="eastAsia" w:ascii="宋体" w:hAnsi="宋体" w:eastAsia="宋体"/>
        </w:rPr>
        <w:t xml:space="preserve"> </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化学危险品的贮存应符合</w:t>
      </w:r>
      <w:r>
        <w:rPr>
          <w:rFonts w:ascii="宋体" w:hAnsi="宋体" w:eastAsia="宋体"/>
          <w:color w:val="000000"/>
        </w:rPr>
        <w:t>GB 15603</w:t>
      </w:r>
      <w:r>
        <w:rPr>
          <w:rFonts w:hint="eastAsia" w:ascii="宋体" w:hAnsi="宋体" w:eastAsia="宋体"/>
          <w:color w:val="000000"/>
        </w:rPr>
        <w:t>《</w:t>
      </w:r>
      <w:r>
        <w:rPr>
          <w:rFonts w:ascii="宋体" w:hAnsi="宋体" w:eastAsia="宋体"/>
          <w:color w:val="000000"/>
        </w:rPr>
        <w:t>常用化学危险品贮存通则》的要求。</w:t>
      </w:r>
    </w:p>
    <w:p>
      <w:pPr>
        <w:pStyle w:val="104"/>
        <w:numPr>
          <w:ilvl w:val="3"/>
          <w:numId w:val="3"/>
        </w:numPr>
        <w:spacing w:line="360" w:lineRule="auto"/>
        <w:outlineLvl w:val="9"/>
        <w:rPr>
          <w:rFonts w:eastAsia="宋体"/>
        </w:rPr>
      </w:pPr>
      <w:r>
        <w:rPr>
          <w:rFonts w:hint="eastAsia" w:ascii="宋体" w:hAnsi="宋体" w:eastAsia="宋体"/>
          <w:color w:val="000000"/>
        </w:rPr>
        <w:t>商场</w:t>
      </w:r>
      <w:r>
        <w:rPr>
          <w:rFonts w:ascii="宋体" w:hAnsi="宋体" w:eastAsia="宋体"/>
          <w:color w:val="000000"/>
        </w:rPr>
        <w:t>及各类仓库、小库内</w:t>
      </w:r>
      <w:r>
        <w:rPr>
          <w:rFonts w:hint="eastAsia" w:ascii="宋体" w:hAnsi="宋体" w:eastAsia="宋体"/>
          <w:color w:val="000000"/>
        </w:rPr>
        <w:t>禁止吸烟</w:t>
      </w:r>
      <w:r>
        <w:rPr>
          <w:rFonts w:hint="eastAsia" w:ascii="宋体" w:hAnsi="宋体" w:eastAsia="宋体"/>
          <w:szCs w:val="21"/>
        </w:rPr>
        <w:t>，</w:t>
      </w:r>
      <w:r>
        <w:rPr>
          <w:rFonts w:hint="eastAsia" w:eastAsia="宋体"/>
        </w:rPr>
        <w:t>明确重点防火区域、安全疏散通道及路线。</w:t>
      </w:r>
    </w:p>
    <w:p>
      <w:pPr>
        <w:pStyle w:val="103"/>
        <w:numPr>
          <w:ilvl w:val="2"/>
          <w:numId w:val="3"/>
        </w:numPr>
        <w:spacing w:line="360" w:lineRule="auto"/>
        <w:outlineLvl w:val="1"/>
        <w:rPr>
          <w:b/>
        </w:rPr>
      </w:pPr>
      <w:bookmarkStart w:id="58" w:name="_Toc306196596"/>
      <w:bookmarkStart w:id="59" w:name="_Toc519265272"/>
      <w:r>
        <w:rPr>
          <w:rFonts w:hint="eastAsia"/>
          <w:b/>
        </w:rPr>
        <w:t>绿化管理</w:t>
      </w:r>
      <w:bookmarkEnd w:id="58"/>
      <w:bookmarkEnd w:id="59"/>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委托有资质的专业公司对辖区绿化进行养护工作。</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根据辖区绿化工作情况制定绿化岗位职责、管理程序、服务规范、操作规程、质量标准和管理制度。</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绿地布局合理，根据不同类型植物的生长特点，合理修剪、力求美观。绿地无随意占用、改变使用用途及践踏现象；并适当设置爱护花草的标识牌。</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建立完整的绿化设施资料档案，绿地布局资料齐全，公共绿化环境竣工图、绿化品种明细表等有关资料齐全。</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绿地无纸屑、烟头等杂物，绿化盆景巡回保洁，室内绿化叶面无积尘、套盆内无垃圾、套盆表面整洁、无积尘；每月全面清理绿化地不少于1次。</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花草树木长势良好，无病虫害，无斑秃。</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乔灌木成活率达98%以上，按设计要求或自然树形每季度修剪不少于1次。</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草皮生长旺盛，每月修剪不少于一次，高度保持3-5厘米。</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花坛地被植物生长良好，开花整齐，植物覆盖率98%以上，美观大方，与周围植物配置协调；室外花卉生长良好，花卉配置合理，造型美观，及时清理枯枝残叶。</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室内摆设植物生长良好，长期保持叶面清洁光泽，无枯叶，花盆干净，底盆定期清理，适度淋水，施肥，及时更换养护，盆栽插花美观大方。</w:t>
      </w:r>
    </w:p>
    <w:p>
      <w:pPr>
        <w:pStyle w:val="104"/>
        <w:numPr>
          <w:ilvl w:val="3"/>
          <w:numId w:val="3"/>
        </w:numPr>
        <w:tabs>
          <w:tab w:val="left" w:pos="709"/>
          <w:tab w:val="left" w:pos="851"/>
        </w:tabs>
        <w:spacing w:line="360" w:lineRule="auto"/>
        <w:outlineLvl w:val="9"/>
        <w:rPr>
          <w:rFonts w:ascii="宋体" w:hAnsi="宋体" w:eastAsia="宋体"/>
          <w:szCs w:val="21"/>
        </w:rPr>
      </w:pPr>
      <w:r>
        <w:rPr>
          <w:rFonts w:hint="eastAsia" w:ascii="宋体" w:hAnsi="宋体" w:eastAsia="宋体"/>
          <w:szCs w:val="21"/>
        </w:rPr>
        <w:t>春夏季每月至少杀虫1次；秋冬季每季至少杀虫1次。</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逢重大节日，根据辖区实际情况结合业主/使用人需求，合理进行绿化装饰布置。</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根据业主/使用人需求，提供有偿的绿化养护服务，公示服务项目及收费价格。</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台风季节做好防台风措施，合理修建、加固防护设施，特别是做好绿化树木的支护。台风过后迅速清理倒树、断枝，及时扶正树木；高空修剪树枝时，有安全防护措施，确保操作安全。</w:t>
      </w:r>
    </w:p>
    <w:p>
      <w:pPr>
        <w:pStyle w:val="83"/>
        <w:numPr>
          <w:ilvl w:val="1"/>
          <w:numId w:val="3"/>
        </w:numPr>
        <w:spacing w:before="156" w:after="156" w:line="360" w:lineRule="auto"/>
        <w:outlineLvl w:val="0"/>
        <w:rPr>
          <w:b/>
          <w:color w:val="000000"/>
        </w:rPr>
      </w:pPr>
      <w:bookmarkStart w:id="60" w:name="_Toc519265273"/>
      <w:bookmarkStart w:id="61" w:name="_Toc306196597"/>
      <w:r>
        <w:rPr>
          <w:rFonts w:hint="eastAsia"/>
          <w:b/>
          <w:color w:val="000000"/>
        </w:rPr>
        <w:t>房屋及设施设备管理</w:t>
      </w:r>
      <w:bookmarkEnd w:id="60"/>
      <w:bookmarkEnd w:id="61"/>
    </w:p>
    <w:p>
      <w:pPr>
        <w:pStyle w:val="103"/>
        <w:numPr>
          <w:ilvl w:val="2"/>
          <w:numId w:val="3"/>
        </w:numPr>
        <w:spacing w:line="360" w:lineRule="auto"/>
        <w:outlineLvl w:val="1"/>
        <w:rPr>
          <w:b/>
        </w:rPr>
      </w:pPr>
      <w:bookmarkStart w:id="62" w:name="_Toc519265274"/>
      <w:bookmarkStart w:id="63" w:name="_Toc306196598"/>
      <w:bookmarkStart w:id="64" w:name="_Toc219806532"/>
      <w:bookmarkStart w:id="65" w:name="_Toc219807952"/>
      <w:bookmarkStart w:id="66" w:name="_Toc219806749"/>
      <w:r>
        <w:rPr>
          <w:rFonts w:hint="eastAsia"/>
          <w:b/>
        </w:rPr>
        <w:t>基本要求</w:t>
      </w:r>
      <w:bookmarkEnd w:id="62"/>
      <w:bookmarkEnd w:id="63"/>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建立设施设备档案及设备台帐，设施设备管理制度健全，流程规范，责任人明确；根据设施设备特点按系统分类管理。</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按照国家相关规范及公司VI系统要求设置各类公共设施设备标识；保持完整统一规范。</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严格按国家规范、设施设备管理和保养制度对共用设施设备进行日常管理和维修养护（依法应由专业单位/部门负责的除外），记录齐全。</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对共用设施设备定期组织巡查，需要维修，属于小修范围的，及时组织修复；属于大、中修范围或者需要更新改造的，及时编制维修、更新改造计划和专项维修资金使用计划，向业主、业主大会或业主委员会提出报告与建议，根据业主大会的决定，组织维修或者更新改造。</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高压配电系统、后备电源发电机设备委托有资质的专业公司负责维护。</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各设备房及设备有明显警示标识，房内配置专用灭火器，做好防鼠防虫害措施，严禁吸烟、堆放杂物。</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各设备房、管井房天花、墙身、地面干净整洁，无积水、无积尘、无蛛网。</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 xml:space="preserve">各设备房通风良好，照明充足，温度、湿度达到设备供应商提供的技术参数要求。 </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各设备表面干净、整洁，保持本色，无积尘、无污迹。</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商业物业设备设施按系统划分进行管理，具体管理标准如下。</w:t>
      </w:r>
    </w:p>
    <w:p>
      <w:pPr>
        <w:pStyle w:val="103"/>
        <w:numPr>
          <w:ilvl w:val="2"/>
          <w:numId w:val="3"/>
        </w:numPr>
        <w:spacing w:line="360" w:lineRule="auto"/>
        <w:outlineLvl w:val="1"/>
        <w:rPr>
          <w:b/>
        </w:rPr>
      </w:pPr>
      <w:bookmarkStart w:id="67" w:name="_Toc519265275"/>
      <w:bookmarkStart w:id="68" w:name="_Toc306196599"/>
      <w:r>
        <w:rPr>
          <w:rFonts w:hint="eastAsia"/>
          <w:b/>
        </w:rPr>
        <w:t>供配电系统</w:t>
      </w:r>
      <w:bookmarkEnd w:id="67"/>
      <w:bookmarkEnd w:id="68"/>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制定供配电设施设备管理规定、岗位职责、安全操作规程、应急处理规程等规章制度，相应的规章制度悬挂在各主要设备房明显位置。</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重点连接部位（插接母线、插接母线开关箱内各接头、电缆、开关），每月不少于一次安排测量温度，并做好记录存档。</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高压工具集中摆放整齐，按国家规范要求定期进行检测,检测记录按照要求做好留底备查。</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柴油发电机组常用工具及配件放置在控制室内，摆放整齐。</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发电机每月安排不少于2次的空载运行，运行时间严格按照发电机的操作要求设定(参考时间为10-15分钟)，每年安排不少于1次带负荷运行,市电转后备电源发电有条件设为自动，转电时间不超过设计要求（参考时间为10秒）；手动转电，全部操作完成不超过5分钟。</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供电高低压系统应配备高低压系统一次接线图，接线图中各开关状态应与实际开关的使用状态一致。供电电缆首尾两端设置标志牌，注明电缆型号、用途、编号；插接母线设置编号、用途，注明走向；所有配电箱按使用功能进行了编号，总开关、分路开关分别注明用途。</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制定合理的节电措施，不断优化，减小能耗，低压补偿功率因素保持在0.90以上；配合供电部门做好错峰用电工作。</w:t>
      </w:r>
    </w:p>
    <w:p>
      <w:pPr>
        <w:pStyle w:val="104"/>
        <w:numPr>
          <w:ilvl w:val="3"/>
          <w:numId w:val="3"/>
        </w:numPr>
        <w:spacing w:line="360" w:lineRule="auto"/>
        <w:outlineLvl w:val="9"/>
        <w:rPr>
          <w:rFonts w:ascii="宋体" w:hAnsi="宋体" w:eastAsia="宋体"/>
          <w:szCs w:val="21"/>
        </w:rPr>
      </w:pPr>
      <w:r>
        <w:rPr>
          <w:rFonts w:hint="eastAsia" w:ascii="宋体" w:hAnsi="宋体" w:eastAsia="宋体"/>
          <w:szCs w:val="21"/>
        </w:rPr>
        <w:t>计划性的停电情况，应提前通知业主/使用人；故障停电情况，接报后5分钟内到位处理，视需要以口头或书面形式告知业主/使用人，均须做好应急准备。</w:t>
      </w:r>
    </w:p>
    <w:p>
      <w:pPr>
        <w:pStyle w:val="104"/>
        <w:numPr>
          <w:ilvl w:val="3"/>
          <w:numId w:val="3"/>
        </w:numPr>
        <w:spacing w:line="360" w:lineRule="auto"/>
        <w:outlineLvl w:val="9"/>
      </w:pPr>
      <w:r>
        <w:rPr>
          <w:rFonts w:hint="eastAsia" w:ascii="宋体" w:hAnsi="宋体" w:eastAsia="宋体"/>
          <w:szCs w:val="21"/>
        </w:rPr>
        <w:t>低压配电系统主要供电局回路，每年不少于一次除尘清洁，检查紧固接线端子。</w:t>
      </w:r>
    </w:p>
    <w:p>
      <w:pPr>
        <w:pStyle w:val="103"/>
        <w:numPr>
          <w:ilvl w:val="2"/>
          <w:numId w:val="3"/>
        </w:numPr>
        <w:spacing w:line="360" w:lineRule="auto"/>
        <w:outlineLvl w:val="1"/>
        <w:rPr>
          <w:b/>
        </w:rPr>
      </w:pPr>
      <w:bookmarkStart w:id="69" w:name="_Toc306196600"/>
      <w:bookmarkStart w:id="70" w:name="_Toc519265276"/>
      <w:r>
        <w:rPr>
          <w:rFonts w:hint="eastAsia"/>
          <w:b/>
        </w:rPr>
        <w:t>维护管理</w:t>
      </w:r>
      <w:bookmarkEnd w:id="64"/>
      <w:bookmarkEnd w:id="65"/>
      <w:bookmarkEnd w:id="66"/>
      <w:bookmarkEnd w:id="69"/>
      <w:bookmarkEnd w:id="70"/>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编制设备设施的年度维护保养计划及中大修计划，使用维修资金预算的，应事先报业主方审核批准后实施。</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房屋及附属设施维护要求：</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每年至少二次对房屋结构进行检查，涉及使用安全的部位每季检查一次，发现损坏及时告知  业主和使用人，修理并保持相关记录；</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保持门窗玻璃、配件完好，开闭灵活，无异常声响；</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墙面、顶面粉刷层无剥落，面砖、地砖平整、无缺损；</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定期对排水沟、排水管道进行清扫、疏通，保障排水畅通；</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每半年检查一次屋顶防水层，发现气鼓、开裂、缺损时及时修复；</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保持道路路面平整、无破损、无积水，侧石平直无缺损；</w:t>
      </w:r>
    </w:p>
    <w:p>
      <w:pPr>
        <w:pStyle w:val="94"/>
        <w:numPr>
          <w:ilvl w:val="0"/>
          <w:numId w:val="4"/>
        </w:numPr>
        <w:tabs>
          <w:tab w:val="left" w:pos="945"/>
          <w:tab w:val="left" w:pos="1035"/>
          <w:tab w:val="left" w:pos="1665"/>
        </w:tabs>
        <w:spacing w:line="360" w:lineRule="auto"/>
        <w:ind w:left="945" w:hanging="525"/>
        <w:rPr>
          <w:rFonts w:hAnsi="宋体"/>
          <w:color w:val="000000"/>
        </w:rPr>
      </w:pPr>
      <w:r>
        <w:rPr>
          <w:rFonts w:hint="eastAsia" w:hAnsi="宋体"/>
          <w:color w:val="000000"/>
        </w:rPr>
        <w:t>休闲椅、景观小品保持原有面貌，安全使用。</w:t>
      </w:r>
    </w:p>
    <w:p>
      <w:pPr>
        <w:pStyle w:val="104"/>
        <w:tabs>
          <w:tab w:val="clear" w:pos="1680"/>
        </w:tabs>
        <w:spacing w:line="360" w:lineRule="auto"/>
        <w:ind w:left="0" w:firstLine="0"/>
        <w:outlineLvl w:val="9"/>
        <w:rPr>
          <w:rFonts w:ascii="宋体" w:hAnsi="宋体" w:eastAsia="宋体"/>
        </w:rPr>
      </w:pPr>
      <w:r>
        <w:rPr>
          <w:rFonts w:hint="eastAsia" w:ascii="宋体" w:hAnsi="宋体" w:eastAsia="宋体"/>
        </w:rPr>
        <w:t>设施设备的系统维护应符合</w:t>
      </w:r>
      <w:r>
        <w:rPr>
          <w:rFonts w:ascii="宋体" w:hAnsi="宋体" w:eastAsia="宋体"/>
        </w:rPr>
        <w:t>DB</w:t>
      </w:r>
      <w:r>
        <w:rPr>
          <w:rFonts w:hint="eastAsia" w:ascii="宋体" w:hAnsi="宋体" w:eastAsia="宋体"/>
        </w:rPr>
        <w:t xml:space="preserve"> </w:t>
      </w:r>
      <w:r>
        <w:rPr>
          <w:rFonts w:ascii="宋体" w:hAnsi="宋体" w:eastAsia="宋体"/>
        </w:rPr>
        <w:t>31/T 361-2006</w:t>
      </w:r>
      <w:r>
        <w:rPr>
          <w:rFonts w:hint="eastAsia" w:ascii="宋体" w:hAnsi="宋体" w:eastAsia="宋体"/>
        </w:rPr>
        <w:t>《办公楼物业管理服务规范》的要求。</w:t>
      </w:r>
    </w:p>
    <w:p>
      <w:pPr>
        <w:pStyle w:val="104"/>
        <w:tabs>
          <w:tab w:val="clear" w:pos="1680"/>
        </w:tabs>
        <w:spacing w:line="360" w:lineRule="auto"/>
        <w:ind w:left="0" w:firstLine="0"/>
        <w:outlineLvl w:val="9"/>
      </w:pPr>
      <w:r>
        <w:rPr>
          <w:rFonts w:hint="eastAsia" w:ascii="宋体" w:hAnsi="宋体" w:eastAsia="宋体"/>
        </w:rPr>
        <w:t>对共用设备进行维护保养时，应尽量降低对营业环境的影响。</w:t>
      </w:r>
    </w:p>
    <w:p>
      <w:pPr>
        <w:pStyle w:val="104"/>
        <w:tabs>
          <w:tab w:val="clear" w:pos="1680"/>
        </w:tabs>
        <w:spacing w:line="360" w:lineRule="auto"/>
        <w:ind w:left="0" w:firstLine="0"/>
        <w:outlineLvl w:val="9"/>
      </w:pPr>
      <w:r>
        <w:rPr>
          <w:rFonts w:hint="eastAsia" w:eastAsia="宋体"/>
        </w:rPr>
        <w:t>被委托的专业单位在进行</w:t>
      </w:r>
      <w:r>
        <w:rPr>
          <w:rFonts w:hint="eastAsia" w:ascii="宋体" w:hAnsi="宋体" w:eastAsia="宋体"/>
        </w:rPr>
        <w:t>中大修或</w:t>
      </w:r>
      <w:r>
        <w:rPr>
          <w:rFonts w:hint="eastAsia" w:eastAsia="宋体"/>
        </w:rPr>
        <w:t>维护保养工作时，应指定专人对其进行监管，</w:t>
      </w:r>
      <w:r>
        <w:rPr>
          <w:rFonts w:hint="eastAsia" w:ascii="宋体" w:hAnsi="宋体" w:eastAsia="宋体"/>
        </w:rPr>
        <w:t>重点关注隐蔽工程、材料防火性能、电线的承载/绝缘/接地性能及水管（含配件）的承压能力等。</w:t>
      </w:r>
    </w:p>
    <w:p>
      <w:pPr>
        <w:pStyle w:val="104"/>
        <w:tabs>
          <w:tab w:val="clear" w:pos="1680"/>
        </w:tabs>
        <w:spacing w:line="360" w:lineRule="auto"/>
        <w:ind w:left="0" w:firstLine="0"/>
        <w:outlineLvl w:val="9"/>
        <w:rPr>
          <w:rFonts w:eastAsia="宋体"/>
        </w:rPr>
      </w:pPr>
      <w:r>
        <w:rPr>
          <w:rFonts w:hint="eastAsia" w:eastAsia="宋体"/>
        </w:rPr>
        <w:t>定期做好设备设施的日常清洁、紧固、注油、检漏等维护保养工作，发生设备突发故障时应及时组织抢修、恢复。</w:t>
      </w:r>
    </w:p>
    <w:p>
      <w:pPr>
        <w:pStyle w:val="83"/>
        <w:numPr>
          <w:ilvl w:val="1"/>
          <w:numId w:val="3"/>
        </w:numPr>
        <w:spacing w:before="156" w:after="156" w:line="360" w:lineRule="auto"/>
        <w:ind w:left="2"/>
        <w:outlineLvl w:val="0"/>
        <w:rPr>
          <w:b/>
          <w:color w:val="000000"/>
        </w:rPr>
      </w:pPr>
      <w:bookmarkStart w:id="71" w:name="_Toc519265277"/>
      <w:bookmarkStart w:id="72" w:name="_Toc306196601"/>
      <w:r>
        <w:rPr>
          <w:rFonts w:hint="eastAsia"/>
          <w:b/>
          <w:color w:val="000000"/>
        </w:rPr>
        <w:t>秩序维护服务</w:t>
      </w:r>
      <w:bookmarkEnd w:id="71"/>
      <w:bookmarkEnd w:id="72"/>
    </w:p>
    <w:p>
      <w:pPr>
        <w:pStyle w:val="103"/>
        <w:numPr>
          <w:ilvl w:val="2"/>
          <w:numId w:val="3"/>
        </w:numPr>
        <w:spacing w:line="360" w:lineRule="auto"/>
        <w:ind w:left="2"/>
        <w:outlineLvl w:val="1"/>
        <w:rPr>
          <w:b/>
          <w:bCs/>
        </w:rPr>
      </w:pPr>
      <w:bookmarkStart w:id="73" w:name="_Toc306196602"/>
      <w:bookmarkStart w:id="74" w:name="_Toc519265278"/>
      <w:bookmarkStart w:id="75" w:name="_Toc219806739"/>
      <w:bookmarkStart w:id="76" w:name="_Toc219806522"/>
      <w:bookmarkStart w:id="77" w:name="_Toc217651071"/>
      <w:bookmarkStart w:id="78" w:name="_Toc217650622"/>
      <w:bookmarkStart w:id="79" w:name="_Toc217646958"/>
      <w:bookmarkStart w:id="80" w:name="_Toc219807942"/>
      <w:r>
        <w:rPr>
          <w:rFonts w:hint="eastAsia"/>
          <w:b/>
          <w:bCs/>
        </w:rPr>
        <w:t>资料档案</w:t>
      </w:r>
      <w:bookmarkEnd w:id="73"/>
      <w:bookmarkEnd w:id="74"/>
    </w:p>
    <w:p>
      <w:pPr>
        <w:pStyle w:val="112"/>
        <w:spacing w:line="360" w:lineRule="auto"/>
        <w:ind w:firstLine="420"/>
      </w:pPr>
      <w:r>
        <w:rPr>
          <w:rFonts w:hint="eastAsia"/>
        </w:rPr>
        <w:t>建立完整的秩序维护队伍资料档案。</w:t>
      </w:r>
    </w:p>
    <w:p>
      <w:pPr>
        <w:pStyle w:val="103"/>
        <w:numPr>
          <w:ilvl w:val="2"/>
          <w:numId w:val="3"/>
        </w:numPr>
        <w:spacing w:line="360" w:lineRule="auto"/>
        <w:ind w:left="2"/>
        <w:outlineLvl w:val="1"/>
        <w:rPr>
          <w:b/>
          <w:bCs/>
        </w:rPr>
      </w:pPr>
      <w:bookmarkStart w:id="81" w:name="_Toc306196603"/>
      <w:bookmarkStart w:id="82" w:name="_Toc519265279"/>
      <w:r>
        <w:rPr>
          <w:rFonts w:hint="eastAsia"/>
          <w:b/>
          <w:bCs/>
        </w:rPr>
        <w:t>人员出入管理</w:t>
      </w:r>
      <w:bookmarkEnd w:id="75"/>
      <w:bookmarkEnd w:id="76"/>
      <w:bookmarkEnd w:id="77"/>
      <w:bookmarkEnd w:id="78"/>
      <w:bookmarkEnd w:id="79"/>
      <w:bookmarkEnd w:id="80"/>
      <w:bookmarkEnd w:id="81"/>
      <w:bookmarkEnd w:id="82"/>
    </w:p>
    <w:p>
      <w:pPr>
        <w:pStyle w:val="104"/>
        <w:numPr>
          <w:ilvl w:val="3"/>
          <w:numId w:val="3"/>
        </w:numPr>
        <w:spacing w:line="360" w:lineRule="auto"/>
        <w:ind w:left="2"/>
        <w:outlineLvl w:val="9"/>
        <w:rPr>
          <w:rFonts w:ascii="宋体" w:hAnsi="宋体" w:eastAsia="宋体"/>
        </w:rPr>
      </w:pPr>
      <w:r>
        <w:rPr>
          <w:rFonts w:hint="eastAsia" w:ascii="宋体" w:hAnsi="宋体" w:eastAsia="宋体"/>
        </w:rPr>
        <w:t>劝阻拾荒者、小商贩等进入物业区域。</w:t>
      </w:r>
    </w:p>
    <w:p>
      <w:pPr>
        <w:pStyle w:val="104"/>
        <w:numPr>
          <w:ilvl w:val="3"/>
          <w:numId w:val="3"/>
        </w:numPr>
        <w:spacing w:line="360" w:lineRule="auto"/>
        <w:ind w:left="2"/>
        <w:outlineLvl w:val="9"/>
        <w:rPr>
          <w:rFonts w:ascii="宋体" w:hAnsi="宋体" w:eastAsia="宋体"/>
        </w:rPr>
      </w:pPr>
      <w:r>
        <w:rPr>
          <w:rFonts w:hint="eastAsia" w:ascii="宋体" w:hAnsi="宋体" w:eastAsia="宋体"/>
        </w:rPr>
        <w:t>对出入内部专用通道的工作人员进行核查，对联系工作的外来人员进行核查、登记。</w:t>
      </w:r>
    </w:p>
    <w:p>
      <w:pPr>
        <w:pStyle w:val="104"/>
        <w:numPr>
          <w:ilvl w:val="3"/>
          <w:numId w:val="3"/>
        </w:numPr>
        <w:spacing w:line="360" w:lineRule="auto"/>
        <w:ind w:left="2"/>
        <w:outlineLvl w:val="9"/>
        <w:rPr>
          <w:rFonts w:ascii="宋体" w:hAnsi="宋体" w:eastAsia="宋体"/>
        </w:rPr>
      </w:pPr>
      <w:r>
        <w:rPr>
          <w:rFonts w:hint="eastAsia" w:ascii="宋体" w:hAnsi="宋体" w:eastAsia="宋体"/>
        </w:rPr>
        <w:t>因夜间营业、施工活动等需要设定的封闭区域，应有明显标识，阻止无关人员进入。</w:t>
      </w:r>
    </w:p>
    <w:p>
      <w:pPr>
        <w:pStyle w:val="104"/>
        <w:numPr>
          <w:ilvl w:val="3"/>
          <w:numId w:val="3"/>
        </w:numPr>
        <w:spacing w:line="360" w:lineRule="auto"/>
        <w:ind w:left="2"/>
        <w:outlineLvl w:val="9"/>
        <w:rPr>
          <w:rFonts w:ascii="宋体" w:hAnsi="宋体" w:eastAsia="宋体"/>
        </w:rPr>
      </w:pPr>
      <w:r>
        <w:rPr>
          <w:rFonts w:hint="eastAsia" w:ascii="宋体" w:hAnsi="宋体" w:eastAsia="宋体"/>
        </w:rPr>
        <w:t>因节假日或促销活动等引起人流集中时，应控制人流进入或进行疏导，保持出入口畅通。</w:t>
      </w:r>
    </w:p>
    <w:p>
      <w:pPr>
        <w:pStyle w:val="103"/>
        <w:numPr>
          <w:ilvl w:val="2"/>
          <w:numId w:val="3"/>
        </w:numPr>
        <w:spacing w:line="360" w:lineRule="auto"/>
        <w:ind w:left="2"/>
        <w:outlineLvl w:val="1"/>
        <w:rPr>
          <w:b/>
        </w:rPr>
      </w:pPr>
      <w:bookmarkStart w:id="83" w:name="_Toc519265280"/>
      <w:bookmarkStart w:id="84" w:name="_Toc306196604"/>
      <w:bookmarkStart w:id="85" w:name="_Toc219806740"/>
      <w:bookmarkStart w:id="86" w:name="_Toc217650626"/>
      <w:bookmarkStart w:id="87" w:name="_Toc219807943"/>
      <w:bookmarkStart w:id="88" w:name="_Toc217651075"/>
      <w:bookmarkStart w:id="89" w:name="_Toc219806523"/>
      <w:bookmarkStart w:id="90" w:name="_Toc217646962"/>
      <w:bookmarkStart w:id="91" w:name="_Toc217650623"/>
      <w:bookmarkStart w:id="92" w:name="_Toc217646959"/>
      <w:bookmarkStart w:id="93" w:name="_Toc217651072"/>
      <w:r>
        <w:rPr>
          <w:rFonts w:hint="eastAsia"/>
          <w:b/>
        </w:rPr>
        <w:t>宠物控制</w:t>
      </w:r>
      <w:bookmarkEnd w:id="83"/>
      <w:bookmarkEnd w:id="84"/>
    </w:p>
    <w:p>
      <w:pPr>
        <w:pStyle w:val="104"/>
        <w:numPr>
          <w:ilvl w:val="3"/>
          <w:numId w:val="3"/>
        </w:numPr>
        <w:spacing w:line="360" w:lineRule="auto"/>
        <w:ind w:left="2"/>
        <w:outlineLvl w:val="9"/>
        <w:rPr>
          <w:rFonts w:ascii="宋体" w:hAnsi="宋体" w:eastAsia="宋体"/>
        </w:rPr>
      </w:pPr>
      <w:r>
        <w:rPr>
          <w:rFonts w:hint="eastAsia" w:ascii="宋体" w:hAnsi="宋体" w:eastAsia="宋体"/>
        </w:rPr>
        <w:t>劝阻携带宠物者进入物业区域。</w:t>
      </w:r>
    </w:p>
    <w:p>
      <w:pPr>
        <w:pStyle w:val="104"/>
        <w:numPr>
          <w:ilvl w:val="3"/>
          <w:numId w:val="3"/>
        </w:numPr>
        <w:spacing w:line="360" w:lineRule="auto"/>
        <w:ind w:left="2"/>
        <w:outlineLvl w:val="9"/>
        <w:rPr>
          <w:rFonts w:ascii="宋体" w:hAnsi="宋体" w:eastAsia="宋体"/>
        </w:rPr>
      </w:pPr>
      <w:r>
        <w:rPr>
          <w:rFonts w:hint="eastAsia" w:ascii="宋体" w:hAnsi="宋体" w:eastAsia="宋体"/>
        </w:rPr>
        <w:t>限制无主宠物进入。</w:t>
      </w:r>
    </w:p>
    <w:p>
      <w:pPr>
        <w:pStyle w:val="103"/>
        <w:numPr>
          <w:ilvl w:val="2"/>
          <w:numId w:val="3"/>
        </w:numPr>
        <w:spacing w:line="360" w:lineRule="auto"/>
        <w:ind w:left="2"/>
        <w:outlineLvl w:val="1"/>
        <w:rPr>
          <w:b/>
        </w:rPr>
      </w:pPr>
      <w:bookmarkStart w:id="94" w:name="_Toc519265281"/>
      <w:bookmarkStart w:id="95" w:name="_Toc306196605"/>
      <w:r>
        <w:rPr>
          <w:rFonts w:hint="eastAsia"/>
          <w:b/>
        </w:rPr>
        <w:t>车辆管理</w:t>
      </w:r>
      <w:bookmarkEnd w:id="85"/>
      <w:bookmarkEnd w:id="86"/>
      <w:bookmarkEnd w:id="87"/>
      <w:bookmarkEnd w:id="88"/>
      <w:bookmarkEnd w:id="89"/>
      <w:bookmarkEnd w:id="90"/>
      <w:bookmarkEnd w:id="94"/>
      <w:bookmarkEnd w:id="95"/>
    </w:p>
    <w:p>
      <w:pPr>
        <w:pStyle w:val="104"/>
        <w:numPr>
          <w:ilvl w:val="3"/>
          <w:numId w:val="3"/>
        </w:numPr>
        <w:spacing w:line="360" w:lineRule="auto"/>
        <w:ind w:left="2"/>
        <w:outlineLvl w:val="9"/>
        <w:rPr>
          <w:rFonts w:ascii="宋体" w:hAnsi="宋体" w:eastAsia="宋体"/>
        </w:rPr>
      </w:pPr>
      <w:r>
        <w:rPr>
          <w:rFonts w:hint="eastAsia" w:ascii="宋体" w:hAnsi="宋体" w:eastAsia="宋体"/>
        </w:rPr>
        <w:t>停车场（库）及车辆进出通道应明确行驶路线、划定停车位、规范设置交通标识，公示收费标准和管理规定。</w:t>
      </w:r>
    </w:p>
    <w:p>
      <w:pPr>
        <w:pStyle w:val="104"/>
        <w:numPr>
          <w:ilvl w:val="3"/>
          <w:numId w:val="3"/>
        </w:numPr>
        <w:spacing w:line="360" w:lineRule="auto"/>
        <w:ind w:left="2"/>
        <w:outlineLvl w:val="9"/>
        <w:rPr>
          <w:rFonts w:ascii="宋体" w:hAnsi="宋体" w:eastAsia="宋体"/>
        </w:rPr>
      </w:pPr>
      <w:r>
        <w:rPr>
          <w:rFonts w:hint="eastAsia" w:ascii="宋体" w:hAnsi="宋体" w:eastAsia="宋体"/>
        </w:rPr>
        <w:t>停车场（库）通往商场的入口处，宜张贴车库平面图，标注入口处位置、停车区位编号及紧急疏散出口等信息。</w:t>
      </w:r>
    </w:p>
    <w:p>
      <w:pPr>
        <w:pStyle w:val="104"/>
        <w:numPr>
          <w:ilvl w:val="3"/>
          <w:numId w:val="3"/>
        </w:numPr>
        <w:spacing w:line="360" w:lineRule="auto"/>
        <w:ind w:left="2"/>
        <w:outlineLvl w:val="9"/>
        <w:rPr>
          <w:rFonts w:ascii="宋体" w:hAnsi="宋体" w:eastAsia="宋体"/>
        </w:rPr>
      </w:pPr>
      <w:r>
        <w:rPr>
          <w:rFonts w:hint="eastAsia" w:ascii="宋体" w:hAnsi="宋体" w:eastAsia="宋体"/>
        </w:rPr>
        <w:t xml:space="preserve">停车场（库）内禁止存放易燃易爆、化学危险品或其他违禁物品。  </w:t>
      </w:r>
    </w:p>
    <w:p>
      <w:pPr>
        <w:pStyle w:val="104"/>
        <w:numPr>
          <w:ilvl w:val="3"/>
          <w:numId w:val="3"/>
        </w:numPr>
        <w:spacing w:line="360" w:lineRule="auto"/>
        <w:ind w:left="2"/>
        <w:outlineLvl w:val="9"/>
        <w:rPr>
          <w:rFonts w:ascii="宋体" w:hAnsi="宋体" w:eastAsia="宋体"/>
        </w:rPr>
      </w:pPr>
      <w:r>
        <w:rPr>
          <w:rFonts w:hint="eastAsia" w:ascii="宋体" w:hAnsi="宋体" w:eastAsia="宋体"/>
        </w:rPr>
        <w:t>引导进出物业区域的车辆按规定路线行驶，维护正常的交通秩序。消防车进入前，应对车辆采取紧急疏散，保持路线畅通。</w:t>
      </w:r>
    </w:p>
    <w:p>
      <w:pPr>
        <w:pStyle w:val="104"/>
        <w:numPr>
          <w:ilvl w:val="3"/>
          <w:numId w:val="3"/>
        </w:numPr>
        <w:spacing w:line="360" w:lineRule="auto"/>
        <w:ind w:left="2"/>
        <w:outlineLvl w:val="9"/>
        <w:rPr>
          <w:rFonts w:ascii="宋体" w:hAnsi="宋体" w:eastAsia="宋体"/>
        </w:rPr>
      </w:pPr>
      <w:r>
        <w:rPr>
          <w:rFonts w:hint="eastAsia" w:ascii="宋体" w:hAnsi="宋体" w:eastAsia="宋体"/>
        </w:rPr>
        <w:t>指挥进入停车场（库）的车辆停入泊位，及时提醒车主注意相关的安全事项。特种车辆和残疾人车辆应停在指定位置。</w:t>
      </w:r>
    </w:p>
    <w:p>
      <w:pPr>
        <w:pStyle w:val="104"/>
        <w:numPr>
          <w:ilvl w:val="3"/>
          <w:numId w:val="3"/>
        </w:numPr>
        <w:spacing w:line="360" w:lineRule="auto"/>
        <w:ind w:left="2"/>
        <w:outlineLvl w:val="9"/>
        <w:rPr>
          <w:rFonts w:ascii="宋体" w:hAnsi="宋体" w:eastAsia="宋体"/>
          <w:b/>
        </w:rPr>
      </w:pPr>
      <w:r>
        <w:rPr>
          <w:rFonts w:hint="eastAsia" w:eastAsia="宋体"/>
        </w:rPr>
        <w:t>货运车辆应按预约时间、指定通道进出。</w:t>
      </w:r>
    </w:p>
    <w:p>
      <w:pPr>
        <w:pStyle w:val="103"/>
        <w:numPr>
          <w:ilvl w:val="2"/>
          <w:numId w:val="3"/>
        </w:numPr>
        <w:spacing w:line="360" w:lineRule="auto"/>
        <w:ind w:left="2"/>
        <w:outlineLvl w:val="1"/>
        <w:rPr>
          <w:b/>
        </w:rPr>
      </w:pPr>
      <w:bookmarkStart w:id="96" w:name="_Toc219807944"/>
      <w:bookmarkStart w:id="97" w:name="_Toc306196606"/>
      <w:bookmarkStart w:id="98" w:name="_Toc519265282"/>
      <w:bookmarkStart w:id="99" w:name="_Toc219806741"/>
      <w:bookmarkStart w:id="100" w:name="_Toc219806524"/>
      <w:r>
        <w:rPr>
          <w:rFonts w:hint="eastAsia"/>
          <w:b/>
        </w:rPr>
        <w:t>货物装卸管理</w:t>
      </w:r>
      <w:bookmarkEnd w:id="96"/>
      <w:bookmarkEnd w:id="97"/>
      <w:bookmarkEnd w:id="98"/>
      <w:bookmarkEnd w:id="99"/>
      <w:bookmarkEnd w:id="100"/>
    </w:p>
    <w:p>
      <w:pPr>
        <w:pStyle w:val="104"/>
        <w:numPr>
          <w:ilvl w:val="3"/>
          <w:numId w:val="3"/>
        </w:numPr>
        <w:spacing w:line="360" w:lineRule="auto"/>
        <w:ind w:left="2"/>
        <w:outlineLvl w:val="9"/>
        <w:rPr>
          <w:rFonts w:ascii="宋体" w:hAnsi="宋体" w:eastAsia="宋体"/>
          <w:bCs/>
        </w:rPr>
      </w:pPr>
      <w:r>
        <w:rPr>
          <w:rFonts w:hint="eastAsia" w:eastAsia="宋体"/>
          <w:bCs/>
        </w:rPr>
        <w:t>货物装卸应按约定时间、在指定区域进行。</w:t>
      </w:r>
    </w:p>
    <w:p>
      <w:pPr>
        <w:pStyle w:val="104"/>
        <w:numPr>
          <w:ilvl w:val="3"/>
          <w:numId w:val="3"/>
        </w:numPr>
        <w:spacing w:line="360" w:lineRule="auto"/>
        <w:ind w:left="2"/>
        <w:outlineLvl w:val="9"/>
      </w:pPr>
      <w:r>
        <w:rPr>
          <w:rFonts w:hint="eastAsia" w:ascii="宋体" w:hAnsi="宋体" w:eastAsia="宋体"/>
        </w:rPr>
        <w:t>维护</w:t>
      </w:r>
      <w:r>
        <w:rPr>
          <w:rFonts w:hint="eastAsia" w:eastAsia="宋体"/>
          <w:bCs/>
        </w:rPr>
        <w:t>货物</w:t>
      </w:r>
      <w:r>
        <w:rPr>
          <w:rFonts w:hint="eastAsia" w:ascii="宋体" w:hAnsi="宋体" w:eastAsia="宋体"/>
        </w:rPr>
        <w:t>装卸区域的正常秩序：</w:t>
      </w:r>
    </w:p>
    <w:p>
      <w:pPr>
        <w:pStyle w:val="94"/>
        <w:numPr>
          <w:ilvl w:val="0"/>
          <w:numId w:val="4"/>
        </w:numPr>
        <w:tabs>
          <w:tab w:val="left" w:pos="854"/>
          <w:tab w:val="left" w:pos="1035"/>
          <w:tab w:val="left" w:pos="1665"/>
          <w:tab w:val="clear" w:pos="1140"/>
        </w:tabs>
        <w:spacing w:line="360" w:lineRule="auto"/>
      </w:pPr>
      <w:r>
        <w:rPr>
          <w:rFonts w:hint="eastAsia"/>
        </w:rPr>
        <w:t>阻止无关人员和车辆进入；</w:t>
      </w:r>
    </w:p>
    <w:p>
      <w:pPr>
        <w:pStyle w:val="94"/>
        <w:numPr>
          <w:ilvl w:val="0"/>
          <w:numId w:val="4"/>
        </w:numPr>
        <w:tabs>
          <w:tab w:val="left" w:pos="854"/>
          <w:tab w:val="left" w:pos="1035"/>
          <w:tab w:val="left" w:pos="1665"/>
          <w:tab w:val="clear" w:pos="1140"/>
        </w:tabs>
        <w:spacing w:line="360" w:lineRule="auto"/>
      </w:pPr>
      <w:r>
        <w:rPr>
          <w:rFonts w:hint="eastAsia"/>
          <w:bCs/>
        </w:rPr>
        <w:t>卸</w:t>
      </w:r>
      <w:r>
        <w:rPr>
          <w:rFonts w:hint="eastAsia"/>
        </w:rPr>
        <w:t>货车辆按序进入装卸平台；</w:t>
      </w:r>
    </w:p>
    <w:p>
      <w:pPr>
        <w:pStyle w:val="94"/>
        <w:numPr>
          <w:ilvl w:val="0"/>
          <w:numId w:val="4"/>
        </w:numPr>
        <w:tabs>
          <w:tab w:val="left" w:pos="854"/>
          <w:tab w:val="left" w:pos="1035"/>
          <w:tab w:val="left" w:pos="1665"/>
          <w:tab w:val="clear" w:pos="1140"/>
        </w:tabs>
        <w:spacing w:line="360" w:lineRule="auto"/>
        <w:rPr>
          <w:b/>
        </w:rPr>
      </w:pPr>
      <w:r>
        <w:rPr>
          <w:rFonts w:hint="eastAsia"/>
        </w:rPr>
        <w:t>车辆在装卸区域等候时驾驶员不应离开现场；</w:t>
      </w:r>
    </w:p>
    <w:p>
      <w:pPr>
        <w:pStyle w:val="94"/>
        <w:numPr>
          <w:ilvl w:val="0"/>
          <w:numId w:val="4"/>
        </w:numPr>
        <w:tabs>
          <w:tab w:val="left" w:pos="854"/>
          <w:tab w:val="left" w:pos="1035"/>
          <w:tab w:val="left" w:pos="1665"/>
          <w:tab w:val="clear" w:pos="1140"/>
        </w:tabs>
        <w:spacing w:line="360" w:lineRule="auto"/>
        <w:rPr>
          <w:rFonts w:ascii="Times New Roman" w:eastAsia="黑体"/>
          <w:b/>
        </w:rPr>
      </w:pPr>
      <w:r>
        <w:rPr>
          <w:rFonts w:hint="eastAsia"/>
        </w:rPr>
        <w:t>督促作业人员及时清除废弃物；</w:t>
      </w:r>
    </w:p>
    <w:p>
      <w:pPr>
        <w:pStyle w:val="94"/>
        <w:numPr>
          <w:ilvl w:val="0"/>
          <w:numId w:val="4"/>
        </w:numPr>
        <w:tabs>
          <w:tab w:val="left" w:pos="854"/>
          <w:tab w:val="left" w:pos="1035"/>
          <w:tab w:val="left" w:pos="1665"/>
          <w:tab w:val="clear" w:pos="1140"/>
        </w:tabs>
        <w:spacing w:line="360" w:lineRule="auto"/>
        <w:rPr>
          <w:rFonts w:ascii="Times New Roman" w:eastAsia="黑体"/>
          <w:b/>
        </w:rPr>
      </w:pPr>
      <w:r>
        <w:rPr>
          <w:rFonts w:hint="eastAsia"/>
        </w:rPr>
        <w:t>劝离完成</w:t>
      </w:r>
      <w:r>
        <w:rPr>
          <w:rFonts w:hint="eastAsia"/>
          <w:bCs/>
        </w:rPr>
        <w:t>卸</w:t>
      </w:r>
      <w:r>
        <w:rPr>
          <w:rFonts w:hint="eastAsia"/>
        </w:rPr>
        <w:t>货任务的车辆。</w:t>
      </w:r>
    </w:p>
    <w:p>
      <w:pPr>
        <w:pStyle w:val="103"/>
        <w:numPr>
          <w:ilvl w:val="2"/>
          <w:numId w:val="3"/>
        </w:numPr>
        <w:spacing w:line="360" w:lineRule="auto"/>
        <w:ind w:left="2"/>
        <w:outlineLvl w:val="1"/>
        <w:rPr>
          <w:b/>
        </w:rPr>
      </w:pPr>
      <w:bookmarkStart w:id="101" w:name="_Toc219806742"/>
      <w:bookmarkStart w:id="102" w:name="_Toc219806525"/>
      <w:bookmarkStart w:id="103" w:name="_Toc219807945"/>
      <w:bookmarkStart w:id="104" w:name="_Toc519265283"/>
      <w:bookmarkStart w:id="105" w:name="_Toc306196607"/>
      <w:r>
        <w:rPr>
          <w:rFonts w:hint="eastAsia"/>
          <w:b/>
        </w:rPr>
        <w:t>监控管理</w:t>
      </w:r>
      <w:bookmarkEnd w:id="91"/>
      <w:bookmarkEnd w:id="92"/>
      <w:bookmarkEnd w:id="93"/>
      <w:bookmarkEnd w:id="101"/>
      <w:bookmarkEnd w:id="102"/>
      <w:bookmarkEnd w:id="103"/>
      <w:bookmarkEnd w:id="104"/>
      <w:bookmarkEnd w:id="105"/>
    </w:p>
    <w:p>
      <w:pPr>
        <w:pStyle w:val="104"/>
        <w:numPr>
          <w:ilvl w:val="3"/>
          <w:numId w:val="3"/>
        </w:numPr>
        <w:spacing w:line="360" w:lineRule="auto"/>
        <w:ind w:left="2"/>
        <w:outlineLvl w:val="9"/>
        <w:rPr>
          <w:rFonts w:ascii="宋体" w:hAnsi="宋体" w:eastAsia="宋体"/>
        </w:rPr>
      </w:pPr>
      <w:r>
        <w:rPr>
          <w:rFonts w:hint="eastAsia" w:ascii="宋体" w:hAnsi="宋体" w:eastAsia="宋体"/>
        </w:rPr>
        <w:t>监控室门上有明显警示标志；室内无杂物堆放；每天清扫一次。</w:t>
      </w:r>
    </w:p>
    <w:p>
      <w:pPr>
        <w:pStyle w:val="104"/>
        <w:numPr>
          <w:ilvl w:val="3"/>
          <w:numId w:val="3"/>
        </w:numPr>
        <w:spacing w:line="360" w:lineRule="auto"/>
        <w:ind w:left="2"/>
        <w:outlineLvl w:val="9"/>
        <w:rPr>
          <w:rFonts w:ascii="宋体" w:hAnsi="宋体" w:eastAsia="宋体"/>
        </w:rPr>
      </w:pPr>
      <w:r>
        <w:rPr>
          <w:rFonts w:hint="eastAsia" w:ascii="宋体" w:hAnsi="宋体" w:eastAsia="宋体"/>
        </w:rPr>
        <w:t>监控室环境应符合系统设备运行要求，定期进行检查和检测，确保监控系统功能正常，保证通讯系统畅通（铃响三声内及时接听）。</w:t>
      </w:r>
    </w:p>
    <w:p>
      <w:pPr>
        <w:pStyle w:val="104"/>
        <w:numPr>
          <w:ilvl w:val="3"/>
          <w:numId w:val="3"/>
        </w:numPr>
        <w:spacing w:line="360" w:lineRule="auto"/>
        <w:ind w:left="2"/>
        <w:outlineLvl w:val="9"/>
        <w:rPr>
          <w:rFonts w:ascii="宋体" w:hAnsi="宋体" w:eastAsia="宋体"/>
        </w:rPr>
      </w:pPr>
      <w:r>
        <w:rPr>
          <w:rFonts w:hint="eastAsia" w:ascii="宋体" w:hAnsi="宋体" w:eastAsia="宋体"/>
        </w:rPr>
        <w:t>监控室应24小时实施监控管理并保持相关记录完整。监控的录入资料，有特殊要求的应复制备份，查阅应经授权人核准。</w:t>
      </w:r>
    </w:p>
    <w:p>
      <w:pPr>
        <w:pStyle w:val="104"/>
        <w:numPr>
          <w:ilvl w:val="3"/>
          <w:numId w:val="3"/>
        </w:numPr>
        <w:spacing w:line="360" w:lineRule="auto"/>
        <w:ind w:left="2"/>
        <w:outlineLvl w:val="9"/>
        <w:rPr>
          <w:rFonts w:ascii="宋体" w:hAnsi="宋体" w:eastAsia="宋体"/>
        </w:rPr>
      </w:pPr>
      <w:r>
        <w:rPr>
          <w:rFonts w:hint="eastAsia" w:ascii="宋体" w:hAnsi="宋体" w:eastAsia="宋体"/>
        </w:rPr>
        <w:t>接到报警信息后，应及时对现场进行核实并记录，发生紧急或异常情况时，应报告并启动相应预案。</w:t>
      </w:r>
    </w:p>
    <w:p>
      <w:pPr>
        <w:pStyle w:val="104"/>
        <w:numPr>
          <w:ilvl w:val="3"/>
          <w:numId w:val="3"/>
        </w:numPr>
        <w:spacing w:line="360" w:lineRule="auto"/>
        <w:ind w:left="2"/>
        <w:outlineLvl w:val="9"/>
      </w:pPr>
      <w:r>
        <w:rPr>
          <w:rFonts w:hint="eastAsia" w:ascii="宋体" w:hAnsi="宋体" w:eastAsia="宋体"/>
        </w:rPr>
        <w:t>对商业促销活动的关键区域、通宵营业区域等宜进行跟踪监视。</w:t>
      </w:r>
    </w:p>
    <w:p>
      <w:pPr>
        <w:pStyle w:val="104"/>
        <w:numPr>
          <w:ilvl w:val="3"/>
          <w:numId w:val="3"/>
        </w:numPr>
        <w:spacing w:line="360" w:lineRule="auto"/>
        <w:ind w:left="2"/>
        <w:outlineLvl w:val="9"/>
        <w:rPr>
          <w:rFonts w:ascii="宋体" w:hAnsi="宋体" w:eastAsia="宋体"/>
        </w:rPr>
      </w:pPr>
      <w:r>
        <w:rPr>
          <w:rFonts w:hint="eastAsia" w:ascii="宋体" w:hAnsi="宋体" w:eastAsia="宋体"/>
        </w:rPr>
        <w:t>对停止营业的区域进行安全防范技术设防。对租户的设防进行确认，发现问题应及时采取措施。</w:t>
      </w:r>
    </w:p>
    <w:p>
      <w:pPr>
        <w:pStyle w:val="103"/>
        <w:numPr>
          <w:ilvl w:val="2"/>
          <w:numId w:val="3"/>
        </w:numPr>
        <w:spacing w:line="360" w:lineRule="auto"/>
        <w:ind w:left="2"/>
        <w:outlineLvl w:val="1"/>
        <w:rPr>
          <w:b/>
        </w:rPr>
      </w:pPr>
      <w:bookmarkStart w:id="106" w:name="_Toc219807946"/>
      <w:bookmarkStart w:id="107" w:name="_Toc217646960"/>
      <w:bookmarkStart w:id="108" w:name="_Toc217650624"/>
      <w:bookmarkStart w:id="109" w:name="_Toc217651073"/>
      <w:bookmarkStart w:id="110" w:name="_Toc219806526"/>
      <w:bookmarkStart w:id="111" w:name="_Toc219806743"/>
      <w:bookmarkStart w:id="112" w:name="_Toc519265284"/>
      <w:bookmarkStart w:id="113" w:name="_Toc306196608"/>
      <w:r>
        <w:rPr>
          <w:rFonts w:hint="eastAsia"/>
          <w:b/>
          <w:lang w:val="zh-CN"/>
        </w:rPr>
        <w:t>巡逻</w:t>
      </w:r>
      <w:bookmarkEnd w:id="106"/>
      <w:bookmarkEnd w:id="107"/>
      <w:bookmarkEnd w:id="108"/>
      <w:bookmarkEnd w:id="109"/>
      <w:bookmarkEnd w:id="110"/>
      <w:bookmarkEnd w:id="111"/>
      <w:r>
        <w:rPr>
          <w:rFonts w:hint="eastAsia"/>
          <w:b/>
        </w:rPr>
        <w:t>管理</w:t>
      </w:r>
      <w:bookmarkEnd w:id="112"/>
      <w:bookmarkEnd w:id="113"/>
    </w:p>
    <w:p>
      <w:pPr>
        <w:pStyle w:val="104"/>
        <w:numPr>
          <w:ilvl w:val="3"/>
          <w:numId w:val="3"/>
        </w:numPr>
        <w:spacing w:line="360" w:lineRule="auto"/>
        <w:ind w:left="2"/>
        <w:outlineLvl w:val="9"/>
        <w:rPr>
          <w:rFonts w:ascii="宋体" w:hAnsi="宋体" w:eastAsia="宋体"/>
        </w:rPr>
      </w:pPr>
      <w:r>
        <w:rPr>
          <w:rFonts w:hint="eastAsia" w:ascii="宋体" w:hAnsi="宋体" w:eastAsia="宋体"/>
          <w:bCs/>
        </w:rPr>
        <w:t>按商业物业的特点，</w:t>
      </w:r>
      <w:r>
        <w:rPr>
          <w:rFonts w:hint="eastAsia" w:ascii="宋体" w:hAnsi="宋体" w:eastAsia="宋体"/>
        </w:rPr>
        <w:t>设定巡逻路线，明确巡逻内容。贵重商品区域、金融营业网点及施工区域等增加巡逻频次，至少每2小时巡逻一次。巡逻应使用巡更设备，并保持巡更和巡逻记录。如无巡更设备，应尽量保证两人一组进行巡逻。</w:t>
      </w:r>
    </w:p>
    <w:p>
      <w:pPr>
        <w:pStyle w:val="104"/>
        <w:numPr>
          <w:ilvl w:val="3"/>
          <w:numId w:val="3"/>
        </w:numPr>
        <w:spacing w:line="360" w:lineRule="auto"/>
        <w:ind w:left="2"/>
        <w:outlineLvl w:val="9"/>
        <w:rPr>
          <w:rFonts w:ascii="宋体" w:hAnsi="宋体" w:eastAsia="宋体"/>
          <w:bCs/>
        </w:rPr>
      </w:pPr>
      <w:r>
        <w:rPr>
          <w:rFonts w:hint="eastAsia" w:ascii="宋体" w:hAnsi="宋体" w:eastAsia="宋体"/>
          <w:bCs/>
        </w:rPr>
        <w:t>巡逻中应及时阻止偷盗、损坏物品、乱招贴等行为，关注老、弱、残、儿童的安全。</w:t>
      </w:r>
    </w:p>
    <w:p>
      <w:pPr>
        <w:pStyle w:val="104"/>
        <w:numPr>
          <w:ilvl w:val="3"/>
          <w:numId w:val="3"/>
        </w:numPr>
        <w:spacing w:line="360" w:lineRule="auto"/>
        <w:ind w:left="2"/>
        <w:outlineLvl w:val="9"/>
        <w:rPr>
          <w:rFonts w:ascii="宋体" w:hAnsi="宋体" w:eastAsia="宋体"/>
        </w:rPr>
      </w:pPr>
      <w:r>
        <w:rPr>
          <w:rFonts w:hint="eastAsia" w:ascii="宋体" w:hAnsi="宋体" w:eastAsia="宋体"/>
          <w:bCs/>
        </w:rPr>
        <w:t>巡逻中</w:t>
      </w:r>
      <w:r>
        <w:rPr>
          <w:rFonts w:hint="eastAsia" w:ascii="宋体" w:hAnsi="宋体" w:eastAsia="宋体"/>
        </w:rPr>
        <w:t>发现异常情况时应及时处理：</w:t>
      </w:r>
    </w:p>
    <w:p>
      <w:pPr>
        <w:pStyle w:val="94"/>
        <w:numPr>
          <w:ilvl w:val="0"/>
          <w:numId w:val="4"/>
        </w:numPr>
        <w:tabs>
          <w:tab w:val="left" w:pos="854"/>
        </w:tabs>
        <w:spacing w:line="360" w:lineRule="auto"/>
      </w:pPr>
      <w:r>
        <w:rPr>
          <w:rFonts w:hint="eastAsia"/>
        </w:rPr>
        <w:t>违章占用通道等有碍安全的行为；</w:t>
      </w:r>
    </w:p>
    <w:p>
      <w:pPr>
        <w:pStyle w:val="94"/>
        <w:numPr>
          <w:ilvl w:val="0"/>
          <w:numId w:val="4"/>
        </w:numPr>
        <w:tabs>
          <w:tab w:val="left" w:pos="854"/>
        </w:tabs>
        <w:spacing w:line="360" w:lineRule="auto"/>
      </w:pPr>
      <w:r>
        <w:rPr>
          <w:rFonts w:hint="eastAsia"/>
        </w:rPr>
        <w:t>消费者的违规行为和危险举动；</w:t>
      </w:r>
    </w:p>
    <w:p>
      <w:pPr>
        <w:pStyle w:val="94"/>
        <w:numPr>
          <w:ilvl w:val="0"/>
          <w:numId w:val="4"/>
        </w:numPr>
        <w:tabs>
          <w:tab w:val="left" w:pos="854"/>
        </w:tabs>
        <w:spacing w:line="360" w:lineRule="auto"/>
      </w:pPr>
      <w:r>
        <w:rPr>
          <w:rFonts w:hint="eastAsia"/>
        </w:rPr>
        <w:t>可疑人员；</w:t>
      </w:r>
    </w:p>
    <w:p>
      <w:pPr>
        <w:pStyle w:val="94"/>
        <w:numPr>
          <w:ilvl w:val="0"/>
          <w:numId w:val="4"/>
        </w:numPr>
        <w:tabs>
          <w:tab w:val="left" w:pos="854"/>
        </w:tabs>
        <w:spacing w:line="360" w:lineRule="auto"/>
      </w:pPr>
      <w:r>
        <w:rPr>
          <w:rFonts w:hint="eastAsia"/>
        </w:rPr>
        <w:t>设施损坏或设备异常。</w:t>
      </w:r>
    </w:p>
    <w:p>
      <w:pPr>
        <w:pStyle w:val="104"/>
        <w:numPr>
          <w:ilvl w:val="3"/>
          <w:numId w:val="3"/>
        </w:numPr>
        <w:spacing w:line="360" w:lineRule="auto"/>
        <w:ind w:left="2"/>
        <w:outlineLvl w:val="9"/>
        <w:rPr>
          <w:rFonts w:ascii="宋体" w:hAnsi="宋体" w:eastAsia="宋体"/>
          <w:bCs/>
        </w:rPr>
      </w:pPr>
      <w:r>
        <w:rPr>
          <w:rFonts w:hint="eastAsia" w:ascii="宋体" w:hAnsi="宋体" w:eastAsia="宋体"/>
          <w:bCs/>
        </w:rPr>
        <w:t>节假日或促销活动时，应观察人群流向，防止拥挤、挤压、踩踏等人身伤害事故发生，必要时启动相应的应急预案。</w:t>
      </w:r>
    </w:p>
    <w:p>
      <w:pPr>
        <w:pStyle w:val="103"/>
        <w:numPr>
          <w:ilvl w:val="2"/>
          <w:numId w:val="3"/>
        </w:numPr>
        <w:spacing w:line="360" w:lineRule="auto"/>
        <w:ind w:left="2"/>
        <w:outlineLvl w:val="1"/>
        <w:rPr>
          <w:b/>
        </w:rPr>
      </w:pPr>
      <w:bookmarkStart w:id="114" w:name="_Toc217651077"/>
      <w:bookmarkStart w:id="115" w:name="_Toc519265285"/>
      <w:bookmarkStart w:id="116" w:name="_Toc219806744"/>
      <w:bookmarkStart w:id="117" w:name="_Toc219807947"/>
      <w:bookmarkStart w:id="118" w:name="_Toc217650628"/>
      <w:bookmarkStart w:id="119" w:name="_Toc219806527"/>
      <w:bookmarkStart w:id="120" w:name="_Toc306196609"/>
      <w:bookmarkStart w:id="121" w:name="_Toc217646964"/>
      <w:bookmarkStart w:id="122" w:name="_Toc199597640"/>
      <w:bookmarkStart w:id="123" w:name="_Toc197781471"/>
      <w:bookmarkStart w:id="124" w:name="_Toc193261797"/>
      <w:bookmarkStart w:id="125" w:name="_Toc199597481"/>
      <w:bookmarkStart w:id="126" w:name="_Toc193440738"/>
      <w:bookmarkStart w:id="127" w:name="_Toc197782187"/>
      <w:bookmarkStart w:id="128" w:name="_Toc217651059"/>
      <w:bookmarkStart w:id="129" w:name="_Toc195247555"/>
      <w:bookmarkStart w:id="130" w:name="_Toc217646946"/>
      <w:bookmarkStart w:id="131" w:name="_Toc193440608"/>
      <w:bookmarkStart w:id="132" w:name="_Toc193261581"/>
      <w:bookmarkStart w:id="133" w:name="_Toc217650610"/>
      <w:bookmarkStart w:id="134" w:name="_Toc193441657"/>
      <w:bookmarkStart w:id="135" w:name="_Toc197782102"/>
      <w:bookmarkStart w:id="136" w:name="_Toc193441862"/>
      <w:bookmarkStart w:id="137" w:name="_Toc217650627"/>
      <w:bookmarkStart w:id="138" w:name="_Toc217651076"/>
      <w:bookmarkStart w:id="139" w:name="_Toc217646963"/>
      <w:r>
        <w:rPr>
          <w:rFonts w:hint="eastAsia"/>
          <w:b/>
        </w:rPr>
        <w:t>清场管理</w:t>
      </w:r>
      <w:bookmarkEnd w:id="114"/>
      <w:bookmarkEnd w:id="115"/>
      <w:bookmarkEnd w:id="116"/>
      <w:bookmarkEnd w:id="117"/>
      <w:bookmarkEnd w:id="118"/>
      <w:bookmarkEnd w:id="119"/>
      <w:bookmarkEnd w:id="120"/>
      <w:bookmarkEnd w:id="121"/>
    </w:p>
    <w:p>
      <w:pPr>
        <w:pStyle w:val="104"/>
        <w:numPr>
          <w:ilvl w:val="3"/>
          <w:numId w:val="3"/>
        </w:numPr>
        <w:spacing w:line="360" w:lineRule="auto"/>
        <w:ind w:left="2"/>
        <w:outlineLvl w:val="9"/>
        <w:rPr>
          <w:rFonts w:ascii="宋体" w:hAnsi="宋体" w:eastAsia="宋体"/>
        </w:rPr>
      </w:pPr>
      <w:r>
        <w:rPr>
          <w:rFonts w:hint="eastAsia" w:ascii="宋体" w:hAnsi="宋体" w:eastAsia="宋体"/>
          <w:szCs w:val="21"/>
        </w:rPr>
        <w:t>确</w:t>
      </w:r>
      <w:r>
        <w:rPr>
          <w:rFonts w:hint="eastAsia" w:ascii="宋体" w:hAnsi="宋体" w:eastAsia="宋体"/>
        </w:rPr>
        <w:t>定清场路线，不留死角和盲区。</w:t>
      </w:r>
    </w:p>
    <w:p>
      <w:pPr>
        <w:pStyle w:val="104"/>
        <w:numPr>
          <w:ilvl w:val="3"/>
          <w:numId w:val="3"/>
        </w:numPr>
        <w:spacing w:line="360" w:lineRule="auto"/>
        <w:ind w:left="2"/>
        <w:outlineLvl w:val="9"/>
        <w:rPr>
          <w:rFonts w:ascii="宋体" w:hAnsi="宋体" w:eastAsia="宋体"/>
        </w:rPr>
      </w:pPr>
      <w:r>
        <w:rPr>
          <w:rFonts w:hint="eastAsia" w:ascii="宋体" w:hAnsi="宋体" w:eastAsia="宋体"/>
        </w:rPr>
        <w:t>引导消费者及租户按指定路线离场，需要留场的租户工作人员，应事先办理相关手续。</w:t>
      </w:r>
    </w:p>
    <w:p>
      <w:pPr>
        <w:pStyle w:val="104"/>
        <w:numPr>
          <w:ilvl w:val="3"/>
          <w:numId w:val="3"/>
        </w:numPr>
        <w:spacing w:line="360" w:lineRule="auto"/>
        <w:ind w:left="2"/>
        <w:outlineLvl w:val="9"/>
        <w:rPr>
          <w:rFonts w:ascii="宋体" w:hAnsi="宋体" w:eastAsia="宋体"/>
        </w:rPr>
      </w:pPr>
      <w:r>
        <w:rPr>
          <w:rFonts w:hint="eastAsia" w:ascii="宋体" w:hAnsi="宋体" w:eastAsia="宋体"/>
        </w:rPr>
        <w:t>要求租户检查确认租赁区域内无安全隐患。关闭门窗及水、电、燃气开关；保险库（箱）、橱柜上锁，无遗留钥匙；商铺及库房内无火种、无滞留人员。</w:t>
      </w:r>
    </w:p>
    <w:p>
      <w:pPr>
        <w:pStyle w:val="104"/>
        <w:numPr>
          <w:ilvl w:val="3"/>
          <w:numId w:val="3"/>
        </w:numPr>
        <w:spacing w:line="360" w:lineRule="auto"/>
        <w:ind w:left="2"/>
        <w:outlineLvl w:val="9"/>
        <w:rPr>
          <w:rFonts w:ascii="宋体" w:hAnsi="宋体" w:eastAsia="宋体"/>
        </w:rPr>
      </w:pPr>
      <w:r>
        <w:rPr>
          <w:rFonts w:hint="eastAsia" w:ascii="宋体" w:hAnsi="宋体" w:eastAsia="宋体"/>
        </w:rPr>
        <w:t>人员离场后，</w:t>
      </w:r>
      <w:r>
        <w:rPr>
          <w:rFonts w:hint="eastAsia" w:ascii="宋体" w:hAnsi="宋体" w:eastAsia="宋体"/>
          <w:szCs w:val="21"/>
        </w:rPr>
        <w:t>对清场区域进行复查，重点检查</w:t>
      </w:r>
      <w:r>
        <w:rPr>
          <w:rFonts w:hint="eastAsia" w:ascii="宋体" w:hAnsi="宋体" w:eastAsia="宋体"/>
        </w:rPr>
        <w:t>电梯厅、卫生间、试衣室、消防通道等场所。</w:t>
      </w:r>
    </w:p>
    <w:p>
      <w:pPr>
        <w:pStyle w:val="104"/>
        <w:numPr>
          <w:ilvl w:val="3"/>
          <w:numId w:val="3"/>
        </w:numPr>
        <w:spacing w:line="360" w:lineRule="auto"/>
        <w:ind w:left="2"/>
        <w:outlineLvl w:val="9"/>
        <w:rPr>
          <w:rFonts w:ascii="宋体" w:hAnsi="宋体" w:eastAsia="宋体"/>
        </w:rPr>
      </w:pPr>
      <w:r>
        <w:rPr>
          <w:rFonts w:hint="eastAsia" w:ascii="宋体" w:hAnsi="宋体" w:eastAsia="宋体"/>
        </w:rPr>
        <w:t>完成清场的区域应按要求封闭，进行安全防范技术设防。</w:t>
      </w:r>
    </w:p>
    <w:p>
      <w:pPr>
        <w:pStyle w:val="104"/>
        <w:numPr>
          <w:ilvl w:val="3"/>
          <w:numId w:val="3"/>
        </w:numPr>
        <w:spacing w:line="360" w:lineRule="auto"/>
        <w:ind w:left="2"/>
        <w:outlineLvl w:val="9"/>
        <w:rPr>
          <w:rFonts w:ascii="宋体" w:hAnsi="宋体" w:eastAsia="宋体"/>
          <w:color w:val="000000"/>
        </w:rPr>
      </w:pPr>
      <w:r>
        <w:rPr>
          <w:rFonts w:hint="eastAsia" w:ascii="宋体" w:hAnsi="宋体" w:eastAsia="宋体"/>
        </w:rPr>
        <w:t>清场过程宜全程录像跟踪，并保持清场检查记录。</w:t>
      </w:r>
    </w:p>
    <w:p>
      <w:pPr>
        <w:pStyle w:val="103"/>
        <w:numPr>
          <w:ilvl w:val="2"/>
          <w:numId w:val="3"/>
        </w:numPr>
        <w:spacing w:line="360" w:lineRule="auto"/>
        <w:ind w:left="2"/>
        <w:outlineLvl w:val="1"/>
        <w:rPr>
          <w:rFonts w:hAnsi="宋体"/>
          <w:b/>
          <w:color w:val="000000"/>
        </w:rPr>
      </w:pPr>
      <w:bookmarkStart w:id="140" w:name="_Toc219806745"/>
      <w:bookmarkStart w:id="141" w:name="_Toc217651078"/>
      <w:bookmarkStart w:id="142" w:name="_Toc219807948"/>
      <w:bookmarkStart w:id="143" w:name="_Toc219806528"/>
      <w:bookmarkStart w:id="144" w:name="_Toc217650629"/>
      <w:bookmarkStart w:id="145" w:name="_Toc217646965"/>
      <w:bookmarkStart w:id="146" w:name="_Toc519265286"/>
      <w:bookmarkStart w:id="147" w:name="_Toc306196610"/>
      <w:r>
        <w:rPr>
          <w:rFonts w:hint="eastAsia"/>
          <w:b/>
          <w:bCs/>
          <w:color w:val="000000"/>
        </w:rPr>
        <w:t>大型</w:t>
      </w:r>
      <w:r>
        <w:rPr>
          <w:rFonts w:hint="eastAsia"/>
          <w:b/>
          <w:color w:val="000000"/>
        </w:rPr>
        <w:t>活动</w:t>
      </w:r>
      <w:r>
        <w:rPr>
          <w:rFonts w:hint="eastAsia" w:hAnsi="宋体"/>
          <w:b/>
          <w:color w:val="000000"/>
        </w:rPr>
        <w:t>保障</w:t>
      </w:r>
      <w:bookmarkEnd w:id="140"/>
      <w:bookmarkEnd w:id="141"/>
      <w:bookmarkEnd w:id="142"/>
      <w:bookmarkEnd w:id="143"/>
      <w:bookmarkEnd w:id="144"/>
      <w:bookmarkEnd w:id="145"/>
      <w:r>
        <w:rPr>
          <w:rFonts w:hint="eastAsia"/>
          <w:b/>
          <w:color w:val="000000"/>
        </w:rPr>
        <w:t>服务</w:t>
      </w:r>
      <w:bookmarkEnd w:id="146"/>
      <w:bookmarkEnd w:id="147"/>
    </w:p>
    <w:p>
      <w:pPr>
        <w:pStyle w:val="104"/>
        <w:numPr>
          <w:ilvl w:val="3"/>
          <w:numId w:val="3"/>
        </w:numPr>
        <w:spacing w:line="360" w:lineRule="auto"/>
        <w:ind w:left="2"/>
        <w:outlineLvl w:val="9"/>
        <w:rPr>
          <w:rFonts w:ascii="宋体" w:hAnsi="宋体" w:eastAsia="宋体"/>
        </w:rPr>
      </w:pPr>
      <w:r>
        <w:rPr>
          <w:rFonts w:hint="eastAsia" w:ascii="宋体" w:hAnsi="宋体" w:eastAsia="宋体"/>
        </w:rPr>
        <w:t>商业</w:t>
      </w:r>
      <w:r>
        <w:rPr>
          <w:rFonts w:hint="eastAsia" w:ascii="宋体" w:hAnsi="宋体" w:eastAsia="宋体"/>
          <w:bCs/>
        </w:rPr>
        <w:t>促销、</w:t>
      </w:r>
      <w:r>
        <w:rPr>
          <w:rFonts w:hint="eastAsia" w:ascii="宋体" w:hAnsi="宋体" w:eastAsia="宋体"/>
        </w:rPr>
        <w:t>贵宾参观、社区活动</w:t>
      </w:r>
      <w:r>
        <w:rPr>
          <w:rFonts w:hint="eastAsia" w:ascii="宋体" w:hAnsi="宋体" w:eastAsia="宋体"/>
          <w:bCs/>
        </w:rPr>
        <w:t>等大型活动，应</w:t>
      </w:r>
      <w:r>
        <w:rPr>
          <w:rFonts w:hint="eastAsia" w:ascii="宋体" w:hAnsi="宋体" w:eastAsia="宋体"/>
        </w:rPr>
        <w:t>配合业主方编制秩序维护保障方案，内容包括指挥系统、信息传递途径、人/车流集散路线、车位安排、应急预案等。</w:t>
      </w:r>
    </w:p>
    <w:p>
      <w:pPr>
        <w:pStyle w:val="104"/>
        <w:numPr>
          <w:ilvl w:val="3"/>
          <w:numId w:val="3"/>
        </w:numPr>
        <w:spacing w:line="360" w:lineRule="auto"/>
        <w:ind w:left="2"/>
        <w:outlineLvl w:val="9"/>
        <w:rPr>
          <w:rFonts w:ascii="宋体" w:hAnsi="宋体" w:eastAsia="宋体"/>
        </w:rPr>
      </w:pPr>
      <w:r>
        <w:rPr>
          <w:rFonts w:hint="eastAsia" w:ascii="宋体" w:hAnsi="宋体" w:eastAsia="宋体"/>
        </w:rPr>
        <w:t>确定活动方案后应及时协助业主方</w:t>
      </w:r>
      <w:r>
        <w:rPr>
          <w:rFonts w:ascii="宋体" w:hAnsi="宋体" w:eastAsia="宋体"/>
        </w:rPr>
        <w:t>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104"/>
        <w:numPr>
          <w:ilvl w:val="3"/>
          <w:numId w:val="3"/>
        </w:numPr>
        <w:spacing w:line="360" w:lineRule="auto"/>
        <w:ind w:left="2"/>
        <w:outlineLvl w:val="9"/>
        <w:rPr>
          <w:rFonts w:ascii="宋体" w:hAnsi="宋体" w:eastAsia="宋体"/>
        </w:rPr>
      </w:pPr>
      <w:r>
        <w:rPr>
          <w:rFonts w:hint="eastAsia" w:ascii="宋体" w:hAnsi="宋体" w:eastAsia="宋体"/>
        </w:rPr>
        <w:t>活动前应对人/车流集散路线、车位及活动所需的设施设备等进行检查和确认，必要时进行区域临时封闭。</w:t>
      </w:r>
    </w:p>
    <w:p>
      <w:pPr>
        <w:pStyle w:val="104"/>
        <w:numPr>
          <w:ilvl w:val="3"/>
          <w:numId w:val="3"/>
        </w:numPr>
        <w:spacing w:line="360" w:lineRule="auto"/>
        <w:ind w:left="2"/>
        <w:outlineLvl w:val="9"/>
      </w:pPr>
      <w:r>
        <w:rPr>
          <w:rFonts w:hint="eastAsia" w:ascii="宋体" w:hAnsi="宋体" w:eastAsia="宋体"/>
        </w:rPr>
        <w:t>活动中宜对商场入口、活动区域、通道、悬高围栏等处的人流聚集状况及车辆进出实施重点维护，发生拥挤时启动相关的应急预案。</w:t>
      </w:r>
    </w:p>
    <w:p>
      <w:pPr>
        <w:pStyle w:val="104"/>
        <w:numPr>
          <w:ilvl w:val="3"/>
          <w:numId w:val="3"/>
        </w:numPr>
        <w:spacing w:line="360" w:lineRule="auto"/>
        <w:ind w:left="2"/>
        <w:outlineLvl w:val="9"/>
        <w:rPr>
          <w:rFonts w:ascii="宋体" w:hAnsi="宋体" w:eastAsia="宋体"/>
        </w:rPr>
      </w:pPr>
      <w:r>
        <w:rPr>
          <w:rFonts w:hint="eastAsia" w:ascii="宋体" w:hAnsi="宋体" w:eastAsia="宋体"/>
        </w:rPr>
        <w:t>监控室对活动现场进行实时监控，与现场保持通讯畅通。</w:t>
      </w:r>
    </w:p>
    <w:p>
      <w:pPr>
        <w:pStyle w:val="103"/>
        <w:numPr>
          <w:ilvl w:val="2"/>
          <w:numId w:val="3"/>
        </w:numPr>
        <w:spacing w:line="360" w:lineRule="auto"/>
        <w:outlineLvl w:val="1"/>
      </w:pPr>
      <w:bookmarkStart w:id="148" w:name="_Toc306196611"/>
      <w:bookmarkStart w:id="149" w:name="_Toc519265287"/>
      <w:bookmarkStart w:id="150" w:name="_Toc219806529"/>
      <w:bookmarkStart w:id="151" w:name="_Toc219807949"/>
      <w:bookmarkStart w:id="152" w:name="_Toc219806746"/>
      <w:r>
        <w:rPr>
          <w:rFonts w:hint="eastAsia"/>
          <w:b/>
        </w:rPr>
        <w:t>消防管理</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48"/>
      <w:bookmarkEnd w:id="149"/>
      <w:bookmarkEnd w:id="150"/>
      <w:bookmarkEnd w:id="151"/>
      <w:bookmarkEnd w:id="152"/>
    </w:p>
    <w:p>
      <w:pPr>
        <w:pStyle w:val="104"/>
        <w:numPr>
          <w:ilvl w:val="3"/>
          <w:numId w:val="3"/>
        </w:numPr>
        <w:spacing w:line="360" w:lineRule="auto"/>
        <w:ind w:left="2"/>
        <w:outlineLvl w:val="9"/>
        <w:rPr>
          <w:rFonts w:ascii="宋体" w:hAnsi="宋体" w:eastAsia="宋体"/>
        </w:rPr>
      </w:pPr>
      <w:r>
        <w:rPr>
          <w:rFonts w:hint="eastAsia" w:ascii="宋体" w:hAnsi="宋体" w:eastAsia="宋体"/>
        </w:rPr>
        <w:t>建立健全消防管理防火安全责任制，按物业服务人员的30%组建志愿消防队，每季度组织一次以上的消防知识学习。新员工上岗前消防宣传教育率达100%，有记录；单位消防安全责任人取得消防安全培训合格证，重点工种人员每年接受消防培训不少于两次，并持消防培训合格证上岗。单位接受消防部门培训率不少于50%。</w:t>
      </w:r>
    </w:p>
    <w:p>
      <w:pPr>
        <w:pStyle w:val="104"/>
        <w:numPr>
          <w:ilvl w:val="3"/>
          <w:numId w:val="3"/>
        </w:numPr>
        <w:spacing w:line="360" w:lineRule="auto"/>
        <w:ind w:left="2"/>
        <w:outlineLvl w:val="9"/>
        <w:rPr>
          <w:rFonts w:ascii="宋体" w:hAnsi="宋体" w:eastAsia="宋体"/>
        </w:rPr>
      </w:pPr>
      <w:r>
        <w:rPr>
          <w:rFonts w:hint="eastAsia" w:ascii="宋体" w:hAnsi="宋体" w:eastAsia="宋体"/>
        </w:rPr>
        <w:t>制订防火检查、隐患整改、应急预案演练等制度，建立防火管理档案。</w:t>
      </w:r>
    </w:p>
    <w:p>
      <w:pPr>
        <w:pStyle w:val="104"/>
        <w:numPr>
          <w:ilvl w:val="3"/>
          <w:numId w:val="3"/>
        </w:numPr>
        <w:spacing w:line="360" w:lineRule="auto"/>
        <w:outlineLvl w:val="9"/>
        <w:rPr>
          <w:rFonts w:ascii="宋体" w:hAnsi="宋体" w:eastAsia="宋体"/>
        </w:rPr>
      </w:pPr>
      <w:r>
        <w:rPr>
          <w:rFonts w:hint="eastAsia" w:ascii="宋体" w:hAnsi="宋体" w:eastAsia="宋体"/>
        </w:rPr>
        <w:t>火灾报警系统和联动装置应完好并保持自动控制状态，每年至少委托专业机构对建筑消防设施进行一次全面检测，确保完好有效。检测记录应当完整准确，存档备查。</w:t>
      </w:r>
    </w:p>
    <w:p>
      <w:pPr>
        <w:pStyle w:val="104"/>
        <w:numPr>
          <w:ilvl w:val="3"/>
          <w:numId w:val="3"/>
        </w:numPr>
        <w:spacing w:line="360" w:lineRule="auto"/>
        <w:ind w:left="2"/>
        <w:outlineLvl w:val="9"/>
        <w:rPr>
          <w:rFonts w:ascii="宋体" w:hAnsi="宋体" w:eastAsia="宋体"/>
        </w:rPr>
      </w:pPr>
      <w:r>
        <w:rPr>
          <w:rFonts w:hint="eastAsia" w:ascii="宋体" w:hAnsi="宋体" w:eastAsia="宋体"/>
          <w:color w:val="000000"/>
        </w:rPr>
        <w:t>定期对消防设备、器材、安全标识、应急照明、疏散导向灯等进行检查，确保完好。</w:t>
      </w:r>
    </w:p>
    <w:p>
      <w:pPr>
        <w:pStyle w:val="104"/>
        <w:numPr>
          <w:ilvl w:val="3"/>
          <w:numId w:val="3"/>
        </w:numPr>
        <w:spacing w:line="360" w:lineRule="auto"/>
        <w:outlineLvl w:val="9"/>
        <w:rPr>
          <w:rFonts w:ascii="宋体" w:hAnsi="宋体" w:eastAsia="宋体"/>
          <w:color w:val="000000"/>
        </w:rPr>
      </w:pPr>
      <w:r>
        <w:rPr>
          <w:rFonts w:hint="eastAsia" w:ascii="宋体" w:hAnsi="宋体" w:eastAsia="宋体"/>
          <w:color w:val="000000"/>
        </w:rPr>
        <w:t>除有特别注明外，每季度组织一次全面的消防安全检查，并保持检查记录，检查内容应包括：</w:t>
      </w:r>
    </w:p>
    <w:p>
      <w:pPr>
        <w:pStyle w:val="94"/>
        <w:numPr>
          <w:ilvl w:val="0"/>
          <w:numId w:val="4"/>
        </w:numPr>
        <w:tabs>
          <w:tab w:val="left" w:pos="854"/>
          <w:tab w:val="left" w:pos="1035"/>
          <w:tab w:val="left" w:pos="1665"/>
          <w:tab w:val="clear" w:pos="1140"/>
        </w:tabs>
        <w:spacing w:line="360" w:lineRule="auto"/>
      </w:pPr>
      <w:r>
        <w:rPr>
          <w:rFonts w:hint="eastAsia"/>
        </w:rPr>
        <w:t>无存放易燃易爆物品和化学危险品（商品除外）；</w:t>
      </w:r>
    </w:p>
    <w:p>
      <w:pPr>
        <w:pStyle w:val="94"/>
        <w:numPr>
          <w:ilvl w:val="0"/>
          <w:numId w:val="4"/>
        </w:numPr>
        <w:tabs>
          <w:tab w:val="left" w:pos="854"/>
          <w:tab w:val="left" w:pos="1035"/>
          <w:tab w:val="left" w:pos="1665"/>
          <w:tab w:val="clear" w:pos="1140"/>
        </w:tabs>
        <w:spacing w:line="360" w:lineRule="auto"/>
      </w:pPr>
      <w:r>
        <w:rPr>
          <w:rFonts w:hint="eastAsia"/>
        </w:rPr>
        <w:t>消防通道、消防设施周围、防火卷帘门下及机房内无堆放物品（每天至少1次）；</w:t>
      </w:r>
    </w:p>
    <w:p>
      <w:pPr>
        <w:pStyle w:val="94"/>
        <w:numPr>
          <w:ilvl w:val="0"/>
          <w:numId w:val="4"/>
        </w:numPr>
        <w:tabs>
          <w:tab w:val="left" w:pos="854"/>
          <w:tab w:val="left" w:pos="1035"/>
          <w:tab w:val="left" w:pos="1665"/>
          <w:tab w:val="clear" w:pos="1140"/>
        </w:tabs>
        <w:spacing w:line="360" w:lineRule="auto"/>
      </w:pPr>
      <w:r>
        <w:rPr>
          <w:rFonts w:hint="eastAsia"/>
        </w:rPr>
        <w:t>防火门直观应无脱漆、无生锈、无变形、无损坏；闭门器应能自动灵活关闭，关闭后密闭性能好；门锁应开门容易、牢固；门轴应转动灵活。</w:t>
      </w:r>
    </w:p>
    <w:p>
      <w:pPr>
        <w:pStyle w:val="94"/>
        <w:numPr>
          <w:ilvl w:val="0"/>
          <w:numId w:val="4"/>
        </w:numPr>
        <w:tabs>
          <w:tab w:val="left" w:pos="854"/>
          <w:tab w:val="left" w:pos="1035"/>
          <w:tab w:val="left" w:pos="1665"/>
          <w:tab w:val="clear" w:pos="1140"/>
        </w:tabs>
        <w:spacing w:line="360" w:lineRule="auto"/>
      </w:pPr>
      <w:r>
        <w:rPr>
          <w:rFonts w:hint="eastAsia"/>
        </w:rPr>
        <w:t>无乱接乱拉电线、超负荷用电；</w:t>
      </w:r>
    </w:p>
    <w:p>
      <w:pPr>
        <w:pStyle w:val="94"/>
        <w:numPr>
          <w:ilvl w:val="0"/>
          <w:numId w:val="4"/>
        </w:numPr>
        <w:tabs>
          <w:tab w:val="left" w:pos="854"/>
          <w:tab w:val="left" w:pos="1035"/>
          <w:tab w:val="left" w:pos="1665"/>
          <w:tab w:val="clear" w:pos="1140"/>
        </w:tabs>
        <w:spacing w:line="360" w:lineRule="auto"/>
      </w:pPr>
      <w:r>
        <w:rPr>
          <w:rFonts w:hint="eastAsia"/>
        </w:rPr>
        <w:t>排油烟装置及烟道有定期清洗记录；</w:t>
      </w:r>
    </w:p>
    <w:p>
      <w:pPr>
        <w:pStyle w:val="94"/>
        <w:numPr>
          <w:ilvl w:val="0"/>
          <w:numId w:val="4"/>
        </w:numPr>
        <w:tabs>
          <w:tab w:val="left" w:pos="854"/>
          <w:tab w:val="left" w:pos="1035"/>
          <w:tab w:val="left" w:pos="1665"/>
          <w:tab w:val="clear" w:pos="1140"/>
        </w:tabs>
        <w:spacing w:line="360" w:lineRule="auto"/>
      </w:pPr>
      <w:r>
        <w:rPr>
          <w:rFonts w:hint="eastAsia"/>
        </w:rPr>
        <w:t>停车库、装卸区域及机房内无吸烟（每2小时巡视一次）；</w:t>
      </w:r>
    </w:p>
    <w:p>
      <w:pPr>
        <w:pStyle w:val="94"/>
        <w:numPr>
          <w:ilvl w:val="0"/>
          <w:numId w:val="4"/>
        </w:numPr>
        <w:tabs>
          <w:tab w:val="left" w:pos="854"/>
          <w:tab w:val="left" w:pos="1035"/>
          <w:tab w:val="left" w:pos="1665"/>
          <w:tab w:val="clear" w:pos="1140"/>
        </w:tabs>
        <w:spacing w:line="360" w:lineRule="auto"/>
      </w:pPr>
      <w:r>
        <w:rPr>
          <w:rFonts w:hint="eastAsia"/>
        </w:rPr>
        <w:t>装修施工现场无安全隐患（每2小时巡视一次）；</w:t>
      </w:r>
    </w:p>
    <w:p>
      <w:pPr>
        <w:pStyle w:val="94"/>
        <w:numPr>
          <w:ilvl w:val="0"/>
          <w:numId w:val="4"/>
        </w:numPr>
        <w:tabs>
          <w:tab w:val="left" w:pos="854"/>
          <w:tab w:val="left" w:pos="1035"/>
          <w:tab w:val="left" w:pos="1665"/>
          <w:tab w:val="clear" w:pos="1140"/>
        </w:tabs>
        <w:spacing w:line="360" w:lineRule="auto"/>
      </w:pPr>
      <w:r>
        <w:rPr>
          <w:rFonts w:hint="eastAsia"/>
        </w:rPr>
        <w:t>火灾隐患的整改及防范措施（限时完成）。</w:t>
      </w:r>
    </w:p>
    <w:p>
      <w:pPr>
        <w:pStyle w:val="104"/>
        <w:numPr>
          <w:ilvl w:val="3"/>
          <w:numId w:val="3"/>
        </w:numPr>
        <w:spacing w:line="360" w:lineRule="auto"/>
        <w:outlineLvl w:val="9"/>
        <w:rPr>
          <w:rFonts w:ascii="宋体" w:hAnsi="宋体" w:eastAsia="宋体"/>
        </w:rPr>
      </w:pPr>
      <w:r>
        <w:rPr>
          <w:rFonts w:hint="eastAsia" w:ascii="宋体" w:hAnsi="宋体" w:eastAsia="宋体"/>
        </w:rPr>
        <w:t>每年至少进行2次消防演习。</w:t>
      </w:r>
      <w:bookmarkEnd w:id="137"/>
      <w:bookmarkEnd w:id="138"/>
      <w:bookmarkEnd w:id="139"/>
    </w:p>
    <w:p>
      <w:pPr>
        <w:pStyle w:val="103"/>
        <w:numPr>
          <w:ilvl w:val="2"/>
          <w:numId w:val="3"/>
        </w:numPr>
        <w:spacing w:line="360" w:lineRule="auto"/>
        <w:outlineLvl w:val="1"/>
        <w:rPr>
          <w:b/>
        </w:rPr>
      </w:pPr>
      <w:bookmarkStart w:id="153" w:name="_Toc306196612"/>
      <w:bookmarkStart w:id="154" w:name="_Toc219806434"/>
      <w:bookmarkStart w:id="155" w:name="_Toc219807953"/>
      <w:bookmarkStart w:id="156" w:name="_Toc219806533"/>
      <w:bookmarkStart w:id="157" w:name="_Toc219806750"/>
      <w:bookmarkStart w:id="158" w:name="_Toc519265288"/>
      <w:bookmarkStart w:id="159" w:name="_Toc193261798"/>
      <w:bookmarkStart w:id="160" w:name="_Toc197782188"/>
      <w:bookmarkStart w:id="161" w:name="_Toc199597482"/>
      <w:bookmarkStart w:id="162" w:name="_Toc193440739"/>
      <w:bookmarkStart w:id="163" w:name="_Toc193441658"/>
      <w:bookmarkStart w:id="164" w:name="_Toc193261582"/>
      <w:bookmarkStart w:id="165" w:name="_Toc197782103"/>
      <w:bookmarkStart w:id="166" w:name="_Toc197781472"/>
      <w:bookmarkStart w:id="167" w:name="_Toc193441863"/>
      <w:bookmarkStart w:id="168" w:name="_Toc217651079"/>
      <w:bookmarkStart w:id="169" w:name="_Toc195247556"/>
      <w:bookmarkStart w:id="170" w:name="_Toc217650630"/>
      <w:bookmarkStart w:id="171" w:name="_Toc193440609"/>
      <w:bookmarkStart w:id="172" w:name="_Toc199597641"/>
      <w:bookmarkStart w:id="173" w:name="_Toc217646966"/>
      <w:r>
        <w:rPr>
          <w:rFonts w:hint="eastAsia"/>
          <w:b/>
        </w:rPr>
        <w:t>应急管理</w:t>
      </w:r>
      <w:bookmarkEnd w:id="153"/>
      <w:bookmarkEnd w:id="154"/>
      <w:bookmarkEnd w:id="155"/>
      <w:bookmarkEnd w:id="156"/>
      <w:bookmarkEnd w:id="157"/>
      <w:bookmarkEnd w:id="158"/>
    </w:p>
    <w:p>
      <w:pPr>
        <w:pStyle w:val="104"/>
        <w:numPr>
          <w:ilvl w:val="3"/>
          <w:numId w:val="3"/>
        </w:numPr>
        <w:spacing w:line="360" w:lineRule="auto"/>
        <w:outlineLvl w:val="9"/>
        <w:rPr>
          <w:rFonts w:ascii="宋体" w:hAnsi="宋体" w:eastAsia="宋体"/>
        </w:rPr>
      </w:pPr>
      <w:bookmarkStart w:id="174" w:name="_Toc219806534"/>
      <w:bookmarkStart w:id="175" w:name="_Toc219806751"/>
      <w:bookmarkStart w:id="176" w:name="_Toc219807954"/>
      <w:r>
        <w:rPr>
          <w:rFonts w:hint="eastAsia" w:ascii="宋体" w:hAnsi="宋体" w:eastAsia="宋体"/>
        </w:rPr>
        <w:t>根据商业物业的特点，应配合业主方对自然灾害、事故灾难、公共卫生及社会安全等突发紧急事件制定应急预案。</w:t>
      </w:r>
      <w:bookmarkEnd w:id="174"/>
      <w:bookmarkEnd w:id="175"/>
      <w:bookmarkEnd w:id="176"/>
    </w:p>
    <w:p>
      <w:pPr>
        <w:pStyle w:val="104"/>
        <w:numPr>
          <w:ilvl w:val="3"/>
          <w:numId w:val="3"/>
        </w:numPr>
        <w:spacing w:line="360" w:lineRule="auto"/>
        <w:outlineLvl w:val="9"/>
        <w:rPr>
          <w:rFonts w:ascii="宋体" w:hAnsi="宋体" w:eastAsia="宋体"/>
        </w:rPr>
      </w:pPr>
      <w:bookmarkStart w:id="177" w:name="_Toc219806535"/>
      <w:bookmarkStart w:id="178" w:name="_Toc219807955"/>
      <w:bookmarkStart w:id="179" w:name="_Toc219806752"/>
      <w:r>
        <w:rPr>
          <w:rFonts w:hint="eastAsia" w:ascii="宋体" w:hAnsi="宋体" w:eastAsia="宋体"/>
        </w:rPr>
        <w:t>常见的突发事件包括：</w:t>
      </w:r>
      <w:bookmarkEnd w:id="177"/>
      <w:bookmarkEnd w:id="178"/>
      <w:bookmarkEnd w:id="179"/>
    </w:p>
    <w:p>
      <w:pPr>
        <w:pStyle w:val="94"/>
        <w:numPr>
          <w:ilvl w:val="0"/>
          <w:numId w:val="4"/>
        </w:numPr>
        <w:tabs>
          <w:tab w:val="left" w:pos="900"/>
          <w:tab w:val="left" w:pos="1035"/>
          <w:tab w:val="left" w:pos="1665"/>
        </w:tabs>
        <w:spacing w:line="360" w:lineRule="auto"/>
        <w:rPr>
          <w:rFonts w:hAnsi="宋体"/>
        </w:rPr>
      </w:pPr>
      <w:r>
        <w:rPr>
          <w:rFonts w:hint="eastAsia" w:hAnsi="宋体"/>
        </w:rPr>
        <w:t>停电、停水；</w:t>
      </w:r>
    </w:p>
    <w:p>
      <w:pPr>
        <w:pStyle w:val="94"/>
        <w:numPr>
          <w:ilvl w:val="0"/>
          <w:numId w:val="4"/>
        </w:numPr>
        <w:tabs>
          <w:tab w:val="left" w:pos="900"/>
          <w:tab w:val="left" w:pos="1035"/>
          <w:tab w:val="left" w:pos="1665"/>
        </w:tabs>
        <w:spacing w:line="360" w:lineRule="auto"/>
        <w:rPr>
          <w:rFonts w:hAnsi="宋体"/>
        </w:rPr>
      </w:pPr>
      <w:r>
        <w:rPr>
          <w:rFonts w:hint="eastAsia" w:hAnsi="宋体"/>
        </w:rPr>
        <w:t>溢水、水浸；</w:t>
      </w:r>
    </w:p>
    <w:p>
      <w:pPr>
        <w:pStyle w:val="94"/>
        <w:numPr>
          <w:ilvl w:val="0"/>
          <w:numId w:val="4"/>
        </w:numPr>
        <w:tabs>
          <w:tab w:val="left" w:pos="900"/>
          <w:tab w:val="left" w:pos="1035"/>
          <w:tab w:val="left" w:pos="1665"/>
        </w:tabs>
        <w:spacing w:line="360" w:lineRule="auto"/>
        <w:rPr>
          <w:rFonts w:hAnsi="宋体"/>
        </w:rPr>
      </w:pPr>
      <w:r>
        <w:rPr>
          <w:rFonts w:hint="eastAsia" w:hAnsi="宋体"/>
        </w:rPr>
        <w:t>燃气、燃油泄漏；</w:t>
      </w:r>
    </w:p>
    <w:p>
      <w:pPr>
        <w:pStyle w:val="94"/>
        <w:numPr>
          <w:ilvl w:val="0"/>
          <w:numId w:val="4"/>
        </w:numPr>
        <w:tabs>
          <w:tab w:val="left" w:pos="900"/>
          <w:tab w:val="left" w:pos="1035"/>
          <w:tab w:val="left" w:pos="1665"/>
        </w:tabs>
        <w:spacing w:line="360" w:lineRule="auto"/>
        <w:rPr>
          <w:rFonts w:hAnsi="宋体"/>
        </w:rPr>
      </w:pPr>
      <w:r>
        <w:rPr>
          <w:rFonts w:hint="eastAsia" w:hAnsi="宋体"/>
        </w:rPr>
        <w:t>火警、火灾；</w:t>
      </w:r>
    </w:p>
    <w:p>
      <w:pPr>
        <w:pStyle w:val="94"/>
        <w:numPr>
          <w:ilvl w:val="0"/>
          <w:numId w:val="4"/>
        </w:numPr>
        <w:tabs>
          <w:tab w:val="left" w:pos="900"/>
          <w:tab w:val="left" w:pos="1035"/>
          <w:tab w:val="left" w:pos="1665"/>
        </w:tabs>
        <w:spacing w:line="360" w:lineRule="auto"/>
        <w:rPr>
          <w:rFonts w:hAnsi="宋体"/>
        </w:rPr>
      </w:pPr>
      <w:r>
        <w:rPr>
          <w:rFonts w:hint="eastAsia" w:hAnsi="宋体"/>
        </w:rPr>
        <w:t>电梯困人、自动扶梯逆行；</w:t>
      </w:r>
    </w:p>
    <w:p>
      <w:pPr>
        <w:pStyle w:val="94"/>
        <w:numPr>
          <w:ilvl w:val="0"/>
          <w:numId w:val="4"/>
        </w:numPr>
        <w:tabs>
          <w:tab w:val="left" w:pos="900"/>
          <w:tab w:val="left" w:pos="1035"/>
          <w:tab w:val="left" w:pos="1665"/>
        </w:tabs>
        <w:spacing w:line="360" w:lineRule="auto"/>
        <w:rPr>
          <w:rFonts w:hAnsi="宋体"/>
        </w:rPr>
      </w:pPr>
      <w:r>
        <w:rPr>
          <w:rFonts w:hint="eastAsia" w:hAnsi="宋体"/>
        </w:rPr>
        <w:t>盗窃、斗殴等治安事件；</w:t>
      </w:r>
    </w:p>
    <w:p>
      <w:pPr>
        <w:pStyle w:val="94"/>
        <w:numPr>
          <w:ilvl w:val="0"/>
          <w:numId w:val="4"/>
        </w:numPr>
        <w:tabs>
          <w:tab w:val="left" w:pos="900"/>
          <w:tab w:val="left" w:pos="1035"/>
          <w:tab w:val="left" w:pos="1665"/>
        </w:tabs>
        <w:spacing w:line="360" w:lineRule="auto"/>
        <w:rPr>
          <w:rFonts w:hAnsi="宋体"/>
        </w:rPr>
      </w:pPr>
      <w:r>
        <w:rPr>
          <w:rFonts w:hint="eastAsia" w:hAnsi="宋体"/>
        </w:rPr>
        <w:t>人群拥挤、踩踏；</w:t>
      </w:r>
    </w:p>
    <w:p>
      <w:pPr>
        <w:pStyle w:val="94"/>
        <w:numPr>
          <w:ilvl w:val="0"/>
          <w:numId w:val="4"/>
        </w:numPr>
        <w:tabs>
          <w:tab w:val="left" w:pos="900"/>
          <w:tab w:val="left" w:pos="1035"/>
          <w:tab w:val="left" w:pos="1665"/>
        </w:tabs>
        <w:spacing w:line="360" w:lineRule="auto"/>
        <w:rPr>
          <w:rFonts w:hAnsi="宋体"/>
        </w:rPr>
      </w:pPr>
      <w:r>
        <w:rPr>
          <w:rFonts w:hint="eastAsia" w:hAnsi="宋体"/>
        </w:rPr>
        <w:t>突发疾病、意外伤亡；</w:t>
      </w:r>
    </w:p>
    <w:p>
      <w:pPr>
        <w:pStyle w:val="94"/>
        <w:numPr>
          <w:ilvl w:val="0"/>
          <w:numId w:val="4"/>
        </w:numPr>
        <w:tabs>
          <w:tab w:val="left" w:pos="900"/>
          <w:tab w:val="left" w:pos="1035"/>
          <w:tab w:val="left" w:pos="1665"/>
        </w:tabs>
        <w:spacing w:line="360" w:lineRule="auto"/>
        <w:rPr>
          <w:rFonts w:hAnsi="宋体"/>
        </w:rPr>
      </w:pPr>
      <w:r>
        <w:rPr>
          <w:rFonts w:hint="eastAsia" w:hAnsi="宋体"/>
        </w:rPr>
        <w:t>车辆碰撞、交通堵塞等。</w:t>
      </w:r>
    </w:p>
    <w:p>
      <w:pPr>
        <w:pStyle w:val="104"/>
        <w:numPr>
          <w:ilvl w:val="3"/>
          <w:numId w:val="3"/>
        </w:numPr>
        <w:spacing w:line="360" w:lineRule="auto"/>
        <w:outlineLvl w:val="9"/>
        <w:rPr>
          <w:rFonts w:ascii="宋体" w:hAnsi="宋体" w:eastAsia="宋体"/>
        </w:rPr>
      </w:pPr>
      <w:bookmarkStart w:id="180" w:name="_Toc219806753"/>
      <w:bookmarkStart w:id="181" w:name="_Toc219806536"/>
      <w:bookmarkStart w:id="182" w:name="_Toc219807956"/>
      <w:r>
        <w:rPr>
          <w:rFonts w:hint="eastAsia" w:ascii="宋体" w:hAnsi="宋体" w:eastAsia="宋体"/>
        </w:rPr>
        <w:t>定期开展应急预案的培训及演练，保持应急预案的适宜性、可操作性。</w:t>
      </w:r>
      <w:bookmarkEnd w:id="180"/>
      <w:bookmarkEnd w:id="181"/>
      <w:bookmarkEnd w:id="182"/>
    </w:p>
    <w:p>
      <w:pPr>
        <w:pStyle w:val="104"/>
        <w:numPr>
          <w:ilvl w:val="3"/>
          <w:numId w:val="3"/>
        </w:numPr>
        <w:spacing w:line="360" w:lineRule="auto"/>
        <w:outlineLvl w:val="9"/>
        <w:rPr>
          <w:rFonts w:ascii="宋体" w:hAnsi="宋体" w:eastAsia="宋体"/>
        </w:rPr>
      </w:pPr>
      <w:bookmarkStart w:id="183" w:name="_Toc219806754"/>
      <w:bookmarkStart w:id="184" w:name="_Toc219807957"/>
      <w:bookmarkStart w:id="185" w:name="_Toc219806537"/>
      <w:r>
        <w:rPr>
          <w:rFonts w:hint="eastAsia" w:ascii="宋体" w:hAnsi="宋体" w:eastAsia="宋体"/>
        </w:rPr>
        <w:t>突发事件发生时应立即启动应急预案，迅速展开指挥协调、信息报告、紧急处置、秩序维护、抢险救援、后勤保障等工作。</w:t>
      </w:r>
      <w:bookmarkEnd w:id="183"/>
      <w:bookmarkEnd w:id="184"/>
      <w:bookmarkEnd w:id="185"/>
    </w:p>
    <w:p>
      <w:pPr>
        <w:spacing w:line="360" w:lineRule="auto"/>
        <w:ind w:firstLine="462" w:firstLineChars="220"/>
        <w:rPr>
          <w:rFonts w:ascii="宋体" w:hAnsi="宋体"/>
        </w:rPr>
      </w:pPr>
      <w:bookmarkStart w:id="186" w:name="_Toc219806538"/>
      <w:bookmarkStart w:id="187" w:name="_Toc219807958"/>
      <w:bookmarkStart w:id="188" w:name="_Toc219806755"/>
      <w:r>
        <w:rPr>
          <w:rFonts w:hint="eastAsia" w:ascii="宋体" w:hAnsi="宋体"/>
        </w:rPr>
        <w:t>编制突发事件处理报告，内容包括处置过程、原因调查、结果评估、预案改进建议等，并向业主方或相关行政主管部门报告。</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6"/>
      <w:bookmarkEnd w:id="187"/>
      <w:bookmarkEnd w:id="188"/>
    </w:p>
    <w:p>
      <w:pPr>
        <w:pStyle w:val="104"/>
        <w:numPr>
          <w:ilvl w:val="3"/>
          <w:numId w:val="3"/>
        </w:numPr>
        <w:spacing w:line="360" w:lineRule="auto"/>
        <w:outlineLvl w:val="9"/>
        <w:rPr>
          <w:rFonts w:ascii="宋体" w:hAnsi="宋体" w:eastAsia="宋体"/>
        </w:rPr>
      </w:pPr>
      <w:r>
        <w:rPr>
          <w:rFonts w:hint="eastAsia" w:ascii="宋体" w:hAnsi="宋体" w:eastAsia="宋体"/>
        </w:rPr>
        <w:t>工作记录</w:t>
      </w:r>
    </w:p>
    <w:p>
      <w:pPr>
        <w:pStyle w:val="112"/>
        <w:spacing w:line="360" w:lineRule="auto"/>
        <w:ind w:firstLine="420"/>
        <w:rPr>
          <w:b/>
        </w:rPr>
      </w:pPr>
      <w:r>
        <w:rPr>
          <w:rFonts w:hint="eastAsia"/>
        </w:rPr>
        <w:t>工作记录及时、清楚、完整</w:t>
      </w:r>
      <w:r>
        <w:rPr>
          <w:rFonts w:hint="eastAsia"/>
          <w:b/>
        </w:rPr>
        <w:t>。</w:t>
      </w:r>
    </w:p>
    <w:p>
      <w:pPr>
        <w:pStyle w:val="2"/>
        <w:rPr>
          <w:rFonts w:hint="eastAsia" w:eastAsia="黑体"/>
          <w:lang w:val="en-US" w:eastAsia="zh-CN"/>
        </w:rPr>
        <w:sectPr>
          <w:pgSz w:w="11905" w:h="16840"/>
          <w:pgMar w:top="1134" w:right="1134" w:bottom="1134" w:left="1417" w:header="1134" w:footer="992" w:gutter="0"/>
          <w:cols w:space="720" w:num="1"/>
          <w:rtlGutter w:val="0"/>
          <w:docGrid w:linePitch="312" w:charSpace="0"/>
        </w:sectPr>
      </w:pPr>
      <w:r>
        <w:rPr>
          <w:rFonts w:hint="eastAsia"/>
        </w:rPr>
        <w:t>监控录像资料、报警记录不得删改及扩散，应当至少留存30</w:t>
      </w:r>
      <w:r>
        <w:rPr>
          <w:rFonts w:hint="eastAsia"/>
          <w:lang w:val="en-US" w:eastAsia="zh-CN"/>
        </w:rPr>
        <w:t>日。</w:t>
      </w:r>
    </w:p>
    <w:p>
      <w:pPr>
        <w:rPr>
          <w:rFonts w:hint="eastAsia" w:ascii="宋体" w:hAnsi="宋体" w:eastAsia="宋体" w:cs="宋体"/>
          <w:color w:val="000000"/>
          <w:highlight w:val="none"/>
        </w:rPr>
      </w:pPr>
      <w:bookmarkStart w:id="189" w:name="_Toc1556"/>
      <w:bookmarkStart w:id="190" w:name="_Toc2845"/>
      <w:bookmarkStart w:id="191" w:name="_Toc22222"/>
    </w:p>
    <w:p>
      <w:pPr>
        <w:pStyle w:val="4"/>
        <w:keepNext/>
        <w:keepLines/>
        <w:pageBreakBefore w:val="0"/>
        <w:widowControl w:val="0"/>
        <w:numPr>
          <w:ilvl w:val="0"/>
          <w:numId w:val="0"/>
        </w:numPr>
        <w:kinsoku/>
        <w:wordWrap/>
        <w:overflowPunct/>
        <w:topLinePunct w:val="0"/>
        <w:autoSpaceDE/>
        <w:autoSpaceDN/>
        <w:bidi w:val="0"/>
        <w:adjustRightInd/>
        <w:snapToGrid/>
        <w:spacing w:before="20" w:after="20" w:line="900" w:lineRule="exact"/>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第三章  投标人须知</w:t>
      </w:r>
      <w:bookmarkEnd w:id="189"/>
      <w:bookmarkEnd w:id="190"/>
      <w:bookmarkEnd w:id="191"/>
    </w:p>
    <w:p>
      <w:pPr>
        <w:adjustRightInd w:val="0"/>
        <w:snapToGrid w:val="0"/>
        <w:spacing w:line="500" w:lineRule="exact"/>
        <w:contextualSpacing/>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 xml:space="preserve">   </w:t>
      </w:r>
      <w:bookmarkStart w:id="192" w:name="_Toc16209"/>
      <w:r>
        <w:rPr>
          <w:rFonts w:hint="eastAsia" w:ascii="宋体" w:hAnsi="宋体" w:eastAsia="宋体" w:cs="宋体"/>
          <w:b/>
          <w:color w:val="000000"/>
          <w:sz w:val="32"/>
          <w:szCs w:val="32"/>
          <w:highlight w:val="none"/>
        </w:rPr>
        <w:t>前附表</w:t>
      </w:r>
    </w:p>
    <w:tbl>
      <w:tblPr>
        <w:tblStyle w:val="46"/>
        <w:tblW w:w="97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2"/>
                <w:szCs w:val="22"/>
              </w:rPr>
            </w:pPr>
            <w:bookmarkStart w:id="193" w:name="_Toc7985"/>
            <w:r>
              <w:rPr>
                <w:rFonts w:ascii="宋体" w:hAnsi="宋体"/>
                <w:sz w:val="22"/>
                <w:szCs w:val="22"/>
              </w:rPr>
              <w:t>序号</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2"/>
                <w:szCs w:val="22"/>
              </w:rPr>
            </w:pPr>
            <w:r>
              <w:rPr>
                <w:rFonts w:ascii="宋体" w:hAnsi="宋体"/>
                <w:sz w:val="22"/>
                <w:szCs w:val="22"/>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2"/>
                <w:szCs w:val="22"/>
              </w:rPr>
            </w:pPr>
            <w:r>
              <w:rPr>
                <w:rFonts w:ascii="宋体" w:hAnsi="宋体"/>
                <w:sz w:val="22"/>
                <w:szCs w:val="22"/>
              </w:rPr>
              <w:t>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sz w:val="22"/>
                <w:szCs w:val="22"/>
                <w:lang w:eastAsia="zh-CN"/>
              </w:rPr>
            </w:pPr>
            <w:r>
              <w:rPr>
                <w:rFonts w:ascii="宋体" w:hAnsi="宋体"/>
                <w:b/>
                <w:sz w:val="22"/>
                <w:szCs w:val="22"/>
              </w:rPr>
              <w:t>项目名称：</w:t>
            </w:r>
            <w:r>
              <w:rPr>
                <w:rFonts w:hint="eastAsia" w:ascii="宋体" w:hAnsi="宋体"/>
                <w:b/>
                <w:sz w:val="22"/>
                <w:szCs w:val="22"/>
              </w:rPr>
              <w:t>嘉兴市港区乍浦农贸海鲜城物业管理项目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2"/>
                <w:szCs w:val="22"/>
              </w:rPr>
            </w:pPr>
            <w:r>
              <w:rPr>
                <w:rFonts w:ascii="宋体" w:hAnsi="宋体"/>
                <w:sz w:val="22"/>
                <w:szCs w:val="22"/>
              </w:rPr>
              <w:t>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2"/>
                <w:szCs w:val="22"/>
              </w:rPr>
            </w:pPr>
            <w:r>
              <w:rPr>
                <w:rFonts w:ascii="宋体" w:hAnsi="宋体"/>
                <w:b/>
                <w:bCs/>
                <w:sz w:val="22"/>
                <w:szCs w:val="22"/>
              </w:rPr>
              <w:t>采购内容：</w:t>
            </w:r>
            <w:r>
              <w:rPr>
                <w:rFonts w:hint="eastAsia" w:ascii="宋体" w:hAnsi="宋体"/>
                <w:sz w:val="22"/>
                <w:szCs w:val="22"/>
              </w:rPr>
              <w:t>详见“第二章招标采购需求”。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 w:val="22"/>
                <w:szCs w:val="22"/>
              </w:rPr>
            </w:pPr>
            <w:r>
              <w:rPr>
                <w:rFonts w:ascii="宋体" w:hAnsi="宋体"/>
                <w:sz w:val="22"/>
                <w:szCs w:val="22"/>
              </w:rPr>
              <w:t>3</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 w:val="22"/>
                <w:szCs w:val="22"/>
              </w:rPr>
            </w:pPr>
            <w:r>
              <w:rPr>
                <w:rFonts w:hint="eastAsia" w:ascii="宋体" w:hAnsi="宋体"/>
                <w:b/>
                <w:sz w:val="22"/>
                <w:szCs w:val="22"/>
              </w:rPr>
              <w:t>投标报价及费用：</w:t>
            </w:r>
            <w:r>
              <w:rPr>
                <w:rFonts w:ascii="宋体" w:hAnsi="宋体"/>
                <w:sz w:val="22"/>
                <w:szCs w:val="22"/>
              </w:rPr>
              <w:t>1</w:t>
            </w:r>
            <w:r>
              <w:rPr>
                <w:rFonts w:hint="eastAsia" w:ascii="宋体" w:hAnsi="宋体"/>
                <w:sz w:val="22"/>
                <w:szCs w:val="22"/>
              </w:rPr>
              <w:t>、本项目投标应以人民币报价；</w:t>
            </w:r>
            <w:r>
              <w:rPr>
                <w:rFonts w:ascii="宋体" w:hAnsi="宋体"/>
                <w:sz w:val="22"/>
                <w:szCs w:val="22"/>
              </w:rPr>
              <w:t>2</w:t>
            </w:r>
            <w:r>
              <w:rPr>
                <w:rFonts w:hint="eastAsia" w:ascii="宋体" w:hAnsi="宋体"/>
                <w:sz w:val="22"/>
                <w:szCs w:val="22"/>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4</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2"/>
                <w:szCs w:val="22"/>
              </w:rPr>
            </w:pPr>
            <w:r>
              <w:rPr>
                <w:rFonts w:ascii="宋体" w:hAnsi="宋体"/>
                <w:b/>
                <w:sz w:val="22"/>
                <w:szCs w:val="22"/>
              </w:rPr>
              <w:t>踏勘</w:t>
            </w:r>
            <w:r>
              <w:rPr>
                <w:rFonts w:ascii="宋体" w:hAnsi="宋体"/>
                <w:sz w:val="22"/>
                <w:szCs w:val="22"/>
              </w:rPr>
              <w:t>：</w:t>
            </w:r>
            <w:r>
              <w:rPr>
                <w:rFonts w:hint="eastAsia" w:ascii="宋体" w:hAnsi="宋体"/>
                <w:sz w:val="22"/>
                <w:szCs w:val="2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5</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2"/>
                <w:szCs w:val="22"/>
              </w:rPr>
            </w:pPr>
            <w:r>
              <w:rPr>
                <w:rFonts w:ascii="宋体" w:hAnsi="宋体"/>
                <w:b/>
                <w:sz w:val="22"/>
                <w:szCs w:val="22"/>
              </w:rPr>
              <w:t>答疑与澄清：</w:t>
            </w:r>
            <w:r>
              <w:rPr>
                <w:rFonts w:ascii="宋体" w:hAnsi="宋体"/>
                <w:sz w:val="22"/>
                <w:szCs w:val="22"/>
              </w:rPr>
              <w:t>招标采购单位在投标截止3个工作日前无论是出于任何原因，均可以以补充通知公告形式对招标文件进行澄清、答复或修改，并</w:t>
            </w:r>
            <w:r>
              <w:rPr>
                <w:rFonts w:hint="eastAsia" w:ascii="宋体" w:hAnsi="宋体"/>
                <w:sz w:val="22"/>
                <w:szCs w:val="22"/>
              </w:rPr>
              <w:t>在招标公告中所指定的网站发布招标相关信息。</w:t>
            </w:r>
            <w:r>
              <w:rPr>
                <w:rFonts w:ascii="宋体" w:hAnsi="宋体"/>
                <w:sz w:val="22"/>
                <w:szCs w:val="22"/>
              </w:rPr>
              <w:t>投标人应于投标截止日期前及时查看网站内容，如有遗漏，</w:t>
            </w:r>
            <w:r>
              <w:rPr>
                <w:rFonts w:hint="eastAsia" w:ascii="宋体" w:hAnsi="宋体"/>
                <w:sz w:val="22"/>
                <w:szCs w:val="22"/>
              </w:rPr>
              <w:t>风险自负</w:t>
            </w:r>
            <w:r>
              <w:rPr>
                <w:rFonts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6</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2"/>
                <w:szCs w:val="22"/>
              </w:rPr>
            </w:pPr>
            <w:r>
              <w:rPr>
                <w:rFonts w:ascii="宋体" w:hAnsi="宋体"/>
                <w:b/>
                <w:sz w:val="22"/>
                <w:szCs w:val="22"/>
              </w:rPr>
              <w:t>投标保证金：</w:t>
            </w:r>
            <w:r>
              <w:rPr>
                <w:rFonts w:ascii="宋体" w:hAnsi="宋体"/>
                <w:sz w:val="22"/>
                <w:szCs w:val="22"/>
              </w:rPr>
              <w:t>应按《招标采购公告》第</w:t>
            </w:r>
            <w:r>
              <w:rPr>
                <w:rFonts w:hint="eastAsia" w:ascii="宋体" w:hAnsi="宋体"/>
                <w:sz w:val="22"/>
                <w:szCs w:val="22"/>
              </w:rPr>
              <w:t>七</w:t>
            </w:r>
            <w:r>
              <w:rPr>
                <w:rFonts w:ascii="宋体" w:hAnsi="宋体"/>
                <w:sz w:val="22"/>
                <w:szCs w:val="22"/>
              </w:rPr>
              <w:t>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7</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2"/>
                <w:szCs w:val="22"/>
              </w:rPr>
            </w:pPr>
            <w:r>
              <w:rPr>
                <w:rFonts w:ascii="宋体" w:hAnsi="宋体"/>
                <w:b/>
                <w:sz w:val="22"/>
                <w:szCs w:val="22"/>
              </w:rPr>
              <w:t>投标文件组成：</w:t>
            </w:r>
            <w:r>
              <w:rPr>
                <w:rFonts w:ascii="宋体" w:hAnsi="宋体"/>
                <w:sz w:val="22"/>
                <w:szCs w:val="22"/>
              </w:rPr>
              <w:t>资信</w:t>
            </w:r>
            <w:r>
              <w:rPr>
                <w:rFonts w:hint="eastAsia" w:ascii="宋体" w:hAnsi="宋体"/>
                <w:sz w:val="22"/>
                <w:szCs w:val="22"/>
              </w:rPr>
              <w:t>及</w:t>
            </w:r>
            <w:r>
              <w:rPr>
                <w:rFonts w:ascii="宋体" w:hAnsi="宋体"/>
                <w:sz w:val="22"/>
                <w:szCs w:val="22"/>
              </w:rPr>
              <w:t>商务</w:t>
            </w:r>
            <w:r>
              <w:rPr>
                <w:rFonts w:hint="eastAsia" w:ascii="宋体" w:hAnsi="宋体"/>
                <w:sz w:val="22"/>
                <w:szCs w:val="22"/>
              </w:rPr>
              <w:t>/</w:t>
            </w:r>
            <w:r>
              <w:rPr>
                <w:rFonts w:ascii="宋体" w:hAnsi="宋体"/>
                <w:sz w:val="22"/>
                <w:szCs w:val="22"/>
              </w:rPr>
              <w:t>技术文件、</w:t>
            </w:r>
            <w:r>
              <w:rPr>
                <w:rFonts w:hint="eastAsia" w:ascii="宋体" w:hAnsi="宋体"/>
                <w:sz w:val="22"/>
                <w:szCs w:val="22"/>
              </w:rPr>
              <w:t>投标</w:t>
            </w:r>
            <w:r>
              <w:rPr>
                <w:rFonts w:hint="eastAsia" w:ascii="宋体" w:hAnsi="宋体" w:cs="宋体"/>
                <w:kern w:val="0"/>
                <w:sz w:val="22"/>
                <w:szCs w:val="22"/>
              </w:rPr>
              <w:t>报价文件</w:t>
            </w:r>
            <w:r>
              <w:rPr>
                <w:rFonts w:hint="eastAsia" w:ascii="宋体" w:hAnsi="宋体"/>
                <w:sz w:val="22"/>
                <w:szCs w:val="22"/>
              </w:rPr>
              <w:t>正本各</w:t>
            </w:r>
            <w:r>
              <w:rPr>
                <w:rFonts w:hint="eastAsia" w:ascii="宋体" w:hAnsi="宋体"/>
                <w:sz w:val="22"/>
                <w:szCs w:val="22"/>
                <w:u w:val="single"/>
              </w:rPr>
              <w:t xml:space="preserve"> 1 </w:t>
            </w:r>
            <w:r>
              <w:rPr>
                <w:rFonts w:hint="eastAsia" w:ascii="宋体" w:hAnsi="宋体"/>
                <w:sz w:val="22"/>
                <w:szCs w:val="22"/>
              </w:rPr>
              <w:t>份、副本</w:t>
            </w:r>
            <w:r>
              <w:rPr>
                <w:rFonts w:ascii="宋体" w:hAnsi="宋体"/>
                <w:sz w:val="22"/>
                <w:szCs w:val="22"/>
              </w:rPr>
              <w:t>各</w:t>
            </w:r>
            <w:r>
              <w:rPr>
                <w:rFonts w:hint="eastAsia" w:ascii="宋体" w:hAnsi="宋体"/>
                <w:sz w:val="22"/>
                <w:szCs w:val="22"/>
                <w:u w:val="single"/>
                <w:lang w:val="en-US" w:eastAsia="zh-CN"/>
              </w:rPr>
              <w:t>2</w:t>
            </w:r>
            <w:r>
              <w:rPr>
                <w:rFonts w:ascii="宋体" w:hAnsi="宋体"/>
                <w:sz w:val="22"/>
                <w:szCs w:val="22"/>
                <w:u w:val="single"/>
              </w:rPr>
              <w:t xml:space="preserve"> </w:t>
            </w:r>
            <w:r>
              <w:rPr>
                <w:rFonts w:ascii="宋体" w:hAnsi="宋体"/>
                <w:sz w:val="22"/>
                <w:szCs w:val="22"/>
              </w:rPr>
              <w:t>份</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8</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b/>
                <w:sz w:val="22"/>
                <w:szCs w:val="22"/>
              </w:rPr>
            </w:pPr>
            <w:r>
              <w:rPr>
                <w:rFonts w:hint="eastAsia" w:ascii="宋体" w:hAnsi="宋体"/>
                <w:b/>
                <w:bCs/>
                <w:sz w:val="22"/>
                <w:szCs w:val="22"/>
              </w:rPr>
              <w:t>投标文件的递交</w:t>
            </w:r>
            <w:r>
              <w:rPr>
                <w:rFonts w:ascii="宋体" w:hAnsi="宋体"/>
                <w:b/>
                <w:sz w:val="22"/>
                <w:szCs w:val="22"/>
              </w:rPr>
              <w:t>：</w:t>
            </w:r>
          </w:p>
          <w:p>
            <w:pPr>
              <w:autoSpaceDE w:val="0"/>
              <w:autoSpaceDN w:val="0"/>
              <w:snapToGrid w:val="0"/>
              <w:spacing w:line="400" w:lineRule="exact"/>
              <w:textAlignment w:val="bottom"/>
              <w:rPr>
                <w:rFonts w:hint="eastAsia" w:ascii="宋体" w:hAnsi="宋体"/>
                <w:sz w:val="22"/>
                <w:szCs w:val="22"/>
              </w:rPr>
            </w:pPr>
            <w:r>
              <w:rPr>
                <w:rFonts w:hint="eastAsia" w:ascii="宋体" w:hAnsi="宋体"/>
                <w:sz w:val="22"/>
                <w:szCs w:val="22"/>
              </w:rPr>
              <w:t>1. 递交时间：</w:t>
            </w:r>
            <w:r>
              <w:rPr>
                <w:rFonts w:ascii="宋体" w:hAnsi="宋体"/>
                <w:sz w:val="22"/>
                <w:szCs w:val="22"/>
              </w:rPr>
              <w:t>20</w:t>
            </w:r>
            <w:r>
              <w:rPr>
                <w:rFonts w:hint="eastAsia" w:ascii="宋体" w:hAnsi="宋体"/>
                <w:sz w:val="22"/>
                <w:szCs w:val="22"/>
                <w:lang w:val="en-US" w:eastAsia="zh-CN"/>
              </w:rPr>
              <w:t>20</w:t>
            </w:r>
            <w:r>
              <w:rPr>
                <w:rFonts w:ascii="宋体" w:hAnsi="宋体"/>
                <w:sz w:val="22"/>
                <w:szCs w:val="22"/>
              </w:rPr>
              <w:t>年</w:t>
            </w:r>
            <w:r>
              <w:rPr>
                <w:rFonts w:hint="eastAsia" w:ascii="宋体" w:hAnsi="宋体"/>
                <w:sz w:val="22"/>
                <w:szCs w:val="22"/>
                <w:lang w:val="en-US" w:eastAsia="zh-CN"/>
              </w:rPr>
              <w:t>11</w:t>
            </w:r>
            <w:r>
              <w:rPr>
                <w:rFonts w:ascii="宋体" w:hAnsi="宋体"/>
                <w:sz w:val="22"/>
                <w:szCs w:val="22"/>
              </w:rPr>
              <w:t>月</w:t>
            </w:r>
            <w:r>
              <w:rPr>
                <w:rFonts w:hint="eastAsia" w:ascii="宋体" w:hAnsi="宋体"/>
                <w:sz w:val="22"/>
                <w:szCs w:val="22"/>
                <w:lang w:val="en-US" w:eastAsia="zh-CN"/>
              </w:rPr>
              <w:t>13</w:t>
            </w:r>
            <w:r>
              <w:rPr>
                <w:rFonts w:ascii="宋体" w:hAnsi="宋体"/>
                <w:sz w:val="22"/>
                <w:szCs w:val="22"/>
              </w:rPr>
              <w:t>日</w:t>
            </w:r>
            <w:r>
              <w:rPr>
                <w:rFonts w:hint="eastAsia" w:ascii="宋体" w:hAnsi="宋体"/>
                <w:sz w:val="22"/>
                <w:szCs w:val="22"/>
                <w:lang w:val="en-US" w:eastAsia="zh-CN"/>
              </w:rPr>
              <w:t>9</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0前</w:t>
            </w:r>
          </w:p>
          <w:p>
            <w:pPr>
              <w:autoSpaceDE w:val="0"/>
              <w:autoSpaceDN w:val="0"/>
              <w:snapToGrid w:val="0"/>
              <w:spacing w:line="400" w:lineRule="exact"/>
              <w:textAlignment w:val="bottom"/>
              <w:rPr>
                <w:rFonts w:hint="eastAsia" w:ascii="宋体" w:hAnsi="宋体"/>
                <w:b/>
                <w:sz w:val="22"/>
                <w:szCs w:val="22"/>
              </w:rPr>
            </w:pPr>
            <w:r>
              <w:rPr>
                <w:rFonts w:hint="eastAsia" w:ascii="宋体" w:hAnsi="宋体"/>
                <w:sz w:val="22"/>
                <w:szCs w:val="22"/>
              </w:rPr>
              <w:t>2. 递交地点：</w:t>
            </w:r>
            <w:r>
              <w:rPr>
                <w:rFonts w:hint="eastAsia" w:ascii="宋体" w:hAnsi="宋体" w:cs="仿宋_GB2312"/>
                <w:color w:val="000000"/>
                <w:szCs w:val="21"/>
                <w:u w:val="single"/>
              </w:rPr>
              <w:t>平湖市当湖街道胜利路129号建工大厦10楼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9</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2"/>
                <w:szCs w:val="22"/>
                <w:u w:val="single"/>
              </w:rPr>
            </w:pPr>
            <w:r>
              <w:rPr>
                <w:rFonts w:ascii="宋体" w:hAnsi="宋体"/>
                <w:b/>
                <w:bCs/>
                <w:sz w:val="22"/>
                <w:szCs w:val="22"/>
              </w:rPr>
              <w:t>开标时间</w:t>
            </w:r>
            <w:r>
              <w:rPr>
                <w:rFonts w:hint="eastAsia" w:ascii="宋体" w:hAnsi="宋体"/>
                <w:b/>
                <w:bCs/>
                <w:sz w:val="22"/>
                <w:szCs w:val="22"/>
              </w:rPr>
              <w:t>和</w:t>
            </w:r>
            <w:r>
              <w:rPr>
                <w:rFonts w:ascii="宋体" w:hAnsi="宋体"/>
                <w:b/>
                <w:bCs/>
                <w:sz w:val="22"/>
                <w:szCs w:val="22"/>
              </w:rPr>
              <w:t>地点</w:t>
            </w:r>
            <w:r>
              <w:rPr>
                <w:rFonts w:ascii="宋体" w:hAnsi="宋体"/>
                <w:b/>
                <w:sz w:val="22"/>
                <w:szCs w:val="22"/>
              </w:rPr>
              <w:t>：</w:t>
            </w:r>
          </w:p>
          <w:p>
            <w:pPr>
              <w:autoSpaceDE w:val="0"/>
              <w:autoSpaceDN w:val="0"/>
              <w:snapToGrid w:val="0"/>
              <w:spacing w:line="400" w:lineRule="exact"/>
              <w:textAlignment w:val="bottom"/>
              <w:rPr>
                <w:rFonts w:hint="eastAsia" w:ascii="宋体" w:hAnsi="宋体"/>
                <w:sz w:val="22"/>
                <w:szCs w:val="22"/>
              </w:rPr>
            </w:pPr>
            <w:r>
              <w:rPr>
                <w:rFonts w:hint="eastAsia" w:ascii="宋体" w:hAnsi="宋体"/>
                <w:sz w:val="22"/>
                <w:szCs w:val="22"/>
              </w:rPr>
              <w:t>1. 开标时间：</w:t>
            </w:r>
            <w:r>
              <w:rPr>
                <w:rFonts w:ascii="宋体" w:hAnsi="宋体"/>
                <w:sz w:val="22"/>
                <w:szCs w:val="22"/>
              </w:rPr>
              <w:t>20</w:t>
            </w:r>
            <w:r>
              <w:rPr>
                <w:rFonts w:hint="eastAsia" w:ascii="宋体" w:hAnsi="宋体"/>
                <w:sz w:val="22"/>
                <w:szCs w:val="22"/>
                <w:lang w:val="en-US" w:eastAsia="zh-CN"/>
              </w:rPr>
              <w:t>20</w:t>
            </w:r>
            <w:r>
              <w:rPr>
                <w:rFonts w:ascii="宋体" w:hAnsi="宋体"/>
                <w:sz w:val="22"/>
                <w:szCs w:val="22"/>
              </w:rPr>
              <w:t>年</w:t>
            </w:r>
            <w:r>
              <w:rPr>
                <w:rFonts w:hint="eastAsia" w:ascii="宋体" w:hAnsi="宋体"/>
                <w:sz w:val="22"/>
                <w:szCs w:val="22"/>
                <w:lang w:val="en-US" w:eastAsia="zh-CN"/>
              </w:rPr>
              <w:t>11</w:t>
            </w:r>
            <w:r>
              <w:rPr>
                <w:rFonts w:ascii="宋体" w:hAnsi="宋体"/>
                <w:sz w:val="22"/>
                <w:szCs w:val="22"/>
              </w:rPr>
              <w:t>月</w:t>
            </w:r>
            <w:r>
              <w:rPr>
                <w:rFonts w:hint="eastAsia" w:ascii="宋体" w:hAnsi="宋体"/>
                <w:sz w:val="22"/>
                <w:szCs w:val="22"/>
                <w:lang w:val="en-US" w:eastAsia="zh-CN"/>
              </w:rPr>
              <w:t>13</w:t>
            </w:r>
            <w:r>
              <w:rPr>
                <w:rFonts w:ascii="宋体" w:hAnsi="宋体"/>
                <w:sz w:val="22"/>
                <w:szCs w:val="22"/>
              </w:rPr>
              <w:t>日</w:t>
            </w:r>
            <w:r>
              <w:rPr>
                <w:rFonts w:hint="eastAsia" w:ascii="宋体" w:hAnsi="宋体"/>
                <w:sz w:val="22"/>
                <w:szCs w:val="22"/>
                <w:lang w:val="en-US" w:eastAsia="zh-CN"/>
              </w:rPr>
              <w:t>9</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0前</w:t>
            </w:r>
          </w:p>
          <w:p>
            <w:pPr>
              <w:snapToGrid w:val="0"/>
              <w:spacing w:line="400" w:lineRule="exact"/>
              <w:rPr>
                <w:rFonts w:hint="eastAsia" w:ascii="宋体" w:hAnsi="宋体"/>
                <w:sz w:val="22"/>
                <w:szCs w:val="22"/>
              </w:rPr>
            </w:pPr>
            <w:r>
              <w:rPr>
                <w:rFonts w:hint="eastAsia" w:ascii="宋体" w:hAnsi="宋体"/>
                <w:sz w:val="22"/>
                <w:szCs w:val="22"/>
              </w:rPr>
              <w:t>2. 开标地点：</w:t>
            </w:r>
            <w:r>
              <w:rPr>
                <w:rFonts w:hint="eastAsia" w:ascii="宋体" w:hAnsi="宋体" w:cs="仿宋_GB2312"/>
                <w:color w:val="000000"/>
                <w:szCs w:val="21"/>
                <w:u w:val="single"/>
              </w:rPr>
              <w:t>平湖市当湖街道胜利路129号建工大厦10楼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hint="eastAsia" w:ascii="宋体" w:hAnsi="宋体"/>
                <w:sz w:val="22"/>
                <w:szCs w:val="22"/>
              </w:rPr>
              <w:t>10</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2"/>
                <w:szCs w:val="22"/>
              </w:rPr>
            </w:pPr>
            <w:r>
              <w:rPr>
                <w:rFonts w:ascii="宋体" w:hAnsi="宋体"/>
                <w:b/>
                <w:sz w:val="22"/>
                <w:szCs w:val="22"/>
              </w:rPr>
              <w:t>评标办法及评分标准：</w:t>
            </w:r>
            <w:r>
              <w:rPr>
                <w:rFonts w:ascii="宋体" w:hAnsi="宋体"/>
                <w:sz w:val="22"/>
                <w:szCs w:val="22"/>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ascii="宋体" w:hAnsi="宋体"/>
                <w:sz w:val="22"/>
                <w:szCs w:val="22"/>
              </w:rPr>
              <w:t>1</w:t>
            </w:r>
            <w:r>
              <w:rPr>
                <w:rFonts w:hint="eastAsia" w:ascii="宋体" w:hAnsi="宋体"/>
                <w:sz w:val="22"/>
                <w:szCs w:val="22"/>
              </w:rPr>
              <w:t>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2"/>
                <w:szCs w:val="22"/>
              </w:rPr>
            </w:pPr>
            <w:r>
              <w:rPr>
                <w:rFonts w:ascii="宋体" w:hAnsi="宋体" w:cs="宋体"/>
                <w:b/>
                <w:kern w:val="0"/>
                <w:sz w:val="22"/>
                <w:szCs w:val="22"/>
              </w:rPr>
              <w:t>中标结果公告：</w:t>
            </w:r>
            <w:r>
              <w:rPr>
                <w:rFonts w:ascii="宋体" w:hAnsi="宋体" w:cs="宋体"/>
                <w:kern w:val="0"/>
                <w:sz w:val="22"/>
                <w:szCs w:val="22"/>
              </w:rPr>
              <w:t>自中标、成交供应商确定之日起2个工作日内</w:t>
            </w:r>
            <w:r>
              <w:rPr>
                <w:rFonts w:hint="eastAsia" w:ascii="宋体" w:hAnsi="宋体" w:cs="宋体"/>
                <w:kern w:val="0"/>
                <w:sz w:val="22"/>
                <w:szCs w:val="22"/>
              </w:rPr>
              <w:t>中标</w:t>
            </w:r>
            <w:r>
              <w:rPr>
                <w:rFonts w:ascii="宋体" w:hAnsi="宋体" w:cs="宋体"/>
                <w:kern w:val="0"/>
                <w:sz w:val="22"/>
                <w:szCs w:val="22"/>
              </w:rPr>
              <w:t>结果公告于</w:t>
            </w:r>
            <w:r>
              <w:rPr>
                <w:rFonts w:hint="eastAsia" w:ascii="宋体" w:hAnsi="宋体" w:cs="宋体"/>
                <w:kern w:val="0"/>
                <w:sz w:val="22"/>
                <w:szCs w:val="22"/>
              </w:rPr>
              <w:t>招标公告中所指定的网站</w:t>
            </w:r>
            <w:r>
              <w:rPr>
                <w:rFonts w:ascii="宋体" w:hAnsi="宋体" w:cs="宋体"/>
                <w:kern w:val="0"/>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2"/>
                <w:szCs w:val="22"/>
              </w:rPr>
            </w:pPr>
            <w:r>
              <w:rPr>
                <w:rFonts w:ascii="宋体" w:hAnsi="宋体"/>
                <w:sz w:val="22"/>
                <w:szCs w:val="22"/>
              </w:rPr>
              <w:t>1</w:t>
            </w:r>
            <w:r>
              <w:rPr>
                <w:rFonts w:hint="eastAsia" w:ascii="宋体" w:hAnsi="宋体"/>
                <w:sz w:val="22"/>
                <w:szCs w:val="22"/>
              </w:rPr>
              <w:t>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2"/>
                <w:szCs w:val="22"/>
              </w:rPr>
            </w:pPr>
            <w:r>
              <w:rPr>
                <w:rFonts w:ascii="宋体" w:hAnsi="宋体" w:cs="宋体"/>
                <w:b/>
                <w:kern w:val="0"/>
                <w:sz w:val="22"/>
                <w:szCs w:val="22"/>
              </w:rPr>
              <w:t>中标通知书：</w:t>
            </w:r>
            <w:r>
              <w:rPr>
                <w:rFonts w:ascii="宋体" w:hAnsi="宋体" w:cs="宋体"/>
                <w:kern w:val="0"/>
                <w:sz w:val="22"/>
                <w:szCs w:val="22"/>
              </w:rPr>
              <w:t>中标结果公告发布</w:t>
            </w:r>
            <w:r>
              <w:rPr>
                <w:rFonts w:hint="eastAsia" w:ascii="宋体" w:hAnsi="宋体" w:cs="宋体"/>
                <w:kern w:val="0"/>
                <w:sz w:val="22"/>
                <w:szCs w:val="22"/>
                <w:lang w:val="en-US" w:eastAsia="zh-CN"/>
              </w:rPr>
              <w:t>3</w:t>
            </w:r>
            <w:r>
              <w:rPr>
                <w:rFonts w:ascii="宋体" w:hAnsi="宋体" w:cs="宋体"/>
                <w:kern w:val="0"/>
                <w:sz w:val="22"/>
                <w:szCs w:val="22"/>
              </w:rPr>
              <w:t>个工作日内无异议，发中标通知书。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2"/>
                <w:szCs w:val="22"/>
                <w:lang w:eastAsia="zh-CN"/>
              </w:rPr>
            </w:pPr>
            <w:r>
              <w:rPr>
                <w:rFonts w:ascii="宋体" w:hAnsi="宋体"/>
                <w:sz w:val="22"/>
                <w:szCs w:val="22"/>
              </w:rPr>
              <w:t>1</w:t>
            </w:r>
            <w:r>
              <w:rPr>
                <w:rFonts w:hint="eastAsia" w:ascii="宋体" w:hAnsi="宋体"/>
                <w:sz w:val="22"/>
                <w:szCs w:val="22"/>
                <w:lang w:val="en-US" w:eastAsia="zh-CN"/>
              </w:rPr>
              <w:t>3</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 w:val="22"/>
                <w:szCs w:val="22"/>
              </w:rPr>
            </w:pPr>
            <w:r>
              <w:rPr>
                <w:rFonts w:ascii="宋体" w:hAnsi="宋体"/>
                <w:b/>
                <w:sz w:val="22"/>
                <w:szCs w:val="22"/>
              </w:rPr>
              <w:t>签订合同时间：</w:t>
            </w:r>
            <w:r>
              <w:rPr>
                <w:rFonts w:ascii="宋体" w:hAnsi="宋体"/>
                <w:sz w:val="22"/>
                <w:szCs w:val="22"/>
              </w:rPr>
              <w:t>中标通知书发出后</w:t>
            </w:r>
            <w:r>
              <w:rPr>
                <w:rFonts w:hint="eastAsia" w:ascii="宋体" w:hAnsi="宋体"/>
                <w:sz w:val="22"/>
                <w:szCs w:val="22"/>
              </w:rPr>
              <w:t>1</w:t>
            </w:r>
            <w:r>
              <w:rPr>
                <w:rFonts w:ascii="宋体" w:hAnsi="宋体"/>
                <w:sz w:val="22"/>
                <w:szCs w:val="22"/>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2"/>
                <w:szCs w:val="22"/>
                <w:lang w:eastAsia="zh-CN"/>
              </w:rPr>
            </w:pPr>
            <w:r>
              <w:rPr>
                <w:rFonts w:ascii="宋体" w:hAnsi="宋体"/>
                <w:sz w:val="22"/>
                <w:szCs w:val="22"/>
              </w:rPr>
              <w:t>1</w:t>
            </w:r>
            <w:r>
              <w:rPr>
                <w:rFonts w:hint="eastAsia" w:ascii="宋体" w:hAnsi="宋体"/>
                <w:sz w:val="22"/>
                <w:szCs w:val="22"/>
                <w:lang w:val="en-US" w:eastAsia="zh-CN"/>
              </w:rPr>
              <w:t>4</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2"/>
                <w:szCs w:val="22"/>
              </w:rPr>
            </w:pPr>
            <w:r>
              <w:rPr>
                <w:rFonts w:ascii="宋体" w:hAnsi="宋体"/>
                <w:b/>
                <w:sz w:val="22"/>
                <w:szCs w:val="22"/>
              </w:rPr>
              <w:t xml:space="preserve">履约保证金的收取及退还: </w:t>
            </w:r>
            <w:r>
              <w:rPr>
                <w:rFonts w:ascii="宋体" w:hAnsi="宋体"/>
                <w:sz w:val="22"/>
                <w:szCs w:val="22"/>
              </w:rPr>
              <w:t>履约保证金按合同总金额的</w:t>
            </w:r>
            <w:r>
              <w:rPr>
                <w:rFonts w:ascii="宋体" w:hAnsi="宋体"/>
                <w:sz w:val="22"/>
                <w:szCs w:val="22"/>
                <w:u w:val="single"/>
              </w:rPr>
              <w:t xml:space="preserve"> </w:t>
            </w:r>
            <w:r>
              <w:rPr>
                <w:rFonts w:hint="eastAsia" w:ascii="宋体" w:hAnsi="宋体"/>
                <w:sz w:val="22"/>
                <w:szCs w:val="22"/>
                <w:u w:val="single"/>
              </w:rPr>
              <w:t xml:space="preserve">5% </w:t>
            </w:r>
            <w:r>
              <w:rPr>
                <w:rFonts w:ascii="宋体" w:hAnsi="宋体"/>
                <w:sz w:val="22"/>
                <w:szCs w:val="22"/>
              </w:rPr>
              <w:t>计收，在中标人按合同约定</w:t>
            </w:r>
            <w:r>
              <w:rPr>
                <w:rFonts w:hint="eastAsia" w:ascii="宋体" w:hAnsi="宋体"/>
                <w:sz w:val="22"/>
                <w:szCs w:val="22"/>
              </w:rPr>
              <w:t>货物</w:t>
            </w:r>
            <w:r>
              <w:rPr>
                <w:rFonts w:ascii="宋体" w:hAnsi="宋体"/>
                <w:sz w:val="22"/>
                <w:szCs w:val="22"/>
              </w:rPr>
              <w:t>验收合格后后</w:t>
            </w:r>
            <w:r>
              <w:rPr>
                <w:rFonts w:hint="eastAsia" w:ascii="宋体" w:hAnsi="宋体"/>
                <w:sz w:val="22"/>
                <w:szCs w:val="22"/>
              </w:rPr>
              <w:t>一个月内</w:t>
            </w:r>
            <w:r>
              <w:rPr>
                <w:rFonts w:ascii="宋体" w:hAnsi="宋体"/>
                <w:sz w:val="22"/>
                <w:szCs w:val="22"/>
              </w:rPr>
              <w:t>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2"/>
                <w:szCs w:val="22"/>
                <w:lang w:eastAsia="zh-CN"/>
              </w:rPr>
            </w:pPr>
            <w:r>
              <w:rPr>
                <w:rFonts w:ascii="宋体" w:hAnsi="宋体"/>
                <w:sz w:val="22"/>
                <w:szCs w:val="22"/>
              </w:rPr>
              <w:t>1</w:t>
            </w:r>
            <w:r>
              <w:rPr>
                <w:rFonts w:hint="eastAsia" w:ascii="宋体" w:hAnsi="宋体"/>
                <w:sz w:val="22"/>
                <w:szCs w:val="22"/>
                <w:lang w:val="en-US" w:eastAsia="zh-CN"/>
              </w:rPr>
              <w:t>5</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2"/>
                <w:szCs w:val="22"/>
              </w:rPr>
            </w:pPr>
            <w:r>
              <w:rPr>
                <w:rFonts w:ascii="宋体" w:hAnsi="宋体"/>
                <w:b/>
                <w:sz w:val="22"/>
                <w:szCs w:val="22"/>
              </w:rPr>
              <w:t>投标文件有效期：</w:t>
            </w:r>
            <w:r>
              <w:rPr>
                <w:rFonts w:hint="eastAsia" w:ascii="宋体" w:hAnsi="宋体"/>
                <w:sz w:val="22"/>
                <w:szCs w:val="22"/>
                <w:u w:val="single"/>
              </w:rPr>
              <w:t xml:space="preserve"> 90 </w:t>
            </w:r>
            <w:r>
              <w:rPr>
                <w:rFonts w:ascii="宋体" w:hAnsi="宋体"/>
                <w:sz w:val="22"/>
                <w:szCs w:val="22"/>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2"/>
                <w:szCs w:val="22"/>
                <w:lang w:eastAsia="zh-CN"/>
              </w:rPr>
            </w:pPr>
            <w:r>
              <w:rPr>
                <w:rFonts w:hint="eastAsia" w:ascii="宋体" w:hAnsi="宋体"/>
                <w:sz w:val="22"/>
                <w:szCs w:val="22"/>
              </w:rPr>
              <w:t>1</w:t>
            </w:r>
            <w:r>
              <w:rPr>
                <w:rFonts w:hint="eastAsia" w:ascii="宋体" w:hAnsi="宋体"/>
                <w:sz w:val="22"/>
                <w:szCs w:val="22"/>
                <w:lang w:val="en-US" w:eastAsia="zh-CN"/>
              </w:rPr>
              <w:t>6</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宋体" w:hAnsi="宋体" w:eastAsia="宋体"/>
                <w:sz w:val="22"/>
                <w:szCs w:val="22"/>
                <w:lang w:val="en-US" w:eastAsia="zh-CN"/>
              </w:rPr>
            </w:pPr>
            <w:r>
              <w:rPr>
                <w:rFonts w:ascii="宋体" w:hAnsi="宋体"/>
                <w:b/>
                <w:sz w:val="22"/>
                <w:szCs w:val="22"/>
              </w:rPr>
              <w:t>解释：</w:t>
            </w:r>
            <w:r>
              <w:rPr>
                <w:rFonts w:ascii="宋体" w:hAnsi="宋体"/>
                <w:sz w:val="22"/>
                <w:szCs w:val="22"/>
              </w:rPr>
              <w:t>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sz w:val="22"/>
                <w:szCs w:val="22"/>
                <w:lang w:val="en-US" w:eastAsia="zh-CN"/>
              </w:rPr>
            </w:pPr>
            <w:r>
              <w:rPr>
                <w:rFonts w:hint="eastAsia" w:ascii="宋体" w:hAnsi="宋体"/>
                <w:sz w:val="22"/>
                <w:szCs w:val="22"/>
                <w:lang w:val="en-US" w:eastAsia="zh-CN"/>
              </w:rPr>
              <w:t>17</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sz w:val="22"/>
                <w:szCs w:val="22"/>
              </w:rPr>
            </w:pPr>
            <w:r>
              <w:rPr>
                <w:rFonts w:hint="eastAsia" w:ascii="宋体" w:hAnsi="宋体" w:cs="仿宋_GB2312"/>
                <w:color w:val="auto"/>
                <w:szCs w:val="21"/>
              </w:rPr>
              <w:t>水表/电表的两套智能充值系统</w:t>
            </w:r>
            <w:r>
              <w:rPr>
                <w:rFonts w:hint="eastAsia" w:ascii="宋体" w:hAnsi="宋体" w:cs="仿宋_GB2312"/>
                <w:color w:val="auto"/>
                <w:szCs w:val="21"/>
                <w:lang w:eastAsia="zh-CN"/>
              </w:rPr>
              <w:t>，</w:t>
            </w:r>
            <w:r>
              <w:rPr>
                <w:rFonts w:hint="eastAsia" w:ascii="宋体" w:hAnsi="宋体" w:cs="仿宋_GB2312"/>
                <w:color w:val="auto"/>
                <w:szCs w:val="21"/>
              </w:rPr>
              <w:t>由平湖市腾发市场管理有限公司采购垫付的设备和安装费</w:t>
            </w:r>
            <w:r>
              <w:rPr>
                <w:rFonts w:hint="eastAsia" w:ascii="宋体" w:hAnsi="宋体" w:cs="仿宋_GB2312"/>
                <w:color w:val="auto"/>
                <w:szCs w:val="21"/>
                <w:lang w:eastAsia="zh-CN"/>
              </w:rPr>
              <w:t>，</w:t>
            </w:r>
            <w:r>
              <w:rPr>
                <w:rFonts w:hint="eastAsia" w:ascii="宋体" w:hAnsi="宋体" w:cs="仿宋_GB2312"/>
                <w:color w:val="auto"/>
                <w:szCs w:val="21"/>
              </w:rPr>
              <w:t>共计肆拾伍万元</w:t>
            </w:r>
            <w:r>
              <w:rPr>
                <w:rFonts w:hint="eastAsia" w:ascii="宋体" w:hAnsi="宋体" w:cs="仿宋_GB2312"/>
                <w:color w:val="auto"/>
                <w:szCs w:val="21"/>
                <w:lang w:eastAsia="zh-CN"/>
              </w:rPr>
              <w:t>。</w:t>
            </w:r>
            <w:r>
              <w:rPr>
                <w:rFonts w:hint="eastAsia" w:ascii="宋体" w:hAnsi="宋体" w:cs="仿宋_GB2312"/>
                <w:color w:val="auto"/>
                <w:szCs w:val="21"/>
              </w:rPr>
              <w:t>由中标单位</w:t>
            </w:r>
            <w:r>
              <w:rPr>
                <w:rFonts w:hint="eastAsia" w:ascii="宋体" w:hAnsi="宋体" w:cs="仿宋_GB2312"/>
                <w:color w:val="auto"/>
                <w:szCs w:val="21"/>
                <w:lang w:val="en-US" w:eastAsia="zh-CN"/>
              </w:rPr>
              <w:t>承担代付。</w:t>
            </w:r>
          </w:p>
        </w:tc>
      </w:tr>
    </w:tbl>
    <w:p>
      <w:pPr>
        <w:pStyle w:val="24"/>
        <w:bidi w:val="0"/>
        <w:rPr>
          <w:rFonts w:hint="eastAsia"/>
        </w:rPr>
      </w:pPr>
    </w:p>
    <w:p>
      <w:pPr>
        <w:pStyle w:val="24"/>
        <w:bidi w:val="0"/>
        <w:rPr>
          <w:rFonts w:hint="eastAsia"/>
        </w:rPr>
      </w:pPr>
    </w:p>
    <w:p>
      <w:pPr>
        <w:pStyle w:val="24"/>
        <w:bidi w:val="0"/>
        <w:rPr>
          <w:rFonts w:hint="eastAsia"/>
        </w:rPr>
      </w:pPr>
      <w:bookmarkStart w:id="194" w:name="_Toc23780"/>
    </w:p>
    <w:p>
      <w:pPr>
        <w:pStyle w:val="24"/>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contextualSpacing/>
        <w:jc w:val="center"/>
        <w:textAlignment w:val="auto"/>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一、总  则</w:t>
      </w:r>
      <w:bookmarkEnd w:id="192"/>
      <w:bookmarkEnd w:id="193"/>
      <w:bookmarkEnd w:id="194"/>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 适用范围</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本招标文件适用于本次所述项目的招标、评标、定标、验收、合同履约、付款等(法律、法规另有规定的，从其规定)。</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(二)定义</w:t>
      </w:r>
    </w:p>
    <w:p>
      <w:pPr>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1.“采购单位”系指</w:t>
      </w:r>
      <w:r>
        <w:rPr>
          <w:rFonts w:hint="eastAsia" w:ascii="宋体" w:hAnsi="宋体" w:eastAsia="宋体" w:cs="宋体"/>
          <w:color w:val="000000"/>
          <w:sz w:val="21"/>
          <w:szCs w:val="21"/>
          <w:highlight w:val="none"/>
          <w:u w:val="single"/>
          <w:lang w:eastAsia="zh-CN"/>
        </w:rPr>
        <w:t>嘉兴市港区乍浦农贸海鲜城业主委员会</w:t>
      </w:r>
      <w:r>
        <w:rPr>
          <w:rFonts w:hint="eastAsia" w:ascii="宋体" w:hAnsi="宋体" w:eastAsia="宋体" w:cs="宋体"/>
          <w:color w:val="000000"/>
          <w:sz w:val="21"/>
          <w:szCs w:val="21"/>
          <w:highlight w:val="none"/>
          <w:u w:val="single"/>
        </w:rPr>
        <w:t>。</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2.“采购代理机构”系指组织本次招标的采购代理机构</w:t>
      </w:r>
      <w:r>
        <w:rPr>
          <w:rFonts w:hint="eastAsia" w:ascii="宋体" w:hAnsi="宋体" w:eastAsia="宋体" w:cs="宋体"/>
          <w:color w:val="000000"/>
          <w:sz w:val="21"/>
          <w:szCs w:val="21"/>
          <w:highlight w:val="none"/>
          <w:u w:val="single"/>
          <w:lang w:eastAsia="zh-CN"/>
        </w:rPr>
        <w:t>嘉兴市千秋工程咨询有限公司</w:t>
      </w:r>
      <w:r>
        <w:rPr>
          <w:rFonts w:hint="eastAsia" w:ascii="宋体" w:hAnsi="宋体" w:eastAsia="宋体" w:cs="宋体"/>
          <w:color w:val="000000"/>
          <w:sz w:val="21"/>
          <w:szCs w:val="21"/>
          <w:highlight w:val="none"/>
        </w:rPr>
        <w:t>。</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3.“投标人”系指向招标人提交投标文件的供应商。</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4、“货物”系指供方按招标文件规定，须向采购人提供的一切设备、保险、税金、备品备件、工具、手册及其它有关技术资料和</w:t>
      </w:r>
      <w:r>
        <w:rPr>
          <w:rFonts w:hint="eastAsia" w:ascii="宋体" w:hAnsi="宋体" w:eastAsia="宋体" w:cs="宋体"/>
          <w:color w:val="000000"/>
          <w:kern w:val="0"/>
          <w:sz w:val="21"/>
          <w:szCs w:val="21"/>
          <w:highlight w:val="none"/>
          <w:lang w:bidi="ar"/>
        </w:rPr>
        <w:t xml:space="preserve">材料。 </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5.“服务”系指招标文件规定投标单位向采购人须承担的安装、调试、技术协助、校准、培训、技术指导以及其他类似的义务。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contextualSpacing/>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lang w:eastAsia="zh-CN"/>
        </w:rPr>
        <w:t>本项目</w:t>
      </w:r>
      <w:r>
        <w:rPr>
          <w:rFonts w:hint="eastAsia" w:ascii="宋体" w:hAnsi="宋体" w:eastAsia="宋体" w:cs="宋体"/>
          <w:color w:val="000000"/>
          <w:sz w:val="21"/>
          <w:szCs w:val="21"/>
          <w:highlight w:val="none"/>
          <w:u w:val="single"/>
        </w:rPr>
        <w:t>“服务”系指招标文件规定投标单位向采购人</w:t>
      </w:r>
      <w:r>
        <w:rPr>
          <w:rFonts w:hint="eastAsia" w:ascii="宋体" w:hAnsi="宋体" w:eastAsia="宋体" w:cs="宋体"/>
          <w:color w:val="000000"/>
          <w:sz w:val="21"/>
          <w:szCs w:val="21"/>
          <w:highlight w:val="none"/>
          <w:u w:val="single"/>
          <w:lang w:eastAsia="zh-CN"/>
        </w:rPr>
        <w:t>提供嘉兴市港区乍浦农贸海鲜城物业管理项目及其他相关技术支持</w:t>
      </w:r>
      <w:r>
        <w:rPr>
          <w:rFonts w:hint="eastAsia" w:ascii="宋体" w:hAnsi="宋体" w:eastAsia="宋体" w:cs="宋体"/>
          <w:color w:val="000000"/>
          <w:sz w:val="21"/>
          <w:szCs w:val="21"/>
          <w:highlight w:val="none"/>
          <w:u w:val="single"/>
        </w:rPr>
        <w:t>。</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6.“项目”系指投标人按招标文件规定向采购人提供的货物和服务。</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7.“书面形式”包括信函、传真、电子文档等。</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8.“▲”系指实质性要求条款。</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(三)招标方式</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本次招标采用公开招标方式进行。</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(四)投标委托</w:t>
      </w:r>
    </w:p>
    <w:p>
      <w:pPr>
        <w:pStyle w:val="20"/>
        <w:keepNext w:val="0"/>
        <w:keepLines w:val="0"/>
        <w:pageBreakBefore w:val="0"/>
        <w:widowControl w:val="0"/>
        <w:kinsoku/>
        <w:wordWrap/>
        <w:overflowPunct/>
        <w:topLinePunct w:val="0"/>
        <w:autoSpaceDE/>
        <w:autoSpaceDN/>
        <w:bidi w:val="0"/>
        <w:snapToGrid w:val="0"/>
        <w:spacing w:line="360" w:lineRule="auto"/>
        <w:ind w:firstLine="420" w:firstLineChars="200"/>
        <w:contextualSpacing/>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如投标人代表不是法定代表人，须有法定代表人出具的授权委托书(格式见投标文件格式)。</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(五)投标费用</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不论投标结果如何，投标人均应自行承担所有与投标有关的全部费用(招标文件有相关规定除外)。</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(六)联合体投标</w:t>
      </w:r>
    </w:p>
    <w:p>
      <w:pPr>
        <w:snapToGrid w:val="0"/>
        <w:spacing w:line="360" w:lineRule="auto"/>
        <w:ind w:firstLine="422"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本项目不接受联合体投标。</w:t>
      </w:r>
    </w:p>
    <w:p>
      <w:pPr>
        <w:snapToGrid w:val="0"/>
        <w:spacing w:line="360" w:lineRule="auto"/>
        <w:ind w:firstLine="422" w:firstLineChars="200"/>
        <w:contextualSpacing/>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(七)</w:t>
      </w:r>
      <w:r>
        <w:rPr>
          <w:rFonts w:hint="eastAsia" w:ascii="宋体" w:hAnsi="宋体" w:eastAsia="宋体" w:cs="宋体"/>
          <w:b/>
          <w:color w:val="000000"/>
          <w:kern w:val="0"/>
          <w:sz w:val="21"/>
          <w:szCs w:val="21"/>
          <w:highlight w:val="none"/>
        </w:rPr>
        <w:t>转包与分包</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1.本项目不允许转包；</w:t>
      </w:r>
    </w:p>
    <w:p>
      <w:pPr>
        <w:snapToGrid w:val="0"/>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2.本项目不允许分包。</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outlineLvl w:val="9"/>
        <w:rPr>
          <w:rFonts w:hint="eastAsia" w:ascii="宋体" w:hAnsi="宋体" w:eastAsia="宋体" w:cs="宋体"/>
          <w:b/>
          <w:sz w:val="21"/>
          <w:szCs w:val="21"/>
          <w:highlight w:val="none"/>
        </w:rPr>
      </w:pPr>
      <w:bookmarkStart w:id="195" w:name="_Toc6003"/>
      <w:r>
        <w:rPr>
          <w:rFonts w:hint="eastAsia" w:ascii="宋体" w:hAnsi="宋体" w:eastAsia="宋体" w:cs="宋体"/>
          <w:b/>
          <w:sz w:val="21"/>
          <w:szCs w:val="21"/>
          <w:highlight w:val="none"/>
        </w:rPr>
        <w:t>（八）是否允许采购进口产品</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本项目不允</w:t>
      </w:r>
      <w:r>
        <w:rPr>
          <w:rFonts w:hint="eastAsia" w:ascii="宋体" w:hAnsi="宋体" w:eastAsia="宋体" w:cs="宋体"/>
          <w:kern w:val="0"/>
          <w:sz w:val="21"/>
          <w:szCs w:val="21"/>
          <w:highlight w:val="none"/>
          <w:lang w:val="en-US" w:eastAsia="zh-CN"/>
        </w:rPr>
        <w:t>许</w:t>
      </w:r>
      <w:r>
        <w:rPr>
          <w:rFonts w:hint="eastAsia" w:ascii="宋体" w:hAnsi="宋体" w:eastAsia="宋体" w:cs="宋体"/>
          <w:kern w:val="0"/>
          <w:sz w:val="21"/>
          <w:szCs w:val="21"/>
          <w:highlight w:val="none"/>
        </w:rPr>
        <w:t>采购进口产品。</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（九）特别说明：</w:t>
      </w:r>
    </w:p>
    <w:p>
      <w:pPr>
        <w:pStyle w:val="24"/>
        <w:snapToGrid w:val="0"/>
        <w:spacing w:before="0" w:beforeLines="0" w:after="0" w:afterLines="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1、使用综合评分法的采购项目，提供相同品牌产品且通过资格审查、符合性审查的不同</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参加同一合同项下投标的，按一家</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计算，评审后得分最高的同品牌</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获得中标人推荐资格;评审得分相同的，由采购人或者采购人委托评标委员会按照招标文件规定的方式确定一个</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获得中标人推荐资格，招标文件未规定的采取随机抽取方式确定，其他同品牌</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不作为中标候选人。</w:t>
      </w:r>
    </w:p>
    <w:p>
      <w:pPr>
        <w:pStyle w:val="24"/>
        <w:snapToGrid w:val="0"/>
        <w:spacing w:before="0" w:beforeLines="0" w:after="0" w:afterLines="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非单一产品采购项目，采购人应当根据采购项目技术构成、产品价格比重等合理确定核心产品，并在招标文件中载明。多家</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提供的核心产品品牌相同的，按前两款规定处理。</w:t>
      </w:r>
    </w:p>
    <w:p>
      <w:pPr>
        <w:pStyle w:val="24"/>
        <w:snapToGrid w:val="0"/>
        <w:spacing w:before="0" w:beforeLines="0" w:after="0" w:afterLines="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投标所使用的资格、信誉、荣誉、业绩与企业认证必须为本法人所拥有。</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投标所使用的采购项目实施人员必须为本法人员工（或必须为本法人或控股公司正式员工）。</w:t>
      </w:r>
    </w:p>
    <w:p>
      <w:pPr>
        <w:pStyle w:val="24"/>
        <w:snapToGrid w:val="0"/>
        <w:spacing w:before="0" w:beforeLines="0" w:after="0" w:afterLines="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应仔细阅读招标文件的所有内容，按照招标文件的要求提交投标文件，并对所提供的全部资料的真实性承担法律责任。</w:t>
      </w:r>
    </w:p>
    <w:p>
      <w:pPr>
        <w:pStyle w:val="24"/>
        <w:snapToGrid w:val="0"/>
        <w:spacing w:before="0" w:beforeLines="0" w:after="0" w:afterLines="0"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的行政与刑事责任。</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（十）质疑和投诉</w:t>
      </w:r>
    </w:p>
    <w:p>
      <w:pPr>
        <w:pStyle w:val="92"/>
        <w:keepNext w:val="0"/>
        <w:keepLines w:val="0"/>
        <w:pageBreakBefore w:val="0"/>
        <w:widowControl w:val="0"/>
        <w:kinsoku/>
        <w:wordWrap/>
        <w:overflowPunct/>
        <w:topLinePunct w:val="0"/>
        <w:autoSpaceDE/>
        <w:autoSpaceDN/>
        <w:bidi w:val="0"/>
        <w:adjustRightInd w:val="0"/>
        <w:snapToGrid w:val="0"/>
        <w:spacing w:before="0" w:beforeLines="0" w:line="360" w:lineRule="auto"/>
        <w:ind w:firstLine="420" w:firstLineChars="20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根据《中华人民共和国政府采购法》、《中华人民共和国政府采购法实施条例》《财政部关于加强政府采购投标人投诉受理审查工作的通知》(财库〔2007〕1号)和《浙江省政府采购投标人质疑处理办法》（浙财采监[2012]18号）的规定，政府采购投标人可以依法提起质疑和投诉。</w:t>
      </w:r>
    </w:p>
    <w:p>
      <w:pPr>
        <w:pStyle w:val="24"/>
        <w:snapToGrid w:val="0"/>
        <w:spacing w:before="0" w:beforeLines="0" w:after="0" w:afterLines="0"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2、投标人认为采购文件、采购过程、中标或者成交结果使自己的权益受到损害的，可以在知道或者应知其权益受到损害之日起7个工作日内，以书面形式一次性向采购人、 采购代理机构提出针对同一采购程序环节的质疑。质疑投标人对采购人、 采购代理机构的答复不满意，或者采购人、采购代理机构未在规定时间内作出答复的，可以在答复期满后15个工作日内向规定的财政部门提起投诉。</w:t>
      </w:r>
    </w:p>
    <w:p>
      <w:pPr>
        <w:pStyle w:val="24"/>
        <w:snapToGrid w:val="0"/>
        <w:spacing w:before="0" w:beforeLines="0" w:after="0" w:afterLines="0"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3、投标人须在法定质疑期内一次性提出针对同一采购程序环节的质疑。</w:t>
      </w:r>
    </w:p>
    <w:p>
      <w:pPr>
        <w:pStyle w:val="24"/>
        <w:snapToGrid w:val="0"/>
        <w:spacing w:before="0" w:beforeLines="0" w:after="0" w:afterLines="0"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4、投标人认为采购代理机构在质疑答复程序中启用的调查和复评等程序，在该程序操作过程未明显违反法律禁止性规定时，不得提出疑义。</w:t>
      </w:r>
    </w:p>
    <w:p>
      <w:pPr>
        <w:pStyle w:val="24"/>
        <w:snapToGrid w:val="0"/>
        <w:spacing w:before="0" w:beforeLines="0" w:after="0" w:afterLines="0"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5、质疑和投诉应当满足《政府采购质疑和投诉办法》（中华人民共和国财政部令第94号）要求。</w:t>
      </w:r>
    </w:p>
    <w:p>
      <w:pPr>
        <w:pStyle w:val="24"/>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firstLine="643" w:firstLineChars="200"/>
        <w:contextualSpacing/>
        <w:jc w:val="center"/>
        <w:textAlignment w:val="auto"/>
        <w:outlineLvl w:val="1"/>
        <w:rPr>
          <w:rFonts w:hint="eastAsia" w:ascii="宋体" w:hAnsi="宋体" w:eastAsia="宋体" w:cs="宋体"/>
          <w:b/>
          <w:color w:val="000000"/>
          <w:sz w:val="32"/>
          <w:szCs w:val="32"/>
          <w:highlight w:val="none"/>
        </w:rPr>
      </w:pPr>
      <w:bookmarkStart w:id="196" w:name="_Toc26699"/>
      <w:bookmarkStart w:id="197" w:name="_Toc854"/>
      <w:r>
        <w:rPr>
          <w:rFonts w:hint="eastAsia" w:ascii="宋体" w:hAnsi="宋体" w:eastAsia="宋体" w:cs="宋体"/>
          <w:b/>
          <w:color w:val="000000"/>
          <w:sz w:val="32"/>
          <w:szCs w:val="32"/>
          <w:highlight w:val="none"/>
        </w:rPr>
        <w:t>二、招标文件</w:t>
      </w:r>
      <w:bookmarkEnd w:id="195"/>
      <w:bookmarkEnd w:id="196"/>
      <w:bookmarkEnd w:id="197"/>
    </w:p>
    <w:p>
      <w:pPr>
        <w:snapToGrid w:val="0"/>
        <w:spacing w:line="360" w:lineRule="auto"/>
        <w:ind w:firstLine="413" w:firstLineChars="196"/>
        <w:jc w:val="left"/>
        <w:rPr>
          <w:rFonts w:hint="eastAsia" w:ascii="宋体" w:hAnsi="宋体" w:eastAsia="宋体" w:cs="宋体"/>
          <w:b/>
          <w:szCs w:val="21"/>
          <w:highlight w:val="none"/>
        </w:rPr>
      </w:pPr>
      <w:bookmarkStart w:id="198" w:name="_Toc16680"/>
      <w:r>
        <w:rPr>
          <w:rFonts w:hint="eastAsia" w:ascii="宋体" w:hAnsi="宋体" w:eastAsia="宋体" w:cs="宋体"/>
          <w:b/>
          <w:szCs w:val="21"/>
          <w:highlight w:val="none"/>
        </w:rPr>
        <w:t>（一）招标文件的构成。本招标文件由以下部份组成：</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2、招标需求</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须知</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4、评标办法及标准</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5、合同主要条款</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6、投标文件格式</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7、本项目招标文件的澄清、答复、修改、补充的内容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contextualSpacing/>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(二)投标人的风险</w:t>
      </w:r>
    </w:p>
    <w:p>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投标人没有按照招标文件要求提供全部资料，或者投标人没有对招标文件在各方面做出实质性响应是投标人的风险，并可能导致其投标无效。</w:t>
      </w:r>
    </w:p>
    <w:p>
      <w:pPr>
        <w:pStyle w:val="12"/>
        <w:keepNext w:val="0"/>
        <w:keepLines w:val="0"/>
        <w:pageBreakBefore w:val="0"/>
        <w:widowControl w:val="0"/>
        <w:numPr>
          <w:ilvl w:val="0"/>
          <w:numId w:val="0"/>
        </w:numPr>
        <w:tabs>
          <w:tab w:val="left" w:pos="454"/>
          <w:tab w:val="left" w:pos="720"/>
        </w:tabs>
        <w:kinsoku/>
        <w:wordWrap/>
        <w:overflowPunct/>
        <w:topLinePunct w:val="0"/>
        <w:autoSpaceDE/>
        <w:autoSpaceDN/>
        <w:bidi w:val="0"/>
        <w:adjustRightInd/>
        <w:snapToGrid w:val="0"/>
        <w:spacing w:after="0" w:afterLines="0"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(三)招标文件的澄清与修改 </w:t>
      </w:r>
    </w:p>
    <w:p>
      <w:pPr>
        <w:pStyle w:val="24"/>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Cs/>
          <w:sz w:val="21"/>
          <w:szCs w:val="21"/>
          <w:highlight w:val="none"/>
          <w:lang w:eastAsia="zh-CN"/>
        </w:rPr>
        <w:t>投标人</w:t>
      </w:r>
      <w:r>
        <w:rPr>
          <w:rFonts w:hint="eastAsia" w:ascii="宋体" w:hAnsi="宋体" w:eastAsia="宋体" w:cs="宋体"/>
          <w:bCs/>
          <w:sz w:val="21"/>
          <w:szCs w:val="21"/>
          <w:highlight w:val="none"/>
        </w:rPr>
        <w:t>应认真阅读本招标文件，发现其中有误或有不合理要求的，可要求招标采购人澄清</w:t>
      </w:r>
      <w:r>
        <w:rPr>
          <w:rFonts w:hint="eastAsia" w:ascii="宋体" w:hAnsi="宋体" w:eastAsia="宋体" w:cs="宋体"/>
          <w:sz w:val="21"/>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24"/>
        <w:snapToGrid w:val="0"/>
        <w:spacing w:before="0" w:beforeLines="0" w:after="0" w:afterLines="0"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2.采购代理机构必须以书面形式答复投标人要求澄清的问题，并将不包含问题来源的答复书面通知所有获取招标文件的投标人；除书面答复以外的其他澄清方式及澄清内容均无效。</w:t>
      </w:r>
    </w:p>
    <w:p>
      <w:pPr>
        <w:pStyle w:val="24"/>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、招标文件澄清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答复、修改、补充</w:t>
      </w:r>
      <w:r>
        <w:rPr>
          <w:rFonts w:hint="eastAsia" w:ascii="宋体" w:hAnsi="宋体" w:eastAsia="宋体" w:cs="宋体"/>
          <w:sz w:val="21"/>
          <w:szCs w:val="21"/>
          <w:highlight w:val="none"/>
        </w:rPr>
        <w:t>的内容为招标文件的组成部分。当招标文件</w:t>
      </w:r>
      <w:r>
        <w:rPr>
          <w:rFonts w:hint="eastAsia" w:ascii="宋体" w:hAnsi="宋体" w:eastAsia="宋体" w:cs="宋体"/>
          <w:sz w:val="21"/>
          <w:szCs w:val="21"/>
          <w:highlight w:val="none"/>
          <w:lang w:val="en-US" w:eastAsia="zh-CN"/>
        </w:rPr>
        <w:t>与招标文件的答复、</w:t>
      </w:r>
      <w:r>
        <w:rPr>
          <w:rFonts w:hint="eastAsia" w:ascii="宋体" w:hAnsi="宋体" w:eastAsia="宋体" w:cs="宋体"/>
          <w:sz w:val="21"/>
          <w:szCs w:val="21"/>
          <w:highlight w:val="none"/>
        </w:rPr>
        <w:t>澄清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补充通知</w:t>
      </w:r>
      <w:r>
        <w:rPr>
          <w:rFonts w:hint="eastAsia" w:ascii="宋体" w:hAnsi="宋体" w:eastAsia="宋体" w:cs="宋体"/>
          <w:sz w:val="21"/>
          <w:szCs w:val="21"/>
          <w:highlight w:val="none"/>
        </w:rPr>
        <w:t>就同一内容的表述不一致时，以最后发出的书面文件为准。</w:t>
      </w:r>
    </w:p>
    <w:p>
      <w:pPr>
        <w:pStyle w:val="24"/>
        <w:snapToGrid w:val="0"/>
        <w:spacing w:before="0" w:beforeLines="0" w:after="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、对招标文件的澄清、答复、修改或补充都应该通过采购代理机构以法定形式发布，采购人非通过本机构，不得擅自澄清、答复、修改或补充招标文件。</w:t>
      </w:r>
    </w:p>
    <w:p>
      <w:pPr>
        <w:pStyle w:val="24"/>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firstLine="643" w:firstLineChars="200"/>
        <w:contextualSpacing/>
        <w:jc w:val="center"/>
        <w:textAlignment w:val="auto"/>
        <w:outlineLvl w:val="1"/>
        <w:rPr>
          <w:rFonts w:hint="eastAsia" w:ascii="宋体" w:hAnsi="宋体" w:eastAsia="宋体" w:cs="宋体"/>
          <w:b/>
          <w:color w:val="000000"/>
          <w:sz w:val="32"/>
          <w:szCs w:val="32"/>
          <w:highlight w:val="none"/>
        </w:rPr>
      </w:pPr>
      <w:bookmarkStart w:id="199" w:name="_Toc13819"/>
      <w:bookmarkStart w:id="200" w:name="_Toc18769"/>
      <w:r>
        <w:rPr>
          <w:rFonts w:hint="eastAsia" w:ascii="宋体" w:hAnsi="宋体" w:eastAsia="宋体" w:cs="宋体"/>
          <w:b/>
          <w:color w:val="000000"/>
          <w:sz w:val="32"/>
          <w:szCs w:val="32"/>
          <w:highlight w:val="none"/>
        </w:rPr>
        <w:t>三、投标文件的编制</w:t>
      </w:r>
      <w:bookmarkEnd w:id="198"/>
      <w:bookmarkEnd w:id="199"/>
      <w:bookmarkEnd w:id="200"/>
    </w:p>
    <w:p>
      <w:pPr>
        <w:pStyle w:val="24"/>
        <w:snapToGrid w:val="0"/>
        <w:spacing w:before="0" w:beforeLines="0" w:after="0" w:afterLines="0" w:line="360" w:lineRule="auto"/>
        <w:ind w:firstLine="643" w:firstLineChars="200"/>
        <w:contextualSpacing/>
        <w:jc w:val="both"/>
        <w:outlineLvl w:val="1"/>
        <w:rPr>
          <w:rFonts w:hint="eastAsia" w:ascii="宋体" w:hAnsi="宋体" w:eastAsia="宋体" w:cs="宋体"/>
          <w:b/>
          <w:color w:val="000000"/>
          <w:sz w:val="32"/>
          <w:szCs w:val="32"/>
          <w:highlight w:val="none"/>
        </w:rPr>
      </w:pPr>
    </w:p>
    <w:p>
      <w:pPr>
        <w:pStyle w:val="24"/>
        <w:snapToGrid w:val="0"/>
        <w:spacing w:before="0" w:beforeLines="0" w:after="0" w:afterLines="0" w:line="360" w:lineRule="auto"/>
        <w:ind w:firstLine="422" w:firstLineChars="200"/>
        <w:rPr>
          <w:rFonts w:hint="eastAsia" w:ascii="宋体" w:hAnsi="宋体" w:eastAsia="宋体" w:cs="宋体"/>
          <w:b/>
          <w:bCs/>
          <w:sz w:val="21"/>
          <w:szCs w:val="21"/>
          <w:highlight w:val="none"/>
        </w:rPr>
      </w:pPr>
      <w:bookmarkStart w:id="201" w:name="_Toc33535356"/>
      <w:bookmarkStart w:id="202" w:name="_Toc30304"/>
      <w:r>
        <w:rPr>
          <w:rFonts w:hint="eastAsia" w:ascii="宋体" w:hAnsi="宋体" w:eastAsia="宋体" w:cs="宋体"/>
          <w:b/>
          <w:bCs/>
          <w:sz w:val="21"/>
          <w:szCs w:val="21"/>
          <w:highlight w:val="none"/>
        </w:rPr>
        <w:t>本项目所涉投标文件格式请详见第六章，未给出的格式请自拟。资信商务及技术文件中不得出现报价，否则投标文件将被视为无效。</w:t>
      </w:r>
      <w:bookmarkEnd w:id="201"/>
      <w:bookmarkEnd w:id="202"/>
      <w:bookmarkStart w:id="203" w:name="_Toc33535357"/>
    </w:p>
    <w:p>
      <w:pPr>
        <w:pStyle w:val="24"/>
        <w:snapToGrid w:val="0"/>
        <w:spacing w:before="0" w:beforeLines="0" w:after="0" w:afterLines="0" w:line="360" w:lineRule="auto"/>
        <w:ind w:firstLine="422" w:firstLineChars="200"/>
        <w:rPr>
          <w:rFonts w:hint="eastAsia" w:ascii="宋体" w:hAnsi="宋体" w:eastAsia="宋体" w:cs="宋体"/>
          <w:b/>
          <w:bCs/>
          <w:sz w:val="21"/>
          <w:szCs w:val="21"/>
          <w:highlight w:val="none"/>
        </w:rPr>
      </w:pPr>
      <w:bookmarkStart w:id="204" w:name="_Toc2947"/>
      <w:r>
        <w:rPr>
          <w:rFonts w:hint="eastAsia" w:ascii="宋体" w:hAnsi="宋体" w:eastAsia="宋体" w:cs="宋体"/>
          <w:b/>
          <w:bCs/>
          <w:sz w:val="21"/>
          <w:szCs w:val="21"/>
          <w:highlight w:val="none"/>
        </w:rPr>
        <w:t>总体要求：</w:t>
      </w:r>
      <w:bookmarkEnd w:id="203"/>
      <w:bookmarkEnd w:id="204"/>
    </w:p>
    <w:p>
      <w:pPr>
        <w:pStyle w:val="24"/>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pPr>
        <w:pStyle w:val="24"/>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2、投标文件及</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与采购有关的来往通知，函件和文件均应使用中文。</w:t>
      </w:r>
    </w:p>
    <w:p>
      <w:pPr>
        <w:pStyle w:val="24"/>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应按本文件中提供的文件格式、内容和要求制作投标文件。</w:t>
      </w:r>
    </w:p>
    <w:p>
      <w:pPr>
        <w:pStyle w:val="24"/>
        <w:snapToGrid w:val="0"/>
        <w:spacing w:before="0" w:beforeLines="0" w:after="0" w:afterLines="0"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w:t>
      </w:r>
    </w:p>
    <w:p>
      <w:pPr>
        <w:pageBreakBefore w:val="0"/>
        <w:widowControl w:val="0"/>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宋体" w:hAnsi="宋体" w:eastAsia="宋体" w:cs="宋体"/>
          <w:b/>
          <w:szCs w:val="21"/>
          <w:highlight w:val="none"/>
        </w:rPr>
      </w:pPr>
      <w:bookmarkStart w:id="205" w:name="_Toc406402944"/>
      <w:bookmarkStart w:id="206" w:name="_Toc27734"/>
      <w:bookmarkStart w:id="207" w:name="_Toc4373"/>
      <w:bookmarkStart w:id="208" w:name="_Toc406402988"/>
      <w:bookmarkStart w:id="209" w:name="_Toc33535358"/>
      <w:r>
        <w:rPr>
          <w:rFonts w:hint="eastAsia" w:ascii="宋体" w:hAnsi="宋体" w:eastAsia="宋体" w:cs="宋体"/>
          <w:b/>
          <w:szCs w:val="21"/>
          <w:highlight w:val="none"/>
        </w:rPr>
        <w:t>（一）投标文件的组成</w:t>
      </w:r>
      <w:bookmarkEnd w:id="205"/>
      <w:bookmarkEnd w:id="206"/>
      <w:bookmarkEnd w:id="207"/>
      <w:bookmarkEnd w:id="208"/>
      <w:bookmarkEnd w:id="209"/>
    </w:p>
    <w:p>
      <w:pPr>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1、资信商务</w:t>
      </w:r>
      <w:r>
        <w:rPr>
          <w:rFonts w:hint="eastAsia" w:ascii="宋体" w:hAnsi="宋体" w:eastAsia="宋体" w:cs="宋体"/>
          <w:b/>
          <w:szCs w:val="21"/>
          <w:highlight w:val="none"/>
          <w:lang w:val="en-US" w:eastAsia="zh-CN"/>
        </w:rPr>
        <w:t>及技术</w:t>
      </w:r>
      <w:r>
        <w:rPr>
          <w:rFonts w:hint="eastAsia" w:ascii="宋体" w:hAnsi="宋体" w:eastAsia="宋体" w:cs="宋体"/>
          <w:b/>
          <w:szCs w:val="21"/>
          <w:highlight w:val="none"/>
        </w:rPr>
        <w:t>文件：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、投标声明书；</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、法定代表人授权委托书；</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1.3、投标人基本情况介绍</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1.4、企业（法人）营业执照扫描件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最近一个季度依法缴纳税收和社保费的证明</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1.6、上年度资产负债表、损益表（扫描件）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1.7、所有荣誉证书、资质文件（扫描件）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1.8、</w:t>
      </w:r>
      <w:r>
        <w:rPr>
          <w:rFonts w:hint="eastAsia" w:ascii="宋体" w:hAnsi="宋体" w:cs="仿宋_GB2312"/>
          <w:szCs w:val="21"/>
        </w:rPr>
        <w:t>2017年1月1日以来管理过面积10000平方米及以上的非住宅类物业管理业绩。</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1.9、对本项目总体要求的理解（区域特点分析、作业总体设想、工作重点）</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1.10、改进措施和合理化建议</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组织方案（组织方案、管理人员安排、作业安排、技术保证措施、质量保证措施、文明安全措施、设施维护、服务承诺等）</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1.12投标项目的主要管理人员情况一览表</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1.13设备、器械、工具配备计划表</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1.14人员投入计划表</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1.15投标单位参与综合评分时需提供的证明文件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1.16服务承诺</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1.17廉政承诺书</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1.18关于对资信商务及技术文件中有关条款的拒绝声明（如果有）</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1.19投标人认为需要的其他资信商务及技术文件或说明</w:t>
      </w:r>
    </w:p>
    <w:p>
      <w:pPr>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、报价文件：</w:t>
      </w:r>
    </w:p>
    <w:p>
      <w:pPr>
        <w:pageBreakBefore w:val="0"/>
        <w:widowControl w:val="0"/>
        <w:tabs>
          <w:tab w:val="left" w:pos="3870"/>
          <w:tab w:val="left" w:pos="4085"/>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3.1、投标函</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格式见附件</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w:t>
      </w:r>
    </w:p>
    <w:p>
      <w:pPr>
        <w:pStyle w:val="26"/>
        <w:pageBreakBefore w:val="0"/>
        <w:widowControl w:val="0"/>
        <w:kinsoku/>
        <w:wordWrap/>
        <w:overflowPunct/>
        <w:topLinePunct w:val="0"/>
        <w:autoSpaceDE/>
        <w:autoSpaceDN/>
        <w:bidi w:val="0"/>
        <w:adjustRightInd/>
        <w:snapToGrid w:val="0"/>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开标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一览表</w:t>
      </w:r>
      <w:r>
        <w:rPr>
          <w:rFonts w:hint="eastAsia" w:ascii="宋体" w:hAnsi="宋体" w:eastAsia="宋体" w:cs="宋体"/>
          <w:sz w:val="21"/>
          <w:szCs w:val="21"/>
          <w:highlight w:val="none"/>
          <w:lang w:val="en-US" w:eastAsia="zh-CN"/>
        </w:rPr>
        <w:t>(格式见附件）</w:t>
      </w:r>
      <w:r>
        <w:rPr>
          <w:rFonts w:hint="eastAsia" w:ascii="宋体" w:hAnsi="宋体" w:eastAsia="宋体" w:cs="宋体"/>
          <w:sz w:val="21"/>
          <w:szCs w:val="21"/>
          <w:highlight w:val="none"/>
        </w:rPr>
        <w:t xml:space="preserve">； </w:t>
      </w:r>
    </w:p>
    <w:p>
      <w:pPr>
        <w:pStyle w:val="26"/>
        <w:pageBreakBefore w:val="0"/>
        <w:widowControl w:val="0"/>
        <w:kinsoku/>
        <w:wordWrap/>
        <w:overflowPunct/>
        <w:topLinePunct w:val="0"/>
        <w:autoSpaceDE/>
        <w:autoSpaceDN/>
        <w:bidi w:val="0"/>
        <w:adjustRightInd/>
        <w:snapToGrid w:val="0"/>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服务费用明细表（格式见附件）</w:t>
      </w:r>
      <w:r>
        <w:rPr>
          <w:rFonts w:hint="eastAsia" w:ascii="宋体" w:hAnsi="宋体" w:eastAsia="宋体" w:cs="宋体"/>
          <w:sz w:val="21"/>
          <w:szCs w:val="21"/>
          <w:highlight w:val="none"/>
        </w:rPr>
        <w:t>；</w:t>
      </w:r>
    </w:p>
    <w:p>
      <w:pPr>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针对报价需要说明的其他文件和说明。</w:t>
      </w:r>
    </w:p>
    <w:p>
      <w:pPr>
        <w:pageBreakBefore w:val="0"/>
        <w:widowControl w:val="0"/>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宋体" w:hAnsi="宋体" w:eastAsia="宋体" w:cs="宋体"/>
          <w:b/>
          <w:szCs w:val="21"/>
          <w:highlight w:val="none"/>
        </w:rPr>
      </w:pPr>
      <w:bookmarkStart w:id="210" w:name="_Toc385854100"/>
      <w:bookmarkStart w:id="211" w:name="_Toc385854146"/>
      <w:bookmarkStart w:id="212" w:name="_Toc402963084"/>
      <w:bookmarkStart w:id="213" w:name="_Toc402963117"/>
      <w:bookmarkStart w:id="214" w:name="_Toc406402946"/>
      <w:bookmarkStart w:id="215" w:name="_Toc406402990"/>
      <w:bookmarkStart w:id="216" w:name="_Toc28505"/>
      <w:bookmarkStart w:id="217" w:name="_Toc33535360"/>
      <w:bookmarkStart w:id="218" w:name="_Toc19386"/>
      <w:r>
        <w:rPr>
          <w:rFonts w:hint="eastAsia" w:ascii="宋体" w:hAnsi="宋体" w:eastAsia="宋体" w:cs="宋体"/>
          <w:b/>
          <w:szCs w:val="21"/>
          <w:highlight w:val="none"/>
        </w:rPr>
        <w:t>（二）投标文件的语言及计量</w:t>
      </w:r>
      <w:bookmarkEnd w:id="210"/>
      <w:bookmarkEnd w:id="211"/>
      <w:bookmarkEnd w:id="212"/>
      <w:bookmarkEnd w:id="213"/>
      <w:bookmarkEnd w:id="214"/>
      <w:bookmarkEnd w:id="215"/>
      <w:bookmarkEnd w:id="216"/>
      <w:bookmarkEnd w:id="217"/>
      <w:bookmarkEnd w:id="218"/>
    </w:p>
    <w:p>
      <w:pPr>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szCs w:val="21"/>
          <w:highlight w:val="none"/>
        </w:rPr>
        <w:t>1、投标文件以及投标方与招标方就有关投标事宜的所有来往函电，均应以中文汉语书写。除签名、盖章、专用名称等特殊情形外，以中文汉语以外的文字表述的投标文件视同未提供。</w:t>
      </w:r>
    </w:p>
    <w:p>
      <w:pPr>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pageBreakBefore w:val="0"/>
        <w:widowControl w:val="0"/>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宋体" w:hAnsi="宋体" w:eastAsia="宋体" w:cs="宋体"/>
          <w:b/>
          <w:szCs w:val="21"/>
          <w:highlight w:val="none"/>
        </w:rPr>
      </w:pPr>
      <w:bookmarkStart w:id="219" w:name="_Toc406402947"/>
      <w:bookmarkStart w:id="220" w:name="_Toc402963118"/>
      <w:bookmarkStart w:id="221" w:name="_Toc33535361"/>
      <w:bookmarkStart w:id="222" w:name="_Toc406402991"/>
      <w:bookmarkStart w:id="223" w:name="_Toc385854147"/>
      <w:bookmarkStart w:id="224" w:name="_Toc31603"/>
      <w:bookmarkStart w:id="225" w:name="_Toc25659"/>
      <w:bookmarkStart w:id="226" w:name="_Toc402963085"/>
      <w:bookmarkStart w:id="227" w:name="_Toc385854101"/>
      <w:r>
        <w:rPr>
          <w:rFonts w:hint="eastAsia" w:ascii="宋体" w:hAnsi="宋体" w:eastAsia="宋体" w:cs="宋体"/>
          <w:b/>
          <w:szCs w:val="21"/>
          <w:highlight w:val="none"/>
        </w:rPr>
        <w:t>（三）投标报价</w:t>
      </w:r>
      <w:bookmarkEnd w:id="219"/>
      <w:bookmarkEnd w:id="220"/>
      <w:bookmarkEnd w:id="221"/>
      <w:bookmarkEnd w:id="222"/>
      <w:bookmarkEnd w:id="223"/>
      <w:bookmarkEnd w:id="224"/>
      <w:bookmarkEnd w:id="225"/>
      <w:bookmarkEnd w:id="226"/>
      <w:bookmarkEnd w:id="227"/>
    </w:p>
    <w:p>
      <w:pPr>
        <w:pStyle w:val="24"/>
        <w:snapToGrid w:val="0"/>
        <w:spacing w:before="0" w:beforeLines="0" w:after="0" w:afterLines="0" w:line="360" w:lineRule="auto"/>
        <w:ind w:firstLine="440" w:firstLineChars="200"/>
        <w:rPr>
          <w:rFonts w:hAnsi="宋体"/>
          <w:sz w:val="22"/>
          <w:szCs w:val="22"/>
        </w:rPr>
      </w:pPr>
      <w:r>
        <w:rPr>
          <w:rFonts w:hAnsi="宋体"/>
          <w:sz w:val="22"/>
          <w:szCs w:val="22"/>
        </w:rPr>
        <w:t>1.</w:t>
      </w:r>
      <w:r>
        <w:rPr>
          <w:rFonts w:hint="eastAsia" w:hAnsi="宋体"/>
          <w:sz w:val="22"/>
          <w:szCs w:val="22"/>
        </w:rPr>
        <w:t xml:space="preserve"> </w:t>
      </w:r>
      <w:r>
        <w:rPr>
          <w:rFonts w:hAnsi="宋体"/>
          <w:sz w:val="22"/>
          <w:szCs w:val="22"/>
        </w:rPr>
        <w:t>投标报价应按招标文件中相关附表格式填写。</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2.</w:t>
      </w:r>
      <w:r>
        <w:rPr>
          <w:rFonts w:hint="eastAsia" w:hAnsi="宋体"/>
          <w:sz w:val="22"/>
          <w:szCs w:val="22"/>
        </w:rPr>
        <w:t xml:space="preserve"> </w:t>
      </w:r>
      <w:r>
        <w:rPr>
          <w:rFonts w:hAnsi="宋体"/>
          <w:sz w:val="22"/>
          <w:szCs w:val="22"/>
        </w:rPr>
        <w:t>投标报价是履行合同的最终价格，应包括货款、标准附件、备品备件、专用工具、包装、运输、装卸、保险、税金、货到就位</w:t>
      </w:r>
      <w:r>
        <w:rPr>
          <w:rFonts w:hint="eastAsia" w:hAnsi="宋体"/>
          <w:sz w:val="22"/>
          <w:szCs w:val="22"/>
        </w:rPr>
        <w:t>、现场保管以及</w:t>
      </w:r>
      <w:r>
        <w:rPr>
          <w:rFonts w:hAnsi="宋体"/>
          <w:sz w:val="22"/>
          <w:szCs w:val="22"/>
        </w:rPr>
        <w:t>安装、调试、</w:t>
      </w:r>
      <w:r>
        <w:rPr>
          <w:rFonts w:hint="eastAsia" w:hAnsi="宋体"/>
          <w:sz w:val="22"/>
          <w:szCs w:val="22"/>
        </w:rPr>
        <w:t>（集成）</w:t>
      </w:r>
      <w:r>
        <w:rPr>
          <w:rFonts w:hAnsi="宋体"/>
          <w:sz w:val="22"/>
          <w:szCs w:val="22"/>
        </w:rPr>
        <w:t>培训、保修等一切税金和费用。</w:t>
      </w:r>
    </w:p>
    <w:p>
      <w:pPr>
        <w:tabs>
          <w:tab w:val="left" w:pos="525"/>
        </w:tabs>
        <w:snapToGrid w:val="0"/>
        <w:spacing w:line="360" w:lineRule="auto"/>
        <w:ind w:firstLine="440" w:firstLineChars="200"/>
        <w:rPr>
          <w:rFonts w:ascii="宋体" w:hAnsi="宋体"/>
          <w:sz w:val="22"/>
          <w:szCs w:val="22"/>
        </w:rPr>
      </w:pPr>
      <w:r>
        <w:rPr>
          <w:rFonts w:ascii="宋体" w:hAnsi="宋体"/>
          <w:sz w:val="22"/>
          <w:szCs w:val="22"/>
        </w:rPr>
        <w:t>3.</w:t>
      </w:r>
      <w:r>
        <w:rPr>
          <w:rFonts w:hint="eastAsia" w:ascii="宋体" w:hAnsi="宋体"/>
          <w:sz w:val="22"/>
          <w:szCs w:val="22"/>
        </w:rPr>
        <w:t xml:space="preserve"> </w:t>
      </w:r>
      <w:r>
        <w:rPr>
          <w:rFonts w:ascii="宋体" w:hAnsi="宋体"/>
          <w:sz w:val="22"/>
          <w:szCs w:val="22"/>
        </w:rPr>
        <w:t>投标文件只允许有一个报价，有选择的或有条件的报价将不予接受。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（四）投标文件的有效期</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投标文件从投标文件递交截止之日起，有效期为</w:t>
      </w:r>
      <w:r>
        <w:rPr>
          <w:rFonts w:hint="eastAsia" w:ascii="宋体" w:hAnsi="宋体" w:eastAsia="宋体" w:cs="宋体"/>
          <w:b/>
          <w:bCs/>
          <w:color w:val="000000"/>
          <w:sz w:val="21"/>
          <w:szCs w:val="21"/>
          <w:highlight w:val="none"/>
          <w:u w:val="single"/>
          <w:lang w:val="en-US" w:eastAsia="zh-CN"/>
        </w:rPr>
        <w:t>90</w:t>
      </w:r>
      <w:r>
        <w:rPr>
          <w:rFonts w:hint="eastAsia" w:ascii="宋体" w:hAnsi="宋体" w:eastAsia="宋体" w:cs="宋体"/>
          <w:b/>
          <w:bCs/>
          <w:color w:val="000000"/>
          <w:sz w:val="21"/>
          <w:szCs w:val="21"/>
          <w:highlight w:val="none"/>
          <w:lang w:val="en-US" w:eastAsia="zh-CN"/>
        </w:rPr>
        <w:t>天，有效期不足的投标文件无效。</w:t>
      </w:r>
      <w:r>
        <w:rPr>
          <w:rFonts w:hint="eastAsia" w:ascii="宋体" w:hAnsi="宋体" w:eastAsia="宋体" w:cs="宋体"/>
          <w:b/>
          <w:bCs/>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在特殊情况下，招标人可与投标人协商延长投标书的有效期，这种要求和答复均以书面形式进行</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contextualSpacing/>
        <w:jc w:val="left"/>
        <w:textAlignment w:val="auto"/>
        <w:outlineLvl w:val="0"/>
        <w:rPr>
          <w:rFonts w:hint="eastAsia" w:ascii="宋体" w:hAnsi="宋体" w:eastAsia="宋体" w:cs="宋体"/>
          <w:b/>
          <w:color w:val="000000"/>
          <w:sz w:val="21"/>
          <w:szCs w:val="21"/>
          <w:highlight w:val="none"/>
        </w:rPr>
      </w:pPr>
      <w:bookmarkStart w:id="228" w:name="_Toc14086"/>
      <w:bookmarkStart w:id="229" w:name="_Toc17597"/>
      <w:r>
        <w:rPr>
          <w:rFonts w:hint="eastAsia" w:ascii="宋体" w:hAnsi="宋体" w:eastAsia="宋体" w:cs="宋体"/>
          <w:b/>
          <w:color w:val="000000"/>
          <w:sz w:val="21"/>
          <w:szCs w:val="21"/>
          <w:highlight w:val="none"/>
        </w:rPr>
        <w:t>(五)投标保证金：不收取</w:t>
      </w:r>
      <w:bookmarkEnd w:id="228"/>
      <w:bookmarkEnd w:id="229"/>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contextualSpacing/>
        <w:jc w:val="left"/>
        <w:textAlignment w:val="auto"/>
        <w:outlineLvl w:val="0"/>
        <w:rPr>
          <w:rFonts w:hint="eastAsia" w:ascii="宋体" w:hAnsi="宋体" w:eastAsia="宋体" w:cs="宋体"/>
          <w:b/>
          <w:color w:val="000000"/>
          <w:sz w:val="21"/>
          <w:szCs w:val="21"/>
          <w:highlight w:val="none"/>
        </w:rPr>
      </w:pPr>
      <w:bookmarkStart w:id="230" w:name="_Toc14834"/>
      <w:bookmarkStart w:id="231" w:name="_Toc9858"/>
      <w:r>
        <w:rPr>
          <w:rFonts w:hint="eastAsia" w:ascii="宋体" w:hAnsi="宋体" w:eastAsia="宋体" w:cs="宋体"/>
          <w:b/>
          <w:color w:val="000000"/>
          <w:sz w:val="21"/>
          <w:szCs w:val="21"/>
          <w:highlight w:val="none"/>
        </w:rPr>
        <w:t>(六)投标文件的签署和份数</w:t>
      </w:r>
      <w:bookmarkEnd w:id="230"/>
      <w:bookmarkEnd w:id="231"/>
    </w:p>
    <w:p>
      <w:pPr>
        <w:snapToGrid w:val="0"/>
        <w:spacing w:line="360" w:lineRule="auto"/>
        <w:ind w:firstLine="440" w:firstLineChars="200"/>
        <w:rPr>
          <w:rFonts w:ascii="宋体" w:hAnsi="宋体"/>
          <w:sz w:val="22"/>
          <w:szCs w:val="22"/>
        </w:rPr>
      </w:pPr>
      <w:bookmarkStart w:id="232" w:name="_Toc5593"/>
      <w:bookmarkStart w:id="233" w:name="_Toc20233"/>
      <w:bookmarkStart w:id="234" w:name="_Toc4689"/>
      <w:r>
        <w:rPr>
          <w:rFonts w:ascii="宋体" w:hAnsi="宋体"/>
          <w:sz w:val="22"/>
          <w:szCs w:val="22"/>
        </w:rPr>
        <w:t>1.</w:t>
      </w:r>
      <w:r>
        <w:rPr>
          <w:rFonts w:hint="eastAsia" w:ascii="宋体" w:hAnsi="宋体"/>
          <w:sz w:val="22"/>
          <w:szCs w:val="22"/>
        </w:rPr>
        <w:t xml:space="preserve"> </w:t>
      </w:r>
      <w:r>
        <w:rPr>
          <w:rFonts w:ascii="宋体" w:hAnsi="宋体"/>
          <w:sz w:val="22"/>
          <w:szCs w:val="22"/>
        </w:rPr>
        <w:t>投标人应按本招标文件规定的格式和顺序编制、装订投标文件</w:t>
      </w:r>
      <w:r>
        <w:rPr>
          <w:rFonts w:hint="eastAsia" w:ascii="宋体" w:hAnsi="宋体"/>
          <w:sz w:val="22"/>
          <w:szCs w:val="22"/>
        </w:rPr>
        <w:t>（采用A4幅面，提倡双面打印）</w:t>
      </w:r>
      <w:r>
        <w:rPr>
          <w:rFonts w:ascii="宋体" w:hAnsi="宋体"/>
          <w:sz w:val="22"/>
          <w:szCs w:val="22"/>
        </w:rPr>
        <w:t>并标注页码，投标文件内容不完整、编排混乱导致投标文件被误读、漏读或者查找不到相关内容的，是投标人的责任。</w:t>
      </w:r>
    </w:p>
    <w:p>
      <w:pPr>
        <w:spacing w:line="360" w:lineRule="auto"/>
        <w:ind w:firstLine="440" w:firstLineChars="200"/>
        <w:rPr>
          <w:rFonts w:hint="eastAsia" w:ascii="宋体" w:hAnsi="宋体"/>
          <w:sz w:val="22"/>
          <w:szCs w:val="22"/>
        </w:rPr>
      </w:pPr>
      <w:r>
        <w:rPr>
          <w:rFonts w:ascii="宋体" w:hAnsi="宋体"/>
          <w:sz w:val="22"/>
          <w:szCs w:val="22"/>
        </w:rPr>
        <w:t>2</w:t>
      </w:r>
      <w:r>
        <w:rPr>
          <w:rFonts w:hint="eastAsia" w:ascii="宋体" w:hAnsi="宋体"/>
          <w:sz w:val="22"/>
          <w:szCs w:val="22"/>
        </w:rPr>
        <w:t xml:space="preserve">. </w:t>
      </w:r>
      <w:r>
        <w:rPr>
          <w:rFonts w:ascii="宋体" w:hAnsi="宋体"/>
          <w:sz w:val="22"/>
          <w:szCs w:val="22"/>
        </w:rPr>
        <w:t>投标人应按</w:t>
      </w:r>
      <w:r>
        <w:rPr>
          <w:rFonts w:hint="eastAsia" w:ascii="宋体" w:hAnsi="宋体"/>
          <w:sz w:val="22"/>
          <w:szCs w:val="22"/>
        </w:rPr>
        <w:t>资信及商务/技术文件的顺序装订成册（资信及商务/技术文件装订在一起），投标报价文件单独装订成册，正本各1份、副本各</w:t>
      </w:r>
      <w:r>
        <w:rPr>
          <w:rFonts w:hint="eastAsia" w:ascii="宋体" w:hAnsi="宋体"/>
          <w:sz w:val="22"/>
          <w:szCs w:val="22"/>
          <w:lang w:val="en-US" w:eastAsia="zh-CN"/>
        </w:rPr>
        <w:t>2</w:t>
      </w:r>
      <w:r>
        <w:rPr>
          <w:rFonts w:hint="eastAsia" w:ascii="宋体" w:hAnsi="宋体"/>
          <w:sz w:val="22"/>
          <w:szCs w:val="22"/>
        </w:rPr>
        <w:t>份，投标文件的封面应注明“正本/副本”字样</w:t>
      </w:r>
      <w:r>
        <w:rPr>
          <w:rFonts w:hint="eastAsia" w:ascii="宋体" w:hAnsi="宋体"/>
          <w:sz w:val="22"/>
          <w:szCs w:val="22"/>
          <w:lang w:eastAsia="zh-CN"/>
        </w:rPr>
        <w:t>。</w:t>
      </w:r>
      <w:r>
        <w:rPr>
          <w:rFonts w:hint="eastAsia" w:ascii="宋体" w:hAnsi="宋体"/>
          <w:sz w:val="22"/>
          <w:szCs w:val="22"/>
        </w:rPr>
        <w:t>活页装订</w:t>
      </w:r>
      <w:r>
        <w:rPr>
          <w:rFonts w:hint="eastAsia" w:ascii="宋体" w:hAnsi="宋体"/>
          <w:b/>
          <w:sz w:val="22"/>
          <w:szCs w:val="22"/>
        </w:rPr>
        <w:t>（是指用卡条、抽杆夹、订书机等形式装订，使标书可以拆卸或者在翻动过程中易脱落的一种装订方式）</w:t>
      </w:r>
      <w:r>
        <w:rPr>
          <w:rFonts w:hint="eastAsia" w:ascii="宋体" w:hAnsi="宋体"/>
          <w:sz w:val="22"/>
          <w:szCs w:val="22"/>
        </w:rPr>
        <w:t>的投标文件作无效标处理。</w:t>
      </w:r>
    </w:p>
    <w:p>
      <w:pPr>
        <w:snapToGrid w:val="0"/>
        <w:spacing w:line="360" w:lineRule="auto"/>
        <w:ind w:firstLine="440" w:firstLineChars="200"/>
        <w:rPr>
          <w:rFonts w:hint="eastAsia"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 xml:space="preserve"> </w:t>
      </w:r>
      <w:r>
        <w:rPr>
          <w:rFonts w:ascii="宋体" w:hAnsi="宋体"/>
          <w:sz w:val="22"/>
          <w:szCs w:val="22"/>
        </w:rPr>
        <w:t>投标文件的正本需打印或用不褪色的墨水填写，投标文件正本除本《投标人须知》中规定的可提供复印件外均须提供原件。副本为投标文件正本的</w:t>
      </w:r>
      <w:r>
        <w:rPr>
          <w:rFonts w:hint="eastAsia" w:ascii="宋体" w:hAnsi="宋体"/>
          <w:sz w:val="22"/>
          <w:szCs w:val="22"/>
        </w:rPr>
        <w:t>复印件，有出入时以正本为准。</w:t>
      </w:r>
    </w:p>
    <w:p>
      <w:pPr>
        <w:snapToGrid w:val="0"/>
        <w:spacing w:line="360" w:lineRule="auto"/>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 xml:space="preserve"> </w:t>
      </w:r>
      <w:r>
        <w:rPr>
          <w:rFonts w:ascii="宋体" w:hAnsi="宋体"/>
          <w:sz w:val="22"/>
          <w:szCs w:val="22"/>
        </w:rPr>
        <w:t>投标文件</w:t>
      </w:r>
      <w:r>
        <w:rPr>
          <w:rFonts w:hint="eastAsia" w:ascii="宋体" w:hAnsi="宋体"/>
          <w:sz w:val="22"/>
          <w:szCs w:val="22"/>
        </w:rPr>
        <w:t>“</w:t>
      </w:r>
      <w:r>
        <w:rPr>
          <w:rFonts w:ascii="宋体" w:hAnsi="宋体"/>
          <w:sz w:val="22"/>
          <w:szCs w:val="22"/>
        </w:rPr>
        <w:t>正</w:t>
      </w:r>
      <w:r>
        <w:rPr>
          <w:rFonts w:hint="eastAsia" w:ascii="宋体" w:hAnsi="宋体"/>
          <w:sz w:val="22"/>
          <w:szCs w:val="22"/>
        </w:rPr>
        <w:t>本</w:t>
      </w:r>
      <w:r>
        <w:rPr>
          <w:rFonts w:ascii="宋体" w:hAnsi="宋体"/>
          <w:sz w:val="22"/>
          <w:szCs w:val="22"/>
        </w:rPr>
        <w:t>”须由投标人在规定位置盖章并由法定代表人或法定代表人的授权委托人签署，投标人应写全称。投标文件</w:t>
      </w:r>
      <w:r>
        <w:rPr>
          <w:rFonts w:hint="eastAsia" w:ascii="宋体" w:hAnsi="宋体"/>
          <w:sz w:val="22"/>
          <w:szCs w:val="22"/>
        </w:rPr>
        <w:t>副</w:t>
      </w:r>
      <w:r>
        <w:rPr>
          <w:rFonts w:ascii="宋体" w:hAnsi="宋体"/>
          <w:sz w:val="22"/>
          <w:szCs w:val="22"/>
        </w:rPr>
        <w:t>本</w:t>
      </w:r>
      <w:r>
        <w:rPr>
          <w:rFonts w:hint="eastAsia" w:ascii="宋体" w:hAnsi="宋体"/>
          <w:sz w:val="22"/>
          <w:szCs w:val="22"/>
        </w:rPr>
        <w:t>除盖章外必须同正本保持一致。</w:t>
      </w:r>
    </w:p>
    <w:p>
      <w:pPr>
        <w:snapToGrid w:val="0"/>
        <w:spacing w:line="360" w:lineRule="auto"/>
        <w:ind w:firstLine="440" w:firstLineChars="200"/>
        <w:rPr>
          <w:rFonts w:ascii="宋体" w:hAnsi="宋体"/>
          <w:sz w:val="22"/>
          <w:szCs w:val="22"/>
        </w:rPr>
      </w:pPr>
      <w:r>
        <w:rPr>
          <w:rFonts w:hint="eastAsia" w:ascii="宋体" w:hAnsi="宋体"/>
          <w:sz w:val="22"/>
          <w:szCs w:val="22"/>
        </w:rPr>
        <w:t>5</w:t>
      </w:r>
      <w:r>
        <w:rPr>
          <w:rFonts w:ascii="宋体" w:hAnsi="宋体"/>
          <w:sz w:val="22"/>
          <w:szCs w:val="22"/>
        </w:rPr>
        <w:t>.</w:t>
      </w:r>
      <w:r>
        <w:rPr>
          <w:rFonts w:hint="eastAsia" w:ascii="宋体" w:hAnsi="宋体"/>
          <w:sz w:val="22"/>
          <w:szCs w:val="22"/>
        </w:rPr>
        <w:t xml:space="preserve"> </w:t>
      </w:r>
      <w:r>
        <w:rPr>
          <w:rFonts w:ascii="宋体" w:hAnsi="宋体"/>
          <w:sz w:val="22"/>
          <w:szCs w:val="22"/>
        </w:rPr>
        <w:t>投标文件不得涂改，若有修改错漏处，须加盖单位公章或者法定代表人或授权委托人签字或盖章。投标文件因字迹潦草或表达不清所引起的后果由投标人负责。</w:t>
      </w:r>
    </w:p>
    <w:p>
      <w:pPr>
        <w:snapToGrid w:val="0"/>
        <w:spacing w:line="360" w:lineRule="auto"/>
        <w:ind w:firstLine="442" w:firstLineChars="200"/>
        <w:rPr>
          <w:rFonts w:ascii="宋体" w:hAnsi="宋体"/>
          <w:b/>
          <w:sz w:val="22"/>
          <w:szCs w:val="22"/>
        </w:rPr>
      </w:pPr>
      <w:r>
        <w:rPr>
          <w:rFonts w:hint="eastAsia" w:ascii="宋体" w:hAnsi="宋体"/>
          <w:b/>
          <w:sz w:val="22"/>
          <w:szCs w:val="22"/>
        </w:rPr>
        <w:t>（七）投标文件的包装、递交、修改和撤回</w:t>
      </w:r>
    </w:p>
    <w:p>
      <w:pPr>
        <w:snapToGrid w:val="0"/>
        <w:spacing w:line="360" w:lineRule="auto"/>
        <w:ind w:firstLine="440" w:firstLineChars="200"/>
        <w:rPr>
          <w:rFonts w:hint="eastAsia" w:ascii="宋体" w:hAnsi="宋体"/>
          <w:sz w:val="22"/>
          <w:szCs w:val="22"/>
        </w:rPr>
      </w:pPr>
      <w:r>
        <w:rPr>
          <w:rFonts w:hint="eastAsia" w:ascii="宋体" w:hAnsi="宋体"/>
          <w:sz w:val="22"/>
          <w:szCs w:val="22"/>
        </w:rPr>
        <w:t xml:space="preserve">1. </w:t>
      </w:r>
      <w:r>
        <w:rPr>
          <w:rFonts w:hint="eastAsia" w:ascii="宋体" w:hAnsi="宋体"/>
          <w:b/>
          <w:sz w:val="22"/>
          <w:szCs w:val="22"/>
        </w:rPr>
        <w:t>投标人应按资信商务及技术文件、投标报价文件二部分分别密封封装投标文件</w:t>
      </w:r>
      <w:r>
        <w:rPr>
          <w:rFonts w:hint="eastAsia" w:ascii="宋体" w:hAnsi="宋体"/>
          <w:sz w:val="22"/>
          <w:szCs w:val="22"/>
        </w:rPr>
        <w:t>，并在封口上加盖投标单位的公章。投标文件的包装封面上应注明投标人名称、投标人地址、投标文件名称（资信商务及技术文件/投标报价文件）、投标项目名称、项目编号，以及“在  年  月  日  时  分之前不得启封”的字样。</w:t>
      </w:r>
    </w:p>
    <w:p>
      <w:pPr>
        <w:snapToGrid w:val="0"/>
        <w:spacing w:line="360" w:lineRule="auto"/>
        <w:ind w:firstLine="440" w:firstLineChars="200"/>
        <w:rPr>
          <w:rFonts w:hint="eastAsia" w:ascii="宋体" w:hAnsi="宋体"/>
          <w:sz w:val="22"/>
          <w:szCs w:val="22"/>
        </w:rPr>
      </w:pPr>
      <w:r>
        <w:rPr>
          <w:rFonts w:hint="eastAsia" w:ascii="宋体" w:hAnsi="宋体"/>
          <w:sz w:val="22"/>
          <w:szCs w:val="22"/>
        </w:rPr>
        <w:t>2. 未按规定密封或标记的投标文件将被拒绝，由此造成投标文件被误投或提前拆封的风险由投标人承担。</w:t>
      </w:r>
    </w:p>
    <w:p>
      <w:pPr>
        <w:snapToGrid w:val="0"/>
        <w:spacing w:line="360" w:lineRule="auto"/>
        <w:ind w:firstLine="440" w:firstLineChars="200"/>
        <w:rPr>
          <w:rFonts w:hint="eastAsia" w:ascii="宋体" w:hAnsi="宋体"/>
          <w:sz w:val="22"/>
          <w:szCs w:val="22"/>
        </w:rPr>
      </w:pPr>
      <w:r>
        <w:rPr>
          <w:rFonts w:hint="eastAsia" w:ascii="宋体" w:hAnsi="宋体"/>
          <w:sz w:val="22"/>
          <w:szCs w:val="22"/>
        </w:rPr>
        <w:t>3. 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line="360" w:lineRule="auto"/>
        <w:ind w:firstLine="442" w:firstLineChars="200"/>
        <w:rPr>
          <w:rFonts w:ascii="宋体" w:hAnsi="宋体"/>
          <w:b/>
          <w:sz w:val="22"/>
          <w:szCs w:val="22"/>
        </w:rPr>
      </w:pPr>
      <w:r>
        <w:rPr>
          <w:rFonts w:ascii="宋体" w:hAnsi="宋体"/>
          <w:b/>
          <w:sz w:val="22"/>
          <w:szCs w:val="22"/>
        </w:rPr>
        <w:t>（八）投标无效的情形</w:t>
      </w:r>
    </w:p>
    <w:p>
      <w:pPr>
        <w:snapToGrid w:val="0"/>
        <w:spacing w:line="360" w:lineRule="auto"/>
        <w:ind w:firstLine="440" w:firstLineChars="200"/>
        <w:rPr>
          <w:rFonts w:ascii="宋体" w:hAnsi="宋体"/>
          <w:bCs/>
          <w:sz w:val="22"/>
          <w:szCs w:val="22"/>
        </w:rPr>
      </w:pPr>
      <w:r>
        <w:rPr>
          <w:rFonts w:ascii="宋体" w:hAnsi="宋体"/>
          <w:bCs/>
          <w:sz w:val="22"/>
          <w:szCs w:val="22"/>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40" w:firstLineChars="200"/>
        <w:rPr>
          <w:rFonts w:ascii="宋体" w:hAnsi="宋体"/>
          <w:bCs/>
          <w:sz w:val="22"/>
          <w:szCs w:val="22"/>
        </w:rPr>
      </w:pPr>
      <w:r>
        <w:rPr>
          <w:rFonts w:ascii="宋体" w:hAnsi="宋体"/>
          <w:bCs/>
          <w:sz w:val="22"/>
          <w:szCs w:val="22"/>
        </w:rPr>
        <w:t>1.</w:t>
      </w:r>
      <w:r>
        <w:rPr>
          <w:rFonts w:hint="eastAsia" w:ascii="宋体" w:hAnsi="宋体"/>
          <w:bCs/>
          <w:sz w:val="22"/>
          <w:szCs w:val="22"/>
        </w:rPr>
        <w:t xml:space="preserve"> </w:t>
      </w:r>
      <w:r>
        <w:rPr>
          <w:rFonts w:ascii="宋体" w:hAnsi="宋体"/>
          <w:bCs/>
          <w:sz w:val="22"/>
          <w:szCs w:val="22"/>
        </w:rPr>
        <w:t>在符合性审查和商务评审时，如发现下列情形之一的，投标文件将被视为无效：</w:t>
      </w:r>
    </w:p>
    <w:p>
      <w:pPr>
        <w:snapToGrid w:val="0"/>
        <w:spacing w:line="360" w:lineRule="auto"/>
        <w:ind w:firstLine="440" w:firstLineChars="200"/>
        <w:rPr>
          <w:rFonts w:hint="eastAsia" w:ascii="宋体" w:hAnsi="宋体"/>
          <w:sz w:val="22"/>
          <w:szCs w:val="22"/>
        </w:rPr>
      </w:pPr>
      <w:r>
        <w:rPr>
          <w:rFonts w:ascii="宋体" w:hAnsi="宋体"/>
          <w:sz w:val="22"/>
          <w:szCs w:val="22"/>
        </w:rPr>
        <w:t>（</w:t>
      </w:r>
      <w:r>
        <w:rPr>
          <w:rFonts w:hint="eastAsia" w:ascii="宋体" w:hAnsi="宋体"/>
          <w:sz w:val="22"/>
          <w:szCs w:val="22"/>
        </w:rPr>
        <w:t>1</w:t>
      </w:r>
      <w:r>
        <w:rPr>
          <w:rFonts w:ascii="宋体" w:hAnsi="宋体"/>
          <w:sz w:val="22"/>
          <w:szCs w:val="22"/>
        </w:rPr>
        <w:t>）资格证明文件不全的，或者不符合招标文件标明的资格要求的</w:t>
      </w:r>
      <w:r>
        <w:rPr>
          <w:rFonts w:hint="eastAsia" w:ascii="宋体" w:hAnsi="宋体"/>
          <w:sz w:val="22"/>
          <w:szCs w:val="22"/>
        </w:rPr>
        <w:t>；</w:t>
      </w:r>
    </w:p>
    <w:p>
      <w:pPr>
        <w:snapToGrid w:val="0"/>
        <w:spacing w:line="360" w:lineRule="auto"/>
        <w:ind w:firstLine="440" w:firstLineChars="200"/>
        <w:rPr>
          <w:rFonts w:ascii="宋体" w:hAnsi="宋体"/>
          <w:bCs/>
          <w:kern w:val="0"/>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）投标文件无法定代表人签字，或未</w:t>
      </w:r>
      <w:r>
        <w:rPr>
          <w:rFonts w:ascii="宋体" w:hAnsi="宋体"/>
          <w:bCs/>
          <w:kern w:val="0"/>
          <w:sz w:val="22"/>
          <w:szCs w:val="22"/>
        </w:rPr>
        <w:t>提供法定代表人授权委托书、投标声明书或者填写项目不齐全的；</w:t>
      </w:r>
    </w:p>
    <w:p>
      <w:pPr>
        <w:snapToGrid w:val="0"/>
        <w:spacing w:line="360" w:lineRule="auto"/>
        <w:ind w:firstLine="440" w:firstLineChars="200"/>
        <w:rPr>
          <w:rFonts w:ascii="宋体" w:hAnsi="宋体"/>
          <w:sz w:val="22"/>
          <w:szCs w:val="22"/>
        </w:rPr>
      </w:pPr>
      <w:r>
        <w:rPr>
          <w:rFonts w:ascii="宋体" w:hAnsi="宋体"/>
          <w:sz w:val="22"/>
          <w:szCs w:val="22"/>
        </w:rPr>
        <w:t>（</w:t>
      </w:r>
      <w:r>
        <w:rPr>
          <w:rFonts w:hint="eastAsia" w:ascii="宋体" w:hAnsi="宋体"/>
          <w:sz w:val="22"/>
          <w:szCs w:val="22"/>
        </w:rPr>
        <w:t>3</w:t>
      </w:r>
      <w:r>
        <w:rPr>
          <w:rFonts w:ascii="宋体" w:hAnsi="宋体"/>
          <w:sz w:val="22"/>
          <w:szCs w:val="22"/>
        </w:rPr>
        <w:t xml:space="preserve">）投标代表人未能出具身份证明或与法定代表人授权委托人身份不符的； </w:t>
      </w:r>
    </w:p>
    <w:p>
      <w:pPr>
        <w:pStyle w:val="20"/>
        <w:snapToGrid w:val="0"/>
        <w:spacing w:line="360" w:lineRule="auto"/>
        <w:ind w:firstLine="440" w:firstLineChars="200"/>
        <w:rPr>
          <w:rFonts w:hint="eastAsia" w:hAnsi="宋体"/>
          <w:snapToGrid w:val="0"/>
          <w:sz w:val="22"/>
          <w:szCs w:val="22"/>
        </w:rPr>
      </w:pPr>
      <w:r>
        <w:rPr>
          <w:rFonts w:hAnsi="宋体"/>
          <w:sz w:val="22"/>
          <w:szCs w:val="22"/>
        </w:rPr>
        <w:t>（</w:t>
      </w:r>
      <w:r>
        <w:rPr>
          <w:rFonts w:hint="eastAsia" w:hAnsi="宋体"/>
          <w:sz w:val="22"/>
          <w:szCs w:val="22"/>
        </w:rPr>
        <w:t>4</w:t>
      </w:r>
      <w:r>
        <w:rPr>
          <w:rFonts w:hAnsi="宋体"/>
          <w:sz w:val="22"/>
          <w:szCs w:val="22"/>
        </w:rPr>
        <w:t>）投标文件格式不规范、项目不齐全或者内容虚假的；</w:t>
      </w:r>
    </w:p>
    <w:p>
      <w:pPr>
        <w:pStyle w:val="20"/>
        <w:snapToGrid w:val="0"/>
        <w:spacing w:line="360" w:lineRule="auto"/>
        <w:ind w:firstLine="440" w:firstLineChars="200"/>
        <w:rPr>
          <w:rFonts w:hint="eastAsia" w:hAnsi="宋体"/>
          <w:snapToGrid w:val="0"/>
          <w:sz w:val="22"/>
          <w:szCs w:val="22"/>
        </w:rPr>
      </w:pPr>
      <w:r>
        <w:rPr>
          <w:rFonts w:hAnsi="宋体"/>
          <w:sz w:val="22"/>
          <w:szCs w:val="22"/>
        </w:rPr>
        <w:t>（</w:t>
      </w:r>
      <w:r>
        <w:rPr>
          <w:rFonts w:hint="eastAsia" w:hAnsi="宋体"/>
          <w:sz w:val="22"/>
          <w:szCs w:val="22"/>
        </w:rPr>
        <w:t>5</w:t>
      </w:r>
      <w:r>
        <w:rPr>
          <w:rFonts w:hAnsi="宋体"/>
          <w:sz w:val="22"/>
          <w:szCs w:val="22"/>
        </w:rPr>
        <w:t>）投标文件的实质性内容未使用中文表述、意思表述不明确、前后矛盾或者使用计量单位不符合招标文件要求的（经评标委员会认定并允许其当场更正的笔误除外）</w:t>
      </w:r>
      <w:r>
        <w:rPr>
          <w:rFonts w:hint="eastAsia" w:hAnsi="宋体"/>
          <w:sz w:val="22"/>
          <w:szCs w:val="22"/>
        </w:rPr>
        <w:t>；</w:t>
      </w:r>
    </w:p>
    <w:p>
      <w:pPr>
        <w:pStyle w:val="20"/>
        <w:snapToGrid w:val="0"/>
        <w:spacing w:line="360" w:lineRule="auto"/>
        <w:ind w:firstLine="440" w:firstLineChars="200"/>
        <w:rPr>
          <w:rFonts w:hAnsi="宋体"/>
          <w:snapToGrid w:val="0"/>
          <w:sz w:val="22"/>
          <w:szCs w:val="22"/>
        </w:rPr>
      </w:pPr>
      <w:r>
        <w:rPr>
          <w:rFonts w:hAnsi="宋体"/>
          <w:sz w:val="22"/>
          <w:szCs w:val="22"/>
        </w:rPr>
        <w:t>（</w:t>
      </w:r>
      <w:r>
        <w:rPr>
          <w:rFonts w:hint="eastAsia" w:hAnsi="宋体"/>
          <w:snapToGrid w:val="0"/>
          <w:sz w:val="22"/>
          <w:szCs w:val="22"/>
        </w:rPr>
        <w:t>6</w:t>
      </w:r>
      <w:r>
        <w:rPr>
          <w:rFonts w:hAnsi="宋体"/>
          <w:snapToGrid w:val="0"/>
          <w:sz w:val="22"/>
          <w:szCs w:val="22"/>
        </w:rPr>
        <w:t>）投标有效期、交货</w:t>
      </w:r>
      <w:r>
        <w:rPr>
          <w:rFonts w:hint="eastAsia" w:hAnsi="宋体"/>
          <w:snapToGrid w:val="0"/>
          <w:sz w:val="22"/>
          <w:szCs w:val="22"/>
        </w:rPr>
        <w:t>（付）</w:t>
      </w:r>
      <w:r>
        <w:rPr>
          <w:rFonts w:hAnsi="宋体"/>
          <w:snapToGrid w:val="0"/>
          <w:sz w:val="22"/>
          <w:szCs w:val="22"/>
        </w:rPr>
        <w:t>时间、质保</w:t>
      </w:r>
      <w:r>
        <w:rPr>
          <w:rFonts w:hint="eastAsia" w:hAnsi="宋体"/>
          <w:snapToGrid w:val="0"/>
          <w:sz w:val="22"/>
          <w:szCs w:val="22"/>
        </w:rPr>
        <w:t>（服务）</w:t>
      </w:r>
      <w:r>
        <w:rPr>
          <w:rFonts w:hAnsi="宋体"/>
          <w:snapToGrid w:val="0"/>
          <w:sz w:val="22"/>
          <w:szCs w:val="22"/>
        </w:rPr>
        <w:t>期等商务条款不能满足招标文件要求的；</w:t>
      </w:r>
    </w:p>
    <w:p>
      <w:pPr>
        <w:pStyle w:val="20"/>
        <w:snapToGrid w:val="0"/>
        <w:spacing w:line="360" w:lineRule="auto"/>
        <w:ind w:firstLine="440" w:firstLineChars="200"/>
        <w:rPr>
          <w:rFonts w:hint="eastAsia" w:hAnsi="宋体"/>
          <w:sz w:val="22"/>
          <w:szCs w:val="22"/>
        </w:rPr>
      </w:pPr>
      <w:r>
        <w:rPr>
          <w:rFonts w:hAnsi="宋体"/>
          <w:sz w:val="22"/>
          <w:szCs w:val="22"/>
        </w:rPr>
        <w:t>（</w:t>
      </w:r>
      <w:r>
        <w:rPr>
          <w:rFonts w:hint="eastAsia" w:hAnsi="宋体"/>
          <w:sz w:val="22"/>
          <w:szCs w:val="22"/>
        </w:rPr>
        <w:t>7</w:t>
      </w:r>
      <w:r>
        <w:rPr>
          <w:rFonts w:hAnsi="宋体"/>
          <w:sz w:val="22"/>
          <w:szCs w:val="22"/>
        </w:rPr>
        <w:t>）未实质性响应招标文件要求或者投标文件有招标人不能接受的附加条件的</w:t>
      </w:r>
      <w:r>
        <w:rPr>
          <w:rFonts w:hint="eastAsia" w:hAnsi="宋体"/>
          <w:sz w:val="22"/>
          <w:szCs w:val="22"/>
        </w:rPr>
        <w:t>；</w:t>
      </w:r>
    </w:p>
    <w:p>
      <w:pPr>
        <w:pStyle w:val="20"/>
        <w:snapToGrid w:val="0"/>
        <w:spacing w:line="360" w:lineRule="auto"/>
        <w:ind w:firstLine="440" w:firstLineChars="200"/>
        <w:rPr>
          <w:rFonts w:hAnsi="宋体"/>
          <w:bCs/>
          <w:sz w:val="22"/>
          <w:szCs w:val="22"/>
        </w:rPr>
      </w:pPr>
      <w:r>
        <w:rPr>
          <w:rFonts w:hAnsi="宋体"/>
          <w:bCs/>
          <w:sz w:val="22"/>
          <w:szCs w:val="22"/>
        </w:rPr>
        <w:t>2.</w:t>
      </w:r>
      <w:r>
        <w:rPr>
          <w:rFonts w:hint="eastAsia" w:hAnsi="宋体"/>
          <w:bCs/>
          <w:sz w:val="22"/>
          <w:szCs w:val="22"/>
        </w:rPr>
        <w:t xml:space="preserve"> </w:t>
      </w:r>
      <w:r>
        <w:rPr>
          <w:rFonts w:hAnsi="宋体"/>
          <w:bCs/>
          <w:sz w:val="22"/>
          <w:szCs w:val="22"/>
        </w:rPr>
        <w:t>在技术评审时，如发现下列情形之一的，投标文件将被视为无效：</w:t>
      </w:r>
    </w:p>
    <w:p>
      <w:pPr>
        <w:pStyle w:val="20"/>
        <w:snapToGrid w:val="0"/>
        <w:spacing w:line="360" w:lineRule="auto"/>
        <w:ind w:firstLine="440" w:firstLineChars="200"/>
        <w:rPr>
          <w:rFonts w:hAnsi="宋体"/>
          <w:sz w:val="22"/>
          <w:szCs w:val="22"/>
        </w:rPr>
      </w:pPr>
      <w:r>
        <w:rPr>
          <w:rFonts w:hAnsi="宋体"/>
          <w:sz w:val="22"/>
          <w:szCs w:val="22"/>
        </w:rPr>
        <w:t>（1）未提供或未如实提供投标货物的技术参数，或者投标文件标明的响应或偏离与事实不符或虚假投标的；</w:t>
      </w:r>
    </w:p>
    <w:p>
      <w:pPr>
        <w:pStyle w:val="20"/>
        <w:snapToGrid w:val="0"/>
        <w:spacing w:line="360" w:lineRule="auto"/>
        <w:ind w:firstLine="440" w:firstLineChars="200"/>
        <w:rPr>
          <w:rFonts w:hAnsi="宋体"/>
          <w:sz w:val="22"/>
          <w:szCs w:val="22"/>
        </w:rPr>
      </w:pPr>
      <w:r>
        <w:rPr>
          <w:rFonts w:hAnsi="宋体"/>
          <w:sz w:val="22"/>
          <w:szCs w:val="22"/>
        </w:rPr>
        <w:t>（2）</w:t>
      </w:r>
      <w:r>
        <w:rPr>
          <w:rFonts w:hAnsi="宋体"/>
          <w:snapToGrid w:val="0"/>
          <w:sz w:val="22"/>
          <w:szCs w:val="22"/>
        </w:rPr>
        <w:t>明显不符合招标文件</w:t>
      </w:r>
      <w:r>
        <w:rPr>
          <w:rFonts w:hint="eastAsia" w:hAnsi="宋体"/>
          <w:snapToGrid w:val="0"/>
          <w:sz w:val="22"/>
          <w:szCs w:val="22"/>
        </w:rPr>
        <w:t>要求</w:t>
      </w:r>
      <w:r>
        <w:rPr>
          <w:rFonts w:hAnsi="宋体"/>
          <w:snapToGrid w:val="0"/>
          <w:sz w:val="22"/>
          <w:szCs w:val="22"/>
        </w:rPr>
        <w:t>的规格型号、质量标准，或者</w:t>
      </w:r>
      <w:r>
        <w:rPr>
          <w:rFonts w:hint="eastAsia" w:hAnsi="宋体"/>
          <w:snapToGrid w:val="0"/>
          <w:sz w:val="22"/>
          <w:szCs w:val="22"/>
        </w:rPr>
        <w:t>与</w:t>
      </w:r>
      <w:r>
        <w:rPr>
          <w:rFonts w:hAnsi="宋体"/>
          <w:sz w:val="22"/>
          <w:szCs w:val="22"/>
        </w:rPr>
        <w:t>招标文件中的技术指标、主要功能项目发生实质性偏离的；</w:t>
      </w:r>
    </w:p>
    <w:p>
      <w:pPr>
        <w:pStyle w:val="20"/>
        <w:snapToGrid w:val="0"/>
        <w:spacing w:line="360" w:lineRule="auto"/>
        <w:ind w:firstLine="440" w:firstLineChars="200"/>
        <w:rPr>
          <w:rFonts w:hAnsi="宋体"/>
          <w:spacing w:val="0"/>
          <w:sz w:val="22"/>
          <w:szCs w:val="22"/>
        </w:rPr>
      </w:pPr>
      <w:r>
        <w:rPr>
          <w:rFonts w:hAnsi="宋体"/>
          <w:sz w:val="22"/>
          <w:szCs w:val="22"/>
        </w:rPr>
        <w:t>（3）投</w:t>
      </w:r>
      <w:r>
        <w:rPr>
          <w:rFonts w:hAnsi="宋体"/>
          <w:spacing w:val="0"/>
          <w:sz w:val="22"/>
          <w:szCs w:val="22"/>
        </w:rPr>
        <w:t>标技术方案不明确，存在一个或一个以上备选（替代）投标方案的；</w:t>
      </w:r>
    </w:p>
    <w:p>
      <w:pPr>
        <w:pStyle w:val="20"/>
        <w:snapToGrid w:val="0"/>
        <w:spacing w:line="360" w:lineRule="auto"/>
        <w:ind w:firstLine="440" w:firstLineChars="200"/>
        <w:rPr>
          <w:rFonts w:hint="eastAsia" w:hAnsi="宋体"/>
          <w:spacing w:val="0"/>
          <w:sz w:val="22"/>
          <w:szCs w:val="22"/>
        </w:rPr>
      </w:pPr>
      <w:r>
        <w:rPr>
          <w:rFonts w:hint="eastAsia" w:hAnsi="宋体"/>
          <w:spacing w:val="0"/>
          <w:sz w:val="22"/>
          <w:szCs w:val="22"/>
        </w:rPr>
        <w:t>（4）与其他参加本次投标供应商的投标文件（技术文件）的文字表述内容相同连续20行以上或者差错相同2处以上的。</w:t>
      </w:r>
    </w:p>
    <w:p>
      <w:pPr>
        <w:pStyle w:val="20"/>
        <w:snapToGrid w:val="0"/>
        <w:spacing w:line="360" w:lineRule="auto"/>
        <w:ind w:firstLine="440" w:firstLineChars="200"/>
        <w:rPr>
          <w:rFonts w:hAnsi="宋体"/>
          <w:bCs/>
          <w:spacing w:val="0"/>
          <w:sz w:val="22"/>
          <w:szCs w:val="22"/>
        </w:rPr>
      </w:pPr>
      <w:r>
        <w:rPr>
          <w:rFonts w:hAnsi="宋体"/>
          <w:bCs/>
          <w:spacing w:val="0"/>
          <w:sz w:val="22"/>
          <w:szCs w:val="22"/>
        </w:rPr>
        <w:t>3.</w:t>
      </w:r>
      <w:r>
        <w:rPr>
          <w:rFonts w:hint="eastAsia" w:hAnsi="宋体"/>
          <w:bCs/>
          <w:spacing w:val="0"/>
          <w:sz w:val="22"/>
          <w:szCs w:val="22"/>
        </w:rPr>
        <w:t xml:space="preserve"> </w:t>
      </w:r>
      <w:r>
        <w:rPr>
          <w:rFonts w:hAnsi="宋体"/>
          <w:bCs/>
          <w:spacing w:val="0"/>
          <w:sz w:val="22"/>
          <w:szCs w:val="22"/>
        </w:rPr>
        <w:t>在报价评审时，如发现下列情形之一的，投标文件将被视为无效：</w:t>
      </w:r>
    </w:p>
    <w:p>
      <w:pPr>
        <w:pStyle w:val="20"/>
        <w:snapToGrid w:val="0"/>
        <w:spacing w:line="360" w:lineRule="auto"/>
        <w:ind w:firstLine="440" w:firstLineChars="200"/>
        <w:rPr>
          <w:rFonts w:hAnsi="宋体"/>
          <w:spacing w:val="0"/>
          <w:sz w:val="22"/>
          <w:szCs w:val="22"/>
        </w:rPr>
      </w:pPr>
      <w:r>
        <w:rPr>
          <w:rFonts w:hAnsi="宋体"/>
          <w:spacing w:val="0"/>
          <w:sz w:val="22"/>
          <w:szCs w:val="22"/>
        </w:rPr>
        <w:t>（1）未采用人民币报价或者未按照招标文件标明的币种报价的；</w:t>
      </w:r>
    </w:p>
    <w:p>
      <w:pPr>
        <w:pStyle w:val="20"/>
        <w:snapToGrid w:val="0"/>
        <w:spacing w:line="360" w:lineRule="auto"/>
        <w:ind w:firstLine="440" w:firstLineChars="200"/>
        <w:rPr>
          <w:rFonts w:hint="eastAsia" w:hAnsi="宋体"/>
          <w:spacing w:val="0"/>
          <w:sz w:val="22"/>
          <w:szCs w:val="22"/>
        </w:rPr>
      </w:pPr>
      <w:r>
        <w:rPr>
          <w:rFonts w:hAnsi="宋体"/>
          <w:spacing w:val="0"/>
          <w:sz w:val="22"/>
          <w:szCs w:val="22"/>
        </w:rPr>
        <w:t>（2）报价超出最高限价</w:t>
      </w:r>
      <w:r>
        <w:rPr>
          <w:rFonts w:hint="eastAsia" w:hAnsi="宋体"/>
          <w:spacing w:val="0"/>
          <w:sz w:val="22"/>
          <w:szCs w:val="22"/>
        </w:rPr>
        <w:t>的；</w:t>
      </w:r>
    </w:p>
    <w:p>
      <w:pPr>
        <w:pStyle w:val="20"/>
        <w:snapToGrid w:val="0"/>
        <w:spacing w:line="360" w:lineRule="auto"/>
        <w:ind w:firstLine="440" w:firstLineChars="200"/>
        <w:rPr>
          <w:rFonts w:hint="eastAsia" w:hAnsi="宋体"/>
          <w:spacing w:val="0"/>
          <w:sz w:val="22"/>
          <w:szCs w:val="22"/>
        </w:rPr>
      </w:pPr>
      <w:r>
        <w:rPr>
          <w:rFonts w:hint="eastAsia" w:hAnsi="宋体"/>
          <w:spacing w:val="0"/>
          <w:sz w:val="22"/>
          <w:szCs w:val="22"/>
        </w:rPr>
        <w:t>（3）投标报价具有选择性，或者开标价格与投标文件承诺的优惠（折扣）价格不一致的。</w:t>
      </w:r>
    </w:p>
    <w:p>
      <w:pPr>
        <w:snapToGrid w:val="0"/>
        <w:spacing w:line="360" w:lineRule="auto"/>
        <w:ind w:firstLine="442" w:firstLineChars="200"/>
        <w:rPr>
          <w:rFonts w:ascii="宋体" w:hAnsi="宋体"/>
          <w:b/>
          <w:sz w:val="22"/>
          <w:szCs w:val="22"/>
        </w:rPr>
      </w:pPr>
      <w:bookmarkStart w:id="235" w:name="_Toc366144037"/>
      <w:r>
        <w:rPr>
          <w:rFonts w:hint="eastAsia" w:ascii="宋体" w:hAnsi="宋体"/>
          <w:b/>
          <w:sz w:val="22"/>
          <w:szCs w:val="22"/>
        </w:rPr>
        <w:t>（九）</w:t>
      </w:r>
      <w:r>
        <w:rPr>
          <w:rFonts w:ascii="宋体" w:hAnsi="宋体"/>
          <w:b/>
          <w:sz w:val="22"/>
          <w:szCs w:val="22"/>
        </w:rPr>
        <w:t>废标的情形</w:t>
      </w:r>
      <w:bookmarkEnd w:id="235"/>
    </w:p>
    <w:p>
      <w:pPr>
        <w:snapToGrid w:val="0"/>
        <w:spacing w:line="360" w:lineRule="auto"/>
        <w:ind w:firstLine="440" w:firstLineChars="200"/>
        <w:rPr>
          <w:rFonts w:ascii="宋体" w:hAnsi="宋体"/>
          <w:bCs/>
          <w:sz w:val="22"/>
          <w:szCs w:val="22"/>
        </w:rPr>
      </w:pPr>
      <w:r>
        <w:rPr>
          <w:rFonts w:ascii="宋体" w:hAnsi="宋体"/>
          <w:bCs/>
          <w:sz w:val="22"/>
          <w:szCs w:val="22"/>
        </w:rPr>
        <w:t>采购中出现下列情形之一的，应予废标</w:t>
      </w:r>
      <w:r>
        <w:rPr>
          <w:rFonts w:hint="eastAsia" w:ascii="宋体" w:hAnsi="宋体"/>
          <w:bCs/>
          <w:sz w:val="22"/>
          <w:szCs w:val="22"/>
        </w:rPr>
        <w:t>（</w:t>
      </w:r>
      <w:r>
        <w:rPr>
          <w:rFonts w:hint="eastAsia" w:ascii="宋体" w:hAnsi="宋体"/>
          <w:sz w:val="22"/>
          <w:szCs w:val="22"/>
        </w:rPr>
        <w:t>废标后，采购代理机构应当将废标理由通知所有投标人）</w:t>
      </w:r>
      <w:r>
        <w:rPr>
          <w:rFonts w:ascii="宋体" w:hAnsi="宋体"/>
          <w:bCs/>
          <w:sz w:val="22"/>
          <w:szCs w:val="22"/>
        </w:rPr>
        <w:t>：</w:t>
      </w:r>
    </w:p>
    <w:p>
      <w:pPr>
        <w:snapToGrid w:val="0"/>
        <w:spacing w:line="360" w:lineRule="auto"/>
        <w:ind w:firstLine="440" w:firstLineChars="200"/>
        <w:rPr>
          <w:rFonts w:ascii="宋体" w:hAnsi="宋体"/>
          <w:bCs/>
          <w:sz w:val="22"/>
          <w:szCs w:val="22"/>
        </w:rPr>
      </w:pPr>
      <w:r>
        <w:rPr>
          <w:rFonts w:ascii="宋体" w:hAnsi="宋体"/>
          <w:bCs/>
          <w:sz w:val="22"/>
          <w:szCs w:val="22"/>
        </w:rPr>
        <w:t>1.</w:t>
      </w:r>
      <w:r>
        <w:rPr>
          <w:rFonts w:hint="eastAsia" w:ascii="宋体" w:hAnsi="宋体"/>
          <w:bCs/>
          <w:sz w:val="22"/>
          <w:szCs w:val="22"/>
        </w:rPr>
        <w:t xml:space="preserve"> </w:t>
      </w:r>
      <w:r>
        <w:rPr>
          <w:rFonts w:ascii="宋体" w:hAnsi="宋体"/>
          <w:bCs/>
          <w:sz w:val="22"/>
          <w:szCs w:val="22"/>
        </w:rPr>
        <w:t>符合专业条件的投标人或对招标文件作实质性响应的投标人不足三家的；</w:t>
      </w:r>
    </w:p>
    <w:p>
      <w:pPr>
        <w:snapToGrid w:val="0"/>
        <w:spacing w:line="360" w:lineRule="auto"/>
        <w:ind w:firstLine="440" w:firstLineChars="200"/>
        <w:rPr>
          <w:rFonts w:ascii="宋体" w:hAnsi="宋体"/>
          <w:bCs/>
          <w:sz w:val="22"/>
          <w:szCs w:val="22"/>
        </w:rPr>
      </w:pPr>
      <w:r>
        <w:rPr>
          <w:rFonts w:hint="eastAsia" w:ascii="宋体" w:hAnsi="宋体"/>
          <w:bCs/>
          <w:sz w:val="22"/>
          <w:szCs w:val="22"/>
        </w:rPr>
        <w:t>2</w:t>
      </w:r>
      <w:r>
        <w:rPr>
          <w:rFonts w:ascii="宋体" w:hAnsi="宋体"/>
          <w:bCs/>
          <w:sz w:val="22"/>
          <w:szCs w:val="22"/>
        </w:rPr>
        <w:t>.</w:t>
      </w:r>
      <w:r>
        <w:rPr>
          <w:rFonts w:hint="eastAsia" w:ascii="宋体" w:hAnsi="宋体"/>
          <w:bCs/>
          <w:sz w:val="22"/>
          <w:szCs w:val="22"/>
        </w:rPr>
        <w:t xml:space="preserve"> </w:t>
      </w:r>
      <w:r>
        <w:rPr>
          <w:rFonts w:ascii="宋体" w:hAnsi="宋体"/>
          <w:bCs/>
          <w:sz w:val="22"/>
          <w:szCs w:val="22"/>
        </w:rPr>
        <w:t>出现影响采购公正的违法、违规行为的；</w:t>
      </w:r>
    </w:p>
    <w:p>
      <w:pPr>
        <w:snapToGrid w:val="0"/>
        <w:spacing w:line="360" w:lineRule="auto"/>
        <w:ind w:firstLine="440" w:firstLineChars="200"/>
        <w:rPr>
          <w:rFonts w:ascii="宋体" w:hAnsi="宋体"/>
          <w:bCs/>
          <w:sz w:val="22"/>
          <w:szCs w:val="22"/>
        </w:rPr>
      </w:pPr>
      <w:r>
        <w:rPr>
          <w:rFonts w:hint="eastAsia" w:ascii="宋体" w:hAnsi="宋体"/>
          <w:bCs/>
          <w:sz w:val="22"/>
          <w:szCs w:val="22"/>
        </w:rPr>
        <w:t>3</w:t>
      </w:r>
      <w:r>
        <w:rPr>
          <w:rFonts w:ascii="宋体" w:hAnsi="宋体"/>
          <w:bCs/>
          <w:sz w:val="22"/>
          <w:szCs w:val="22"/>
        </w:rPr>
        <w:t>.</w:t>
      </w:r>
      <w:r>
        <w:rPr>
          <w:rFonts w:hint="eastAsia" w:ascii="宋体" w:hAnsi="宋体"/>
          <w:bCs/>
          <w:sz w:val="22"/>
          <w:szCs w:val="22"/>
        </w:rPr>
        <w:t xml:space="preserve"> </w:t>
      </w:r>
      <w:r>
        <w:rPr>
          <w:rFonts w:ascii="宋体" w:hAnsi="宋体"/>
          <w:bCs/>
          <w:sz w:val="22"/>
          <w:szCs w:val="22"/>
        </w:rPr>
        <w:t>投标人的报价均超过了采购预算，采购人不能支付的；</w:t>
      </w:r>
    </w:p>
    <w:p>
      <w:pPr>
        <w:snapToGrid w:val="0"/>
        <w:spacing w:line="360" w:lineRule="auto"/>
        <w:ind w:firstLine="440" w:firstLineChars="200"/>
        <w:rPr>
          <w:rFonts w:hint="eastAsia" w:ascii="宋体" w:hAnsi="宋体"/>
          <w:bCs/>
          <w:sz w:val="22"/>
          <w:szCs w:val="22"/>
        </w:rPr>
      </w:pPr>
      <w:r>
        <w:rPr>
          <w:rFonts w:hint="eastAsia" w:ascii="宋体" w:hAnsi="宋体"/>
          <w:bCs/>
          <w:sz w:val="22"/>
          <w:szCs w:val="22"/>
        </w:rPr>
        <w:t>4</w:t>
      </w:r>
      <w:r>
        <w:rPr>
          <w:rFonts w:ascii="宋体" w:hAnsi="宋体"/>
          <w:bCs/>
          <w:sz w:val="22"/>
          <w:szCs w:val="22"/>
        </w:rPr>
        <w:t>.</w:t>
      </w:r>
      <w:r>
        <w:rPr>
          <w:rFonts w:hint="eastAsia" w:ascii="宋体" w:hAnsi="宋体"/>
          <w:bCs/>
          <w:sz w:val="22"/>
          <w:szCs w:val="22"/>
        </w:rPr>
        <w:t xml:space="preserve"> </w:t>
      </w:r>
      <w:r>
        <w:rPr>
          <w:rFonts w:ascii="宋体" w:hAnsi="宋体"/>
          <w:bCs/>
          <w:sz w:val="22"/>
          <w:szCs w:val="22"/>
        </w:rPr>
        <w:t>因重大变故，采购任务取消的。</w:t>
      </w:r>
    </w:p>
    <w:p>
      <w:pPr>
        <w:pStyle w:val="24"/>
        <w:snapToGrid w:val="0"/>
        <w:spacing w:before="0" w:beforeLines="0" w:after="0" w:afterLines="0" w:line="360" w:lineRule="auto"/>
        <w:ind w:firstLine="442" w:firstLineChars="200"/>
        <w:rPr>
          <w:rFonts w:hAnsi="宋体"/>
          <w:b/>
          <w:sz w:val="22"/>
          <w:szCs w:val="22"/>
        </w:rPr>
      </w:pPr>
      <w:r>
        <w:rPr>
          <w:rFonts w:hAnsi="宋体"/>
          <w:b/>
          <w:sz w:val="22"/>
          <w:szCs w:val="22"/>
        </w:rPr>
        <w:t>四、开标</w:t>
      </w:r>
    </w:p>
    <w:p>
      <w:pPr>
        <w:snapToGrid w:val="0"/>
        <w:spacing w:line="360" w:lineRule="auto"/>
        <w:ind w:firstLine="442" w:firstLineChars="200"/>
        <w:rPr>
          <w:rFonts w:ascii="宋体" w:hAnsi="宋体"/>
          <w:b/>
          <w:sz w:val="22"/>
          <w:szCs w:val="22"/>
        </w:rPr>
      </w:pPr>
      <w:r>
        <w:rPr>
          <w:rFonts w:ascii="宋体" w:hAnsi="宋体"/>
          <w:b/>
          <w:sz w:val="22"/>
          <w:szCs w:val="22"/>
        </w:rPr>
        <w:t>（一）开标准备</w:t>
      </w:r>
    </w:p>
    <w:p>
      <w:pPr>
        <w:pStyle w:val="24"/>
        <w:snapToGrid w:val="0"/>
        <w:spacing w:before="0" w:beforeLines="0" w:after="0" w:afterLines="0" w:line="360" w:lineRule="auto"/>
        <w:ind w:firstLine="440" w:firstLineChars="200"/>
        <w:rPr>
          <w:rFonts w:hint="eastAsia" w:hAnsi="宋体"/>
          <w:bCs/>
          <w:sz w:val="22"/>
          <w:szCs w:val="22"/>
        </w:rPr>
      </w:pPr>
      <w:r>
        <w:rPr>
          <w:rFonts w:hAnsi="宋体"/>
          <w:bCs/>
          <w:sz w:val="22"/>
          <w:szCs w:val="22"/>
        </w:rPr>
        <w:t>采购代理机构将在</w:t>
      </w:r>
      <w:r>
        <w:rPr>
          <w:rFonts w:hint="eastAsia" w:hAnsi="宋体"/>
          <w:sz w:val="22"/>
          <w:szCs w:val="22"/>
        </w:rPr>
        <w:t>招标公告</w:t>
      </w:r>
      <w:r>
        <w:rPr>
          <w:rFonts w:hAnsi="宋体"/>
          <w:bCs/>
          <w:sz w:val="22"/>
          <w:szCs w:val="22"/>
        </w:rPr>
        <w:t>规定的时间和地点进行开标，投标人的法定代表人或其授权代表应参加开标会并签到。投标人的法定代表人或其授权代表未按时签到的，视同放弃开标监督权利、认可开标结果。</w:t>
      </w:r>
    </w:p>
    <w:p>
      <w:pPr>
        <w:snapToGrid w:val="0"/>
        <w:spacing w:line="360" w:lineRule="auto"/>
        <w:ind w:firstLine="442" w:firstLineChars="200"/>
        <w:rPr>
          <w:rFonts w:hint="eastAsia" w:ascii="宋体" w:hAnsi="宋体"/>
          <w:b/>
          <w:sz w:val="22"/>
          <w:szCs w:val="22"/>
        </w:rPr>
      </w:pPr>
      <w:r>
        <w:rPr>
          <w:rFonts w:ascii="宋体" w:hAnsi="宋体"/>
          <w:b/>
          <w:sz w:val="22"/>
          <w:szCs w:val="22"/>
        </w:rPr>
        <w:t>（二）开标程序</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1.</w:t>
      </w:r>
      <w:r>
        <w:rPr>
          <w:rFonts w:hint="eastAsia" w:hAnsi="宋体"/>
          <w:sz w:val="22"/>
          <w:szCs w:val="22"/>
        </w:rPr>
        <w:t xml:space="preserve"> </w:t>
      </w:r>
      <w:r>
        <w:rPr>
          <w:rFonts w:hAnsi="宋体"/>
          <w:sz w:val="22"/>
          <w:szCs w:val="22"/>
        </w:rPr>
        <w:t xml:space="preserve">开标会由采购代理机构主持，主持人宣布开标会议开始； </w:t>
      </w:r>
    </w:p>
    <w:p>
      <w:pPr>
        <w:pStyle w:val="24"/>
        <w:snapToGrid w:val="0"/>
        <w:spacing w:before="0" w:beforeLines="0" w:after="0" w:afterLines="0" w:line="360" w:lineRule="auto"/>
        <w:ind w:firstLine="440" w:firstLineChars="200"/>
        <w:rPr>
          <w:rFonts w:hint="eastAsia" w:hAnsi="宋体"/>
          <w:sz w:val="22"/>
          <w:szCs w:val="22"/>
        </w:rPr>
      </w:pPr>
      <w:r>
        <w:rPr>
          <w:rFonts w:hint="eastAsia" w:hAnsi="宋体"/>
          <w:sz w:val="22"/>
          <w:szCs w:val="22"/>
        </w:rPr>
        <w:t>2</w:t>
      </w:r>
      <w:r>
        <w:rPr>
          <w:rFonts w:hAnsi="宋体"/>
          <w:sz w:val="22"/>
          <w:szCs w:val="22"/>
        </w:rPr>
        <w:t>.</w:t>
      </w:r>
      <w:r>
        <w:rPr>
          <w:rFonts w:hint="eastAsia" w:hAnsi="宋体"/>
          <w:sz w:val="22"/>
          <w:szCs w:val="22"/>
        </w:rPr>
        <w:t xml:space="preserve"> </w:t>
      </w:r>
      <w:r>
        <w:rPr>
          <w:rFonts w:hAnsi="宋体"/>
          <w:sz w:val="22"/>
          <w:szCs w:val="22"/>
        </w:rPr>
        <w:t>主持人宣布</w:t>
      </w:r>
      <w:r>
        <w:rPr>
          <w:rFonts w:hint="eastAsia" w:hAnsi="宋体"/>
          <w:sz w:val="22"/>
          <w:szCs w:val="22"/>
        </w:rPr>
        <w:t>开标纪律和有关事项，</w:t>
      </w:r>
      <w:r>
        <w:rPr>
          <w:rFonts w:hAnsi="宋体"/>
          <w:sz w:val="22"/>
          <w:szCs w:val="22"/>
        </w:rPr>
        <w:t>告知应当回避的情形，提请有关人员回避；</w:t>
      </w:r>
    </w:p>
    <w:p>
      <w:pPr>
        <w:pStyle w:val="24"/>
        <w:snapToGrid w:val="0"/>
        <w:spacing w:before="0" w:beforeLines="0" w:after="0" w:afterLines="0" w:line="360" w:lineRule="auto"/>
        <w:ind w:firstLine="440" w:firstLineChars="200"/>
        <w:rPr>
          <w:rFonts w:hint="eastAsia" w:hAnsi="宋体"/>
          <w:sz w:val="22"/>
          <w:szCs w:val="22"/>
        </w:rPr>
      </w:pPr>
      <w:r>
        <w:rPr>
          <w:rFonts w:hint="eastAsia" w:hAnsi="宋体"/>
          <w:sz w:val="22"/>
          <w:szCs w:val="22"/>
        </w:rPr>
        <w:t>3</w:t>
      </w:r>
      <w:r>
        <w:rPr>
          <w:rFonts w:hAnsi="宋体"/>
          <w:sz w:val="22"/>
          <w:szCs w:val="22"/>
        </w:rPr>
        <w:t>.</w:t>
      </w:r>
      <w:r>
        <w:rPr>
          <w:rFonts w:hint="eastAsia" w:hAnsi="宋体"/>
          <w:sz w:val="22"/>
          <w:szCs w:val="22"/>
        </w:rPr>
        <w:t xml:space="preserve"> </w:t>
      </w:r>
      <w:r>
        <w:rPr>
          <w:rFonts w:hAnsi="宋体"/>
          <w:sz w:val="22"/>
          <w:szCs w:val="22"/>
        </w:rPr>
        <w:t>检</w:t>
      </w:r>
      <w:r>
        <w:rPr>
          <w:rFonts w:hint="eastAsia" w:hAnsi="宋体"/>
          <w:sz w:val="22"/>
          <w:szCs w:val="22"/>
        </w:rPr>
        <w:t>查</w:t>
      </w:r>
      <w:r>
        <w:rPr>
          <w:rFonts w:hAnsi="宋体"/>
          <w:sz w:val="22"/>
          <w:szCs w:val="22"/>
        </w:rPr>
        <w:t>投标文件密封的</w:t>
      </w:r>
      <w:r>
        <w:rPr>
          <w:rFonts w:hint="eastAsia" w:hAnsi="宋体"/>
          <w:sz w:val="22"/>
          <w:szCs w:val="22"/>
        </w:rPr>
        <w:t>情况；</w:t>
      </w:r>
    </w:p>
    <w:p>
      <w:pPr>
        <w:pStyle w:val="24"/>
        <w:snapToGrid w:val="0"/>
        <w:spacing w:before="0" w:beforeLines="0" w:after="0" w:afterLines="0" w:line="36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 xml:space="preserve"> </w:t>
      </w:r>
      <w:r>
        <w:rPr>
          <w:rFonts w:hAnsi="宋体"/>
          <w:sz w:val="22"/>
          <w:szCs w:val="22"/>
        </w:rPr>
        <w:t>按各投标人提交投标文件时间的先后顺序打开资信</w:t>
      </w:r>
      <w:r>
        <w:rPr>
          <w:rFonts w:hint="eastAsia" w:hAnsi="宋体"/>
          <w:sz w:val="22"/>
          <w:szCs w:val="22"/>
        </w:rPr>
        <w:t>及</w:t>
      </w:r>
      <w:r>
        <w:rPr>
          <w:rFonts w:hAnsi="宋体"/>
          <w:sz w:val="22"/>
          <w:szCs w:val="22"/>
        </w:rPr>
        <w:t>商务</w:t>
      </w:r>
      <w:r>
        <w:rPr>
          <w:rFonts w:hint="eastAsia" w:hAnsi="宋体"/>
          <w:sz w:val="22"/>
          <w:szCs w:val="22"/>
        </w:rPr>
        <w:t>/</w:t>
      </w:r>
      <w:r>
        <w:rPr>
          <w:rFonts w:hAnsi="宋体"/>
          <w:sz w:val="22"/>
          <w:szCs w:val="22"/>
        </w:rPr>
        <w:t>技术文件外包装，清点投标文件正本、副本数量，符合招标文件要求的送评标室评审；不符合要求的，当场退还投标人，并由投标人代表签字确认；</w:t>
      </w:r>
    </w:p>
    <w:p>
      <w:pPr>
        <w:pStyle w:val="24"/>
        <w:snapToGrid w:val="0"/>
        <w:spacing w:before="0" w:beforeLines="0" w:after="0" w:afterLines="0" w:line="360" w:lineRule="auto"/>
        <w:ind w:firstLine="440" w:firstLineChars="200"/>
        <w:rPr>
          <w:rFonts w:hint="eastAsia" w:hAnsi="宋体"/>
          <w:sz w:val="22"/>
          <w:szCs w:val="22"/>
        </w:rPr>
      </w:pPr>
      <w:r>
        <w:rPr>
          <w:rFonts w:hint="eastAsia" w:hAnsi="宋体"/>
          <w:sz w:val="22"/>
          <w:szCs w:val="22"/>
        </w:rPr>
        <w:t>5. 资信及商务/技术评标期间，采购代理机构应当安排继续留在现场的</w:t>
      </w:r>
      <w:r>
        <w:rPr>
          <w:rFonts w:hAnsi="宋体"/>
          <w:sz w:val="22"/>
          <w:szCs w:val="22"/>
        </w:rPr>
        <w:t>投标人</w:t>
      </w:r>
      <w:r>
        <w:rPr>
          <w:rFonts w:hint="eastAsia" w:hAnsi="宋体"/>
          <w:sz w:val="22"/>
          <w:szCs w:val="22"/>
        </w:rPr>
        <w:t>休息等候；</w:t>
      </w:r>
    </w:p>
    <w:p>
      <w:pPr>
        <w:pStyle w:val="24"/>
        <w:snapToGrid w:val="0"/>
        <w:spacing w:before="0" w:beforeLines="0" w:after="0" w:afterLines="0" w:line="360" w:lineRule="auto"/>
        <w:ind w:firstLine="440" w:firstLineChars="200"/>
        <w:rPr>
          <w:rFonts w:hAnsi="宋体"/>
          <w:sz w:val="22"/>
          <w:szCs w:val="22"/>
        </w:rPr>
      </w:pPr>
      <w:r>
        <w:rPr>
          <w:rFonts w:hint="eastAsia" w:hAnsi="宋体"/>
          <w:sz w:val="22"/>
          <w:szCs w:val="22"/>
        </w:rPr>
        <w:t>6</w:t>
      </w:r>
      <w:r>
        <w:rPr>
          <w:rFonts w:hAnsi="宋体"/>
          <w:sz w:val="22"/>
          <w:szCs w:val="22"/>
        </w:rPr>
        <w:t>.</w:t>
      </w:r>
      <w:r>
        <w:rPr>
          <w:rFonts w:hint="eastAsia" w:hAnsi="宋体"/>
          <w:sz w:val="22"/>
          <w:szCs w:val="22"/>
        </w:rPr>
        <w:t xml:space="preserve"> 资信及商务/技术</w:t>
      </w:r>
      <w:r>
        <w:rPr>
          <w:rFonts w:hAnsi="宋体"/>
          <w:sz w:val="22"/>
          <w:szCs w:val="22"/>
        </w:rPr>
        <w:t>评分结束后，由主持人公布无效投标的投标人名单、投标无效的原因及其他有效投标的评分结果；</w:t>
      </w:r>
    </w:p>
    <w:p>
      <w:pPr>
        <w:pStyle w:val="24"/>
        <w:snapToGrid w:val="0"/>
        <w:spacing w:before="0" w:beforeLines="0" w:after="0" w:afterLines="0" w:line="360" w:lineRule="auto"/>
        <w:ind w:firstLine="440" w:firstLineChars="200"/>
        <w:rPr>
          <w:rFonts w:hint="eastAsia" w:hAnsi="宋体"/>
          <w:sz w:val="22"/>
          <w:szCs w:val="22"/>
        </w:rPr>
      </w:pPr>
      <w:r>
        <w:rPr>
          <w:rFonts w:hint="eastAsia" w:hAnsi="宋体"/>
          <w:sz w:val="22"/>
          <w:szCs w:val="22"/>
        </w:rPr>
        <w:t>7. 唱标人当众拆封、宣读有效投标文件的《投标(开标)一览表》中的投标人名称、投标报价，以及采购代理机构认为有必要宣读的其他内容；</w:t>
      </w:r>
    </w:p>
    <w:p>
      <w:pPr>
        <w:snapToGrid w:val="0"/>
        <w:spacing w:line="360" w:lineRule="auto"/>
        <w:ind w:firstLine="440" w:firstLineChars="200"/>
        <w:rPr>
          <w:rFonts w:hint="eastAsia" w:ascii="宋体" w:hAnsi="宋体"/>
          <w:sz w:val="22"/>
          <w:szCs w:val="22"/>
        </w:rPr>
      </w:pPr>
      <w:r>
        <w:rPr>
          <w:rFonts w:hint="eastAsia" w:ascii="宋体" w:hAnsi="宋体"/>
          <w:sz w:val="22"/>
          <w:szCs w:val="22"/>
        </w:rPr>
        <w:t>8. 记录人做开标记录, 开标记录应由唱标人、记录人和监督人签字确认；</w:t>
      </w:r>
    </w:p>
    <w:p>
      <w:pPr>
        <w:pStyle w:val="24"/>
        <w:snapToGrid w:val="0"/>
        <w:spacing w:before="0" w:beforeLines="0" w:after="0" w:afterLines="0" w:line="360" w:lineRule="auto"/>
        <w:ind w:firstLine="440" w:firstLineChars="200"/>
        <w:rPr>
          <w:rFonts w:hAnsi="宋体"/>
          <w:sz w:val="22"/>
          <w:szCs w:val="22"/>
        </w:rPr>
      </w:pPr>
      <w:r>
        <w:rPr>
          <w:rFonts w:hint="eastAsia" w:hAnsi="宋体"/>
          <w:sz w:val="22"/>
          <w:szCs w:val="22"/>
        </w:rPr>
        <w:t>9. 主持人公布评审结果并宣布开标会议结束。</w:t>
      </w:r>
    </w:p>
    <w:p>
      <w:pPr>
        <w:pStyle w:val="24"/>
        <w:snapToGrid w:val="0"/>
        <w:spacing w:before="0" w:beforeLines="0" w:after="0" w:afterLines="0" w:line="360" w:lineRule="auto"/>
        <w:ind w:firstLine="442" w:firstLineChars="200"/>
        <w:rPr>
          <w:rFonts w:hAnsi="宋体"/>
          <w:b/>
          <w:sz w:val="22"/>
          <w:szCs w:val="22"/>
        </w:rPr>
      </w:pPr>
      <w:r>
        <w:rPr>
          <w:rFonts w:hAnsi="宋体"/>
          <w:b/>
          <w:sz w:val="22"/>
          <w:szCs w:val="22"/>
        </w:rPr>
        <w:t>五、评标</w:t>
      </w:r>
    </w:p>
    <w:p>
      <w:pPr>
        <w:snapToGrid w:val="0"/>
        <w:spacing w:line="360" w:lineRule="auto"/>
        <w:ind w:firstLine="442" w:firstLineChars="200"/>
        <w:rPr>
          <w:rFonts w:ascii="宋体" w:hAnsi="宋体"/>
          <w:b/>
          <w:sz w:val="22"/>
          <w:szCs w:val="22"/>
        </w:rPr>
      </w:pPr>
      <w:r>
        <w:rPr>
          <w:rFonts w:ascii="宋体" w:hAnsi="宋体"/>
          <w:b/>
          <w:sz w:val="22"/>
          <w:szCs w:val="22"/>
        </w:rPr>
        <w:t>（一）组建评标委员会</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本项目评标委员会由采购评审专家</w:t>
      </w:r>
      <w:r>
        <w:rPr>
          <w:rFonts w:hint="eastAsia" w:hAnsi="宋体"/>
          <w:sz w:val="22"/>
          <w:szCs w:val="22"/>
          <w:u w:val="single"/>
        </w:rPr>
        <w:t xml:space="preserve"> </w:t>
      </w:r>
      <w:r>
        <w:rPr>
          <w:rFonts w:hint="eastAsia" w:hAnsi="宋体"/>
          <w:sz w:val="22"/>
          <w:szCs w:val="22"/>
          <w:u w:val="single"/>
          <w:lang w:val="en-US" w:eastAsia="zh-CN"/>
        </w:rPr>
        <w:t>3</w:t>
      </w:r>
      <w:r>
        <w:rPr>
          <w:rFonts w:hAnsi="宋体"/>
          <w:sz w:val="22"/>
          <w:szCs w:val="22"/>
          <w:u w:val="single"/>
        </w:rPr>
        <w:t xml:space="preserve"> </w:t>
      </w:r>
      <w:r>
        <w:rPr>
          <w:rFonts w:hAnsi="宋体"/>
          <w:sz w:val="22"/>
          <w:szCs w:val="22"/>
        </w:rPr>
        <w:t>人和采购人代表</w:t>
      </w:r>
      <w:r>
        <w:rPr>
          <w:rFonts w:hAnsi="宋体"/>
          <w:sz w:val="22"/>
          <w:szCs w:val="22"/>
          <w:u w:val="single"/>
        </w:rPr>
        <w:t xml:space="preserve"> </w:t>
      </w:r>
      <w:r>
        <w:rPr>
          <w:rFonts w:hint="eastAsia" w:hAnsi="宋体"/>
          <w:sz w:val="22"/>
          <w:szCs w:val="22"/>
          <w:u w:val="single"/>
          <w:lang w:val="en-US" w:eastAsia="zh-CN"/>
        </w:rPr>
        <w:t>0</w:t>
      </w:r>
      <w:r>
        <w:rPr>
          <w:rFonts w:hAnsi="宋体"/>
          <w:sz w:val="22"/>
          <w:szCs w:val="22"/>
          <w:u w:val="single"/>
        </w:rPr>
        <w:t xml:space="preserve"> </w:t>
      </w:r>
      <w:r>
        <w:rPr>
          <w:rFonts w:hAnsi="宋体"/>
          <w:sz w:val="22"/>
          <w:szCs w:val="22"/>
        </w:rPr>
        <w:t>人,共</w:t>
      </w:r>
      <w:r>
        <w:rPr>
          <w:rFonts w:hint="eastAsia" w:hAnsi="宋体"/>
          <w:sz w:val="22"/>
          <w:szCs w:val="22"/>
          <w:u w:val="single"/>
        </w:rPr>
        <w:t xml:space="preserve"> </w:t>
      </w:r>
      <w:r>
        <w:rPr>
          <w:rFonts w:hint="eastAsia" w:hAnsi="宋体"/>
          <w:sz w:val="22"/>
          <w:szCs w:val="22"/>
          <w:u w:val="single"/>
          <w:lang w:val="en-US" w:eastAsia="zh-CN"/>
        </w:rPr>
        <w:t>3</w:t>
      </w:r>
      <w:r>
        <w:rPr>
          <w:rFonts w:hint="eastAsia" w:hAnsi="宋体"/>
          <w:sz w:val="22"/>
          <w:szCs w:val="22"/>
          <w:u w:val="single"/>
        </w:rPr>
        <w:t xml:space="preserve"> </w:t>
      </w:r>
      <w:r>
        <w:rPr>
          <w:rFonts w:hAnsi="宋体"/>
          <w:sz w:val="22"/>
          <w:szCs w:val="22"/>
        </w:rPr>
        <w:t>人组成。</w:t>
      </w:r>
    </w:p>
    <w:p>
      <w:pPr>
        <w:snapToGrid w:val="0"/>
        <w:spacing w:line="360" w:lineRule="auto"/>
        <w:ind w:firstLine="442" w:firstLineChars="200"/>
        <w:rPr>
          <w:rFonts w:ascii="宋体" w:hAnsi="宋体"/>
          <w:b/>
          <w:sz w:val="22"/>
          <w:szCs w:val="22"/>
        </w:rPr>
      </w:pPr>
      <w:r>
        <w:rPr>
          <w:rFonts w:ascii="宋体" w:hAnsi="宋体"/>
          <w:b/>
          <w:sz w:val="22"/>
          <w:szCs w:val="22"/>
        </w:rPr>
        <w:t>（二）评标的方式</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本项目采用不公开方式评标，评标的依据为招标文件和投标文件。</w:t>
      </w:r>
    </w:p>
    <w:p>
      <w:pPr>
        <w:snapToGrid w:val="0"/>
        <w:spacing w:line="360" w:lineRule="auto"/>
        <w:ind w:firstLine="442" w:firstLineChars="200"/>
        <w:rPr>
          <w:rFonts w:ascii="宋体" w:hAnsi="宋体"/>
          <w:b/>
          <w:sz w:val="22"/>
          <w:szCs w:val="22"/>
        </w:rPr>
      </w:pPr>
      <w:r>
        <w:rPr>
          <w:rFonts w:ascii="宋体" w:hAnsi="宋体"/>
          <w:b/>
          <w:sz w:val="22"/>
          <w:szCs w:val="22"/>
        </w:rPr>
        <w:t>（三）评标程序</w:t>
      </w:r>
    </w:p>
    <w:p>
      <w:pPr>
        <w:snapToGrid w:val="0"/>
        <w:spacing w:line="360" w:lineRule="auto"/>
        <w:ind w:firstLine="442" w:firstLineChars="200"/>
        <w:rPr>
          <w:rFonts w:ascii="宋体" w:hAnsi="宋体"/>
          <w:b/>
          <w:bCs/>
          <w:sz w:val="22"/>
          <w:szCs w:val="22"/>
        </w:rPr>
      </w:pPr>
      <w:r>
        <w:rPr>
          <w:rFonts w:ascii="宋体" w:hAnsi="宋体"/>
          <w:b/>
          <w:bCs/>
          <w:sz w:val="22"/>
          <w:szCs w:val="22"/>
        </w:rPr>
        <w:t>1.</w:t>
      </w:r>
      <w:r>
        <w:rPr>
          <w:rFonts w:hint="eastAsia" w:ascii="宋体" w:hAnsi="宋体"/>
          <w:b/>
          <w:bCs/>
          <w:sz w:val="22"/>
          <w:szCs w:val="22"/>
        </w:rPr>
        <w:t xml:space="preserve"> </w:t>
      </w:r>
      <w:r>
        <w:rPr>
          <w:rFonts w:ascii="宋体" w:hAnsi="宋体"/>
          <w:b/>
          <w:bCs/>
          <w:sz w:val="22"/>
          <w:szCs w:val="22"/>
        </w:rPr>
        <w:t>形式审查</w:t>
      </w:r>
    </w:p>
    <w:p>
      <w:pPr>
        <w:snapToGrid w:val="0"/>
        <w:spacing w:line="360" w:lineRule="auto"/>
        <w:ind w:firstLine="440" w:firstLineChars="200"/>
        <w:rPr>
          <w:rFonts w:ascii="宋体" w:hAnsi="宋体"/>
          <w:b/>
          <w:sz w:val="22"/>
          <w:szCs w:val="22"/>
        </w:rPr>
      </w:pPr>
      <w:r>
        <w:rPr>
          <w:rFonts w:ascii="宋体" w:hAnsi="宋体"/>
          <w:sz w:val="22"/>
          <w:szCs w:val="22"/>
        </w:rPr>
        <w:t>采购人代表和代理机构工作人员协助评标委员会对投标人的资格和投标文件的完整性、合法性等进行审查。</w:t>
      </w:r>
    </w:p>
    <w:p>
      <w:pPr>
        <w:snapToGrid w:val="0"/>
        <w:spacing w:line="360" w:lineRule="auto"/>
        <w:ind w:firstLine="442" w:firstLineChars="200"/>
        <w:rPr>
          <w:rFonts w:ascii="宋体" w:hAnsi="宋体"/>
          <w:b/>
          <w:bCs/>
          <w:sz w:val="22"/>
          <w:szCs w:val="22"/>
        </w:rPr>
      </w:pPr>
      <w:r>
        <w:rPr>
          <w:rFonts w:ascii="宋体" w:hAnsi="宋体"/>
          <w:b/>
          <w:bCs/>
          <w:sz w:val="22"/>
          <w:szCs w:val="22"/>
        </w:rPr>
        <w:t>2.</w:t>
      </w:r>
      <w:r>
        <w:rPr>
          <w:rFonts w:hint="eastAsia" w:ascii="宋体" w:hAnsi="宋体"/>
          <w:b/>
          <w:bCs/>
          <w:sz w:val="22"/>
          <w:szCs w:val="22"/>
        </w:rPr>
        <w:t xml:space="preserve"> </w:t>
      </w:r>
      <w:r>
        <w:rPr>
          <w:rFonts w:ascii="宋体" w:hAnsi="宋体"/>
          <w:b/>
          <w:bCs/>
          <w:sz w:val="22"/>
          <w:szCs w:val="22"/>
        </w:rPr>
        <w:t>实质审查与比较</w:t>
      </w:r>
    </w:p>
    <w:p>
      <w:pPr>
        <w:snapToGrid w:val="0"/>
        <w:spacing w:line="360" w:lineRule="auto"/>
        <w:ind w:firstLine="440" w:firstLineChars="200"/>
        <w:rPr>
          <w:rFonts w:ascii="宋体" w:hAnsi="宋体"/>
          <w:sz w:val="22"/>
          <w:szCs w:val="22"/>
        </w:rPr>
      </w:pPr>
      <w:r>
        <w:rPr>
          <w:rFonts w:ascii="宋体" w:hAnsi="宋体"/>
          <w:sz w:val="22"/>
          <w:szCs w:val="22"/>
        </w:rPr>
        <w:t>（1）评标委员会审查投标文件的实质性内容是否符合招标文件的实质性要求。</w:t>
      </w:r>
    </w:p>
    <w:p>
      <w:pPr>
        <w:snapToGrid w:val="0"/>
        <w:spacing w:line="360" w:lineRule="auto"/>
        <w:ind w:firstLine="440" w:firstLineChars="200"/>
        <w:rPr>
          <w:rFonts w:ascii="宋体" w:hAnsi="宋体"/>
          <w:sz w:val="22"/>
          <w:szCs w:val="22"/>
        </w:rPr>
      </w:pPr>
      <w:r>
        <w:rPr>
          <w:rFonts w:ascii="宋体" w:hAnsi="宋体"/>
          <w:sz w:val="22"/>
          <w:szCs w:val="22"/>
        </w:rPr>
        <w:t>（2）评标委员会将根据投标人的投标文件进行审查、核对</w:t>
      </w:r>
      <w:r>
        <w:rPr>
          <w:rFonts w:hint="eastAsia" w:ascii="宋体" w:hAnsi="宋体"/>
          <w:sz w:val="22"/>
          <w:szCs w:val="22"/>
        </w:rPr>
        <w:t>，</w:t>
      </w:r>
      <w:r>
        <w:rPr>
          <w:rFonts w:ascii="宋体" w:hAnsi="宋体"/>
          <w:sz w:val="22"/>
          <w:szCs w:val="22"/>
        </w:rPr>
        <w:t>如有疑问</w:t>
      </w:r>
      <w:r>
        <w:rPr>
          <w:rFonts w:hint="eastAsia" w:ascii="宋体" w:hAnsi="宋体"/>
          <w:sz w:val="22"/>
          <w:szCs w:val="22"/>
        </w:rPr>
        <w:t>，</w:t>
      </w:r>
      <w:r>
        <w:rPr>
          <w:rFonts w:ascii="宋体" w:hAnsi="宋体"/>
          <w:sz w:val="22"/>
          <w:szCs w:val="22"/>
        </w:rPr>
        <w:t>将对投标人进行询标</w:t>
      </w:r>
      <w:r>
        <w:rPr>
          <w:rFonts w:hint="eastAsia" w:ascii="宋体" w:hAnsi="宋体"/>
          <w:sz w:val="22"/>
          <w:szCs w:val="22"/>
        </w:rPr>
        <w:t>，</w:t>
      </w:r>
      <w:r>
        <w:rPr>
          <w:rFonts w:ascii="宋体" w:hAnsi="宋体"/>
          <w:sz w:val="22"/>
          <w:szCs w:val="22"/>
        </w:rPr>
        <w:t>投标人要向评标委员会澄清有关问题</w:t>
      </w:r>
      <w:r>
        <w:rPr>
          <w:rFonts w:hint="eastAsia" w:ascii="宋体" w:hAnsi="宋体"/>
          <w:sz w:val="22"/>
          <w:szCs w:val="22"/>
        </w:rPr>
        <w:t>，</w:t>
      </w:r>
      <w:r>
        <w:rPr>
          <w:rFonts w:ascii="宋体" w:hAnsi="宋体"/>
          <w:sz w:val="22"/>
          <w:szCs w:val="22"/>
        </w:rPr>
        <w:t>并最终以书面形式进行答复。投标人代表未到场或者拒绝澄清或者澄清的内容改变了投标文件的实质性内容的，评标委员会有权对该投标文件</w:t>
      </w:r>
      <w:r>
        <w:rPr>
          <w:rFonts w:hint="eastAsia" w:ascii="宋体" w:hAnsi="宋体"/>
          <w:sz w:val="22"/>
          <w:szCs w:val="22"/>
        </w:rPr>
        <w:t>做出</w:t>
      </w:r>
      <w:r>
        <w:rPr>
          <w:rFonts w:ascii="宋体" w:hAnsi="宋体"/>
          <w:sz w:val="22"/>
          <w:szCs w:val="22"/>
        </w:rPr>
        <w:t>不利于投标人的评判。</w:t>
      </w:r>
    </w:p>
    <w:p>
      <w:pPr>
        <w:snapToGrid w:val="0"/>
        <w:spacing w:line="360" w:lineRule="auto"/>
        <w:ind w:firstLine="440" w:firstLineChars="200"/>
        <w:rPr>
          <w:rFonts w:ascii="宋体" w:hAnsi="宋体"/>
          <w:sz w:val="22"/>
          <w:szCs w:val="22"/>
        </w:rPr>
      </w:pPr>
      <w:r>
        <w:rPr>
          <w:rFonts w:ascii="宋体" w:hAnsi="宋体"/>
          <w:sz w:val="22"/>
          <w:szCs w:val="22"/>
        </w:rPr>
        <w:t>（3）各投标人的技术得分为所有评委的有效评分的算术平均数，由指定专人进行计算复核。</w:t>
      </w:r>
    </w:p>
    <w:p>
      <w:pPr>
        <w:snapToGrid w:val="0"/>
        <w:spacing w:line="360" w:lineRule="auto"/>
        <w:ind w:firstLine="440" w:firstLineChars="200"/>
        <w:rPr>
          <w:rFonts w:ascii="宋体" w:hAnsi="宋体"/>
          <w:sz w:val="22"/>
          <w:szCs w:val="22"/>
        </w:rPr>
      </w:pPr>
      <w:r>
        <w:rPr>
          <w:rFonts w:ascii="宋体" w:hAnsi="宋体"/>
          <w:sz w:val="22"/>
          <w:szCs w:val="22"/>
        </w:rPr>
        <w:t>（4）代理机构工作人员协助评标委员会根据本项目的评分标准计算各投标人的商务报价得分。</w:t>
      </w:r>
    </w:p>
    <w:p>
      <w:pPr>
        <w:snapToGrid w:val="0"/>
        <w:spacing w:line="360" w:lineRule="auto"/>
        <w:ind w:firstLine="440" w:firstLineChars="200"/>
        <w:rPr>
          <w:rFonts w:ascii="宋体" w:hAnsi="宋体"/>
          <w:sz w:val="22"/>
          <w:szCs w:val="22"/>
        </w:rPr>
      </w:pPr>
      <w:r>
        <w:rPr>
          <w:rFonts w:ascii="宋体" w:hAnsi="宋体"/>
          <w:sz w:val="22"/>
          <w:szCs w:val="22"/>
        </w:rPr>
        <w:t>（5）评标委员会完成评标后，评委对各部分得分汇总，计算出本项目最终得分等。评标委员会按评标原则推荐中标候选人。</w:t>
      </w:r>
    </w:p>
    <w:p>
      <w:pPr>
        <w:snapToGrid w:val="0"/>
        <w:spacing w:line="360" w:lineRule="auto"/>
        <w:ind w:firstLine="442" w:firstLineChars="200"/>
        <w:rPr>
          <w:rFonts w:ascii="宋体" w:hAnsi="宋体"/>
          <w:b/>
          <w:sz w:val="22"/>
          <w:szCs w:val="22"/>
        </w:rPr>
      </w:pPr>
      <w:r>
        <w:rPr>
          <w:rFonts w:ascii="宋体" w:hAnsi="宋体"/>
          <w:b/>
          <w:sz w:val="22"/>
          <w:szCs w:val="22"/>
        </w:rPr>
        <w:t>（四）澄清问题的形式</w:t>
      </w:r>
    </w:p>
    <w:p>
      <w:pPr>
        <w:snapToGrid w:val="0"/>
        <w:spacing w:line="360" w:lineRule="auto"/>
        <w:ind w:firstLine="440" w:firstLineChars="200"/>
        <w:rPr>
          <w:rFonts w:hint="eastAsia" w:ascii="宋体" w:hAnsi="宋体"/>
          <w:sz w:val="22"/>
          <w:szCs w:val="22"/>
        </w:rPr>
      </w:pPr>
      <w:r>
        <w:rPr>
          <w:rFonts w:ascii="宋体" w:hAnsi="宋体"/>
          <w:sz w:val="22"/>
          <w:szCs w:val="22"/>
        </w:rPr>
        <w:t>对投标文件中含义不明确、同类问题表述不一致或者有明显文字和计算错误</w:t>
      </w:r>
      <w:r>
        <w:rPr>
          <w:rFonts w:hint="eastAsia" w:ascii="宋体" w:hAnsi="宋体"/>
          <w:sz w:val="22"/>
          <w:szCs w:val="22"/>
        </w:rPr>
        <w:t>等</w:t>
      </w:r>
      <w:r>
        <w:rPr>
          <w:rFonts w:ascii="宋体" w:hAnsi="宋体"/>
          <w:sz w:val="22"/>
          <w:szCs w:val="22"/>
        </w:rPr>
        <w:t>内容，评标委员会可要求投标人</w:t>
      </w:r>
      <w:r>
        <w:rPr>
          <w:rFonts w:hint="eastAsia" w:ascii="宋体" w:hAnsi="宋体"/>
          <w:sz w:val="22"/>
          <w:szCs w:val="22"/>
        </w:rPr>
        <w:t>做出</w:t>
      </w:r>
      <w:r>
        <w:rPr>
          <w:rFonts w:ascii="宋体" w:hAnsi="宋体"/>
          <w:sz w:val="22"/>
          <w:szCs w:val="22"/>
        </w:rPr>
        <w:t>必要的澄清、说明或者纠正。投标人的澄清、说明或者补正应当采用书面形式，由其授权代表签字或盖章确认，并不得超出投标文件的范围或者改变投标文件的实质性内容。</w:t>
      </w:r>
    </w:p>
    <w:p>
      <w:pPr>
        <w:snapToGrid w:val="0"/>
        <w:spacing w:line="360" w:lineRule="auto"/>
        <w:ind w:firstLine="442" w:firstLineChars="200"/>
        <w:rPr>
          <w:rFonts w:ascii="宋体" w:hAnsi="宋体"/>
          <w:b/>
          <w:sz w:val="22"/>
          <w:szCs w:val="22"/>
        </w:rPr>
      </w:pPr>
      <w:r>
        <w:rPr>
          <w:rFonts w:ascii="宋体" w:hAnsi="宋体"/>
          <w:b/>
          <w:sz w:val="22"/>
          <w:szCs w:val="22"/>
        </w:rPr>
        <w:t>（五）错误修正</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投标文件如果出现计算或表达上的错误，修正错误的原则如下：</w:t>
      </w:r>
    </w:p>
    <w:p>
      <w:pPr>
        <w:snapToGrid w:val="0"/>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 xml:space="preserve"> </w:t>
      </w:r>
      <w:r>
        <w:rPr>
          <w:rFonts w:ascii="宋体" w:hAnsi="宋体"/>
          <w:sz w:val="22"/>
          <w:szCs w:val="22"/>
        </w:rPr>
        <w:t>开标一览表总价与投标报价明细表汇总数不一致的，</w:t>
      </w:r>
      <w:r>
        <w:rPr>
          <w:rFonts w:ascii="宋体" w:hAnsi="宋体"/>
          <w:kern w:val="0"/>
          <w:sz w:val="22"/>
          <w:szCs w:val="22"/>
        </w:rPr>
        <w:t>以开标一览表为准；</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2.</w:t>
      </w:r>
      <w:r>
        <w:rPr>
          <w:rFonts w:hint="eastAsia" w:hAnsi="宋体"/>
          <w:sz w:val="22"/>
          <w:szCs w:val="22"/>
        </w:rPr>
        <w:t xml:space="preserve"> </w:t>
      </w:r>
      <w:r>
        <w:rPr>
          <w:rFonts w:hAnsi="宋体"/>
          <w:sz w:val="22"/>
          <w:szCs w:val="22"/>
        </w:rPr>
        <w:t>投标文件的大写金额和小写金额不一致的，以大写金额为准；</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3.</w:t>
      </w:r>
      <w:r>
        <w:rPr>
          <w:rFonts w:hint="eastAsia" w:hAnsi="宋体"/>
          <w:sz w:val="22"/>
          <w:szCs w:val="22"/>
        </w:rPr>
        <w:t xml:space="preserve"> </w:t>
      </w:r>
      <w:r>
        <w:rPr>
          <w:rFonts w:hAnsi="宋体"/>
          <w:sz w:val="22"/>
          <w:szCs w:val="22"/>
        </w:rPr>
        <w:t>总价金额与按单价汇总金额不一致的，以单价金额计算结果为准；</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4.</w:t>
      </w:r>
      <w:r>
        <w:rPr>
          <w:rFonts w:hint="eastAsia" w:hAnsi="宋体"/>
          <w:sz w:val="22"/>
          <w:szCs w:val="22"/>
        </w:rPr>
        <w:t xml:space="preserve"> </w:t>
      </w:r>
      <w:r>
        <w:rPr>
          <w:rFonts w:hAnsi="宋体"/>
          <w:sz w:val="22"/>
          <w:szCs w:val="22"/>
        </w:rPr>
        <w:t>对不同文字文本投标文件的解释发生异议的，以中文文本为准。</w:t>
      </w:r>
    </w:p>
    <w:p>
      <w:pPr>
        <w:pStyle w:val="24"/>
        <w:snapToGrid w:val="0"/>
        <w:spacing w:before="0" w:beforeLines="0" w:after="0" w:afterLines="0" w:line="360" w:lineRule="auto"/>
        <w:ind w:firstLine="440" w:firstLineChars="200"/>
        <w:rPr>
          <w:rFonts w:hAnsi="宋体"/>
          <w:bCs/>
          <w:sz w:val="22"/>
          <w:szCs w:val="22"/>
        </w:rPr>
      </w:pPr>
      <w:r>
        <w:rPr>
          <w:rFonts w:hAnsi="宋体"/>
          <w:bCs/>
          <w:sz w:val="22"/>
          <w:szCs w:val="22"/>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360" w:lineRule="auto"/>
        <w:ind w:firstLine="442" w:firstLineChars="200"/>
        <w:rPr>
          <w:rFonts w:ascii="宋体" w:hAnsi="宋体"/>
          <w:b/>
          <w:sz w:val="22"/>
          <w:szCs w:val="22"/>
        </w:rPr>
      </w:pPr>
      <w:r>
        <w:rPr>
          <w:rFonts w:ascii="宋体" w:hAnsi="宋体"/>
          <w:b/>
          <w:sz w:val="22"/>
          <w:szCs w:val="22"/>
        </w:rPr>
        <w:t>（六）评标原则和评标办法</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1.</w:t>
      </w:r>
      <w:r>
        <w:rPr>
          <w:rFonts w:hint="eastAsia" w:hAnsi="宋体"/>
          <w:sz w:val="22"/>
          <w:szCs w:val="22"/>
        </w:rPr>
        <w:t xml:space="preserve"> </w:t>
      </w:r>
      <w:r>
        <w:rPr>
          <w:rFonts w:hAnsi="宋体"/>
          <w:sz w:val="22"/>
          <w:szCs w:val="22"/>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2.</w:t>
      </w:r>
      <w:r>
        <w:rPr>
          <w:rFonts w:hint="eastAsia" w:hAnsi="宋体"/>
          <w:sz w:val="22"/>
          <w:szCs w:val="22"/>
        </w:rPr>
        <w:t xml:space="preserve"> </w:t>
      </w:r>
      <w:r>
        <w:rPr>
          <w:rFonts w:hAnsi="宋体"/>
          <w:sz w:val="22"/>
          <w:szCs w:val="22"/>
        </w:rPr>
        <w:t>评标办法。本项目评标办法</w:t>
      </w:r>
      <w:r>
        <w:rPr>
          <w:rFonts w:hint="eastAsia" w:hAnsi="宋体"/>
          <w:sz w:val="22"/>
          <w:szCs w:val="22"/>
        </w:rPr>
        <w:t>采用</w:t>
      </w:r>
      <w:r>
        <w:rPr>
          <w:rFonts w:hAnsi="宋体"/>
          <w:sz w:val="22"/>
          <w:szCs w:val="22"/>
          <w:u w:val="single"/>
        </w:rPr>
        <w:t xml:space="preserve"> </w:t>
      </w:r>
      <w:r>
        <w:rPr>
          <w:rFonts w:hint="eastAsia" w:hAnsi="宋体"/>
          <w:sz w:val="22"/>
          <w:szCs w:val="22"/>
          <w:u w:val="single"/>
        </w:rPr>
        <w:t>综合评分法</w:t>
      </w:r>
      <w:r>
        <w:rPr>
          <w:rFonts w:hAnsi="宋体"/>
          <w:sz w:val="22"/>
          <w:szCs w:val="22"/>
          <w:u w:val="single"/>
        </w:rPr>
        <w:t xml:space="preserve"> </w:t>
      </w:r>
      <w:r>
        <w:rPr>
          <w:rFonts w:hAnsi="宋体"/>
          <w:sz w:val="22"/>
          <w:szCs w:val="22"/>
        </w:rPr>
        <w:t>，具体评标内容及评分标准等详见《第四章：评标办法及评分标准》。</w:t>
      </w:r>
    </w:p>
    <w:p>
      <w:pPr>
        <w:pStyle w:val="24"/>
        <w:snapToGrid w:val="0"/>
        <w:spacing w:before="0" w:beforeLines="0" w:after="0" w:afterLines="0" w:line="360" w:lineRule="auto"/>
        <w:ind w:firstLine="442" w:firstLineChars="200"/>
        <w:rPr>
          <w:rFonts w:hAnsi="宋体"/>
          <w:b/>
          <w:sz w:val="22"/>
          <w:szCs w:val="22"/>
        </w:rPr>
      </w:pPr>
      <w:r>
        <w:rPr>
          <w:rFonts w:hAnsi="宋体"/>
          <w:b/>
          <w:sz w:val="22"/>
          <w:szCs w:val="22"/>
        </w:rPr>
        <w:t>六、定标</w:t>
      </w:r>
    </w:p>
    <w:p>
      <w:pPr>
        <w:spacing w:line="360" w:lineRule="auto"/>
        <w:ind w:firstLine="440" w:firstLineChars="200"/>
        <w:rPr>
          <w:rFonts w:hint="eastAsia" w:ascii="宋体" w:hAnsi="宋体"/>
          <w:sz w:val="22"/>
          <w:szCs w:val="22"/>
        </w:rPr>
      </w:pPr>
      <w:r>
        <w:rPr>
          <w:rFonts w:ascii="宋体" w:hAnsi="宋体"/>
          <w:sz w:val="22"/>
          <w:szCs w:val="22"/>
        </w:rPr>
        <w:t>1.</w:t>
      </w:r>
      <w:r>
        <w:rPr>
          <w:rFonts w:hint="eastAsia" w:ascii="宋体" w:hAnsi="宋体"/>
          <w:sz w:val="22"/>
          <w:szCs w:val="22"/>
        </w:rPr>
        <w:t xml:space="preserve"> 评标委员会根据招标文件和有关规定，履行评标工作职责，以评标原则和评标办法为标准，全面衡量各投标人对招标文件的响应情况。评标委员会按照各投标单位的综合得分由高到低排序的前三名为中标候选人，中标公示无异议的原则上确定排序第一名为中标人。评标委员会根据评标结果向采购人提交评标报告。</w:t>
      </w:r>
    </w:p>
    <w:p>
      <w:pPr>
        <w:spacing w:line="360" w:lineRule="auto"/>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 xml:space="preserve"> 在采购人对结果确认后，采购代理机构将在</w:t>
      </w:r>
      <w:r>
        <w:rPr>
          <w:rFonts w:ascii="宋体" w:hAnsi="宋体"/>
          <w:sz w:val="22"/>
          <w:szCs w:val="22"/>
        </w:rPr>
        <w:t>发布招标公告的网站上</w:t>
      </w:r>
      <w:r>
        <w:rPr>
          <w:rFonts w:hint="eastAsia" w:ascii="宋体" w:hAnsi="宋体"/>
          <w:sz w:val="22"/>
          <w:szCs w:val="22"/>
        </w:rPr>
        <w:t>公布中</w:t>
      </w:r>
      <w:r>
        <w:rPr>
          <w:rFonts w:ascii="宋体" w:hAnsi="宋体"/>
          <w:sz w:val="22"/>
          <w:szCs w:val="22"/>
        </w:rPr>
        <w:t>标结果</w:t>
      </w:r>
      <w:r>
        <w:rPr>
          <w:rFonts w:hint="eastAsia" w:ascii="宋体" w:hAnsi="宋体"/>
          <w:sz w:val="22"/>
          <w:szCs w:val="22"/>
        </w:rPr>
        <w:t>公告</w:t>
      </w:r>
      <w:r>
        <w:rPr>
          <w:rFonts w:ascii="宋体" w:hAnsi="宋体"/>
          <w:sz w:val="22"/>
          <w:szCs w:val="22"/>
        </w:rPr>
        <w:t>。</w:t>
      </w:r>
    </w:p>
    <w:p>
      <w:pPr>
        <w:snapToGrid w:val="0"/>
        <w:spacing w:line="360" w:lineRule="auto"/>
        <w:ind w:firstLine="440" w:firstLineChars="200"/>
        <w:rPr>
          <w:rFonts w:hint="eastAsia" w:ascii="宋体" w:hAnsi="宋体"/>
          <w:sz w:val="22"/>
          <w:szCs w:val="22"/>
        </w:rPr>
      </w:pPr>
      <w:r>
        <w:rPr>
          <w:rFonts w:hint="eastAsia" w:ascii="宋体" w:hAnsi="宋体"/>
          <w:sz w:val="22"/>
          <w:szCs w:val="22"/>
          <w:lang w:val="en-US" w:eastAsia="zh-CN"/>
        </w:rPr>
        <w:t>3</w:t>
      </w:r>
      <w:r>
        <w:rPr>
          <w:rFonts w:hint="eastAsia" w:ascii="宋体" w:hAnsi="宋体"/>
          <w:sz w:val="22"/>
          <w:szCs w:val="22"/>
        </w:rPr>
        <w:t>. 中标公告无异议的，</w:t>
      </w:r>
      <w:r>
        <w:rPr>
          <w:rFonts w:ascii="宋体" w:hAnsi="宋体"/>
          <w:sz w:val="22"/>
          <w:szCs w:val="22"/>
        </w:rPr>
        <w:t>采购代理机构以书面形式发出《中标通知书》</w:t>
      </w:r>
      <w:r>
        <w:rPr>
          <w:rFonts w:hint="eastAsia" w:ascii="宋体" w:hAnsi="宋体"/>
          <w:sz w:val="22"/>
          <w:szCs w:val="22"/>
        </w:rPr>
        <w:t>。</w:t>
      </w:r>
    </w:p>
    <w:p>
      <w:pPr>
        <w:pStyle w:val="24"/>
        <w:snapToGrid w:val="0"/>
        <w:spacing w:before="0" w:beforeLines="0" w:after="0" w:afterLines="0" w:line="360" w:lineRule="auto"/>
        <w:ind w:firstLine="442" w:firstLineChars="200"/>
        <w:rPr>
          <w:rFonts w:hAnsi="宋体"/>
          <w:b/>
          <w:sz w:val="22"/>
          <w:szCs w:val="22"/>
        </w:rPr>
      </w:pPr>
      <w:r>
        <w:rPr>
          <w:rFonts w:hAnsi="宋体"/>
          <w:b/>
          <w:sz w:val="22"/>
          <w:szCs w:val="22"/>
        </w:rPr>
        <w:t>七、合同授予</w:t>
      </w:r>
    </w:p>
    <w:p>
      <w:pPr>
        <w:snapToGrid w:val="0"/>
        <w:spacing w:line="360" w:lineRule="auto"/>
        <w:ind w:firstLine="442" w:firstLineChars="200"/>
        <w:rPr>
          <w:rFonts w:ascii="宋体" w:hAnsi="宋体"/>
          <w:b/>
          <w:sz w:val="22"/>
          <w:szCs w:val="22"/>
        </w:rPr>
      </w:pPr>
      <w:r>
        <w:rPr>
          <w:rFonts w:ascii="宋体" w:hAnsi="宋体"/>
          <w:b/>
          <w:sz w:val="22"/>
          <w:szCs w:val="22"/>
        </w:rPr>
        <w:t>（一）签订合同</w:t>
      </w:r>
    </w:p>
    <w:p>
      <w:pPr>
        <w:snapToGrid w:val="0"/>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 xml:space="preserve"> </w:t>
      </w:r>
      <w:r>
        <w:rPr>
          <w:rFonts w:ascii="宋体" w:hAnsi="宋体"/>
          <w:sz w:val="22"/>
          <w:szCs w:val="22"/>
        </w:rPr>
        <w:t>采购人与中标人应当在《中标通知书》发出之日起</w:t>
      </w:r>
      <w:r>
        <w:rPr>
          <w:rFonts w:hint="eastAsia" w:ascii="宋体" w:hAnsi="宋体"/>
          <w:sz w:val="22"/>
          <w:szCs w:val="22"/>
        </w:rPr>
        <w:t>1</w:t>
      </w:r>
      <w:r>
        <w:rPr>
          <w:rFonts w:ascii="宋体" w:hAnsi="宋体"/>
          <w:sz w:val="22"/>
          <w:szCs w:val="22"/>
        </w:rPr>
        <w:t>0日内签订政府采购合同。同时，采购代理机构对合同内容进行审查，如发现与采购结果和投标承诺内容不一致的，应予以纠正。</w:t>
      </w:r>
    </w:p>
    <w:p>
      <w:pPr>
        <w:snapToGrid w:val="0"/>
        <w:spacing w:line="360" w:lineRule="auto"/>
        <w:ind w:firstLine="440" w:firstLineChars="200"/>
        <w:rPr>
          <w:rFonts w:ascii="宋体" w:hAnsi="宋体"/>
          <w:sz w:val="22"/>
          <w:szCs w:val="22"/>
        </w:rPr>
      </w:pPr>
      <w:r>
        <w:rPr>
          <w:rFonts w:ascii="宋体" w:hAnsi="宋体"/>
          <w:sz w:val="22"/>
          <w:szCs w:val="22"/>
        </w:rPr>
        <w:t>2.</w:t>
      </w:r>
      <w:r>
        <w:rPr>
          <w:rFonts w:hint="eastAsia" w:ascii="宋体" w:hAnsi="宋体"/>
          <w:sz w:val="22"/>
          <w:szCs w:val="22"/>
        </w:rPr>
        <w:t xml:space="preserve"> </w:t>
      </w:r>
      <w:r>
        <w:rPr>
          <w:rFonts w:ascii="宋体" w:hAnsi="宋体"/>
          <w:sz w:val="22"/>
          <w:szCs w:val="22"/>
        </w:rPr>
        <w:t>中标人拖延、拒签合同的，将被取消中标资格。</w:t>
      </w:r>
      <w:r>
        <w:rPr>
          <w:rFonts w:hint="eastAsia" w:ascii="宋体" w:hAnsi="宋体"/>
          <w:sz w:val="22"/>
          <w:szCs w:val="22"/>
        </w:rPr>
        <w:t>中标供应商在接到《中标通知书》后，违反采购文件有关规定和要求，不履行投标承诺，在规定时间内拒交履约保证金、拒签合同或放弃中标的，则取消该投标人的中标资格并没收其投标保证金，中标供应商改为综合得分第二名的投标人，或重新组织采购。</w:t>
      </w:r>
    </w:p>
    <w:p>
      <w:pPr>
        <w:snapToGrid w:val="0"/>
        <w:spacing w:line="360" w:lineRule="auto"/>
        <w:ind w:firstLine="442" w:firstLineChars="200"/>
        <w:rPr>
          <w:rFonts w:ascii="宋体" w:hAnsi="宋体"/>
          <w:b/>
          <w:sz w:val="22"/>
          <w:szCs w:val="22"/>
        </w:rPr>
      </w:pPr>
      <w:r>
        <w:rPr>
          <w:rFonts w:ascii="宋体" w:hAnsi="宋体"/>
          <w:b/>
          <w:sz w:val="22"/>
          <w:szCs w:val="22"/>
        </w:rPr>
        <w:t>（二）履约保证金及质量保</w:t>
      </w:r>
      <w:r>
        <w:rPr>
          <w:rFonts w:hint="eastAsia" w:ascii="宋体" w:hAnsi="宋体"/>
          <w:b/>
          <w:sz w:val="22"/>
          <w:szCs w:val="22"/>
        </w:rPr>
        <w:t>证</w:t>
      </w:r>
      <w:r>
        <w:rPr>
          <w:rFonts w:ascii="宋体" w:hAnsi="宋体"/>
          <w:b/>
          <w:sz w:val="22"/>
          <w:szCs w:val="22"/>
        </w:rPr>
        <w:t>金</w:t>
      </w:r>
    </w:p>
    <w:p>
      <w:pPr>
        <w:pStyle w:val="24"/>
        <w:snapToGrid w:val="0"/>
        <w:spacing w:before="0" w:beforeLines="0" w:after="0" w:afterLines="0" w:line="360" w:lineRule="auto"/>
        <w:ind w:firstLine="440" w:firstLineChars="200"/>
        <w:rPr>
          <w:rFonts w:hint="eastAsia" w:hAnsi="宋体" w:eastAsia="宋体"/>
          <w:sz w:val="22"/>
          <w:szCs w:val="22"/>
          <w:lang w:eastAsia="zh-CN"/>
        </w:rPr>
      </w:pPr>
      <w:r>
        <w:rPr>
          <w:rFonts w:hAnsi="宋体"/>
          <w:sz w:val="22"/>
          <w:szCs w:val="22"/>
        </w:rPr>
        <w:t>1.</w:t>
      </w:r>
      <w:r>
        <w:rPr>
          <w:rFonts w:hint="eastAsia" w:hAnsi="宋体"/>
          <w:sz w:val="22"/>
          <w:szCs w:val="22"/>
        </w:rPr>
        <w:t xml:space="preserve"> </w:t>
      </w:r>
      <w:r>
        <w:rPr>
          <w:rFonts w:hAnsi="宋体"/>
          <w:sz w:val="22"/>
          <w:szCs w:val="22"/>
        </w:rPr>
        <w:t>签订合同前，中标人应按采购代理机构根据招标文件确定的履约保证金的金额，向采购</w:t>
      </w:r>
      <w:r>
        <w:rPr>
          <w:rFonts w:hint="eastAsia" w:hAnsi="宋体"/>
          <w:sz w:val="22"/>
          <w:szCs w:val="22"/>
        </w:rPr>
        <w:t>人</w:t>
      </w:r>
      <w:r>
        <w:rPr>
          <w:rFonts w:hAnsi="宋体"/>
          <w:sz w:val="22"/>
          <w:szCs w:val="22"/>
        </w:rPr>
        <w:t>交纳履约保证金</w:t>
      </w:r>
      <w:r>
        <w:rPr>
          <w:rFonts w:hint="eastAsia" w:hAnsi="宋体"/>
          <w:sz w:val="22"/>
          <w:szCs w:val="22"/>
          <w:lang w:eastAsia="zh-CN"/>
        </w:rPr>
        <w:t>。</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2.</w:t>
      </w:r>
      <w:r>
        <w:rPr>
          <w:rFonts w:hint="eastAsia" w:hAnsi="宋体"/>
          <w:sz w:val="22"/>
          <w:szCs w:val="22"/>
        </w:rPr>
        <w:t xml:space="preserve"> </w:t>
      </w:r>
      <w:r>
        <w:rPr>
          <w:rFonts w:hAnsi="宋体"/>
          <w:sz w:val="22"/>
          <w:szCs w:val="22"/>
        </w:rPr>
        <w:t>签订合同后，如中标人不按双方合同约定履约，则没收其全部履约保证金，履约保证金不足以赔偿损失的，按实际损失赔偿</w:t>
      </w:r>
      <w:r>
        <w:rPr>
          <w:rFonts w:hint="eastAsia" w:hAnsi="宋体"/>
          <w:sz w:val="22"/>
          <w:szCs w:val="22"/>
        </w:rPr>
        <w:t>，并按浙财采监字【2009】28号文件规定进行处罚</w:t>
      </w:r>
      <w:r>
        <w:rPr>
          <w:rFonts w:hAnsi="宋体"/>
          <w:sz w:val="22"/>
          <w:szCs w:val="22"/>
        </w:rPr>
        <w:t>。</w:t>
      </w:r>
    </w:p>
    <w:p>
      <w:pPr>
        <w:pStyle w:val="24"/>
        <w:snapToGrid w:val="0"/>
        <w:spacing w:before="0" w:beforeLines="0" w:after="0" w:afterLines="0" w:line="360" w:lineRule="auto"/>
        <w:ind w:firstLine="440" w:firstLineChars="200"/>
        <w:rPr>
          <w:rFonts w:hAnsi="宋体"/>
          <w:sz w:val="22"/>
          <w:szCs w:val="22"/>
        </w:rPr>
      </w:pPr>
      <w:r>
        <w:rPr>
          <w:rFonts w:hAnsi="宋体"/>
          <w:sz w:val="22"/>
          <w:szCs w:val="22"/>
        </w:rPr>
        <w:t>3.</w:t>
      </w:r>
      <w:r>
        <w:rPr>
          <w:rFonts w:hint="eastAsia" w:hAnsi="宋体"/>
          <w:sz w:val="22"/>
          <w:szCs w:val="22"/>
        </w:rPr>
        <w:t xml:space="preserve"> </w:t>
      </w:r>
      <w:r>
        <w:rPr>
          <w:rFonts w:hAnsi="宋体"/>
          <w:sz w:val="22"/>
          <w:szCs w:val="22"/>
        </w:rPr>
        <w:t>履约保证金在中标人按合同约定交货验收合格后</w:t>
      </w:r>
      <w:r>
        <w:rPr>
          <w:rFonts w:hint="eastAsia" w:hAnsi="宋体"/>
          <w:sz w:val="22"/>
          <w:szCs w:val="22"/>
        </w:rPr>
        <w:t>一个月内</w:t>
      </w:r>
      <w:r>
        <w:rPr>
          <w:rFonts w:hint="eastAsia" w:hAnsi="宋体"/>
          <w:sz w:val="22"/>
          <w:szCs w:val="22"/>
          <w:lang w:val="en-US" w:eastAsia="zh-CN"/>
        </w:rPr>
        <w:t>退还</w:t>
      </w:r>
      <w:r>
        <w:rPr>
          <w:rFonts w:hAnsi="宋体"/>
          <w:sz w:val="22"/>
          <w:szCs w:val="22"/>
        </w:rPr>
        <w:t>。</w:t>
      </w:r>
    </w:p>
    <w:p>
      <w:pPr>
        <w:pStyle w:val="24"/>
        <w:snapToGrid w:val="0"/>
        <w:spacing w:before="0" w:beforeLines="0" w:after="0" w:afterLines="0" w:line="360" w:lineRule="auto"/>
        <w:ind w:firstLine="440" w:firstLineChars="200"/>
        <w:rPr>
          <w:rFonts w:hint="eastAsia" w:hAnsi="宋体" w:eastAsia="宋体"/>
          <w:sz w:val="22"/>
          <w:szCs w:val="22"/>
          <w:lang w:val="en-US" w:eastAsia="zh-CN"/>
        </w:rPr>
      </w:pPr>
      <w:r>
        <w:rPr>
          <w:rFonts w:hint="eastAsia" w:hAnsi="宋体"/>
          <w:sz w:val="22"/>
          <w:szCs w:val="22"/>
          <w:lang w:val="en-US" w:eastAsia="zh-CN"/>
        </w:rPr>
        <w:t>4、</w:t>
      </w:r>
      <w:r>
        <w:rPr>
          <w:rFonts w:hAnsi="宋体"/>
          <w:sz w:val="22"/>
          <w:szCs w:val="22"/>
        </w:rPr>
        <w:t>质量保</w:t>
      </w:r>
      <w:r>
        <w:rPr>
          <w:rFonts w:hint="eastAsia" w:hAnsi="宋体"/>
          <w:sz w:val="22"/>
          <w:szCs w:val="22"/>
        </w:rPr>
        <w:t>证</w:t>
      </w:r>
      <w:r>
        <w:rPr>
          <w:rFonts w:hAnsi="宋体"/>
          <w:sz w:val="22"/>
          <w:szCs w:val="22"/>
        </w:rPr>
        <w:t>金</w:t>
      </w:r>
      <w:r>
        <w:rPr>
          <w:rFonts w:hint="eastAsia" w:hAnsi="宋体"/>
          <w:sz w:val="22"/>
          <w:szCs w:val="22"/>
          <w:lang w:val="en-US" w:eastAsia="zh-CN"/>
        </w:rPr>
        <w:t>为中标价的5%，</w:t>
      </w:r>
      <w:r>
        <w:rPr>
          <w:rFonts w:hAnsi="宋体"/>
          <w:sz w:val="22"/>
          <w:szCs w:val="22"/>
        </w:rPr>
        <w:t>质保期</w:t>
      </w:r>
      <w:r>
        <w:rPr>
          <w:rFonts w:hint="eastAsia" w:hAnsi="宋体"/>
          <w:sz w:val="22"/>
          <w:szCs w:val="22"/>
          <w:lang w:val="en-US" w:eastAsia="zh-CN"/>
        </w:rPr>
        <w:t>结束</w:t>
      </w:r>
      <w:r>
        <w:rPr>
          <w:rFonts w:hAnsi="宋体"/>
          <w:sz w:val="22"/>
          <w:szCs w:val="22"/>
        </w:rPr>
        <w:t>后</w:t>
      </w:r>
      <w:r>
        <w:rPr>
          <w:rFonts w:hint="eastAsia" w:hAnsi="宋体"/>
          <w:sz w:val="22"/>
          <w:szCs w:val="22"/>
        </w:rPr>
        <w:t>一个月内</w:t>
      </w:r>
      <w:r>
        <w:rPr>
          <w:rFonts w:hint="eastAsia" w:hAnsi="宋体"/>
          <w:sz w:val="22"/>
          <w:szCs w:val="22"/>
          <w:lang w:val="en-US" w:eastAsia="zh-CN"/>
        </w:rPr>
        <w:t>退还</w:t>
      </w:r>
      <w:r>
        <w:rPr>
          <w:rFonts w:hAnsi="宋体"/>
          <w:sz w:val="22"/>
          <w:szCs w:val="22"/>
        </w:rPr>
        <w:t>。</w:t>
      </w:r>
    </w:p>
    <w:p>
      <w:pPr>
        <w:pStyle w:val="4"/>
        <w:keepNext/>
        <w:keepLines/>
        <w:pageBreakBefore w:val="0"/>
        <w:widowControl w:val="0"/>
        <w:numPr>
          <w:ilvl w:val="0"/>
          <w:numId w:val="0"/>
        </w:numPr>
        <w:kinsoku/>
        <w:wordWrap/>
        <w:overflowPunct/>
        <w:topLinePunct w:val="0"/>
        <w:autoSpaceDE/>
        <w:autoSpaceDN/>
        <w:bidi w:val="0"/>
        <w:adjustRightInd/>
        <w:snapToGrid/>
        <w:spacing w:before="20" w:after="20" w:line="360" w:lineRule="auto"/>
        <w:ind w:leftChars="0"/>
        <w:jc w:val="center"/>
        <w:textAlignment w:val="auto"/>
        <w:rPr>
          <w:rFonts w:hint="eastAsia" w:ascii="宋体" w:hAnsi="宋体" w:eastAsia="宋体" w:cs="宋体"/>
          <w:highlight w:val="none"/>
        </w:rPr>
      </w:pPr>
      <w:r>
        <w:rPr>
          <w:rFonts w:hint="eastAsia" w:ascii="宋体" w:hAnsi="宋体" w:eastAsia="宋体" w:cs="宋体"/>
          <w:highlight w:val="none"/>
        </w:rPr>
        <w:t>第四章  评标办法及评分标准</w:t>
      </w:r>
      <w:bookmarkEnd w:id="232"/>
      <w:bookmarkEnd w:id="233"/>
      <w:bookmarkEnd w:id="234"/>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为公正、公平、科学地选择中标人，根据《中华人民共和国政府采购法》等有关法律法规的规定，并结合本项目的实际，制定本办法。</w:t>
      </w:r>
    </w:p>
    <w:p>
      <w:pPr>
        <w:spacing w:line="360" w:lineRule="auto"/>
        <w:ind w:firstLine="413" w:firstLineChars="196"/>
        <w:rPr>
          <w:rFonts w:hint="eastAsia" w:ascii="宋体" w:hAnsi="宋体" w:eastAsia="宋体" w:cs="宋体"/>
          <w:color w:val="000000"/>
          <w:sz w:val="21"/>
          <w:szCs w:val="21"/>
          <w:highlight w:val="none"/>
        </w:rPr>
      </w:pPr>
      <w:r>
        <w:rPr>
          <w:rFonts w:hint="eastAsia" w:ascii="宋体" w:hAnsi="宋体" w:eastAsia="宋体" w:cs="宋体"/>
          <w:b/>
          <w:szCs w:val="21"/>
        </w:rPr>
        <w:t>一、总则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本次评标采用综合评分法，总分为100分</w:t>
      </w:r>
      <w:r>
        <w:rPr>
          <w:rFonts w:hint="eastAsia" w:ascii="宋体" w:hAnsi="宋体" w:eastAsia="宋体" w:cs="宋体"/>
          <w:szCs w:val="21"/>
          <w:lang w:eastAsia="zh-CN"/>
        </w:rPr>
        <w:t>，</w:t>
      </w:r>
      <w:r>
        <w:rPr>
          <w:rFonts w:hint="eastAsia" w:ascii="宋体" w:hAnsi="宋体" w:eastAsia="宋体" w:cs="宋体"/>
          <w:szCs w:val="21"/>
          <w:lang w:val="en-US" w:eastAsia="zh-CN"/>
        </w:rPr>
        <w:t>其中价格分60分、资信及商务技术分40分等二部分</w:t>
      </w:r>
      <w:r>
        <w:rPr>
          <w:rFonts w:hint="eastAsia" w:ascii="宋体" w:hAnsi="宋体" w:eastAsia="宋体" w:cs="宋体"/>
          <w:szCs w:val="21"/>
        </w:rPr>
        <w:t>。</w:t>
      </w:r>
    </w:p>
    <w:p>
      <w:pPr>
        <w:numPr>
          <w:ilvl w:val="0"/>
          <w:numId w:val="0"/>
        </w:numPr>
        <w:spacing w:line="360" w:lineRule="auto"/>
        <w:ind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合格投标人的评标得分为各</w:t>
      </w:r>
      <w:r>
        <w:rPr>
          <w:rFonts w:hint="eastAsia" w:ascii="宋体" w:hAnsi="宋体" w:eastAsia="宋体" w:cs="宋体"/>
          <w:szCs w:val="21"/>
          <w:lang w:val="en-US" w:eastAsia="zh-CN"/>
        </w:rPr>
        <w:t>部分</w:t>
      </w:r>
      <w:r>
        <w:rPr>
          <w:rFonts w:hint="eastAsia" w:ascii="宋体" w:hAnsi="宋体" w:eastAsia="宋体" w:cs="宋体"/>
          <w:szCs w:val="21"/>
        </w:rPr>
        <w:t>汇总得分，中标候选资格按评标得分由高到低顺序排列，得分相同的，按投标报价由低到高顺序排列；得分且投标报价相同的，按技术得分由高到低顺序排列。排名第一的投标人为</w:t>
      </w:r>
      <w:r>
        <w:rPr>
          <w:rFonts w:hint="eastAsia" w:ascii="宋体" w:hAnsi="宋体" w:eastAsia="宋体" w:cs="宋体"/>
          <w:szCs w:val="21"/>
          <w:lang w:val="en-US" w:eastAsia="zh-CN"/>
        </w:rPr>
        <w:t>第一</w:t>
      </w:r>
      <w:r>
        <w:rPr>
          <w:rFonts w:hint="eastAsia" w:ascii="宋体" w:hAnsi="宋体" w:eastAsia="宋体" w:cs="宋体"/>
          <w:szCs w:val="21"/>
        </w:rPr>
        <w:t>中标候选人,排名第二的投标人为</w:t>
      </w:r>
      <w:r>
        <w:rPr>
          <w:rFonts w:hint="eastAsia" w:ascii="宋体" w:hAnsi="宋体" w:eastAsia="宋体" w:cs="宋体"/>
          <w:szCs w:val="21"/>
          <w:lang w:val="en-US" w:eastAsia="zh-CN"/>
        </w:rPr>
        <w:t>第二</w:t>
      </w:r>
      <w:r>
        <w:rPr>
          <w:rFonts w:hint="eastAsia" w:ascii="宋体" w:hAnsi="宋体" w:eastAsia="宋体" w:cs="宋体"/>
          <w:szCs w:val="21"/>
        </w:rPr>
        <w:t>候补中标候选人</w:t>
      </w:r>
      <w:r>
        <w:rPr>
          <w:rFonts w:hint="eastAsia" w:ascii="宋体" w:hAnsi="宋体" w:eastAsia="宋体" w:cs="宋体"/>
          <w:szCs w:val="21"/>
          <w:lang w:eastAsia="zh-CN"/>
        </w:rPr>
        <w:t>，</w:t>
      </w:r>
      <w:r>
        <w:rPr>
          <w:rFonts w:hint="eastAsia" w:ascii="宋体" w:hAnsi="宋体" w:eastAsia="宋体" w:cs="宋体"/>
          <w:szCs w:val="21"/>
          <w:lang w:val="en-US" w:eastAsia="zh-CN"/>
        </w:rPr>
        <w:t>排名第三的投标人为第三候补中标候选人。中标人拒绝与采购人签订合同的，采购人可以按照评审报告推荐的中标候选人名单顺序，确定下一候选人为中标人，也可以重新开展采购活动。评分过程中采用四舍五入法，并保留小数2位。</w:t>
      </w:r>
    </w:p>
    <w:p>
      <w:pPr>
        <w:numPr>
          <w:ilvl w:val="0"/>
          <w:numId w:val="0"/>
        </w:numPr>
        <w:spacing w:line="360" w:lineRule="auto"/>
        <w:ind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3.投标人的投标报价不得超过采购人设定的上限价。价格是评标的重要因素之一，但最低报价不是入围的唯一依据。若经评标专家一致认为某一投标人的报价为恶意报价的，其价格分按零分处理。</w:t>
      </w:r>
    </w:p>
    <w:p>
      <w:pPr>
        <w:numPr>
          <w:ilvl w:val="0"/>
          <w:numId w:val="0"/>
        </w:numPr>
        <w:spacing w:line="360" w:lineRule="auto"/>
        <w:ind w:leftChars="0"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4.投标人评标综合得分=价格分+资信及商务技术分。</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二、评标内容及标准</w:t>
      </w:r>
    </w:p>
    <w:p>
      <w:pPr>
        <w:pStyle w:val="24"/>
        <w:tabs>
          <w:tab w:val="left" w:pos="630"/>
        </w:tabs>
        <w:spacing w:beforeLines="0" w:afterLines="0" w:line="360" w:lineRule="auto"/>
        <w:ind w:firstLine="310" w:firstLineChars="147"/>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z w:val="21"/>
          <w:szCs w:val="21"/>
          <w:lang w:val="en-US" w:eastAsia="zh-CN"/>
        </w:rPr>
        <w:t>价格</w:t>
      </w:r>
      <w:r>
        <w:rPr>
          <w:rFonts w:hint="eastAsia" w:ascii="宋体" w:hAnsi="宋体" w:eastAsia="宋体" w:cs="宋体"/>
          <w:b/>
          <w:sz w:val="21"/>
          <w:szCs w:val="21"/>
        </w:rPr>
        <w:t>分（20分）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政策优惠：按《政府采购促进中小企业发展暂行办法》，投标人属于小型、微型企业的，投标价格给予6%的扣除，用扣除后的价格参与评审（经认定的监狱企业或残疾人福利性单位同上）。属于小型和微型企业的，投标文件中必须同时提供①《中小企业声明函》；②“国家企业信用信息公示系统——小微企业名录”页面查询结果（网站截图）http://xwqy.gsxt.gov.cn/mirco/micro_lib，并加盖单位公章。</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(注：未提供以上材料的，均不给予价格扣除）</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详见财库〔2017〕141号文件要求）。</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 监狱企业同视为小型、微型企业，享受小微企业政策扶持。</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投标报价得分=(评标基准价/投标报价)×60%×100</w:t>
      </w:r>
    </w:p>
    <w:p>
      <w:pPr>
        <w:spacing w:line="360" w:lineRule="auto"/>
        <w:ind w:firstLine="420" w:firstLineChars="200"/>
        <w:rPr>
          <w:rFonts w:hint="eastAsia" w:ascii="宋体" w:hAnsi="宋体" w:eastAsia="宋体" w:cs="宋体"/>
          <w:szCs w:val="21"/>
          <w:lang w:val="en-US" w:eastAsia="zh-CN"/>
        </w:rPr>
      </w:pPr>
    </w:p>
    <w:p>
      <w:pPr>
        <w:spacing w:line="360" w:lineRule="auto"/>
        <w:ind w:firstLine="420" w:firstLineChars="200"/>
        <w:rPr>
          <w:rFonts w:hint="eastAsia" w:ascii="宋体" w:hAnsi="宋体" w:eastAsia="宋体" w:cs="宋体"/>
          <w:szCs w:val="21"/>
          <w:lang w:val="en-US" w:eastAsia="zh-CN"/>
        </w:rPr>
      </w:pPr>
    </w:p>
    <w:p>
      <w:pPr>
        <w:spacing w:line="360" w:lineRule="auto"/>
        <w:ind w:firstLine="420" w:firstLineChars="200"/>
        <w:rPr>
          <w:rFonts w:hint="eastAsia" w:ascii="宋体" w:hAnsi="宋体" w:eastAsia="宋体" w:cs="宋体"/>
          <w:szCs w:val="21"/>
          <w:lang w:val="en-US" w:eastAsia="zh-CN"/>
        </w:rPr>
      </w:pPr>
    </w:p>
    <w:p>
      <w:pPr>
        <w:spacing w:line="360" w:lineRule="auto"/>
        <w:ind w:firstLine="420" w:firstLineChars="200"/>
        <w:rPr>
          <w:rFonts w:hint="eastAsia" w:ascii="宋体" w:hAnsi="宋体" w:eastAsia="宋体" w:cs="宋体"/>
          <w:szCs w:val="21"/>
          <w:lang w:val="en-US" w:eastAsia="zh-CN"/>
        </w:rPr>
      </w:pPr>
    </w:p>
    <w:p>
      <w:pPr>
        <w:numPr>
          <w:ilvl w:val="0"/>
          <w:numId w:val="5"/>
        </w:numPr>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资信及商务</w:t>
      </w:r>
      <w:r>
        <w:rPr>
          <w:rFonts w:hint="eastAsia" w:ascii="宋体" w:hAnsi="宋体" w:eastAsia="宋体" w:cs="宋体"/>
          <w:b/>
          <w:sz w:val="21"/>
          <w:szCs w:val="21"/>
        </w:rPr>
        <w:t>技术分</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40分</w:t>
      </w:r>
      <w:r>
        <w:rPr>
          <w:rFonts w:hint="eastAsia" w:ascii="宋体" w:hAnsi="宋体" w:eastAsia="宋体" w:cs="宋体"/>
          <w:b/>
          <w:sz w:val="21"/>
          <w:szCs w:val="21"/>
          <w:lang w:eastAsia="zh-CN"/>
        </w:rPr>
        <w:t>）</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1"/>
        <w:gridCol w:w="7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551" w:type="dxa"/>
            <w:noWrap w:val="0"/>
            <w:vAlign w:val="center"/>
          </w:tcPr>
          <w:p>
            <w:pPr>
              <w:widowControl/>
              <w:spacing w:line="360" w:lineRule="auto"/>
              <w:jc w:val="center"/>
              <w:rPr>
                <w:rFonts w:ascii="宋体" w:hAnsi="宋体" w:cs="仿宋_GB2312"/>
                <w:kern w:val="0"/>
                <w:szCs w:val="21"/>
              </w:rPr>
            </w:pPr>
            <w:r>
              <w:rPr>
                <w:rFonts w:hint="eastAsia" w:ascii="宋体" w:hAnsi="宋体" w:eastAsia="宋体" w:cs="宋体"/>
                <w:b/>
                <w:sz w:val="21"/>
                <w:szCs w:val="21"/>
                <w:lang w:val="en-US" w:eastAsia="zh-CN"/>
              </w:rPr>
              <w:t>资信及商务</w:t>
            </w:r>
            <w:r>
              <w:rPr>
                <w:rFonts w:hint="eastAsia" w:ascii="宋体" w:hAnsi="宋体" w:eastAsia="宋体" w:cs="宋体"/>
                <w:b/>
                <w:sz w:val="21"/>
                <w:szCs w:val="21"/>
              </w:rPr>
              <w:t>技术分</w:t>
            </w:r>
          </w:p>
        </w:tc>
        <w:tc>
          <w:tcPr>
            <w:tcW w:w="7194" w:type="dxa"/>
            <w:noWrap w:val="0"/>
            <w:vAlign w:val="top"/>
          </w:tcPr>
          <w:p>
            <w:pPr>
              <w:widowControl/>
              <w:rPr>
                <w:rFonts w:ascii="宋体" w:hAnsi="宋体" w:cs="仿宋_GB2312"/>
                <w:kern w:val="0"/>
                <w:szCs w:val="21"/>
              </w:rPr>
            </w:pPr>
          </w:p>
          <w:p>
            <w:pPr>
              <w:widowControl/>
              <w:spacing w:line="360" w:lineRule="auto"/>
              <w:rPr>
                <w:rFonts w:ascii="宋体" w:hAnsi="宋体" w:cs="仿宋_GB2312"/>
                <w:kern w:val="0"/>
                <w:szCs w:val="21"/>
              </w:rPr>
            </w:pPr>
            <w:r>
              <w:rPr>
                <w:rFonts w:hint="eastAsia" w:ascii="宋体" w:hAnsi="宋体" w:cs="仿宋_GB2312"/>
                <w:kern w:val="0"/>
                <w:szCs w:val="21"/>
              </w:rPr>
              <w:t>1、对本项目的特点有较深入的理解和渗透。（1-4分）</w:t>
            </w:r>
          </w:p>
          <w:p>
            <w:pPr>
              <w:widowControl/>
              <w:spacing w:line="360" w:lineRule="auto"/>
              <w:rPr>
                <w:rFonts w:ascii="宋体" w:hAnsi="宋体" w:cs="仿宋_GB2312"/>
                <w:kern w:val="0"/>
                <w:szCs w:val="21"/>
              </w:rPr>
            </w:pPr>
            <w:r>
              <w:rPr>
                <w:rFonts w:hint="eastAsia" w:ascii="宋体" w:hAnsi="宋体" w:cs="仿宋_GB2312"/>
                <w:kern w:val="0"/>
                <w:szCs w:val="21"/>
              </w:rPr>
              <w:t>2、物业管理服务内容具体性及工作标准的合理性、可行性；并有切实可行的经营、管理、服务新思路。　　　　　（1-4分）</w:t>
            </w:r>
          </w:p>
          <w:p>
            <w:pPr>
              <w:widowControl/>
              <w:spacing w:line="360" w:lineRule="auto"/>
              <w:rPr>
                <w:rFonts w:ascii="宋体" w:hAnsi="宋体" w:cs="仿宋_GB2312"/>
                <w:kern w:val="0"/>
                <w:szCs w:val="21"/>
              </w:rPr>
            </w:pPr>
            <w:r>
              <w:rPr>
                <w:rFonts w:hint="eastAsia" w:ascii="宋体" w:hAnsi="宋体" w:cs="仿宋_GB2312"/>
                <w:kern w:val="0"/>
                <w:szCs w:val="21"/>
              </w:rPr>
              <w:t>3、项目管理组织架构（1-4分）；</w:t>
            </w:r>
          </w:p>
          <w:p>
            <w:pPr>
              <w:widowControl/>
              <w:spacing w:line="360" w:lineRule="auto"/>
              <w:rPr>
                <w:rFonts w:ascii="宋体" w:hAnsi="宋体" w:cs="仿宋_GB2312"/>
                <w:kern w:val="0"/>
                <w:szCs w:val="21"/>
              </w:rPr>
            </w:pPr>
            <w:r>
              <w:rPr>
                <w:rFonts w:hint="eastAsia" w:ascii="宋体" w:hAnsi="宋体" w:cs="仿宋_GB2312"/>
                <w:kern w:val="0"/>
                <w:szCs w:val="21"/>
              </w:rPr>
              <w:t>4、各岗位分工明确、有详细的岗位职责（1-4分)；</w:t>
            </w:r>
          </w:p>
          <w:p>
            <w:pPr>
              <w:widowControl/>
              <w:spacing w:line="360" w:lineRule="auto"/>
              <w:rPr>
                <w:rFonts w:ascii="宋体" w:hAnsi="宋体" w:cs="仿宋_GB2312"/>
                <w:kern w:val="0"/>
                <w:szCs w:val="21"/>
              </w:rPr>
            </w:pPr>
            <w:r>
              <w:rPr>
                <w:rFonts w:hint="eastAsia" w:ascii="宋体" w:hAnsi="宋体" w:cs="仿宋_GB2312"/>
                <w:kern w:val="0"/>
                <w:szCs w:val="21"/>
              </w:rPr>
              <w:t>5、针对本项目管理有详细的管理制度及考核制度（1-4分）；</w:t>
            </w:r>
          </w:p>
          <w:p>
            <w:pPr>
              <w:widowControl/>
              <w:spacing w:line="360" w:lineRule="auto"/>
              <w:rPr>
                <w:rFonts w:ascii="宋体" w:hAnsi="宋体" w:cs="仿宋_GB2312"/>
                <w:kern w:val="0"/>
                <w:szCs w:val="21"/>
              </w:rPr>
            </w:pPr>
            <w:r>
              <w:rPr>
                <w:rFonts w:hint="eastAsia" w:ascii="宋体" w:hAnsi="宋体" w:cs="仿宋_GB2312"/>
                <w:kern w:val="0"/>
                <w:szCs w:val="21"/>
              </w:rPr>
              <w:t>6、消防检查管理制度及警用器械使用规定符合本项目的实际情况，具有较强的可操作性（1-3分）；</w:t>
            </w:r>
          </w:p>
          <w:p>
            <w:pPr>
              <w:widowControl/>
              <w:spacing w:line="360" w:lineRule="auto"/>
              <w:rPr>
                <w:rFonts w:ascii="宋体" w:hAnsi="宋体" w:cs="仿宋_GB2312"/>
                <w:kern w:val="0"/>
                <w:szCs w:val="21"/>
              </w:rPr>
            </w:pPr>
            <w:r>
              <w:rPr>
                <w:rFonts w:hint="eastAsia" w:ascii="宋体" w:hAnsi="宋体" w:cs="仿宋_GB2312"/>
                <w:kern w:val="0"/>
                <w:szCs w:val="21"/>
              </w:rPr>
              <w:t>7、重大接待、活动操作规程符合本项目的实际情况，具有较强的可操作性（1-3分）；</w:t>
            </w:r>
          </w:p>
          <w:p>
            <w:pPr>
              <w:widowControl/>
              <w:spacing w:line="360" w:lineRule="auto"/>
              <w:rPr>
                <w:rFonts w:ascii="宋体" w:hAnsi="宋体" w:cs="仿宋_GB2312"/>
                <w:kern w:val="0"/>
                <w:szCs w:val="21"/>
              </w:rPr>
            </w:pPr>
            <w:r>
              <w:rPr>
                <w:rFonts w:hint="eastAsia" w:ascii="宋体" w:hAnsi="宋体" w:cs="仿宋_GB2312"/>
                <w:kern w:val="0"/>
                <w:szCs w:val="21"/>
              </w:rPr>
              <w:t>8、突发事件应急预案及应急预案演练规定（含防恐、**、防反动宣传、火灾、治安案件、踩踏、停水、停电、电梯故障等突发事件）符合本项目的实际情况，具有较强的可操作性（1-3分）。</w:t>
            </w:r>
          </w:p>
          <w:p>
            <w:pPr>
              <w:widowControl/>
              <w:spacing w:line="360" w:lineRule="auto"/>
              <w:rPr>
                <w:rFonts w:ascii="宋体" w:hAnsi="宋体" w:cs="仿宋_GB2312"/>
                <w:kern w:val="0"/>
                <w:szCs w:val="21"/>
              </w:rPr>
            </w:pPr>
            <w:r>
              <w:rPr>
                <w:rFonts w:hint="eastAsia" w:ascii="宋体" w:hAnsi="宋体" w:cs="仿宋_GB2312"/>
                <w:kern w:val="0"/>
                <w:szCs w:val="21"/>
              </w:rPr>
              <w:t>9、自2017年1月1日以来获得过地市级及以上人民政府颁发的“优秀（先进）物业服务企业”的，得1分，获得省级以上人民政府颁发的“优秀（先进）物业服务企业”的，得2分（开标时提供证书或文件原件，评分时以原件为准，复印件盖章放入资信技术标内，否则不得分）。（0-2分）</w:t>
            </w:r>
          </w:p>
          <w:p>
            <w:pPr>
              <w:widowControl/>
              <w:spacing w:line="360" w:lineRule="auto"/>
              <w:rPr>
                <w:rFonts w:ascii="宋体" w:hAnsi="宋体" w:cs="仿宋_GB2312"/>
                <w:kern w:val="0"/>
                <w:szCs w:val="21"/>
              </w:rPr>
            </w:pPr>
            <w:r>
              <w:rPr>
                <w:rFonts w:hint="eastAsia" w:ascii="宋体" w:hAnsi="宋体" w:cs="仿宋_GB2312"/>
                <w:kern w:val="0"/>
                <w:szCs w:val="21"/>
              </w:rPr>
              <w:t>10、投标单位所服务项目获得过“市级物业服务示范项目”荣誉称号的，得2分；投标单位所服务项目获得过“市级品质楼宇”荣誉称号的，得2分（开标时提供证书或文件原件，评分时以原件为准，复印件盖章放入资信技术标内，否则不得分）。（0-4分）</w:t>
            </w:r>
          </w:p>
          <w:p>
            <w:pPr>
              <w:widowControl/>
              <w:spacing w:line="360" w:lineRule="auto"/>
              <w:rPr>
                <w:rFonts w:ascii="宋体" w:hAnsi="宋体" w:cs="仿宋_GB2312"/>
                <w:kern w:val="0"/>
                <w:szCs w:val="21"/>
              </w:rPr>
            </w:pPr>
            <w:r>
              <w:rPr>
                <w:rFonts w:hint="eastAsia" w:ascii="宋体" w:hAnsi="宋体" w:cs="仿宋_GB2312"/>
                <w:kern w:val="0"/>
                <w:szCs w:val="21"/>
              </w:rPr>
              <w:t>11、提供2016年1月1日以来非住宅类物业项目年度费用在50万元以下（不含50万元）的业绩，每个项目得1分；提供2016年1月1日以来非住宅类物业项目年度费用在50万元及以上（含50万元）的业绩，每个项目得1.5分；同一项目不同时间段的业绩按1个业绩计算；合同中须有明确的金额和时间，未明确标注的不得分（时间以中标通知书或者合同时间为准。合同或中标通知书复印件盖章放入资信技术标内，评分时以原件为准否则不得分）。(0-5分)</w:t>
            </w:r>
          </w:p>
          <w:p>
            <w:pPr>
              <w:widowControl/>
              <w:spacing w:line="360" w:lineRule="auto"/>
              <w:rPr>
                <w:rFonts w:ascii="宋体" w:hAnsi="宋体" w:cs="仿宋_GB2312"/>
                <w:b/>
                <w:kern w:val="0"/>
                <w:szCs w:val="21"/>
              </w:rPr>
            </w:pPr>
            <w:r>
              <w:rPr>
                <w:rFonts w:hint="eastAsia" w:ascii="宋体" w:hAnsi="宋体" w:cs="仿宋_GB2312"/>
                <w:b/>
                <w:kern w:val="0"/>
                <w:szCs w:val="21"/>
              </w:rPr>
              <w:t>如有缺项，该项为0分</w:t>
            </w:r>
          </w:p>
        </w:tc>
      </w:tr>
    </w:tbl>
    <w:p>
      <w:pPr>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highlight w:val="none"/>
        </w:rPr>
      </w:pPr>
    </w:p>
    <w:p>
      <w:pPr>
        <w:pStyle w:val="33"/>
        <w:spacing w:before="0" w:after="0" w:line="360" w:lineRule="auto"/>
        <w:outlineLvl w:val="0"/>
        <w:rPr>
          <w:rFonts w:hint="eastAsia" w:ascii="微软雅黑" w:hAnsi="微软雅黑" w:eastAsia="微软雅黑"/>
          <w:sz w:val="21"/>
          <w:szCs w:val="21"/>
          <w:lang w:eastAsia="zh-CN"/>
        </w:rPr>
      </w:pPr>
    </w:p>
    <w:p>
      <w:pPr>
        <w:pStyle w:val="4"/>
        <w:jc w:val="center"/>
        <w:rPr>
          <w:rFonts w:ascii="宋体" w:hAnsi="宋体" w:cs="仿宋_GB2312"/>
        </w:rPr>
      </w:pPr>
      <w:bookmarkStart w:id="236" w:name="_Toc31547"/>
      <w:r>
        <w:rPr>
          <w:rFonts w:hint="eastAsia" w:ascii="宋体" w:hAnsi="宋体" w:eastAsia="宋体" w:cs="宋体"/>
          <w:highlight w:val="none"/>
        </w:rPr>
        <w:t xml:space="preserve">第五章   </w:t>
      </w:r>
      <w:bookmarkEnd w:id="236"/>
      <w:r>
        <w:rPr>
          <w:rFonts w:hint="eastAsia" w:ascii="宋体" w:hAnsi="宋体" w:cs="仿宋_GB2312"/>
        </w:rPr>
        <w:t>合同条款及格式</w:t>
      </w:r>
    </w:p>
    <w:p>
      <w:pPr>
        <w:snapToGrid w:val="0"/>
        <w:spacing w:line="360" w:lineRule="atLeast"/>
        <w:ind w:firstLine="422" w:firstLineChars="200"/>
        <w:jc w:val="center"/>
        <w:rPr>
          <w:rFonts w:ascii="宋体" w:hAnsi="宋体"/>
          <w:b/>
          <w:color w:val="000000"/>
          <w:szCs w:val="21"/>
        </w:rPr>
      </w:pPr>
      <w:r>
        <w:rPr>
          <w:rFonts w:hint="eastAsia" w:ascii="宋体" w:hAnsi="宋体"/>
          <w:b/>
          <w:color w:val="000000"/>
          <w:szCs w:val="21"/>
        </w:rPr>
        <w:t>商业中心物业管理服务合同</w:t>
      </w:r>
    </w:p>
    <w:p>
      <w:pPr>
        <w:snapToGrid w:val="0"/>
        <w:spacing w:line="360" w:lineRule="atLeast"/>
        <w:ind w:firstLine="422" w:firstLineChars="200"/>
        <w:jc w:val="center"/>
        <w:rPr>
          <w:rFonts w:ascii="宋体" w:hAnsi="宋体"/>
          <w:b/>
          <w:color w:val="000000"/>
          <w:szCs w:val="21"/>
        </w:rPr>
      </w:pPr>
      <w:r>
        <w:rPr>
          <w:rFonts w:hint="eastAsia" w:ascii="宋体" w:hAnsi="宋体"/>
          <w:b/>
          <w:color w:val="000000"/>
          <w:szCs w:val="21"/>
        </w:rPr>
        <w:t xml:space="preserve">                                           合同编号：</w:t>
      </w:r>
    </w:p>
    <w:p>
      <w:pPr>
        <w:spacing w:line="360" w:lineRule="atLeast"/>
        <w:ind w:firstLine="105" w:firstLineChars="50"/>
        <w:rPr>
          <w:rFonts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住  所  地：</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邮      编：</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p>
    <w:p>
      <w:pPr>
        <w:spacing w:line="360" w:lineRule="atLeast"/>
        <w:ind w:firstLine="105" w:firstLineChars="50"/>
        <w:rPr>
          <w:rFonts w:ascii="宋体" w:hAnsi="宋体"/>
          <w:szCs w:val="21"/>
        </w:rPr>
      </w:pPr>
      <w:r>
        <w:rPr>
          <w:rFonts w:hint="eastAsia" w:ascii="宋体" w:hAnsi="宋体"/>
          <w:szCs w:val="21"/>
        </w:rPr>
        <w:t>乙      方：</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住  所  地：</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邮      编：</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资 质 等 级:</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r>
        <w:rPr>
          <w:rFonts w:hint="eastAsia" w:ascii="宋体" w:hAnsi="宋体"/>
          <w:szCs w:val="21"/>
        </w:rPr>
        <w:t>证 书 编 号:</w:t>
      </w:r>
      <w:r>
        <w:rPr>
          <w:rFonts w:hint="eastAsia" w:ascii="宋体" w:hAnsi="宋体"/>
          <w:szCs w:val="21"/>
          <w:u w:val="single"/>
        </w:rPr>
        <w:t xml:space="preserve">                            </w:t>
      </w:r>
      <w:r>
        <w:rPr>
          <w:rFonts w:hint="eastAsia" w:ascii="宋体" w:hAnsi="宋体"/>
          <w:szCs w:val="21"/>
        </w:rPr>
        <w:t>。</w:t>
      </w:r>
    </w:p>
    <w:p>
      <w:pPr>
        <w:spacing w:line="360" w:lineRule="atLeast"/>
        <w:ind w:firstLine="105" w:firstLineChars="50"/>
        <w:rPr>
          <w:rFonts w:ascii="宋体" w:hAnsi="宋体"/>
          <w:szCs w:val="21"/>
        </w:rPr>
      </w:pPr>
    </w:p>
    <w:p>
      <w:pPr>
        <w:spacing w:line="360" w:lineRule="atLeast"/>
        <w:ind w:firstLine="525" w:firstLineChars="250"/>
        <w:rPr>
          <w:rFonts w:ascii="宋体" w:hAnsi="宋体"/>
          <w:szCs w:val="21"/>
        </w:rPr>
      </w:pPr>
      <w:r>
        <w:rPr>
          <w:rFonts w:hint="eastAsia" w:ascii="宋体" w:hAnsi="宋体"/>
          <w:szCs w:val="21"/>
        </w:rPr>
        <w:t>根据《物业管理条例》和相关法律、法规、政策，甲乙双方在自愿、平等、协商一致的基础上，就甲方选聘乙方对</w:t>
      </w:r>
      <w:r>
        <w:rPr>
          <w:rFonts w:hint="eastAsia" w:ascii="宋体" w:hAnsi="宋体"/>
          <w:szCs w:val="21"/>
          <w:u w:val="single"/>
        </w:rPr>
        <w:t xml:space="preserve">  嘉兴市港区乍浦农贸海鲜城  </w:t>
      </w:r>
      <w:r>
        <w:rPr>
          <w:rFonts w:hint="eastAsia" w:ascii="宋体" w:hAnsi="宋体"/>
          <w:szCs w:val="21"/>
        </w:rPr>
        <w:t>提供物业管理服务事宜，订立本合同。</w:t>
      </w:r>
    </w:p>
    <w:p>
      <w:pPr>
        <w:tabs>
          <w:tab w:val="left" w:pos="2365"/>
        </w:tabs>
        <w:spacing w:line="360" w:lineRule="atLeast"/>
        <w:rPr>
          <w:rFonts w:ascii="宋体" w:hAnsi="宋体"/>
          <w:szCs w:val="21"/>
        </w:rPr>
      </w:pPr>
    </w:p>
    <w:p>
      <w:pPr>
        <w:tabs>
          <w:tab w:val="left" w:pos="2365"/>
        </w:tabs>
        <w:spacing w:line="360" w:lineRule="atLeast"/>
        <w:jc w:val="center"/>
        <w:rPr>
          <w:rFonts w:ascii="宋体" w:hAnsi="宋体"/>
          <w:szCs w:val="21"/>
        </w:rPr>
      </w:pPr>
      <w:r>
        <w:rPr>
          <w:rFonts w:hint="eastAsia" w:ascii="宋体" w:hAnsi="宋体"/>
          <w:b/>
          <w:szCs w:val="21"/>
        </w:rPr>
        <w:t>第一章  物业基本情况</w:t>
      </w:r>
    </w:p>
    <w:p>
      <w:pPr>
        <w:spacing w:line="360" w:lineRule="atLeast"/>
        <w:rPr>
          <w:rFonts w:ascii="宋体" w:hAnsi="宋体"/>
          <w:szCs w:val="21"/>
        </w:rPr>
      </w:pPr>
      <w:r>
        <w:rPr>
          <w:rFonts w:hint="eastAsia" w:ascii="宋体" w:hAnsi="宋体"/>
          <w:b/>
          <w:szCs w:val="21"/>
        </w:rPr>
        <w:t xml:space="preserve">第一条 </w:t>
      </w:r>
      <w:r>
        <w:rPr>
          <w:rFonts w:hint="eastAsia" w:ascii="宋体" w:hAnsi="宋体"/>
          <w:szCs w:val="21"/>
        </w:rPr>
        <w:t xml:space="preserve"> 物业基本情况：</w:t>
      </w:r>
    </w:p>
    <w:p>
      <w:pPr>
        <w:spacing w:line="360" w:lineRule="atLeast"/>
        <w:rPr>
          <w:rFonts w:ascii="宋体" w:hAnsi="宋体"/>
          <w:szCs w:val="21"/>
          <w:u w:val="single"/>
        </w:rPr>
      </w:pPr>
      <w:r>
        <w:rPr>
          <w:rFonts w:hint="eastAsia" w:ascii="宋体" w:hAnsi="宋体"/>
          <w:szCs w:val="21"/>
        </w:rPr>
        <w:t>物业名称：</w:t>
      </w:r>
      <w:r>
        <w:rPr>
          <w:rFonts w:hint="eastAsia" w:ascii="宋体" w:hAnsi="宋体"/>
          <w:szCs w:val="21"/>
          <w:u w:val="single"/>
        </w:rPr>
        <w:t xml:space="preserve">      嘉兴市港区乍浦农贸海鲜城    </w:t>
      </w:r>
      <w:r>
        <w:rPr>
          <w:rFonts w:hint="eastAsia" w:ascii="宋体" w:hAnsi="宋体"/>
          <w:b/>
          <w:szCs w:val="21"/>
          <w:u w:val="single"/>
        </w:rPr>
        <w:t xml:space="preserve">  </w:t>
      </w:r>
      <w:r>
        <w:rPr>
          <w:rFonts w:hint="eastAsia" w:ascii="宋体" w:hAnsi="宋体"/>
          <w:b/>
          <w:szCs w:val="21"/>
        </w:rPr>
        <w:t>；</w:t>
      </w:r>
    </w:p>
    <w:p>
      <w:pPr>
        <w:spacing w:line="360" w:lineRule="atLeast"/>
        <w:rPr>
          <w:rFonts w:ascii="宋体" w:hAnsi="宋体"/>
          <w:szCs w:val="21"/>
        </w:rPr>
      </w:pPr>
      <w:r>
        <w:rPr>
          <w:rFonts w:hint="eastAsia" w:ascii="宋体" w:hAnsi="宋体"/>
          <w:szCs w:val="21"/>
        </w:rPr>
        <w:t>物业类型：</w:t>
      </w:r>
      <w:r>
        <w:rPr>
          <w:rFonts w:hint="eastAsia" w:ascii="宋体" w:hAnsi="宋体"/>
          <w:szCs w:val="21"/>
          <w:u w:val="single"/>
        </w:rPr>
        <w:t xml:space="preserve"> </w:t>
      </w:r>
      <w:r>
        <w:rPr>
          <w:rFonts w:hint="eastAsia" w:ascii="宋体" w:hAnsi="宋体"/>
          <w:szCs w:val="21"/>
          <w:u w:val="single"/>
          <w:lang w:val="en-US" w:eastAsia="zh-CN"/>
        </w:rPr>
        <w:t xml:space="preserve">     商业用房</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spacing w:line="360" w:lineRule="atLeast"/>
        <w:rPr>
          <w:rFonts w:ascii="宋体" w:hAnsi="宋体"/>
          <w:szCs w:val="21"/>
        </w:rPr>
      </w:pPr>
      <w:r>
        <w:rPr>
          <w:rFonts w:hint="eastAsia" w:ascii="宋体" w:hAnsi="宋体"/>
          <w:szCs w:val="21"/>
        </w:rPr>
        <w:t>座落位置：</w:t>
      </w:r>
      <w:r>
        <w:rPr>
          <w:rFonts w:hint="eastAsia" w:ascii="宋体" w:hAnsi="宋体"/>
          <w:szCs w:val="21"/>
          <w:u w:val="single"/>
        </w:rPr>
        <w:t xml:space="preserve">      乍浦外环中路2</w:t>
      </w:r>
      <w:r>
        <w:rPr>
          <w:rFonts w:ascii="宋体" w:hAnsi="宋体"/>
          <w:szCs w:val="21"/>
          <w:u w:val="single"/>
        </w:rPr>
        <w:t>25</w:t>
      </w:r>
      <w:r>
        <w:rPr>
          <w:rFonts w:hint="eastAsia" w:ascii="宋体" w:hAnsi="宋体"/>
          <w:szCs w:val="21"/>
          <w:u w:val="single"/>
        </w:rPr>
        <w:t xml:space="preserve">号　          </w:t>
      </w:r>
      <w:r>
        <w:rPr>
          <w:rFonts w:hint="eastAsia" w:ascii="宋体" w:hAnsi="宋体"/>
          <w:szCs w:val="21"/>
        </w:rPr>
        <w:t>；</w:t>
      </w:r>
    </w:p>
    <w:p>
      <w:pPr>
        <w:spacing w:line="360" w:lineRule="atLeast"/>
        <w:rPr>
          <w:rFonts w:ascii="宋体" w:hAnsi="宋体"/>
          <w:szCs w:val="21"/>
        </w:rPr>
      </w:pPr>
      <w:r>
        <w:rPr>
          <w:rFonts w:hint="eastAsia" w:ascii="宋体" w:hAnsi="宋体"/>
          <w:szCs w:val="21"/>
        </w:rPr>
        <w:t>建筑面积：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约</w:t>
      </w:r>
      <w:r>
        <w:rPr>
          <w:rFonts w:ascii="宋体" w:hAnsi="宋体"/>
          <w:szCs w:val="21"/>
          <w:u w:val="single"/>
        </w:rPr>
        <w:t>33752</w:t>
      </w:r>
      <w:r>
        <w:rPr>
          <w:rFonts w:hint="eastAsia" w:ascii="宋体" w:hAnsi="宋体"/>
          <w:szCs w:val="21"/>
          <w:u w:val="single"/>
        </w:rPr>
        <w:t xml:space="preserve">平方米           </w:t>
      </w:r>
      <w:r>
        <w:rPr>
          <w:rFonts w:hint="eastAsia" w:ascii="宋体" w:hAnsi="宋体"/>
          <w:szCs w:val="21"/>
        </w:rPr>
        <w:t>。</w:t>
      </w:r>
    </w:p>
    <w:p>
      <w:pPr>
        <w:tabs>
          <w:tab w:val="right" w:pos="8306"/>
        </w:tabs>
        <w:spacing w:line="360" w:lineRule="atLeast"/>
        <w:rPr>
          <w:rFonts w:ascii="宋体" w:hAnsi="宋体"/>
          <w:szCs w:val="21"/>
        </w:rPr>
      </w:pPr>
      <w:r>
        <w:rPr>
          <w:rFonts w:hint="eastAsia" w:ascii="宋体" w:hAnsi="宋体"/>
          <w:szCs w:val="21"/>
        </w:rPr>
        <w:t>物业管理区域：天妃路东侧，港龙花苑南面</w:t>
      </w:r>
    </w:p>
    <w:p>
      <w:pPr>
        <w:tabs>
          <w:tab w:val="left" w:pos="3070"/>
        </w:tabs>
        <w:spacing w:line="360" w:lineRule="atLeast"/>
        <w:rPr>
          <w:rFonts w:ascii="宋体" w:hAnsi="宋体"/>
          <w:szCs w:val="21"/>
        </w:rPr>
      </w:pPr>
    </w:p>
    <w:p>
      <w:pPr>
        <w:tabs>
          <w:tab w:val="left" w:pos="3070"/>
        </w:tabs>
        <w:spacing w:line="360" w:lineRule="atLeast"/>
        <w:jc w:val="center"/>
        <w:rPr>
          <w:rFonts w:ascii="宋体" w:hAnsi="宋体"/>
          <w:szCs w:val="21"/>
        </w:rPr>
      </w:pPr>
      <w:r>
        <w:rPr>
          <w:rFonts w:hint="eastAsia" w:ascii="宋体" w:hAnsi="宋体"/>
          <w:b/>
          <w:szCs w:val="21"/>
        </w:rPr>
        <w:t>第二章  服务内容与质量</w:t>
      </w:r>
    </w:p>
    <w:p>
      <w:pPr>
        <w:tabs>
          <w:tab w:val="left" w:pos="3070"/>
        </w:tabs>
        <w:spacing w:line="360" w:lineRule="atLeast"/>
        <w:rPr>
          <w:rFonts w:ascii="宋体" w:hAnsi="宋体"/>
          <w:szCs w:val="21"/>
        </w:rPr>
      </w:pPr>
      <w:r>
        <w:rPr>
          <w:rFonts w:hint="eastAsia" w:ascii="宋体" w:hAnsi="宋体"/>
          <w:b/>
          <w:szCs w:val="21"/>
        </w:rPr>
        <w:t xml:space="preserve">第二条 </w:t>
      </w:r>
      <w:r>
        <w:rPr>
          <w:rFonts w:hint="eastAsia" w:ascii="宋体" w:hAnsi="宋体"/>
          <w:szCs w:val="21"/>
        </w:rPr>
        <w:t xml:space="preserve"> 在物业管理区域内，乙方提供的前期物业管理服务包括以下内容：</w:t>
      </w:r>
    </w:p>
    <w:p>
      <w:pPr>
        <w:tabs>
          <w:tab w:val="left" w:pos="505"/>
        </w:tabs>
        <w:spacing w:line="360" w:lineRule="atLeast"/>
        <w:ind w:left="105" w:hanging="105" w:hangingChars="50"/>
        <w:rPr>
          <w:rFonts w:ascii="宋体" w:hAnsi="宋体"/>
          <w:szCs w:val="21"/>
        </w:rPr>
      </w:pPr>
      <w:r>
        <w:rPr>
          <w:rFonts w:ascii="宋体" w:hAnsi="宋体"/>
          <w:szCs w:val="21"/>
        </w:rPr>
        <w:tab/>
      </w:r>
      <w:r>
        <w:rPr>
          <w:rFonts w:hint="eastAsia" w:ascii="宋体" w:hAnsi="宋体"/>
          <w:szCs w:val="21"/>
        </w:rPr>
        <w:t>1、物业公用部位的维修、养护和管理；</w:t>
      </w:r>
    </w:p>
    <w:p>
      <w:pPr>
        <w:tabs>
          <w:tab w:val="left" w:pos="515"/>
        </w:tabs>
        <w:spacing w:line="360" w:lineRule="atLeast"/>
        <w:ind w:left="105" w:hanging="105" w:hangingChars="50"/>
        <w:rPr>
          <w:rFonts w:ascii="宋体" w:hAnsi="宋体"/>
          <w:szCs w:val="21"/>
        </w:rPr>
      </w:pPr>
      <w:r>
        <w:rPr>
          <w:rFonts w:ascii="宋体" w:hAnsi="宋体"/>
          <w:szCs w:val="21"/>
        </w:rPr>
        <w:tab/>
      </w:r>
      <w:r>
        <w:rPr>
          <w:rFonts w:hint="eastAsia" w:ascii="宋体" w:hAnsi="宋体"/>
          <w:szCs w:val="21"/>
        </w:rPr>
        <w:t>2、物业公用设施设备的运行、维修、养护和管理；</w:t>
      </w:r>
    </w:p>
    <w:p>
      <w:pPr>
        <w:spacing w:line="360" w:lineRule="atLeast"/>
        <w:ind w:firstLine="105" w:firstLineChars="50"/>
        <w:rPr>
          <w:rFonts w:ascii="宋体" w:hAnsi="宋体"/>
          <w:color w:val="000000"/>
          <w:szCs w:val="21"/>
        </w:rPr>
      </w:pPr>
      <w:r>
        <w:rPr>
          <w:rFonts w:hint="eastAsia" w:ascii="宋体" w:hAnsi="宋体"/>
          <w:szCs w:val="21"/>
        </w:rPr>
        <w:t>3、物业公用部位和相关场地的清洁卫生，垃圾的收集、清运及雨、污水管道的疏通；</w:t>
      </w:r>
      <w:r>
        <w:rPr>
          <w:rFonts w:hint="eastAsia" w:ascii="宋体" w:hAnsi="宋体"/>
          <w:color w:val="000000"/>
          <w:szCs w:val="21"/>
          <w:u w:val="single"/>
        </w:rPr>
        <w:t>不包含餐饮、超市、菜场等场所的垃圾清运处置费;</w:t>
      </w:r>
    </w:p>
    <w:p>
      <w:pPr>
        <w:tabs>
          <w:tab w:val="left" w:pos="190"/>
        </w:tabs>
        <w:spacing w:line="360" w:lineRule="atLeast"/>
        <w:rPr>
          <w:rFonts w:ascii="宋体" w:hAnsi="宋体"/>
          <w:szCs w:val="21"/>
        </w:rPr>
      </w:pPr>
      <w:r>
        <w:rPr>
          <w:rFonts w:ascii="宋体" w:hAnsi="宋体"/>
          <w:szCs w:val="21"/>
        </w:rPr>
        <w:tab/>
      </w:r>
      <w:r>
        <w:rPr>
          <w:rFonts w:hint="eastAsia" w:ascii="宋体" w:hAnsi="宋体"/>
          <w:szCs w:val="21"/>
        </w:rPr>
        <w:t>4、公共绿化的养护和管理；</w:t>
      </w:r>
    </w:p>
    <w:p>
      <w:pPr>
        <w:tabs>
          <w:tab w:val="left" w:pos="190"/>
        </w:tabs>
        <w:spacing w:line="360" w:lineRule="atLeast"/>
        <w:rPr>
          <w:rFonts w:ascii="宋体" w:hAnsi="宋体"/>
          <w:szCs w:val="21"/>
        </w:rPr>
      </w:pPr>
      <w:r>
        <w:rPr>
          <w:rFonts w:ascii="宋体" w:hAnsi="宋体"/>
          <w:szCs w:val="21"/>
        </w:rPr>
        <w:tab/>
      </w:r>
      <w:r>
        <w:rPr>
          <w:rFonts w:hint="eastAsia" w:ascii="宋体" w:hAnsi="宋体"/>
          <w:szCs w:val="21"/>
        </w:rPr>
        <w:t>5、车辆停放管理；</w:t>
      </w:r>
    </w:p>
    <w:p>
      <w:pPr>
        <w:tabs>
          <w:tab w:val="left" w:pos="190"/>
        </w:tabs>
        <w:spacing w:line="360" w:lineRule="atLeast"/>
        <w:rPr>
          <w:rFonts w:ascii="宋体" w:hAnsi="宋体"/>
          <w:szCs w:val="21"/>
        </w:rPr>
      </w:pPr>
      <w:r>
        <w:rPr>
          <w:rFonts w:ascii="宋体" w:hAnsi="宋体"/>
          <w:szCs w:val="21"/>
        </w:rPr>
        <w:tab/>
      </w:r>
      <w:r>
        <w:rPr>
          <w:rFonts w:hint="eastAsia" w:ascii="宋体" w:hAnsi="宋体"/>
          <w:szCs w:val="21"/>
        </w:rPr>
        <w:t>6、公共秩序维护、安全防范等事项的协助管理；</w:t>
      </w:r>
    </w:p>
    <w:p>
      <w:pPr>
        <w:tabs>
          <w:tab w:val="left" w:pos="600"/>
        </w:tabs>
        <w:spacing w:line="360" w:lineRule="atLeast"/>
        <w:ind w:firstLine="210" w:firstLineChars="100"/>
        <w:rPr>
          <w:rFonts w:ascii="宋体" w:hAnsi="宋体"/>
          <w:szCs w:val="21"/>
        </w:rPr>
      </w:pPr>
      <w:r>
        <w:rPr>
          <w:rFonts w:hint="eastAsia" w:ascii="宋体" w:hAnsi="宋体"/>
          <w:szCs w:val="21"/>
        </w:rPr>
        <w:t>7、装饰装修管理服务；</w:t>
      </w:r>
    </w:p>
    <w:p>
      <w:pPr>
        <w:spacing w:line="360" w:lineRule="atLeast"/>
        <w:ind w:firstLine="210" w:firstLineChars="100"/>
        <w:rPr>
          <w:rFonts w:ascii="宋体" w:hAnsi="宋体"/>
          <w:szCs w:val="21"/>
        </w:rPr>
      </w:pPr>
      <w:r>
        <w:rPr>
          <w:rFonts w:hint="eastAsia" w:ascii="宋体" w:hAnsi="宋体"/>
          <w:szCs w:val="21"/>
        </w:rPr>
        <w:t xml:space="preserve">8、物业档案资料管理。                                </w:t>
      </w:r>
    </w:p>
    <w:p>
      <w:pPr>
        <w:spacing w:line="360" w:lineRule="atLeast"/>
        <w:ind w:firstLine="210" w:firstLineChars="100"/>
        <w:rPr>
          <w:rFonts w:ascii="宋体" w:hAnsi="宋体"/>
          <w:szCs w:val="21"/>
        </w:rPr>
      </w:pPr>
      <w:r>
        <w:rPr>
          <w:rFonts w:hint="eastAsia" w:ascii="宋体" w:hAnsi="宋体"/>
          <w:szCs w:val="21"/>
        </w:rPr>
        <w:t>9、空置房管理。</w:t>
      </w:r>
    </w:p>
    <w:p>
      <w:pPr>
        <w:spacing w:line="360" w:lineRule="atLeast"/>
        <w:rPr>
          <w:rFonts w:ascii="宋体" w:hAnsi="宋体"/>
          <w:szCs w:val="21"/>
        </w:rPr>
      </w:pPr>
      <w:r>
        <w:rPr>
          <w:rFonts w:hint="eastAsia" w:ascii="宋体" w:hAnsi="宋体"/>
          <w:b/>
          <w:szCs w:val="21"/>
        </w:rPr>
        <w:t xml:space="preserve">第三条 </w:t>
      </w:r>
      <w:r>
        <w:rPr>
          <w:rFonts w:hint="eastAsia" w:ascii="宋体" w:hAnsi="宋体"/>
          <w:szCs w:val="21"/>
        </w:rPr>
        <w:t xml:space="preserve"> 在物业管理区域内，乙方提供的其他服务包括以下事项：</w:t>
      </w:r>
    </w:p>
    <w:p>
      <w:pPr>
        <w:tabs>
          <w:tab w:val="left" w:pos="355"/>
        </w:tabs>
        <w:spacing w:line="360" w:lineRule="atLeast"/>
        <w:rPr>
          <w:rFonts w:ascii="宋体" w:hAnsi="宋体"/>
          <w:szCs w:val="21"/>
          <w:u w:val="single"/>
        </w:rPr>
      </w:pPr>
      <w:r>
        <w:rPr>
          <w:rFonts w:ascii="宋体" w:hAnsi="宋体"/>
          <w:szCs w:val="21"/>
        </w:rPr>
        <w:tab/>
      </w:r>
      <w:r>
        <w:rPr>
          <w:rFonts w:hint="eastAsia" w:ascii="宋体" w:hAnsi="宋体"/>
          <w:szCs w:val="21"/>
        </w:rPr>
        <w:t>1、</w:t>
      </w:r>
      <w:r>
        <w:rPr>
          <w:rFonts w:hint="eastAsia" w:ascii="宋体" w:hAnsi="宋体"/>
          <w:szCs w:val="21"/>
          <w:u w:val="single"/>
        </w:rPr>
        <w:t xml:space="preserve">          /                                     </w:t>
      </w:r>
      <w:r>
        <w:rPr>
          <w:rFonts w:hint="eastAsia" w:ascii="宋体" w:hAnsi="宋体"/>
          <w:szCs w:val="21"/>
        </w:rPr>
        <w:t>；</w:t>
      </w:r>
    </w:p>
    <w:p>
      <w:pPr>
        <w:tabs>
          <w:tab w:val="left" w:pos="355"/>
        </w:tabs>
        <w:spacing w:line="360" w:lineRule="atLeast"/>
        <w:rPr>
          <w:rFonts w:ascii="宋体" w:hAnsi="宋体"/>
          <w:szCs w:val="21"/>
        </w:rPr>
      </w:pPr>
      <w:r>
        <w:rPr>
          <w:rFonts w:ascii="宋体" w:hAnsi="宋体"/>
          <w:szCs w:val="21"/>
        </w:rPr>
        <w:tab/>
      </w:r>
      <w:r>
        <w:rPr>
          <w:rFonts w:hint="eastAsia" w:ascii="宋体" w:hAnsi="宋体"/>
          <w:szCs w:val="21"/>
        </w:rPr>
        <w:t>2、</w:t>
      </w:r>
      <w:r>
        <w:rPr>
          <w:rFonts w:hint="eastAsia" w:ascii="宋体" w:hAnsi="宋体"/>
          <w:szCs w:val="21"/>
          <w:u w:val="single"/>
        </w:rPr>
        <w:t xml:space="preserve">          /                                      </w:t>
      </w:r>
      <w:r>
        <w:rPr>
          <w:rFonts w:hint="eastAsia" w:ascii="宋体" w:hAnsi="宋体"/>
          <w:szCs w:val="21"/>
        </w:rPr>
        <w:t>；</w:t>
      </w:r>
    </w:p>
    <w:p>
      <w:pPr>
        <w:tabs>
          <w:tab w:val="left" w:pos="355"/>
        </w:tabs>
        <w:spacing w:line="360" w:lineRule="atLeast"/>
        <w:rPr>
          <w:rFonts w:ascii="宋体" w:hAnsi="宋体"/>
          <w:szCs w:val="21"/>
        </w:rPr>
      </w:pPr>
      <w:r>
        <w:rPr>
          <w:rFonts w:ascii="宋体" w:hAnsi="宋体"/>
          <w:b/>
          <w:szCs w:val="21"/>
        </w:rPr>
        <w:tab/>
      </w:r>
      <w:r>
        <w:rPr>
          <w:rFonts w:hint="eastAsia" w:ascii="宋体" w:hAnsi="宋体"/>
          <w:szCs w:val="21"/>
        </w:rPr>
        <w:t>3</w:t>
      </w:r>
      <w:r>
        <w:rPr>
          <w:rFonts w:hint="eastAsia" w:ascii="宋体" w:hAnsi="宋体"/>
          <w:b/>
          <w:szCs w:val="21"/>
        </w:rPr>
        <w:t>、</w:t>
      </w:r>
      <w:r>
        <w:rPr>
          <w:rFonts w:hint="eastAsia" w:ascii="宋体" w:hAnsi="宋体"/>
          <w:szCs w:val="21"/>
          <w:u w:val="single"/>
        </w:rPr>
        <w:t xml:space="preserve">          /                                      </w:t>
      </w:r>
      <w:r>
        <w:rPr>
          <w:rFonts w:hint="eastAsia" w:ascii="宋体" w:hAnsi="宋体"/>
          <w:szCs w:val="21"/>
        </w:rPr>
        <w:t>。</w:t>
      </w:r>
    </w:p>
    <w:p>
      <w:pPr>
        <w:spacing w:line="360" w:lineRule="atLeast"/>
        <w:rPr>
          <w:rFonts w:ascii="宋体" w:hAnsi="宋体"/>
          <w:szCs w:val="21"/>
        </w:rPr>
      </w:pPr>
      <w:r>
        <w:rPr>
          <w:rFonts w:hint="eastAsia" w:ascii="宋体" w:hAnsi="宋体"/>
          <w:b/>
          <w:szCs w:val="21"/>
        </w:rPr>
        <w:t>第四条</w:t>
      </w:r>
      <w:r>
        <w:rPr>
          <w:rFonts w:hint="eastAsia" w:ascii="宋体" w:hAnsi="宋体"/>
          <w:szCs w:val="21"/>
        </w:rPr>
        <w:t xml:space="preserve">  乙方提供的前期物业管理服务应达到约定的质量标准。</w:t>
      </w:r>
    </w:p>
    <w:p>
      <w:pPr>
        <w:spacing w:line="360" w:lineRule="atLeast"/>
        <w:rPr>
          <w:rFonts w:ascii="宋体" w:hAnsi="宋体"/>
          <w:szCs w:val="21"/>
        </w:rPr>
      </w:pPr>
      <w:r>
        <w:rPr>
          <w:rFonts w:hint="eastAsia" w:ascii="宋体" w:hAnsi="宋体"/>
          <w:b/>
          <w:szCs w:val="21"/>
        </w:rPr>
        <w:t xml:space="preserve">第五条 </w:t>
      </w:r>
      <w:r>
        <w:rPr>
          <w:rFonts w:hint="eastAsia" w:ascii="宋体" w:hAnsi="宋体"/>
          <w:szCs w:val="21"/>
        </w:rPr>
        <w:t xml:space="preserve"> 单个业主可委托乙方对其物业的专有部分提供维修养护等服务，服务内容和费用由双方另行商定。</w:t>
      </w:r>
    </w:p>
    <w:p>
      <w:pPr>
        <w:tabs>
          <w:tab w:val="left" w:pos="2835"/>
        </w:tabs>
        <w:spacing w:line="360" w:lineRule="atLeast"/>
        <w:ind w:firstLine="2108" w:firstLineChars="1000"/>
        <w:rPr>
          <w:rFonts w:ascii="宋体" w:hAnsi="宋体"/>
          <w:b/>
          <w:szCs w:val="21"/>
        </w:rPr>
      </w:pPr>
    </w:p>
    <w:p>
      <w:pPr>
        <w:tabs>
          <w:tab w:val="left" w:pos="2835"/>
        </w:tabs>
        <w:spacing w:line="360" w:lineRule="atLeast"/>
        <w:ind w:firstLine="2108" w:firstLineChars="1000"/>
        <w:rPr>
          <w:rFonts w:ascii="宋体" w:hAnsi="宋体"/>
          <w:szCs w:val="21"/>
        </w:rPr>
      </w:pPr>
      <w:r>
        <w:rPr>
          <w:rFonts w:hint="eastAsia" w:ascii="宋体" w:hAnsi="宋体"/>
          <w:b/>
          <w:szCs w:val="21"/>
        </w:rPr>
        <w:t>第三章  服务费用</w:t>
      </w:r>
    </w:p>
    <w:p>
      <w:pPr>
        <w:spacing w:line="360" w:lineRule="atLeast"/>
        <w:rPr>
          <w:rFonts w:ascii="宋体" w:hAnsi="宋体"/>
          <w:szCs w:val="21"/>
        </w:rPr>
      </w:pPr>
      <w:r>
        <w:rPr>
          <w:rFonts w:hint="eastAsia" w:ascii="宋体" w:hAnsi="宋体"/>
          <w:b/>
          <w:szCs w:val="21"/>
        </w:rPr>
        <w:t xml:space="preserve">第六条 </w:t>
      </w:r>
      <w:r>
        <w:rPr>
          <w:rFonts w:hint="eastAsia" w:ascii="宋体" w:hAnsi="宋体"/>
          <w:szCs w:val="21"/>
        </w:rPr>
        <w:t xml:space="preserve"> 本物业管理区域物业服务收费选择以下第</w:t>
      </w:r>
      <w:r>
        <w:rPr>
          <w:rFonts w:hint="eastAsia" w:ascii="宋体" w:hAnsi="宋体"/>
          <w:szCs w:val="21"/>
          <w:u w:val="single"/>
        </w:rPr>
        <w:t xml:space="preserve">  一  </w:t>
      </w:r>
      <w:r>
        <w:rPr>
          <w:rFonts w:hint="eastAsia" w:ascii="宋体" w:hAnsi="宋体"/>
          <w:szCs w:val="21"/>
        </w:rPr>
        <w:t>种方式：</w:t>
      </w:r>
    </w:p>
    <w:p>
      <w:pPr>
        <w:tabs>
          <w:tab w:val="left" w:pos="190"/>
        </w:tabs>
        <w:spacing w:line="360" w:lineRule="atLeast"/>
        <w:rPr>
          <w:rFonts w:ascii="宋体" w:hAnsi="宋体"/>
          <w:szCs w:val="21"/>
        </w:rPr>
      </w:pPr>
      <w:r>
        <w:rPr>
          <w:rFonts w:ascii="宋体" w:hAnsi="宋体"/>
          <w:szCs w:val="21"/>
        </w:rPr>
        <w:tab/>
      </w:r>
      <w:r>
        <w:rPr>
          <w:rFonts w:hint="eastAsia" w:ascii="宋体" w:hAnsi="宋体"/>
          <w:szCs w:val="21"/>
        </w:rPr>
        <w:t>1、 包干制</w:t>
      </w:r>
    </w:p>
    <w:p>
      <w:pPr>
        <w:spacing w:line="360" w:lineRule="atLeast"/>
        <w:rPr>
          <w:rFonts w:ascii="宋体" w:hAnsi="宋体"/>
          <w:szCs w:val="21"/>
        </w:rPr>
      </w:pPr>
      <w:r>
        <w:rPr>
          <w:rFonts w:hint="eastAsia" w:ascii="宋体" w:hAnsi="宋体"/>
          <w:szCs w:val="21"/>
        </w:rPr>
        <w:t>物业服务费用由业主按其拥有物业的建筑面积交纳，具体标准如</w:t>
      </w:r>
      <w:r>
        <w:rPr>
          <w:rFonts w:hint="eastAsia" w:ascii="宋体" w:hAnsi="宋体"/>
          <w:b/>
          <w:szCs w:val="21"/>
        </w:rPr>
        <w:t>下</w:t>
      </w:r>
      <w:r>
        <w:rPr>
          <w:rFonts w:hint="eastAsia" w:ascii="宋体" w:hAnsi="宋体"/>
          <w:szCs w:val="21"/>
        </w:rPr>
        <w:t>：</w:t>
      </w:r>
    </w:p>
    <w:p>
      <w:pPr>
        <w:tabs>
          <w:tab w:val="left" w:pos="355"/>
        </w:tabs>
        <w:spacing w:line="360" w:lineRule="atLeast"/>
        <w:rPr>
          <w:rFonts w:ascii="宋体" w:hAnsi="宋体"/>
          <w:szCs w:val="21"/>
        </w:rPr>
      </w:pPr>
      <w:r>
        <w:rPr>
          <w:rFonts w:hint="eastAsia" w:ascii="宋体" w:hAnsi="宋体"/>
          <w:szCs w:val="21"/>
        </w:rPr>
        <w:t>（1）多层住宅：</w:t>
      </w:r>
      <w:r>
        <w:rPr>
          <w:rFonts w:hint="eastAsia" w:ascii="宋体" w:hAnsi="宋体"/>
          <w:szCs w:val="21"/>
          <w:u w:val="single"/>
        </w:rPr>
        <w:t xml:space="preserve">   /    </w:t>
      </w:r>
      <w:r>
        <w:rPr>
          <w:rFonts w:hint="eastAsia" w:ascii="宋体" w:hAnsi="宋体"/>
          <w:szCs w:val="21"/>
        </w:rPr>
        <w:t>元/月/平方米；</w:t>
      </w:r>
    </w:p>
    <w:p>
      <w:pPr>
        <w:tabs>
          <w:tab w:val="left" w:pos="355"/>
        </w:tabs>
        <w:spacing w:line="360" w:lineRule="atLeast"/>
        <w:rPr>
          <w:rFonts w:ascii="宋体" w:hAnsi="宋体"/>
          <w:szCs w:val="21"/>
        </w:rPr>
      </w:pPr>
      <w:r>
        <w:rPr>
          <w:rFonts w:hint="eastAsia" w:ascii="宋体" w:hAnsi="宋体"/>
          <w:szCs w:val="21"/>
        </w:rPr>
        <w:t>（2）高层住宅：</w:t>
      </w:r>
      <w:r>
        <w:rPr>
          <w:rFonts w:hint="eastAsia" w:ascii="宋体" w:hAnsi="宋体"/>
          <w:szCs w:val="21"/>
          <w:u w:val="single"/>
        </w:rPr>
        <w:t xml:space="preserve">  /     </w:t>
      </w:r>
      <w:r>
        <w:rPr>
          <w:rFonts w:hint="eastAsia" w:ascii="宋体" w:hAnsi="宋体"/>
          <w:szCs w:val="21"/>
        </w:rPr>
        <w:t>元/月/平方米</w:t>
      </w:r>
    </w:p>
    <w:p>
      <w:pPr>
        <w:tabs>
          <w:tab w:val="left" w:pos="355"/>
        </w:tabs>
        <w:spacing w:line="360" w:lineRule="atLeast"/>
        <w:rPr>
          <w:rFonts w:ascii="宋体" w:hAnsi="宋体"/>
          <w:szCs w:val="21"/>
        </w:rPr>
      </w:pPr>
      <w:r>
        <w:rPr>
          <w:rFonts w:hint="eastAsia" w:ascii="宋体" w:hAnsi="宋体"/>
          <w:szCs w:val="21"/>
        </w:rPr>
        <w:t>（3）小高层住宅：</w:t>
      </w:r>
      <w:r>
        <w:rPr>
          <w:rFonts w:hint="eastAsia" w:ascii="宋体" w:hAnsi="宋体"/>
          <w:szCs w:val="21"/>
          <w:u w:val="single"/>
        </w:rPr>
        <w:t xml:space="preserve">  /    </w:t>
      </w:r>
      <w:r>
        <w:rPr>
          <w:rFonts w:hint="eastAsia" w:ascii="宋体" w:hAnsi="宋体"/>
          <w:szCs w:val="21"/>
        </w:rPr>
        <w:t>元/月/平方米</w:t>
      </w:r>
    </w:p>
    <w:p>
      <w:pPr>
        <w:tabs>
          <w:tab w:val="left" w:pos="635"/>
        </w:tabs>
        <w:spacing w:line="360" w:lineRule="atLeast"/>
        <w:rPr>
          <w:rFonts w:ascii="宋体" w:hAnsi="宋体"/>
          <w:szCs w:val="21"/>
        </w:rPr>
      </w:pPr>
      <w:r>
        <w:rPr>
          <w:rFonts w:hint="eastAsia" w:ascii="宋体" w:hAnsi="宋体"/>
          <w:szCs w:val="21"/>
        </w:rPr>
        <w:t>（4）商业物业</w:t>
      </w:r>
      <w:r>
        <w:rPr>
          <w:rFonts w:hint="eastAsia" w:ascii="宋体" w:hAnsi="宋体"/>
          <w:szCs w:val="21"/>
          <w:u w:val="single"/>
        </w:rPr>
        <w:t xml:space="preserve">       </w:t>
      </w:r>
      <w:r>
        <w:rPr>
          <w:rFonts w:hint="eastAsia" w:ascii="宋体" w:hAnsi="宋体"/>
          <w:szCs w:val="21"/>
        </w:rPr>
        <w:t>元/月/平方米；</w:t>
      </w:r>
    </w:p>
    <w:p>
      <w:pPr>
        <w:spacing w:line="360" w:lineRule="atLeast"/>
        <w:rPr>
          <w:rFonts w:ascii="宋体" w:hAnsi="宋体"/>
          <w:szCs w:val="21"/>
        </w:rPr>
      </w:pPr>
      <w:r>
        <w:rPr>
          <w:rFonts w:hint="eastAsia" w:ascii="宋体" w:hAnsi="宋体"/>
          <w:szCs w:val="21"/>
        </w:rPr>
        <w:t>（5）未出售的多层住宅：</w:t>
      </w:r>
      <w:r>
        <w:rPr>
          <w:rFonts w:hint="eastAsia" w:ascii="宋体" w:hAnsi="宋体"/>
          <w:szCs w:val="21"/>
          <w:u w:val="single"/>
        </w:rPr>
        <w:t xml:space="preserve">    /  </w:t>
      </w:r>
      <w:r>
        <w:rPr>
          <w:rFonts w:hint="eastAsia" w:ascii="宋体" w:hAnsi="宋体"/>
          <w:szCs w:val="21"/>
        </w:rPr>
        <w:t>元/月/平方米；</w:t>
      </w:r>
    </w:p>
    <w:p>
      <w:pPr>
        <w:spacing w:line="360" w:lineRule="atLeast"/>
        <w:rPr>
          <w:rFonts w:ascii="宋体" w:hAnsi="宋体"/>
          <w:szCs w:val="21"/>
        </w:rPr>
      </w:pPr>
      <w:r>
        <w:rPr>
          <w:rFonts w:hint="eastAsia" w:ascii="宋体" w:hAnsi="宋体"/>
          <w:szCs w:val="21"/>
        </w:rPr>
        <w:t>（6）未出售的高层住宅</w:t>
      </w:r>
      <w:r>
        <w:rPr>
          <w:rFonts w:hint="eastAsia" w:ascii="宋体" w:hAnsi="宋体"/>
          <w:szCs w:val="21"/>
          <w:u w:val="single"/>
        </w:rPr>
        <w:t xml:space="preserve">     /  </w:t>
      </w:r>
      <w:r>
        <w:rPr>
          <w:rFonts w:hint="eastAsia" w:ascii="宋体" w:hAnsi="宋体"/>
          <w:szCs w:val="21"/>
        </w:rPr>
        <w:t>元/月/平方米；</w:t>
      </w:r>
    </w:p>
    <w:p>
      <w:pPr>
        <w:spacing w:line="360" w:lineRule="atLeast"/>
        <w:rPr>
          <w:rFonts w:ascii="宋体" w:hAnsi="宋体"/>
          <w:szCs w:val="21"/>
        </w:rPr>
      </w:pPr>
      <w:r>
        <w:rPr>
          <w:rFonts w:hint="eastAsia" w:ascii="宋体" w:hAnsi="宋体"/>
          <w:szCs w:val="21"/>
        </w:rPr>
        <w:t>（7）未出售的小高层住宅：</w:t>
      </w:r>
      <w:r>
        <w:rPr>
          <w:rFonts w:hint="eastAsia" w:ascii="宋体" w:hAnsi="宋体"/>
          <w:szCs w:val="21"/>
          <w:u w:val="single"/>
        </w:rPr>
        <w:t xml:space="preserve">  /   </w:t>
      </w:r>
      <w:r>
        <w:rPr>
          <w:rFonts w:hint="eastAsia" w:ascii="宋体" w:hAnsi="宋体"/>
          <w:szCs w:val="21"/>
        </w:rPr>
        <w:t>元/月/平方米</w:t>
      </w:r>
    </w:p>
    <w:p>
      <w:pPr>
        <w:spacing w:line="360" w:lineRule="atLeast"/>
        <w:rPr>
          <w:rFonts w:ascii="宋体" w:hAnsi="宋体"/>
          <w:szCs w:val="21"/>
        </w:rPr>
      </w:pPr>
      <w:r>
        <w:rPr>
          <w:rFonts w:hint="eastAsia" w:ascii="宋体" w:hAnsi="宋体"/>
          <w:szCs w:val="21"/>
        </w:rPr>
        <w:t>（8）未出售的商业物业：</w:t>
      </w:r>
      <w:r>
        <w:rPr>
          <w:rFonts w:hint="eastAsia" w:ascii="宋体" w:hAnsi="宋体"/>
          <w:szCs w:val="21"/>
          <w:u w:val="single"/>
        </w:rPr>
        <w:t xml:space="preserve">        </w:t>
      </w:r>
      <w:r>
        <w:rPr>
          <w:rFonts w:hint="eastAsia" w:ascii="宋体" w:hAnsi="宋体"/>
          <w:szCs w:val="21"/>
        </w:rPr>
        <w:t>元/月/平方米。</w:t>
      </w:r>
    </w:p>
    <w:p>
      <w:pPr>
        <w:tabs>
          <w:tab w:val="left" w:pos="55"/>
        </w:tabs>
        <w:spacing w:line="360" w:lineRule="atLeast"/>
        <w:ind w:firstLine="210" w:firstLineChars="100"/>
        <w:rPr>
          <w:rFonts w:ascii="宋体" w:hAnsi="宋体"/>
          <w:szCs w:val="21"/>
        </w:rPr>
      </w:pPr>
      <w:r>
        <w:rPr>
          <w:rFonts w:hint="eastAsia" w:ascii="宋体" w:hAnsi="宋体"/>
          <w:szCs w:val="21"/>
        </w:rPr>
        <w:t>注：地下车库面积甲方不支付前期物业管理费</w:t>
      </w:r>
    </w:p>
    <w:p>
      <w:pPr>
        <w:tabs>
          <w:tab w:val="left" w:pos="55"/>
        </w:tabs>
        <w:spacing w:line="360" w:lineRule="atLeast"/>
        <w:rPr>
          <w:rFonts w:ascii="宋体" w:hAnsi="宋体"/>
          <w:szCs w:val="21"/>
        </w:rPr>
      </w:pPr>
      <w:r>
        <w:rPr>
          <w:rFonts w:ascii="宋体" w:hAnsi="宋体"/>
          <w:szCs w:val="21"/>
        </w:rPr>
        <w:tab/>
      </w:r>
      <w:r>
        <w:rPr>
          <w:rFonts w:hint="eastAsia" w:ascii="宋体" w:hAnsi="宋体"/>
          <w:szCs w:val="21"/>
        </w:rPr>
        <w:t>物业服务费用主要用于以下开支：</w:t>
      </w:r>
    </w:p>
    <w:p>
      <w:pPr>
        <w:spacing w:line="360" w:lineRule="atLeast"/>
        <w:rPr>
          <w:rFonts w:ascii="宋体" w:hAnsi="宋体"/>
          <w:szCs w:val="21"/>
        </w:rPr>
      </w:pPr>
      <w:r>
        <w:rPr>
          <w:rFonts w:hint="eastAsia" w:ascii="宋体" w:hAnsi="宋体"/>
          <w:szCs w:val="21"/>
        </w:rPr>
        <w:t>（1）管理服务人员的工资、社会保险和按规定提取的福利费等；</w:t>
      </w:r>
    </w:p>
    <w:p>
      <w:pPr>
        <w:spacing w:line="360" w:lineRule="atLeast"/>
        <w:rPr>
          <w:rFonts w:ascii="宋体" w:hAnsi="宋体"/>
          <w:szCs w:val="21"/>
        </w:rPr>
      </w:pPr>
      <w:r>
        <w:rPr>
          <w:rFonts w:hint="eastAsia" w:ascii="宋体" w:hAnsi="宋体"/>
          <w:szCs w:val="21"/>
        </w:rPr>
        <w:t>（2）物业公用部位、公用设施设备的日常运行、维护费用；</w:t>
      </w:r>
    </w:p>
    <w:p>
      <w:pPr>
        <w:spacing w:line="360" w:lineRule="atLeast"/>
        <w:rPr>
          <w:rFonts w:ascii="宋体" w:hAnsi="宋体"/>
          <w:color w:val="000000"/>
          <w:szCs w:val="21"/>
        </w:rPr>
      </w:pPr>
      <w:r>
        <w:rPr>
          <w:rFonts w:hint="eastAsia" w:ascii="宋体" w:hAnsi="宋体"/>
          <w:szCs w:val="21"/>
        </w:rPr>
        <w:t>（3）物业管理区域清洁卫生费用；</w:t>
      </w:r>
      <w:r>
        <w:rPr>
          <w:rFonts w:hint="eastAsia" w:ascii="宋体" w:hAnsi="宋体"/>
          <w:color w:val="000000"/>
          <w:szCs w:val="21"/>
          <w:u w:val="single"/>
        </w:rPr>
        <w:t>不包含餐饮、超市、菜场等场所的垃圾清运处置费;</w:t>
      </w:r>
    </w:p>
    <w:p>
      <w:pPr>
        <w:spacing w:line="360" w:lineRule="atLeast"/>
        <w:rPr>
          <w:rFonts w:ascii="宋体" w:hAnsi="宋体"/>
          <w:szCs w:val="21"/>
        </w:rPr>
      </w:pPr>
      <w:r>
        <w:rPr>
          <w:rFonts w:hint="eastAsia" w:ascii="宋体" w:hAnsi="宋体"/>
          <w:szCs w:val="21"/>
        </w:rPr>
        <w:t>（4）物业管理区域绿化养护费用；</w:t>
      </w:r>
    </w:p>
    <w:p>
      <w:pPr>
        <w:spacing w:line="360" w:lineRule="atLeast"/>
        <w:rPr>
          <w:rFonts w:ascii="宋体" w:hAnsi="宋体"/>
          <w:szCs w:val="21"/>
        </w:rPr>
      </w:pPr>
      <w:r>
        <w:rPr>
          <w:rFonts w:hint="eastAsia" w:ascii="宋体" w:hAnsi="宋体"/>
          <w:szCs w:val="21"/>
        </w:rPr>
        <w:t>（5）物业管理区域秩序维护费用；</w:t>
      </w:r>
    </w:p>
    <w:p>
      <w:pPr>
        <w:spacing w:line="360" w:lineRule="atLeast"/>
        <w:rPr>
          <w:rFonts w:ascii="宋体" w:hAnsi="宋体"/>
          <w:szCs w:val="21"/>
        </w:rPr>
      </w:pPr>
      <w:r>
        <w:rPr>
          <w:rFonts w:hint="eastAsia" w:ascii="宋体" w:hAnsi="宋体"/>
          <w:szCs w:val="21"/>
        </w:rPr>
        <w:t>（6）办公费用；</w:t>
      </w:r>
    </w:p>
    <w:p>
      <w:pPr>
        <w:spacing w:line="360" w:lineRule="atLeast"/>
        <w:rPr>
          <w:rFonts w:ascii="宋体" w:hAnsi="宋体"/>
          <w:szCs w:val="21"/>
        </w:rPr>
      </w:pPr>
      <w:r>
        <w:rPr>
          <w:rFonts w:hint="eastAsia" w:ascii="宋体" w:hAnsi="宋体"/>
          <w:szCs w:val="21"/>
        </w:rPr>
        <w:t>（7）物业管理企业固定资产折旧；</w:t>
      </w:r>
    </w:p>
    <w:p>
      <w:pPr>
        <w:spacing w:line="360" w:lineRule="atLeast"/>
        <w:rPr>
          <w:rFonts w:ascii="宋体" w:hAnsi="宋体"/>
          <w:szCs w:val="21"/>
        </w:rPr>
      </w:pPr>
      <w:r>
        <w:rPr>
          <w:rFonts w:hint="eastAsia" w:ascii="宋体" w:hAnsi="宋体"/>
          <w:szCs w:val="21"/>
        </w:rPr>
        <w:t>（8）物业共用部位、共用设施设备及公众责任保险费用；</w:t>
      </w:r>
    </w:p>
    <w:p>
      <w:pPr>
        <w:tabs>
          <w:tab w:val="left" w:pos="645"/>
        </w:tabs>
        <w:spacing w:line="360" w:lineRule="atLeast"/>
        <w:rPr>
          <w:rFonts w:ascii="宋体" w:hAnsi="宋体"/>
          <w:szCs w:val="21"/>
        </w:rPr>
      </w:pPr>
      <w:r>
        <w:rPr>
          <w:rFonts w:hint="eastAsia" w:ascii="宋体" w:hAnsi="宋体"/>
          <w:szCs w:val="21"/>
        </w:rPr>
        <w:t>（9）法定税收；</w:t>
      </w:r>
    </w:p>
    <w:p>
      <w:pPr>
        <w:spacing w:line="360" w:lineRule="atLeast"/>
        <w:rPr>
          <w:rFonts w:ascii="宋体" w:hAnsi="宋体"/>
          <w:szCs w:val="21"/>
        </w:rPr>
      </w:pPr>
      <w:r>
        <w:rPr>
          <w:rFonts w:hint="eastAsia" w:ascii="宋体" w:hAnsi="宋体"/>
          <w:szCs w:val="21"/>
        </w:rPr>
        <w:t>（10）物业管理企业的利润；</w:t>
      </w:r>
    </w:p>
    <w:p>
      <w:pPr>
        <w:spacing w:line="360" w:lineRule="atLeast"/>
        <w:rPr>
          <w:rFonts w:ascii="宋体" w:hAnsi="宋体"/>
          <w:szCs w:val="21"/>
        </w:rPr>
      </w:pPr>
      <w:r>
        <w:rPr>
          <w:rFonts w:hint="eastAsia" w:ascii="宋体" w:hAnsi="宋体"/>
          <w:szCs w:val="21"/>
        </w:rPr>
        <w:t>（11）</w:t>
      </w:r>
      <w:r>
        <w:rPr>
          <w:rFonts w:hint="eastAsia" w:ascii="宋体" w:hAnsi="宋体"/>
          <w:szCs w:val="21"/>
          <w:u w:val="single"/>
        </w:rPr>
        <w:t xml:space="preserve">        /            </w:t>
      </w:r>
      <w:r>
        <w:rPr>
          <w:rFonts w:hint="eastAsia" w:ascii="宋体" w:hAnsi="宋体"/>
          <w:szCs w:val="21"/>
        </w:rPr>
        <w:t>。</w:t>
      </w:r>
    </w:p>
    <w:p>
      <w:pPr>
        <w:spacing w:line="360" w:lineRule="atLeast"/>
        <w:ind w:firstLine="315" w:firstLineChars="150"/>
        <w:rPr>
          <w:rFonts w:ascii="宋体" w:hAnsi="宋体"/>
          <w:szCs w:val="21"/>
        </w:rPr>
      </w:pPr>
      <w:r>
        <w:rPr>
          <w:rFonts w:hint="eastAsia" w:ascii="宋体" w:hAnsi="宋体"/>
          <w:szCs w:val="21"/>
        </w:rPr>
        <w:t>乙方按照上述标准收取物业服务费用，并按本合同约定的服务内容和质量标准提供服务，盈余或亏损由乙方享有或承担。</w:t>
      </w:r>
    </w:p>
    <w:p>
      <w:pPr>
        <w:tabs>
          <w:tab w:val="left" w:pos="645"/>
        </w:tabs>
        <w:spacing w:line="360" w:lineRule="atLeast"/>
        <w:ind w:left="210" w:hanging="210" w:hangingChars="100"/>
        <w:rPr>
          <w:rFonts w:ascii="宋体" w:hAnsi="宋体"/>
          <w:szCs w:val="21"/>
        </w:rPr>
      </w:pPr>
      <w:r>
        <w:rPr>
          <w:rFonts w:hint="eastAsia" w:ascii="宋体" w:hAnsi="宋体"/>
          <w:szCs w:val="21"/>
        </w:rPr>
        <w:t xml:space="preserve">   甲方向乙方提供前期物业管理启动资金按《平湖市物业管理实施办法》第二十三条执行。</w:t>
      </w:r>
    </w:p>
    <w:p>
      <w:pPr>
        <w:spacing w:line="360" w:lineRule="atLeast"/>
        <w:rPr>
          <w:rFonts w:ascii="宋体" w:hAnsi="宋体"/>
          <w:szCs w:val="21"/>
        </w:rPr>
      </w:pPr>
      <w:r>
        <w:rPr>
          <w:rFonts w:hint="eastAsia" w:ascii="宋体" w:hAnsi="宋体"/>
          <w:b/>
          <w:szCs w:val="21"/>
        </w:rPr>
        <w:t>第七条</w:t>
      </w:r>
      <w:r>
        <w:rPr>
          <w:rFonts w:hint="eastAsia" w:ascii="宋体" w:hAnsi="宋体"/>
          <w:szCs w:val="21"/>
        </w:rPr>
        <w:t xml:space="preserve">  业主应于</w:t>
      </w:r>
      <w:r>
        <w:rPr>
          <w:rFonts w:hint="eastAsia" w:ascii="宋体" w:hAnsi="宋体"/>
          <w:szCs w:val="21"/>
          <w:u w:val="single"/>
        </w:rPr>
        <w:t xml:space="preserve">  房屋交付次月  </w:t>
      </w:r>
      <w:r>
        <w:rPr>
          <w:rFonts w:hint="eastAsia" w:ascii="宋体" w:hAnsi="宋体"/>
          <w:szCs w:val="21"/>
        </w:rPr>
        <w:t>起交纳物业服务费用（物业服务资金）。</w:t>
      </w:r>
    </w:p>
    <w:p>
      <w:pPr>
        <w:spacing w:line="360" w:lineRule="atLeast"/>
        <w:ind w:firstLine="420" w:firstLineChars="200"/>
        <w:rPr>
          <w:rFonts w:ascii="宋体" w:hAnsi="宋体"/>
          <w:szCs w:val="21"/>
        </w:rPr>
      </w:pPr>
      <w:r>
        <w:rPr>
          <w:rFonts w:hint="eastAsia" w:ascii="宋体" w:hAnsi="宋体"/>
          <w:szCs w:val="21"/>
        </w:rPr>
        <w:t>业主与物业使用人约定由物业使用人交纳物业服务费用（物业服务资金）的，从其约定，业主负连带交纳责任。业主与物业使用人之间的交费约定，业主应及时书面告知乙方。</w:t>
      </w:r>
    </w:p>
    <w:p>
      <w:pPr>
        <w:spacing w:line="360" w:lineRule="atLeast"/>
        <w:ind w:firstLine="420" w:firstLineChars="200"/>
        <w:rPr>
          <w:rFonts w:ascii="宋体" w:hAnsi="宋体"/>
          <w:szCs w:val="21"/>
        </w:rPr>
      </w:pPr>
      <w:r>
        <w:rPr>
          <w:rFonts w:hint="eastAsia" w:ascii="宋体" w:hAnsi="宋体"/>
          <w:szCs w:val="21"/>
        </w:rPr>
        <w:t>物业服务费用（物业服务资金）按</w:t>
      </w:r>
      <w:r>
        <w:rPr>
          <w:rFonts w:hint="eastAsia" w:ascii="宋体" w:hAnsi="宋体"/>
          <w:szCs w:val="21"/>
          <w:u w:val="single"/>
        </w:rPr>
        <w:t xml:space="preserve"> 年 </w:t>
      </w:r>
      <w:r>
        <w:rPr>
          <w:rFonts w:hint="eastAsia" w:ascii="宋体" w:hAnsi="宋体"/>
          <w:szCs w:val="21"/>
        </w:rPr>
        <w:t>交纳，甲方应在一年期满后一个月内付清。</w:t>
      </w:r>
    </w:p>
    <w:p>
      <w:pPr>
        <w:spacing w:line="360" w:lineRule="atLeast"/>
        <w:rPr>
          <w:rFonts w:ascii="宋体" w:hAnsi="宋体"/>
          <w:szCs w:val="21"/>
        </w:rPr>
      </w:pPr>
      <w:r>
        <w:rPr>
          <w:rFonts w:hint="eastAsia" w:ascii="宋体" w:hAnsi="宋体"/>
          <w:b/>
          <w:szCs w:val="21"/>
        </w:rPr>
        <w:t>第八条</w:t>
      </w:r>
      <w:r>
        <w:rPr>
          <w:rFonts w:hint="eastAsia" w:ascii="宋体" w:hAnsi="宋体"/>
          <w:szCs w:val="21"/>
        </w:rPr>
        <w:t xml:space="preserve">  物业服务费用实行酬金制方式计费的，乙方应向全体业主公布物业管理年度计划和物业服务资金年度预决算，并每年</w:t>
      </w:r>
      <w:r>
        <w:rPr>
          <w:rFonts w:hint="eastAsia" w:ascii="宋体" w:hAnsi="宋体"/>
          <w:szCs w:val="21"/>
          <w:u w:val="single"/>
        </w:rPr>
        <w:t xml:space="preserve">   </w:t>
      </w:r>
      <w:r>
        <w:rPr>
          <w:rFonts w:hint="eastAsia" w:ascii="宋体" w:hAnsi="宋体"/>
          <w:szCs w:val="21"/>
        </w:rPr>
        <w:t>次向全体业主公布物业服务资金的收支情况。</w:t>
      </w:r>
    </w:p>
    <w:p>
      <w:pPr>
        <w:spacing w:line="360" w:lineRule="atLeast"/>
        <w:rPr>
          <w:rFonts w:ascii="宋体" w:hAnsi="宋体"/>
          <w:szCs w:val="21"/>
        </w:rPr>
      </w:pPr>
      <w:r>
        <w:rPr>
          <w:rFonts w:hint="eastAsia" w:ascii="宋体" w:hAnsi="宋体"/>
          <w:szCs w:val="21"/>
        </w:rPr>
        <w:t>对物业服务资金收支情况有争议的，甲乙双方同意采取以下方式解决：</w:t>
      </w:r>
    </w:p>
    <w:p>
      <w:pPr>
        <w:spacing w:line="360" w:lineRule="atLeas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w:t>
      </w:r>
    </w:p>
    <w:p>
      <w:pPr>
        <w:tabs>
          <w:tab w:val="left" w:pos="325"/>
        </w:tabs>
        <w:spacing w:line="360" w:lineRule="atLeast"/>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w:t>
      </w:r>
    </w:p>
    <w:p>
      <w:pPr>
        <w:tabs>
          <w:tab w:val="left" w:pos="325"/>
        </w:tabs>
        <w:spacing w:line="360" w:lineRule="atLeast"/>
        <w:rPr>
          <w:rFonts w:ascii="宋体" w:hAnsi="宋体"/>
          <w:b/>
          <w:szCs w:val="21"/>
        </w:rPr>
      </w:pPr>
    </w:p>
    <w:p>
      <w:pPr>
        <w:tabs>
          <w:tab w:val="left" w:pos="325"/>
        </w:tabs>
        <w:spacing w:line="360" w:lineRule="atLeast"/>
        <w:jc w:val="center"/>
        <w:rPr>
          <w:rFonts w:ascii="宋体" w:hAnsi="宋体"/>
          <w:szCs w:val="21"/>
        </w:rPr>
      </w:pPr>
      <w:r>
        <w:rPr>
          <w:rFonts w:hint="eastAsia" w:ascii="宋体" w:hAnsi="宋体"/>
          <w:b/>
          <w:szCs w:val="21"/>
        </w:rPr>
        <w:t>第四章  物业的经营与管理</w:t>
      </w:r>
    </w:p>
    <w:p>
      <w:pPr>
        <w:spacing w:line="360" w:lineRule="atLeast"/>
        <w:rPr>
          <w:rFonts w:ascii="宋体" w:hAnsi="宋体"/>
          <w:szCs w:val="21"/>
        </w:rPr>
      </w:pPr>
      <w:r>
        <w:rPr>
          <w:rFonts w:hint="eastAsia" w:ascii="宋体" w:hAnsi="宋体"/>
          <w:b/>
          <w:szCs w:val="21"/>
        </w:rPr>
        <w:t xml:space="preserve">第九条 </w:t>
      </w:r>
      <w:r>
        <w:rPr>
          <w:rFonts w:hint="eastAsia" w:ascii="宋体" w:hAnsi="宋体"/>
          <w:szCs w:val="21"/>
        </w:rPr>
        <w:t xml:space="preserve"> 停车场收费分别采取以下方式：（另行约定）</w:t>
      </w:r>
    </w:p>
    <w:p>
      <w:pPr>
        <w:tabs>
          <w:tab w:val="left" w:pos="85"/>
        </w:tabs>
        <w:spacing w:line="360" w:lineRule="atLeast"/>
        <w:rPr>
          <w:rFonts w:ascii="宋体" w:hAnsi="宋体"/>
          <w:szCs w:val="21"/>
        </w:rPr>
      </w:pPr>
      <w:r>
        <w:rPr>
          <w:rFonts w:ascii="宋体" w:hAnsi="宋体"/>
          <w:szCs w:val="21"/>
        </w:rPr>
        <w:tab/>
      </w:r>
      <w:r>
        <w:rPr>
          <w:rFonts w:hint="eastAsia" w:ascii="宋体" w:hAnsi="宋体"/>
          <w:szCs w:val="21"/>
        </w:rPr>
        <w:t>1、停车场属于全体业主共有的，车位使用人应按露天车位</w:t>
      </w:r>
      <w:r>
        <w:rPr>
          <w:rFonts w:hint="eastAsia" w:ascii="宋体" w:hAnsi="宋体"/>
          <w:szCs w:val="21"/>
          <w:u w:val="single"/>
        </w:rPr>
        <w:t xml:space="preserve">    </w:t>
      </w:r>
      <w:r>
        <w:rPr>
          <w:rFonts w:hint="eastAsia" w:ascii="宋体" w:hAnsi="宋体"/>
          <w:szCs w:val="21"/>
        </w:rPr>
        <w:t>元/个/月、车库车位</w:t>
      </w:r>
      <w:r>
        <w:rPr>
          <w:rFonts w:hint="eastAsia" w:ascii="宋体" w:hAnsi="宋体"/>
          <w:szCs w:val="21"/>
          <w:u w:val="single"/>
        </w:rPr>
        <w:t xml:space="preserve">    </w:t>
      </w:r>
      <w:r>
        <w:rPr>
          <w:rFonts w:hint="eastAsia" w:ascii="宋体" w:hAnsi="宋体"/>
          <w:szCs w:val="21"/>
        </w:rPr>
        <w:t>元/个/月的标准向乙方交纳停车费。乙方从停车费中按露天车位</w:t>
      </w:r>
      <w:r>
        <w:rPr>
          <w:rFonts w:hint="eastAsia" w:ascii="宋体" w:hAnsi="宋体"/>
          <w:szCs w:val="21"/>
          <w:u w:val="single"/>
        </w:rPr>
        <w:t xml:space="preserve">     </w:t>
      </w:r>
      <w:r>
        <w:rPr>
          <w:rFonts w:hint="eastAsia" w:ascii="宋体" w:hAnsi="宋体"/>
          <w:szCs w:val="21"/>
        </w:rPr>
        <w:t>元/个/月、车库车位</w:t>
      </w:r>
      <w:r>
        <w:rPr>
          <w:rFonts w:hint="eastAsia" w:ascii="宋体" w:hAnsi="宋体"/>
          <w:szCs w:val="21"/>
          <w:u w:val="single"/>
        </w:rPr>
        <w:t xml:space="preserve">    </w:t>
      </w:r>
      <w:r>
        <w:rPr>
          <w:rFonts w:hint="eastAsia" w:ascii="宋体" w:hAnsi="宋体"/>
          <w:szCs w:val="21"/>
        </w:rPr>
        <w:t>元/个/月的标准提取停车管理服务费。</w:t>
      </w:r>
    </w:p>
    <w:p>
      <w:pPr>
        <w:tabs>
          <w:tab w:val="left" w:pos="85"/>
        </w:tabs>
        <w:spacing w:line="360" w:lineRule="atLeast"/>
        <w:rPr>
          <w:rFonts w:ascii="宋体" w:hAnsi="宋体"/>
          <w:szCs w:val="21"/>
        </w:rPr>
      </w:pPr>
      <w:r>
        <w:rPr>
          <w:rFonts w:hint="eastAsia" w:ascii="宋体" w:hAnsi="宋体"/>
          <w:szCs w:val="21"/>
        </w:rPr>
        <w:t>2、停车场属于甲方所有、委托乙方管理的，业主和物业使用人有优先使用权，车位使用人应按露天车位</w:t>
      </w:r>
      <w:r>
        <w:rPr>
          <w:rFonts w:hint="eastAsia"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月、车库车位</w:t>
      </w:r>
      <w:r>
        <w:rPr>
          <w:rFonts w:hint="eastAsia" w:ascii="宋体" w:hAnsi="宋体"/>
          <w:szCs w:val="21"/>
          <w:u w:val="single"/>
        </w:rPr>
        <w:t xml:space="preserve">     </w:t>
      </w:r>
      <w:r>
        <w:rPr>
          <w:rFonts w:hint="eastAsia" w:ascii="宋体" w:hAnsi="宋体"/>
          <w:szCs w:val="21"/>
        </w:rPr>
        <w:t>元/个/月的标准向乙方交纳停车费。乙方从停车费中按露天车位</w:t>
      </w:r>
      <w:r>
        <w:rPr>
          <w:rFonts w:hint="eastAsia" w:ascii="宋体" w:hAnsi="宋体"/>
          <w:szCs w:val="21"/>
          <w:u w:val="single"/>
        </w:rPr>
        <w:t xml:space="preserve">    </w:t>
      </w:r>
      <w:r>
        <w:rPr>
          <w:rFonts w:hint="eastAsia" w:ascii="宋体" w:hAnsi="宋体"/>
          <w:szCs w:val="21"/>
        </w:rPr>
        <w:t>元/个</w:t>
      </w:r>
      <w:r>
        <w:rPr>
          <w:rFonts w:ascii="宋体" w:hAnsi="宋体"/>
          <w:szCs w:val="21"/>
        </w:rPr>
        <w:t>/</w:t>
      </w:r>
      <w:r>
        <w:rPr>
          <w:rFonts w:hint="eastAsia" w:ascii="宋体" w:hAnsi="宋体"/>
          <w:szCs w:val="21"/>
        </w:rPr>
        <w:t>月、车库车位</w:t>
      </w:r>
      <w:r>
        <w:rPr>
          <w:rFonts w:hint="eastAsia" w:ascii="宋体" w:hAnsi="宋体"/>
          <w:szCs w:val="21"/>
          <w:u w:val="single"/>
        </w:rPr>
        <w:t xml:space="preserve">    </w:t>
      </w:r>
      <w:r>
        <w:rPr>
          <w:rFonts w:hint="eastAsia" w:ascii="宋体" w:hAnsi="宋体"/>
          <w:szCs w:val="21"/>
        </w:rPr>
        <w:t>元/个</w:t>
      </w:r>
      <w:r>
        <w:rPr>
          <w:rFonts w:ascii="宋体" w:hAnsi="宋体"/>
          <w:szCs w:val="21"/>
        </w:rPr>
        <w:t>/</w:t>
      </w:r>
      <w:r>
        <w:rPr>
          <w:rFonts w:hint="eastAsia" w:ascii="宋体" w:hAnsi="宋体"/>
          <w:szCs w:val="21"/>
        </w:rPr>
        <w:t>月的标准提取停车管理服务费。</w:t>
      </w:r>
    </w:p>
    <w:p>
      <w:pPr>
        <w:tabs>
          <w:tab w:val="left" w:pos="85"/>
        </w:tabs>
        <w:spacing w:line="360" w:lineRule="atLeast"/>
        <w:rPr>
          <w:rFonts w:ascii="宋体" w:hAnsi="宋体"/>
          <w:szCs w:val="21"/>
        </w:rPr>
      </w:pPr>
      <w:r>
        <w:rPr>
          <w:rFonts w:hint="eastAsia" w:ascii="宋体" w:hAnsi="宋体"/>
          <w:szCs w:val="21"/>
        </w:rPr>
        <w:t>3、停车场车位所有权或使用权由业主购置的，车位使用人应按露天车位</w:t>
      </w:r>
      <w:r>
        <w:rPr>
          <w:rFonts w:hint="eastAsia" w:ascii="宋体" w:hAnsi="宋体"/>
          <w:szCs w:val="21"/>
          <w:u w:val="single"/>
        </w:rPr>
        <w:t xml:space="preserve">     </w:t>
      </w:r>
      <w:r>
        <w:rPr>
          <w:rFonts w:hint="eastAsia" w:ascii="宋体" w:hAnsi="宋体"/>
          <w:szCs w:val="21"/>
        </w:rPr>
        <w:t>元/个</w:t>
      </w:r>
      <w:r>
        <w:rPr>
          <w:rFonts w:ascii="宋体" w:hAnsi="宋体"/>
          <w:szCs w:val="21"/>
        </w:rPr>
        <w:t>/</w:t>
      </w:r>
      <w:r>
        <w:rPr>
          <w:rFonts w:hint="eastAsia" w:ascii="宋体" w:hAnsi="宋体"/>
          <w:szCs w:val="21"/>
        </w:rPr>
        <w:t>月、车库车位</w:t>
      </w:r>
      <w:r>
        <w:rPr>
          <w:rFonts w:hint="eastAsia" w:ascii="宋体" w:hAnsi="宋体"/>
          <w:szCs w:val="21"/>
          <w:u w:val="single"/>
        </w:rPr>
        <w:t xml:space="preserve">    </w:t>
      </w:r>
      <w:r>
        <w:rPr>
          <w:rFonts w:hint="eastAsia" w:ascii="宋体" w:hAnsi="宋体"/>
          <w:szCs w:val="21"/>
        </w:rPr>
        <w:t>元/个</w:t>
      </w:r>
      <w:r>
        <w:rPr>
          <w:rFonts w:ascii="宋体" w:hAnsi="宋体"/>
          <w:szCs w:val="21"/>
        </w:rPr>
        <w:t>/</w:t>
      </w:r>
      <w:r>
        <w:rPr>
          <w:rFonts w:hint="eastAsia" w:ascii="宋体" w:hAnsi="宋体"/>
          <w:szCs w:val="21"/>
        </w:rPr>
        <w:t>月的标准向乙方交纳停车管理服务费。</w:t>
      </w:r>
    </w:p>
    <w:p>
      <w:pPr>
        <w:spacing w:line="360" w:lineRule="atLeast"/>
        <w:rPr>
          <w:rFonts w:ascii="宋体" w:hAnsi="宋体"/>
          <w:szCs w:val="21"/>
        </w:rPr>
      </w:pPr>
      <w:r>
        <w:rPr>
          <w:rFonts w:hint="eastAsia" w:ascii="宋体" w:hAnsi="宋体"/>
          <w:b/>
          <w:szCs w:val="21"/>
        </w:rPr>
        <w:t xml:space="preserve">第十条 </w:t>
      </w:r>
      <w:r>
        <w:rPr>
          <w:rFonts w:hint="eastAsia" w:ascii="宋体" w:hAnsi="宋体"/>
          <w:szCs w:val="21"/>
        </w:rPr>
        <w:t xml:space="preserve"> 乙方应与停车场车位使用人签订书面的停车管理服务协议，明确双方在车位使用及停车管理服务等方面的权利义务。</w:t>
      </w:r>
    </w:p>
    <w:p>
      <w:pPr>
        <w:spacing w:line="360" w:lineRule="atLeast"/>
        <w:ind w:left="-178" w:leftChars="-85"/>
        <w:rPr>
          <w:rFonts w:ascii="宋体" w:hAnsi="宋体"/>
          <w:szCs w:val="21"/>
        </w:rPr>
      </w:pPr>
      <w:r>
        <w:rPr>
          <w:rFonts w:hint="eastAsia" w:ascii="宋体" w:hAnsi="宋体"/>
          <w:b/>
          <w:szCs w:val="21"/>
        </w:rPr>
        <w:t>第十一条</w:t>
      </w:r>
      <w:r>
        <w:rPr>
          <w:rFonts w:hint="eastAsia" w:ascii="宋体" w:hAnsi="宋体"/>
          <w:szCs w:val="21"/>
        </w:rPr>
        <w:t xml:space="preserve">  本物业管理区域内属于甲方所有的停车场及属于全体业主所有的其他物业公用部位、公用设施设备统一委托乙方经营，经营收入归乙方所有，以弥补物业服务费不足。      </w:t>
      </w:r>
    </w:p>
    <w:p>
      <w:pPr>
        <w:spacing w:line="360" w:lineRule="atLeast"/>
        <w:ind w:left="-178" w:leftChars="-85"/>
        <w:rPr>
          <w:rFonts w:ascii="宋体" w:hAnsi="宋体"/>
          <w:szCs w:val="21"/>
        </w:rPr>
      </w:pPr>
    </w:p>
    <w:p>
      <w:pPr>
        <w:numPr>
          <w:ilvl w:val="0"/>
          <w:numId w:val="6"/>
        </w:numPr>
        <w:spacing w:line="360" w:lineRule="atLeast"/>
        <w:rPr>
          <w:rFonts w:ascii="宋体" w:hAnsi="宋体"/>
          <w:b/>
          <w:szCs w:val="21"/>
        </w:rPr>
      </w:pPr>
      <w:r>
        <w:rPr>
          <w:rFonts w:hint="eastAsia" w:ascii="宋体" w:hAnsi="宋体"/>
          <w:b/>
          <w:szCs w:val="21"/>
        </w:rPr>
        <w:t>物业的承接验收</w:t>
      </w:r>
    </w:p>
    <w:p>
      <w:pPr>
        <w:spacing w:line="360" w:lineRule="atLeast"/>
        <w:rPr>
          <w:rFonts w:ascii="宋体" w:hAnsi="宋体"/>
          <w:b/>
          <w:szCs w:val="21"/>
        </w:rPr>
      </w:pPr>
      <w:r>
        <w:rPr>
          <w:rFonts w:hint="eastAsia" w:ascii="宋体" w:hAnsi="宋体"/>
          <w:b/>
          <w:szCs w:val="21"/>
        </w:rPr>
        <w:t xml:space="preserve">第十二条  </w:t>
      </w:r>
      <w:r>
        <w:rPr>
          <w:rFonts w:hint="eastAsia" w:ascii="宋体" w:hAnsi="宋体"/>
          <w:szCs w:val="21"/>
        </w:rPr>
        <w:t>对于本合同签订后承接的物业共用部位、共用设施设备，甲乙双方应按照前条规定进行查验并签订确认书，作为界定各自在开发建设和物业管理方面承担责任的依据。</w:t>
      </w:r>
    </w:p>
    <w:p>
      <w:pPr>
        <w:spacing w:line="360" w:lineRule="atLeast"/>
        <w:rPr>
          <w:rFonts w:ascii="宋体" w:hAnsi="宋体"/>
          <w:szCs w:val="21"/>
        </w:rPr>
      </w:pPr>
      <w:r>
        <w:rPr>
          <w:rFonts w:hint="eastAsia" w:ascii="宋体" w:hAnsi="宋体"/>
          <w:b/>
          <w:szCs w:val="21"/>
        </w:rPr>
        <w:t xml:space="preserve">第十三条  </w:t>
      </w:r>
      <w:r>
        <w:rPr>
          <w:rFonts w:hint="eastAsia" w:ascii="宋体" w:hAnsi="宋体"/>
          <w:szCs w:val="21"/>
        </w:rPr>
        <w:t>乙方承接物业时，甲方应配合乙方对以下物业共用部位、共用设施设备进行查验：</w:t>
      </w:r>
    </w:p>
    <w:p>
      <w:pPr>
        <w:spacing w:line="360" w:lineRule="atLeast"/>
        <w:rPr>
          <w:rFonts w:ascii="宋体" w:hAnsi="宋体"/>
          <w:szCs w:val="21"/>
        </w:rPr>
      </w:pPr>
      <w:r>
        <w:rPr>
          <w:rFonts w:hint="eastAsia" w:ascii="宋体" w:hAnsi="宋体"/>
          <w:szCs w:val="21"/>
        </w:rPr>
        <w:t>（1）、</w:t>
      </w:r>
      <w:r>
        <w:rPr>
          <w:rFonts w:hint="eastAsia" w:ascii="宋体" w:hAnsi="宋体"/>
          <w:szCs w:val="21"/>
          <w:u w:val="single"/>
        </w:rPr>
        <w:t xml:space="preserve">       主体建筑            </w:t>
      </w:r>
      <w:r>
        <w:rPr>
          <w:rFonts w:hint="eastAsia" w:ascii="宋体" w:hAnsi="宋体"/>
          <w:szCs w:val="21"/>
        </w:rPr>
        <w:t>；</w:t>
      </w:r>
    </w:p>
    <w:p>
      <w:pPr>
        <w:tabs>
          <w:tab w:val="left" w:pos="10"/>
        </w:tabs>
        <w:spacing w:line="360" w:lineRule="atLeast"/>
        <w:rPr>
          <w:rFonts w:ascii="宋体" w:hAnsi="宋体"/>
          <w:szCs w:val="21"/>
        </w:rPr>
      </w:pPr>
      <w:r>
        <w:rPr>
          <w:rFonts w:ascii="宋体" w:hAnsi="宋体"/>
          <w:szCs w:val="21"/>
        </w:rPr>
        <w:tab/>
      </w:r>
      <w:r>
        <w:rPr>
          <w:rFonts w:hint="eastAsia" w:ascii="宋体" w:hAnsi="宋体"/>
          <w:szCs w:val="21"/>
        </w:rPr>
        <w:t>（2）、</w:t>
      </w:r>
      <w:r>
        <w:rPr>
          <w:rFonts w:hint="eastAsia" w:ascii="宋体" w:hAnsi="宋体"/>
          <w:szCs w:val="21"/>
          <w:u w:val="single"/>
        </w:rPr>
        <w:t xml:space="preserve">       附属设备            </w:t>
      </w:r>
      <w:r>
        <w:rPr>
          <w:rFonts w:hint="eastAsia" w:ascii="宋体" w:hAnsi="宋体"/>
          <w:szCs w:val="21"/>
        </w:rPr>
        <w:t>；</w:t>
      </w:r>
    </w:p>
    <w:p>
      <w:pPr>
        <w:spacing w:line="360" w:lineRule="atLeast"/>
        <w:rPr>
          <w:rFonts w:ascii="宋体" w:hAnsi="宋体"/>
          <w:szCs w:val="21"/>
        </w:rPr>
      </w:pPr>
      <w:r>
        <w:rPr>
          <w:rFonts w:hint="eastAsia" w:ascii="宋体" w:hAnsi="宋体"/>
          <w:szCs w:val="21"/>
        </w:rPr>
        <w:t>（3）、</w:t>
      </w:r>
      <w:r>
        <w:rPr>
          <w:rFonts w:hint="eastAsia" w:ascii="宋体" w:hAnsi="宋体"/>
          <w:szCs w:val="21"/>
          <w:u w:val="single"/>
        </w:rPr>
        <w:t xml:space="preserve">       配套设施及绿化、道路、场地等   </w:t>
      </w:r>
      <w:r>
        <w:rPr>
          <w:rFonts w:hint="eastAsia" w:ascii="宋体" w:hAnsi="宋体"/>
          <w:szCs w:val="21"/>
        </w:rPr>
        <w:t>。</w:t>
      </w:r>
    </w:p>
    <w:p>
      <w:pPr>
        <w:spacing w:line="360" w:lineRule="atLeast"/>
        <w:rPr>
          <w:rFonts w:ascii="宋体" w:hAnsi="宋体"/>
          <w:szCs w:val="21"/>
        </w:rPr>
      </w:pPr>
      <w:r>
        <w:rPr>
          <w:rFonts w:hint="eastAsia" w:ascii="宋体" w:hAnsi="宋体"/>
          <w:b/>
          <w:szCs w:val="21"/>
        </w:rPr>
        <w:t>第十四条</w:t>
      </w:r>
      <w:r>
        <w:rPr>
          <w:rFonts w:hint="eastAsia" w:ascii="宋体" w:hAnsi="宋体"/>
          <w:szCs w:val="21"/>
        </w:rPr>
        <w:t xml:space="preserve">  乙方承接物业时，甲方应向乙方移交下列资料：</w:t>
      </w:r>
    </w:p>
    <w:p>
      <w:pPr>
        <w:spacing w:line="360" w:lineRule="atLeast"/>
        <w:ind w:left="1470" w:hanging="1470" w:hangingChars="700"/>
        <w:rPr>
          <w:rFonts w:ascii="宋体" w:hAnsi="宋体"/>
          <w:szCs w:val="21"/>
        </w:rPr>
      </w:pPr>
      <w:r>
        <w:rPr>
          <w:rFonts w:hint="eastAsia" w:ascii="宋体" w:hAnsi="宋体"/>
          <w:szCs w:val="21"/>
        </w:rPr>
        <w:t>（1）、竣工总平面图，单体建筑、结构、设备竣工图，配套设施、</w:t>
      </w:r>
    </w:p>
    <w:p>
      <w:pPr>
        <w:tabs>
          <w:tab w:val="left" w:pos="475"/>
        </w:tabs>
        <w:spacing w:line="360" w:lineRule="atLeast"/>
        <w:rPr>
          <w:rFonts w:ascii="宋体" w:hAnsi="宋体"/>
          <w:szCs w:val="21"/>
        </w:rPr>
      </w:pPr>
      <w:r>
        <w:rPr>
          <w:rFonts w:hint="eastAsia" w:ascii="宋体" w:hAnsi="宋体"/>
          <w:szCs w:val="21"/>
        </w:rPr>
        <w:t>地下管网工程竣工图等竣工验收资料；</w:t>
      </w:r>
    </w:p>
    <w:p>
      <w:pPr>
        <w:spacing w:line="360" w:lineRule="atLeast"/>
        <w:rPr>
          <w:rFonts w:ascii="宋体" w:hAnsi="宋体"/>
          <w:szCs w:val="21"/>
        </w:rPr>
      </w:pPr>
      <w:r>
        <w:rPr>
          <w:rFonts w:hint="eastAsia" w:ascii="宋体" w:hAnsi="宋体"/>
          <w:szCs w:val="21"/>
        </w:rPr>
        <w:t>（2）、设施设备的安装、使用和维护保养等技术资料；</w:t>
      </w:r>
    </w:p>
    <w:p>
      <w:pPr>
        <w:tabs>
          <w:tab w:val="left" w:pos="630"/>
        </w:tabs>
        <w:spacing w:line="360" w:lineRule="atLeast"/>
        <w:rPr>
          <w:rFonts w:ascii="宋体" w:hAnsi="宋体"/>
          <w:szCs w:val="21"/>
        </w:rPr>
      </w:pPr>
      <w:r>
        <w:rPr>
          <w:rFonts w:hint="eastAsia" w:ascii="宋体" w:hAnsi="宋体"/>
          <w:szCs w:val="21"/>
        </w:rPr>
        <w:t>（3）、物业质量保修文件和物业使用说明文件；</w:t>
      </w:r>
    </w:p>
    <w:p>
      <w:pPr>
        <w:spacing w:line="360" w:lineRule="atLeast"/>
        <w:rPr>
          <w:rFonts w:ascii="宋体" w:hAnsi="宋体"/>
          <w:szCs w:val="21"/>
        </w:rPr>
      </w:pPr>
      <w:r>
        <w:rPr>
          <w:rFonts w:hint="eastAsia" w:ascii="宋体" w:hAnsi="宋体"/>
          <w:szCs w:val="21"/>
        </w:rPr>
        <w:t>（4）、</w:t>
      </w:r>
      <w:r>
        <w:rPr>
          <w:rFonts w:hint="eastAsia" w:ascii="宋体" w:hAnsi="宋体"/>
          <w:szCs w:val="21"/>
          <w:u w:val="single"/>
        </w:rPr>
        <w:t xml:space="preserve">     业主的有关资料        </w:t>
      </w:r>
      <w:r>
        <w:rPr>
          <w:rFonts w:hint="eastAsia" w:ascii="宋体" w:hAnsi="宋体"/>
          <w:szCs w:val="21"/>
        </w:rPr>
        <w:t>。</w:t>
      </w:r>
    </w:p>
    <w:p>
      <w:pPr>
        <w:spacing w:line="360" w:lineRule="atLeast"/>
        <w:rPr>
          <w:rFonts w:ascii="宋体" w:hAnsi="宋体"/>
          <w:szCs w:val="21"/>
        </w:rPr>
      </w:pPr>
      <w:r>
        <w:rPr>
          <w:rFonts w:hint="eastAsia" w:ascii="宋体" w:hAnsi="宋体"/>
          <w:b/>
          <w:szCs w:val="21"/>
        </w:rPr>
        <w:t>第十五条</w:t>
      </w:r>
      <w:r>
        <w:rPr>
          <w:rFonts w:hint="eastAsia" w:ascii="宋体" w:hAnsi="宋体"/>
          <w:szCs w:val="21"/>
        </w:rPr>
        <w:t xml:space="preserve">  甲方保证交付使用的物业符合国家规定的验收标准，按照国家规定的保修期限和保修范围承担物业的保修责任。                                </w:t>
      </w:r>
    </w:p>
    <w:p>
      <w:pPr>
        <w:tabs>
          <w:tab w:val="left" w:pos="2235"/>
        </w:tabs>
        <w:spacing w:line="360" w:lineRule="atLeast"/>
        <w:ind w:firstLine="1560" w:firstLineChars="740"/>
        <w:rPr>
          <w:rFonts w:ascii="宋体" w:hAnsi="宋体"/>
          <w:b/>
          <w:szCs w:val="21"/>
        </w:rPr>
      </w:pPr>
      <w:r>
        <w:rPr>
          <w:rFonts w:hint="eastAsia" w:ascii="宋体" w:hAnsi="宋体"/>
          <w:b/>
          <w:szCs w:val="21"/>
        </w:rPr>
        <w:t xml:space="preserve"> </w:t>
      </w:r>
    </w:p>
    <w:p>
      <w:pPr>
        <w:tabs>
          <w:tab w:val="left" w:pos="2235"/>
        </w:tabs>
        <w:spacing w:line="360" w:lineRule="atLeast"/>
        <w:jc w:val="center"/>
        <w:rPr>
          <w:rFonts w:ascii="宋体" w:hAnsi="宋体"/>
          <w:b/>
          <w:szCs w:val="21"/>
        </w:rPr>
      </w:pPr>
      <w:r>
        <w:rPr>
          <w:rFonts w:hint="eastAsia" w:ascii="宋体" w:hAnsi="宋体"/>
          <w:b/>
          <w:szCs w:val="21"/>
        </w:rPr>
        <w:t>第六章   物业的使用与维护</w:t>
      </w:r>
    </w:p>
    <w:p>
      <w:pPr>
        <w:tabs>
          <w:tab w:val="left" w:pos="2235"/>
        </w:tabs>
        <w:spacing w:line="360" w:lineRule="atLeast"/>
        <w:rPr>
          <w:rFonts w:ascii="宋体" w:hAnsi="宋体"/>
          <w:szCs w:val="21"/>
        </w:rPr>
      </w:pPr>
      <w:r>
        <w:rPr>
          <w:rFonts w:hint="eastAsia" w:ascii="宋体" w:hAnsi="宋体"/>
          <w:b/>
          <w:szCs w:val="21"/>
        </w:rPr>
        <w:t>第十六条</w:t>
      </w:r>
      <w:r>
        <w:rPr>
          <w:rFonts w:hint="eastAsia" w:ascii="宋体" w:hAnsi="宋体"/>
          <w:szCs w:val="21"/>
        </w:rPr>
        <w:t xml:space="preserve">  业主大会成立前，乙方应配合甲方制定本物业管理区域内物业共用部位和公用设施设备的使用、公共秩序和环境卫生的维护等方面的规章制度。乙方根据规章制度提供管理服务时，甲方、业主和物业使用人应给予必要配合。</w:t>
      </w:r>
    </w:p>
    <w:p>
      <w:pPr>
        <w:spacing w:line="360" w:lineRule="atLeast"/>
        <w:rPr>
          <w:rFonts w:ascii="宋体" w:hAnsi="宋体"/>
          <w:szCs w:val="21"/>
        </w:rPr>
      </w:pPr>
      <w:r>
        <w:rPr>
          <w:rFonts w:hint="eastAsia" w:ascii="宋体" w:hAnsi="宋体"/>
          <w:b/>
          <w:szCs w:val="21"/>
        </w:rPr>
        <w:t>第十七条</w:t>
      </w:r>
      <w:r>
        <w:rPr>
          <w:rFonts w:hint="eastAsia" w:ascii="宋体" w:hAnsi="宋体"/>
          <w:szCs w:val="21"/>
        </w:rPr>
        <w:t xml:space="preserve">  乙方可采取规劝、调解等必要措施，制止业主、物业使用人违反本临时规约和物业管理区域内物业管理规章制度的行为。</w:t>
      </w:r>
    </w:p>
    <w:p>
      <w:pPr>
        <w:spacing w:line="360" w:lineRule="atLeast"/>
        <w:rPr>
          <w:rFonts w:ascii="宋体" w:hAnsi="宋体"/>
          <w:szCs w:val="21"/>
        </w:rPr>
      </w:pPr>
      <w:r>
        <w:rPr>
          <w:rFonts w:hint="eastAsia" w:ascii="宋体" w:hAnsi="宋体"/>
          <w:b/>
          <w:szCs w:val="21"/>
        </w:rPr>
        <w:t>第十八条</w:t>
      </w:r>
      <w:r>
        <w:rPr>
          <w:rFonts w:hint="eastAsia" w:ascii="宋体" w:hAnsi="宋体"/>
          <w:szCs w:val="21"/>
        </w:rPr>
        <w:t xml:space="preserve">  乙方应及时向全体业主通告本物业管理区域内有关物业管理的重大事项，及时处理业主和物业使用人的投诉，接受甲方、业主和物业使用人的监督。</w:t>
      </w:r>
    </w:p>
    <w:p>
      <w:pPr>
        <w:spacing w:line="360" w:lineRule="atLeast"/>
        <w:rPr>
          <w:rFonts w:ascii="宋体" w:hAnsi="宋体"/>
          <w:szCs w:val="21"/>
        </w:rPr>
      </w:pPr>
      <w:r>
        <w:rPr>
          <w:rFonts w:hint="eastAsia" w:ascii="宋体" w:hAnsi="宋体"/>
          <w:b/>
          <w:szCs w:val="21"/>
        </w:rPr>
        <w:t>第十九条</w:t>
      </w:r>
      <w:r>
        <w:rPr>
          <w:rFonts w:hint="eastAsia" w:ascii="宋体" w:hAnsi="宋体"/>
          <w:szCs w:val="21"/>
        </w:rPr>
        <w:t xml:space="preserve">  因维修物业或者公共利益，甲方确需临时占用、挖掘本物业管理区域内道路、场地的，应征得相关业主和乙方的同意；乙方确需临时占用、挖掘本物业管理区域内道路、场地的，应征得相关业主和甲方的同意。</w:t>
      </w:r>
    </w:p>
    <w:p>
      <w:pPr>
        <w:tabs>
          <w:tab w:val="left" w:pos="630"/>
        </w:tabs>
        <w:spacing w:line="360" w:lineRule="atLeast"/>
        <w:rPr>
          <w:rFonts w:ascii="宋体" w:hAnsi="宋体"/>
          <w:szCs w:val="21"/>
        </w:rPr>
      </w:pPr>
      <w:r>
        <w:rPr>
          <w:rFonts w:ascii="宋体" w:hAnsi="宋体"/>
          <w:szCs w:val="21"/>
        </w:rPr>
        <w:tab/>
      </w:r>
      <w:r>
        <w:rPr>
          <w:rFonts w:hint="eastAsia" w:ascii="宋体" w:hAnsi="宋体"/>
          <w:szCs w:val="21"/>
        </w:rPr>
        <w:t>临时占用、挖掘本物业管理区域内道路、场地的，应在约定期限内恢复原状。</w:t>
      </w:r>
    </w:p>
    <w:p>
      <w:pPr>
        <w:spacing w:line="360" w:lineRule="atLeast"/>
        <w:rPr>
          <w:rFonts w:ascii="宋体" w:hAnsi="宋体"/>
          <w:szCs w:val="21"/>
        </w:rPr>
      </w:pPr>
      <w:r>
        <w:rPr>
          <w:rFonts w:hint="eastAsia" w:ascii="宋体" w:hAnsi="宋体"/>
          <w:b/>
          <w:szCs w:val="21"/>
        </w:rPr>
        <w:t xml:space="preserve">第二十条 </w:t>
      </w:r>
      <w:r>
        <w:rPr>
          <w:rFonts w:hint="eastAsia" w:ascii="宋体" w:hAnsi="宋体"/>
          <w:szCs w:val="21"/>
        </w:rPr>
        <w:t xml:space="preserve">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spacing w:line="360" w:lineRule="atLeast"/>
        <w:rPr>
          <w:rFonts w:ascii="宋体" w:hAnsi="宋体"/>
          <w:szCs w:val="21"/>
        </w:rPr>
      </w:pPr>
      <w:r>
        <w:rPr>
          <w:rFonts w:hint="eastAsia" w:ascii="宋体" w:hAnsi="宋体"/>
          <w:b/>
          <w:szCs w:val="21"/>
        </w:rPr>
        <w:t xml:space="preserve">第二十一条 </w:t>
      </w:r>
      <w:r>
        <w:rPr>
          <w:rFonts w:hint="eastAsia" w:ascii="宋体" w:hAnsi="宋体"/>
          <w:szCs w:val="21"/>
        </w:rPr>
        <w:t xml:space="preserve"> 甲方应 按有关文件规定承担相应的前期物业管理费。  </w:t>
      </w:r>
    </w:p>
    <w:p>
      <w:pPr>
        <w:spacing w:line="360" w:lineRule="atLeast"/>
        <w:rPr>
          <w:rFonts w:ascii="宋体" w:hAnsi="宋体"/>
          <w:szCs w:val="21"/>
        </w:rPr>
      </w:pPr>
      <w:r>
        <w:rPr>
          <w:rFonts w:hint="eastAsia" w:ascii="宋体" w:hAnsi="宋体"/>
          <w:b/>
          <w:szCs w:val="21"/>
        </w:rPr>
        <w:t xml:space="preserve">第二十二条 </w:t>
      </w:r>
      <w:r>
        <w:rPr>
          <w:rFonts w:hint="eastAsia" w:ascii="宋体" w:hAnsi="宋体"/>
          <w:szCs w:val="21"/>
        </w:rPr>
        <w:t xml:space="preserve"> 甲方应于</w:t>
      </w:r>
      <w:r>
        <w:rPr>
          <w:rFonts w:hint="eastAsia" w:ascii="宋体" w:hAnsi="宋体"/>
          <w:szCs w:val="21"/>
          <w:u w:val="single"/>
        </w:rPr>
        <w:t xml:space="preserve">   整体交房前   </w:t>
      </w:r>
      <w:r>
        <w:rPr>
          <w:rFonts w:hint="eastAsia" w:ascii="宋体" w:hAnsi="宋体"/>
          <w:szCs w:val="21"/>
        </w:rPr>
        <w:t>（具体时间）按有关规定向乙方提供能够直接投入使用的物业管理用房。</w:t>
      </w:r>
    </w:p>
    <w:p>
      <w:pPr>
        <w:spacing w:line="360" w:lineRule="atLeast"/>
        <w:rPr>
          <w:rFonts w:ascii="宋体" w:hAnsi="宋体"/>
          <w:szCs w:val="21"/>
        </w:rPr>
      </w:pPr>
      <w:r>
        <w:rPr>
          <w:rFonts w:hint="eastAsia" w:ascii="宋体" w:hAnsi="宋体"/>
          <w:szCs w:val="21"/>
        </w:rPr>
        <w:t xml:space="preserve">    物业管理用房建筑面积</w:t>
      </w:r>
      <w:r>
        <w:rPr>
          <w:rFonts w:hint="eastAsia" w:ascii="宋体" w:hAnsi="宋体"/>
          <w:szCs w:val="21"/>
          <w:u w:val="single"/>
        </w:rPr>
        <w:t xml:space="preserve">      </w:t>
      </w:r>
      <w:r>
        <w:rPr>
          <w:rFonts w:hint="eastAsia" w:ascii="宋体" w:hAnsi="宋体"/>
          <w:szCs w:val="21"/>
        </w:rPr>
        <w:t>平方米，其中：办公用房</w:t>
      </w:r>
      <w:r>
        <w:rPr>
          <w:rFonts w:hint="eastAsia" w:ascii="宋体" w:hAnsi="宋体"/>
          <w:szCs w:val="21"/>
          <w:u w:val="single"/>
        </w:rPr>
        <w:t xml:space="preserve">       </w:t>
      </w:r>
      <w:r>
        <w:rPr>
          <w:rFonts w:hint="eastAsia" w:ascii="宋体" w:hAnsi="宋体"/>
          <w:szCs w:val="21"/>
        </w:rPr>
        <w:t>平方米，位于</w:t>
      </w:r>
      <w:r>
        <w:rPr>
          <w:rFonts w:hint="eastAsia" w:ascii="宋体" w:hAnsi="宋体"/>
          <w:szCs w:val="21"/>
          <w:u w:val="single"/>
        </w:rPr>
        <w:t xml:space="preserve">                 </w:t>
      </w:r>
      <w:r>
        <w:rPr>
          <w:rFonts w:hint="eastAsia" w:ascii="宋体" w:hAnsi="宋体"/>
          <w:szCs w:val="21"/>
        </w:rPr>
        <w:t>；商业用房</w:t>
      </w:r>
      <w:r>
        <w:rPr>
          <w:rFonts w:hint="eastAsia" w:ascii="宋体" w:hAnsi="宋体"/>
          <w:szCs w:val="21"/>
          <w:u w:val="single"/>
        </w:rPr>
        <w:t xml:space="preserve">              </w:t>
      </w:r>
      <w:r>
        <w:rPr>
          <w:rFonts w:hint="eastAsia" w:ascii="宋体" w:hAnsi="宋体"/>
          <w:szCs w:val="21"/>
        </w:rPr>
        <w:t>平方米，位于</w:t>
      </w:r>
      <w:r>
        <w:rPr>
          <w:rFonts w:hint="eastAsia" w:ascii="宋体" w:hAnsi="宋体"/>
          <w:szCs w:val="21"/>
          <w:u w:val="single"/>
        </w:rPr>
        <w:t xml:space="preserve">                    号 </w:t>
      </w:r>
      <w:r>
        <w:rPr>
          <w:rFonts w:hint="eastAsia" w:ascii="宋体" w:hAnsi="宋体"/>
          <w:szCs w:val="21"/>
        </w:rPr>
        <w:t>。</w:t>
      </w:r>
    </w:p>
    <w:p>
      <w:pPr>
        <w:spacing w:line="360" w:lineRule="atLeast"/>
        <w:rPr>
          <w:rFonts w:ascii="宋体" w:hAnsi="宋体"/>
          <w:szCs w:val="21"/>
        </w:rPr>
      </w:pPr>
      <w:r>
        <w:rPr>
          <w:rFonts w:hint="eastAsia" w:ascii="宋体" w:hAnsi="宋体"/>
          <w:b/>
          <w:szCs w:val="21"/>
        </w:rPr>
        <w:t>第二十三条</w:t>
      </w:r>
      <w:r>
        <w:rPr>
          <w:rFonts w:hint="eastAsia" w:ascii="宋体" w:hAnsi="宋体"/>
          <w:szCs w:val="21"/>
        </w:rPr>
        <w:t xml:space="preserve">  物业管理用房属全体业主所有，乙方在本合同期限内无偿使用，不得改变其用途。</w:t>
      </w:r>
    </w:p>
    <w:p>
      <w:pPr>
        <w:tabs>
          <w:tab w:val="left" w:pos="2555"/>
        </w:tabs>
        <w:spacing w:line="360" w:lineRule="atLeast"/>
        <w:rPr>
          <w:rFonts w:ascii="宋体" w:hAnsi="宋体"/>
          <w:b/>
          <w:szCs w:val="21"/>
        </w:rPr>
      </w:pPr>
    </w:p>
    <w:p>
      <w:pPr>
        <w:tabs>
          <w:tab w:val="left" w:pos="2555"/>
        </w:tabs>
        <w:spacing w:line="360" w:lineRule="atLeast"/>
        <w:jc w:val="center"/>
        <w:rPr>
          <w:rFonts w:ascii="宋体" w:hAnsi="宋体"/>
          <w:b/>
          <w:szCs w:val="21"/>
        </w:rPr>
      </w:pPr>
      <w:r>
        <w:rPr>
          <w:rFonts w:hint="eastAsia" w:ascii="宋体" w:hAnsi="宋体"/>
          <w:b/>
          <w:szCs w:val="21"/>
        </w:rPr>
        <w:t>第七章   专项维修资金</w:t>
      </w:r>
    </w:p>
    <w:p>
      <w:pPr>
        <w:tabs>
          <w:tab w:val="left" w:pos="2555"/>
        </w:tabs>
        <w:spacing w:line="360" w:lineRule="atLeast"/>
        <w:rPr>
          <w:rFonts w:ascii="宋体" w:hAnsi="宋体"/>
          <w:szCs w:val="21"/>
        </w:rPr>
      </w:pPr>
      <w:r>
        <w:rPr>
          <w:rFonts w:hint="eastAsia" w:ascii="宋体" w:hAnsi="宋体"/>
          <w:b/>
          <w:szCs w:val="21"/>
        </w:rPr>
        <w:t xml:space="preserve">第二十四条  </w:t>
      </w:r>
      <w:r>
        <w:rPr>
          <w:rFonts w:hint="eastAsia" w:ascii="宋体" w:hAnsi="宋体"/>
          <w:szCs w:val="21"/>
        </w:rPr>
        <w:t>专项维修资金的缴存按《浙江省物业管理工作条例》、《浙江省物业专项维修资金管理办法》、《嘉兴市物业管理办法》等有关规定缴存。</w:t>
      </w:r>
    </w:p>
    <w:p>
      <w:pPr>
        <w:tabs>
          <w:tab w:val="left" w:pos="2555"/>
        </w:tabs>
        <w:spacing w:line="360" w:lineRule="atLeast"/>
        <w:rPr>
          <w:rFonts w:ascii="宋体" w:hAnsi="宋体"/>
          <w:szCs w:val="21"/>
        </w:rPr>
      </w:pPr>
      <w:r>
        <w:rPr>
          <w:rFonts w:hint="eastAsia" w:ascii="宋体" w:hAnsi="宋体"/>
          <w:b/>
          <w:szCs w:val="21"/>
        </w:rPr>
        <w:t xml:space="preserve">第二十五条  </w:t>
      </w:r>
      <w:r>
        <w:rPr>
          <w:rFonts w:hint="eastAsia" w:ascii="宋体" w:hAnsi="宋体"/>
          <w:szCs w:val="21"/>
        </w:rPr>
        <w:t>专项维修资金的管理</w:t>
      </w:r>
      <w:r>
        <w:rPr>
          <w:rFonts w:hint="eastAsia" w:ascii="宋体" w:hAnsi="宋体"/>
          <w:szCs w:val="21"/>
          <w:u w:val="single"/>
        </w:rPr>
        <w:t xml:space="preserve">  平湖市物业管理处  </w:t>
      </w:r>
      <w:r>
        <w:rPr>
          <w:rFonts w:hint="eastAsia" w:ascii="宋体" w:hAnsi="宋体"/>
          <w:szCs w:val="21"/>
        </w:rPr>
        <w:t>。</w:t>
      </w:r>
    </w:p>
    <w:p>
      <w:pPr>
        <w:tabs>
          <w:tab w:val="left" w:pos="2555"/>
        </w:tabs>
        <w:spacing w:line="360" w:lineRule="atLeast"/>
        <w:rPr>
          <w:rFonts w:ascii="宋体" w:hAnsi="宋体"/>
          <w:szCs w:val="21"/>
        </w:rPr>
      </w:pPr>
      <w:r>
        <w:rPr>
          <w:rFonts w:hint="eastAsia" w:ascii="宋体" w:hAnsi="宋体"/>
          <w:b/>
          <w:szCs w:val="21"/>
        </w:rPr>
        <w:t xml:space="preserve">第二十六条  </w:t>
      </w:r>
      <w:r>
        <w:rPr>
          <w:rFonts w:hint="eastAsia" w:ascii="宋体" w:hAnsi="宋体"/>
          <w:szCs w:val="21"/>
        </w:rPr>
        <w:t>专项维修资金的使用</w:t>
      </w:r>
      <w:r>
        <w:rPr>
          <w:rFonts w:hint="eastAsia" w:ascii="宋体" w:hAnsi="宋体"/>
          <w:szCs w:val="21"/>
          <w:u w:val="single"/>
        </w:rPr>
        <w:t xml:space="preserve">  按《浙江省物业管理工作条例》、《浙江省物业专项维修资金管理办法》、《 嘉兴市物业管理办法》等有关规定执行 </w:t>
      </w:r>
      <w:r>
        <w:rPr>
          <w:rFonts w:hint="eastAsia" w:ascii="宋体" w:hAnsi="宋体"/>
          <w:szCs w:val="21"/>
        </w:rPr>
        <w:t>。</w:t>
      </w:r>
    </w:p>
    <w:p>
      <w:pPr>
        <w:tabs>
          <w:tab w:val="left" w:pos="2555"/>
        </w:tabs>
        <w:spacing w:line="360" w:lineRule="atLeast"/>
        <w:rPr>
          <w:rFonts w:ascii="宋体" w:hAnsi="宋体"/>
          <w:szCs w:val="21"/>
        </w:rPr>
      </w:pPr>
      <w:r>
        <w:rPr>
          <w:rFonts w:hint="eastAsia" w:ascii="宋体" w:hAnsi="宋体"/>
          <w:b/>
          <w:szCs w:val="21"/>
        </w:rPr>
        <w:t xml:space="preserve">第二十七条  </w:t>
      </w:r>
      <w:r>
        <w:rPr>
          <w:rFonts w:hint="eastAsia" w:ascii="宋体" w:hAnsi="宋体"/>
          <w:szCs w:val="21"/>
        </w:rPr>
        <w:t>专项维修资金的续筹</w:t>
      </w:r>
      <w:r>
        <w:rPr>
          <w:rFonts w:hint="eastAsia" w:ascii="宋体" w:hAnsi="宋体"/>
          <w:szCs w:val="21"/>
          <w:u w:val="single"/>
        </w:rPr>
        <w:t xml:space="preserve">  按《浙江省物业管理工作条例》、《浙江省物业专项维修资金管理办法》、《 嘉兴市物业管理办法》等有关规定执行 </w:t>
      </w:r>
      <w:r>
        <w:rPr>
          <w:rFonts w:hint="eastAsia" w:ascii="宋体" w:hAnsi="宋体"/>
          <w:szCs w:val="21"/>
        </w:rPr>
        <w:t>。</w:t>
      </w:r>
    </w:p>
    <w:p>
      <w:pPr>
        <w:tabs>
          <w:tab w:val="left" w:pos="2555"/>
        </w:tabs>
        <w:spacing w:line="360" w:lineRule="atLeast"/>
        <w:ind w:firstLine="2298" w:firstLineChars="1090"/>
        <w:rPr>
          <w:rFonts w:ascii="宋体" w:hAnsi="宋体"/>
          <w:b/>
          <w:szCs w:val="21"/>
        </w:rPr>
      </w:pPr>
      <w:r>
        <w:rPr>
          <w:rFonts w:hint="eastAsia" w:ascii="宋体" w:hAnsi="宋体"/>
          <w:b/>
          <w:szCs w:val="21"/>
        </w:rPr>
        <w:t xml:space="preserve"> </w:t>
      </w:r>
    </w:p>
    <w:p>
      <w:pPr>
        <w:tabs>
          <w:tab w:val="left" w:pos="2555"/>
        </w:tabs>
        <w:spacing w:line="360" w:lineRule="atLeast"/>
        <w:ind w:firstLine="2298" w:firstLineChars="1090"/>
        <w:rPr>
          <w:rFonts w:ascii="宋体" w:hAnsi="宋体"/>
          <w:b/>
          <w:szCs w:val="21"/>
        </w:rPr>
      </w:pPr>
      <w:r>
        <w:rPr>
          <w:rFonts w:hint="eastAsia" w:ascii="宋体" w:hAnsi="宋体"/>
          <w:b/>
          <w:szCs w:val="21"/>
        </w:rPr>
        <w:t>第八章  违约责任</w:t>
      </w:r>
    </w:p>
    <w:p>
      <w:pPr>
        <w:spacing w:line="360" w:lineRule="atLeast"/>
        <w:rPr>
          <w:rFonts w:ascii="宋体" w:hAnsi="宋体"/>
          <w:szCs w:val="21"/>
        </w:rPr>
      </w:pPr>
      <w:r>
        <w:rPr>
          <w:rFonts w:hint="eastAsia" w:ascii="宋体" w:hAnsi="宋体"/>
          <w:b/>
          <w:szCs w:val="21"/>
        </w:rPr>
        <w:t>第二十八条</w:t>
      </w:r>
      <w:r>
        <w:rPr>
          <w:rFonts w:hint="eastAsia" w:ascii="宋体" w:hAnsi="宋体"/>
          <w:szCs w:val="21"/>
        </w:rPr>
        <w:t xml:space="preserve">  甲方违反本合同第十三条、第十四条、第十五条的约定，致使乙方的管理服务无法达到本合同第二条、第三条、第四条约定的服务内容和质量标准的，由甲方赔偿由此给业主和物业使用人造成的损失。</w:t>
      </w:r>
    </w:p>
    <w:p>
      <w:pPr>
        <w:spacing w:line="360" w:lineRule="atLeast"/>
        <w:rPr>
          <w:rFonts w:ascii="宋体" w:hAnsi="宋体"/>
          <w:szCs w:val="21"/>
        </w:rPr>
      </w:pPr>
      <w:r>
        <w:rPr>
          <w:rFonts w:hint="eastAsia" w:ascii="宋体" w:hAnsi="宋体"/>
          <w:b/>
          <w:szCs w:val="21"/>
        </w:rPr>
        <w:t>第二十九条</w:t>
      </w:r>
      <w:r>
        <w:rPr>
          <w:rFonts w:hint="eastAsia" w:ascii="宋体" w:hAnsi="宋体"/>
          <w:szCs w:val="21"/>
        </w:rPr>
        <w:t xml:space="preserve">  除前条规定情况外，乙方的管理服务达不到本合同第二条、第三条、第四条约定的服务内容和质量标准，应按</w:t>
      </w:r>
      <w:r>
        <w:rPr>
          <w:rFonts w:hint="eastAsia" w:ascii="宋体" w:hAnsi="宋体"/>
          <w:szCs w:val="21"/>
          <w:u w:val="single"/>
        </w:rPr>
        <w:t xml:space="preserve">       </w:t>
      </w:r>
      <w:r>
        <w:rPr>
          <w:rFonts w:hint="eastAsia" w:ascii="宋体" w:hAnsi="宋体"/>
          <w:szCs w:val="21"/>
        </w:rPr>
        <w:t>的标准向甲方、业主支付违约金。</w:t>
      </w:r>
    </w:p>
    <w:p>
      <w:pPr>
        <w:spacing w:line="360" w:lineRule="atLeast"/>
        <w:rPr>
          <w:rFonts w:ascii="宋体" w:hAnsi="宋体"/>
          <w:szCs w:val="21"/>
        </w:rPr>
      </w:pPr>
      <w:r>
        <w:rPr>
          <w:rFonts w:hint="eastAsia" w:ascii="宋体" w:hAnsi="宋体"/>
          <w:b/>
          <w:szCs w:val="21"/>
        </w:rPr>
        <w:t>第三十条</w:t>
      </w:r>
      <w:r>
        <w:rPr>
          <w:rFonts w:hint="eastAsia" w:ascii="宋体" w:hAnsi="宋体"/>
          <w:szCs w:val="21"/>
        </w:rPr>
        <w:t xml:space="preserve">  甲方、业主或物业使用人违反本合同第六条、第七条的约定，未能按时足额交纳物业服务费用（物业服务资金）的，应按</w:t>
      </w:r>
      <w:r>
        <w:rPr>
          <w:rFonts w:hint="eastAsia" w:ascii="宋体" w:hAnsi="宋体"/>
          <w:szCs w:val="21"/>
          <w:u w:val="single"/>
        </w:rPr>
        <w:t xml:space="preserve"> 千分之三    </w:t>
      </w:r>
      <w:r>
        <w:rPr>
          <w:rFonts w:hint="eastAsia" w:ascii="宋体" w:hAnsi="宋体"/>
          <w:szCs w:val="21"/>
        </w:rPr>
        <w:t>的标准向乙方支付违约金。</w:t>
      </w:r>
    </w:p>
    <w:p>
      <w:pPr>
        <w:spacing w:line="360" w:lineRule="atLeast"/>
        <w:rPr>
          <w:rFonts w:ascii="宋体" w:hAnsi="宋体"/>
          <w:szCs w:val="21"/>
        </w:rPr>
      </w:pPr>
      <w:r>
        <w:rPr>
          <w:rFonts w:hint="eastAsia" w:ascii="宋体" w:hAnsi="宋体"/>
          <w:b/>
          <w:szCs w:val="21"/>
        </w:rPr>
        <w:t xml:space="preserve">第三十一条 </w:t>
      </w:r>
      <w:r>
        <w:rPr>
          <w:rFonts w:hint="eastAsia" w:ascii="宋体" w:hAnsi="宋体"/>
          <w:szCs w:val="21"/>
        </w:rPr>
        <w:t xml:space="preserve"> 乙方违反本合同第六条、第七条的约定，擅自提高物业服务费用标准的，业主和物业使用人就超额部分有权拒绝交纳；乙方已经收取的，业主和物业使用人有权要求乙方双倍返还。</w:t>
      </w:r>
    </w:p>
    <w:p>
      <w:pPr>
        <w:spacing w:line="360" w:lineRule="atLeast"/>
        <w:rPr>
          <w:rFonts w:ascii="宋体" w:hAnsi="宋体"/>
          <w:szCs w:val="21"/>
        </w:rPr>
      </w:pPr>
      <w:r>
        <w:rPr>
          <w:rFonts w:hint="eastAsia" w:ascii="宋体" w:hAnsi="宋体"/>
          <w:b/>
          <w:szCs w:val="21"/>
        </w:rPr>
        <w:t xml:space="preserve">第三十二条 </w:t>
      </w:r>
      <w:r>
        <w:rPr>
          <w:rFonts w:hint="eastAsia" w:ascii="宋体" w:hAnsi="宋体"/>
          <w:szCs w:val="21"/>
        </w:rPr>
        <w:t xml:space="preserve"> 甲方违反本合同第十五条的约定，拒绝或拖延履行保修义务的，业主、物业使用人可以自行或委托乙方修复，修复费用及造成的其他损失由甲方承担。</w:t>
      </w:r>
    </w:p>
    <w:p>
      <w:pPr>
        <w:spacing w:line="360" w:lineRule="atLeast"/>
        <w:rPr>
          <w:rFonts w:ascii="宋体" w:hAnsi="宋体"/>
          <w:szCs w:val="21"/>
        </w:rPr>
      </w:pPr>
      <w:r>
        <w:rPr>
          <w:rFonts w:hint="eastAsia" w:ascii="宋体" w:hAnsi="宋体"/>
          <w:b/>
          <w:szCs w:val="21"/>
        </w:rPr>
        <w:t>第三十三条</w:t>
      </w:r>
      <w:r>
        <w:rPr>
          <w:rFonts w:hint="eastAsia" w:ascii="宋体" w:hAnsi="宋体"/>
          <w:szCs w:val="21"/>
        </w:rPr>
        <w:t xml:space="preserve">  以下情况乙方不承担责任：</w:t>
      </w:r>
    </w:p>
    <w:p>
      <w:pPr>
        <w:tabs>
          <w:tab w:val="left" w:pos="915"/>
        </w:tabs>
        <w:spacing w:line="360" w:lineRule="atLeast"/>
        <w:ind w:firstLine="105" w:firstLineChars="50"/>
        <w:rPr>
          <w:rFonts w:ascii="宋体" w:hAnsi="宋体"/>
          <w:szCs w:val="21"/>
        </w:rPr>
      </w:pPr>
      <w:r>
        <w:rPr>
          <w:rFonts w:hint="eastAsia" w:ascii="宋体" w:hAnsi="宋体"/>
          <w:szCs w:val="21"/>
        </w:rPr>
        <w:t>1、因不可抗力导致物业管理服务中断的；</w:t>
      </w:r>
    </w:p>
    <w:p>
      <w:pPr>
        <w:tabs>
          <w:tab w:val="left" w:pos="915"/>
        </w:tabs>
        <w:spacing w:line="360" w:lineRule="atLeast"/>
        <w:ind w:firstLine="105" w:firstLineChars="50"/>
        <w:rPr>
          <w:rFonts w:ascii="宋体" w:hAnsi="宋体"/>
          <w:szCs w:val="21"/>
        </w:rPr>
      </w:pPr>
      <w:r>
        <w:rPr>
          <w:rFonts w:hint="eastAsia" w:ascii="宋体" w:hAnsi="宋体"/>
          <w:szCs w:val="21"/>
        </w:rPr>
        <w:t>2、乙方已履行本合同约定义务，但因物业本身固有瑕疵造成损失</w:t>
      </w:r>
    </w:p>
    <w:p>
      <w:pPr>
        <w:tabs>
          <w:tab w:val="left" w:pos="915"/>
        </w:tabs>
        <w:spacing w:line="360" w:lineRule="atLeast"/>
        <w:ind w:firstLine="105" w:firstLineChars="50"/>
        <w:rPr>
          <w:rFonts w:ascii="宋体" w:hAnsi="宋体"/>
          <w:szCs w:val="21"/>
        </w:rPr>
      </w:pPr>
      <w:r>
        <w:rPr>
          <w:rFonts w:hint="eastAsia" w:ascii="宋体" w:hAnsi="宋体"/>
          <w:szCs w:val="21"/>
        </w:rPr>
        <w:t>的；</w:t>
      </w:r>
    </w:p>
    <w:p>
      <w:pPr>
        <w:spacing w:line="360" w:lineRule="atLeast"/>
        <w:ind w:left="141" w:leftChars="67"/>
        <w:rPr>
          <w:rFonts w:ascii="宋体" w:hAnsi="宋体"/>
          <w:szCs w:val="21"/>
        </w:rPr>
      </w:pPr>
      <w:r>
        <w:rPr>
          <w:rFonts w:hint="eastAsia" w:ascii="宋体" w:hAnsi="宋体"/>
          <w:szCs w:val="21"/>
        </w:rPr>
        <w:t>3、因维修养护物业共用部位、共用设施设备需要且事先已告知业主和物业使用人，暂时停水、停电、停止共用设施设备使用等造成损失的；</w:t>
      </w:r>
    </w:p>
    <w:p>
      <w:pPr>
        <w:tabs>
          <w:tab w:val="left" w:pos="915"/>
        </w:tabs>
        <w:spacing w:line="360" w:lineRule="atLeast"/>
        <w:ind w:left="141" w:leftChars="67"/>
        <w:rPr>
          <w:rFonts w:ascii="宋体" w:hAnsi="宋体"/>
          <w:szCs w:val="21"/>
        </w:rPr>
      </w:pPr>
      <w:r>
        <w:rPr>
          <w:rFonts w:hint="eastAsia" w:ascii="宋体" w:hAnsi="宋体"/>
          <w:szCs w:val="21"/>
        </w:rPr>
        <w:t>4、因非乙方责任出现供水、供电、供气、供热、通讯、有线电视及其他公用设施设备运行障碍造成损失的；</w:t>
      </w:r>
    </w:p>
    <w:p>
      <w:pPr>
        <w:tabs>
          <w:tab w:val="left" w:pos="915"/>
        </w:tabs>
        <w:spacing w:line="360" w:lineRule="atLeast"/>
        <w:ind w:firstLine="105" w:firstLineChars="50"/>
        <w:rPr>
          <w:rFonts w:ascii="宋体" w:hAnsi="宋体"/>
          <w:szCs w:val="21"/>
        </w:rPr>
      </w:pPr>
      <w:r>
        <w:rPr>
          <w:rFonts w:hint="eastAsia" w:ascii="宋体" w:hAnsi="宋体"/>
          <w:szCs w:val="21"/>
        </w:rPr>
        <w:t>5、在本物业内发生治安或刑事案件包括但不限于暴动、抢劫、破坏、爆炸、火灾等事由所导致的损害，但因乙方故意或过失所致，不在此限。</w:t>
      </w:r>
    </w:p>
    <w:p>
      <w:pPr>
        <w:tabs>
          <w:tab w:val="left" w:pos="915"/>
        </w:tabs>
        <w:spacing w:line="360" w:lineRule="atLeast"/>
        <w:ind w:firstLine="105" w:firstLineChars="50"/>
        <w:rPr>
          <w:rFonts w:ascii="宋体" w:hAnsi="宋体"/>
          <w:szCs w:val="21"/>
        </w:rPr>
      </w:pPr>
      <w:r>
        <w:rPr>
          <w:rFonts w:hint="eastAsia" w:ascii="宋体" w:hAnsi="宋体"/>
          <w:szCs w:val="21"/>
        </w:rPr>
        <w:t>6、因甲方、业主或第三者之故意或过失所致，或业主、使用人违反本合同、临时管理规约和其它物业管理服务规定所导致的一切相关损害。</w:t>
      </w:r>
    </w:p>
    <w:p>
      <w:pPr>
        <w:tabs>
          <w:tab w:val="left" w:pos="915"/>
        </w:tabs>
        <w:spacing w:line="360" w:lineRule="atLeast"/>
        <w:ind w:firstLine="105" w:firstLineChars="50"/>
        <w:rPr>
          <w:rFonts w:ascii="宋体" w:hAnsi="宋体"/>
          <w:szCs w:val="21"/>
        </w:rPr>
      </w:pPr>
      <w:r>
        <w:rPr>
          <w:rFonts w:hint="eastAsia" w:ascii="宋体" w:hAnsi="宋体"/>
          <w:szCs w:val="21"/>
        </w:rPr>
        <w:t>7、非因乙方违反本合同义务、业主专有及约定专用部分之火灾、盗窃等治安、刑事案件所导致的损害。</w:t>
      </w:r>
    </w:p>
    <w:p>
      <w:pPr>
        <w:tabs>
          <w:tab w:val="left" w:pos="915"/>
        </w:tabs>
        <w:spacing w:line="360" w:lineRule="atLeast"/>
        <w:ind w:firstLine="105" w:firstLineChars="50"/>
        <w:rPr>
          <w:rFonts w:ascii="宋体" w:hAnsi="宋体"/>
          <w:szCs w:val="21"/>
        </w:rPr>
      </w:pPr>
      <w:r>
        <w:rPr>
          <w:rFonts w:hint="eastAsia" w:ascii="宋体" w:hAnsi="宋体"/>
          <w:szCs w:val="21"/>
        </w:rPr>
        <w:t>8、乙方书面建议改善自用、共用及约定共用部分设施或改进管理措施，而甲方未采纳所导致的损害。</w:t>
      </w:r>
    </w:p>
    <w:p>
      <w:pPr>
        <w:tabs>
          <w:tab w:val="left" w:pos="915"/>
        </w:tabs>
        <w:spacing w:line="360" w:lineRule="atLeast"/>
        <w:ind w:firstLine="105" w:firstLineChars="50"/>
        <w:rPr>
          <w:rFonts w:ascii="宋体" w:hAnsi="宋体"/>
          <w:szCs w:val="21"/>
        </w:rPr>
      </w:pPr>
      <w:r>
        <w:rPr>
          <w:rFonts w:hint="eastAsia" w:ascii="宋体" w:hAnsi="宋体"/>
          <w:szCs w:val="21"/>
        </w:rPr>
        <w:t>9、自业主迟延给付服务费用至清偿日期间（含票据未兑现部分）产生的任何损害。</w:t>
      </w:r>
    </w:p>
    <w:p>
      <w:pPr>
        <w:tabs>
          <w:tab w:val="left" w:pos="915"/>
        </w:tabs>
        <w:spacing w:line="360" w:lineRule="atLeast"/>
        <w:ind w:firstLine="105" w:firstLineChars="50"/>
        <w:rPr>
          <w:rFonts w:ascii="宋体" w:hAnsi="宋体"/>
          <w:szCs w:val="21"/>
        </w:rPr>
      </w:pPr>
      <w:r>
        <w:rPr>
          <w:rFonts w:hint="eastAsia" w:ascii="宋体" w:hAnsi="宋体"/>
          <w:szCs w:val="21"/>
        </w:rPr>
        <w:t>10、因本物业区域内车辆被窃、被破坏或车内财物被窃而产生的相关损失，但因乙方违反本合同义务而导致以上事故者除外。</w:t>
      </w:r>
    </w:p>
    <w:p>
      <w:pPr>
        <w:tabs>
          <w:tab w:val="left" w:pos="915"/>
        </w:tabs>
        <w:spacing w:line="360" w:lineRule="atLeast"/>
        <w:ind w:firstLine="105" w:firstLineChars="50"/>
        <w:rPr>
          <w:rFonts w:ascii="宋体" w:hAnsi="宋体"/>
          <w:szCs w:val="21"/>
        </w:rPr>
      </w:pPr>
      <w:r>
        <w:rPr>
          <w:rFonts w:hint="eastAsia" w:ascii="宋体" w:hAnsi="宋体"/>
          <w:szCs w:val="21"/>
        </w:rPr>
        <w:t>11、甲方或业主、物业使用人未经乙方同意，擅自委托乙方员工提供服务所导致的任何损害（如代为泊车等）。</w:t>
      </w:r>
    </w:p>
    <w:p>
      <w:pPr>
        <w:tabs>
          <w:tab w:val="left" w:pos="915"/>
        </w:tabs>
        <w:spacing w:line="360" w:lineRule="atLeast"/>
        <w:ind w:firstLine="105" w:firstLineChars="50"/>
        <w:rPr>
          <w:rFonts w:ascii="宋体" w:hAnsi="宋体"/>
          <w:szCs w:val="21"/>
        </w:rPr>
      </w:pPr>
      <w:r>
        <w:rPr>
          <w:rFonts w:hint="eastAsia" w:ascii="宋体" w:hAnsi="宋体"/>
          <w:szCs w:val="21"/>
        </w:rPr>
        <w:t>12、甲方未按合同约定与乙方签订物业承接查验协议，导致乙方无法履行本合同相关约定的，乙方可单方面解除合同，并要求甲方承担相应的违约责任。</w:t>
      </w:r>
    </w:p>
    <w:p>
      <w:pPr>
        <w:tabs>
          <w:tab w:val="left" w:pos="2370"/>
        </w:tabs>
        <w:spacing w:line="360" w:lineRule="atLeast"/>
        <w:rPr>
          <w:rFonts w:ascii="宋体" w:hAnsi="宋体"/>
          <w:b/>
          <w:szCs w:val="21"/>
        </w:rPr>
      </w:pPr>
    </w:p>
    <w:p>
      <w:pPr>
        <w:tabs>
          <w:tab w:val="left" w:pos="2370"/>
        </w:tabs>
        <w:spacing w:line="360" w:lineRule="atLeast"/>
        <w:jc w:val="center"/>
        <w:rPr>
          <w:rFonts w:ascii="宋体" w:hAnsi="宋体"/>
          <w:b/>
          <w:szCs w:val="21"/>
        </w:rPr>
      </w:pPr>
      <w:r>
        <w:rPr>
          <w:rFonts w:hint="eastAsia" w:ascii="宋体" w:hAnsi="宋体"/>
          <w:b/>
          <w:szCs w:val="21"/>
        </w:rPr>
        <w:t>第九章  其他事项</w:t>
      </w:r>
    </w:p>
    <w:p>
      <w:pPr>
        <w:spacing w:line="360" w:lineRule="atLeast"/>
        <w:rPr>
          <w:rFonts w:ascii="宋体" w:hAnsi="宋体"/>
          <w:szCs w:val="21"/>
        </w:rPr>
      </w:pPr>
      <w:r>
        <w:rPr>
          <w:rFonts w:hint="eastAsia" w:ascii="宋体" w:hAnsi="宋体"/>
          <w:b/>
          <w:szCs w:val="21"/>
        </w:rPr>
        <w:t>第三十四条</w:t>
      </w:r>
      <w:r>
        <w:rPr>
          <w:rFonts w:hint="eastAsia" w:ascii="宋体" w:hAnsi="宋体"/>
          <w:szCs w:val="21"/>
        </w:rPr>
        <w:t xml:space="preserve">  本合同期限自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日起业主委员会成立，本合同自动终止。</w:t>
      </w:r>
    </w:p>
    <w:p>
      <w:pPr>
        <w:spacing w:line="360" w:lineRule="atLeast"/>
        <w:rPr>
          <w:rFonts w:ascii="宋体" w:hAnsi="宋体"/>
          <w:szCs w:val="21"/>
        </w:rPr>
      </w:pPr>
      <w:r>
        <w:rPr>
          <w:rFonts w:hint="eastAsia" w:ascii="宋体" w:hAnsi="宋体"/>
          <w:b/>
          <w:szCs w:val="21"/>
        </w:rPr>
        <w:t xml:space="preserve">第三十五条 </w:t>
      </w:r>
      <w:r>
        <w:rPr>
          <w:rFonts w:hint="eastAsia" w:ascii="宋体" w:hAnsi="宋体"/>
          <w:szCs w:val="21"/>
        </w:rPr>
        <w:t xml:space="preserve"> 本合同终止时，乙方应将物业管理用房、物业管理相关资料等属于全体业主所有的财物及时完整地移交给业主委员会；业主委员会尚未成立的，移交给甲方或</w:t>
      </w:r>
      <w:r>
        <w:rPr>
          <w:rFonts w:hint="eastAsia" w:ascii="宋体" w:hAnsi="宋体"/>
          <w:szCs w:val="21"/>
          <w:u w:val="single"/>
        </w:rPr>
        <w:t xml:space="preserve"> ／ </w:t>
      </w:r>
      <w:r>
        <w:rPr>
          <w:rFonts w:hint="eastAsia" w:ascii="宋体" w:hAnsi="宋体"/>
          <w:szCs w:val="21"/>
        </w:rPr>
        <w:t>代管。</w:t>
      </w:r>
    </w:p>
    <w:p>
      <w:pPr>
        <w:spacing w:line="360" w:lineRule="atLeast"/>
        <w:rPr>
          <w:rFonts w:ascii="宋体" w:hAnsi="宋体"/>
          <w:szCs w:val="21"/>
        </w:rPr>
      </w:pPr>
      <w:r>
        <w:rPr>
          <w:rFonts w:hint="eastAsia" w:ascii="宋体" w:hAnsi="宋体"/>
          <w:szCs w:val="21"/>
        </w:rPr>
        <w:t>第</w:t>
      </w:r>
      <w:r>
        <w:rPr>
          <w:rFonts w:hint="eastAsia" w:ascii="宋体" w:hAnsi="宋体"/>
          <w:b/>
          <w:szCs w:val="21"/>
        </w:rPr>
        <w:t>三十六条</w:t>
      </w:r>
      <w:r>
        <w:rPr>
          <w:rFonts w:hint="eastAsia" w:ascii="宋体" w:hAnsi="宋体"/>
          <w:szCs w:val="21"/>
        </w:rPr>
        <w:t xml:space="preserve">  甲方与物业买受人签订的物业买卖合同，应当包含本合同约定的内容；物业买受人签订物业买卖合同，即为对接受本合同内容的承诺。</w:t>
      </w:r>
    </w:p>
    <w:p>
      <w:pPr>
        <w:spacing w:line="360" w:lineRule="atLeast"/>
        <w:rPr>
          <w:rFonts w:ascii="宋体" w:hAnsi="宋体"/>
          <w:szCs w:val="21"/>
        </w:rPr>
      </w:pPr>
      <w:r>
        <w:rPr>
          <w:rFonts w:hint="eastAsia" w:ascii="宋体" w:hAnsi="宋体"/>
          <w:b/>
          <w:szCs w:val="21"/>
        </w:rPr>
        <w:t xml:space="preserve">第三十七条 </w:t>
      </w:r>
      <w:r>
        <w:rPr>
          <w:rFonts w:hint="eastAsia" w:ascii="宋体" w:hAnsi="宋体"/>
          <w:szCs w:val="21"/>
        </w:rPr>
        <w:t xml:space="preserve"> 业主可与物业使用人就本合同的权利义务进行约定，但物业使用人违反本合同约定的，业主应承担连带责任。</w:t>
      </w:r>
    </w:p>
    <w:p>
      <w:pPr>
        <w:spacing w:line="360" w:lineRule="atLeast"/>
        <w:rPr>
          <w:rFonts w:ascii="宋体" w:hAnsi="宋体"/>
          <w:szCs w:val="21"/>
        </w:rPr>
      </w:pPr>
      <w:r>
        <w:rPr>
          <w:rFonts w:hint="eastAsia" w:ascii="宋体" w:hAnsi="宋体"/>
          <w:b/>
          <w:szCs w:val="21"/>
        </w:rPr>
        <w:t>第三十八条</w:t>
      </w:r>
      <w:r>
        <w:rPr>
          <w:rFonts w:hint="eastAsia" w:ascii="宋体" w:hAnsi="宋体"/>
          <w:szCs w:val="21"/>
        </w:rPr>
        <w:t xml:space="preserve">   本合同未尽事宜，双方可另行以书面形式签订补充协议，补充协议与本合同存在冲突的，以本合同为准。</w:t>
      </w:r>
    </w:p>
    <w:p>
      <w:pPr>
        <w:spacing w:line="360" w:lineRule="atLeast"/>
        <w:rPr>
          <w:rFonts w:ascii="宋体" w:hAnsi="宋体"/>
          <w:szCs w:val="21"/>
        </w:rPr>
      </w:pPr>
      <w:r>
        <w:rPr>
          <w:rFonts w:hint="eastAsia" w:ascii="宋体" w:hAnsi="宋体"/>
          <w:b/>
          <w:szCs w:val="21"/>
        </w:rPr>
        <w:t>第三十九条</w:t>
      </w:r>
      <w:r>
        <w:rPr>
          <w:rFonts w:hint="eastAsia" w:ascii="宋体" w:hAnsi="宋体"/>
          <w:szCs w:val="21"/>
        </w:rPr>
        <w:t xml:space="preserve">  本合同在履行中发生争议，由双方协商解决，协商不成，双方可选择以下第</w:t>
      </w:r>
      <w:r>
        <w:rPr>
          <w:rFonts w:hint="eastAsia" w:ascii="宋体" w:hAnsi="宋体"/>
          <w:szCs w:val="21"/>
          <w:u w:val="single"/>
        </w:rPr>
        <w:t xml:space="preserve">  1 </w:t>
      </w:r>
      <w:r>
        <w:rPr>
          <w:rFonts w:hint="eastAsia" w:ascii="宋体" w:hAnsi="宋体"/>
          <w:szCs w:val="21"/>
        </w:rPr>
        <w:t>种方式处理：</w:t>
      </w:r>
    </w:p>
    <w:p>
      <w:pPr>
        <w:spacing w:line="360" w:lineRule="atLeast"/>
        <w:rPr>
          <w:rFonts w:ascii="宋体" w:hAnsi="宋体"/>
          <w:szCs w:val="21"/>
        </w:rPr>
      </w:pPr>
      <w:r>
        <w:rPr>
          <w:rFonts w:hint="eastAsia" w:ascii="宋体" w:hAnsi="宋体"/>
          <w:szCs w:val="21"/>
        </w:rPr>
        <w:t xml:space="preserve"> 1、向</w:t>
      </w:r>
      <w:r>
        <w:rPr>
          <w:rFonts w:hint="eastAsia" w:ascii="宋体" w:hAnsi="宋体"/>
          <w:szCs w:val="21"/>
          <w:u w:val="single"/>
        </w:rPr>
        <w:t xml:space="preserve">  平湖市   </w:t>
      </w:r>
      <w:r>
        <w:rPr>
          <w:rFonts w:hint="eastAsia" w:ascii="宋体" w:hAnsi="宋体"/>
          <w:szCs w:val="21"/>
        </w:rPr>
        <w:t>仲裁委员会申请仲裁；</w:t>
      </w:r>
    </w:p>
    <w:p>
      <w:pPr>
        <w:tabs>
          <w:tab w:val="left" w:pos="130"/>
        </w:tabs>
        <w:spacing w:line="360" w:lineRule="atLeast"/>
        <w:rPr>
          <w:rFonts w:ascii="宋体" w:hAnsi="宋体"/>
          <w:szCs w:val="21"/>
        </w:rPr>
      </w:pPr>
      <w:r>
        <w:rPr>
          <w:rFonts w:ascii="宋体" w:hAnsi="宋体"/>
          <w:szCs w:val="21"/>
        </w:rPr>
        <w:tab/>
      </w:r>
      <w:r>
        <w:rPr>
          <w:rFonts w:hint="eastAsia" w:ascii="宋体" w:hAnsi="宋体"/>
          <w:szCs w:val="21"/>
        </w:rPr>
        <w:t>2、向人民法院提起诉讼。</w:t>
      </w:r>
    </w:p>
    <w:p>
      <w:pPr>
        <w:spacing w:line="360" w:lineRule="atLeast"/>
        <w:rPr>
          <w:rFonts w:ascii="宋体" w:hAnsi="宋体"/>
          <w:szCs w:val="21"/>
        </w:rPr>
      </w:pPr>
      <w:r>
        <w:rPr>
          <w:rFonts w:hint="eastAsia" w:ascii="宋体" w:hAnsi="宋体"/>
          <w:b/>
          <w:szCs w:val="21"/>
        </w:rPr>
        <w:t xml:space="preserve">第四十条  </w:t>
      </w:r>
      <w:r>
        <w:rPr>
          <w:rFonts w:hint="eastAsia" w:ascii="宋体" w:hAnsi="宋体"/>
          <w:szCs w:val="21"/>
        </w:rPr>
        <w:t>本合同共</w:t>
      </w:r>
      <w:r>
        <w:rPr>
          <w:rFonts w:hint="eastAsia" w:ascii="宋体" w:hAnsi="宋体"/>
          <w:szCs w:val="21"/>
          <w:u w:val="single"/>
        </w:rPr>
        <w:t>十一</w:t>
      </w:r>
      <w:r>
        <w:rPr>
          <w:rFonts w:hint="eastAsia" w:ascii="宋体" w:hAnsi="宋体"/>
          <w:szCs w:val="21"/>
        </w:rPr>
        <w:t>页，一式五份，甲乙双方各执二份及物业管理行政主管部门（备案）一份，具有同等法律效力。</w:t>
      </w:r>
    </w:p>
    <w:p>
      <w:pPr>
        <w:tabs>
          <w:tab w:val="left" w:pos="930"/>
        </w:tabs>
        <w:spacing w:line="360" w:lineRule="atLeast"/>
        <w:rPr>
          <w:rFonts w:ascii="宋体" w:hAnsi="宋体"/>
          <w:szCs w:val="21"/>
        </w:rPr>
      </w:pPr>
    </w:p>
    <w:p>
      <w:pPr>
        <w:tabs>
          <w:tab w:val="left" w:pos="930"/>
        </w:tabs>
        <w:spacing w:line="360" w:lineRule="atLeast"/>
        <w:rPr>
          <w:rFonts w:ascii="宋体" w:hAnsi="宋体"/>
          <w:szCs w:val="21"/>
        </w:rPr>
      </w:pPr>
    </w:p>
    <w:p>
      <w:pPr>
        <w:tabs>
          <w:tab w:val="left" w:pos="930"/>
        </w:tabs>
        <w:spacing w:line="360" w:lineRule="atLeast"/>
        <w:rPr>
          <w:rFonts w:ascii="宋体" w:hAnsi="宋体"/>
          <w:szCs w:val="21"/>
        </w:rPr>
      </w:pPr>
      <w:r>
        <w:rPr>
          <w:rFonts w:hint="eastAsia" w:ascii="宋体" w:hAnsi="宋体"/>
          <w:szCs w:val="21"/>
        </w:rPr>
        <w:t>甲方（签章）                    乙方（签章）</w:t>
      </w:r>
    </w:p>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 xml:space="preserve">法定代表人                      法定代表人 </w:t>
      </w:r>
    </w:p>
    <w:p>
      <w:pPr>
        <w:spacing w:line="360" w:lineRule="atLeast"/>
        <w:rPr>
          <w:rFonts w:ascii="宋体" w:hAnsi="宋体"/>
          <w:szCs w:val="21"/>
        </w:rPr>
      </w:pPr>
    </w:p>
    <w:p>
      <w:pPr>
        <w:tabs>
          <w:tab w:val="left" w:pos="5180"/>
        </w:tabs>
        <w:spacing w:line="360" w:lineRule="atLeast"/>
        <w:jc w:val="right"/>
        <w:rPr>
          <w:rFonts w:ascii="宋体" w:hAnsi="宋体"/>
          <w:szCs w:val="21"/>
        </w:rPr>
      </w:pPr>
    </w:p>
    <w:p>
      <w:pPr>
        <w:tabs>
          <w:tab w:val="left" w:pos="5180"/>
        </w:tabs>
        <w:spacing w:line="360" w:lineRule="atLeast"/>
        <w:jc w:val="center"/>
        <w:rPr>
          <w:rFonts w:ascii="宋体" w:hAnsi="宋体"/>
          <w:szCs w:val="21"/>
        </w:rPr>
      </w:pPr>
      <w:r>
        <w:rPr>
          <w:rFonts w:hint="eastAsia" w:ascii="宋体" w:hAnsi="宋体"/>
          <w:szCs w:val="21"/>
        </w:rPr>
        <w:t xml:space="preserve">                                   年    月     日</w:t>
      </w:r>
    </w:p>
    <w:p>
      <w:pPr>
        <w:snapToGrid w:val="0"/>
        <w:spacing w:line="360" w:lineRule="atLeast"/>
        <w:rPr>
          <w:rFonts w:ascii="宋体" w:hAnsi="宋体"/>
          <w:szCs w:val="21"/>
        </w:rPr>
      </w:pPr>
    </w:p>
    <w:p>
      <w:pPr>
        <w:snapToGrid w:val="0"/>
        <w:spacing w:line="360" w:lineRule="atLeast"/>
        <w:rPr>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spacing w:line="240" w:lineRule="auto"/>
        <w:jc w:val="center"/>
        <w:rPr>
          <w:rFonts w:hint="eastAsia" w:ascii="宋体" w:hAnsi="宋体" w:eastAsia="宋体" w:cs="宋体"/>
          <w:b/>
          <w:szCs w:val="21"/>
        </w:rPr>
      </w:pPr>
    </w:p>
    <w:p>
      <w:pPr>
        <w:pStyle w:val="4"/>
        <w:keepNext/>
        <w:keepLines/>
        <w:pageBreakBefore w:val="0"/>
        <w:widowControl w:val="0"/>
        <w:numPr>
          <w:ilvl w:val="0"/>
          <w:numId w:val="0"/>
        </w:numPr>
        <w:kinsoku/>
        <w:wordWrap/>
        <w:overflowPunct/>
        <w:topLinePunct w:val="0"/>
        <w:autoSpaceDE/>
        <w:autoSpaceDN/>
        <w:bidi w:val="0"/>
        <w:adjustRightInd/>
        <w:snapToGrid/>
        <w:spacing w:before="20" w:after="20" w:line="900" w:lineRule="exact"/>
        <w:jc w:val="center"/>
        <w:textAlignment w:val="auto"/>
        <w:rPr>
          <w:rFonts w:hint="eastAsia" w:ascii="宋体" w:hAnsi="宋体" w:eastAsia="宋体" w:cs="宋体"/>
          <w:color w:val="000000"/>
          <w:highlight w:val="none"/>
        </w:rPr>
      </w:pPr>
      <w:bookmarkStart w:id="237" w:name="_Toc7264"/>
      <w:bookmarkStart w:id="238" w:name="_Toc28819"/>
      <w:r>
        <w:rPr>
          <w:rFonts w:hint="eastAsia" w:ascii="宋体" w:hAnsi="宋体" w:eastAsia="宋体" w:cs="宋体"/>
          <w:color w:val="000000"/>
          <w:highlight w:val="none"/>
        </w:rPr>
        <w:t>第六章　投标文件格式</w:t>
      </w:r>
      <w:bookmarkEnd w:id="237"/>
      <w:bookmarkEnd w:id="238"/>
    </w:p>
    <w:p>
      <w:pPr>
        <w:snapToGrid w:val="0"/>
        <w:spacing w:line="600" w:lineRule="exact"/>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一、资信商务及技术文件格式</w:t>
      </w:r>
    </w:p>
    <w:p>
      <w:pPr>
        <w:snapToGrid w:val="0"/>
        <w:spacing w:line="600" w:lineRule="exact"/>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1.资信商务及技术文件的外包装封面格式：</w:t>
      </w:r>
    </w:p>
    <w:p>
      <w:pPr>
        <w:snapToGrid w:val="0"/>
        <w:spacing w:line="600" w:lineRule="exact"/>
        <w:jc w:val="center"/>
        <w:rPr>
          <w:rFonts w:hint="eastAsia" w:ascii="宋体" w:hAnsi="宋体" w:eastAsia="宋体" w:cs="宋体"/>
          <w:b/>
          <w:bCs/>
          <w:spacing w:val="-17"/>
          <w:sz w:val="36"/>
          <w:szCs w:val="36"/>
          <w:highlight w:val="none"/>
          <w:lang w:val="en-US" w:eastAsia="zh-CN"/>
        </w:rPr>
      </w:pPr>
      <w:r>
        <w:rPr>
          <w:rFonts w:hint="eastAsia" w:ascii="宋体" w:hAnsi="宋体" w:eastAsia="宋体" w:cs="宋体"/>
          <w:b/>
          <w:bCs/>
          <w:spacing w:val="-17"/>
          <w:sz w:val="36"/>
          <w:szCs w:val="36"/>
          <w:highlight w:val="none"/>
          <w:lang w:val="en-US" w:eastAsia="zh-CN"/>
        </w:rPr>
        <w:t>资信商务及技术文件</w:t>
      </w:r>
    </w:p>
    <w:p>
      <w:pPr>
        <w:snapToGrid w:val="0"/>
        <w:spacing w:line="600" w:lineRule="exact"/>
        <w:jc w:val="center"/>
        <w:rPr>
          <w:rFonts w:hint="eastAsia" w:ascii="宋体" w:hAnsi="宋体" w:eastAsia="宋体" w:cs="宋体"/>
          <w:b/>
          <w:bCs/>
          <w:spacing w:val="-17"/>
          <w:sz w:val="36"/>
          <w:szCs w:val="36"/>
          <w:highlight w:val="none"/>
          <w:lang w:val="en-US" w:eastAsia="zh-CN"/>
        </w:rPr>
      </w:pPr>
    </w:p>
    <w:p>
      <w:pPr>
        <w:spacing w:line="360" w:lineRule="auto"/>
        <w:ind w:firstLine="387" w:firstLineChars="187"/>
        <w:rPr>
          <w:rFonts w:hint="eastAsia" w:ascii="宋体" w:hAnsi="宋体" w:eastAsia="宋体" w:cs="宋体"/>
          <w:szCs w:val="21"/>
          <w:highlight w:val="none"/>
          <w:u w:val="none"/>
        </w:rPr>
      </w:pPr>
      <w:r>
        <w:rPr>
          <w:rFonts w:hint="eastAsia" w:ascii="宋体" w:hAnsi="宋体" w:eastAsia="宋体" w:cs="宋体"/>
          <w:b/>
          <w:bCs/>
          <w:spacing w:val="-17"/>
          <w:sz w:val="24"/>
          <w:szCs w:val="24"/>
          <w:highlight w:val="none"/>
          <w:lang w:val="en-US" w:eastAsia="zh-CN"/>
        </w:rPr>
        <w:t>项目名称：</w:t>
      </w:r>
      <w:r>
        <w:rPr>
          <w:rFonts w:hint="eastAsia" w:ascii="宋体" w:hAnsi="宋体" w:eastAsia="宋体" w:cs="宋体"/>
          <w:b/>
          <w:bCs/>
          <w:spacing w:val="-17"/>
          <w:sz w:val="24"/>
          <w:szCs w:val="24"/>
          <w:highlight w:val="none"/>
          <w:u w:val="single"/>
          <w:lang w:val="en-US" w:eastAsia="zh-CN"/>
        </w:rPr>
        <w:t xml:space="preserve">                                 </w:t>
      </w:r>
      <w:r>
        <w:rPr>
          <w:rFonts w:hint="eastAsia" w:ascii="宋体" w:hAnsi="宋体" w:eastAsia="宋体" w:cs="宋体"/>
          <w:b/>
          <w:bCs/>
          <w:spacing w:val="-17"/>
          <w:sz w:val="24"/>
          <w:szCs w:val="24"/>
          <w:highlight w:val="none"/>
          <w:u w:val="none"/>
          <w:lang w:val="en-US" w:eastAsia="zh-CN"/>
        </w:rPr>
        <w:t>采购项目</w:t>
      </w:r>
      <w:r>
        <w:rPr>
          <w:rFonts w:hint="eastAsia" w:ascii="宋体" w:hAnsi="宋体" w:eastAsia="宋体" w:cs="宋体"/>
          <w:szCs w:val="21"/>
          <w:highlight w:val="none"/>
          <w:u w:val="none"/>
        </w:rPr>
        <w:t xml:space="preserve"> </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项目编号：</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投标人名称（盖章）：</w:t>
      </w:r>
    </w:p>
    <w:p>
      <w:pPr>
        <w:snapToGrid w:val="0"/>
        <w:spacing w:line="600" w:lineRule="exact"/>
        <w:ind w:firstLine="414" w:firstLineChars="2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投标人地址： </w:t>
      </w:r>
    </w:p>
    <w:p>
      <w:pPr>
        <w:snapToGrid w:val="0"/>
        <w:spacing w:line="600" w:lineRule="exact"/>
        <w:ind w:firstLine="414" w:firstLineChars="200"/>
        <w:jc w:val="both"/>
        <w:rPr>
          <w:rFonts w:hint="eastAsia" w:ascii="宋体" w:hAnsi="宋体" w:eastAsia="宋体" w:cs="宋体"/>
          <w:szCs w:val="21"/>
          <w:highlight w:val="none"/>
          <w:u w:val="none"/>
          <w:lang w:val="en-US" w:eastAsia="zh-CN"/>
        </w:rPr>
      </w:pPr>
      <w:r>
        <w:rPr>
          <w:rFonts w:hint="eastAsia" w:ascii="宋体" w:hAnsi="宋体" w:eastAsia="宋体" w:cs="宋体"/>
          <w:b/>
          <w:bCs/>
          <w:spacing w:val="-17"/>
          <w:sz w:val="24"/>
          <w:szCs w:val="24"/>
          <w:highlight w:val="none"/>
          <w:lang w:val="en-US" w:eastAsia="zh-CN"/>
        </w:rPr>
        <w:t xml:space="preserve">在   年  月   日   时   分之前不得启封     </w:t>
      </w:r>
    </w:p>
    <w:p>
      <w:pPr>
        <w:snapToGrid w:val="0"/>
        <w:spacing w:line="600" w:lineRule="exact"/>
        <w:ind w:firstLine="5587" w:firstLineChars="27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年  月    日  </w:t>
      </w:r>
    </w:p>
    <w:p>
      <w:pPr>
        <w:numPr>
          <w:ilvl w:val="0"/>
          <w:numId w:val="7"/>
        </w:numPr>
        <w:snapToGrid w:val="0"/>
        <w:spacing w:line="600" w:lineRule="exact"/>
        <w:ind w:left="0" w:leftChars="0" w:firstLine="0" w:firstLineChars="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资信商务及技术文件封面格式</w:t>
      </w:r>
    </w:p>
    <w:p>
      <w:pPr>
        <w:numPr>
          <w:ilvl w:val="0"/>
          <w:numId w:val="0"/>
        </w:numPr>
        <w:snapToGrid w:val="0"/>
        <w:spacing w:line="600" w:lineRule="exact"/>
        <w:ind w:leftChars="0"/>
        <w:jc w:val="center"/>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                                                                               正本/或副本</w:t>
      </w:r>
    </w:p>
    <w:p>
      <w:pPr>
        <w:numPr>
          <w:ilvl w:val="0"/>
          <w:numId w:val="0"/>
        </w:numPr>
        <w:snapToGrid w:val="0"/>
        <w:spacing w:line="600" w:lineRule="exact"/>
        <w:ind w:leftChars="0"/>
        <w:jc w:val="center"/>
        <w:rPr>
          <w:rFonts w:hint="eastAsia" w:ascii="宋体" w:hAnsi="宋体" w:eastAsia="宋体" w:cs="宋体"/>
          <w:b/>
          <w:bCs/>
          <w:spacing w:val="-17"/>
          <w:sz w:val="36"/>
          <w:szCs w:val="36"/>
          <w:highlight w:val="none"/>
          <w:lang w:val="en-US" w:eastAsia="zh-CN"/>
        </w:rPr>
      </w:pPr>
      <w:r>
        <w:rPr>
          <w:rFonts w:hint="eastAsia" w:ascii="宋体" w:hAnsi="宋体" w:eastAsia="宋体" w:cs="宋体"/>
          <w:b/>
          <w:bCs/>
          <w:spacing w:val="-17"/>
          <w:sz w:val="36"/>
          <w:szCs w:val="36"/>
          <w:highlight w:val="none"/>
          <w:lang w:val="en-US" w:eastAsia="zh-CN"/>
        </w:rPr>
        <w:t>资信商务及技术文件</w:t>
      </w:r>
    </w:p>
    <w:p>
      <w:pPr>
        <w:numPr>
          <w:ilvl w:val="0"/>
          <w:numId w:val="0"/>
        </w:numPr>
        <w:snapToGrid w:val="0"/>
        <w:spacing w:line="600" w:lineRule="exact"/>
        <w:ind w:leftChars="0"/>
        <w:jc w:val="center"/>
        <w:rPr>
          <w:rFonts w:hint="eastAsia" w:ascii="宋体" w:hAnsi="宋体" w:eastAsia="宋体" w:cs="宋体"/>
          <w:b/>
          <w:bCs/>
          <w:spacing w:val="-17"/>
          <w:sz w:val="36"/>
          <w:szCs w:val="36"/>
          <w:highlight w:val="none"/>
          <w:lang w:val="en-US" w:eastAsia="zh-CN"/>
        </w:rPr>
      </w:pPr>
    </w:p>
    <w:p>
      <w:pPr>
        <w:spacing w:line="360" w:lineRule="auto"/>
        <w:ind w:firstLine="387" w:firstLineChars="187"/>
        <w:rPr>
          <w:rFonts w:hint="eastAsia" w:ascii="宋体" w:hAnsi="宋体" w:eastAsia="宋体" w:cs="宋体"/>
          <w:szCs w:val="21"/>
          <w:highlight w:val="none"/>
          <w:u w:val="none"/>
        </w:rPr>
      </w:pPr>
      <w:r>
        <w:rPr>
          <w:rFonts w:hint="eastAsia" w:ascii="宋体" w:hAnsi="宋体" w:eastAsia="宋体" w:cs="宋体"/>
          <w:b/>
          <w:bCs/>
          <w:spacing w:val="-17"/>
          <w:sz w:val="24"/>
          <w:szCs w:val="24"/>
          <w:highlight w:val="none"/>
          <w:lang w:val="en-US" w:eastAsia="zh-CN"/>
        </w:rPr>
        <w:t>项目名称：</w:t>
      </w:r>
      <w:r>
        <w:rPr>
          <w:rFonts w:hint="eastAsia" w:ascii="宋体" w:hAnsi="宋体" w:eastAsia="宋体" w:cs="宋体"/>
          <w:b/>
          <w:bCs/>
          <w:spacing w:val="-17"/>
          <w:sz w:val="24"/>
          <w:szCs w:val="24"/>
          <w:highlight w:val="none"/>
          <w:u w:val="single"/>
          <w:lang w:val="en-US" w:eastAsia="zh-CN"/>
        </w:rPr>
        <w:t xml:space="preserve">                                 </w:t>
      </w:r>
      <w:r>
        <w:rPr>
          <w:rFonts w:hint="eastAsia" w:ascii="宋体" w:hAnsi="宋体" w:eastAsia="宋体" w:cs="宋体"/>
          <w:b/>
          <w:bCs/>
          <w:spacing w:val="-17"/>
          <w:sz w:val="24"/>
          <w:szCs w:val="24"/>
          <w:highlight w:val="none"/>
          <w:u w:val="none"/>
          <w:lang w:val="en-US" w:eastAsia="zh-CN"/>
        </w:rPr>
        <w:t>采购项目</w:t>
      </w:r>
      <w:r>
        <w:rPr>
          <w:rFonts w:hint="eastAsia" w:ascii="宋体" w:hAnsi="宋体" w:eastAsia="宋体" w:cs="宋体"/>
          <w:szCs w:val="21"/>
          <w:highlight w:val="none"/>
          <w:u w:val="none"/>
        </w:rPr>
        <w:t xml:space="preserve"> </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项目编号：</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投标人名称（盖章）：</w:t>
      </w:r>
    </w:p>
    <w:p>
      <w:pPr>
        <w:snapToGrid w:val="0"/>
        <w:spacing w:line="600" w:lineRule="exact"/>
        <w:ind w:firstLine="414" w:firstLineChars="2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投标人地址： </w:t>
      </w:r>
    </w:p>
    <w:p>
      <w:pPr>
        <w:snapToGrid w:val="0"/>
        <w:spacing w:line="600" w:lineRule="exact"/>
        <w:ind w:firstLine="5587" w:firstLineChars="27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年  月    日  </w:t>
      </w:r>
    </w:p>
    <w:p>
      <w:pPr>
        <w:snapToGrid w:val="0"/>
        <w:spacing w:line="600" w:lineRule="exact"/>
        <w:ind w:firstLine="5587" w:firstLineChars="2700"/>
        <w:jc w:val="both"/>
        <w:rPr>
          <w:rFonts w:hint="eastAsia" w:ascii="宋体" w:hAnsi="宋体" w:eastAsia="宋体" w:cs="宋体"/>
          <w:b/>
          <w:bCs/>
          <w:spacing w:val="-17"/>
          <w:sz w:val="24"/>
          <w:szCs w:val="24"/>
          <w:highlight w:val="none"/>
          <w:lang w:val="en-US" w:eastAsia="zh-CN"/>
        </w:rPr>
      </w:pPr>
    </w:p>
    <w:p>
      <w:pPr>
        <w:snapToGrid w:val="0"/>
        <w:spacing w:line="600" w:lineRule="exact"/>
        <w:jc w:val="both"/>
        <w:rPr>
          <w:rFonts w:hint="eastAsia" w:ascii="宋体" w:hAnsi="宋体" w:eastAsia="宋体" w:cs="宋体"/>
          <w:b/>
          <w:bCs/>
          <w:spacing w:val="-17"/>
          <w:sz w:val="24"/>
          <w:szCs w:val="24"/>
          <w:highlight w:val="none"/>
          <w:lang w:val="en-US" w:eastAsia="zh-CN"/>
        </w:rPr>
      </w:pPr>
    </w:p>
    <w:p>
      <w:pPr>
        <w:snapToGrid w:val="0"/>
        <w:spacing w:line="600" w:lineRule="exact"/>
        <w:jc w:val="both"/>
        <w:rPr>
          <w:rFonts w:hint="eastAsia" w:ascii="宋体" w:hAnsi="宋体" w:eastAsia="宋体" w:cs="宋体"/>
          <w:b/>
          <w:bCs/>
          <w:spacing w:val="-17"/>
          <w:sz w:val="24"/>
          <w:szCs w:val="24"/>
          <w:highlight w:val="none"/>
          <w:lang w:val="en-US" w:eastAsia="zh-CN"/>
        </w:rPr>
      </w:pPr>
    </w:p>
    <w:p>
      <w:pPr>
        <w:snapToGrid w:val="0"/>
        <w:spacing w:line="600" w:lineRule="exact"/>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3.资信商务及技术文件</w:t>
      </w:r>
    </w:p>
    <w:p>
      <w:pPr>
        <w:pStyle w:val="107"/>
        <w:snapToGrid w:val="0"/>
        <w:spacing w:line="400" w:lineRule="exact"/>
        <w:jc w:val="center"/>
        <w:rPr>
          <w:rFonts w:hint="eastAsia"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目录</w:t>
      </w:r>
    </w:p>
    <w:p>
      <w:pPr>
        <w:pStyle w:val="107"/>
        <w:numPr>
          <w:ilvl w:val="0"/>
          <w:numId w:val="0"/>
        </w:numPr>
        <w:snapToGrid w:val="0"/>
        <w:spacing w:line="400" w:lineRule="exact"/>
        <w:jc w:val="distribute"/>
        <w:rPr>
          <w:rFonts w:hint="eastAsia" w:ascii="宋体" w:hAnsi="宋体"/>
          <w:sz w:val="24"/>
        </w:rPr>
      </w:pPr>
      <w:r>
        <w:rPr>
          <w:rFonts w:hint="eastAsia" w:hAnsi="宋体" w:eastAsia="宋体" w:cs="宋体"/>
          <w:b/>
          <w:bCs/>
          <w:spacing w:val="-17"/>
          <w:sz w:val="24"/>
          <w:szCs w:val="24"/>
          <w:highlight w:val="none"/>
          <w:lang w:val="en-US" w:eastAsia="zh-CN"/>
        </w:rPr>
        <w:t>（1）投标声明书</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（2）法定代表人授权委托书</w:t>
      </w:r>
      <w:r>
        <w:rPr>
          <w:rFonts w:ascii="宋体" w:hAnsi="宋体"/>
          <w:sz w:val="24"/>
        </w:rPr>
        <w:t xml:space="preserve"> </w:t>
      </w:r>
      <w:r>
        <w:rPr>
          <w:rFonts w:hint="eastAsia" w:hAnsi="宋体" w:eastAsia="宋体" w:cs="宋体"/>
          <w:b/>
          <w:bCs/>
          <w:spacing w:val="-17"/>
          <w:sz w:val="24"/>
          <w:szCs w:val="24"/>
          <w:highlight w:val="none"/>
          <w:lang w:val="en-US" w:eastAsia="zh-CN"/>
        </w:rPr>
        <w:t xml:space="preserve">、法定代表人及被授权人的身份证（复印件）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（3）投标人基本情况介绍</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（4）企业（法人）营业执照（复印件）</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（5）最近一个季度依法缴纳税收和社保费的证明</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（6）上年度资产负债表、损益表（复印件）</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（7）所有荣誉证书、资质文件（复印件）</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（8）2017年1月至今的类似业绩</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（9）对本项目总体要求的理解</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（10）改进措施和合理化建议</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（11）组织方案</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（12）投标项目的主要管理人员情况一览表</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（13）设备、器械、工具配备计划表</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（14）人员投入计划表</w:t>
      </w:r>
      <w:r>
        <w:rPr>
          <w:rFonts w:hint="eastAsia" w:ascii="宋体" w:hAnsi="宋体"/>
          <w:sz w:val="24"/>
        </w:rPr>
        <w:t>—————————————————————</w:t>
      </w:r>
      <w:r>
        <w:rPr>
          <w:rFonts w:hint="eastAsia" w:hAnsi="宋体"/>
          <w:sz w:val="24"/>
          <w:lang w:val="en-US" w:eastAsia="zh-CN"/>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（15）投标单位参与综合评分时需提供的证明文件</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（16）服务承诺</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（17）廉政承诺书</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（18）关于对资信商务及技术文件中有关条款的拒绝声明（如果有）</w:t>
      </w:r>
      <w:r>
        <w:rPr>
          <w:rFonts w:ascii="宋体" w:hAnsi="宋体"/>
          <w:sz w:val="24"/>
        </w:rPr>
        <w:t xml:space="preserve"> </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（19）投标人认为需要的其他资信商务及技术文件或说明</w:t>
      </w:r>
      <w:r>
        <w:rPr>
          <w:rFonts w:hint="eastAsia" w:ascii="宋体" w:hAnsi="宋体"/>
          <w:sz w:val="24"/>
        </w:rPr>
        <w:t>—————————（页码）</w:t>
      </w:r>
    </w:p>
    <w:p>
      <w:pPr>
        <w:pStyle w:val="107"/>
        <w:snapToGrid w:val="0"/>
        <w:spacing w:line="400" w:lineRule="exact"/>
        <w:jc w:val="both"/>
        <w:rPr>
          <w:rFonts w:hint="eastAsia" w:hAnsi="宋体" w:eastAsia="宋体"/>
          <w:sz w:val="24"/>
          <w:lang w:val="en-US" w:eastAsia="zh-CN"/>
        </w:rPr>
      </w:pPr>
      <w:r>
        <w:rPr>
          <w:rFonts w:hint="eastAsia" w:hAnsi="宋体" w:eastAsia="宋体"/>
          <w:sz w:val="24"/>
          <w:lang w:val="en-US" w:eastAsia="zh-CN"/>
        </w:rPr>
        <w:t>注：以上目录是编制投标资信及商务技术文件的基本格式要求，各投标人可根据自身情况进一步细化。</w:t>
      </w: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r>
        <w:rPr>
          <w:rFonts w:hint="eastAsia" w:hAnsi="宋体" w:eastAsia="宋体"/>
          <w:sz w:val="24"/>
          <w:lang w:val="en-US" w:eastAsia="zh-CN"/>
        </w:rPr>
        <w:t>3.1投标声明书格式：</w:t>
      </w:r>
    </w:p>
    <w:p>
      <w:pPr>
        <w:snapToGrid w:val="0"/>
        <w:spacing w:before="120" w:beforeLines="50" w:after="50"/>
        <w:jc w:val="center"/>
        <w:rPr>
          <w:rFonts w:hint="eastAsia" w:hAnsi="宋体" w:eastAsia="宋体"/>
          <w:sz w:val="24"/>
          <w:szCs w:val="24"/>
          <w:lang w:val="en-US" w:eastAsia="zh-CN"/>
        </w:rPr>
      </w:pPr>
      <w:r>
        <w:rPr>
          <w:rFonts w:hint="eastAsia" w:ascii="宋体" w:hAnsi="宋体"/>
          <w:b/>
          <w:sz w:val="24"/>
          <w:szCs w:val="24"/>
        </w:rPr>
        <w:t>投标声明书</w:t>
      </w:r>
    </w:p>
    <w:p>
      <w:pPr>
        <w:snapToGrid w:val="0"/>
        <w:spacing w:before="120" w:beforeLines="50" w:after="50" w:line="400" w:lineRule="exact"/>
        <w:rPr>
          <w:rFonts w:ascii="宋体" w:hAnsi="宋体"/>
          <w:sz w:val="21"/>
          <w:szCs w:val="21"/>
        </w:rPr>
      </w:pPr>
      <w:r>
        <w:rPr>
          <w:rFonts w:hint="eastAsia" w:ascii="宋体" w:hAnsi="宋体"/>
          <w:sz w:val="21"/>
          <w:szCs w:val="21"/>
        </w:rPr>
        <w:t>致：</w:t>
      </w:r>
      <w:r>
        <w:rPr>
          <w:rFonts w:ascii="宋体" w:hAnsi="宋体"/>
          <w:sz w:val="21"/>
          <w:szCs w:val="21"/>
          <w:u w:val="single"/>
        </w:rPr>
        <w:t xml:space="preserve">                               </w:t>
      </w:r>
      <w:r>
        <w:rPr>
          <w:rFonts w:hint="eastAsia" w:hAnsi="宋体"/>
          <w:sz w:val="21"/>
          <w:szCs w:val="21"/>
        </w:rPr>
        <w:t>（采购人）</w:t>
      </w:r>
    </w:p>
    <w:p>
      <w:pPr>
        <w:snapToGrid w:val="0"/>
        <w:spacing w:before="120" w:beforeLines="50" w:after="50" w:line="400" w:lineRule="exact"/>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（投标人名称）系中华人民共和国合法企业，经营地址</w:t>
      </w:r>
      <w:r>
        <w:rPr>
          <w:rFonts w:ascii="宋体" w:hAnsi="宋体"/>
          <w:sz w:val="21"/>
          <w:szCs w:val="21"/>
          <w:u w:val="single"/>
        </w:rPr>
        <w:t xml:space="preserve">          </w:t>
      </w:r>
      <w:r>
        <w:rPr>
          <w:rFonts w:hint="eastAsia" w:ascii="宋体" w:hAnsi="宋体"/>
          <w:sz w:val="21"/>
          <w:szCs w:val="21"/>
        </w:rPr>
        <w:t>。</w:t>
      </w:r>
    </w:p>
    <w:p>
      <w:pPr>
        <w:snapToGrid w:val="0"/>
        <w:spacing w:before="120" w:beforeLines="50" w:after="50" w:line="400" w:lineRule="exact"/>
        <w:ind w:firstLine="420" w:firstLineChars="200"/>
        <w:rPr>
          <w:rFonts w:hint="eastAsia" w:ascii="宋体" w:hAnsi="宋体"/>
          <w:sz w:val="21"/>
          <w:szCs w:val="21"/>
        </w:rPr>
      </w:pPr>
      <w:r>
        <w:rPr>
          <w:rFonts w:hint="eastAsia" w:ascii="宋体" w:hAnsi="宋体"/>
          <w:sz w:val="21"/>
          <w:szCs w:val="21"/>
        </w:rPr>
        <w:t>我</w:t>
      </w:r>
      <w:r>
        <w:rPr>
          <w:rFonts w:ascii="宋体" w:hAnsi="宋体"/>
          <w:sz w:val="21"/>
          <w:szCs w:val="21"/>
          <w:u w:val="single"/>
        </w:rPr>
        <w:t xml:space="preserve">       </w:t>
      </w:r>
      <w:r>
        <w:rPr>
          <w:rFonts w:hint="eastAsia" w:ascii="宋体" w:hAnsi="宋体"/>
          <w:sz w:val="21"/>
          <w:szCs w:val="21"/>
        </w:rPr>
        <w:t>（姓名）系</w:t>
      </w:r>
      <w:r>
        <w:rPr>
          <w:rFonts w:ascii="宋体" w:hAnsi="宋体"/>
          <w:sz w:val="21"/>
          <w:szCs w:val="21"/>
          <w:u w:val="single"/>
        </w:rPr>
        <w:t xml:space="preserve">          </w:t>
      </w:r>
      <w:r>
        <w:rPr>
          <w:rFonts w:hint="eastAsia" w:ascii="宋体" w:hAnsi="宋体"/>
          <w:sz w:val="21"/>
          <w:szCs w:val="21"/>
        </w:rPr>
        <w:t>（投标人名称）的法定代表人，我方</w:t>
      </w:r>
      <w:r>
        <w:rPr>
          <w:rFonts w:hint="eastAsia" w:ascii="宋体" w:hAnsi="宋体"/>
          <w:sz w:val="21"/>
          <w:szCs w:val="21"/>
          <w:lang w:val="en-US" w:eastAsia="zh-CN"/>
        </w:rPr>
        <w:t>自</w:t>
      </w:r>
      <w:r>
        <w:rPr>
          <w:rFonts w:hint="eastAsia" w:ascii="宋体" w:hAnsi="宋体"/>
          <w:sz w:val="21"/>
          <w:szCs w:val="21"/>
        </w:rPr>
        <w:t>愿参加贵方组织的</w:t>
      </w:r>
      <w:r>
        <w:rPr>
          <w:rFonts w:hint="eastAsia" w:ascii="宋体" w:hAnsi="宋体"/>
          <w:sz w:val="21"/>
          <w:szCs w:val="21"/>
          <w:u w:val="single"/>
        </w:rPr>
        <w:t xml:space="preserve">                    </w:t>
      </w:r>
      <w:r>
        <w:rPr>
          <w:rFonts w:hint="eastAsia" w:ascii="宋体" w:hAnsi="宋体"/>
          <w:sz w:val="21"/>
          <w:szCs w:val="21"/>
          <w:u w:val="none"/>
        </w:rPr>
        <w:t>项目</w:t>
      </w:r>
      <w:r>
        <w:rPr>
          <w:rFonts w:hint="eastAsia" w:ascii="宋体" w:hAnsi="宋体"/>
          <w:sz w:val="21"/>
          <w:szCs w:val="21"/>
        </w:rPr>
        <w:t>的投标，为便于贵方公正、择优地确定中标人及其投标产品和服务，我方就本次投标有关事项郑重声明如下：</w:t>
      </w:r>
    </w:p>
    <w:p>
      <w:pPr>
        <w:snapToGrid w:val="0"/>
        <w:spacing w:before="120" w:beforeLines="50" w:after="50" w:line="400" w:lineRule="exact"/>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1.我公司声明截止投标时间近三年以来，在浙江省范围内政府采购领域中，在项目招标、投标和合同履约期间无任何不良行为记录和违法、违规行为。</w:t>
      </w:r>
    </w:p>
    <w:p>
      <w:pPr>
        <w:snapToGrid w:val="0"/>
        <w:spacing w:line="400" w:lineRule="exact"/>
        <w:ind w:firstLine="420" w:firstLineChars="200"/>
        <w:rPr>
          <w:rFonts w:hint="eastAsia" w:ascii="宋体" w:hAnsi="宋体"/>
          <w:sz w:val="21"/>
          <w:szCs w:val="21"/>
        </w:rPr>
      </w:pP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rPr>
        <w:t>我方向贵方提交的所有投标文件</w:t>
      </w:r>
      <w:r>
        <w:rPr>
          <w:rFonts w:hint="eastAsia" w:ascii="宋体" w:hAnsi="宋体"/>
          <w:sz w:val="21"/>
          <w:szCs w:val="21"/>
          <w:lang w:val="en-US" w:eastAsia="zh-CN"/>
        </w:rPr>
        <w:t>及相关</w:t>
      </w:r>
      <w:r>
        <w:rPr>
          <w:rFonts w:hint="eastAsia" w:ascii="宋体" w:hAnsi="宋体"/>
          <w:sz w:val="21"/>
          <w:szCs w:val="21"/>
        </w:rPr>
        <w:t>资料都是</w:t>
      </w:r>
      <w:r>
        <w:rPr>
          <w:rFonts w:hint="eastAsia" w:ascii="宋体" w:hAnsi="宋体"/>
          <w:sz w:val="21"/>
          <w:szCs w:val="21"/>
          <w:lang w:val="en-US" w:eastAsia="zh-CN"/>
        </w:rPr>
        <w:t>真实的、合法的</w:t>
      </w:r>
      <w:r>
        <w:rPr>
          <w:rFonts w:hint="eastAsia" w:ascii="宋体" w:hAnsi="宋体"/>
          <w:sz w:val="21"/>
          <w:szCs w:val="21"/>
        </w:rPr>
        <w:t>。</w:t>
      </w:r>
    </w:p>
    <w:p>
      <w:pPr>
        <w:snapToGrid w:val="0"/>
        <w:spacing w:before="120" w:beforeLines="50" w:line="400" w:lineRule="exact"/>
        <w:ind w:firstLine="420" w:firstLineChars="200"/>
        <w:rPr>
          <w:rFonts w:hint="eastAsia" w:ascii="宋体" w:hAnsi="宋体"/>
          <w:sz w:val="21"/>
          <w:szCs w:val="21"/>
        </w:rPr>
      </w:pPr>
      <w:r>
        <w:rPr>
          <w:rFonts w:hint="eastAsia" w:ascii="宋体" w:hAnsi="宋体"/>
          <w:sz w:val="21"/>
          <w:szCs w:val="21"/>
          <w:lang w:val="en-US" w:eastAsia="zh-CN"/>
        </w:rPr>
        <w:t>3</w:t>
      </w:r>
      <w:r>
        <w:rPr>
          <w:rFonts w:ascii="宋体" w:hAnsi="宋体"/>
          <w:sz w:val="21"/>
          <w:szCs w:val="21"/>
        </w:rPr>
        <w:t>.</w:t>
      </w:r>
      <w:r>
        <w:rPr>
          <w:rFonts w:hint="eastAsia" w:ascii="宋体" w:hAnsi="宋体"/>
          <w:sz w:val="21"/>
          <w:szCs w:val="21"/>
        </w:rPr>
        <w:t>我方不是采购人的附属机构；在获知本项目采购信息后，与采购人聘请的为此项目提供咨询服务的公司及其附属机构没有任何联系。</w:t>
      </w:r>
    </w:p>
    <w:p>
      <w:pPr>
        <w:snapToGrid w:val="0"/>
        <w:spacing w:before="120" w:beforeLines="50" w:line="400" w:lineRule="exact"/>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4.我公司已详细阅读全部“招标文件”，包括修改文件（如果有）以及全部招标资料和相关附件，并已了解我公司在招投标过程中的权利和义务。</w:t>
      </w:r>
    </w:p>
    <w:p>
      <w:pPr>
        <w:snapToGrid w:val="0"/>
        <w:spacing w:before="120" w:beforeLines="50"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5</w:t>
      </w:r>
      <w:r>
        <w:rPr>
          <w:rFonts w:ascii="宋体" w:hAnsi="宋体"/>
          <w:sz w:val="21"/>
          <w:szCs w:val="21"/>
        </w:rPr>
        <w:t>.</w:t>
      </w:r>
      <w:r>
        <w:rPr>
          <w:rFonts w:hint="eastAsia" w:ascii="宋体" w:hAnsi="宋体"/>
          <w:sz w:val="21"/>
          <w:szCs w:val="21"/>
          <w:lang w:val="en-US" w:eastAsia="zh-CN"/>
        </w:rPr>
        <w:t>我公司理解并接受招标文件的各项规定和要求，同意此次招标文件中的各项内容，并同意提供按照贵方可能要求的与投标有关的一切数据或资料等。</w:t>
      </w:r>
    </w:p>
    <w:p>
      <w:pPr>
        <w:snapToGrid w:val="0"/>
        <w:spacing w:line="400" w:lineRule="exact"/>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以上事项如有虚假或隐瞒，我方愿意承担一切后果，并不再寻求任何旨在减轻或免除法律责任的辩解。</w:t>
      </w:r>
    </w:p>
    <w:p>
      <w:pPr>
        <w:pStyle w:val="21"/>
        <w:tabs>
          <w:tab w:val="left" w:pos="939"/>
        </w:tabs>
        <w:snapToGrid w:val="0"/>
        <w:spacing w:line="400" w:lineRule="exact"/>
        <w:ind w:left="716" w:leftChars="150" w:hanging="401" w:hangingChars="191"/>
        <w:rPr>
          <w:rFonts w:ascii="宋体" w:hAnsi="宋体"/>
          <w:sz w:val="21"/>
          <w:szCs w:val="21"/>
        </w:rPr>
      </w:pPr>
    </w:p>
    <w:p>
      <w:pPr>
        <w:snapToGrid w:val="0"/>
        <w:spacing w:before="120" w:beforeLines="50" w:line="400" w:lineRule="exact"/>
        <w:ind w:firstLine="200"/>
        <w:rPr>
          <w:rFonts w:ascii="宋体" w:hAnsi="宋体"/>
          <w:sz w:val="21"/>
          <w:szCs w:val="21"/>
          <w:u w:val="single"/>
        </w:rPr>
      </w:pPr>
      <w:r>
        <w:rPr>
          <w:rFonts w:hint="eastAsia" w:ascii="宋体" w:hAnsi="宋体"/>
          <w:sz w:val="21"/>
          <w:szCs w:val="21"/>
        </w:rPr>
        <w:t>法定代表人或</w:t>
      </w:r>
      <w:r>
        <w:rPr>
          <w:rFonts w:hint="eastAsia" w:ascii="宋体" w:hAnsi="宋体"/>
          <w:sz w:val="21"/>
          <w:szCs w:val="21"/>
          <w:lang w:val="en-US" w:eastAsia="zh-CN"/>
        </w:rPr>
        <w:t>委托代理人</w:t>
      </w:r>
      <w:r>
        <w:rPr>
          <w:rFonts w:hint="eastAsia" w:ascii="宋体" w:hAnsi="宋体"/>
          <w:sz w:val="21"/>
          <w:szCs w:val="21"/>
        </w:rPr>
        <w:t>签字（或盖章）：</w:t>
      </w:r>
      <w:r>
        <w:rPr>
          <w:rFonts w:ascii="宋体" w:hAnsi="宋体"/>
          <w:sz w:val="21"/>
          <w:szCs w:val="21"/>
          <w:u w:val="single"/>
        </w:rPr>
        <w:t xml:space="preserve">             </w:t>
      </w:r>
    </w:p>
    <w:p>
      <w:pPr>
        <w:snapToGrid w:val="0"/>
        <w:spacing w:before="120" w:beforeLines="50" w:after="50" w:line="400" w:lineRule="exact"/>
        <w:ind w:firstLine="210" w:firstLineChars="100"/>
        <w:rPr>
          <w:rFonts w:hint="eastAsia" w:ascii="宋体" w:hAnsi="宋体"/>
          <w:sz w:val="21"/>
          <w:szCs w:val="21"/>
        </w:rPr>
      </w:pPr>
      <w:r>
        <w:rPr>
          <w:rFonts w:hint="eastAsia" w:ascii="宋体" w:hAnsi="宋体"/>
          <w:sz w:val="21"/>
          <w:szCs w:val="21"/>
        </w:rPr>
        <w:t>投标人公章：</w:t>
      </w:r>
      <w:r>
        <w:rPr>
          <w:rFonts w:ascii="宋体" w:hAnsi="宋体"/>
          <w:sz w:val="21"/>
          <w:szCs w:val="21"/>
          <w:u w:val="single"/>
        </w:rPr>
        <w:t xml:space="preserve">               </w:t>
      </w:r>
      <w:r>
        <w:rPr>
          <w:rFonts w:ascii="宋体" w:hAnsi="宋体"/>
          <w:sz w:val="21"/>
          <w:szCs w:val="21"/>
        </w:rPr>
        <w:t xml:space="preserve">                      </w:t>
      </w:r>
    </w:p>
    <w:p>
      <w:pPr>
        <w:snapToGrid w:val="0"/>
        <w:spacing w:before="120" w:beforeLines="50" w:after="50" w:line="400" w:lineRule="exact"/>
        <w:ind w:firstLine="210" w:firstLineChars="100"/>
        <w:rPr>
          <w:rFonts w:hint="eastAsia" w:ascii="宋体" w:hAnsi="宋体"/>
          <w:sz w:val="21"/>
          <w:szCs w:val="21"/>
        </w:rPr>
      </w:pPr>
    </w:p>
    <w:p>
      <w:pPr>
        <w:pStyle w:val="107"/>
        <w:spacing w:line="360" w:lineRule="auto"/>
        <w:jc w:val="right"/>
        <w:rPr>
          <w:rFonts w:hint="eastAsia" w:hAnsi="宋体" w:eastAsia="宋体"/>
          <w:sz w:val="21"/>
          <w:szCs w:val="21"/>
        </w:rPr>
      </w:pPr>
      <w:r>
        <w:rPr>
          <w:rFonts w:hint="eastAsia" w:hAnsi="宋体" w:eastAsia="宋体"/>
          <w:sz w:val="21"/>
          <w:szCs w:val="21"/>
        </w:rPr>
        <w:t>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r>
        <w:rPr>
          <w:rFonts w:hint="eastAsia" w:hAnsi="宋体" w:eastAsia="宋体"/>
          <w:sz w:val="24"/>
          <w:lang w:val="en-US" w:eastAsia="zh-CN"/>
        </w:rPr>
        <w:t>3.2法定代表人授权委托书格式：</w:t>
      </w:r>
    </w:p>
    <w:p>
      <w:pPr>
        <w:snapToGrid w:val="0"/>
        <w:spacing w:before="120" w:beforeLines="50" w:after="50"/>
        <w:jc w:val="center"/>
        <w:rPr>
          <w:rFonts w:hint="eastAsia" w:ascii="宋体" w:hAnsi="宋体"/>
          <w:b/>
          <w:sz w:val="24"/>
          <w:szCs w:val="24"/>
        </w:rPr>
      </w:pPr>
      <w:r>
        <w:rPr>
          <w:rFonts w:hint="eastAsia" w:ascii="宋体" w:hAnsi="宋体"/>
          <w:b/>
          <w:sz w:val="24"/>
          <w:szCs w:val="24"/>
        </w:rPr>
        <w:t>法定代表人授权委托书</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textAlignment w:val="auto"/>
        <w:rPr>
          <w:rFonts w:ascii="宋体" w:hAnsi="宋体"/>
          <w:b/>
          <w:bCs/>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rPr>
        <w:t xml:space="preserve">                  </w:t>
      </w:r>
      <w:r>
        <w:rPr>
          <w:rFonts w:hint="eastAsia" w:ascii="宋体" w:hAnsi="宋体"/>
          <w:sz w:val="21"/>
          <w:szCs w:val="21"/>
          <w:highlight w:val="none"/>
        </w:rPr>
        <w:t>（采购人）：</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630" w:firstLineChars="300"/>
        <w:textAlignment w:val="auto"/>
        <w:rPr>
          <w:rFonts w:ascii="宋体" w:hAnsi="宋体"/>
          <w:sz w:val="21"/>
          <w:szCs w:val="21"/>
          <w:highlight w:val="none"/>
        </w:rPr>
      </w:pPr>
      <w:r>
        <w:rPr>
          <w:rFonts w:hint="eastAsia" w:ascii="宋体" w:hAnsi="宋体"/>
          <w:sz w:val="21"/>
          <w:szCs w:val="21"/>
          <w:highlight w:val="none"/>
        </w:rPr>
        <w:t xml:space="preserve">我 </w:t>
      </w:r>
      <w:r>
        <w:rPr>
          <w:rFonts w:hint="eastAsia" w:ascii="宋体" w:hAnsi="宋体"/>
          <w:sz w:val="21"/>
          <w:szCs w:val="21"/>
          <w:highlight w:val="none"/>
          <w:u w:val="single"/>
        </w:rPr>
        <w:t xml:space="preserve">         </w:t>
      </w:r>
      <w:r>
        <w:rPr>
          <w:rFonts w:hint="eastAsia" w:ascii="宋体" w:hAnsi="宋体"/>
          <w:sz w:val="21"/>
          <w:szCs w:val="21"/>
          <w:highlight w:val="none"/>
        </w:rPr>
        <w:t>（姓名）系</w:t>
      </w:r>
      <w:r>
        <w:rPr>
          <w:rFonts w:hint="eastAsia" w:ascii="宋体" w:hAnsi="宋体"/>
          <w:sz w:val="21"/>
          <w:szCs w:val="21"/>
          <w:highlight w:val="none"/>
          <w:u w:val="single"/>
        </w:rPr>
        <w:t xml:space="preserve">                       </w:t>
      </w:r>
      <w:r>
        <w:rPr>
          <w:rFonts w:hint="eastAsia" w:ascii="宋体" w:hAnsi="宋体"/>
          <w:sz w:val="21"/>
          <w:szCs w:val="21"/>
          <w:highlight w:val="none"/>
        </w:rPr>
        <w:t>（投标人名称）的法定代表人，现授权委托</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（姓名）以我方的名义参加</w:t>
      </w:r>
      <w:r>
        <w:rPr>
          <w:rFonts w:hint="eastAsia" w:ascii="宋体" w:hAnsi="宋体"/>
          <w:sz w:val="21"/>
          <w:szCs w:val="21"/>
          <w:highlight w:val="none"/>
          <w:u w:val="single"/>
        </w:rPr>
        <w:t xml:space="preserve">                </w:t>
      </w:r>
      <w:r>
        <w:rPr>
          <w:rFonts w:hint="eastAsia" w:ascii="宋体" w:hAnsi="宋体"/>
          <w:sz w:val="21"/>
          <w:szCs w:val="21"/>
          <w:highlight w:val="none"/>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textAlignment w:val="auto"/>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我方对被授权人的签字事项负全部责任。</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80"/>
        <w:textAlignment w:val="auto"/>
        <w:rPr>
          <w:rFonts w:ascii="宋体" w:hAnsi="宋体"/>
          <w:sz w:val="21"/>
          <w:szCs w:val="21"/>
          <w:highlight w:val="none"/>
        </w:rPr>
      </w:pPr>
      <w:r>
        <w:rPr>
          <w:rFonts w:hint="eastAsia" w:ascii="宋体" w:hAnsi="宋体"/>
          <w:sz w:val="21"/>
          <w:szCs w:val="21"/>
          <w:highlight w:val="none"/>
          <w:u w:val="single"/>
        </w:rPr>
        <w:t>在撤销授权的书面通知以前，本授权书一直有效。</w:t>
      </w:r>
      <w:r>
        <w:rPr>
          <w:rFonts w:hint="eastAsia" w:ascii="宋体" w:hAnsi="宋体"/>
          <w:sz w:val="21"/>
          <w:szCs w:val="21"/>
          <w:highlight w:val="none"/>
        </w:rPr>
        <w:t>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80"/>
        <w:textAlignment w:val="auto"/>
        <w:rPr>
          <w:rFonts w:ascii="宋体" w:hAnsi="宋体"/>
          <w:sz w:val="21"/>
          <w:szCs w:val="21"/>
          <w:highlight w:val="none"/>
        </w:rPr>
      </w:pPr>
      <w:r>
        <w:rPr>
          <w:rFonts w:hint="eastAsia" w:ascii="宋体" w:hAnsi="宋体"/>
          <w:sz w:val="21"/>
          <w:szCs w:val="21"/>
          <w:highlight w:val="none"/>
        </w:rPr>
        <w:t>被授权人无转委托权，特此委托。</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textAlignment w:val="auto"/>
        <w:rPr>
          <w:rFonts w:ascii="宋体" w:hAnsi="宋体"/>
          <w:sz w:val="21"/>
          <w:szCs w:val="21"/>
          <w:highlight w:val="none"/>
        </w:rPr>
      </w:pPr>
    </w:p>
    <w:p>
      <w:pPr>
        <w:snapToGrid w:val="0"/>
        <w:spacing w:before="120" w:beforeLines="50" w:after="50" w:line="500" w:lineRule="exact"/>
        <w:rPr>
          <w:rFonts w:ascii="宋体" w:hAnsi="宋体"/>
          <w:sz w:val="21"/>
          <w:szCs w:val="21"/>
          <w:highlight w:val="none"/>
          <w:u w:val="single"/>
        </w:rPr>
      </w:pPr>
      <w:r>
        <w:rPr>
          <w:rFonts w:hint="eastAsia" w:ascii="宋体" w:hAnsi="宋体"/>
          <w:sz w:val="21"/>
          <w:szCs w:val="21"/>
          <w:highlight w:val="none"/>
        </w:rPr>
        <w:t>法定代表人签字（或盖章）：</w:t>
      </w:r>
      <w:r>
        <w:rPr>
          <w:rFonts w:ascii="宋体" w:hAnsi="宋体"/>
          <w:sz w:val="21"/>
          <w:szCs w:val="21"/>
          <w:highlight w:val="none"/>
          <w:u w:val="single"/>
        </w:rPr>
        <w:t xml:space="preserve">          </w:t>
      </w:r>
      <w:r>
        <w:rPr>
          <w:rFonts w:ascii="宋体" w:hAnsi="宋体"/>
          <w:sz w:val="21"/>
          <w:szCs w:val="21"/>
          <w:highlight w:val="none"/>
        </w:rPr>
        <w:t xml:space="preserve">  </w:t>
      </w:r>
      <w:r>
        <w:rPr>
          <w:rFonts w:hint="eastAsia" w:ascii="宋体" w:hAnsi="宋体"/>
          <w:sz w:val="21"/>
          <w:szCs w:val="21"/>
          <w:highlight w:val="none"/>
        </w:rPr>
        <w:t>被授权人签字（或盖章）：</w:t>
      </w:r>
      <w:r>
        <w:rPr>
          <w:rFonts w:ascii="宋体" w:hAnsi="宋体"/>
          <w:sz w:val="21"/>
          <w:szCs w:val="21"/>
          <w:highlight w:val="none"/>
          <w:u w:val="single"/>
        </w:rPr>
        <w:t xml:space="preserve">          </w:t>
      </w:r>
    </w:p>
    <w:p>
      <w:pPr>
        <w:snapToGrid w:val="0"/>
        <w:spacing w:before="120" w:beforeLines="50" w:after="50" w:line="500" w:lineRule="exact"/>
        <w:ind w:firstLine="840" w:firstLineChars="400"/>
        <w:rPr>
          <w:rFonts w:hint="eastAsia" w:ascii="宋体" w:hAnsi="宋体"/>
          <w:sz w:val="21"/>
          <w:szCs w:val="21"/>
          <w:highlight w:val="none"/>
          <w:u w:val="single"/>
        </w:rPr>
      </w:pPr>
      <w:r>
        <w:rPr>
          <w:rFonts w:hint="eastAsia" w:ascii="宋体" w:hAnsi="宋体"/>
          <w:sz w:val="21"/>
          <w:szCs w:val="21"/>
          <w:highlight w:val="none"/>
        </w:rPr>
        <w:t>职务：</w:t>
      </w:r>
      <w:r>
        <w:rPr>
          <w:rFonts w:ascii="宋体" w:hAnsi="宋体"/>
          <w:sz w:val="21"/>
          <w:szCs w:val="21"/>
          <w:highlight w:val="none"/>
          <w:u w:val="single"/>
        </w:rPr>
        <w:t xml:space="preserve">           </w:t>
      </w:r>
      <w:r>
        <w:rPr>
          <w:rFonts w:ascii="宋体" w:hAnsi="宋体"/>
          <w:sz w:val="21"/>
          <w:szCs w:val="21"/>
          <w:highlight w:val="none"/>
        </w:rPr>
        <w:t xml:space="preserve">                          </w:t>
      </w:r>
      <w:r>
        <w:rPr>
          <w:rFonts w:hint="eastAsia" w:ascii="宋体" w:hAnsi="宋体"/>
          <w:sz w:val="21"/>
          <w:szCs w:val="21"/>
          <w:highlight w:val="none"/>
        </w:rPr>
        <w:t>职务：</w:t>
      </w:r>
      <w:r>
        <w:rPr>
          <w:rFonts w:ascii="宋体" w:hAnsi="宋体"/>
          <w:sz w:val="21"/>
          <w:szCs w:val="21"/>
          <w:highlight w:val="none"/>
          <w:u w:val="single"/>
        </w:rPr>
        <w:t xml:space="preserve">           </w:t>
      </w:r>
    </w:p>
    <w:p>
      <w:pPr>
        <w:snapToGrid w:val="0"/>
        <w:spacing w:before="120" w:beforeLines="50" w:after="50" w:line="500" w:lineRule="exact"/>
        <w:ind w:firstLine="3150" w:firstLineChars="1500"/>
        <w:jc w:val="both"/>
        <w:rPr>
          <w:rFonts w:hint="eastAsia"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投标人公章：</w:t>
      </w:r>
    </w:p>
    <w:p>
      <w:pPr>
        <w:snapToGrid w:val="0"/>
        <w:spacing w:before="120" w:beforeLines="50" w:after="50" w:line="500" w:lineRule="exact"/>
        <w:rPr>
          <w:rFonts w:hint="eastAsia" w:ascii="宋体" w:hAnsi="宋体"/>
          <w:sz w:val="21"/>
          <w:szCs w:val="21"/>
          <w:highlight w:val="none"/>
        </w:rPr>
      </w:pPr>
    </w:p>
    <w:p>
      <w:pPr>
        <w:snapToGrid w:val="0"/>
        <w:spacing w:before="120" w:beforeLines="50" w:after="50" w:line="500" w:lineRule="exact"/>
        <w:rPr>
          <w:rFonts w:hint="eastAsia" w:ascii="宋体" w:hAnsi="宋体"/>
          <w:sz w:val="21"/>
          <w:szCs w:val="21"/>
          <w:highlight w:val="none"/>
        </w:rPr>
      </w:pPr>
      <w:r>
        <w:rPr>
          <w:rFonts w:hint="eastAsia" w:ascii="宋体" w:hAnsi="宋体"/>
          <w:sz w:val="21"/>
          <w:szCs w:val="21"/>
          <w:highlight w:val="none"/>
        </w:rPr>
        <w:t>法定代表人身份证粘贴处（正反面）       被授权人身份证粘贴处（正反面）</w:t>
      </w:r>
    </w:p>
    <w:p>
      <w:pPr>
        <w:snapToGrid w:val="0"/>
        <w:spacing w:before="120" w:beforeLines="50" w:after="50" w:line="500" w:lineRule="exact"/>
        <w:rPr>
          <w:rFonts w:hint="eastAsia" w:ascii="宋体" w:hAnsi="宋体"/>
          <w:sz w:val="21"/>
          <w:szCs w:val="21"/>
          <w:highlight w:val="none"/>
        </w:rPr>
      </w:pPr>
    </w:p>
    <w:p>
      <w:pPr>
        <w:snapToGrid w:val="0"/>
        <w:spacing w:before="120" w:beforeLines="50" w:after="50" w:line="500" w:lineRule="exact"/>
        <w:jc w:val="center"/>
        <w:rPr>
          <w:rFonts w:hint="eastAsia" w:ascii="宋体" w:hAnsi="宋体"/>
          <w:sz w:val="21"/>
          <w:szCs w:val="21"/>
          <w:highlight w:val="none"/>
        </w:rPr>
      </w:pPr>
      <w:r>
        <w:rPr>
          <w:rFonts w:hint="eastAsia" w:ascii="宋体" w:hAnsi="宋体"/>
          <w:sz w:val="21"/>
          <w:szCs w:val="21"/>
          <w:highlight w:val="none"/>
        </w:rPr>
        <w:t>投标人公章：</w:t>
      </w:r>
    </w:p>
    <w:p>
      <w:pPr>
        <w:snapToGrid w:val="0"/>
        <w:spacing w:before="120" w:beforeLines="50" w:after="50" w:line="500" w:lineRule="exact"/>
        <w:jc w:val="right"/>
        <w:rPr>
          <w:rFonts w:hint="eastAsia"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年</w:t>
      </w:r>
      <w:r>
        <w:rPr>
          <w:rFonts w:ascii="宋体" w:hAnsi="宋体"/>
          <w:sz w:val="21"/>
          <w:szCs w:val="21"/>
          <w:highlight w:val="none"/>
        </w:rPr>
        <w:t xml:space="preserve">    </w:t>
      </w:r>
      <w:r>
        <w:rPr>
          <w:rFonts w:hint="eastAsia" w:ascii="宋体" w:hAnsi="宋体"/>
          <w:sz w:val="21"/>
          <w:szCs w:val="21"/>
          <w:highlight w:val="none"/>
        </w:rPr>
        <w:t>月</w:t>
      </w:r>
      <w:r>
        <w:rPr>
          <w:rFonts w:ascii="宋体" w:hAnsi="宋体"/>
          <w:sz w:val="21"/>
          <w:szCs w:val="21"/>
          <w:highlight w:val="none"/>
        </w:rPr>
        <w:t xml:space="preserve">    </w:t>
      </w:r>
      <w:r>
        <w:rPr>
          <w:rFonts w:hint="eastAsia" w:ascii="宋体" w:hAnsi="宋体"/>
          <w:sz w:val="21"/>
          <w:szCs w:val="21"/>
          <w:highlight w:val="none"/>
        </w:rPr>
        <w:t>日</w:t>
      </w:r>
    </w:p>
    <w:p>
      <w:pPr>
        <w:pStyle w:val="90"/>
        <w:widowControl/>
        <w:snapToGrid w:val="0"/>
        <w:spacing w:line="440" w:lineRule="exact"/>
        <w:ind w:firstLine="420" w:firstLineChars="200"/>
        <w:rPr>
          <w:rFonts w:ascii="宋体" w:hAnsi="宋体"/>
          <w:sz w:val="21"/>
          <w:szCs w:val="21"/>
          <w:highlight w:val="none"/>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3.3投标人基本情况介绍格式：</w:t>
      </w:r>
    </w:p>
    <w:p>
      <w:pPr>
        <w:pStyle w:val="107"/>
        <w:snapToGrid w:val="0"/>
        <w:spacing w:line="400" w:lineRule="exact"/>
        <w:jc w:val="center"/>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投标人基本情况介绍</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2"/>
        <w:gridCol w:w="1720"/>
        <w:gridCol w:w="920"/>
        <w:gridCol w:w="700"/>
        <w:gridCol w:w="620"/>
        <w:gridCol w:w="131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法定代表人</w:t>
            </w:r>
          </w:p>
        </w:tc>
        <w:tc>
          <w:tcPr>
            <w:tcW w:w="2640" w:type="dxa"/>
            <w:gridSpan w:val="2"/>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        </w:t>
            </w:r>
          </w:p>
        </w:tc>
        <w:tc>
          <w:tcPr>
            <w:tcW w:w="1320" w:type="dxa"/>
            <w:gridSpan w:val="2"/>
            <w:noWrap w:val="0"/>
            <w:vAlign w:val="top"/>
          </w:tcPr>
          <w:p>
            <w:pPr>
              <w:pStyle w:val="107"/>
              <w:snapToGrid w:val="0"/>
              <w:spacing w:line="400" w:lineRule="exact"/>
              <w:jc w:val="center"/>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成立日期</w:t>
            </w:r>
          </w:p>
        </w:tc>
        <w:tc>
          <w:tcPr>
            <w:tcW w:w="2436" w:type="dxa"/>
            <w:gridSpan w:val="2"/>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企业地址</w:t>
            </w:r>
          </w:p>
        </w:tc>
        <w:tc>
          <w:tcPr>
            <w:tcW w:w="2640" w:type="dxa"/>
            <w:gridSpan w:val="2"/>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                  </w:t>
            </w:r>
          </w:p>
        </w:tc>
        <w:tc>
          <w:tcPr>
            <w:tcW w:w="1320" w:type="dxa"/>
            <w:gridSpan w:val="2"/>
            <w:noWrap w:val="0"/>
            <w:vAlign w:val="top"/>
          </w:tcPr>
          <w:p>
            <w:pPr>
              <w:pStyle w:val="107"/>
              <w:snapToGrid w:val="0"/>
              <w:spacing w:line="400" w:lineRule="exact"/>
              <w:jc w:val="center"/>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注册资本</w:t>
            </w:r>
          </w:p>
        </w:tc>
        <w:tc>
          <w:tcPr>
            <w:tcW w:w="2436" w:type="dxa"/>
            <w:gridSpan w:val="2"/>
            <w:noWrap w:val="0"/>
            <w:vAlign w:val="top"/>
          </w:tcPr>
          <w:p>
            <w:pPr>
              <w:pStyle w:val="107"/>
              <w:snapToGrid w:val="0"/>
              <w:spacing w:line="400" w:lineRule="exact"/>
              <w:jc w:val="center"/>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经营范围</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职工人数</w:t>
            </w:r>
          </w:p>
        </w:tc>
        <w:tc>
          <w:tcPr>
            <w:tcW w:w="1720"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c>
          <w:tcPr>
            <w:tcW w:w="3555" w:type="dxa"/>
            <w:gridSpan w:val="4"/>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其中：有中高级以上职称的人数</w:t>
            </w:r>
          </w:p>
        </w:tc>
        <w:tc>
          <w:tcPr>
            <w:tcW w:w="1121"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exact"/>
        </w:trPr>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资产总计</w:t>
            </w:r>
          </w:p>
        </w:tc>
        <w:tc>
          <w:tcPr>
            <w:tcW w:w="1720"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        万元</w:t>
            </w:r>
          </w:p>
        </w:tc>
        <w:tc>
          <w:tcPr>
            <w:tcW w:w="1620" w:type="dxa"/>
            <w:gridSpan w:val="2"/>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净资产</w:t>
            </w:r>
          </w:p>
        </w:tc>
        <w:tc>
          <w:tcPr>
            <w:tcW w:w="3056" w:type="dxa"/>
            <w:gridSpan w:val="3"/>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center"/>
          </w:tcPr>
          <w:p>
            <w:pPr>
              <w:pStyle w:val="107"/>
              <w:keepNext w:val="0"/>
              <w:keepLines w:val="0"/>
              <w:pageBreakBefore w:val="0"/>
              <w:widowControl w:val="0"/>
              <w:kinsoku/>
              <w:wordWrap/>
              <w:overflowPunct/>
              <w:topLinePunct w:val="0"/>
              <w:autoSpaceDE/>
              <w:autoSpaceDN/>
              <w:bidi w:val="0"/>
              <w:adjustRightInd/>
              <w:snapToGrid w:val="0"/>
              <w:spacing w:line="180" w:lineRule="auto"/>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营业面积</w:t>
            </w:r>
          </w:p>
        </w:tc>
        <w:tc>
          <w:tcPr>
            <w:tcW w:w="1720" w:type="dxa"/>
            <w:noWrap w:val="0"/>
            <w:vAlign w:val="center"/>
          </w:tcPr>
          <w:p>
            <w:pPr>
              <w:pStyle w:val="107"/>
              <w:keepNext w:val="0"/>
              <w:keepLines w:val="0"/>
              <w:pageBreakBefore w:val="0"/>
              <w:widowControl w:val="0"/>
              <w:kinsoku/>
              <w:wordWrap/>
              <w:overflowPunct/>
              <w:topLinePunct w:val="0"/>
              <w:autoSpaceDE/>
              <w:autoSpaceDN/>
              <w:bidi w:val="0"/>
              <w:adjustRightInd/>
              <w:snapToGrid w:val="0"/>
              <w:spacing w:line="180" w:lineRule="auto"/>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平方米</w:t>
            </w:r>
          </w:p>
        </w:tc>
        <w:tc>
          <w:tcPr>
            <w:tcW w:w="1620" w:type="dxa"/>
            <w:gridSpan w:val="2"/>
            <w:noWrap w:val="0"/>
            <w:vAlign w:val="center"/>
          </w:tcPr>
          <w:p>
            <w:pPr>
              <w:pStyle w:val="107"/>
              <w:keepNext w:val="0"/>
              <w:keepLines w:val="0"/>
              <w:pageBreakBefore w:val="0"/>
              <w:widowControl w:val="0"/>
              <w:kinsoku/>
              <w:wordWrap/>
              <w:overflowPunct/>
              <w:topLinePunct w:val="0"/>
              <w:autoSpaceDE/>
              <w:autoSpaceDN/>
              <w:bidi w:val="0"/>
              <w:adjustRightInd/>
              <w:snapToGrid w:val="0"/>
              <w:spacing w:line="180" w:lineRule="auto"/>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其中：</w:t>
            </w:r>
          </w:p>
        </w:tc>
        <w:tc>
          <w:tcPr>
            <w:tcW w:w="3056" w:type="dxa"/>
            <w:gridSpan w:val="3"/>
            <w:noWrap w:val="0"/>
            <w:vAlign w:val="center"/>
          </w:tcPr>
          <w:p>
            <w:pPr>
              <w:pStyle w:val="107"/>
              <w:keepNext w:val="0"/>
              <w:keepLines w:val="0"/>
              <w:pageBreakBefore w:val="0"/>
              <w:widowControl w:val="0"/>
              <w:kinsoku/>
              <w:wordWrap/>
              <w:overflowPunct/>
              <w:topLinePunct w:val="0"/>
              <w:autoSpaceDE/>
              <w:autoSpaceDN/>
              <w:bidi w:val="0"/>
              <w:adjustRightInd/>
              <w:snapToGrid w:val="0"/>
              <w:spacing w:line="180" w:lineRule="auto"/>
              <w:jc w:val="center"/>
              <w:textAlignment w:val="auto"/>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自有面积         平方米</w:t>
            </w:r>
          </w:p>
          <w:p>
            <w:pPr>
              <w:pStyle w:val="107"/>
              <w:keepNext w:val="0"/>
              <w:keepLines w:val="0"/>
              <w:pageBreakBefore w:val="0"/>
              <w:widowControl w:val="0"/>
              <w:kinsoku/>
              <w:wordWrap/>
              <w:overflowPunct/>
              <w:topLinePunct w:val="0"/>
              <w:autoSpaceDE/>
              <w:autoSpaceDN/>
              <w:bidi w:val="0"/>
              <w:adjustRightInd/>
              <w:snapToGrid w:val="0"/>
              <w:spacing w:line="180" w:lineRule="auto"/>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both"/>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单位简历及内设机构情况</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单位优势及特长</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近三年来完成或正在履行的重大合同情况</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最近2年内在经营过程中受到何种奖励或处分</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（包括财政、工商、税务、物价、技监部门稽查情况和结果）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最近3年内有无投诉或起诉的情况及说明</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最近3年内主要负责人有无经济犯罪被司法机关追究的情况及说明</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其他需要说明的情况</w:t>
            </w:r>
          </w:p>
        </w:tc>
        <w:tc>
          <w:tcPr>
            <w:tcW w:w="6396" w:type="dxa"/>
            <w:gridSpan w:val="6"/>
            <w:noWrap w:val="0"/>
            <w:vAlign w:val="top"/>
          </w:tcPr>
          <w:p>
            <w:pPr>
              <w:pStyle w:val="107"/>
              <w:snapToGrid w:val="0"/>
              <w:spacing w:line="400" w:lineRule="exact"/>
              <w:jc w:val="center"/>
              <w:rPr>
                <w:rFonts w:hint="default" w:hAnsi="宋体" w:eastAsia="宋体"/>
                <w:b w:val="0"/>
                <w:bCs/>
                <w:sz w:val="21"/>
                <w:szCs w:val="21"/>
                <w:vertAlign w:val="baseline"/>
                <w:lang w:val="en-US" w:eastAsia="zh-CN"/>
              </w:rPr>
            </w:pPr>
          </w:p>
        </w:tc>
      </w:tr>
    </w:tbl>
    <w:p>
      <w:pPr>
        <w:pStyle w:val="107"/>
        <w:snapToGrid w:val="0"/>
        <w:spacing w:line="400" w:lineRule="exact"/>
        <w:jc w:val="both"/>
        <w:rPr>
          <w:rFonts w:hint="eastAsia" w:hAnsi="宋体" w:eastAsia="宋体"/>
          <w:b w:val="0"/>
          <w:bCs/>
          <w:sz w:val="21"/>
          <w:szCs w:val="21"/>
          <w:lang w:val="en-US" w:eastAsia="zh-CN"/>
        </w:rPr>
      </w:pPr>
      <w:r>
        <w:rPr>
          <w:rFonts w:hint="eastAsia" w:hAnsi="宋体" w:eastAsia="宋体"/>
          <w:b w:val="0"/>
          <w:bCs/>
          <w:sz w:val="21"/>
          <w:szCs w:val="21"/>
          <w:lang w:val="en-US" w:eastAsia="zh-CN"/>
        </w:rPr>
        <w:t>说明：在填写时，如本表格不适合投标人的实际情况，可根据本表格格式自行划表填写。</w:t>
      </w:r>
    </w:p>
    <w:p>
      <w:pPr>
        <w:pStyle w:val="107"/>
        <w:snapToGrid w:val="0"/>
        <w:spacing w:line="400" w:lineRule="exact"/>
        <w:jc w:val="both"/>
        <w:rPr>
          <w:rFonts w:hint="eastAsia" w:hAnsi="宋体" w:eastAsia="宋体"/>
          <w:b w:val="0"/>
          <w:bCs/>
          <w:sz w:val="21"/>
          <w:szCs w:val="21"/>
          <w:lang w:val="en-US" w:eastAsia="zh-CN"/>
        </w:rPr>
      </w:pPr>
      <w:r>
        <w:rPr>
          <w:rFonts w:hint="eastAsia" w:hAnsi="宋体" w:eastAsia="宋体"/>
          <w:b w:val="0"/>
          <w:bCs/>
          <w:sz w:val="21"/>
          <w:szCs w:val="21"/>
          <w:lang w:val="en-US" w:eastAsia="zh-CN"/>
        </w:rPr>
        <w:t>投标人（盖章）：</w:t>
      </w:r>
    </w:p>
    <w:p>
      <w:pPr>
        <w:pStyle w:val="107"/>
        <w:snapToGrid w:val="0"/>
        <w:spacing w:line="400" w:lineRule="exact"/>
        <w:jc w:val="both"/>
        <w:rPr>
          <w:rFonts w:hint="default" w:hAnsi="宋体" w:eastAsia="宋体"/>
          <w:b w:val="0"/>
          <w:bCs/>
          <w:sz w:val="21"/>
          <w:szCs w:val="21"/>
          <w:lang w:val="en-US" w:eastAsia="zh-CN"/>
        </w:rPr>
      </w:pPr>
      <w:r>
        <w:rPr>
          <w:rFonts w:hint="eastAsia" w:hAnsi="宋体" w:eastAsia="宋体"/>
          <w:b w:val="0"/>
          <w:bCs/>
          <w:sz w:val="21"/>
          <w:szCs w:val="21"/>
          <w:lang w:val="en-US" w:eastAsia="zh-CN"/>
        </w:rPr>
        <w:t>法定代表人或委托代理人签名：                            年   月   日</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3.4营业执照复印件（副本）</w:t>
      </w:r>
    </w:p>
    <w:p>
      <w:pPr>
        <w:rPr>
          <w:rFonts w:hint="eastAsia"/>
          <w:sz w:val="24"/>
          <w:szCs w:val="24"/>
          <w:lang w:val="en-US" w:eastAsia="zh-CN"/>
        </w:rPr>
      </w:pPr>
      <w:r>
        <w:rPr>
          <w:rFonts w:hint="eastAsia"/>
          <w:sz w:val="24"/>
          <w:szCs w:val="24"/>
          <w:lang w:val="en-US" w:eastAsia="zh-CN"/>
        </w:rPr>
        <w:t xml:space="preserve">    </w:t>
      </w:r>
    </w:p>
    <w:p>
      <w:pPr>
        <w:rPr>
          <w:rFonts w:hint="default"/>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3.5最近一个季度依法缴纳税收和社保费的证明</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3.6上年度年审计报告、资产负债表、损益表复印件（新成立的公司，必须提供验资报告）</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3.7各级部门颁发的资信等级证明、荣誉证明、质量认证体系等（复印件并加盖投标单位公章）</w:t>
      </w: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p>
    <w:p>
      <w:pPr>
        <w:rPr>
          <w:rFonts w:hint="eastAsia" w:hAnsi="宋体" w:eastAsia="宋体"/>
          <w:b/>
          <w:sz w:val="32"/>
          <w:szCs w:val="32"/>
          <w:lang w:val="en-US" w:eastAsia="zh-CN"/>
        </w:rPr>
      </w:pPr>
      <w:r>
        <w:rPr>
          <w:rFonts w:hint="eastAsia"/>
          <w:sz w:val="24"/>
          <w:szCs w:val="24"/>
          <w:lang w:val="en-US" w:eastAsia="zh-CN"/>
        </w:rPr>
        <w:t>3.8  2017年1月至今类似业绩（附加盖公章的中标通知书、合同复印件、业绩评价表）：</w:t>
      </w:r>
    </w:p>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2017年1月至今类似业绩表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52"/>
        <w:gridCol w:w="1275"/>
        <w:gridCol w:w="1260"/>
        <w:gridCol w:w="2085"/>
        <w:gridCol w:w="1410"/>
        <w:gridCol w:w="121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序号</w:t>
            </w: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项目名称</w:t>
            </w: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中标通知书编号</w:t>
            </w: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服务期限（起、止时间）</w:t>
            </w: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公厕面积（平方米）</w:t>
            </w: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合同金额（万元）</w:t>
            </w: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7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7" w:type="dxa"/>
            <w:gridSpan w:val="3"/>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合计</w:t>
            </w:r>
          </w:p>
        </w:tc>
        <w:tc>
          <w:tcPr>
            <w:tcW w:w="208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410"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121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c>
          <w:tcPr>
            <w:tcW w:w="725" w:type="dxa"/>
            <w:noWrap w:val="0"/>
            <w:vAlign w:val="top"/>
          </w:tcPr>
          <w:p>
            <w:pPr>
              <w:pStyle w:val="10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default" w:hAnsi="宋体" w:eastAsia="宋体"/>
                <w:b w:val="0"/>
                <w:bCs/>
                <w:sz w:val="21"/>
                <w:szCs w:val="21"/>
                <w:vertAlign w:val="baseline"/>
                <w:lang w:val="en-US" w:eastAsia="zh-CN"/>
              </w:rPr>
            </w:pPr>
          </w:p>
        </w:tc>
      </w:tr>
    </w:tbl>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注：附中标通知书、合同复印件、业绩评价表。（日期以合同上的日期为准）</w:t>
      </w:r>
    </w:p>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法定代表人或委托代理人签名：</w:t>
      </w:r>
    </w:p>
    <w:p>
      <w:pPr>
        <w:pStyle w:val="107"/>
        <w:snapToGrid w:val="0"/>
        <w:spacing w:line="400" w:lineRule="exact"/>
        <w:jc w:val="both"/>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投标人（盖章）：         年   月    日 </w:t>
      </w:r>
    </w:p>
    <w:p>
      <w:pPr>
        <w:pStyle w:val="107"/>
        <w:snapToGrid w:val="0"/>
        <w:spacing w:line="400" w:lineRule="exact"/>
        <w:jc w:val="both"/>
        <w:rPr>
          <w:rFonts w:hint="eastAsia" w:hAnsi="宋体" w:eastAsia="宋体"/>
          <w:sz w:val="21"/>
          <w:szCs w:val="21"/>
          <w:lang w:val="en-US" w:eastAsia="zh-CN"/>
        </w:rPr>
      </w:pPr>
    </w:p>
    <w:p>
      <w:pPr>
        <w:rPr>
          <w:rFonts w:hint="eastAsia"/>
          <w:sz w:val="24"/>
          <w:szCs w:val="24"/>
          <w:lang w:val="en-US" w:eastAsia="zh-CN"/>
        </w:rPr>
      </w:pPr>
      <w:r>
        <w:rPr>
          <w:rFonts w:hint="eastAsia"/>
          <w:sz w:val="24"/>
          <w:szCs w:val="24"/>
          <w:lang w:val="en-US" w:eastAsia="zh-CN"/>
        </w:rPr>
        <w:t>3.9 对本项目总体要求的理解（区域特点分析、作业总体设想、工作重点）</w:t>
      </w: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3.10 改进措施和合理化建议</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3.11组织方案</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3.12投标项目的主要管理人员情况一览表</w:t>
      </w:r>
    </w:p>
    <w:p>
      <w:pPr>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投标项目的主要管理人员情况一览表</w:t>
      </w:r>
    </w:p>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项目名称：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52"/>
        <w:gridCol w:w="1080"/>
        <w:gridCol w:w="1320"/>
        <w:gridCol w:w="1755"/>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center"/>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姓名</w:t>
            </w:r>
          </w:p>
        </w:tc>
        <w:tc>
          <w:tcPr>
            <w:tcW w:w="1080" w:type="dxa"/>
            <w:noWrap w:val="0"/>
            <w:vAlign w:val="center"/>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职务</w:t>
            </w:r>
          </w:p>
        </w:tc>
        <w:tc>
          <w:tcPr>
            <w:tcW w:w="1320" w:type="dxa"/>
            <w:noWrap w:val="0"/>
            <w:vAlign w:val="center"/>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职称</w:t>
            </w:r>
          </w:p>
        </w:tc>
        <w:tc>
          <w:tcPr>
            <w:tcW w:w="1755" w:type="dxa"/>
            <w:noWrap w:val="0"/>
            <w:vAlign w:val="center"/>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在本项目中拟担任职务</w:t>
            </w:r>
          </w:p>
        </w:tc>
        <w:tc>
          <w:tcPr>
            <w:tcW w:w="3221" w:type="dxa"/>
            <w:noWrap w:val="0"/>
            <w:vAlign w:val="center"/>
          </w:tcPr>
          <w:p>
            <w:pPr>
              <w:pStyle w:val="107"/>
              <w:snapToGrid w:val="0"/>
              <w:spacing w:line="400" w:lineRule="exact"/>
              <w:jc w:val="center"/>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2"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08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320"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1755"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c>
          <w:tcPr>
            <w:tcW w:w="3221" w:type="dxa"/>
            <w:noWrap w:val="0"/>
            <w:vAlign w:val="top"/>
          </w:tcPr>
          <w:p>
            <w:pPr>
              <w:pStyle w:val="107"/>
              <w:snapToGrid w:val="0"/>
              <w:spacing w:line="400" w:lineRule="exact"/>
              <w:jc w:val="both"/>
              <w:rPr>
                <w:rFonts w:hint="eastAsia" w:hAnsi="宋体" w:eastAsia="宋体"/>
                <w:b w:val="0"/>
                <w:bCs/>
                <w:sz w:val="21"/>
                <w:szCs w:val="21"/>
                <w:vertAlign w:val="baseline"/>
                <w:lang w:val="en-US" w:eastAsia="zh-CN"/>
              </w:rPr>
            </w:pPr>
          </w:p>
        </w:tc>
      </w:tr>
    </w:tbl>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法定代表人或委托代理人签名：</w:t>
      </w:r>
    </w:p>
    <w:p>
      <w:pPr>
        <w:pStyle w:val="107"/>
        <w:snapToGrid w:val="0"/>
        <w:spacing w:line="400" w:lineRule="exact"/>
        <w:jc w:val="both"/>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投标人（盖章）：         年   月    日 </w:t>
      </w:r>
    </w:p>
    <w:p>
      <w:pPr>
        <w:pStyle w:val="107"/>
        <w:snapToGrid w:val="0"/>
        <w:spacing w:line="400" w:lineRule="exact"/>
        <w:jc w:val="both"/>
        <w:rPr>
          <w:rFonts w:hint="eastAsia" w:hAnsi="宋体" w:eastAsia="宋体"/>
          <w:b w:val="0"/>
          <w:bCs/>
          <w:sz w:val="21"/>
          <w:szCs w:val="21"/>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pStyle w:val="107"/>
        <w:snapToGrid w:val="0"/>
        <w:spacing w:line="400" w:lineRule="exact"/>
        <w:jc w:val="both"/>
        <w:rPr>
          <w:rFonts w:hint="default" w:hAnsi="宋体" w:eastAsia="宋体"/>
          <w:b w:val="0"/>
          <w:bCs/>
          <w:sz w:val="24"/>
          <w:szCs w:val="24"/>
          <w:vertAlign w:val="baseline"/>
          <w:lang w:val="en-US" w:eastAsia="zh-CN"/>
        </w:rPr>
      </w:pPr>
    </w:p>
    <w:p>
      <w:pPr>
        <w:rPr>
          <w:rFonts w:hint="eastAsia"/>
          <w:sz w:val="24"/>
          <w:szCs w:val="24"/>
          <w:lang w:val="en-US" w:eastAsia="zh-CN"/>
        </w:rPr>
      </w:pPr>
      <w:r>
        <w:rPr>
          <w:rFonts w:hint="eastAsia"/>
          <w:sz w:val="24"/>
          <w:szCs w:val="24"/>
          <w:lang w:val="en-US" w:eastAsia="zh-CN"/>
        </w:rPr>
        <w:t>3.13设备、器械、工具配备计划表：</w:t>
      </w:r>
    </w:p>
    <w:p>
      <w:pPr>
        <w:jc w:val="center"/>
        <w:rPr>
          <w:rFonts w:hint="eastAsia"/>
          <w:b/>
          <w:bCs/>
          <w:sz w:val="24"/>
          <w:szCs w:val="24"/>
          <w:lang w:val="en-US" w:eastAsia="zh-CN"/>
        </w:rPr>
      </w:pPr>
      <w:r>
        <w:rPr>
          <w:rFonts w:hint="eastAsia"/>
          <w:b/>
          <w:bCs/>
          <w:sz w:val="24"/>
          <w:szCs w:val="24"/>
          <w:lang w:val="en-US" w:eastAsia="zh-CN"/>
        </w:rPr>
        <w:t>设备、器械、工具配备计划表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47"/>
        <w:gridCol w:w="3015"/>
        <w:gridCol w:w="1200"/>
        <w:gridCol w:w="133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7"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设备类别</w:t>
            </w:r>
          </w:p>
        </w:tc>
        <w:tc>
          <w:tcPr>
            <w:tcW w:w="301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设备名称</w:t>
            </w:r>
          </w:p>
        </w:tc>
        <w:tc>
          <w:tcPr>
            <w:tcW w:w="12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133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2231"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restart"/>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设备</w:t>
            </w: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47" w:type="dxa"/>
            <w:vMerge w:val="restart"/>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器械</w:t>
            </w: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47" w:type="dxa"/>
            <w:vMerge w:val="restart"/>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工具</w:t>
            </w: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center"/>
          </w:tcPr>
          <w:p>
            <w:pPr>
              <w:jc w:val="cente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restart"/>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其他</w:t>
            </w: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7" w:type="dxa"/>
            <w:vMerge w:val="continue"/>
            <w:noWrap w:val="0"/>
            <w:vAlign w:val="top"/>
          </w:tcPr>
          <w:p>
            <w:pPr>
              <w:rPr>
                <w:rFonts w:hint="default"/>
                <w:sz w:val="21"/>
                <w:szCs w:val="21"/>
                <w:vertAlign w:val="baseline"/>
                <w:lang w:val="en-US" w:eastAsia="zh-CN"/>
              </w:rPr>
            </w:pPr>
          </w:p>
        </w:tc>
        <w:tc>
          <w:tcPr>
            <w:tcW w:w="3015" w:type="dxa"/>
            <w:noWrap w:val="0"/>
            <w:vAlign w:val="top"/>
          </w:tcPr>
          <w:p>
            <w:pPr>
              <w:rPr>
                <w:rFonts w:hint="default"/>
                <w:sz w:val="21"/>
                <w:szCs w:val="21"/>
                <w:vertAlign w:val="baseline"/>
                <w:lang w:val="en-US" w:eastAsia="zh-CN"/>
              </w:rPr>
            </w:pPr>
          </w:p>
        </w:tc>
        <w:tc>
          <w:tcPr>
            <w:tcW w:w="1200" w:type="dxa"/>
            <w:noWrap w:val="0"/>
            <w:vAlign w:val="top"/>
          </w:tcPr>
          <w:p>
            <w:pPr>
              <w:rPr>
                <w:rFonts w:hint="default"/>
                <w:sz w:val="21"/>
                <w:szCs w:val="21"/>
                <w:vertAlign w:val="baseline"/>
                <w:lang w:val="en-US" w:eastAsia="zh-CN"/>
              </w:rPr>
            </w:pPr>
          </w:p>
        </w:tc>
        <w:tc>
          <w:tcPr>
            <w:tcW w:w="1335" w:type="dxa"/>
            <w:noWrap w:val="0"/>
            <w:vAlign w:val="top"/>
          </w:tcPr>
          <w:p>
            <w:pPr>
              <w:rPr>
                <w:rFonts w:hint="default"/>
                <w:sz w:val="21"/>
                <w:szCs w:val="21"/>
                <w:vertAlign w:val="baseline"/>
                <w:lang w:val="en-US" w:eastAsia="zh-CN"/>
              </w:rPr>
            </w:pPr>
          </w:p>
        </w:tc>
        <w:tc>
          <w:tcPr>
            <w:tcW w:w="2231" w:type="dxa"/>
            <w:noWrap w:val="0"/>
            <w:vAlign w:val="top"/>
          </w:tcPr>
          <w:p>
            <w:pPr>
              <w:rPr>
                <w:rFonts w:hint="default"/>
                <w:sz w:val="21"/>
                <w:szCs w:val="21"/>
                <w:vertAlign w:val="baseline"/>
                <w:lang w:val="en-US" w:eastAsia="zh-CN"/>
              </w:rPr>
            </w:pPr>
          </w:p>
        </w:tc>
      </w:tr>
    </w:tbl>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法定代表人或委托代理人签名：</w:t>
      </w:r>
    </w:p>
    <w:p>
      <w:pPr>
        <w:pStyle w:val="107"/>
        <w:snapToGrid w:val="0"/>
        <w:spacing w:line="400" w:lineRule="exact"/>
        <w:jc w:val="both"/>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投标人（盖章）：         年   月    日 </w:t>
      </w:r>
    </w:p>
    <w:p>
      <w:pPr>
        <w:rPr>
          <w:rFonts w:hint="eastAsia"/>
          <w:sz w:val="21"/>
          <w:szCs w:val="21"/>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3.14人员投入计划表</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3.15投标单位参与综合评分时需提供的证明文件</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3.16服务承诺</w:t>
      </w:r>
    </w:p>
    <w:p>
      <w:pPr>
        <w:rPr>
          <w:rFonts w:hint="default"/>
          <w:sz w:val="24"/>
          <w:szCs w:val="24"/>
          <w:lang w:val="en-US" w:eastAsia="zh-CN"/>
        </w:rPr>
      </w:pPr>
    </w:p>
    <w:p>
      <w:pPr>
        <w:pStyle w:val="107"/>
        <w:snapToGrid w:val="0"/>
        <w:spacing w:line="400" w:lineRule="exact"/>
        <w:jc w:val="both"/>
        <w:rPr>
          <w:rFonts w:hint="eastAsia" w:hAnsi="宋体" w:eastAsia="宋体"/>
          <w:b w:val="0"/>
          <w:bCs/>
          <w:sz w:val="24"/>
          <w:szCs w:val="24"/>
          <w:vertAlign w:val="baseline"/>
          <w:lang w:val="en-US" w:eastAsia="zh-CN"/>
        </w:rPr>
      </w:pPr>
    </w:p>
    <w:p>
      <w:pPr>
        <w:rPr>
          <w:rFonts w:hint="default"/>
          <w:sz w:val="24"/>
          <w:szCs w:val="24"/>
          <w:lang w:val="en-US" w:eastAsia="zh-CN"/>
        </w:rPr>
      </w:pPr>
    </w:p>
    <w:p>
      <w:pPr>
        <w:pStyle w:val="107"/>
        <w:snapToGrid w:val="0"/>
        <w:spacing w:line="400" w:lineRule="exact"/>
        <w:jc w:val="both"/>
        <w:rPr>
          <w:rFonts w:hint="eastAsia" w:ascii="宋体" w:hAnsi="宋体" w:eastAsia="宋体" w:cs="宋体"/>
          <w:b/>
          <w:kern w:val="2"/>
          <w:sz w:val="21"/>
          <w:szCs w:val="21"/>
          <w:highlight w:val="none"/>
          <w:lang w:val="en-US" w:eastAsia="zh-CN" w:bidi="ar-SA"/>
        </w:rPr>
      </w:pPr>
    </w:p>
    <w:p>
      <w:pPr>
        <w:pStyle w:val="107"/>
        <w:snapToGrid w:val="0"/>
        <w:spacing w:line="400" w:lineRule="exact"/>
        <w:jc w:val="both"/>
        <w:rPr>
          <w:rFonts w:hint="eastAsia" w:ascii="宋体" w:hAnsi="宋体" w:eastAsia="宋体" w:cs="宋体"/>
          <w:b/>
          <w:kern w:val="2"/>
          <w:sz w:val="21"/>
          <w:szCs w:val="21"/>
          <w:highlight w:val="none"/>
          <w:lang w:val="en-US" w:eastAsia="zh-CN" w:bidi="ar-SA"/>
        </w:rPr>
      </w:pPr>
    </w:p>
    <w:p>
      <w:pPr>
        <w:pStyle w:val="107"/>
        <w:snapToGrid w:val="0"/>
        <w:spacing w:line="400" w:lineRule="exact"/>
        <w:jc w:val="both"/>
        <w:rPr>
          <w:rFonts w:hint="eastAsia" w:ascii="宋体" w:hAnsi="宋体" w:eastAsia="宋体" w:cs="宋体"/>
          <w:b/>
          <w:kern w:val="2"/>
          <w:sz w:val="21"/>
          <w:szCs w:val="21"/>
          <w:highlight w:val="none"/>
          <w:lang w:val="en-US" w:eastAsia="zh-CN" w:bidi="ar-SA"/>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3.17廉政承诺书格式：</w:t>
      </w:r>
    </w:p>
    <w:p>
      <w:pPr>
        <w:jc w:val="center"/>
        <w:rPr>
          <w:rFonts w:hint="eastAsia"/>
          <w:b/>
          <w:bCs/>
          <w:sz w:val="24"/>
          <w:szCs w:val="24"/>
          <w:lang w:val="en-US" w:eastAsia="zh-CN"/>
        </w:rPr>
      </w:pPr>
      <w:r>
        <w:rPr>
          <w:rFonts w:hint="eastAsia"/>
          <w:b/>
          <w:bCs/>
          <w:sz w:val="24"/>
          <w:szCs w:val="24"/>
          <w:lang w:val="en-US" w:eastAsia="zh-CN"/>
        </w:rPr>
        <w:t>廉政承诺书</w:t>
      </w:r>
    </w:p>
    <w:p>
      <w:pPr>
        <w:pStyle w:val="107"/>
        <w:snapToGrid w:val="0"/>
        <w:spacing w:line="400" w:lineRule="exact"/>
        <w:jc w:val="both"/>
        <w:rPr>
          <w:rFonts w:hint="eastAsia" w:hAnsi="宋体" w:eastAsia="宋体"/>
          <w:sz w:val="21"/>
          <w:szCs w:val="21"/>
          <w:u w:val="none"/>
          <w:lang w:val="en-US" w:eastAsia="zh-CN"/>
        </w:rPr>
      </w:pPr>
      <w:r>
        <w:rPr>
          <w:rFonts w:hint="eastAsia" w:hAnsi="宋体" w:eastAsia="宋体"/>
          <w:sz w:val="21"/>
          <w:szCs w:val="21"/>
          <w:lang w:val="en-US" w:eastAsia="zh-CN"/>
        </w:rPr>
        <w:t>致</w:t>
      </w:r>
      <w:r>
        <w:rPr>
          <w:rFonts w:hint="eastAsia" w:hAnsi="宋体" w:eastAsia="宋体"/>
          <w:sz w:val="21"/>
          <w:szCs w:val="21"/>
          <w:u w:val="single"/>
          <w:lang w:val="en-US" w:eastAsia="zh-CN"/>
        </w:rPr>
        <w:t xml:space="preserve">                   </w:t>
      </w:r>
      <w:r>
        <w:rPr>
          <w:rFonts w:hint="eastAsia" w:hAnsi="宋体" w:eastAsia="宋体"/>
          <w:sz w:val="21"/>
          <w:szCs w:val="21"/>
          <w:u w:val="none"/>
          <w:lang w:val="en-US" w:eastAsia="zh-CN"/>
        </w:rPr>
        <w:t>（招标采购单位名称）</w:t>
      </w:r>
    </w:p>
    <w:p>
      <w:pPr>
        <w:pStyle w:val="107"/>
        <w:snapToGrid w:val="0"/>
        <w:spacing w:line="400" w:lineRule="exact"/>
        <w:jc w:val="both"/>
        <w:rPr>
          <w:rFonts w:hint="eastAsia" w:hAnsi="宋体" w:eastAsia="宋体"/>
          <w:sz w:val="21"/>
          <w:szCs w:val="21"/>
          <w:u w:val="none"/>
          <w:lang w:val="en-US" w:eastAsia="zh-CN"/>
        </w:rPr>
      </w:pPr>
      <w:r>
        <w:rPr>
          <w:rFonts w:hint="eastAsia" w:hAnsi="宋体" w:eastAsia="宋体"/>
          <w:sz w:val="21"/>
          <w:szCs w:val="21"/>
          <w:u w:val="none"/>
          <w:lang w:val="en-US" w:eastAsia="zh-CN"/>
        </w:rPr>
        <w:t xml:space="preserve">     我单位响应</w:t>
      </w:r>
      <w:r>
        <w:rPr>
          <w:rFonts w:hint="eastAsia" w:hAnsi="宋体" w:eastAsia="宋体"/>
          <w:sz w:val="21"/>
          <w:szCs w:val="21"/>
          <w:u w:val="single"/>
          <w:lang w:val="en-US" w:eastAsia="zh-CN"/>
        </w:rPr>
        <w:t xml:space="preserve">              </w:t>
      </w:r>
      <w:r>
        <w:rPr>
          <w:rFonts w:hint="eastAsia" w:hAnsi="宋体" w:eastAsia="宋体"/>
          <w:sz w:val="21"/>
          <w:szCs w:val="21"/>
          <w:u w:val="none"/>
          <w:lang w:val="en-US" w:eastAsia="zh-CN"/>
        </w:rPr>
        <w:t>项目采购要求参加投标。在这次投标过程中和中标后，我们将严格遵守国家法律法规的要求，并郑重承诺：</w:t>
      </w:r>
    </w:p>
    <w:p>
      <w:pPr>
        <w:pStyle w:val="107"/>
        <w:numPr>
          <w:ilvl w:val="0"/>
          <w:numId w:val="0"/>
        </w:numPr>
        <w:snapToGrid w:val="0"/>
        <w:spacing w:line="400" w:lineRule="exact"/>
        <w:ind w:firstLine="420" w:firstLineChars="200"/>
        <w:jc w:val="both"/>
        <w:rPr>
          <w:rFonts w:hint="eastAsia" w:hAnsi="宋体" w:eastAsia="宋体"/>
          <w:sz w:val="21"/>
          <w:szCs w:val="21"/>
          <w:u w:val="none"/>
          <w:lang w:val="en-US" w:eastAsia="zh-CN"/>
        </w:rPr>
      </w:pPr>
      <w:r>
        <w:rPr>
          <w:rFonts w:hint="eastAsia" w:hAnsi="宋体" w:eastAsia="宋体"/>
          <w:sz w:val="21"/>
          <w:szCs w:val="21"/>
          <w:u w:val="none"/>
          <w:lang w:val="en-US" w:eastAsia="zh-CN"/>
        </w:rPr>
        <w:t>一、不向项目有关人员及部门赠送礼金礼物、有价证券、回扣以及中介费、介绍费、咨询费等好处费；</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二、不为项目有关人员及部门报销应由你方单位或个人支付的费用；</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三、不向项目有关人员及部门提供有可能影响公正的宴请和健身娱乐等活动；</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四、不为项目有关人员及部门出国（境）、旅游等提供方便；</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五、不为项目有关人员个人装修住房、婚丧嫁娶、配偶子女工作安排等提供好处；</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六、严格遵守招标投标法、合同法等法律，诚实守信，合法经营，坚决抵制各种违法违纪行为。</w:t>
      </w:r>
    </w:p>
    <w:p>
      <w:pPr>
        <w:pStyle w:val="107"/>
        <w:numPr>
          <w:ilvl w:val="0"/>
          <w:numId w:val="0"/>
        </w:numPr>
        <w:snapToGrid w:val="0"/>
        <w:spacing w:line="400" w:lineRule="exact"/>
        <w:ind w:firstLine="420" w:firstLineChars="200"/>
        <w:jc w:val="both"/>
        <w:rPr>
          <w:rFonts w:hint="default" w:hAnsi="宋体" w:eastAsia="宋体"/>
          <w:sz w:val="21"/>
          <w:szCs w:val="21"/>
          <w:u w:val="none"/>
          <w:lang w:val="en-US" w:eastAsia="zh-CN"/>
        </w:rPr>
      </w:pPr>
      <w:r>
        <w:rPr>
          <w:rFonts w:hint="eastAsia" w:hAnsi="宋体" w:eastAsia="宋体"/>
          <w:sz w:val="21"/>
          <w:szCs w:val="21"/>
          <w:u w:val="none"/>
          <w:lang w:val="en-US" w:eastAsia="zh-CN"/>
        </w:rPr>
        <w:t>如违反上述承诺，你单位有权立即取消我单位投标、中标或在建项目的建设资格，有权拒绝我单位在一定时期内进入你单位进行项目建设或其他经营活动，并通报采购监督管理部门。由此引起的相应损失均由我单位承担。</w:t>
      </w:r>
    </w:p>
    <w:p>
      <w:pPr>
        <w:pStyle w:val="107"/>
        <w:snapToGrid w:val="0"/>
        <w:spacing w:line="400" w:lineRule="exact"/>
        <w:jc w:val="both"/>
        <w:rPr>
          <w:rFonts w:hint="eastAsia"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法定代表人或委托代理人签名：</w:t>
      </w:r>
    </w:p>
    <w:p>
      <w:pPr>
        <w:pStyle w:val="107"/>
        <w:snapToGrid w:val="0"/>
        <w:spacing w:line="400" w:lineRule="exact"/>
        <w:jc w:val="both"/>
        <w:rPr>
          <w:rFonts w:hint="default" w:hAnsi="宋体" w:eastAsia="宋体"/>
          <w:b w:val="0"/>
          <w:bCs/>
          <w:sz w:val="21"/>
          <w:szCs w:val="21"/>
          <w:vertAlign w:val="baseline"/>
          <w:lang w:val="en-US" w:eastAsia="zh-CN"/>
        </w:rPr>
      </w:pPr>
      <w:r>
        <w:rPr>
          <w:rFonts w:hint="eastAsia" w:hAnsi="宋体" w:eastAsia="宋体"/>
          <w:b w:val="0"/>
          <w:bCs/>
          <w:sz w:val="21"/>
          <w:szCs w:val="21"/>
          <w:vertAlign w:val="baseline"/>
          <w:lang w:val="en-US" w:eastAsia="zh-CN"/>
        </w:rPr>
        <w:t xml:space="preserve">投标人（盖章）：         年   月    日 </w:t>
      </w:r>
    </w:p>
    <w:p>
      <w:pPr>
        <w:pStyle w:val="107"/>
        <w:snapToGrid w:val="0"/>
        <w:spacing w:line="400" w:lineRule="exact"/>
        <w:jc w:val="both"/>
        <w:rPr>
          <w:rFonts w:hint="eastAsia"/>
          <w:sz w:val="24"/>
          <w:szCs w:val="24"/>
          <w:lang w:val="en-US" w:eastAsia="zh-CN"/>
        </w:rPr>
      </w:pPr>
    </w:p>
    <w:p>
      <w:pPr>
        <w:pStyle w:val="107"/>
        <w:snapToGrid w:val="0"/>
        <w:spacing w:line="400" w:lineRule="exact"/>
        <w:jc w:val="both"/>
        <w:rPr>
          <w:rFonts w:hint="eastAsia"/>
          <w:sz w:val="24"/>
          <w:szCs w:val="24"/>
          <w:lang w:val="en-US" w:eastAsia="zh-CN"/>
        </w:rPr>
      </w:pPr>
      <w:r>
        <w:rPr>
          <w:rFonts w:hint="eastAsia"/>
          <w:sz w:val="24"/>
          <w:szCs w:val="24"/>
          <w:lang w:val="en-US" w:eastAsia="zh-CN"/>
        </w:rPr>
        <w:t>3.18关于对资信商务及技术文件中有关条款的拒绝声明</w:t>
      </w:r>
    </w:p>
    <w:p>
      <w:pPr>
        <w:pStyle w:val="107"/>
        <w:snapToGrid w:val="0"/>
        <w:spacing w:line="400" w:lineRule="exact"/>
        <w:ind w:firstLine="720" w:firstLineChars="300"/>
        <w:jc w:val="both"/>
        <w:rPr>
          <w:rFonts w:hint="default"/>
          <w:sz w:val="24"/>
          <w:szCs w:val="24"/>
          <w:lang w:val="en-US" w:eastAsia="zh-CN"/>
        </w:rPr>
      </w:pPr>
      <w:r>
        <w:rPr>
          <w:rFonts w:hint="eastAsia"/>
          <w:sz w:val="24"/>
          <w:szCs w:val="24"/>
          <w:lang w:val="en-US" w:eastAsia="zh-CN"/>
        </w:rPr>
        <w:t>（由投标人根据采购需求自行编制）</w:t>
      </w:r>
    </w:p>
    <w:p>
      <w:pPr>
        <w:pStyle w:val="107"/>
        <w:snapToGrid w:val="0"/>
        <w:spacing w:line="400" w:lineRule="exact"/>
        <w:jc w:val="both"/>
        <w:rPr>
          <w:rFonts w:hint="eastAsia" w:hAnsi="宋体" w:eastAsia="宋体"/>
          <w:b w:val="0"/>
          <w:bCs/>
          <w:sz w:val="24"/>
          <w:szCs w:val="24"/>
          <w:vertAlign w:val="baseline"/>
          <w:lang w:val="en-US" w:eastAsia="zh-CN"/>
        </w:rPr>
      </w:pPr>
    </w:p>
    <w:p>
      <w:pPr>
        <w:pStyle w:val="107"/>
        <w:snapToGrid w:val="0"/>
        <w:spacing w:line="400" w:lineRule="exact"/>
        <w:jc w:val="both"/>
        <w:rPr>
          <w:rFonts w:hint="eastAsia" w:hAnsi="宋体" w:eastAsia="宋体"/>
          <w:b w:val="0"/>
          <w:bCs/>
          <w:sz w:val="24"/>
          <w:szCs w:val="24"/>
          <w:vertAlign w:val="baseline"/>
          <w:lang w:val="en-US" w:eastAsia="zh-CN"/>
        </w:rPr>
      </w:pPr>
      <w:r>
        <w:rPr>
          <w:rFonts w:hint="eastAsia" w:hAnsi="宋体" w:eastAsia="宋体"/>
          <w:b w:val="0"/>
          <w:bCs/>
          <w:sz w:val="24"/>
          <w:szCs w:val="24"/>
          <w:vertAlign w:val="baseline"/>
          <w:lang w:val="en-US" w:eastAsia="zh-CN"/>
        </w:rPr>
        <w:t>法定代表人或委托代理人签名：</w:t>
      </w:r>
    </w:p>
    <w:p>
      <w:pPr>
        <w:pStyle w:val="107"/>
        <w:snapToGrid w:val="0"/>
        <w:spacing w:line="400" w:lineRule="exact"/>
        <w:jc w:val="both"/>
        <w:rPr>
          <w:rFonts w:hint="default" w:hAnsi="宋体" w:eastAsia="宋体"/>
          <w:b w:val="0"/>
          <w:bCs/>
          <w:sz w:val="24"/>
          <w:szCs w:val="24"/>
          <w:vertAlign w:val="baseline"/>
          <w:lang w:val="en-US" w:eastAsia="zh-CN"/>
        </w:rPr>
      </w:pPr>
      <w:r>
        <w:rPr>
          <w:rFonts w:hint="eastAsia" w:hAnsi="宋体" w:eastAsia="宋体"/>
          <w:b w:val="0"/>
          <w:bCs/>
          <w:sz w:val="24"/>
          <w:szCs w:val="24"/>
          <w:vertAlign w:val="baseline"/>
          <w:lang w:val="en-US" w:eastAsia="zh-CN"/>
        </w:rPr>
        <w:t xml:space="preserve">投标人（盖章）：         年   月    日 </w:t>
      </w:r>
    </w:p>
    <w:p>
      <w:pPr>
        <w:pStyle w:val="107"/>
        <w:snapToGrid w:val="0"/>
        <w:spacing w:line="400" w:lineRule="exact"/>
        <w:jc w:val="both"/>
        <w:rPr>
          <w:rFonts w:hint="default"/>
          <w:sz w:val="24"/>
          <w:szCs w:val="24"/>
          <w:lang w:val="en-US" w:eastAsia="zh-CN"/>
        </w:rPr>
      </w:pPr>
      <w:r>
        <w:rPr>
          <w:rFonts w:hint="eastAsia"/>
          <w:sz w:val="24"/>
          <w:szCs w:val="24"/>
          <w:lang w:val="en-US" w:eastAsia="zh-CN"/>
        </w:rPr>
        <w:t>3.19投标人认为需要的其他资信商务及技术文件或说明</w:t>
      </w:r>
    </w:p>
    <w:p>
      <w:pPr>
        <w:pStyle w:val="107"/>
        <w:snapToGrid w:val="0"/>
        <w:spacing w:line="400" w:lineRule="exact"/>
        <w:ind w:firstLine="720" w:firstLineChars="300"/>
        <w:jc w:val="both"/>
        <w:rPr>
          <w:rFonts w:hint="default"/>
          <w:sz w:val="24"/>
          <w:szCs w:val="24"/>
          <w:lang w:val="en-US" w:eastAsia="zh-CN"/>
        </w:rPr>
      </w:pPr>
      <w:r>
        <w:rPr>
          <w:rFonts w:hint="eastAsia"/>
          <w:sz w:val="24"/>
          <w:szCs w:val="24"/>
          <w:lang w:val="en-US" w:eastAsia="zh-CN"/>
        </w:rPr>
        <w:t>（由投标人根据采购需求自行编制）</w:t>
      </w:r>
    </w:p>
    <w:p>
      <w:pPr>
        <w:pStyle w:val="107"/>
        <w:snapToGrid w:val="0"/>
        <w:spacing w:line="400" w:lineRule="exact"/>
        <w:jc w:val="center"/>
        <w:rPr>
          <w:rFonts w:hint="default" w:hAnsi="宋体" w:eastAsia="宋体"/>
          <w:b/>
          <w:sz w:val="32"/>
          <w:szCs w:val="32"/>
          <w:lang w:val="en-US" w:eastAsia="zh-CN"/>
        </w:rPr>
      </w:pPr>
    </w:p>
    <w:p>
      <w:pPr>
        <w:pStyle w:val="107"/>
        <w:snapToGrid w:val="0"/>
        <w:spacing w:line="400" w:lineRule="exact"/>
        <w:jc w:val="center"/>
        <w:rPr>
          <w:rFonts w:hint="default" w:hAnsi="宋体" w:eastAsia="宋体"/>
          <w:b/>
          <w:sz w:val="32"/>
          <w:szCs w:val="32"/>
          <w:lang w:val="en-US" w:eastAsia="zh-CN"/>
        </w:rPr>
      </w:pPr>
    </w:p>
    <w:p>
      <w:pPr>
        <w:pStyle w:val="107"/>
        <w:snapToGrid w:val="0"/>
        <w:spacing w:line="400" w:lineRule="exact"/>
        <w:jc w:val="center"/>
        <w:rPr>
          <w:rFonts w:hint="default" w:hAnsi="宋体" w:eastAsia="宋体"/>
          <w:b/>
          <w:sz w:val="32"/>
          <w:szCs w:val="32"/>
          <w:lang w:val="en-US" w:eastAsia="zh-CN"/>
        </w:rPr>
      </w:pPr>
    </w:p>
    <w:p>
      <w:pPr>
        <w:pStyle w:val="107"/>
        <w:snapToGrid w:val="0"/>
        <w:spacing w:line="400" w:lineRule="exact"/>
        <w:jc w:val="center"/>
        <w:rPr>
          <w:rFonts w:hint="default" w:hAnsi="宋体" w:eastAsia="宋体"/>
          <w:b/>
          <w:sz w:val="32"/>
          <w:szCs w:val="32"/>
          <w:lang w:val="en-US" w:eastAsia="zh-CN"/>
        </w:rPr>
      </w:pPr>
    </w:p>
    <w:p>
      <w:pPr>
        <w:snapToGrid w:val="0"/>
        <w:spacing w:line="600" w:lineRule="exact"/>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二、报价文件格式</w:t>
      </w:r>
    </w:p>
    <w:p>
      <w:pPr>
        <w:snapToGrid w:val="0"/>
        <w:spacing w:line="600" w:lineRule="exact"/>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4.报价文件的外包装封面格式：</w:t>
      </w:r>
    </w:p>
    <w:p>
      <w:pPr>
        <w:snapToGrid w:val="0"/>
        <w:spacing w:line="600" w:lineRule="exact"/>
        <w:jc w:val="center"/>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36"/>
          <w:szCs w:val="36"/>
          <w:highlight w:val="none"/>
          <w:lang w:val="en-US" w:eastAsia="zh-CN"/>
        </w:rPr>
        <w:t>报价文件</w:t>
      </w:r>
    </w:p>
    <w:p>
      <w:pPr>
        <w:spacing w:line="360" w:lineRule="auto"/>
        <w:ind w:firstLine="387" w:firstLineChars="187"/>
        <w:rPr>
          <w:rFonts w:hint="eastAsia" w:ascii="宋体" w:hAnsi="宋体" w:eastAsia="宋体" w:cs="宋体"/>
          <w:szCs w:val="21"/>
          <w:highlight w:val="none"/>
          <w:u w:val="none"/>
        </w:rPr>
      </w:pPr>
      <w:r>
        <w:rPr>
          <w:rFonts w:hint="eastAsia" w:ascii="宋体" w:hAnsi="宋体" w:eastAsia="宋体" w:cs="宋体"/>
          <w:b/>
          <w:bCs/>
          <w:spacing w:val="-17"/>
          <w:sz w:val="24"/>
          <w:szCs w:val="24"/>
          <w:highlight w:val="none"/>
          <w:lang w:val="en-US" w:eastAsia="zh-CN"/>
        </w:rPr>
        <w:t>项目名称：</w:t>
      </w:r>
      <w:r>
        <w:rPr>
          <w:rFonts w:hint="eastAsia" w:ascii="宋体" w:hAnsi="宋体" w:eastAsia="宋体" w:cs="宋体"/>
          <w:b/>
          <w:bCs/>
          <w:spacing w:val="-17"/>
          <w:sz w:val="24"/>
          <w:szCs w:val="24"/>
          <w:highlight w:val="none"/>
          <w:u w:val="single"/>
          <w:lang w:val="en-US" w:eastAsia="zh-CN"/>
        </w:rPr>
        <w:t xml:space="preserve">                                 </w:t>
      </w:r>
      <w:r>
        <w:rPr>
          <w:rFonts w:hint="eastAsia" w:ascii="宋体" w:hAnsi="宋体" w:eastAsia="宋体" w:cs="宋体"/>
          <w:b/>
          <w:bCs/>
          <w:spacing w:val="-17"/>
          <w:sz w:val="24"/>
          <w:szCs w:val="24"/>
          <w:highlight w:val="none"/>
          <w:u w:val="none"/>
          <w:lang w:val="en-US" w:eastAsia="zh-CN"/>
        </w:rPr>
        <w:t>采购项目</w:t>
      </w:r>
      <w:r>
        <w:rPr>
          <w:rFonts w:hint="eastAsia" w:ascii="宋体" w:hAnsi="宋体" w:eastAsia="宋体" w:cs="宋体"/>
          <w:szCs w:val="21"/>
          <w:highlight w:val="none"/>
          <w:u w:val="none"/>
        </w:rPr>
        <w:t xml:space="preserve"> </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项目编号：</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投标人名称（盖章）：</w:t>
      </w:r>
    </w:p>
    <w:p>
      <w:pPr>
        <w:snapToGrid w:val="0"/>
        <w:spacing w:line="600" w:lineRule="exact"/>
        <w:ind w:firstLine="414" w:firstLineChars="2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投标人地址： </w:t>
      </w:r>
    </w:p>
    <w:p>
      <w:pPr>
        <w:snapToGrid w:val="0"/>
        <w:spacing w:line="600" w:lineRule="exact"/>
        <w:ind w:firstLine="414" w:firstLineChars="200"/>
        <w:jc w:val="both"/>
        <w:rPr>
          <w:rFonts w:hint="eastAsia" w:ascii="宋体" w:hAnsi="宋体" w:eastAsia="宋体" w:cs="宋体"/>
          <w:szCs w:val="21"/>
          <w:highlight w:val="none"/>
          <w:u w:val="none"/>
          <w:lang w:val="en-US" w:eastAsia="zh-CN"/>
        </w:rPr>
      </w:pPr>
      <w:r>
        <w:rPr>
          <w:rFonts w:hint="eastAsia" w:ascii="宋体" w:hAnsi="宋体" w:eastAsia="宋体" w:cs="宋体"/>
          <w:b/>
          <w:bCs/>
          <w:spacing w:val="-17"/>
          <w:sz w:val="24"/>
          <w:szCs w:val="24"/>
          <w:highlight w:val="none"/>
          <w:lang w:val="en-US" w:eastAsia="zh-CN"/>
        </w:rPr>
        <w:t xml:space="preserve">在   年  月   日   时   分之前不得启封     </w:t>
      </w:r>
    </w:p>
    <w:p>
      <w:pPr>
        <w:snapToGrid w:val="0"/>
        <w:spacing w:line="600" w:lineRule="exact"/>
        <w:ind w:firstLine="5587" w:firstLineChars="27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年  月    日  </w:t>
      </w:r>
    </w:p>
    <w:p>
      <w:pPr>
        <w:numPr>
          <w:ilvl w:val="0"/>
          <w:numId w:val="0"/>
        </w:numPr>
        <w:snapToGrid w:val="0"/>
        <w:spacing w:line="600" w:lineRule="exact"/>
        <w:ind w:leftChars="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5.报价文件封面格式</w:t>
      </w:r>
    </w:p>
    <w:p>
      <w:pPr>
        <w:numPr>
          <w:ilvl w:val="0"/>
          <w:numId w:val="0"/>
        </w:numPr>
        <w:snapToGrid w:val="0"/>
        <w:spacing w:line="600" w:lineRule="exact"/>
        <w:ind w:leftChars="0"/>
        <w:jc w:val="center"/>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                                                                               正本/或副本</w:t>
      </w:r>
    </w:p>
    <w:p>
      <w:pPr>
        <w:snapToGrid w:val="0"/>
        <w:spacing w:line="600" w:lineRule="exact"/>
        <w:jc w:val="center"/>
        <w:rPr>
          <w:rFonts w:hint="eastAsia" w:ascii="宋体" w:hAnsi="宋体" w:eastAsia="宋体" w:cs="宋体"/>
          <w:b/>
          <w:bCs/>
          <w:spacing w:val="-17"/>
          <w:sz w:val="36"/>
          <w:szCs w:val="36"/>
          <w:highlight w:val="none"/>
          <w:lang w:val="en-US" w:eastAsia="zh-CN"/>
        </w:rPr>
      </w:pPr>
      <w:r>
        <w:rPr>
          <w:rFonts w:hint="eastAsia" w:ascii="宋体" w:hAnsi="宋体" w:eastAsia="宋体" w:cs="宋体"/>
          <w:b/>
          <w:bCs/>
          <w:spacing w:val="-17"/>
          <w:sz w:val="36"/>
          <w:szCs w:val="36"/>
          <w:highlight w:val="none"/>
          <w:lang w:val="en-US" w:eastAsia="zh-CN"/>
        </w:rPr>
        <w:t>报价文件</w:t>
      </w:r>
    </w:p>
    <w:p>
      <w:pPr>
        <w:spacing w:line="360" w:lineRule="auto"/>
        <w:ind w:firstLine="387" w:firstLineChars="187"/>
        <w:rPr>
          <w:rFonts w:hint="eastAsia" w:ascii="宋体" w:hAnsi="宋体" w:eastAsia="宋体" w:cs="宋体"/>
          <w:szCs w:val="21"/>
          <w:highlight w:val="none"/>
          <w:u w:val="none"/>
        </w:rPr>
      </w:pPr>
      <w:r>
        <w:rPr>
          <w:rFonts w:hint="eastAsia" w:ascii="宋体" w:hAnsi="宋体" w:eastAsia="宋体" w:cs="宋体"/>
          <w:b/>
          <w:bCs/>
          <w:spacing w:val="-17"/>
          <w:sz w:val="24"/>
          <w:szCs w:val="24"/>
          <w:highlight w:val="none"/>
          <w:lang w:val="en-US" w:eastAsia="zh-CN"/>
        </w:rPr>
        <w:t>项目名称：</w:t>
      </w:r>
      <w:r>
        <w:rPr>
          <w:rFonts w:hint="eastAsia" w:ascii="宋体" w:hAnsi="宋体" w:eastAsia="宋体" w:cs="宋体"/>
          <w:b/>
          <w:bCs/>
          <w:spacing w:val="-17"/>
          <w:sz w:val="24"/>
          <w:szCs w:val="24"/>
          <w:highlight w:val="none"/>
          <w:u w:val="single"/>
          <w:lang w:val="en-US" w:eastAsia="zh-CN"/>
        </w:rPr>
        <w:t xml:space="preserve">                                 </w:t>
      </w:r>
      <w:r>
        <w:rPr>
          <w:rFonts w:hint="eastAsia" w:ascii="宋体" w:hAnsi="宋体" w:eastAsia="宋体" w:cs="宋体"/>
          <w:b/>
          <w:bCs/>
          <w:spacing w:val="-17"/>
          <w:sz w:val="24"/>
          <w:szCs w:val="24"/>
          <w:highlight w:val="none"/>
          <w:u w:val="none"/>
          <w:lang w:val="en-US" w:eastAsia="zh-CN"/>
        </w:rPr>
        <w:t>采购项目</w:t>
      </w:r>
      <w:r>
        <w:rPr>
          <w:rFonts w:hint="eastAsia" w:ascii="宋体" w:hAnsi="宋体" w:eastAsia="宋体" w:cs="宋体"/>
          <w:szCs w:val="21"/>
          <w:highlight w:val="none"/>
          <w:u w:val="none"/>
        </w:rPr>
        <w:t xml:space="preserve"> </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项目编号：</w:t>
      </w:r>
    </w:p>
    <w:p>
      <w:pPr>
        <w:snapToGrid w:val="0"/>
        <w:spacing w:line="600" w:lineRule="exact"/>
        <w:ind w:firstLine="414" w:firstLineChars="2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投标人名称（盖章）：</w:t>
      </w:r>
    </w:p>
    <w:p>
      <w:pPr>
        <w:snapToGrid w:val="0"/>
        <w:spacing w:line="600" w:lineRule="exact"/>
        <w:ind w:firstLine="414" w:firstLineChars="200"/>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投标人地址： </w:t>
      </w:r>
    </w:p>
    <w:p>
      <w:pPr>
        <w:snapToGrid w:val="0"/>
        <w:spacing w:line="600" w:lineRule="exact"/>
        <w:ind w:firstLine="5587" w:firstLineChars="2700"/>
        <w:jc w:val="both"/>
        <w:rPr>
          <w:rFonts w:hint="eastAsia"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 xml:space="preserve">年   月    日  </w:t>
      </w:r>
    </w:p>
    <w:p>
      <w:pPr>
        <w:snapToGrid w:val="0"/>
        <w:spacing w:line="600" w:lineRule="exact"/>
        <w:jc w:val="both"/>
        <w:rPr>
          <w:rFonts w:hint="default" w:ascii="宋体" w:hAnsi="宋体" w:eastAsia="宋体" w:cs="宋体"/>
          <w:b/>
          <w:bCs/>
          <w:spacing w:val="-17"/>
          <w:sz w:val="24"/>
          <w:szCs w:val="24"/>
          <w:highlight w:val="none"/>
          <w:lang w:val="en-US" w:eastAsia="zh-CN"/>
        </w:rPr>
      </w:pPr>
      <w:r>
        <w:rPr>
          <w:rFonts w:hint="eastAsia" w:ascii="宋体" w:hAnsi="宋体" w:eastAsia="宋体" w:cs="宋体"/>
          <w:b/>
          <w:bCs/>
          <w:spacing w:val="-17"/>
          <w:sz w:val="24"/>
          <w:szCs w:val="24"/>
          <w:highlight w:val="none"/>
          <w:lang w:val="en-US" w:eastAsia="zh-CN"/>
        </w:rPr>
        <w:t>6.报价文件</w:t>
      </w:r>
    </w:p>
    <w:p>
      <w:pPr>
        <w:pStyle w:val="107"/>
        <w:snapToGrid w:val="0"/>
        <w:spacing w:line="400" w:lineRule="exact"/>
        <w:jc w:val="center"/>
        <w:rPr>
          <w:rFonts w:hint="eastAsia"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目录</w:t>
      </w:r>
    </w:p>
    <w:p>
      <w:pPr>
        <w:pStyle w:val="107"/>
        <w:numPr>
          <w:ilvl w:val="0"/>
          <w:numId w:val="0"/>
        </w:numPr>
        <w:snapToGrid w:val="0"/>
        <w:spacing w:line="400" w:lineRule="exact"/>
        <w:jc w:val="distribute"/>
        <w:rPr>
          <w:rFonts w:hint="eastAsia" w:ascii="宋体" w:hAnsi="宋体"/>
          <w:sz w:val="24"/>
        </w:rPr>
      </w:pPr>
      <w:r>
        <w:rPr>
          <w:rFonts w:hint="eastAsia" w:hAnsi="宋体" w:eastAsia="宋体" w:cs="宋体"/>
          <w:b/>
          <w:bCs/>
          <w:spacing w:val="-17"/>
          <w:sz w:val="24"/>
          <w:szCs w:val="24"/>
          <w:highlight w:val="none"/>
          <w:lang w:val="en-US" w:eastAsia="zh-CN"/>
        </w:rPr>
        <w:t>（1）投标函</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（2）投标（开标）一览表</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（3）服务费用明细表</w:t>
      </w:r>
      <w:r>
        <w:rPr>
          <w:rFonts w:hint="eastAsia" w:ascii="宋体" w:hAnsi="宋体"/>
          <w:sz w:val="24"/>
        </w:rPr>
        <w:t>———————————————————————（页码）</w:t>
      </w:r>
    </w:p>
    <w:p>
      <w:pPr>
        <w:pStyle w:val="107"/>
        <w:snapToGrid w:val="0"/>
        <w:spacing w:line="400" w:lineRule="exact"/>
        <w:jc w:val="distribute"/>
        <w:rPr>
          <w:rFonts w:hint="default" w:hAnsi="宋体" w:eastAsia="宋体" w:cs="宋体"/>
          <w:b/>
          <w:bCs/>
          <w:spacing w:val="-17"/>
          <w:sz w:val="24"/>
          <w:szCs w:val="24"/>
          <w:highlight w:val="none"/>
          <w:lang w:val="en-US" w:eastAsia="zh-CN"/>
        </w:rPr>
      </w:pPr>
      <w:r>
        <w:rPr>
          <w:rFonts w:hint="eastAsia" w:hAnsi="宋体" w:eastAsia="宋体" w:cs="宋体"/>
          <w:b/>
          <w:bCs/>
          <w:spacing w:val="-17"/>
          <w:sz w:val="24"/>
          <w:szCs w:val="24"/>
          <w:highlight w:val="none"/>
          <w:lang w:val="en-US" w:eastAsia="zh-CN"/>
        </w:rPr>
        <w:t>（4）投标人认为需要的其他报价文件或说明</w:t>
      </w:r>
      <w:r>
        <w:rPr>
          <w:rFonts w:hint="eastAsia" w:ascii="宋体" w:hAnsi="宋体"/>
          <w:sz w:val="24"/>
        </w:rPr>
        <w:t>———————————————（页码）</w:t>
      </w:r>
    </w:p>
    <w:p>
      <w:pPr>
        <w:pStyle w:val="107"/>
        <w:snapToGrid w:val="0"/>
        <w:spacing w:line="400" w:lineRule="exact"/>
        <w:jc w:val="both"/>
        <w:rPr>
          <w:rFonts w:hint="eastAsia" w:hAnsi="宋体" w:eastAsia="宋体"/>
          <w:sz w:val="24"/>
          <w:lang w:val="en-US" w:eastAsia="zh-CN"/>
        </w:rPr>
      </w:pPr>
    </w:p>
    <w:p>
      <w:pPr>
        <w:pStyle w:val="107"/>
        <w:snapToGrid w:val="0"/>
        <w:spacing w:line="400" w:lineRule="exact"/>
        <w:jc w:val="both"/>
        <w:rPr>
          <w:rFonts w:hint="eastAsia" w:hAnsi="宋体" w:eastAsia="宋体"/>
          <w:sz w:val="24"/>
          <w:lang w:val="en-US" w:eastAsia="zh-CN"/>
        </w:rPr>
      </w:pPr>
    </w:p>
    <w:p>
      <w:pPr>
        <w:rPr>
          <w:rFonts w:hint="eastAsia"/>
          <w:sz w:val="24"/>
          <w:szCs w:val="24"/>
          <w:lang w:val="en-US" w:eastAsia="zh-CN"/>
        </w:rPr>
      </w:pPr>
      <w:r>
        <w:rPr>
          <w:rFonts w:hint="eastAsia"/>
          <w:sz w:val="24"/>
          <w:szCs w:val="24"/>
          <w:lang w:val="en-US" w:eastAsia="zh-CN"/>
        </w:rPr>
        <w:t>6.1投标函格式：</w:t>
      </w:r>
    </w:p>
    <w:p>
      <w:pPr>
        <w:jc w:val="center"/>
        <w:rPr>
          <w:rFonts w:hint="default"/>
          <w:sz w:val="24"/>
          <w:szCs w:val="24"/>
          <w:lang w:val="en-US" w:eastAsia="zh-CN"/>
        </w:rPr>
      </w:pPr>
      <w:r>
        <w:rPr>
          <w:rFonts w:hint="eastAsia" w:hAnsi="宋体" w:eastAsia="宋体"/>
          <w:b/>
          <w:sz w:val="24"/>
          <w:szCs w:val="24"/>
          <w:lang w:val="en-US" w:eastAsia="zh-CN"/>
        </w:rPr>
        <w:t>投标函</w:t>
      </w:r>
    </w:p>
    <w:p>
      <w:pPr>
        <w:pStyle w:val="13"/>
        <w:spacing w:line="440" w:lineRule="exact"/>
        <w:ind w:left="0" w:leftChars="0" w:firstLine="0" w:firstLineChars="0"/>
        <w:rPr>
          <w:rFonts w:hint="eastAsia" w:ascii="宋体" w:eastAsia="宋体"/>
          <w:kern w:val="2"/>
          <w:sz w:val="21"/>
          <w:szCs w:val="21"/>
          <w:u w:val="single"/>
          <w:lang w:eastAsia="zh-CN"/>
        </w:rPr>
      </w:pPr>
      <w:r>
        <w:rPr>
          <w:rFonts w:hint="eastAsia" w:ascii="宋体"/>
          <w:kern w:val="2"/>
          <w:sz w:val="21"/>
          <w:szCs w:val="21"/>
        </w:rPr>
        <w:t>致：</w:t>
      </w:r>
      <w:r>
        <w:rPr>
          <w:rFonts w:hint="eastAsia" w:ascii="宋体"/>
          <w:kern w:val="2"/>
          <w:sz w:val="21"/>
          <w:szCs w:val="21"/>
          <w:u w:val="single"/>
          <w:lang w:val="en-US" w:eastAsia="zh-CN"/>
        </w:rPr>
        <w:t xml:space="preserve">              </w:t>
      </w:r>
      <w:r>
        <w:rPr>
          <w:rFonts w:hint="eastAsia" w:ascii="宋体"/>
          <w:kern w:val="2"/>
          <w:sz w:val="21"/>
          <w:szCs w:val="21"/>
        </w:rPr>
        <w:t>（</w:t>
      </w:r>
      <w:r>
        <w:rPr>
          <w:rFonts w:hint="eastAsia" w:ascii="宋体"/>
          <w:kern w:val="2"/>
          <w:sz w:val="21"/>
          <w:szCs w:val="21"/>
          <w:lang w:val="en-US" w:eastAsia="zh-CN"/>
        </w:rPr>
        <w:t>招标采购单位名称</w:t>
      </w:r>
      <w:r>
        <w:rPr>
          <w:rFonts w:hint="eastAsia" w:ascii="宋体"/>
          <w:kern w:val="2"/>
          <w:sz w:val="21"/>
          <w:szCs w:val="21"/>
        </w:rPr>
        <w:t>）</w:t>
      </w:r>
      <w:r>
        <w:rPr>
          <w:rFonts w:hint="eastAsia" w:ascii="宋体"/>
          <w:kern w:val="2"/>
          <w:sz w:val="21"/>
          <w:szCs w:val="21"/>
          <w:lang w:eastAsia="zh-CN"/>
        </w:rPr>
        <w:t>：</w:t>
      </w:r>
    </w:p>
    <w:p>
      <w:pPr>
        <w:snapToGrid w:val="0"/>
        <w:spacing w:line="440" w:lineRule="exact"/>
        <w:ind w:firstLine="420" w:firstLineChars="200"/>
        <w:rPr>
          <w:rFonts w:hint="eastAsia" w:ascii="宋体"/>
          <w:sz w:val="21"/>
          <w:szCs w:val="21"/>
        </w:rPr>
      </w:pPr>
      <w:r>
        <w:rPr>
          <w:rFonts w:hint="eastAsia" w:ascii="宋体"/>
          <w:sz w:val="21"/>
          <w:szCs w:val="21"/>
        </w:rPr>
        <w:t>根据贵方对</w:t>
      </w:r>
      <w:r>
        <w:rPr>
          <w:rFonts w:hint="eastAsia" w:ascii="宋体"/>
          <w:sz w:val="21"/>
          <w:szCs w:val="21"/>
          <w:u w:val="single"/>
        </w:rPr>
        <w:t xml:space="preserve">  </w:t>
      </w:r>
      <w:r>
        <w:rPr>
          <w:rFonts w:hint="eastAsia"/>
          <w:bCs/>
          <w:sz w:val="21"/>
          <w:szCs w:val="21"/>
          <w:u w:val="single"/>
        </w:rPr>
        <w:t xml:space="preserve">          </w:t>
      </w:r>
      <w:r>
        <w:rPr>
          <w:rFonts w:hint="eastAsia" w:ascii="宋体"/>
          <w:sz w:val="21"/>
          <w:szCs w:val="21"/>
        </w:rPr>
        <w:t>项目招标（招标编号：</w:t>
      </w:r>
      <w:r>
        <w:rPr>
          <w:rFonts w:hint="eastAsia"/>
          <w:bCs/>
          <w:sz w:val="21"/>
          <w:szCs w:val="21"/>
          <w:u w:val="single"/>
        </w:rPr>
        <w:t xml:space="preserve">                  </w:t>
      </w:r>
      <w:r>
        <w:rPr>
          <w:rFonts w:hint="eastAsia" w:ascii="宋体"/>
          <w:sz w:val="21"/>
          <w:szCs w:val="21"/>
        </w:rPr>
        <w:t>，</w:t>
      </w:r>
      <w:r>
        <w:rPr>
          <w:rFonts w:hint="eastAsia" w:ascii="宋体"/>
          <w:spacing w:val="-8"/>
          <w:sz w:val="21"/>
          <w:szCs w:val="21"/>
        </w:rPr>
        <w:t>正式授权下述签字人</w:t>
      </w:r>
      <w:r>
        <w:rPr>
          <w:rFonts w:hint="eastAsia" w:ascii="宋体"/>
          <w:spacing w:val="-8"/>
          <w:sz w:val="21"/>
          <w:szCs w:val="21"/>
          <w:u w:val="single"/>
        </w:rPr>
        <w:t xml:space="preserve">                                 </w:t>
      </w:r>
      <w:r>
        <w:rPr>
          <w:rFonts w:hint="eastAsia" w:ascii="宋体"/>
          <w:sz w:val="21"/>
          <w:szCs w:val="21"/>
        </w:rPr>
        <w:t>代表</w:t>
      </w:r>
      <w:r>
        <w:rPr>
          <w:rFonts w:hint="eastAsia" w:ascii="宋体"/>
          <w:sz w:val="21"/>
          <w:szCs w:val="21"/>
          <w:u w:val="single"/>
        </w:rPr>
        <w:t xml:space="preserve">              </w:t>
      </w:r>
      <w:r>
        <w:rPr>
          <w:rFonts w:hint="eastAsia" w:ascii="宋体"/>
          <w:sz w:val="21"/>
          <w:szCs w:val="21"/>
        </w:rPr>
        <w:t>，向贵方提</w:t>
      </w:r>
      <w:r>
        <w:rPr>
          <w:rFonts w:hint="eastAsia" w:ascii="宋体"/>
          <w:spacing w:val="-8"/>
          <w:sz w:val="21"/>
          <w:szCs w:val="21"/>
        </w:rPr>
        <w:t>交提交</w:t>
      </w:r>
      <w:r>
        <w:rPr>
          <w:rFonts w:hint="eastAsia" w:ascii="宋体"/>
          <w:spacing w:val="-8"/>
          <w:sz w:val="21"/>
          <w:szCs w:val="21"/>
          <w:lang w:val="en-US" w:eastAsia="zh-CN"/>
        </w:rPr>
        <w:t>资信商务及技术文件</w:t>
      </w:r>
      <w:r>
        <w:rPr>
          <w:rFonts w:hint="eastAsia" w:ascii="宋体"/>
          <w:spacing w:val="-8"/>
          <w:sz w:val="21"/>
          <w:szCs w:val="21"/>
        </w:rPr>
        <w:t>、</w:t>
      </w:r>
      <w:r>
        <w:rPr>
          <w:rFonts w:hint="eastAsia" w:ascii="宋体"/>
          <w:spacing w:val="-8"/>
          <w:sz w:val="21"/>
          <w:szCs w:val="21"/>
          <w:lang w:val="en-US" w:eastAsia="zh-CN"/>
        </w:rPr>
        <w:t>报价文件</w:t>
      </w:r>
      <w:r>
        <w:rPr>
          <w:rFonts w:hint="eastAsia" w:ascii="宋体"/>
          <w:spacing w:val="-8"/>
          <w:sz w:val="21"/>
          <w:szCs w:val="21"/>
        </w:rPr>
        <w:t>电子投标各一份，</w:t>
      </w:r>
      <w:r>
        <w:rPr>
          <w:rFonts w:hint="eastAsia" w:ascii="宋体"/>
          <w:sz w:val="21"/>
          <w:szCs w:val="21"/>
        </w:rPr>
        <w:t>并保证所提交的资料是真实的、准确的，并为我方的一切投标行为作郑重承诺及声明如下：</w:t>
      </w:r>
    </w:p>
    <w:p>
      <w:pPr>
        <w:pStyle w:val="13"/>
        <w:spacing w:line="440" w:lineRule="exact"/>
        <w:rPr>
          <w:rFonts w:hint="eastAsia" w:ascii="宋体"/>
          <w:sz w:val="21"/>
          <w:szCs w:val="21"/>
        </w:rPr>
      </w:pPr>
      <w:r>
        <w:rPr>
          <w:rFonts w:hint="eastAsia" w:ascii="宋体"/>
          <w:sz w:val="21"/>
          <w:szCs w:val="21"/>
        </w:rPr>
        <w:t>1、我方已认真阅读了全部招标文件及其相关文件，完全清楚理解其内容要求及规约，对文件的合理性、公正性和程序安排均没有任何异议、质疑和误解之处。</w:t>
      </w:r>
    </w:p>
    <w:p>
      <w:pPr>
        <w:pStyle w:val="13"/>
        <w:spacing w:line="440" w:lineRule="exact"/>
        <w:rPr>
          <w:rFonts w:hint="eastAsia" w:ascii="宋体"/>
          <w:sz w:val="21"/>
          <w:szCs w:val="21"/>
        </w:rPr>
      </w:pPr>
      <w:r>
        <w:rPr>
          <w:rFonts w:hint="eastAsia" w:ascii="宋体"/>
          <w:sz w:val="21"/>
          <w:szCs w:val="21"/>
        </w:rPr>
        <w:t>2、我方所提供的一切文件均已经过认真、严格的审核，其内容已充分表达了我方的真实意愿，没有任何遗漏、虚假、侵权之处，若出现违背诚实信用和商业道德之行为，愿独自承担相应的法律责任。</w:t>
      </w:r>
    </w:p>
    <w:p>
      <w:pPr>
        <w:pStyle w:val="13"/>
        <w:spacing w:line="440" w:lineRule="exact"/>
        <w:rPr>
          <w:rFonts w:hint="eastAsia" w:ascii="宋体"/>
          <w:sz w:val="21"/>
          <w:szCs w:val="21"/>
        </w:rPr>
      </w:pPr>
      <w:r>
        <w:rPr>
          <w:rFonts w:hint="eastAsia" w:ascii="宋体"/>
          <w:sz w:val="21"/>
          <w:szCs w:val="21"/>
        </w:rPr>
        <w:t>3、投标自开标日起有效期为</w:t>
      </w:r>
      <w:r>
        <w:rPr>
          <w:rFonts w:hint="eastAsia" w:ascii="宋体"/>
          <w:sz w:val="21"/>
          <w:szCs w:val="21"/>
          <w:u w:val="single"/>
        </w:rPr>
        <w:t>90个日历天</w:t>
      </w:r>
      <w:r>
        <w:rPr>
          <w:rFonts w:hint="eastAsia" w:ascii="宋体"/>
          <w:sz w:val="21"/>
          <w:szCs w:val="21"/>
        </w:rPr>
        <w:t>。若我方中标，投标有效期相应延长至到项目验收通过之日。不论在任何时候，定将按贵方的要求在规定时间内如实提供一切补充材料。</w:t>
      </w:r>
    </w:p>
    <w:p>
      <w:pPr>
        <w:pStyle w:val="13"/>
        <w:spacing w:line="440" w:lineRule="exact"/>
        <w:rPr>
          <w:rFonts w:hint="eastAsia" w:ascii="宋体"/>
          <w:sz w:val="21"/>
          <w:szCs w:val="21"/>
        </w:rPr>
      </w:pPr>
      <w:r>
        <w:rPr>
          <w:rFonts w:hint="eastAsia" w:ascii="宋体"/>
          <w:sz w:val="21"/>
          <w:szCs w:val="21"/>
        </w:rPr>
        <w:t>4、完全服从和尊重评委会所作的评审结果，同时清楚理解到仅凭投标报价并非是决定中标资格的唯一重要依据。</w:t>
      </w:r>
    </w:p>
    <w:p>
      <w:pPr>
        <w:pStyle w:val="13"/>
        <w:spacing w:line="440" w:lineRule="exact"/>
        <w:rPr>
          <w:rFonts w:hint="eastAsia" w:ascii="宋体"/>
          <w:sz w:val="21"/>
          <w:szCs w:val="21"/>
        </w:rPr>
      </w:pPr>
      <w:r>
        <w:rPr>
          <w:rFonts w:hint="eastAsia" w:ascii="宋体"/>
          <w:sz w:val="21"/>
          <w:szCs w:val="21"/>
        </w:rPr>
        <w:t>5、同意按招标文件的要求认真履行中标人的义务，若我方行为不当而损害了采购人的合法权益，我方愿在任何时候无条件承担相应的缔约过失责任和经济赔偿。</w:t>
      </w:r>
    </w:p>
    <w:p>
      <w:pPr>
        <w:pStyle w:val="13"/>
        <w:spacing w:line="440" w:lineRule="exact"/>
        <w:rPr>
          <w:rFonts w:hint="eastAsia" w:ascii="宋体"/>
          <w:sz w:val="21"/>
          <w:szCs w:val="21"/>
        </w:rPr>
      </w:pPr>
      <w:r>
        <w:rPr>
          <w:rFonts w:hint="eastAsia" w:ascii="宋体"/>
          <w:sz w:val="21"/>
          <w:szCs w:val="21"/>
        </w:rPr>
        <w:t>6、我方声明：我方在参与本次政府采购活动的近三年来未曾有出现重大违法记录。</w:t>
      </w:r>
    </w:p>
    <w:p>
      <w:pPr>
        <w:pStyle w:val="13"/>
        <w:spacing w:line="440" w:lineRule="exact"/>
        <w:ind w:firstLine="525" w:firstLineChars="250"/>
        <w:rPr>
          <w:rFonts w:hint="eastAsia" w:ascii="宋体"/>
          <w:sz w:val="21"/>
          <w:szCs w:val="21"/>
        </w:rPr>
      </w:pPr>
      <w:r>
        <w:rPr>
          <w:rFonts w:hint="eastAsia" w:ascii="宋体"/>
          <w:sz w:val="21"/>
          <w:szCs w:val="21"/>
        </w:rPr>
        <w:t>与本投标有关的正式通讯地址为：</w:t>
      </w:r>
    </w:p>
    <w:p>
      <w:pPr>
        <w:pStyle w:val="13"/>
        <w:spacing w:line="440" w:lineRule="exact"/>
        <w:ind w:firstLine="525" w:firstLineChars="250"/>
        <w:rPr>
          <w:rFonts w:hint="eastAsia" w:ascii="宋体"/>
          <w:sz w:val="21"/>
          <w:szCs w:val="21"/>
        </w:rPr>
      </w:pPr>
      <w:r>
        <w:rPr>
          <w:rFonts w:hint="eastAsia" w:ascii="宋体"/>
          <w:sz w:val="21"/>
          <w:szCs w:val="21"/>
        </w:rPr>
        <w:t>地址：</w:t>
      </w:r>
      <w:r>
        <w:rPr>
          <w:rFonts w:hint="eastAsia" w:ascii="宋体"/>
          <w:sz w:val="21"/>
          <w:szCs w:val="21"/>
          <w:u w:val="single"/>
        </w:rPr>
        <w:t xml:space="preserve">                                        </w:t>
      </w:r>
    </w:p>
    <w:p>
      <w:pPr>
        <w:pStyle w:val="13"/>
        <w:spacing w:line="440" w:lineRule="exact"/>
        <w:ind w:firstLine="525" w:firstLineChars="250"/>
        <w:rPr>
          <w:rFonts w:hint="eastAsia" w:ascii="宋体"/>
          <w:sz w:val="21"/>
          <w:szCs w:val="21"/>
          <w:u w:val="single"/>
        </w:rPr>
      </w:pPr>
      <w:r>
        <w:rPr>
          <w:rFonts w:hint="eastAsia" w:ascii="宋体"/>
          <w:sz w:val="21"/>
          <w:szCs w:val="21"/>
        </w:rPr>
        <w:t>邮政编码：</w:t>
      </w:r>
      <w:r>
        <w:rPr>
          <w:rFonts w:hint="eastAsia" w:ascii="宋体"/>
          <w:sz w:val="21"/>
          <w:szCs w:val="21"/>
          <w:u w:val="single"/>
        </w:rPr>
        <w:t xml:space="preserve">                                    </w:t>
      </w:r>
    </w:p>
    <w:p>
      <w:pPr>
        <w:pStyle w:val="13"/>
        <w:spacing w:line="440" w:lineRule="exact"/>
        <w:ind w:firstLine="525" w:firstLineChars="250"/>
        <w:rPr>
          <w:rFonts w:hint="eastAsia" w:ascii="宋体"/>
          <w:sz w:val="21"/>
          <w:szCs w:val="21"/>
        </w:rPr>
      </w:pPr>
      <w:r>
        <w:rPr>
          <w:rFonts w:hint="eastAsia" w:ascii="宋体"/>
          <w:sz w:val="21"/>
          <w:szCs w:val="21"/>
        </w:rPr>
        <w:t>电话：</w:t>
      </w:r>
      <w:r>
        <w:rPr>
          <w:rFonts w:hint="eastAsia" w:ascii="宋体"/>
          <w:sz w:val="21"/>
          <w:szCs w:val="21"/>
          <w:u w:val="single"/>
        </w:rPr>
        <w:t xml:space="preserve">                                        </w:t>
      </w:r>
    </w:p>
    <w:p>
      <w:pPr>
        <w:pStyle w:val="13"/>
        <w:spacing w:line="440" w:lineRule="exact"/>
        <w:ind w:firstLine="525" w:firstLineChars="250"/>
        <w:rPr>
          <w:rFonts w:hint="eastAsia" w:ascii="宋体"/>
          <w:sz w:val="21"/>
          <w:szCs w:val="21"/>
          <w:u w:val="single"/>
        </w:rPr>
      </w:pPr>
      <w:r>
        <w:rPr>
          <w:rFonts w:hint="eastAsia" w:ascii="宋体"/>
          <w:sz w:val="21"/>
          <w:szCs w:val="21"/>
        </w:rPr>
        <w:t>传真：</w:t>
      </w:r>
      <w:r>
        <w:rPr>
          <w:rFonts w:hint="eastAsia" w:ascii="宋体"/>
          <w:sz w:val="21"/>
          <w:szCs w:val="21"/>
          <w:u w:val="single"/>
        </w:rPr>
        <w:t xml:space="preserve">                                        </w:t>
      </w:r>
    </w:p>
    <w:p>
      <w:pPr>
        <w:pStyle w:val="13"/>
        <w:spacing w:line="440" w:lineRule="exact"/>
        <w:ind w:firstLine="525" w:firstLineChars="250"/>
        <w:rPr>
          <w:rFonts w:hint="eastAsia" w:ascii="宋体"/>
          <w:sz w:val="21"/>
          <w:szCs w:val="21"/>
        </w:rPr>
      </w:pPr>
      <w:r>
        <w:rPr>
          <w:rFonts w:hint="eastAsia" w:ascii="宋体"/>
          <w:sz w:val="21"/>
          <w:szCs w:val="21"/>
        </w:rPr>
        <w:t>投标人法定代表人姓名：</w:t>
      </w:r>
      <w:r>
        <w:rPr>
          <w:rFonts w:hint="eastAsia" w:ascii="宋体"/>
          <w:sz w:val="21"/>
          <w:szCs w:val="21"/>
          <w:u w:val="single"/>
        </w:rPr>
        <w:t xml:space="preserve">                        </w:t>
      </w:r>
      <w:r>
        <w:rPr>
          <w:rFonts w:hint="eastAsia" w:ascii="宋体"/>
          <w:sz w:val="21"/>
          <w:szCs w:val="21"/>
        </w:rPr>
        <w:t xml:space="preserve">     </w:t>
      </w:r>
    </w:p>
    <w:p>
      <w:pPr>
        <w:pStyle w:val="13"/>
        <w:spacing w:line="440" w:lineRule="exact"/>
        <w:ind w:firstLine="525" w:firstLineChars="250"/>
        <w:rPr>
          <w:rFonts w:hint="eastAsia" w:ascii="宋体"/>
          <w:sz w:val="21"/>
          <w:szCs w:val="21"/>
        </w:rPr>
      </w:pPr>
      <w:r>
        <w:rPr>
          <w:rFonts w:hint="eastAsia" w:ascii="宋体"/>
          <w:sz w:val="21"/>
          <w:szCs w:val="21"/>
        </w:rPr>
        <w:t xml:space="preserve">地址：                       </w:t>
      </w:r>
    </w:p>
    <w:p>
      <w:pPr>
        <w:pStyle w:val="13"/>
        <w:spacing w:line="440" w:lineRule="exact"/>
        <w:ind w:firstLine="525" w:firstLineChars="250"/>
        <w:rPr>
          <w:rFonts w:hint="eastAsia" w:ascii="宋体"/>
          <w:sz w:val="21"/>
          <w:szCs w:val="21"/>
        </w:rPr>
      </w:pPr>
      <w:r>
        <w:rPr>
          <w:rFonts w:hint="eastAsia" w:ascii="宋体"/>
          <w:sz w:val="21"/>
          <w:szCs w:val="21"/>
        </w:rPr>
        <w:t>投标人全权代表姓名、职务：</w:t>
      </w:r>
      <w:r>
        <w:rPr>
          <w:rFonts w:hint="eastAsia" w:ascii="宋体"/>
          <w:sz w:val="21"/>
          <w:szCs w:val="21"/>
          <w:u w:val="single"/>
        </w:rPr>
        <w:t xml:space="preserve">           </w:t>
      </w:r>
    </w:p>
    <w:p>
      <w:pPr>
        <w:pStyle w:val="13"/>
        <w:spacing w:line="440" w:lineRule="exact"/>
        <w:ind w:firstLine="525" w:firstLineChars="250"/>
        <w:rPr>
          <w:rFonts w:hint="eastAsia" w:ascii="宋体"/>
          <w:sz w:val="21"/>
          <w:szCs w:val="21"/>
        </w:rPr>
      </w:pPr>
      <w:r>
        <w:rPr>
          <w:rFonts w:hint="eastAsia" w:ascii="宋体"/>
          <w:sz w:val="21"/>
          <w:szCs w:val="21"/>
        </w:rPr>
        <w:t>投标人名称：</w:t>
      </w:r>
      <w:r>
        <w:rPr>
          <w:rFonts w:hint="eastAsia" w:ascii="宋体"/>
          <w:sz w:val="21"/>
          <w:szCs w:val="21"/>
          <w:u w:val="single"/>
        </w:rPr>
        <w:t xml:space="preserve">                                  </w:t>
      </w:r>
    </w:p>
    <w:p>
      <w:pPr>
        <w:pStyle w:val="13"/>
        <w:spacing w:line="440" w:lineRule="exact"/>
        <w:rPr>
          <w:rFonts w:hint="eastAsia" w:ascii="宋体"/>
          <w:sz w:val="21"/>
          <w:szCs w:val="21"/>
        </w:rPr>
      </w:pPr>
      <w:r>
        <w:rPr>
          <w:rFonts w:hint="eastAsia" w:ascii="宋体"/>
          <w:sz w:val="21"/>
          <w:szCs w:val="21"/>
        </w:rPr>
        <w:t>（公章）：</w:t>
      </w:r>
      <w:r>
        <w:rPr>
          <w:rFonts w:hint="eastAsia" w:ascii="宋体"/>
          <w:sz w:val="21"/>
          <w:szCs w:val="21"/>
          <w:u w:val="single"/>
        </w:rPr>
        <w:t xml:space="preserve">                                      </w:t>
      </w:r>
      <w:r>
        <w:rPr>
          <w:rFonts w:hint="eastAsia" w:ascii="宋体"/>
          <w:sz w:val="21"/>
          <w:szCs w:val="21"/>
        </w:rPr>
        <w:t xml:space="preserve">   </w:t>
      </w:r>
    </w:p>
    <w:p>
      <w:pPr>
        <w:pStyle w:val="13"/>
        <w:spacing w:line="440" w:lineRule="exact"/>
        <w:ind w:firstLine="525" w:firstLineChars="250"/>
        <w:rPr>
          <w:rFonts w:hint="eastAsia" w:ascii="宋体"/>
          <w:sz w:val="21"/>
          <w:szCs w:val="21"/>
        </w:rPr>
      </w:pPr>
      <w:r>
        <w:rPr>
          <w:rFonts w:hint="eastAsia" w:ascii="宋体"/>
          <w:sz w:val="21"/>
          <w:szCs w:val="21"/>
          <w:lang w:val="en-US" w:eastAsia="zh-CN"/>
        </w:rPr>
        <w:t>授权</w:t>
      </w:r>
      <w:r>
        <w:rPr>
          <w:rFonts w:hint="eastAsia" w:ascii="宋体"/>
          <w:sz w:val="21"/>
          <w:szCs w:val="21"/>
        </w:rPr>
        <w:t>代表（签字或盖章）：</w:t>
      </w:r>
    </w:p>
    <w:p>
      <w:pPr>
        <w:pStyle w:val="13"/>
        <w:spacing w:line="440" w:lineRule="exact"/>
        <w:ind w:firstLine="525" w:firstLineChars="250"/>
        <w:rPr>
          <w:rFonts w:hint="eastAsia" w:ascii="宋体"/>
          <w:sz w:val="21"/>
          <w:szCs w:val="21"/>
        </w:rPr>
      </w:pPr>
      <w:r>
        <w:rPr>
          <w:rFonts w:hint="eastAsia" w:ascii="宋体"/>
          <w:sz w:val="21"/>
          <w:szCs w:val="21"/>
        </w:rPr>
        <w:t>日期：</w:t>
      </w:r>
      <w:r>
        <w:rPr>
          <w:rFonts w:hint="eastAsia" w:ascii="宋体"/>
          <w:sz w:val="21"/>
          <w:szCs w:val="21"/>
          <w:u w:val="single"/>
        </w:rPr>
        <w:t xml:space="preserve">     </w:t>
      </w:r>
      <w:r>
        <w:rPr>
          <w:rFonts w:hint="eastAsia" w:ascii="宋体"/>
          <w:sz w:val="21"/>
          <w:szCs w:val="21"/>
        </w:rPr>
        <w:t xml:space="preserve"> 年</w:t>
      </w:r>
      <w:r>
        <w:rPr>
          <w:rFonts w:hint="eastAsia" w:ascii="宋体"/>
          <w:sz w:val="21"/>
          <w:szCs w:val="21"/>
          <w:u w:val="single"/>
        </w:rPr>
        <w:t xml:space="preserve">     </w:t>
      </w:r>
      <w:r>
        <w:rPr>
          <w:rFonts w:hint="eastAsia" w:ascii="宋体"/>
          <w:sz w:val="21"/>
          <w:szCs w:val="21"/>
        </w:rPr>
        <w:t xml:space="preserve">月 </w:t>
      </w:r>
      <w:r>
        <w:rPr>
          <w:rFonts w:hint="eastAsia" w:ascii="宋体"/>
          <w:sz w:val="21"/>
          <w:szCs w:val="21"/>
          <w:u w:val="single"/>
        </w:rPr>
        <w:t xml:space="preserve">     </w:t>
      </w:r>
      <w:r>
        <w:rPr>
          <w:rFonts w:hint="eastAsia" w:ascii="宋体"/>
          <w:sz w:val="21"/>
          <w:szCs w:val="21"/>
        </w:rPr>
        <w:t>日</w:t>
      </w:r>
    </w:p>
    <w:p>
      <w:pPr>
        <w:pStyle w:val="13"/>
        <w:spacing w:line="440" w:lineRule="exact"/>
        <w:ind w:firstLine="525" w:firstLineChars="250"/>
        <w:rPr>
          <w:rFonts w:hint="eastAsia" w:ascii="宋体"/>
          <w:sz w:val="21"/>
          <w:szCs w:val="21"/>
        </w:rPr>
      </w:pPr>
    </w:p>
    <w:p>
      <w:pPr>
        <w:pStyle w:val="13"/>
        <w:spacing w:line="440" w:lineRule="exact"/>
        <w:ind w:firstLine="525" w:firstLineChars="250"/>
        <w:rPr>
          <w:rFonts w:hint="eastAsia" w:ascii="宋体"/>
          <w:sz w:val="21"/>
          <w:szCs w:val="21"/>
        </w:rPr>
      </w:pPr>
    </w:p>
    <w:p>
      <w:pPr>
        <w:pStyle w:val="13"/>
        <w:spacing w:line="440" w:lineRule="exact"/>
        <w:ind w:firstLine="525" w:firstLineChars="250"/>
        <w:rPr>
          <w:rFonts w:hint="eastAsia" w:ascii="宋体"/>
          <w:sz w:val="21"/>
          <w:szCs w:val="21"/>
        </w:rPr>
      </w:pPr>
    </w:p>
    <w:p>
      <w:pPr>
        <w:pStyle w:val="13"/>
        <w:spacing w:line="440" w:lineRule="exact"/>
        <w:ind w:firstLine="525" w:firstLineChars="250"/>
        <w:rPr>
          <w:rFonts w:hint="eastAsia" w:ascii="宋体"/>
          <w:sz w:val="21"/>
          <w:szCs w:val="21"/>
        </w:rPr>
      </w:pPr>
    </w:p>
    <w:p>
      <w:pPr>
        <w:rPr>
          <w:rFonts w:hint="eastAsia" w:ascii="宋体" w:eastAsia="宋体"/>
          <w:b w:val="0"/>
          <w:bCs/>
          <w:sz w:val="21"/>
          <w:szCs w:val="21"/>
        </w:rPr>
      </w:pPr>
    </w:p>
    <w:p>
      <w:pPr>
        <w:rPr>
          <w:rFonts w:hint="eastAsia"/>
          <w:sz w:val="24"/>
          <w:szCs w:val="24"/>
          <w:lang w:val="en-US" w:eastAsia="zh-CN"/>
        </w:rPr>
      </w:pPr>
      <w:r>
        <w:rPr>
          <w:rFonts w:hint="eastAsia"/>
          <w:sz w:val="24"/>
          <w:szCs w:val="24"/>
          <w:lang w:val="en-US" w:eastAsia="zh-CN"/>
        </w:rPr>
        <w:t>6.2投标（开标）一览表格式：</w:t>
      </w:r>
    </w:p>
    <w:p>
      <w:pPr>
        <w:jc w:val="center"/>
        <w:rPr>
          <w:rFonts w:hint="eastAsia" w:hAnsi="宋体" w:eastAsia="宋体"/>
          <w:b/>
          <w:sz w:val="24"/>
          <w:szCs w:val="24"/>
          <w:lang w:val="en-US" w:eastAsia="zh-CN"/>
        </w:rPr>
      </w:pPr>
      <w:r>
        <w:rPr>
          <w:rFonts w:hint="eastAsia" w:hAnsi="宋体" w:eastAsia="宋体"/>
          <w:b/>
          <w:sz w:val="24"/>
          <w:szCs w:val="24"/>
          <w:lang w:val="en-US" w:eastAsia="zh-CN"/>
        </w:rPr>
        <w:t>投标（开标）一览表</w:t>
      </w:r>
    </w:p>
    <w:p>
      <w:pPr>
        <w:jc w:val="both"/>
        <w:rPr>
          <w:rFonts w:hint="eastAsia" w:ascii="宋体" w:hAnsi="宋体" w:eastAsia="宋体" w:cs="宋体"/>
          <w:b w:val="0"/>
          <w:bCs/>
          <w:sz w:val="24"/>
          <w:szCs w:val="24"/>
          <w:lang w:val="en-US" w:eastAsia="zh-CN"/>
        </w:rPr>
      </w:pPr>
    </w:p>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项目编号：</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 xml:space="preserve">                                               单位：元</w:t>
      </w:r>
    </w:p>
    <w:p>
      <w:pPr>
        <w:jc w:val="both"/>
        <w:rPr>
          <w:rFonts w:hint="eastAsia" w:ascii="宋体" w:hAnsi="宋体" w:eastAsia="宋体" w:cs="宋体"/>
          <w:b w:val="0"/>
          <w:bCs/>
          <w:sz w:val="21"/>
          <w:szCs w:val="21"/>
          <w:lang w:val="en-US"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37"/>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1" w:hRule="atLeast"/>
        </w:trPr>
        <w:tc>
          <w:tcPr>
            <w:tcW w:w="1737" w:type="dxa"/>
            <w:noWrap w:val="0"/>
            <w:vAlign w:val="center"/>
          </w:tcPr>
          <w:p>
            <w:pPr>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项目名称</w:t>
            </w:r>
          </w:p>
        </w:tc>
        <w:tc>
          <w:tcPr>
            <w:tcW w:w="6791" w:type="dxa"/>
            <w:noWrap w:val="0"/>
            <w:vAlign w:val="center"/>
          </w:tcPr>
          <w:p>
            <w:pPr>
              <w:jc w:val="center"/>
              <w:rPr>
                <w:rFonts w:hint="eastAsia" w:ascii="宋体" w:hAnsi="宋体" w:eastAsia="宋体" w:cs="宋体"/>
                <w:b w:val="0"/>
                <w:bCs/>
                <w:sz w:val="21"/>
                <w:szCs w:val="21"/>
                <w:vertAlign w:val="baseline"/>
                <w:lang w:val="en-US" w:eastAsia="zh-CN"/>
              </w:rPr>
            </w:pPr>
          </w:p>
          <w:p>
            <w:pPr>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嘉兴市港区乍浦农贸海鲜城物业管理项目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737" w:type="dxa"/>
            <w:noWrap w:val="0"/>
            <w:vAlign w:val="center"/>
          </w:tcPr>
          <w:p>
            <w:pPr>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投标报价</w:t>
            </w:r>
          </w:p>
        </w:tc>
        <w:tc>
          <w:tcPr>
            <w:tcW w:w="6791" w:type="dxa"/>
            <w:noWrap w:val="0"/>
            <w:vAlign w:val="center"/>
          </w:tcPr>
          <w:p>
            <w:pPr>
              <w:jc w:val="left"/>
              <w:rPr>
                <w:rFonts w:hint="eastAsia" w:ascii="宋体" w:hAnsi="宋体" w:eastAsia="宋体" w:cs="宋体"/>
                <w:b w:val="0"/>
                <w:bCs/>
                <w:sz w:val="21"/>
                <w:szCs w:val="21"/>
                <w:u w:val="none"/>
                <w:vertAlign w:val="baseline"/>
                <w:lang w:val="en-US" w:eastAsia="zh-CN"/>
              </w:rPr>
            </w:pPr>
            <w:r>
              <w:rPr>
                <w:rFonts w:hint="eastAsia" w:ascii="宋体" w:hAnsi="宋体" w:eastAsia="宋体" w:cs="宋体"/>
                <w:b w:val="0"/>
                <w:bCs/>
                <w:sz w:val="21"/>
                <w:szCs w:val="21"/>
                <w:vertAlign w:val="baseline"/>
                <w:lang w:val="en-US" w:eastAsia="zh-CN"/>
              </w:rPr>
              <w:t>投标总价小写：</w:t>
            </w:r>
            <w:r>
              <w:rPr>
                <w:rFonts w:hint="eastAsia" w:ascii="宋体" w:hAnsi="宋体" w:eastAsia="宋体" w:cs="宋体"/>
                <w:b w:val="0"/>
                <w:bCs/>
                <w:sz w:val="21"/>
                <w:szCs w:val="21"/>
                <w:u w:val="single"/>
                <w:vertAlign w:val="baseline"/>
                <w:lang w:val="en-US" w:eastAsia="zh-CN"/>
              </w:rPr>
              <w:t xml:space="preserve">       </w:t>
            </w:r>
            <w:r>
              <w:rPr>
                <w:rFonts w:hint="eastAsia" w:ascii="宋体" w:hAnsi="宋体" w:eastAsia="宋体" w:cs="宋体"/>
                <w:b w:val="0"/>
                <w:bCs/>
                <w:sz w:val="21"/>
                <w:szCs w:val="21"/>
                <w:u w:val="none"/>
                <w:vertAlign w:val="baseline"/>
                <w:lang w:val="en-US" w:eastAsia="zh-CN"/>
              </w:rPr>
              <w:t>元/年</w:t>
            </w:r>
          </w:p>
          <w:p>
            <w:pPr>
              <w:ind w:firstLine="840" w:firstLineChars="400"/>
              <w:jc w:val="left"/>
              <w:rPr>
                <w:rFonts w:hint="default" w:ascii="宋体" w:hAnsi="宋体" w:eastAsia="宋体" w:cs="宋体"/>
                <w:b w:val="0"/>
                <w:bCs/>
                <w:sz w:val="21"/>
                <w:szCs w:val="21"/>
                <w:u w:val="none"/>
                <w:vertAlign w:val="baseline"/>
                <w:lang w:val="en-US" w:eastAsia="zh-CN"/>
              </w:rPr>
            </w:pPr>
            <w:r>
              <w:rPr>
                <w:rFonts w:hint="eastAsia" w:ascii="宋体" w:hAnsi="宋体" w:eastAsia="宋体" w:cs="宋体"/>
                <w:b w:val="0"/>
                <w:bCs/>
                <w:sz w:val="21"/>
                <w:szCs w:val="21"/>
                <w:u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1737" w:type="dxa"/>
            <w:noWrap w:val="0"/>
            <w:vAlign w:val="center"/>
          </w:tcPr>
          <w:p>
            <w:pPr>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备注</w:t>
            </w:r>
          </w:p>
        </w:tc>
        <w:tc>
          <w:tcPr>
            <w:tcW w:w="6791" w:type="dxa"/>
            <w:noWrap w:val="0"/>
            <w:vAlign w:val="center"/>
          </w:tcPr>
          <w:p>
            <w:pPr>
              <w:jc w:val="left"/>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服务时间1年</w:t>
            </w:r>
          </w:p>
        </w:tc>
      </w:tr>
    </w:tbl>
    <w:p>
      <w:pPr>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注：</w:t>
      </w:r>
    </w:p>
    <w:p>
      <w:pPr>
        <w:jc w:val="both"/>
        <w:rPr>
          <w:rFonts w:hint="eastAsia" w:ascii="宋体" w:hAnsi="宋体" w:eastAsia="宋体" w:cs="宋体"/>
          <w:b w:val="0"/>
          <w:bCs/>
          <w:sz w:val="21"/>
          <w:szCs w:val="21"/>
          <w:lang w:val="en-US" w:eastAsia="zh-CN"/>
        </w:rPr>
      </w:pPr>
    </w:p>
    <w:p>
      <w:pPr>
        <w:numPr>
          <w:ilvl w:val="0"/>
          <w:numId w:val="8"/>
        </w:numPr>
        <w:spacing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填写此表时不得改变表格的形式。</w:t>
      </w:r>
    </w:p>
    <w:p>
      <w:pPr>
        <w:widowControl w:val="0"/>
        <w:numPr>
          <w:ilvl w:val="0"/>
          <w:numId w:val="8"/>
        </w:numPr>
        <w:spacing w:line="240" w:lineRule="auto"/>
        <w:ind w:left="0" w:leftChars="0" w:firstLine="0" w:firstLineChars="0"/>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投标报价应包括人员工资报酬（各项目社会保险、福利），各种加班费、保险，食宿与交通、服装、安全、仓储、运输、各项材料、消耗，税金，利润，管理费用等一切费用。</w:t>
      </w:r>
    </w:p>
    <w:p>
      <w:pPr>
        <w:widowControl w:val="0"/>
        <w:numPr>
          <w:ilvl w:val="0"/>
          <w:numId w:val="8"/>
        </w:numPr>
        <w:spacing w:line="240" w:lineRule="auto"/>
        <w:ind w:left="0" w:leftChars="0" w:firstLine="0" w:firstLineChars="0"/>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报价保留到人民币元。</w:t>
      </w:r>
    </w:p>
    <w:p>
      <w:pPr>
        <w:widowControl w:val="0"/>
        <w:numPr>
          <w:ilvl w:val="0"/>
          <w:numId w:val="8"/>
        </w:numPr>
        <w:spacing w:line="240" w:lineRule="auto"/>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投标总价内数据应与《服务费用明细表》6.3相一致。</w:t>
      </w:r>
    </w:p>
    <w:p>
      <w:pPr>
        <w:widowControl w:val="0"/>
        <w:numPr>
          <w:ilvl w:val="0"/>
          <w:numId w:val="0"/>
        </w:numPr>
        <w:spacing w:line="240" w:lineRule="auto"/>
        <w:jc w:val="both"/>
        <w:rPr>
          <w:rFonts w:hint="default" w:ascii="宋体" w:hAnsi="宋体" w:eastAsia="宋体" w:cs="宋体"/>
          <w:b w:val="0"/>
          <w:bCs/>
          <w:sz w:val="21"/>
          <w:szCs w:val="21"/>
          <w:lang w:val="en-US" w:eastAsia="zh-CN"/>
        </w:rPr>
      </w:pPr>
    </w:p>
    <w:p>
      <w:pPr>
        <w:widowControl w:val="0"/>
        <w:numPr>
          <w:ilvl w:val="0"/>
          <w:numId w:val="0"/>
        </w:numPr>
        <w:spacing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法定代表人或委托代理签名：</w:t>
      </w:r>
    </w:p>
    <w:p>
      <w:pPr>
        <w:widowControl w:val="0"/>
        <w:numPr>
          <w:ilvl w:val="0"/>
          <w:numId w:val="0"/>
        </w:numPr>
        <w:spacing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投标人（盖章）：            年   月   日 </w:t>
      </w:r>
    </w:p>
    <w:p>
      <w:pPr>
        <w:widowControl w:val="0"/>
        <w:numPr>
          <w:ilvl w:val="0"/>
          <w:numId w:val="0"/>
        </w:numPr>
        <w:spacing w:line="240" w:lineRule="auto"/>
        <w:jc w:val="both"/>
        <w:rPr>
          <w:rFonts w:hint="default" w:ascii="宋体" w:hAnsi="宋体" w:eastAsia="宋体" w:cs="宋体"/>
          <w:b w:val="0"/>
          <w:bCs/>
          <w:sz w:val="21"/>
          <w:szCs w:val="21"/>
          <w:lang w:val="en-US" w:eastAsia="zh-CN"/>
        </w:rPr>
        <w:sectPr>
          <w:pgSz w:w="11905" w:h="16838"/>
          <w:pgMar w:top="1134" w:right="1134" w:bottom="1134" w:left="1417" w:header="1134" w:footer="992" w:gutter="0"/>
          <w:paperSrc/>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156" w:lineRule="auto"/>
        <w:textAlignment w:val="auto"/>
        <w:rPr>
          <w:rFonts w:hint="default" w:ascii="宋体" w:hAnsi="宋体" w:eastAsia="宋体" w:cs="宋体"/>
          <w:b w:val="0"/>
          <w:bCs/>
          <w:sz w:val="24"/>
          <w:szCs w:val="24"/>
          <w:lang w:val="en-US" w:eastAsia="zh-CN"/>
        </w:rPr>
      </w:pPr>
      <w:r>
        <w:rPr>
          <w:rFonts w:hint="eastAsia"/>
          <w:sz w:val="24"/>
          <w:szCs w:val="24"/>
          <w:lang w:val="en-US" w:eastAsia="zh-CN"/>
        </w:rPr>
        <w:t>6.3服务费用明细表格式：</w:t>
      </w:r>
    </w:p>
    <w:p>
      <w:pPr>
        <w:keepNext w:val="0"/>
        <w:keepLines w:val="0"/>
        <w:pageBreakBefore w:val="0"/>
        <w:widowControl w:val="0"/>
        <w:kinsoku/>
        <w:wordWrap/>
        <w:overflowPunct/>
        <w:topLinePunct w:val="0"/>
        <w:autoSpaceDE/>
        <w:autoSpaceDN/>
        <w:bidi w:val="0"/>
        <w:adjustRightInd/>
        <w:snapToGrid/>
        <w:spacing w:line="156" w:lineRule="auto"/>
        <w:jc w:val="center"/>
        <w:textAlignment w:val="auto"/>
        <w:rPr>
          <w:rFonts w:hint="eastAsia" w:hAnsi="宋体" w:eastAsia="宋体"/>
          <w:b/>
          <w:sz w:val="24"/>
          <w:szCs w:val="24"/>
          <w:lang w:val="en-US" w:eastAsia="zh-CN"/>
        </w:rPr>
      </w:pPr>
      <w:r>
        <w:rPr>
          <w:rFonts w:hint="eastAsia" w:hAnsi="宋体" w:eastAsia="宋体"/>
          <w:b/>
          <w:sz w:val="24"/>
          <w:szCs w:val="24"/>
          <w:lang w:val="en-US" w:eastAsia="zh-CN"/>
        </w:rPr>
        <w:t>服务费用明细表</w:t>
      </w:r>
    </w:p>
    <w:p>
      <w:pPr>
        <w:jc w:val="center"/>
        <w:rPr>
          <w:rFonts w:hint="default" w:hAnsi="宋体" w:eastAsia="宋体"/>
          <w:b/>
          <w:sz w:val="32"/>
          <w:szCs w:val="32"/>
          <w:lang w:val="en-US" w:eastAsia="zh-CN"/>
        </w:rPr>
      </w:pPr>
      <w:r>
        <w:rPr>
          <w:rFonts w:hint="eastAsia" w:hAnsi="宋体" w:eastAsia="宋体"/>
          <w:b/>
          <w:sz w:val="32"/>
          <w:szCs w:val="32"/>
          <w:lang w:val="en-US" w:eastAsia="zh-CN"/>
        </w:rPr>
        <w:t xml:space="preserve">                     </w:t>
      </w:r>
      <w:r>
        <w:rPr>
          <w:rFonts w:hint="eastAsia" w:ascii="宋体" w:hAnsi="宋体" w:eastAsia="宋体" w:cs="宋体"/>
          <w:b w:val="0"/>
          <w:bCs/>
          <w:sz w:val="24"/>
          <w:szCs w:val="24"/>
          <w:vertAlign w:val="baseline"/>
          <w:lang w:val="en-US" w:eastAsia="zh-CN"/>
        </w:rPr>
        <w:t xml:space="preserve">                                                                       金额单位：人民币（元）</w:t>
      </w:r>
    </w:p>
    <w:p>
      <w:pPr>
        <w:widowControl w:val="0"/>
        <w:numPr>
          <w:ilvl w:val="0"/>
          <w:numId w:val="0"/>
        </w:numPr>
        <w:spacing w:line="240" w:lineRule="auto"/>
        <w:jc w:val="both"/>
        <w:rPr>
          <w:rFonts w:hint="default" w:ascii="宋体" w:hAnsi="宋体" w:eastAsia="宋体" w:cs="宋体"/>
          <w:b w:val="0"/>
          <w:bCs/>
          <w:sz w:val="24"/>
          <w:szCs w:val="24"/>
          <w:lang w:val="en-US"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43"/>
        <w:gridCol w:w="2020"/>
        <w:gridCol w:w="1843"/>
        <w:gridCol w:w="202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计价项目</w:t>
            </w:r>
          </w:p>
        </w:tc>
        <w:tc>
          <w:tcPr>
            <w:tcW w:w="2882" w:type="dxa"/>
            <w:noWrap w:val="0"/>
            <w:vAlign w:val="top"/>
          </w:tcPr>
          <w:p>
            <w:pPr>
              <w:widowControl w:val="0"/>
              <w:numPr>
                <w:ilvl w:val="0"/>
                <w:numId w:val="0"/>
              </w:numPr>
              <w:spacing w:line="240" w:lineRule="auto"/>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单价（元）</w:t>
            </w:r>
          </w:p>
        </w:tc>
        <w:tc>
          <w:tcPr>
            <w:tcW w:w="2882" w:type="dxa"/>
            <w:noWrap w:val="0"/>
            <w:vAlign w:val="top"/>
          </w:tcPr>
          <w:p>
            <w:pPr>
              <w:widowControl w:val="0"/>
              <w:numPr>
                <w:ilvl w:val="0"/>
                <w:numId w:val="0"/>
              </w:numPr>
              <w:spacing w:line="240" w:lineRule="auto"/>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单位</w:t>
            </w:r>
          </w:p>
        </w:tc>
        <w:tc>
          <w:tcPr>
            <w:tcW w:w="2883" w:type="dxa"/>
            <w:noWrap w:val="0"/>
            <w:vAlign w:val="top"/>
          </w:tcPr>
          <w:p>
            <w:pPr>
              <w:widowControl w:val="0"/>
              <w:numPr>
                <w:ilvl w:val="0"/>
                <w:numId w:val="0"/>
              </w:numPr>
              <w:spacing w:line="240" w:lineRule="auto"/>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合计（元）</w:t>
            </w:r>
          </w:p>
        </w:tc>
        <w:tc>
          <w:tcPr>
            <w:tcW w:w="2883" w:type="dxa"/>
            <w:noWrap w:val="0"/>
            <w:vAlign w:val="top"/>
          </w:tcPr>
          <w:p>
            <w:pPr>
              <w:widowControl w:val="0"/>
              <w:numPr>
                <w:ilvl w:val="0"/>
                <w:numId w:val="0"/>
              </w:numPr>
              <w:spacing w:line="240" w:lineRule="auto"/>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管理费</w:t>
            </w: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利润</w:t>
            </w: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税金</w:t>
            </w: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4" w:hRule="exact"/>
        </w:trPr>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投标报价总价</w:t>
            </w: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2"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p>
        </w:tc>
        <w:tc>
          <w:tcPr>
            <w:tcW w:w="2883" w:type="dxa"/>
            <w:noWrap w:val="0"/>
            <w:vAlign w:val="top"/>
          </w:tcPr>
          <w:p>
            <w:pPr>
              <w:widowControl w:val="0"/>
              <w:numPr>
                <w:ilvl w:val="0"/>
                <w:numId w:val="0"/>
              </w:numPr>
              <w:spacing w:line="240" w:lineRule="auto"/>
              <w:jc w:val="both"/>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须与投标报价表相符</w:t>
            </w:r>
          </w:p>
        </w:tc>
      </w:tr>
    </w:tbl>
    <w:p>
      <w:pPr>
        <w:widowControl w:val="0"/>
        <w:numPr>
          <w:ilvl w:val="0"/>
          <w:numId w:val="8"/>
        </w:numPr>
        <w:spacing w:line="240" w:lineRule="auto"/>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注：1、投标报价应包括人员工资报酬（各项目社会保险、福利），各种加班费、保险，食宿与交通、服装、安全、仓储、运输、各项材料、消耗，税金，利润，管理费用等一切费用。</w:t>
      </w:r>
    </w:p>
    <w:p>
      <w:pPr>
        <w:widowControl w:val="0"/>
        <w:numPr>
          <w:ilvl w:val="0"/>
          <w:numId w:val="0"/>
        </w:numPr>
        <w:spacing w:line="240" w:lineRule="auto"/>
        <w:jc w:val="both"/>
        <w:rPr>
          <w:rFonts w:hint="eastAsia" w:ascii="宋体" w:hAnsi="宋体" w:eastAsia="宋体" w:cs="宋体"/>
          <w:b w:val="0"/>
          <w:bCs/>
          <w:sz w:val="21"/>
          <w:szCs w:val="21"/>
          <w:lang w:val="en-US" w:eastAsia="zh-CN"/>
        </w:rPr>
      </w:pPr>
    </w:p>
    <w:p>
      <w:pPr>
        <w:widowControl w:val="0"/>
        <w:numPr>
          <w:ilvl w:val="0"/>
          <w:numId w:val="9"/>
        </w:numPr>
        <w:spacing w:line="240" w:lineRule="auto"/>
        <w:ind w:left="0"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报价保留到人民币元</w:t>
      </w:r>
    </w:p>
    <w:p>
      <w:pPr>
        <w:widowControl w:val="0"/>
        <w:numPr>
          <w:ilvl w:val="0"/>
          <w:numId w:val="0"/>
        </w:numPr>
        <w:spacing w:line="240" w:lineRule="auto"/>
        <w:jc w:val="both"/>
        <w:rPr>
          <w:rFonts w:hint="default" w:ascii="宋体" w:hAnsi="宋体" w:eastAsia="宋体" w:cs="宋体"/>
          <w:b w:val="0"/>
          <w:bCs/>
          <w:sz w:val="21"/>
          <w:szCs w:val="21"/>
          <w:lang w:val="en-US" w:eastAsia="zh-CN"/>
        </w:rPr>
      </w:pPr>
    </w:p>
    <w:p>
      <w:pPr>
        <w:widowControl w:val="0"/>
        <w:numPr>
          <w:ilvl w:val="0"/>
          <w:numId w:val="0"/>
        </w:numPr>
        <w:spacing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法定代表人（单位负责人）或委托代理人签名：</w:t>
      </w:r>
    </w:p>
    <w:p>
      <w:pPr>
        <w:widowControl w:val="0"/>
        <w:numPr>
          <w:ilvl w:val="0"/>
          <w:numId w:val="0"/>
        </w:numPr>
        <w:spacing w:line="240" w:lineRule="auto"/>
        <w:jc w:val="both"/>
        <w:rPr>
          <w:rFonts w:hint="eastAsia" w:ascii="宋体" w:hAnsi="宋体" w:eastAsia="宋体" w:cs="宋体"/>
          <w:b w:val="0"/>
          <w:bCs/>
          <w:sz w:val="21"/>
          <w:szCs w:val="21"/>
          <w:lang w:val="en-US" w:eastAsia="zh-CN"/>
        </w:rPr>
      </w:pPr>
    </w:p>
    <w:p>
      <w:pPr>
        <w:widowControl w:val="0"/>
        <w:numPr>
          <w:ilvl w:val="0"/>
          <w:numId w:val="0"/>
        </w:numPr>
        <w:spacing w:line="240" w:lineRule="auto"/>
        <w:jc w:val="both"/>
        <w:rPr>
          <w:rFonts w:hint="eastAsia" w:ascii="宋体" w:hAnsi="宋体" w:eastAsia="宋体" w:cs="宋体"/>
          <w:b w:val="0"/>
          <w:bCs/>
          <w:sz w:val="21"/>
          <w:szCs w:val="21"/>
          <w:lang w:val="en-US" w:eastAsia="zh-CN"/>
        </w:rPr>
        <w:sectPr>
          <w:pgSz w:w="11905" w:h="16838"/>
          <w:pgMar w:top="1134" w:right="1134" w:bottom="1134" w:left="1417" w:header="1134" w:footer="992" w:gutter="0"/>
          <w:paperSrc/>
          <w:cols w:space="720" w:num="1"/>
          <w:rtlGutter w:val="0"/>
          <w:docGrid w:linePitch="312" w:charSpace="0"/>
        </w:sectPr>
      </w:pPr>
      <w:r>
        <w:rPr>
          <w:rFonts w:hint="eastAsia" w:ascii="宋体" w:hAnsi="宋体" w:eastAsia="宋体" w:cs="宋体"/>
          <w:b w:val="0"/>
          <w:bCs/>
          <w:sz w:val="21"/>
          <w:szCs w:val="21"/>
          <w:lang w:val="en-US" w:eastAsia="zh-CN"/>
        </w:rPr>
        <w:t xml:space="preserve">投标人（盖章）：                            年   月   日 </w:t>
      </w:r>
    </w:p>
    <w:p>
      <w:pPr>
        <w:keepNext w:val="0"/>
        <w:keepLines w:val="0"/>
        <w:pageBreakBefore w:val="0"/>
        <w:widowControl w:val="0"/>
        <w:kinsoku/>
        <w:wordWrap/>
        <w:overflowPunct/>
        <w:topLinePunct w:val="0"/>
        <w:autoSpaceDE/>
        <w:autoSpaceDN/>
        <w:bidi w:val="0"/>
        <w:adjustRightInd/>
        <w:snapToGrid/>
        <w:spacing w:line="156" w:lineRule="auto"/>
        <w:textAlignment w:val="auto"/>
        <w:rPr>
          <w:rFonts w:hint="default" w:ascii="宋体" w:hAnsi="宋体" w:eastAsia="宋体" w:cs="宋体"/>
          <w:b w:val="0"/>
          <w:bCs/>
          <w:sz w:val="24"/>
          <w:szCs w:val="24"/>
          <w:lang w:val="en-US" w:eastAsia="zh-CN"/>
        </w:rPr>
      </w:pPr>
      <w:r>
        <w:rPr>
          <w:rFonts w:hint="eastAsia"/>
          <w:sz w:val="24"/>
          <w:szCs w:val="24"/>
          <w:lang w:val="en-US" w:eastAsia="zh-CN"/>
        </w:rPr>
        <w:t>6.4投标人针对报价需要说明的其他文件和说明：</w:t>
      </w:r>
    </w:p>
    <w:p>
      <w:pPr>
        <w:widowControl w:val="0"/>
        <w:numPr>
          <w:ilvl w:val="0"/>
          <w:numId w:val="0"/>
        </w:numPr>
        <w:spacing w:line="240" w:lineRule="auto"/>
        <w:jc w:val="both"/>
        <w:rPr>
          <w:rFonts w:hint="eastAsia" w:ascii="宋体" w:hAnsi="宋体" w:eastAsia="宋体" w:cs="宋体"/>
          <w:b w:val="0"/>
          <w:bCs/>
          <w:sz w:val="21"/>
          <w:szCs w:val="21"/>
          <w:lang w:val="en-US" w:eastAsia="zh-CN"/>
        </w:rPr>
      </w:pPr>
    </w:p>
    <w:p>
      <w:pPr>
        <w:pStyle w:val="24"/>
        <w:snapToGrid w:val="0"/>
        <w:spacing w:before="24" w:beforeLines="10" w:after="24" w:afterLines="10" w:line="440" w:lineRule="exact"/>
        <w:rPr>
          <w:rFonts w:hint="eastAsia" w:hAnsi="宋体"/>
          <w:b/>
          <w:sz w:val="21"/>
          <w:szCs w:val="21"/>
        </w:rPr>
      </w:pPr>
      <w:r>
        <w:rPr>
          <w:rFonts w:hint="eastAsia" w:hAnsi="宋体"/>
          <w:sz w:val="24"/>
          <w:szCs w:val="24"/>
        </w:rPr>
        <w:t xml:space="preserve">     </w:t>
      </w:r>
      <w:r>
        <w:rPr>
          <w:rFonts w:hint="eastAsia" w:ascii="Times New Roman" w:hAnsi="Times New Roman"/>
          <w:b/>
          <w:bCs/>
          <w:kern w:val="2"/>
          <w:sz w:val="24"/>
          <w:szCs w:val="24"/>
          <w:lang w:val="en-US" w:eastAsia="zh-CN" w:bidi="ar-SA"/>
        </w:rPr>
        <w:t xml:space="preserve">   中小企业声明函</w:t>
      </w:r>
    </w:p>
    <w:p>
      <w:pPr>
        <w:pStyle w:val="41"/>
        <w:spacing w:before="0" w:beforeAutospacing="0" w:after="0" w:afterAutospacing="0" w:line="360" w:lineRule="auto"/>
        <w:ind w:firstLine="420" w:firstLineChars="200"/>
        <w:jc w:val="both"/>
        <w:rPr>
          <w:rFonts w:hint="eastAsia"/>
          <w:sz w:val="21"/>
          <w:szCs w:val="21"/>
        </w:rPr>
      </w:pPr>
    </w:p>
    <w:p>
      <w:pPr>
        <w:pStyle w:val="41"/>
        <w:spacing w:before="0" w:beforeAutospacing="0" w:after="0" w:afterAutospacing="0" w:line="360" w:lineRule="auto"/>
        <w:ind w:firstLine="420" w:firstLineChars="200"/>
        <w:jc w:val="both"/>
        <w:rPr>
          <w:rFonts w:hint="eastAsia"/>
          <w:sz w:val="21"/>
          <w:szCs w:val="21"/>
        </w:rPr>
      </w:pPr>
      <w:r>
        <w:rPr>
          <w:rFonts w:hint="eastAsia"/>
          <w:sz w:val="21"/>
          <w:szCs w:val="21"/>
        </w:rPr>
        <w:t>本公司郑重声明，根据《政府采购促进中小企业发展暂行办法》（财库〔2011〕181号）的规定，本公司为______（请填写：中型、小型、微型）企业。即，本公司同时满足以下条件：</w:t>
      </w:r>
    </w:p>
    <w:p>
      <w:pPr>
        <w:pStyle w:val="41"/>
        <w:spacing w:before="0" w:beforeAutospacing="0" w:after="0" w:afterAutospacing="0" w:line="360" w:lineRule="auto"/>
        <w:ind w:firstLine="420" w:firstLineChars="200"/>
        <w:jc w:val="both"/>
        <w:rPr>
          <w:rFonts w:hint="eastAsia"/>
          <w:sz w:val="21"/>
          <w:szCs w:val="21"/>
        </w:rPr>
      </w:pPr>
      <w:r>
        <w:rPr>
          <w:rFonts w:hint="eastAsia"/>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41"/>
        <w:spacing w:before="0" w:beforeAutospacing="0" w:after="0" w:afterAutospacing="0" w:line="360" w:lineRule="auto"/>
        <w:ind w:firstLine="420" w:firstLineChars="200"/>
        <w:jc w:val="both"/>
        <w:rPr>
          <w:rFonts w:hint="eastAsia"/>
          <w:sz w:val="21"/>
          <w:szCs w:val="21"/>
        </w:rPr>
      </w:pPr>
      <w:r>
        <w:rPr>
          <w:rFonts w:hint="eastAsia"/>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after="50" w:line="440" w:lineRule="exact"/>
        <w:rPr>
          <w:rFonts w:hint="eastAsia"/>
          <w:sz w:val="21"/>
          <w:szCs w:val="21"/>
        </w:rPr>
      </w:pPr>
      <w:r>
        <w:rPr>
          <w:rFonts w:hint="eastAsia"/>
          <w:sz w:val="21"/>
          <w:szCs w:val="21"/>
        </w:rPr>
        <w:t>本公司对上述声明的真实性负责。如有虚假，将依法承担相应责任。</w:t>
      </w:r>
    </w:p>
    <w:p>
      <w:pPr>
        <w:pStyle w:val="24"/>
        <w:snapToGrid w:val="0"/>
        <w:spacing w:before="24" w:beforeLines="10" w:after="24" w:afterLines="10" w:line="440" w:lineRule="exact"/>
        <w:ind w:firstLine="420" w:firstLineChars="200"/>
        <w:rPr>
          <w:rFonts w:hint="eastAsia" w:hAnsi="宋体"/>
          <w:sz w:val="21"/>
          <w:szCs w:val="21"/>
        </w:rPr>
      </w:pPr>
      <w:r>
        <w:rPr>
          <w:rFonts w:hAnsi="宋体"/>
          <w:sz w:val="21"/>
          <w:szCs w:val="21"/>
        </w:rPr>
        <w:t xml:space="preserve">  </w:t>
      </w:r>
    </w:p>
    <w:p>
      <w:pPr>
        <w:pStyle w:val="24"/>
        <w:snapToGrid w:val="0"/>
        <w:spacing w:before="24" w:beforeLines="10" w:after="24" w:afterLines="10" w:line="440" w:lineRule="exact"/>
        <w:ind w:firstLine="420" w:firstLineChars="200"/>
        <w:rPr>
          <w:rFonts w:hint="eastAsia" w:hAnsi="宋体"/>
          <w:sz w:val="21"/>
          <w:szCs w:val="21"/>
        </w:rPr>
      </w:pPr>
      <w:r>
        <w:rPr>
          <w:rFonts w:hint="eastAsia" w:hAnsi="宋体"/>
          <w:sz w:val="21"/>
          <w:szCs w:val="21"/>
        </w:rPr>
        <w:t xml:space="preserve">                                              投标人（盖章）</w:t>
      </w:r>
    </w:p>
    <w:p>
      <w:pPr>
        <w:pStyle w:val="24"/>
        <w:snapToGrid w:val="0"/>
        <w:spacing w:before="24" w:beforeLines="10" w:after="24" w:afterLines="10" w:line="440" w:lineRule="exact"/>
        <w:ind w:firstLine="420" w:firstLineChars="200"/>
        <w:rPr>
          <w:rFonts w:hint="eastAsia" w:hAnsi="宋体"/>
          <w:sz w:val="21"/>
          <w:szCs w:val="21"/>
        </w:rPr>
      </w:pPr>
      <w:r>
        <w:rPr>
          <w:rFonts w:hint="eastAsia"/>
          <w:sz w:val="21"/>
          <w:szCs w:val="21"/>
        </w:rPr>
        <w:t xml:space="preserve">                                              日期：  年   月   日</w:t>
      </w:r>
    </w:p>
    <w:p>
      <w:pPr>
        <w:widowControl w:val="0"/>
        <w:numPr>
          <w:ilvl w:val="0"/>
          <w:numId w:val="0"/>
        </w:numPr>
        <w:spacing w:line="240" w:lineRule="auto"/>
        <w:jc w:val="both"/>
        <w:rPr>
          <w:rFonts w:hint="eastAsia" w:ascii="宋体" w:hAnsi="宋体" w:eastAsia="宋体" w:cs="宋体"/>
          <w:b w:val="0"/>
          <w:bCs/>
          <w:sz w:val="21"/>
          <w:szCs w:val="21"/>
          <w:lang w:val="en-US" w:eastAsia="zh-CN"/>
        </w:rPr>
      </w:pPr>
    </w:p>
    <w:p>
      <w:pPr>
        <w:widowControl/>
        <w:wordWrap w:val="0"/>
        <w:spacing w:line="23" w:lineRule="atLeast"/>
        <w:jc w:val="left"/>
        <w:textAlignment w:val="top"/>
        <w:rPr>
          <w:rFonts w:hint="eastAsia"/>
          <w:sz w:val="24"/>
        </w:rPr>
      </w:pPr>
    </w:p>
    <w:p>
      <w:pPr>
        <w:widowControl/>
        <w:spacing w:line="460" w:lineRule="exact"/>
        <w:jc w:val="center"/>
        <w:textAlignment w:val="top"/>
        <w:rPr>
          <w:rFonts w:hint="eastAsia" w:ascii="宋体" w:hAnsi="宋体"/>
          <w:b/>
          <w:bCs w:val="0"/>
          <w:kern w:val="0"/>
          <w:sz w:val="24"/>
          <w:szCs w:val="24"/>
        </w:rPr>
      </w:pPr>
      <w:r>
        <w:rPr>
          <w:rFonts w:hint="eastAsia" w:ascii="宋体" w:hAnsi="宋体"/>
          <w:b/>
          <w:bCs w:val="0"/>
          <w:sz w:val="24"/>
          <w:szCs w:val="24"/>
        </w:rPr>
        <w:t>残</w:t>
      </w:r>
      <w:r>
        <w:rPr>
          <w:rFonts w:hint="eastAsia" w:ascii="Courier New" w:hAnsi="宋体"/>
          <w:b/>
          <w:bCs w:val="0"/>
          <w:kern w:val="2"/>
          <w:sz w:val="24"/>
          <w:szCs w:val="24"/>
          <w:lang w:val="en-US" w:eastAsia="zh-CN" w:bidi="ar-SA"/>
        </w:rPr>
        <w:t>疾人福利性单位声明函</w:t>
      </w:r>
    </w:p>
    <w:p>
      <w:pPr>
        <w:widowControl/>
        <w:spacing w:line="460" w:lineRule="exact"/>
        <w:jc w:val="left"/>
        <w:textAlignment w:val="top"/>
        <w:rPr>
          <w:rFonts w:hint="eastAsia" w:ascii="宋体" w:hAnsi="宋体"/>
          <w:kern w:val="0"/>
          <w:sz w:val="21"/>
          <w:szCs w:val="21"/>
        </w:rPr>
      </w:pPr>
      <w:r>
        <w:rPr>
          <w:rFonts w:hint="eastAsia" w:ascii="微软雅黑" w:hAnsi="微软雅黑" w:eastAsia="微软雅黑" w:cs="微软雅黑"/>
          <w:kern w:val="0"/>
          <w:szCs w:val="21"/>
          <w:lang w:bidi="ar"/>
        </w:rPr>
        <w:t>       </w:t>
      </w:r>
      <w:r>
        <w:rPr>
          <w:rFonts w:hint="eastAsia" w:ascii="微软雅黑" w:hAnsi="微软雅黑" w:eastAsia="微软雅黑" w:cs="微软雅黑"/>
          <w:kern w:val="0"/>
          <w:sz w:val="21"/>
          <w:szCs w:val="21"/>
          <w:lang w:bidi="ar"/>
        </w:rPr>
        <w:t> </w:t>
      </w:r>
      <w:r>
        <w:rPr>
          <w:rFonts w:hint="eastAsia" w:ascii="宋体" w:hAnsi="宋体"/>
          <w:kern w:val="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 w:val="21"/>
          <w:szCs w:val="21"/>
        </w:rPr>
        <w:br w:type="textWrapping"/>
      </w:r>
      <w:r>
        <w:rPr>
          <w:rFonts w:hint="eastAsia" w:ascii="宋体" w:hAnsi="宋体"/>
          <w:kern w:val="0"/>
          <w:sz w:val="21"/>
          <w:szCs w:val="21"/>
        </w:rPr>
        <w:t>        本单位对上述声明的真实性负责。如有虚假，将依法承担相应责任。</w:t>
      </w:r>
    </w:p>
    <w:p>
      <w:pPr>
        <w:widowControl/>
        <w:spacing w:line="460" w:lineRule="exact"/>
        <w:jc w:val="right"/>
        <w:textAlignment w:val="top"/>
        <w:rPr>
          <w:rFonts w:hint="eastAsia" w:ascii="宋体" w:hAnsi="宋体"/>
          <w:kern w:val="0"/>
          <w:sz w:val="21"/>
          <w:szCs w:val="21"/>
        </w:rPr>
      </w:pPr>
      <w:r>
        <w:rPr>
          <w:rFonts w:hint="eastAsia" w:ascii="宋体" w:hAnsi="宋体"/>
          <w:kern w:val="0"/>
          <w:sz w:val="21"/>
          <w:szCs w:val="21"/>
        </w:rPr>
        <w:br w:type="textWrapping"/>
      </w:r>
      <w:r>
        <w:rPr>
          <w:rFonts w:hint="eastAsia" w:ascii="宋体" w:hAnsi="宋体"/>
          <w:kern w:val="0"/>
          <w:sz w:val="21"/>
          <w:szCs w:val="21"/>
        </w:rPr>
        <w:t>单位名称（盖章）：</w:t>
      </w:r>
    </w:p>
    <w:p>
      <w:pPr>
        <w:widowControl/>
        <w:spacing w:line="460" w:lineRule="exact"/>
        <w:jc w:val="center"/>
        <w:textAlignment w:val="top"/>
        <w:rPr>
          <w:rFonts w:hint="eastAsia" w:ascii="宋体" w:hAnsi="宋体"/>
          <w:kern w:val="0"/>
          <w:sz w:val="21"/>
          <w:szCs w:val="21"/>
        </w:rPr>
      </w:pPr>
      <w:r>
        <w:rPr>
          <w:rFonts w:hint="eastAsia" w:ascii="宋体" w:hAnsi="宋体"/>
          <w:kern w:val="0"/>
          <w:sz w:val="21"/>
          <w:szCs w:val="21"/>
          <w:lang w:val="en-US" w:eastAsia="zh-CN"/>
        </w:rPr>
        <w:t xml:space="preserve">                                                   </w:t>
      </w:r>
      <w:r>
        <w:rPr>
          <w:rFonts w:hint="eastAsia" w:ascii="宋体" w:hAnsi="宋体"/>
          <w:kern w:val="0"/>
          <w:sz w:val="21"/>
          <w:szCs w:val="21"/>
        </w:rPr>
        <w:t>日 期：</w:t>
      </w:r>
    </w:p>
    <w:p>
      <w:pPr>
        <w:snapToGrid w:val="0"/>
        <w:spacing w:line="460" w:lineRule="exact"/>
        <w:rPr>
          <w:rFonts w:hint="eastAsia" w:ascii="宋体" w:hAnsi="宋体"/>
          <w:kern w:val="0"/>
          <w:sz w:val="21"/>
          <w:szCs w:val="21"/>
        </w:rPr>
        <w:sectPr>
          <w:pgSz w:w="11905" w:h="16838"/>
          <w:pgMar w:top="1134" w:right="1134" w:bottom="1134" w:left="1417" w:header="1134" w:footer="992" w:gutter="0"/>
          <w:paperSrc/>
          <w:cols w:space="720" w:num="1"/>
          <w:rtlGutter w:val="0"/>
          <w:docGrid w:linePitch="312" w:charSpace="0"/>
        </w:sectPr>
      </w:pPr>
    </w:p>
    <w:p>
      <w:pPr>
        <w:pStyle w:val="107"/>
        <w:snapToGrid w:val="0"/>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政府采购活动现场确认声明书</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kern w:val="0"/>
          <w:sz w:val="21"/>
          <w:szCs w:val="21"/>
          <w:highlight w:val="none"/>
          <w:u w:val="single"/>
          <w:lang w:val="en-US" w:eastAsia="zh-CN"/>
        </w:rPr>
      </w:pP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w:t>
      </w:r>
    </w:p>
    <w:p>
      <w:pPr>
        <w:pStyle w:val="107"/>
        <w:keepNext w:val="0"/>
        <w:keepLines w:val="0"/>
        <w:pageBreakBefore w:val="0"/>
        <w:kinsoku/>
        <w:wordWrap/>
        <w:overflowPunct/>
        <w:topLinePunct w:val="0"/>
        <w:autoSpaceDE/>
        <w:autoSpaceDN/>
        <w:bidi w:val="0"/>
        <w:adjustRightInd/>
        <w:snapToGrid w:val="0"/>
        <w:spacing w:line="38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本人经由</w:t>
      </w:r>
      <w:r>
        <w:rPr>
          <w:rFonts w:hint="eastAsia" w:ascii="宋体" w:hAnsi="宋体" w:eastAsia="宋体" w:cs="宋体"/>
          <w:spacing w:val="6"/>
          <w:sz w:val="21"/>
          <w:szCs w:val="21"/>
          <w:highlight w:val="none"/>
          <w:u w:val="single"/>
        </w:rPr>
        <w:t xml:space="preserve">                  （单位）</w:t>
      </w:r>
      <w:r>
        <w:rPr>
          <w:rFonts w:hint="eastAsia" w:ascii="宋体" w:hAnsi="宋体" w:eastAsia="宋体" w:cs="宋体"/>
          <w:spacing w:val="6"/>
          <w:sz w:val="21"/>
          <w:szCs w:val="21"/>
          <w:highlight w:val="none"/>
        </w:rPr>
        <w:t>负责人</w:t>
      </w:r>
      <w:r>
        <w:rPr>
          <w:rFonts w:hint="eastAsia" w:ascii="宋体" w:hAnsi="宋体" w:eastAsia="宋体" w:cs="宋体"/>
          <w:spacing w:val="6"/>
          <w:sz w:val="21"/>
          <w:szCs w:val="21"/>
          <w:highlight w:val="none"/>
          <w:u w:val="single"/>
        </w:rPr>
        <w:t xml:space="preserve">        （姓名）</w:t>
      </w:r>
      <w:r>
        <w:rPr>
          <w:rFonts w:hint="eastAsia" w:ascii="宋体" w:hAnsi="宋体" w:eastAsia="宋体" w:cs="宋体"/>
          <w:spacing w:val="6"/>
          <w:sz w:val="21"/>
          <w:szCs w:val="21"/>
          <w:highlight w:val="none"/>
        </w:rPr>
        <w:t>合法授权参加</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 xml:space="preserve">）政府采购活动，经与本单位法人代表（负责人）联系确认，现就有关公平竞争事项郑重声明如下： </w:t>
      </w:r>
    </w:p>
    <w:p>
      <w:pPr>
        <w:pStyle w:val="90"/>
        <w:keepNext w:val="0"/>
        <w:keepLines w:val="0"/>
        <w:pageBreakBefore w:val="0"/>
        <w:widowControl/>
        <w:numPr>
          <w:ilvl w:val="0"/>
          <w:numId w:val="10"/>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本单位与采购人之间 □不存在利害关系 □存在下列利害关系</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pStyle w:val="90"/>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A.投资关系    B.行政隶属关系    C.业务指导关系</w:t>
      </w:r>
    </w:p>
    <w:p>
      <w:pPr>
        <w:pStyle w:val="90"/>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D.其他可能</w:t>
      </w:r>
      <w:r>
        <w:rPr>
          <w:rFonts w:hint="eastAsia" w:ascii="宋体" w:hAnsi="宋体" w:eastAsia="宋体" w:cs="宋体"/>
          <w:szCs w:val="21"/>
          <w:highlight w:val="none"/>
        </w:rPr>
        <w:t>影响采购公正的</w:t>
      </w:r>
      <w:r>
        <w:rPr>
          <w:rFonts w:hint="eastAsia" w:ascii="宋体" w:hAnsi="宋体" w:eastAsia="宋体" w:cs="宋体"/>
          <w:kern w:val="0"/>
          <w:szCs w:val="21"/>
          <w:highlight w:val="none"/>
        </w:rPr>
        <w:t>利害关系</w:t>
      </w:r>
      <w:r>
        <w:rPr>
          <w:rFonts w:hint="eastAsia" w:ascii="宋体" w:hAnsi="宋体" w:eastAsia="宋体" w:cs="宋体"/>
          <w:kern w:val="0"/>
          <w:szCs w:val="21"/>
          <w:highlight w:val="none"/>
          <w:u w:val="single"/>
        </w:rPr>
        <w:t xml:space="preserve">（如有，请如实说明）                 </w:t>
      </w:r>
      <w:r>
        <w:rPr>
          <w:rFonts w:hint="eastAsia" w:ascii="宋体" w:hAnsi="宋体" w:eastAsia="宋体" w:cs="宋体"/>
          <w:kern w:val="0"/>
          <w:szCs w:val="21"/>
          <w:highlight w:val="none"/>
        </w:rPr>
        <w:t>。</w:t>
      </w:r>
    </w:p>
    <w:p>
      <w:pPr>
        <w:pStyle w:val="90"/>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kern w:val="0"/>
          <w:szCs w:val="21"/>
          <w:highlight w:val="none"/>
        </w:rPr>
      </w:pPr>
      <w:r>
        <w:rPr>
          <w:rFonts w:hint="eastAsia" w:ascii="宋体" w:hAnsi="宋体" w:eastAsia="宋体" w:cs="宋体"/>
          <w:spacing w:val="6"/>
          <w:szCs w:val="21"/>
          <w:highlight w:val="none"/>
        </w:rPr>
        <w:t xml:space="preserve">  二、</w:t>
      </w:r>
      <w:r>
        <w:rPr>
          <w:rFonts w:hint="eastAsia" w:ascii="宋体" w:hAnsi="宋体" w:eastAsia="宋体" w:cs="宋体"/>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kern w:val="0"/>
          <w:szCs w:val="21"/>
          <w:highlight w:val="none"/>
          <w:u w:val="single"/>
        </w:rPr>
        <w:t xml:space="preserve">           （供应商名称）</w:t>
      </w:r>
      <w:r>
        <w:rPr>
          <w:rFonts w:hint="eastAsia" w:ascii="宋体" w:hAnsi="宋体" w:eastAsia="宋体" w:cs="宋体"/>
          <w:kern w:val="0"/>
          <w:szCs w:val="21"/>
          <w:highlight w:val="none"/>
        </w:rPr>
        <w:t>之间存在下列利害关系</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A.法定代表人或负责人或实际控制人是同一人</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pacing w:val="6"/>
          <w:sz w:val="21"/>
          <w:szCs w:val="21"/>
          <w:highlight w:val="none"/>
        </w:rPr>
      </w:pPr>
      <w:r>
        <w:rPr>
          <w:rFonts w:hint="eastAsia" w:ascii="宋体" w:hAnsi="宋体" w:eastAsia="宋体" w:cs="宋体"/>
          <w:kern w:val="0"/>
          <w:sz w:val="21"/>
          <w:szCs w:val="21"/>
          <w:highlight w:val="none"/>
        </w:rPr>
        <w:t xml:space="preserve">  B.法定代表人或负责人或实际控制人是夫妻关系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pacing w:val="6"/>
          <w:sz w:val="21"/>
          <w:szCs w:val="21"/>
          <w:highlight w:val="none"/>
        </w:rPr>
      </w:pPr>
      <w:r>
        <w:rPr>
          <w:rFonts w:hint="eastAsia" w:ascii="宋体" w:hAnsi="宋体" w:eastAsia="宋体" w:cs="宋体"/>
          <w:kern w:val="0"/>
          <w:sz w:val="21"/>
          <w:szCs w:val="21"/>
          <w:highlight w:val="none"/>
        </w:rPr>
        <w:t xml:space="preserve">  C.法定代表人或负责人或实际控制人是直系血亲关系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pacing w:val="6"/>
          <w:sz w:val="21"/>
          <w:szCs w:val="21"/>
          <w:highlight w:val="none"/>
        </w:rPr>
      </w:pPr>
      <w:r>
        <w:rPr>
          <w:rFonts w:hint="eastAsia" w:ascii="宋体" w:hAnsi="宋体" w:eastAsia="宋体" w:cs="宋体"/>
          <w:kern w:val="0"/>
          <w:sz w:val="21"/>
          <w:szCs w:val="21"/>
          <w:highlight w:val="none"/>
        </w:rPr>
        <w:t xml:space="preserve">  D.法定代表人或负责人或实际控制人存在三代以内旁系血亲关系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E.法定代表人或负责人或实际控制人存在近姻亲关系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F.法定代表人或负责人或实际控制人存在股份控制或实际控制关系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G.存在共同直接或间接投资设立子公司、联营企业和合营企业情况</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H.存在分级代理或代销关系、同一生产制造商关系、</w:t>
      </w:r>
      <w:r>
        <w:rPr>
          <w:rFonts w:hint="eastAsia" w:ascii="宋体" w:hAnsi="宋体" w:eastAsia="宋体" w:cs="宋体"/>
          <w:sz w:val="21"/>
          <w:szCs w:val="21"/>
          <w:highlight w:val="none"/>
        </w:rPr>
        <w:t>管理关系、重要业务（占主营业务收入50%以上）或重要财务往来关系（如融资）等其他实质性控制关系</w:t>
      </w:r>
    </w:p>
    <w:p>
      <w:pPr>
        <w:pStyle w:val="107"/>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 xml:space="preserve">    I</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其他利害关系情况</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pPr>
        <w:pStyle w:val="90"/>
        <w:keepNext w:val="0"/>
        <w:keepLines w:val="0"/>
        <w:pageBreakBefore w:val="0"/>
        <w:widowControl/>
        <w:numPr>
          <w:ilvl w:val="0"/>
          <w:numId w:val="11"/>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现已清楚知道并</w:t>
      </w:r>
      <w:r>
        <w:rPr>
          <w:rFonts w:hint="eastAsia" w:ascii="宋体" w:hAnsi="宋体" w:eastAsia="宋体" w:cs="宋体"/>
          <w:kern w:val="0"/>
          <w:szCs w:val="21"/>
          <w:highlight w:val="none"/>
        </w:rPr>
        <w:t>严格遵守政府采购法律法规和现场纪律。</w:t>
      </w:r>
    </w:p>
    <w:p>
      <w:pPr>
        <w:pStyle w:val="90"/>
        <w:keepNext w:val="0"/>
        <w:keepLines w:val="0"/>
        <w:pageBreakBefore w:val="0"/>
        <w:widowControl/>
        <w:numPr>
          <w:ilvl w:val="0"/>
          <w:numId w:val="11"/>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我发现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供应商之间存在或可能存在上述第二条第</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项利害关系。</w:t>
      </w:r>
    </w:p>
    <w:p>
      <w:pPr>
        <w:pStyle w:val="107"/>
        <w:snapToGrid w:val="0"/>
        <w:spacing w:line="400" w:lineRule="exact"/>
        <w:rPr>
          <w:rFonts w:hint="eastAsia" w:ascii="宋体" w:hAnsi="宋体" w:eastAsia="宋体" w:cs="宋体"/>
          <w:sz w:val="21"/>
          <w:szCs w:val="21"/>
          <w:highlight w:val="none"/>
        </w:rPr>
      </w:pPr>
    </w:p>
    <w:p>
      <w:pPr>
        <w:pStyle w:val="107"/>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供应商代表签名：</w:t>
      </w:r>
    </w:p>
    <w:p>
      <w:pPr>
        <w:snapToGrid w:val="0"/>
        <w:spacing w:line="360" w:lineRule="auto"/>
        <w:jc w:val="left"/>
        <w:rPr>
          <w:rFonts w:hint="eastAsia" w:ascii="宋体" w:hAnsi="宋体" w:eastAsia="宋体" w:cs="宋体"/>
          <w:highlight w:val="none"/>
        </w:rPr>
      </w:pPr>
      <w:r>
        <w:rPr>
          <w:rFonts w:hint="eastAsia" w:ascii="宋体" w:hAnsi="宋体" w:eastAsia="宋体" w:cs="宋体"/>
          <w:szCs w:val="21"/>
          <w:highlight w:val="none"/>
        </w:rPr>
        <w:t xml:space="preserve">                                         年  月  日</w:t>
      </w:r>
    </w:p>
    <w:p>
      <w:pPr>
        <w:pStyle w:val="92"/>
        <w:spacing w:before="0" w:line="500" w:lineRule="exact"/>
        <w:ind w:firstLine="0" w:firstLineChars="0"/>
        <w:rPr>
          <w:rFonts w:hint="eastAsia" w:ascii="宋体" w:hAnsi="宋体" w:eastAsia="宋体" w:cs="宋体"/>
          <w:color w:val="000000"/>
          <w:sz w:val="21"/>
          <w:szCs w:val="21"/>
          <w:highlight w:val="none"/>
        </w:rPr>
      </w:pPr>
    </w:p>
    <w:p>
      <w:pPr>
        <w:pStyle w:val="92"/>
        <w:spacing w:before="0" w:line="500" w:lineRule="exact"/>
        <w:ind w:firstLine="0" w:firstLineChars="0"/>
        <w:rPr>
          <w:rFonts w:hint="eastAsia" w:ascii="宋体" w:hAnsi="宋体" w:eastAsia="宋体" w:cs="宋体"/>
          <w:color w:val="000000"/>
          <w:sz w:val="21"/>
          <w:szCs w:val="21"/>
          <w:highlight w:val="none"/>
        </w:rPr>
      </w:pPr>
    </w:p>
    <w:p>
      <w:pPr>
        <w:pStyle w:val="92"/>
        <w:spacing w:before="0" w:line="500" w:lineRule="exact"/>
        <w:ind w:firstLine="0" w:firstLineChars="0"/>
        <w:rPr>
          <w:rFonts w:hint="eastAsia" w:ascii="宋体" w:hAnsi="宋体" w:eastAsia="宋体" w:cs="宋体"/>
          <w:color w:val="000000"/>
          <w:sz w:val="21"/>
          <w:szCs w:val="21"/>
          <w:highlight w:val="none"/>
        </w:rPr>
      </w:pPr>
    </w:p>
    <w:p>
      <w:pPr>
        <w:pStyle w:val="92"/>
        <w:spacing w:before="0" w:line="500" w:lineRule="exact"/>
        <w:ind w:firstLine="0" w:firstLineChars="0"/>
        <w:rPr>
          <w:rFonts w:hint="eastAsia" w:ascii="宋体" w:hAnsi="宋体" w:eastAsia="宋体" w:cs="宋体"/>
          <w:color w:val="000000"/>
          <w:sz w:val="21"/>
          <w:szCs w:val="21"/>
          <w:highlight w:val="none"/>
          <w:lang w:val="en-US" w:eastAsia="zh-CN"/>
        </w:rPr>
      </w:pPr>
    </w:p>
    <w:sectPr>
      <w:headerReference r:id="rId3" w:type="default"/>
      <w:footerReference r:id="rId4" w:type="default"/>
      <w:pgSz w:w="11905" w:h="16838"/>
      <w:pgMar w:top="1134" w:right="1134" w:bottom="1134" w:left="1417" w:header="1134" w:footer="992"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长城仿宋">
    <w:altName w:val="宋体"/>
    <w:panose1 w:val="02010609000101010101"/>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CS?o｡ﾀ?">
    <w:altName w:val="MS PGothic"/>
    <w:panose1 w:val="00000000000000000000"/>
    <w:charset w:val="80"/>
    <w:family w:val="modern"/>
    <w:pitch w:val="default"/>
    <w:sig w:usb0="00000001" w:usb1="0807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114935" cy="1314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9"/>
                            <w:jc w:val="center"/>
                            <w:rPr>
                              <w:rStyle w:val="49"/>
                            </w:rPr>
                          </w:pPr>
                          <w:r>
                            <w:fldChar w:fldCharType="begin"/>
                          </w:r>
                          <w:r>
                            <w:rPr>
                              <w:rStyle w:val="49"/>
                            </w:rPr>
                            <w:instrText xml:space="preserve">PAGE  </w:instrText>
                          </w:r>
                          <w:r>
                            <w:fldChar w:fldCharType="separate"/>
                          </w:r>
                          <w:r>
                            <w:rPr>
                              <w:rStyle w:val="49"/>
                              <w:lang/>
                            </w:rPr>
                            <w:t>49</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25pt;height:10.35pt;width:9.05pt;mso-position-horizontal:center;mso-position-horizontal-relative:margin;mso-wrap-style:none;z-index:251659264;mso-width-relative:page;mso-height-relative:page;" filled="f" stroked="f" coordsize="21600,21600" o:gfxdata="UEsDBAoAAAAAAIdO4kAAAAAAAAAAAAAAAAAEAAAAZHJzL1BLAwQUAAAACACHTuJA1ReXVdAAAAAD AQAADwAAAGRycy9kb3ducmV2LnhtbE2PMU/DMBSEd6T+B+tVYqNOIgFRyEuHSixsFITE5savcYT9 HNlumvx73AnG053uvmv3i7NiphBHzwjlrgBB3Hs98oDw+fH6UIOISbFW1jMhrBRh323uWtVof+V3 mo9pELmEY6MQTEpTI2XsDTkVd34izt7ZB6dSlmGQOqhrLndWVkXxJJ0aOS8YNdHBUP9zvDiE5+XL 0xTpQN/nuQ9mXGv7tiLeb8viBUSiJf2F4Yaf0aHLTCd/YR2FRchHEsIjiJtXlyBOCFVZgexa+Z+9 +wVQSwMEFAAAAAgAh07iQLxfZuLNAQAAlwMAAA4AAABkcnMvZTJvRG9jLnhtbK1TS44TMRDdI3EH y3vi9EyGTyudESgahIQAaeAAjttOW/JPLifduQDcgBUb9pwr56Ds7mQ+bGbBxl2uKr+q96p6eT1Y Q/YygvauodVsTol0wrfabRv67evNi9eUQOKu5cY72dCDBHq9ev5s2YdaXvjOm1ZGgiAO6j40tEsp 1IyB6KTlMPNBOgwqHy1PeI1b1kbeI7o17GI+f8l6H9sQvZAA6F2PQTohxqcAeqW0kGsvdla6NKJG aXhCStDpAHRVulVKivRZKZCJmIYi01ROLIL2Jp9steT1NvLQaTG1wJ/SwiNOlmuHRc9Qa5442UX9 D5TVInrwKs2Et2wkUhRBFtX8kTa3HQ+ycEGpIZxFh/8HKz7tv0SiW9wEShy3OPDjzx/HX3+Ov7+T V1mePkCNWbcB89Lwzg85dfIDOjPrQUWbv8iHYBzFPZzFlUMiIj+qFm8urygRGKouq8XiKqOwu8ch QnovvSXZaGjE2RVJ+f4jpDH1lJJrOX+jjUE/r4174EDM7GG587HDbKVhM0xtb3x7QDY9jr2hDrec EvPBoap5Q05GPBmbk7ELUW+7skK5HoS3u4RNlN5yhRF2KozzKuym3coLcf9esu7+p9Vf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1ReXVdAAAAADAQAADwAAAAAAAAABACAAAAAiAAAAZHJzL2Rvd25y ZXYueG1sUEsBAhQAFAAAAAgAh07iQLxfZuLNAQAAlwMAAA4AAAAAAAAAAQAgAAAAHwEAAGRycy9l Mm9Eb2MueG1sUEsFBgAAAAAGAAYAWQEAAF4FAAAAAA== ">
              <v:fill on="f" focussize="0,0"/>
              <v:stroke on="f"/>
              <v:imagedata o:title=""/>
              <o:lock v:ext="edit" aspectratio="f"/>
              <v:textbox inset="0mm,0mm,0mm,0mm" style="mso-fit-shape-to-text:t;">
                <w:txbxContent>
                  <w:p>
                    <w:pPr>
                      <w:pStyle w:val="29"/>
                      <w:jc w:val="center"/>
                      <w:rPr>
                        <w:rStyle w:val="49"/>
                      </w:rPr>
                    </w:pPr>
                    <w:r>
                      <w:fldChar w:fldCharType="begin"/>
                    </w:r>
                    <w:r>
                      <w:rPr>
                        <w:rStyle w:val="49"/>
                      </w:rPr>
                      <w:instrText xml:space="preserve">PAGE  </w:instrText>
                    </w:r>
                    <w:r>
                      <w:fldChar w:fldCharType="separate"/>
                    </w:r>
                    <w:r>
                      <w:rPr>
                        <w:rStyle w:val="49"/>
                        <w:lang/>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japaneseCounting"/>
      <w:lvlText w:val="第%1章"/>
      <w:lvlJc w:val="left"/>
      <w:pPr>
        <w:tabs>
          <w:tab w:val="left" w:pos="3936"/>
        </w:tabs>
        <w:ind w:left="3936" w:hanging="1125"/>
      </w:pPr>
      <w:rPr>
        <w:rFonts w:hint="default"/>
      </w:rPr>
    </w:lvl>
    <w:lvl w:ilvl="1" w:tentative="0">
      <w:start w:val="1"/>
      <w:numFmt w:val="lowerLetter"/>
      <w:lvlText w:val="%2)"/>
      <w:lvlJc w:val="left"/>
      <w:pPr>
        <w:tabs>
          <w:tab w:val="left" w:pos="3651"/>
        </w:tabs>
        <w:ind w:left="3651" w:hanging="420"/>
      </w:pPr>
    </w:lvl>
    <w:lvl w:ilvl="2" w:tentative="0">
      <w:start w:val="1"/>
      <w:numFmt w:val="lowerRoman"/>
      <w:lvlText w:val="%3."/>
      <w:lvlJc w:val="right"/>
      <w:pPr>
        <w:tabs>
          <w:tab w:val="left" w:pos="4071"/>
        </w:tabs>
        <w:ind w:left="4071" w:hanging="420"/>
      </w:pPr>
    </w:lvl>
    <w:lvl w:ilvl="3" w:tentative="0">
      <w:start w:val="1"/>
      <w:numFmt w:val="decimal"/>
      <w:lvlText w:val="%4."/>
      <w:lvlJc w:val="left"/>
      <w:pPr>
        <w:tabs>
          <w:tab w:val="left" w:pos="4491"/>
        </w:tabs>
        <w:ind w:left="4491" w:hanging="420"/>
      </w:pPr>
    </w:lvl>
    <w:lvl w:ilvl="4" w:tentative="0">
      <w:start w:val="1"/>
      <w:numFmt w:val="lowerLetter"/>
      <w:lvlText w:val="%5)"/>
      <w:lvlJc w:val="left"/>
      <w:pPr>
        <w:tabs>
          <w:tab w:val="left" w:pos="4911"/>
        </w:tabs>
        <w:ind w:left="4911" w:hanging="420"/>
      </w:pPr>
    </w:lvl>
    <w:lvl w:ilvl="5" w:tentative="0">
      <w:start w:val="1"/>
      <w:numFmt w:val="lowerRoman"/>
      <w:lvlText w:val="%6."/>
      <w:lvlJc w:val="right"/>
      <w:pPr>
        <w:tabs>
          <w:tab w:val="left" w:pos="5331"/>
        </w:tabs>
        <w:ind w:left="5331" w:hanging="420"/>
      </w:pPr>
    </w:lvl>
    <w:lvl w:ilvl="6" w:tentative="0">
      <w:start w:val="1"/>
      <w:numFmt w:val="decimal"/>
      <w:lvlText w:val="%7."/>
      <w:lvlJc w:val="left"/>
      <w:pPr>
        <w:tabs>
          <w:tab w:val="left" w:pos="5751"/>
        </w:tabs>
        <w:ind w:left="5751" w:hanging="420"/>
      </w:pPr>
    </w:lvl>
    <w:lvl w:ilvl="7" w:tentative="0">
      <w:start w:val="1"/>
      <w:numFmt w:val="lowerLetter"/>
      <w:lvlText w:val="%8)"/>
      <w:lvlJc w:val="left"/>
      <w:pPr>
        <w:tabs>
          <w:tab w:val="left" w:pos="6171"/>
        </w:tabs>
        <w:ind w:left="6171" w:hanging="420"/>
      </w:pPr>
    </w:lvl>
    <w:lvl w:ilvl="8" w:tentative="0">
      <w:start w:val="1"/>
      <w:numFmt w:val="lowerRoman"/>
      <w:lvlText w:val="%9."/>
      <w:lvlJc w:val="right"/>
      <w:pPr>
        <w:tabs>
          <w:tab w:val="left" w:pos="6591"/>
        </w:tabs>
        <w:ind w:left="6591" w:hanging="420"/>
      </w:pPr>
    </w:lvl>
  </w:abstractNum>
  <w:abstractNum w:abstractNumId="1">
    <w:nsid w:val="263284EE"/>
    <w:multiLevelType w:val="singleLevel"/>
    <w:tmpl w:val="263284EE"/>
    <w:lvl w:ilvl="0" w:tentative="0">
      <w:start w:val="1"/>
      <w:numFmt w:val="decimal"/>
      <w:suff w:val="nothing"/>
      <w:lvlText w:val="%1、"/>
      <w:lvlJc w:val="left"/>
    </w:lvl>
  </w:abstractNum>
  <w:abstractNum w:abstractNumId="2">
    <w:nsid w:val="3A422803"/>
    <w:multiLevelType w:val="singleLevel"/>
    <w:tmpl w:val="3A422803"/>
    <w:lvl w:ilvl="0" w:tentative="0">
      <w:start w:val="2"/>
      <w:numFmt w:val="decimal"/>
      <w:lvlText w:val="%1."/>
      <w:lvlJc w:val="left"/>
      <w:pPr>
        <w:tabs>
          <w:tab w:val="left" w:pos="312"/>
        </w:tabs>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66EF863"/>
    <w:multiLevelType w:val="singleLevel"/>
    <w:tmpl w:val="566EF863"/>
    <w:lvl w:ilvl="0" w:tentative="0">
      <w:start w:val="2"/>
      <w:numFmt w:val="chineseCounting"/>
      <w:suff w:val="nothing"/>
      <w:lvlText w:val="（%1）"/>
      <w:lvlJc w:val="left"/>
      <w:rPr>
        <w:rFonts w:hint="eastAsia"/>
      </w:rPr>
    </w:lvl>
  </w:abstractNum>
  <w:abstractNum w:abstractNumId="6">
    <w:nsid w:val="5AADD8FC"/>
    <w:multiLevelType w:val="singleLevel"/>
    <w:tmpl w:val="5AADD8FC"/>
    <w:lvl w:ilvl="0" w:tentative="0">
      <w:start w:val="1"/>
      <w:numFmt w:val="decimal"/>
      <w:pStyle w:val="12"/>
      <w:lvlText w:val="%1."/>
      <w:lvlJc w:val="left"/>
      <w:pPr>
        <w:tabs>
          <w:tab w:val="left" w:pos="360"/>
        </w:tabs>
        <w:ind w:left="360" w:hanging="360"/>
      </w:p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6933334"/>
    <w:multiLevelType w:val="multilevel"/>
    <w:tmpl w:val="76933334"/>
    <w:lvl w:ilvl="0" w:tentative="0">
      <w:start w:val="1"/>
      <w:numFmt w:val="none"/>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333CD2"/>
    <w:multiLevelType w:val="singleLevel"/>
    <w:tmpl w:val="7C333CD2"/>
    <w:lvl w:ilvl="0" w:tentative="0">
      <w:start w:val="1"/>
      <w:numFmt w:val="decimal"/>
      <w:suff w:val="nothing"/>
      <w:lvlText w:val="%1、"/>
      <w:lvlJc w:val="left"/>
    </w:lvl>
  </w:abstractNum>
  <w:abstractNum w:abstractNumId="10">
    <w:nsid w:val="7D53AAAF"/>
    <w:multiLevelType w:val="singleLevel"/>
    <w:tmpl w:val="7D53AAAF"/>
    <w:lvl w:ilvl="0" w:tentative="0">
      <w:start w:val="5"/>
      <w:numFmt w:val="chineseCounting"/>
      <w:suff w:val="nothing"/>
      <w:lvlText w:val="%1、"/>
      <w:lvlJc w:val="left"/>
      <w:rPr>
        <w:rFonts w:hint="eastAsia"/>
      </w:rPr>
    </w:lvl>
  </w:abstractNum>
  <w:num w:numId="1">
    <w:abstractNumId w:val="6"/>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0"/>
    <w:rsid w:val="00001D39"/>
    <w:rsid w:val="000039B9"/>
    <w:rsid w:val="000043AB"/>
    <w:rsid w:val="000044EC"/>
    <w:rsid w:val="0001145F"/>
    <w:rsid w:val="0001261C"/>
    <w:rsid w:val="00013932"/>
    <w:rsid w:val="00013D1F"/>
    <w:rsid w:val="00014A64"/>
    <w:rsid w:val="00016E63"/>
    <w:rsid w:val="00017946"/>
    <w:rsid w:val="00020886"/>
    <w:rsid w:val="00021FA6"/>
    <w:rsid w:val="000220DF"/>
    <w:rsid w:val="000225AA"/>
    <w:rsid w:val="00023063"/>
    <w:rsid w:val="00025212"/>
    <w:rsid w:val="00025B22"/>
    <w:rsid w:val="00026FFE"/>
    <w:rsid w:val="000305DB"/>
    <w:rsid w:val="00030D88"/>
    <w:rsid w:val="000316B0"/>
    <w:rsid w:val="00031F80"/>
    <w:rsid w:val="000330D8"/>
    <w:rsid w:val="000352A6"/>
    <w:rsid w:val="00035B4A"/>
    <w:rsid w:val="00035D6F"/>
    <w:rsid w:val="00040F15"/>
    <w:rsid w:val="00040FF1"/>
    <w:rsid w:val="00041759"/>
    <w:rsid w:val="00042002"/>
    <w:rsid w:val="000423DF"/>
    <w:rsid w:val="00043471"/>
    <w:rsid w:val="00045570"/>
    <w:rsid w:val="000505F6"/>
    <w:rsid w:val="0005078A"/>
    <w:rsid w:val="00051D02"/>
    <w:rsid w:val="00051E1D"/>
    <w:rsid w:val="000530FF"/>
    <w:rsid w:val="00054202"/>
    <w:rsid w:val="000544C4"/>
    <w:rsid w:val="0005451F"/>
    <w:rsid w:val="00056452"/>
    <w:rsid w:val="00060018"/>
    <w:rsid w:val="00060C49"/>
    <w:rsid w:val="0006104A"/>
    <w:rsid w:val="000624EF"/>
    <w:rsid w:val="00063D80"/>
    <w:rsid w:val="0006496E"/>
    <w:rsid w:val="00065AE5"/>
    <w:rsid w:val="000666B8"/>
    <w:rsid w:val="00067842"/>
    <w:rsid w:val="000704EB"/>
    <w:rsid w:val="00070813"/>
    <w:rsid w:val="00070E46"/>
    <w:rsid w:val="000715C4"/>
    <w:rsid w:val="00071882"/>
    <w:rsid w:val="000726B3"/>
    <w:rsid w:val="000727D3"/>
    <w:rsid w:val="000755F1"/>
    <w:rsid w:val="00075CC9"/>
    <w:rsid w:val="00076D6D"/>
    <w:rsid w:val="00077B11"/>
    <w:rsid w:val="00077CBE"/>
    <w:rsid w:val="00080B54"/>
    <w:rsid w:val="00080DA3"/>
    <w:rsid w:val="000823AC"/>
    <w:rsid w:val="00085E52"/>
    <w:rsid w:val="00092AA5"/>
    <w:rsid w:val="00092C71"/>
    <w:rsid w:val="00093B6D"/>
    <w:rsid w:val="000947B9"/>
    <w:rsid w:val="00096458"/>
    <w:rsid w:val="0009665F"/>
    <w:rsid w:val="000973AE"/>
    <w:rsid w:val="000A3E19"/>
    <w:rsid w:val="000A4A55"/>
    <w:rsid w:val="000A5433"/>
    <w:rsid w:val="000A559E"/>
    <w:rsid w:val="000A7FAE"/>
    <w:rsid w:val="000B1001"/>
    <w:rsid w:val="000B1582"/>
    <w:rsid w:val="000B1D1C"/>
    <w:rsid w:val="000B2095"/>
    <w:rsid w:val="000B2714"/>
    <w:rsid w:val="000B2E8D"/>
    <w:rsid w:val="000B3B79"/>
    <w:rsid w:val="000B41A2"/>
    <w:rsid w:val="000B5299"/>
    <w:rsid w:val="000B75AF"/>
    <w:rsid w:val="000B767C"/>
    <w:rsid w:val="000C1900"/>
    <w:rsid w:val="000C4193"/>
    <w:rsid w:val="000C4241"/>
    <w:rsid w:val="000C51F3"/>
    <w:rsid w:val="000D1007"/>
    <w:rsid w:val="000D1051"/>
    <w:rsid w:val="000D12C7"/>
    <w:rsid w:val="000D29EB"/>
    <w:rsid w:val="000D2D1D"/>
    <w:rsid w:val="000D2E04"/>
    <w:rsid w:val="000D377A"/>
    <w:rsid w:val="000D44B0"/>
    <w:rsid w:val="000D5CCF"/>
    <w:rsid w:val="000D68B5"/>
    <w:rsid w:val="000D73F1"/>
    <w:rsid w:val="000E16FD"/>
    <w:rsid w:val="000E18B0"/>
    <w:rsid w:val="000E2818"/>
    <w:rsid w:val="000E3F3C"/>
    <w:rsid w:val="000E4D54"/>
    <w:rsid w:val="000E62E2"/>
    <w:rsid w:val="000E67C6"/>
    <w:rsid w:val="000E6C61"/>
    <w:rsid w:val="000F0718"/>
    <w:rsid w:val="000F13C8"/>
    <w:rsid w:val="000F1C4F"/>
    <w:rsid w:val="000F3B44"/>
    <w:rsid w:val="000F4184"/>
    <w:rsid w:val="000F73D8"/>
    <w:rsid w:val="000F75F1"/>
    <w:rsid w:val="0010471F"/>
    <w:rsid w:val="00110878"/>
    <w:rsid w:val="00110F02"/>
    <w:rsid w:val="0011293E"/>
    <w:rsid w:val="00112982"/>
    <w:rsid w:val="00120911"/>
    <w:rsid w:val="00120F28"/>
    <w:rsid w:val="00121D24"/>
    <w:rsid w:val="00124176"/>
    <w:rsid w:val="00124A28"/>
    <w:rsid w:val="001262EB"/>
    <w:rsid w:val="001275AF"/>
    <w:rsid w:val="0013239D"/>
    <w:rsid w:val="00132A2B"/>
    <w:rsid w:val="001348E4"/>
    <w:rsid w:val="00135081"/>
    <w:rsid w:val="00137865"/>
    <w:rsid w:val="001415F9"/>
    <w:rsid w:val="00143841"/>
    <w:rsid w:val="00144C4A"/>
    <w:rsid w:val="001465AA"/>
    <w:rsid w:val="00146BA8"/>
    <w:rsid w:val="001512F9"/>
    <w:rsid w:val="0015137C"/>
    <w:rsid w:val="0015291F"/>
    <w:rsid w:val="00154424"/>
    <w:rsid w:val="001544A2"/>
    <w:rsid w:val="00155327"/>
    <w:rsid w:val="00155949"/>
    <w:rsid w:val="00156FE4"/>
    <w:rsid w:val="001571EB"/>
    <w:rsid w:val="00157925"/>
    <w:rsid w:val="00157B67"/>
    <w:rsid w:val="00160E34"/>
    <w:rsid w:val="001625EF"/>
    <w:rsid w:val="00163945"/>
    <w:rsid w:val="0016409F"/>
    <w:rsid w:val="00166E0A"/>
    <w:rsid w:val="0016769F"/>
    <w:rsid w:val="00167722"/>
    <w:rsid w:val="00167817"/>
    <w:rsid w:val="00167D27"/>
    <w:rsid w:val="00167FA6"/>
    <w:rsid w:val="001705AF"/>
    <w:rsid w:val="001716E5"/>
    <w:rsid w:val="00172267"/>
    <w:rsid w:val="00173217"/>
    <w:rsid w:val="001732E9"/>
    <w:rsid w:val="00173C17"/>
    <w:rsid w:val="001764F5"/>
    <w:rsid w:val="00177337"/>
    <w:rsid w:val="0018076B"/>
    <w:rsid w:val="001822E3"/>
    <w:rsid w:val="0018253B"/>
    <w:rsid w:val="00183CF3"/>
    <w:rsid w:val="00184E6B"/>
    <w:rsid w:val="001852AD"/>
    <w:rsid w:val="00186D62"/>
    <w:rsid w:val="001872BB"/>
    <w:rsid w:val="00190A2A"/>
    <w:rsid w:val="001947F6"/>
    <w:rsid w:val="00196C07"/>
    <w:rsid w:val="001A1408"/>
    <w:rsid w:val="001A17F5"/>
    <w:rsid w:val="001A1AA7"/>
    <w:rsid w:val="001A1CCE"/>
    <w:rsid w:val="001A21FF"/>
    <w:rsid w:val="001A258F"/>
    <w:rsid w:val="001A4454"/>
    <w:rsid w:val="001A54D5"/>
    <w:rsid w:val="001A55C2"/>
    <w:rsid w:val="001A6CC0"/>
    <w:rsid w:val="001A7B40"/>
    <w:rsid w:val="001B097A"/>
    <w:rsid w:val="001B138F"/>
    <w:rsid w:val="001B1B6D"/>
    <w:rsid w:val="001B4927"/>
    <w:rsid w:val="001B6686"/>
    <w:rsid w:val="001B747F"/>
    <w:rsid w:val="001C3457"/>
    <w:rsid w:val="001C4E0A"/>
    <w:rsid w:val="001C54C5"/>
    <w:rsid w:val="001D0A77"/>
    <w:rsid w:val="001D20D7"/>
    <w:rsid w:val="001D236F"/>
    <w:rsid w:val="001D42C7"/>
    <w:rsid w:val="001E11A3"/>
    <w:rsid w:val="001E25BC"/>
    <w:rsid w:val="001E45DC"/>
    <w:rsid w:val="001E4E05"/>
    <w:rsid w:val="001E6A16"/>
    <w:rsid w:val="001F1947"/>
    <w:rsid w:val="001F22DE"/>
    <w:rsid w:val="001F57B5"/>
    <w:rsid w:val="001F61C3"/>
    <w:rsid w:val="001F650C"/>
    <w:rsid w:val="001F730E"/>
    <w:rsid w:val="001F7311"/>
    <w:rsid w:val="001F7D57"/>
    <w:rsid w:val="0020008A"/>
    <w:rsid w:val="00200A80"/>
    <w:rsid w:val="00202AD0"/>
    <w:rsid w:val="00202B1F"/>
    <w:rsid w:val="00203AB8"/>
    <w:rsid w:val="0020793C"/>
    <w:rsid w:val="0021026F"/>
    <w:rsid w:val="00211E16"/>
    <w:rsid w:val="002120C9"/>
    <w:rsid w:val="00215974"/>
    <w:rsid w:val="002159A4"/>
    <w:rsid w:val="00216E82"/>
    <w:rsid w:val="00217B1E"/>
    <w:rsid w:val="00220B48"/>
    <w:rsid w:val="00221DBF"/>
    <w:rsid w:val="002223A1"/>
    <w:rsid w:val="002226FC"/>
    <w:rsid w:val="00223414"/>
    <w:rsid w:val="002240CC"/>
    <w:rsid w:val="00224216"/>
    <w:rsid w:val="0022607A"/>
    <w:rsid w:val="00232F10"/>
    <w:rsid w:val="00234C3B"/>
    <w:rsid w:val="002366FC"/>
    <w:rsid w:val="002377AE"/>
    <w:rsid w:val="00242A68"/>
    <w:rsid w:val="002440E2"/>
    <w:rsid w:val="00244FF6"/>
    <w:rsid w:val="00245A7F"/>
    <w:rsid w:val="002463BC"/>
    <w:rsid w:val="00246BCE"/>
    <w:rsid w:val="002519F5"/>
    <w:rsid w:val="002533EB"/>
    <w:rsid w:val="002545F6"/>
    <w:rsid w:val="002561FE"/>
    <w:rsid w:val="00256A60"/>
    <w:rsid w:val="002614CF"/>
    <w:rsid w:val="00261EB3"/>
    <w:rsid w:val="00263E3D"/>
    <w:rsid w:val="0026440F"/>
    <w:rsid w:val="00265F87"/>
    <w:rsid w:val="00266317"/>
    <w:rsid w:val="00267D00"/>
    <w:rsid w:val="00267D90"/>
    <w:rsid w:val="00267EE4"/>
    <w:rsid w:val="002704B0"/>
    <w:rsid w:val="00272720"/>
    <w:rsid w:val="002730EE"/>
    <w:rsid w:val="00273EEB"/>
    <w:rsid w:val="0027490D"/>
    <w:rsid w:val="002763F3"/>
    <w:rsid w:val="002807E8"/>
    <w:rsid w:val="00280EDC"/>
    <w:rsid w:val="002813E4"/>
    <w:rsid w:val="002820A4"/>
    <w:rsid w:val="00282E8F"/>
    <w:rsid w:val="002847DB"/>
    <w:rsid w:val="00284F51"/>
    <w:rsid w:val="0028539C"/>
    <w:rsid w:val="00285815"/>
    <w:rsid w:val="00286286"/>
    <w:rsid w:val="00287591"/>
    <w:rsid w:val="00287C6A"/>
    <w:rsid w:val="002910B3"/>
    <w:rsid w:val="002911BA"/>
    <w:rsid w:val="00292170"/>
    <w:rsid w:val="00292285"/>
    <w:rsid w:val="00292B55"/>
    <w:rsid w:val="002935CE"/>
    <w:rsid w:val="002A3A27"/>
    <w:rsid w:val="002A503C"/>
    <w:rsid w:val="002A5D3A"/>
    <w:rsid w:val="002A6B1A"/>
    <w:rsid w:val="002A6E0E"/>
    <w:rsid w:val="002B088D"/>
    <w:rsid w:val="002B1ECF"/>
    <w:rsid w:val="002B3537"/>
    <w:rsid w:val="002B4432"/>
    <w:rsid w:val="002B502C"/>
    <w:rsid w:val="002B57AF"/>
    <w:rsid w:val="002B585A"/>
    <w:rsid w:val="002B7D81"/>
    <w:rsid w:val="002B7DB0"/>
    <w:rsid w:val="002C0872"/>
    <w:rsid w:val="002C1BA3"/>
    <w:rsid w:val="002C3118"/>
    <w:rsid w:val="002C3D05"/>
    <w:rsid w:val="002C5B63"/>
    <w:rsid w:val="002D002E"/>
    <w:rsid w:val="002D068E"/>
    <w:rsid w:val="002D09DD"/>
    <w:rsid w:val="002D160A"/>
    <w:rsid w:val="002D1C44"/>
    <w:rsid w:val="002D3619"/>
    <w:rsid w:val="002D4990"/>
    <w:rsid w:val="002D5420"/>
    <w:rsid w:val="002D72CB"/>
    <w:rsid w:val="002D7431"/>
    <w:rsid w:val="002E01F4"/>
    <w:rsid w:val="002E217F"/>
    <w:rsid w:val="002E24B6"/>
    <w:rsid w:val="002E3AD3"/>
    <w:rsid w:val="002E4B9A"/>
    <w:rsid w:val="002F035A"/>
    <w:rsid w:val="002F21DD"/>
    <w:rsid w:val="002F32C1"/>
    <w:rsid w:val="002F3F96"/>
    <w:rsid w:val="002F4A91"/>
    <w:rsid w:val="002F4C40"/>
    <w:rsid w:val="00300796"/>
    <w:rsid w:val="00303039"/>
    <w:rsid w:val="00304DE7"/>
    <w:rsid w:val="0030599A"/>
    <w:rsid w:val="00307367"/>
    <w:rsid w:val="003078A2"/>
    <w:rsid w:val="003102AA"/>
    <w:rsid w:val="00311FBC"/>
    <w:rsid w:val="00312BA1"/>
    <w:rsid w:val="00312C54"/>
    <w:rsid w:val="0031410E"/>
    <w:rsid w:val="00315E12"/>
    <w:rsid w:val="003164BA"/>
    <w:rsid w:val="003168D3"/>
    <w:rsid w:val="00316BFD"/>
    <w:rsid w:val="00317342"/>
    <w:rsid w:val="00317658"/>
    <w:rsid w:val="00321458"/>
    <w:rsid w:val="003219A3"/>
    <w:rsid w:val="00321D1A"/>
    <w:rsid w:val="00321DA6"/>
    <w:rsid w:val="00323DFD"/>
    <w:rsid w:val="00323FA2"/>
    <w:rsid w:val="00324B79"/>
    <w:rsid w:val="00325B91"/>
    <w:rsid w:val="0032649E"/>
    <w:rsid w:val="00326B38"/>
    <w:rsid w:val="00326EFD"/>
    <w:rsid w:val="0032755F"/>
    <w:rsid w:val="00330304"/>
    <w:rsid w:val="00332754"/>
    <w:rsid w:val="00335DF0"/>
    <w:rsid w:val="00336992"/>
    <w:rsid w:val="00337DAB"/>
    <w:rsid w:val="00340AE0"/>
    <w:rsid w:val="00340FAD"/>
    <w:rsid w:val="00344975"/>
    <w:rsid w:val="00346AF5"/>
    <w:rsid w:val="00347D34"/>
    <w:rsid w:val="00350660"/>
    <w:rsid w:val="003533DA"/>
    <w:rsid w:val="0035413F"/>
    <w:rsid w:val="003545F8"/>
    <w:rsid w:val="00355C00"/>
    <w:rsid w:val="00355CA1"/>
    <w:rsid w:val="00355D85"/>
    <w:rsid w:val="003566B1"/>
    <w:rsid w:val="00357EF1"/>
    <w:rsid w:val="003604B6"/>
    <w:rsid w:val="00361796"/>
    <w:rsid w:val="003619A7"/>
    <w:rsid w:val="00362639"/>
    <w:rsid w:val="00362D58"/>
    <w:rsid w:val="00366600"/>
    <w:rsid w:val="00366623"/>
    <w:rsid w:val="00366C63"/>
    <w:rsid w:val="003671D4"/>
    <w:rsid w:val="0036727B"/>
    <w:rsid w:val="00371F6F"/>
    <w:rsid w:val="00374C8D"/>
    <w:rsid w:val="0037711C"/>
    <w:rsid w:val="003771B9"/>
    <w:rsid w:val="003803EE"/>
    <w:rsid w:val="003808F3"/>
    <w:rsid w:val="00381146"/>
    <w:rsid w:val="003816AC"/>
    <w:rsid w:val="00382761"/>
    <w:rsid w:val="00383D27"/>
    <w:rsid w:val="003861C1"/>
    <w:rsid w:val="00387164"/>
    <w:rsid w:val="00391ED8"/>
    <w:rsid w:val="003929B6"/>
    <w:rsid w:val="003949BC"/>
    <w:rsid w:val="0039791D"/>
    <w:rsid w:val="00397D3C"/>
    <w:rsid w:val="003A0F71"/>
    <w:rsid w:val="003A19D0"/>
    <w:rsid w:val="003A22D8"/>
    <w:rsid w:val="003A2C46"/>
    <w:rsid w:val="003A5DC5"/>
    <w:rsid w:val="003A61FD"/>
    <w:rsid w:val="003A6E55"/>
    <w:rsid w:val="003A7DD6"/>
    <w:rsid w:val="003B23CC"/>
    <w:rsid w:val="003B39B0"/>
    <w:rsid w:val="003B4515"/>
    <w:rsid w:val="003B5826"/>
    <w:rsid w:val="003B5D3E"/>
    <w:rsid w:val="003B61C8"/>
    <w:rsid w:val="003B7203"/>
    <w:rsid w:val="003C3B29"/>
    <w:rsid w:val="003C4DCF"/>
    <w:rsid w:val="003C6CFF"/>
    <w:rsid w:val="003D0C9B"/>
    <w:rsid w:val="003D1435"/>
    <w:rsid w:val="003D5AAA"/>
    <w:rsid w:val="003E1792"/>
    <w:rsid w:val="003E1C3D"/>
    <w:rsid w:val="003E1E0B"/>
    <w:rsid w:val="003E23F9"/>
    <w:rsid w:val="003E2B64"/>
    <w:rsid w:val="003E469E"/>
    <w:rsid w:val="003E511E"/>
    <w:rsid w:val="003E6079"/>
    <w:rsid w:val="003E64E4"/>
    <w:rsid w:val="003E72E6"/>
    <w:rsid w:val="003F1785"/>
    <w:rsid w:val="003F39FD"/>
    <w:rsid w:val="003F4F57"/>
    <w:rsid w:val="003F5F49"/>
    <w:rsid w:val="003F7BC4"/>
    <w:rsid w:val="00400CE7"/>
    <w:rsid w:val="00401E70"/>
    <w:rsid w:val="00401F1E"/>
    <w:rsid w:val="004021C8"/>
    <w:rsid w:val="00402325"/>
    <w:rsid w:val="004034EA"/>
    <w:rsid w:val="00403BFB"/>
    <w:rsid w:val="004049FB"/>
    <w:rsid w:val="00404DCF"/>
    <w:rsid w:val="004059C7"/>
    <w:rsid w:val="00405AA1"/>
    <w:rsid w:val="0040708D"/>
    <w:rsid w:val="00407D23"/>
    <w:rsid w:val="004121A1"/>
    <w:rsid w:val="00412417"/>
    <w:rsid w:val="004138A6"/>
    <w:rsid w:val="0041689E"/>
    <w:rsid w:val="004200A9"/>
    <w:rsid w:val="004207CE"/>
    <w:rsid w:val="0042091D"/>
    <w:rsid w:val="00420BCB"/>
    <w:rsid w:val="00420EB0"/>
    <w:rsid w:val="00421CC4"/>
    <w:rsid w:val="0042337F"/>
    <w:rsid w:val="00423B2A"/>
    <w:rsid w:val="004240A0"/>
    <w:rsid w:val="004247C7"/>
    <w:rsid w:val="00425164"/>
    <w:rsid w:val="0042536F"/>
    <w:rsid w:val="0042560F"/>
    <w:rsid w:val="004257D0"/>
    <w:rsid w:val="00426094"/>
    <w:rsid w:val="0042639C"/>
    <w:rsid w:val="00427EC2"/>
    <w:rsid w:val="00431019"/>
    <w:rsid w:val="0043233B"/>
    <w:rsid w:val="00432C35"/>
    <w:rsid w:val="004346D8"/>
    <w:rsid w:val="00435A26"/>
    <w:rsid w:val="00436502"/>
    <w:rsid w:val="00436767"/>
    <w:rsid w:val="00437322"/>
    <w:rsid w:val="00437591"/>
    <w:rsid w:val="004377A9"/>
    <w:rsid w:val="00440722"/>
    <w:rsid w:val="00442737"/>
    <w:rsid w:val="004449DA"/>
    <w:rsid w:val="0044563E"/>
    <w:rsid w:val="0044759F"/>
    <w:rsid w:val="00447719"/>
    <w:rsid w:val="00447935"/>
    <w:rsid w:val="00447EF9"/>
    <w:rsid w:val="00451BCE"/>
    <w:rsid w:val="0045384A"/>
    <w:rsid w:val="00453AF7"/>
    <w:rsid w:val="00453AF9"/>
    <w:rsid w:val="004550E0"/>
    <w:rsid w:val="004562E0"/>
    <w:rsid w:val="004604FF"/>
    <w:rsid w:val="00461448"/>
    <w:rsid w:val="00462309"/>
    <w:rsid w:val="004635A3"/>
    <w:rsid w:val="004639DD"/>
    <w:rsid w:val="00464272"/>
    <w:rsid w:val="00465D05"/>
    <w:rsid w:val="00467E41"/>
    <w:rsid w:val="00474F7A"/>
    <w:rsid w:val="00474FE4"/>
    <w:rsid w:val="00475ED4"/>
    <w:rsid w:val="00476944"/>
    <w:rsid w:val="00476F47"/>
    <w:rsid w:val="00477696"/>
    <w:rsid w:val="004834C9"/>
    <w:rsid w:val="00483FF7"/>
    <w:rsid w:val="00484764"/>
    <w:rsid w:val="0048531B"/>
    <w:rsid w:val="00487D3B"/>
    <w:rsid w:val="00491262"/>
    <w:rsid w:val="004914F7"/>
    <w:rsid w:val="00492E24"/>
    <w:rsid w:val="00494CE3"/>
    <w:rsid w:val="0049508C"/>
    <w:rsid w:val="00497EF8"/>
    <w:rsid w:val="00497F03"/>
    <w:rsid w:val="004A08FC"/>
    <w:rsid w:val="004A2804"/>
    <w:rsid w:val="004A2B88"/>
    <w:rsid w:val="004A50F5"/>
    <w:rsid w:val="004A5568"/>
    <w:rsid w:val="004A5E66"/>
    <w:rsid w:val="004A724C"/>
    <w:rsid w:val="004B1ACD"/>
    <w:rsid w:val="004B203A"/>
    <w:rsid w:val="004B20AE"/>
    <w:rsid w:val="004B2F7F"/>
    <w:rsid w:val="004B4A20"/>
    <w:rsid w:val="004B50BA"/>
    <w:rsid w:val="004B58C3"/>
    <w:rsid w:val="004B5CB2"/>
    <w:rsid w:val="004B5CE6"/>
    <w:rsid w:val="004B6119"/>
    <w:rsid w:val="004B663D"/>
    <w:rsid w:val="004C0467"/>
    <w:rsid w:val="004C37BB"/>
    <w:rsid w:val="004C440A"/>
    <w:rsid w:val="004C4E92"/>
    <w:rsid w:val="004C53F8"/>
    <w:rsid w:val="004C5E33"/>
    <w:rsid w:val="004D1237"/>
    <w:rsid w:val="004D262B"/>
    <w:rsid w:val="004D2C2E"/>
    <w:rsid w:val="004D2E21"/>
    <w:rsid w:val="004D2EF5"/>
    <w:rsid w:val="004D372B"/>
    <w:rsid w:val="004D43F9"/>
    <w:rsid w:val="004D71B0"/>
    <w:rsid w:val="004E0604"/>
    <w:rsid w:val="004E0874"/>
    <w:rsid w:val="004E0880"/>
    <w:rsid w:val="004E181B"/>
    <w:rsid w:val="004E1B52"/>
    <w:rsid w:val="004E3DF3"/>
    <w:rsid w:val="004E7F70"/>
    <w:rsid w:val="004F4A3E"/>
    <w:rsid w:val="004F6E9D"/>
    <w:rsid w:val="00500769"/>
    <w:rsid w:val="00500E3F"/>
    <w:rsid w:val="0050221E"/>
    <w:rsid w:val="0050262E"/>
    <w:rsid w:val="0050459F"/>
    <w:rsid w:val="00504EDA"/>
    <w:rsid w:val="0050591A"/>
    <w:rsid w:val="00506E6E"/>
    <w:rsid w:val="00510F3E"/>
    <w:rsid w:val="005119B5"/>
    <w:rsid w:val="00511E00"/>
    <w:rsid w:val="00512C87"/>
    <w:rsid w:val="00513CC7"/>
    <w:rsid w:val="00514BA8"/>
    <w:rsid w:val="005157CA"/>
    <w:rsid w:val="005159D7"/>
    <w:rsid w:val="00516A86"/>
    <w:rsid w:val="005179A6"/>
    <w:rsid w:val="0052196A"/>
    <w:rsid w:val="00521EE0"/>
    <w:rsid w:val="0052453E"/>
    <w:rsid w:val="0052459F"/>
    <w:rsid w:val="00524828"/>
    <w:rsid w:val="0052495E"/>
    <w:rsid w:val="00525201"/>
    <w:rsid w:val="0052619A"/>
    <w:rsid w:val="0053025B"/>
    <w:rsid w:val="005323A0"/>
    <w:rsid w:val="005325C0"/>
    <w:rsid w:val="005328EF"/>
    <w:rsid w:val="005330DD"/>
    <w:rsid w:val="00536B31"/>
    <w:rsid w:val="00541188"/>
    <w:rsid w:val="0054130F"/>
    <w:rsid w:val="005417B6"/>
    <w:rsid w:val="00541AD9"/>
    <w:rsid w:val="005443E4"/>
    <w:rsid w:val="00545FD8"/>
    <w:rsid w:val="00546E17"/>
    <w:rsid w:val="00547927"/>
    <w:rsid w:val="0055083A"/>
    <w:rsid w:val="00550D58"/>
    <w:rsid w:val="00552201"/>
    <w:rsid w:val="00554AC2"/>
    <w:rsid w:val="0055729F"/>
    <w:rsid w:val="00560588"/>
    <w:rsid w:val="005607A7"/>
    <w:rsid w:val="00562A3C"/>
    <w:rsid w:val="00565C53"/>
    <w:rsid w:val="00566CFE"/>
    <w:rsid w:val="00567B25"/>
    <w:rsid w:val="005725D6"/>
    <w:rsid w:val="00574E0C"/>
    <w:rsid w:val="005763A3"/>
    <w:rsid w:val="005778C3"/>
    <w:rsid w:val="00580B04"/>
    <w:rsid w:val="0058231A"/>
    <w:rsid w:val="005907E2"/>
    <w:rsid w:val="00590A57"/>
    <w:rsid w:val="00590CC7"/>
    <w:rsid w:val="005917B0"/>
    <w:rsid w:val="00592AB8"/>
    <w:rsid w:val="00592B00"/>
    <w:rsid w:val="00592C5F"/>
    <w:rsid w:val="0059314C"/>
    <w:rsid w:val="0059436E"/>
    <w:rsid w:val="005950AA"/>
    <w:rsid w:val="005952E6"/>
    <w:rsid w:val="00595B8D"/>
    <w:rsid w:val="00595E34"/>
    <w:rsid w:val="00595E82"/>
    <w:rsid w:val="0059633E"/>
    <w:rsid w:val="00596FEA"/>
    <w:rsid w:val="00597C2F"/>
    <w:rsid w:val="005A0584"/>
    <w:rsid w:val="005A102D"/>
    <w:rsid w:val="005A2927"/>
    <w:rsid w:val="005A2E38"/>
    <w:rsid w:val="005A4115"/>
    <w:rsid w:val="005A497E"/>
    <w:rsid w:val="005A78B3"/>
    <w:rsid w:val="005B0D5D"/>
    <w:rsid w:val="005B189D"/>
    <w:rsid w:val="005B5911"/>
    <w:rsid w:val="005B7CA0"/>
    <w:rsid w:val="005C01D9"/>
    <w:rsid w:val="005C025E"/>
    <w:rsid w:val="005C0A2E"/>
    <w:rsid w:val="005C29EE"/>
    <w:rsid w:val="005C3C04"/>
    <w:rsid w:val="005C4C8A"/>
    <w:rsid w:val="005C5A8B"/>
    <w:rsid w:val="005C6263"/>
    <w:rsid w:val="005C7937"/>
    <w:rsid w:val="005C7FAF"/>
    <w:rsid w:val="005D2683"/>
    <w:rsid w:val="005D3825"/>
    <w:rsid w:val="005D3A24"/>
    <w:rsid w:val="005D437D"/>
    <w:rsid w:val="005E38FC"/>
    <w:rsid w:val="005E4DD5"/>
    <w:rsid w:val="005E4EAF"/>
    <w:rsid w:val="005E7E35"/>
    <w:rsid w:val="005F053E"/>
    <w:rsid w:val="005F4770"/>
    <w:rsid w:val="005F5AD4"/>
    <w:rsid w:val="005F60CE"/>
    <w:rsid w:val="005F7D7F"/>
    <w:rsid w:val="00602627"/>
    <w:rsid w:val="00603B73"/>
    <w:rsid w:val="00605EA5"/>
    <w:rsid w:val="006064B8"/>
    <w:rsid w:val="006070F0"/>
    <w:rsid w:val="00607EBB"/>
    <w:rsid w:val="00610B3A"/>
    <w:rsid w:val="00611308"/>
    <w:rsid w:val="00611AD3"/>
    <w:rsid w:val="00612230"/>
    <w:rsid w:val="00612CA5"/>
    <w:rsid w:val="00613203"/>
    <w:rsid w:val="006144C9"/>
    <w:rsid w:val="006155A0"/>
    <w:rsid w:val="0061587A"/>
    <w:rsid w:val="00616641"/>
    <w:rsid w:val="006171A0"/>
    <w:rsid w:val="006175F8"/>
    <w:rsid w:val="00620A5F"/>
    <w:rsid w:val="00623C10"/>
    <w:rsid w:val="00623FD4"/>
    <w:rsid w:val="00624AC5"/>
    <w:rsid w:val="00624D98"/>
    <w:rsid w:val="006275FB"/>
    <w:rsid w:val="006277FE"/>
    <w:rsid w:val="0063059D"/>
    <w:rsid w:val="006305BF"/>
    <w:rsid w:val="00631846"/>
    <w:rsid w:val="0063448E"/>
    <w:rsid w:val="00636C5C"/>
    <w:rsid w:val="00637886"/>
    <w:rsid w:val="00640191"/>
    <w:rsid w:val="00640A87"/>
    <w:rsid w:val="006419A3"/>
    <w:rsid w:val="00641E4C"/>
    <w:rsid w:val="00642E5B"/>
    <w:rsid w:val="0064503C"/>
    <w:rsid w:val="00645281"/>
    <w:rsid w:val="00645405"/>
    <w:rsid w:val="0064569F"/>
    <w:rsid w:val="00645E6C"/>
    <w:rsid w:val="00646F24"/>
    <w:rsid w:val="006473C7"/>
    <w:rsid w:val="00647673"/>
    <w:rsid w:val="00647727"/>
    <w:rsid w:val="006477E3"/>
    <w:rsid w:val="00647D2C"/>
    <w:rsid w:val="0065091D"/>
    <w:rsid w:val="006510D9"/>
    <w:rsid w:val="00651A6F"/>
    <w:rsid w:val="00652DAB"/>
    <w:rsid w:val="00653582"/>
    <w:rsid w:val="006537FB"/>
    <w:rsid w:val="00653E2C"/>
    <w:rsid w:val="0065513F"/>
    <w:rsid w:val="006577A5"/>
    <w:rsid w:val="00660B86"/>
    <w:rsid w:val="00661A31"/>
    <w:rsid w:val="00662017"/>
    <w:rsid w:val="00662AD0"/>
    <w:rsid w:val="00663117"/>
    <w:rsid w:val="00663E45"/>
    <w:rsid w:val="006640E2"/>
    <w:rsid w:val="00664FF3"/>
    <w:rsid w:val="00667E5F"/>
    <w:rsid w:val="00672474"/>
    <w:rsid w:val="0067430D"/>
    <w:rsid w:val="00677386"/>
    <w:rsid w:val="00682A18"/>
    <w:rsid w:val="00683319"/>
    <w:rsid w:val="006840D0"/>
    <w:rsid w:val="00685849"/>
    <w:rsid w:val="006867ED"/>
    <w:rsid w:val="00690209"/>
    <w:rsid w:val="00692983"/>
    <w:rsid w:val="00694302"/>
    <w:rsid w:val="00694727"/>
    <w:rsid w:val="00694BFE"/>
    <w:rsid w:val="00695A77"/>
    <w:rsid w:val="00696766"/>
    <w:rsid w:val="00696D53"/>
    <w:rsid w:val="006A194D"/>
    <w:rsid w:val="006A1FF8"/>
    <w:rsid w:val="006A2305"/>
    <w:rsid w:val="006A27D5"/>
    <w:rsid w:val="006A2868"/>
    <w:rsid w:val="006A3229"/>
    <w:rsid w:val="006A42E5"/>
    <w:rsid w:val="006A4E57"/>
    <w:rsid w:val="006A523A"/>
    <w:rsid w:val="006A5C78"/>
    <w:rsid w:val="006A670F"/>
    <w:rsid w:val="006A7B79"/>
    <w:rsid w:val="006B0008"/>
    <w:rsid w:val="006B0713"/>
    <w:rsid w:val="006B15D1"/>
    <w:rsid w:val="006B2A68"/>
    <w:rsid w:val="006B2BAF"/>
    <w:rsid w:val="006B4DDD"/>
    <w:rsid w:val="006B5541"/>
    <w:rsid w:val="006B6797"/>
    <w:rsid w:val="006B6B47"/>
    <w:rsid w:val="006C0E64"/>
    <w:rsid w:val="006C39EA"/>
    <w:rsid w:val="006C4648"/>
    <w:rsid w:val="006C7886"/>
    <w:rsid w:val="006D0BF5"/>
    <w:rsid w:val="006D183F"/>
    <w:rsid w:val="006D30A6"/>
    <w:rsid w:val="006D44E5"/>
    <w:rsid w:val="006D5AD6"/>
    <w:rsid w:val="006D5B32"/>
    <w:rsid w:val="006D627B"/>
    <w:rsid w:val="006D6344"/>
    <w:rsid w:val="006D692B"/>
    <w:rsid w:val="006D765B"/>
    <w:rsid w:val="006E0C4B"/>
    <w:rsid w:val="006E167A"/>
    <w:rsid w:val="006E307D"/>
    <w:rsid w:val="006E3C04"/>
    <w:rsid w:val="006E5CC5"/>
    <w:rsid w:val="006E67A6"/>
    <w:rsid w:val="006E7E0F"/>
    <w:rsid w:val="006E7FED"/>
    <w:rsid w:val="006F0D9B"/>
    <w:rsid w:val="006F17BD"/>
    <w:rsid w:val="006F4988"/>
    <w:rsid w:val="006F6089"/>
    <w:rsid w:val="006F67F4"/>
    <w:rsid w:val="006F6A60"/>
    <w:rsid w:val="007009C3"/>
    <w:rsid w:val="007023FE"/>
    <w:rsid w:val="007025E1"/>
    <w:rsid w:val="0070328B"/>
    <w:rsid w:val="007046BC"/>
    <w:rsid w:val="00704B7C"/>
    <w:rsid w:val="0070753F"/>
    <w:rsid w:val="007115A7"/>
    <w:rsid w:val="00712018"/>
    <w:rsid w:val="00712F52"/>
    <w:rsid w:val="0071486B"/>
    <w:rsid w:val="00715198"/>
    <w:rsid w:val="00716294"/>
    <w:rsid w:val="00717AB4"/>
    <w:rsid w:val="00720576"/>
    <w:rsid w:val="0072081F"/>
    <w:rsid w:val="00720E17"/>
    <w:rsid w:val="007223D4"/>
    <w:rsid w:val="0072275D"/>
    <w:rsid w:val="00724901"/>
    <w:rsid w:val="00726F01"/>
    <w:rsid w:val="00727696"/>
    <w:rsid w:val="007309D4"/>
    <w:rsid w:val="00732249"/>
    <w:rsid w:val="007338D6"/>
    <w:rsid w:val="007345E8"/>
    <w:rsid w:val="007352FC"/>
    <w:rsid w:val="00735F57"/>
    <w:rsid w:val="0074053E"/>
    <w:rsid w:val="00740CC9"/>
    <w:rsid w:val="0074178D"/>
    <w:rsid w:val="00741D11"/>
    <w:rsid w:val="007438E1"/>
    <w:rsid w:val="0075034E"/>
    <w:rsid w:val="007522CA"/>
    <w:rsid w:val="00753BAF"/>
    <w:rsid w:val="00753C32"/>
    <w:rsid w:val="00754010"/>
    <w:rsid w:val="00754178"/>
    <w:rsid w:val="0075424F"/>
    <w:rsid w:val="00755BCA"/>
    <w:rsid w:val="00756D0A"/>
    <w:rsid w:val="00757096"/>
    <w:rsid w:val="007617A6"/>
    <w:rsid w:val="00761B30"/>
    <w:rsid w:val="007635D3"/>
    <w:rsid w:val="00763DE9"/>
    <w:rsid w:val="0076449A"/>
    <w:rsid w:val="00764D72"/>
    <w:rsid w:val="00766A1F"/>
    <w:rsid w:val="00767584"/>
    <w:rsid w:val="00771D67"/>
    <w:rsid w:val="007727F6"/>
    <w:rsid w:val="00772D19"/>
    <w:rsid w:val="00774461"/>
    <w:rsid w:val="007748EA"/>
    <w:rsid w:val="007754CA"/>
    <w:rsid w:val="007758AE"/>
    <w:rsid w:val="007761EF"/>
    <w:rsid w:val="007762BF"/>
    <w:rsid w:val="007768BB"/>
    <w:rsid w:val="00777071"/>
    <w:rsid w:val="00777D50"/>
    <w:rsid w:val="0078006D"/>
    <w:rsid w:val="007805D5"/>
    <w:rsid w:val="0078171F"/>
    <w:rsid w:val="00784C72"/>
    <w:rsid w:val="00785EA1"/>
    <w:rsid w:val="00786FAD"/>
    <w:rsid w:val="0078789A"/>
    <w:rsid w:val="00787F87"/>
    <w:rsid w:val="00793C74"/>
    <w:rsid w:val="00794135"/>
    <w:rsid w:val="007953B8"/>
    <w:rsid w:val="00796D3B"/>
    <w:rsid w:val="00796FAB"/>
    <w:rsid w:val="007A0AC2"/>
    <w:rsid w:val="007A1B1B"/>
    <w:rsid w:val="007A244A"/>
    <w:rsid w:val="007A3DF2"/>
    <w:rsid w:val="007A49CD"/>
    <w:rsid w:val="007A683B"/>
    <w:rsid w:val="007A6E52"/>
    <w:rsid w:val="007B13CD"/>
    <w:rsid w:val="007B1D36"/>
    <w:rsid w:val="007B24E7"/>
    <w:rsid w:val="007B4093"/>
    <w:rsid w:val="007B4CA8"/>
    <w:rsid w:val="007B52FC"/>
    <w:rsid w:val="007B56BB"/>
    <w:rsid w:val="007B5C66"/>
    <w:rsid w:val="007B6807"/>
    <w:rsid w:val="007C0AFD"/>
    <w:rsid w:val="007C4945"/>
    <w:rsid w:val="007C5823"/>
    <w:rsid w:val="007C5BF8"/>
    <w:rsid w:val="007C655C"/>
    <w:rsid w:val="007C6644"/>
    <w:rsid w:val="007D10AB"/>
    <w:rsid w:val="007D28F1"/>
    <w:rsid w:val="007D31ED"/>
    <w:rsid w:val="007D3793"/>
    <w:rsid w:val="007D4684"/>
    <w:rsid w:val="007D5B8B"/>
    <w:rsid w:val="007D629C"/>
    <w:rsid w:val="007D6575"/>
    <w:rsid w:val="007E06DC"/>
    <w:rsid w:val="007E362D"/>
    <w:rsid w:val="007E3F4D"/>
    <w:rsid w:val="007E4EA7"/>
    <w:rsid w:val="007E6F91"/>
    <w:rsid w:val="007E7D8A"/>
    <w:rsid w:val="007F0757"/>
    <w:rsid w:val="007F083B"/>
    <w:rsid w:val="007F1691"/>
    <w:rsid w:val="007F25F0"/>
    <w:rsid w:val="007F38DD"/>
    <w:rsid w:val="007F4C16"/>
    <w:rsid w:val="007F5990"/>
    <w:rsid w:val="007F6F6A"/>
    <w:rsid w:val="007F7332"/>
    <w:rsid w:val="0080027C"/>
    <w:rsid w:val="00800B28"/>
    <w:rsid w:val="008026B7"/>
    <w:rsid w:val="00803A9B"/>
    <w:rsid w:val="00803D22"/>
    <w:rsid w:val="00803F74"/>
    <w:rsid w:val="008054A2"/>
    <w:rsid w:val="008054BB"/>
    <w:rsid w:val="008066A7"/>
    <w:rsid w:val="008073CB"/>
    <w:rsid w:val="0080745E"/>
    <w:rsid w:val="00811AAE"/>
    <w:rsid w:val="0081321C"/>
    <w:rsid w:val="008134DA"/>
    <w:rsid w:val="00813651"/>
    <w:rsid w:val="00815D4D"/>
    <w:rsid w:val="00816A5F"/>
    <w:rsid w:val="00816DD9"/>
    <w:rsid w:val="008170B3"/>
    <w:rsid w:val="00817CF9"/>
    <w:rsid w:val="00817FA2"/>
    <w:rsid w:val="00820FC1"/>
    <w:rsid w:val="00824475"/>
    <w:rsid w:val="008246FB"/>
    <w:rsid w:val="0082520B"/>
    <w:rsid w:val="0082634E"/>
    <w:rsid w:val="008322E2"/>
    <w:rsid w:val="00833E82"/>
    <w:rsid w:val="00834532"/>
    <w:rsid w:val="00835999"/>
    <w:rsid w:val="00836D49"/>
    <w:rsid w:val="00836FCB"/>
    <w:rsid w:val="0083719C"/>
    <w:rsid w:val="008409F9"/>
    <w:rsid w:val="00840ED6"/>
    <w:rsid w:val="00842014"/>
    <w:rsid w:val="0084493B"/>
    <w:rsid w:val="0084586C"/>
    <w:rsid w:val="0084642B"/>
    <w:rsid w:val="00851E91"/>
    <w:rsid w:val="0085258F"/>
    <w:rsid w:val="00852D16"/>
    <w:rsid w:val="0085323D"/>
    <w:rsid w:val="00853ECB"/>
    <w:rsid w:val="00855B5F"/>
    <w:rsid w:val="008563BD"/>
    <w:rsid w:val="00856465"/>
    <w:rsid w:val="00856768"/>
    <w:rsid w:val="0086190F"/>
    <w:rsid w:val="00861A18"/>
    <w:rsid w:val="00861B79"/>
    <w:rsid w:val="00861CE6"/>
    <w:rsid w:val="0086429E"/>
    <w:rsid w:val="00864CED"/>
    <w:rsid w:val="00865B96"/>
    <w:rsid w:val="0086667D"/>
    <w:rsid w:val="00870F4A"/>
    <w:rsid w:val="00874907"/>
    <w:rsid w:val="00874C81"/>
    <w:rsid w:val="00881628"/>
    <w:rsid w:val="00882B7D"/>
    <w:rsid w:val="0088375A"/>
    <w:rsid w:val="00887215"/>
    <w:rsid w:val="008909AD"/>
    <w:rsid w:val="00891903"/>
    <w:rsid w:val="00892B72"/>
    <w:rsid w:val="008930D4"/>
    <w:rsid w:val="00893260"/>
    <w:rsid w:val="0089630D"/>
    <w:rsid w:val="008979BE"/>
    <w:rsid w:val="008A1907"/>
    <w:rsid w:val="008A19D9"/>
    <w:rsid w:val="008A1F9A"/>
    <w:rsid w:val="008A2510"/>
    <w:rsid w:val="008A4C02"/>
    <w:rsid w:val="008A4E5F"/>
    <w:rsid w:val="008A6542"/>
    <w:rsid w:val="008B04A7"/>
    <w:rsid w:val="008B09A4"/>
    <w:rsid w:val="008B4790"/>
    <w:rsid w:val="008C0868"/>
    <w:rsid w:val="008C2DC3"/>
    <w:rsid w:val="008C40A2"/>
    <w:rsid w:val="008C4A09"/>
    <w:rsid w:val="008C6410"/>
    <w:rsid w:val="008D2F65"/>
    <w:rsid w:val="008D3ACF"/>
    <w:rsid w:val="008D4383"/>
    <w:rsid w:val="008D4421"/>
    <w:rsid w:val="008D4BE4"/>
    <w:rsid w:val="008D4DCE"/>
    <w:rsid w:val="008D4FEC"/>
    <w:rsid w:val="008D52B0"/>
    <w:rsid w:val="008D6B21"/>
    <w:rsid w:val="008E21CB"/>
    <w:rsid w:val="008E24F2"/>
    <w:rsid w:val="008E31EC"/>
    <w:rsid w:val="008E7158"/>
    <w:rsid w:val="008E7D95"/>
    <w:rsid w:val="008F0ACE"/>
    <w:rsid w:val="008F187E"/>
    <w:rsid w:val="008F1CD7"/>
    <w:rsid w:val="008F41AD"/>
    <w:rsid w:val="008F4660"/>
    <w:rsid w:val="008F71BA"/>
    <w:rsid w:val="008F7268"/>
    <w:rsid w:val="008F770F"/>
    <w:rsid w:val="00902F1B"/>
    <w:rsid w:val="00905EF8"/>
    <w:rsid w:val="00906311"/>
    <w:rsid w:val="00907BDC"/>
    <w:rsid w:val="0091039C"/>
    <w:rsid w:val="0091086F"/>
    <w:rsid w:val="00913DC4"/>
    <w:rsid w:val="00914B35"/>
    <w:rsid w:val="00916116"/>
    <w:rsid w:val="009163A3"/>
    <w:rsid w:val="00917B18"/>
    <w:rsid w:val="00921C60"/>
    <w:rsid w:val="00921E58"/>
    <w:rsid w:val="009227ED"/>
    <w:rsid w:val="00922BCD"/>
    <w:rsid w:val="00922D72"/>
    <w:rsid w:val="00924AE1"/>
    <w:rsid w:val="00924D00"/>
    <w:rsid w:val="00925008"/>
    <w:rsid w:val="009254A4"/>
    <w:rsid w:val="00926FBE"/>
    <w:rsid w:val="00927086"/>
    <w:rsid w:val="00930441"/>
    <w:rsid w:val="00936985"/>
    <w:rsid w:val="00937936"/>
    <w:rsid w:val="00937B8C"/>
    <w:rsid w:val="009403A7"/>
    <w:rsid w:val="00940C30"/>
    <w:rsid w:val="00944511"/>
    <w:rsid w:val="009460FB"/>
    <w:rsid w:val="009510FC"/>
    <w:rsid w:val="0095346A"/>
    <w:rsid w:val="009555C2"/>
    <w:rsid w:val="00955D98"/>
    <w:rsid w:val="00964078"/>
    <w:rsid w:val="00967ADC"/>
    <w:rsid w:val="00971115"/>
    <w:rsid w:val="009716AD"/>
    <w:rsid w:val="00971B95"/>
    <w:rsid w:val="009727B5"/>
    <w:rsid w:val="009736A5"/>
    <w:rsid w:val="00974DB7"/>
    <w:rsid w:val="0097735F"/>
    <w:rsid w:val="009806D5"/>
    <w:rsid w:val="009809A7"/>
    <w:rsid w:val="00980E08"/>
    <w:rsid w:val="00985132"/>
    <w:rsid w:val="0098566F"/>
    <w:rsid w:val="00986341"/>
    <w:rsid w:val="00986E3B"/>
    <w:rsid w:val="00987715"/>
    <w:rsid w:val="00987B82"/>
    <w:rsid w:val="00987CDF"/>
    <w:rsid w:val="0099112E"/>
    <w:rsid w:val="00992200"/>
    <w:rsid w:val="00997C82"/>
    <w:rsid w:val="009A328D"/>
    <w:rsid w:val="009A37E1"/>
    <w:rsid w:val="009A3AC6"/>
    <w:rsid w:val="009A5035"/>
    <w:rsid w:val="009A6F31"/>
    <w:rsid w:val="009B00D3"/>
    <w:rsid w:val="009B1E00"/>
    <w:rsid w:val="009B24D8"/>
    <w:rsid w:val="009B2B00"/>
    <w:rsid w:val="009B4EFD"/>
    <w:rsid w:val="009C1429"/>
    <w:rsid w:val="009C1704"/>
    <w:rsid w:val="009C29E8"/>
    <w:rsid w:val="009C4826"/>
    <w:rsid w:val="009C5240"/>
    <w:rsid w:val="009C6BC0"/>
    <w:rsid w:val="009C6E07"/>
    <w:rsid w:val="009C743B"/>
    <w:rsid w:val="009C786F"/>
    <w:rsid w:val="009D13C9"/>
    <w:rsid w:val="009D1460"/>
    <w:rsid w:val="009D1E79"/>
    <w:rsid w:val="009D5156"/>
    <w:rsid w:val="009D5EC8"/>
    <w:rsid w:val="009D6D24"/>
    <w:rsid w:val="009D7B42"/>
    <w:rsid w:val="009E1003"/>
    <w:rsid w:val="009E34E7"/>
    <w:rsid w:val="009E36E1"/>
    <w:rsid w:val="009E49D3"/>
    <w:rsid w:val="009E50C7"/>
    <w:rsid w:val="009E6880"/>
    <w:rsid w:val="009F0FC6"/>
    <w:rsid w:val="009F1354"/>
    <w:rsid w:val="009F4129"/>
    <w:rsid w:val="009F4EBF"/>
    <w:rsid w:val="009F5D4A"/>
    <w:rsid w:val="009F67AA"/>
    <w:rsid w:val="009F728B"/>
    <w:rsid w:val="009F7408"/>
    <w:rsid w:val="009F74DF"/>
    <w:rsid w:val="00A036D5"/>
    <w:rsid w:val="00A0595C"/>
    <w:rsid w:val="00A060E7"/>
    <w:rsid w:val="00A06915"/>
    <w:rsid w:val="00A07A1E"/>
    <w:rsid w:val="00A108B8"/>
    <w:rsid w:val="00A11EF4"/>
    <w:rsid w:val="00A1231F"/>
    <w:rsid w:val="00A1414E"/>
    <w:rsid w:val="00A14744"/>
    <w:rsid w:val="00A14BD0"/>
    <w:rsid w:val="00A150A1"/>
    <w:rsid w:val="00A15635"/>
    <w:rsid w:val="00A16125"/>
    <w:rsid w:val="00A1612F"/>
    <w:rsid w:val="00A17B36"/>
    <w:rsid w:val="00A219D9"/>
    <w:rsid w:val="00A2264E"/>
    <w:rsid w:val="00A22E10"/>
    <w:rsid w:val="00A23E2B"/>
    <w:rsid w:val="00A240E4"/>
    <w:rsid w:val="00A242E9"/>
    <w:rsid w:val="00A24A32"/>
    <w:rsid w:val="00A258F4"/>
    <w:rsid w:val="00A25CFD"/>
    <w:rsid w:val="00A265E2"/>
    <w:rsid w:val="00A271A6"/>
    <w:rsid w:val="00A31759"/>
    <w:rsid w:val="00A32E99"/>
    <w:rsid w:val="00A336B8"/>
    <w:rsid w:val="00A35464"/>
    <w:rsid w:val="00A42406"/>
    <w:rsid w:val="00A44CB1"/>
    <w:rsid w:val="00A46556"/>
    <w:rsid w:val="00A51E6C"/>
    <w:rsid w:val="00A521FF"/>
    <w:rsid w:val="00A540E4"/>
    <w:rsid w:val="00A5557C"/>
    <w:rsid w:val="00A55E2F"/>
    <w:rsid w:val="00A568F1"/>
    <w:rsid w:val="00A57922"/>
    <w:rsid w:val="00A625AB"/>
    <w:rsid w:val="00A67B72"/>
    <w:rsid w:val="00A705B2"/>
    <w:rsid w:val="00A706C4"/>
    <w:rsid w:val="00A708E5"/>
    <w:rsid w:val="00A729AF"/>
    <w:rsid w:val="00A73D58"/>
    <w:rsid w:val="00A73F1B"/>
    <w:rsid w:val="00A7440C"/>
    <w:rsid w:val="00A7481A"/>
    <w:rsid w:val="00A755C7"/>
    <w:rsid w:val="00A80FCB"/>
    <w:rsid w:val="00A84994"/>
    <w:rsid w:val="00A8552B"/>
    <w:rsid w:val="00A86339"/>
    <w:rsid w:val="00A9072F"/>
    <w:rsid w:val="00A90758"/>
    <w:rsid w:val="00A9113C"/>
    <w:rsid w:val="00A92325"/>
    <w:rsid w:val="00A925A0"/>
    <w:rsid w:val="00A93B9E"/>
    <w:rsid w:val="00A94412"/>
    <w:rsid w:val="00A9505C"/>
    <w:rsid w:val="00A952E6"/>
    <w:rsid w:val="00A967C1"/>
    <w:rsid w:val="00A969D2"/>
    <w:rsid w:val="00A97520"/>
    <w:rsid w:val="00A97623"/>
    <w:rsid w:val="00A97D5C"/>
    <w:rsid w:val="00AA053D"/>
    <w:rsid w:val="00AA0F09"/>
    <w:rsid w:val="00AA2B2C"/>
    <w:rsid w:val="00AA5959"/>
    <w:rsid w:val="00AA6FB9"/>
    <w:rsid w:val="00AA6FC3"/>
    <w:rsid w:val="00AB03D8"/>
    <w:rsid w:val="00AB05C7"/>
    <w:rsid w:val="00AB1459"/>
    <w:rsid w:val="00AB1AE8"/>
    <w:rsid w:val="00AB4CC9"/>
    <w:rsid w:val="00AB58B9"/>
    <w:rsid w:val="00AB6548"/>
    <w:rsid w:val="00AC1E27"/>
    <w:rsid w:val="00AC1ED8"/>
    <w:rsid w:val="00AC2DFB"/>
    <w:rsid w:val="00AC396B"/>
    <w:rsid w:val="00AD3AF9"/>
    <w:rsid w:val="00AD4299"/>
    <w:rsid w:val="00AD52AB"/>
    <w:rsid w:val="00AD6A70"/>
    <w:rsid w:val="00AD7201"/>
    <w:rsid w:val="00AD769B"/>
    <w:rsid w:val="00AE0380"/>
    <w:rsid w:val="00AE0464"/>
    <w:rsid w:val="00AE0CFB"/>
    <w:rsid w:val="00AE1C73"/>
    <w:rsid w:val="00AE26B3"/>
    <w:rsid w:val="00AE2932"/>
    <w:rsid w:val="00AE329D"/>
    <w:rsid w:val="00AE548D"/>
    <w:rsid w:val="00AE5891"/>
    <w:rsid w:val="00AE6E99"/>
    <w:rsid w:val="00AE6FBC"/>
    <w:rsid w:val="00AF0667"/>
    <w:rsid w:val="00AF2645"/>
    <w:rsid w:val="00AF41E0"/>
    <w:rsid w:val="00AF49C5"/>
    <w:rsid w:val="00AF5827"/>
    <w:rsid w:val="00AF784A"/>
    <w:rsid w:val="00B00C04"/>
    <w:rsid w:val="00B03DAA"/>
    <w:rsid w:val="00B043EB"/>
    <w:rsid w:val="00B043EE"/>
    <w:rsid w:val="00B04D83"/>
    <w:rsid w:val="00B05680"/>
    <w:rsid w:val="00B05FC6"/>
    <w:rsid w:val="00B076A2"/>
    <w:rsid w:val="00B10862"/>
    <w:rsid w:val="00B153AC"/>
    <w:rsid w:val="00B1574F"/>
    <w:rsid w:val="00B16329"/>
    <w:rsid w:val="00B20A03"/>
    <w:rsid w:val="00B212E2"/>
    <w:rsid w:val="00B2424D"/>
    <w:rsid w:val="00B24A10"/>
    <w:rsid w:val="00B26063"/>
    <w:rsid w:val="00B271BD"/>
    <w:rsid w:val="00B275E3"/>
    <w:rsid w:val="00B30276"/>
    <w:rsid w:val="00B31D67"/>
    <w:rsid w:val="00B353D1"/>
    <w:rsid w:val="00B35A8D"/>
    <w:rsid w:val="00B362B9"/>
    <w:rsid w:val="00B36944"/>
    <w:rsid w:val="00B41260"/>
    <w:rsid w:val="00B43315"/>
    <w:rsid w:val="00B43F42"/>
    <w:rsid w:val="00B460CA"/>
    <w:rsid w:val="00B463D1"/>
    <w:rsid w:val="00B46867"/>
    <w:rsid w:val="00B475F5"/>
    <w:rsid w:val="00B504C9"/>
    <w:rsid w:val="00B50D59"/>
    <w:rsid w:val="00B51F0F"/>
    <w:rsid w:val="00B53163"/>
    <w:rsid w:val="00B53542"/>
    <w:rsid w:val="00B5509B"/>
    <w:rsid w:val="00B60A80"/>
    <w:rsid w:val="00B60E5D"/>
    <w:rsid w:val="00B60FDD"/>
    <w:rsid w:val="00B613B8"/>
    <w:rsid w:val="00B6178E"/>
    <w:rsid w:val="00B6364D"/>
    <w:rsid w:val="00B649CB"/>
    <w:rsid w:val="00B67862"/>
    <w:rsid w:val="00B67E07"/>
    <w:rsid w:val="00B7098E"/>
    <w:rsid w:val="00B76C1E"/>
    <w:rsid w:val="00B80200"/>
    <w:rsid w:val="00B82BCB"/>
    <w:rsid w:val="00B8331C"/>
    <w:rsid w:val="00B84C6D"/>
    <w:rsid w:val="00B87691"/>
    <w:rsid w:val="00B87B86"/>
    <w:rsid w:val="00B90708"/>
    <w:rsid w:val="00B91608"/>
    <w:rsid w:val="00B93ABD"/>
    <w:rsid w:val="00B93D2E"/>
    <w:rsid w:val="00B95CED"/>
    <w:rsid w:val="00B96725"/>
    <w:rsid w:val="00B96EA2"/>
    <w:rsid w:val="00BA0CF2"/>
    <w:rsid w:val="00BA1083"/>
    <w:rsid w:val="00BA171C"/>
    <w:rsid w:val="00BA2210"/>
    <w:rsid w:val="00BA5384"/>
    <w:rsid w:val="00BB03F7"/>
    <w:rsid w:val="00BB0E38"/>
    <w:rsid w:val="00BB37B2"/>
    <w:rsid w:val="00BB47CA"/>
    <w:rsid w:val="00BB4B05"/>
    <w:rsid w:val="00BB5109"/>
    <w:rsid w:val="00BB55E9"/>
    <w:rsid w:val="00BB6C2F"/>
    <w:rsid w:val="00BC0405"/>
    <w:rsid w:val="00BC17B2"/>
    <w:rsid w:val="00BC1B35"/>
    <w:rsid w:val="00BC1EE1"/>
    <w:rsid w:val="00BC5E3F"/>
    <w:rsid w:val="00BC6F5D"/>
    <w:rsid w:val="00BC7310"/>
    <w:rsid w:val="00BD031F"/>
    <w:rsid w:val="00BD147E"/>
    <w:rsid w:val="00BD157E"/>
    <w:rsid w:val="00BD1DE4"/>
    <w:rsid w:val="00BD1F0F"/>
    <w:rsid w:val="00BD1F87"/>
    <w:rsid w:val="00BD38D8"/>
    <w:rsid w:val="00BD3F11"/>
    <w:rsid w:val="00BD4A8C"/>
    <w:rsid w:val="00BD4FF0"/>
    <w:rsid w:val="00BD5911"/>
    <w:rsid w:val="00BD66A0"/>
    <w:rsid w:val="00BD6EDE"/>
    <w:rsid w:val="00BD6EFF"/>
    <w:rsid w:val="00BD7DA1"/>
    <w:rsid w:val="00BE23A5"/>
    <w:rsid w:val="00BE3435"/>
    <w:rsid w:val="00BE35D6"/>
    <w:rsid w:val="00BE3775"/>
    <w:rsid w:val="00BE430F"/>
    <w:rsid w:val="00BE4C3A"/>
    <w:rsid w:val="00BE4FE3"/>
    <w:rsid w:val="00BE690F"/>
    <w:rsid w:val="00BE7B39"/>
    <w:rsid w:val="00BF0DD8"/>
    <w:rsid w:val="00BF1692"/>
    <w:rsid w:val="00BF34C7"/>
    <w:rsid w:val="00BF447D"/>
    <w:rsid w:val="00BF6F2F"/>
    <w:rsid w:val="00BF7320"/>
    <w:rsid w:val="00C00367"/>
    <w:rsid w:val="00C023C3"/>
    <w:rsid w:val="00C0248A"/>
    <w:rsid w:val="00C024C6"/>
    <w:rsid w:val="00C13269"/>
    <w:rsid w:val="00C13E2F"/>
    <w:rsid w:val="00C145A4"/>
    <w:rsid w:val="00C14D64"/>
    <w:rsid w:val="00C16F8C"/>
    <w:rsid w:val="00C17C71"/>
    <w:rsid w:val="00C17F8B"/>
    <w:rsid w:val="00C20971"/>
    <w:rsid w:val="00C221D2"/>
    <w:rsid w:val="00C224B2"/>
    <w:rsid w:val="00C2488A"/>
    <w:rsid w:val="00C31916"/>
    <w:rsid w:val="00C32221"/>
    <w:rsid w:val="00C3440A"/>
    <w:rsid w:val="00C3452B"/>
    <w:rsid w:val="00C376A0"/>
    <w:rsid w:val="00C37834"/>
    <w:rsid w:val="00C40F27"/>
    <w:rsid w:val="00C4183C"/>
    <w:rsid w:val="00C46BB0"/>
    <w:rsid w:val="00C47D29"/>
    <w:rsid w:val="00C47FD5"/>
    <w:rsid w:val="00C5020E"/>
    <w:rsid w:val="00C52D26"/>
    <w:rsid w:val="00C54160"/>
    <w:rsid w:val="00C5564C"/>
    <w:rsid w:val="00C55BEF"/>
    <w:rsid w:val="00C576CE"/>
    <w:rsid w:val="00C61305"/>
    <w:rsid w:val="00C64483"/>
    <w:rsid w:val="00C64830"/>
    <w:rsid w:val="00C651EA"/>
    <w:rsid w:val="00C65BB7"/>
    <w:rsid w:val="00C67060"/>
    <w:rsid w:val="00C700C5"/>
    <w:rsid w:val="00C716C3"/>
    <w:rsid w:val="00C71D37"/>
    <w:rsid w:val="00C723C9"/>
    <w:rsid w:val="00C72E51"/>
    <w:rsid w:val="00C736BD"/>
    <w:rsid w:val="00C75262"/>
    <w:rsid w:val="00C778B6"/>
    <w:rsid w:val="00C80AA5"/>
    <w:rsid w:val="00C80DD4"/>
    <w:rsid w:val="00C834EE"/>
    <w:rsid w:val="00C847D0"/>
    <w:rsid w:val="00C86F8A"/>
    <w:rsid w:val="00C87537"/>
    <w:rsid w:val="00C90381"/>
    <w:rsid w:val="00C91F16"/>
    <w:rsid w:val="00C91FCC"/>
    <w:rsid w:val="00C9216C"/>
    <w:rsid w:val="00C94751"/>
    <w:rsid w:val="00C948F5"/>
    <w:rsid w:val="00C94B33"/>
    <w:rsid w:val="00C94F9E"/>
    <w:rsid w:val="00C953C9"/>
    <w:rsid w:val="00C9579D"/>
    <w:rsid w:val="00C95EAA"/>
    <w:rsid w:val="00C96A93"/>
    <w:rsid w:val="00C972FF"/>
    <w:rsid w:val="00CA194C"/>
    <w:rsid w:val="00CA1D54"/>
    <w:rsid w:val="00CA4BF4"/>
    <w:rsid w:val="00CA507E"/>
    <w:rsid w:val="00CA6162"/>
    <w:rsid w:val="00CA75D9"/>
    <w:rsid w:val="00CB28F7"/>
    <w:rsid w:val="00CB3427"/>
    <w:rsid w:val="00CB633E"/>
    <w:rsid w:val="00CB65CE"/>
    <w:rsid w:val="00CC238B"/>
    <w:rsid w:val="00CC3A8C"/>
    <w:rsid w:val="00CD010B"/>
    <w:rsid w:val="00CD01D2"/>
    <w:rsid w:val="00CD07FA"/>
    <w:rsid w:val="00CD1535"/>
    <w:rsid w:val="00CD3385"/>
    <w:rsid w:val="00CD68C8"/>
    <w:rsid w:val="00CD6C35"/>
    <w:rsid w:val="00CD7231"/>
    <w:rsid w:val="00CE0B42"/>
    <w:rsid w:val="00CE12B0"/>
    <w:rsid w:val="00CE12DB"/>
    <w:rsid w:val="00CE1878"/>
    <w:rsid w:val="00CE1981"/>
    <w:rsid w:val="00CE2920"/>
    <w:rsid w:val="00CE2F45"/>
    <w:rsid w:val="00CE5AE1"/>
    <w:rsid w:val="00CE5EE3"/>
    <w:rsid w:val="00CE7BC3"/>
    <w:rsid w:val="00CF26A3"/>
    <w:rsid w:val="00CF2F32"/>
    <w:rsid w:val="00CF300C"/>
    <w:rsid w:val="00CF5080"/>
    <w:rsid w:val="00CF52F1"/>
    <w:rsid w:val="00CF5340"/>
    <w:rsid w:val="00CF7FE0"/>
    <w:rsid w:val="00D00DD5"/>
    <w:rsid w:val="00D01708"/>
    <w:rsid w:val="00D01FD3"/>
    <w:rsid w:val="00D0369A"/>
    <w:rsid w:val="00D037A3"/>
    <w:rsid w:val="00D07636"/>
    <w:rsid w:val="00D078D8"/>
    <w:rsid w:val="00D11E6D"/>
    <w:rsid w:val="00D12871"/>
    <w:rsid w:val="00D12FFD"/>
    <w:rsid w:val="00D173F2"/>
    <w:rsid w:val="00D17BD9"/>
    <w:rsid w:val="00D202FE"/>
    <w:rsid w:val="00D24C60"/>
    <w:rsid w:val="00D30919"/>
    <w:rsid w:val="00D33ABE"/>
    <w:rsid w:val="00D35643"/>
    <w:rsid w:val="00D3603E"/>
    <w:rsid w:val="00D3752A"/>
    <w:rsid w:val="00D376BD"/>
    <w:rsid w:val="00D401BE"/>
    <w:rsid w:val="00D412D1"/>
    <w:rsid w:val="00D420E9"/>
    <w:rsid w:val="00D43534"/>
    <w:rsid w:val="00D4405D"/>
    <w:rsid w:val="00D44D6D"/>
    <w:rsid w:val="00D459B7"/>
    <w:rsid w:val="00D46311"/>
    <w:rsid w:val="00D47C72"/>
    <w:rsid w:val="00D50DB7"/>
    <w:rsid w:val="00D51125"/>
    <w:rsid w:val="00D526A6"/>
    <w:rsid w:val="00D53C83"/>
    <w:rsid w:val="00D5491A"/>
    <w:rsid w:val="00D56151"/>
    <w:rsid w:val="00D56196"/>
    <w:rsid w:val="00D57707"/>
    <w:rsid w:val="00D57863"/>
    <w:rsid w:val="00D57B3E"/>
    <w:rsid w:val="00D62273"/>
    <w:rsid w:val="00D62D92"/>
    <w:rsid w:val="00D63F7C"/>
    <w:rsid w:val="00D65342"/>
    <w:rsid w:val="00D7034D"/>
    <w:rsid w:val="00D71E38"/>
    <w:rsid w:val="00D72B49"/>
    <w:rsid w:val="00D7362F"/>
    <w:rsid w:val="00D80355"/>
    <w:rsid w:val="00D80DE3"/>
    <w:rsid w:val="00D8436F"/>
    <w:rsid w:val="00D845F7"/>
    <w:rsid w:val="00D905CA"/>
    <w:rsid w:val="00D90F94"/>
    <w:rsid w:val="00D90FC3"/>
    <w:rsid w:val="00D92A18"/>
    <w:rsid w:val="00D9413B"/>
    <w:rsid w:val="00D95B4A"/>
    <w:rsid w:val="00D95DDE"/>
    <w:rsid w:val="00D9614E"/>
    <w:rsid w:val="00DA4566"/>
    <w:rsid w:val="00DA6855"/>
    <w:rsid w:val="00DA6BE1"/>
    <w:rsid w:val="00DB0D70"/>
    <w:rsid w:val="00DB43F2"/>
    <w:rsid w:val="00DB4563"/>
    <w:rsid w:val="00DB56FC"/>
    <w:rsid w:val="00DB5E66"/>
    <w:rsid w:val="00DB6241"/>
    <w:rsid w:val="00DB7B01"/>
    <w:rsid w:val="00DC0DA4"/>
    <w:rsid w:val="00DC2721"/>
    <w:rsid w:val="00DC3CB5"/>
    <w:rsid w:val="00DC4507"/>
    <w:rsid w:val="00DC6391"/>
    <w:rsid w:val="00DC75AF"/>
    <w:rsid w:val="00DC7DBC"/>
    <w:rsid w:val="00DD06F2"/>
    <w:rsid w:val="00DD099E"/>
    <w:rsid w:val="00DD3388"/>
    <w:rsid w:val="00DD40B0"/>
    <w:rsid w:val="00DD5D5E"/>
    <w:rsid w:val="00DD67CA"/>
    <w:rsid w:val="00DD7FA9"/>
    <w:rsid w:val="00DE0A02"/>
    <w:rsid w:val="00DE105D"/>
    <w:rsid w:val="00DE2988"/>
    <w:rsid w:val="00DE59DB"/>
    <w:rsid w:val="00DE5F53"/>
    <w:rsid w:val="00DF172A"/>
    <w:rsid w:val="00DF4D33"/>
    <w:rsid w:val="00DF7535"/>
    <w:rsid w:val="00E009FA"/>
    <w:rsid w:val="00E03232"/>
    <w:rsid w:val="00E039DB"/>
    <w:rsid w:val="00E03FF6"/>
    <w:rsid w:val="00E0404D"/>
    <w:rsid w:val="00E0570F"/>
    <w:rsid w:val="00E07676"/>
    <w:rsid w:val="00E1326B"/>
    <w:rsid w:val="00E13855"/>
    <w:rsid w:val="00E13884"/>
    <w:rsid w:val="00E13988"/>
    <w:rsid w:val="00E13FA8"/>
    <w:rsid w:val="00E148C8"/>
    <w:rsid w:val="00E174CC"/>
    <w:rsid w:val="00E20002"/>
    <w:rsid w:val="00E20C17"/>
    <w:rsid w:val="00E2377D"/>
    <w:rsid w:val="00E238AC"/>
    <w:rsid w:val="00E24453"/>
    <w:rsid w:val="00E24460"/>
    <w:rsid w:val="00E244B0"/>
    <w:rsid w:val="00E25327"/>
    <w:rsid w:val="00E26A73"/>
    <w:rsid w:val="00E271FD"/>
    <w:rsid w:val="00E30ACD"/>
    <w:rsid w:val="00E3146D"/>
    <w:rsid w:val="00E31C3B"/>
    <w:rsid w:val="00E325A4"/>
    <w:rsid w:val="00E33A66"/>
    <w:rsid w:val="00E36C95"/>
    <w:rsid w:val="00E37948"/>
    <w:rsid w:val="00E414F4"/>
    <w:rsid w:val="00E41DAA"/>
    <w:rsid w:val="00E426E2"/>
    <w:rsid w:val="00E42D65"/>
    <w:rsid w:val="00E53951"/>
    <w:rsid w:val="00E54092"/>
    <w:rsid w:val="00E54609"/>
    <w:rsid w:val="00E54BD3"/>
    <w:rsid w:val="00E5544A"/>
    <w:rsid w:val="00E60923"/>
    <w:rsid w:val="00E60D7A"/>
    <w:rsid w:val="00E65F8B"/>
    <w:rsid w:val="00E66E39"/>
    <w:rsid w:val="00E67CCC"/>
    <w:rsid w:val="00E67F08"/>
    <w:rsid w:val="00E747B4"/>
    <w:rsid w:val="00E76654"/>
    <w:rsid w:val="00E77D87"/>
    <w:rsid w:val="00E804E6"/>
    <w:rsid w:val="00E820D5"/>
    <w:rsid w:val="00E83A1D"/>
    <w:rsid w:val="00E83E90"/>
    <w:rsid w:val="00E85721"/>
    <w:rsid w:val="00E858B5"/>
    <w:rsid w:val="00E85D91"/>
    <w:rsid w:val="00E861CA"/>
    <w:rsid w:val="00E87830"/>
    <w:rsid w:val="00E87FC4"/>
    <w:rsid w:val="00E91269"/>
    <w:rsid w:val="00E91306"/>
    <w:rsid w:val="00E92779"/>
    <w:rsid w:val="00E93629"/>
    <w:rsid w:val="00E957EE"/>
    <w:rsid w:val="00E95E70"/>
    <w:rsid w:val="00E97EDE"/>
    <w:rsid w:val="00EA0483"/>
    <w:rsid w:val="00EA0541"/>
    <w:rsid w:val="00EA10CD"/>
    <w:rsid w:val="00EA11A7"/>
    <w:rsid w:val="00EA358E"/>
    <w:rsid w:val="00EA72D1"/>
    <w:rsid w:val="00EA7478"/>
    <w:rsid w:val="00EA79D6"/>
    <w:rsid w:val="00EA7BFA"/>
    <w:rsid w:val="00EB0D43"/>
    <w:rsid w:val="00EB2532"/>
    <w:rsid w:val="00EB3214"/>
    <w:rsid w:val="00EB528C"/>
    <w:rsid w:val="00EB7008"/>
    <w:rsid w:val="00EC0B91"/>
    <w:rsid w:val="00EC3EAB"/>
    <w:rsid w:val="00EC5186"/>
    <w:rsid w:val="00EC664C"/>
    <w:rsid w:val="00EC7ACC"/>
    <w:rsid w:val="00EC7E56"/>
    <w:rsid w:val="00ED1309"/>
    <w:rsid w:val="00ED3161"/>
    <w:rsid w:val="00ED4EE0"/>
    <w:rsid w:val="00ED54E0"/>
    <w:rsid w:val="00ED560C"/>
    <w:rsid w:val="00ED5E10"/>
    <w:rsid w:val="00EE1360"/>
    <w:rsid w:val="00EE20A2"/>
    <w:rsid w:val="00EE3125"/>
    <w:rsid w:val="00EE3160"/>
    <w:rsid w:val="00EE37D1"/>
    <w:rsid w:val="00EE3F4F"/>
    <w:rsid w:val="00EE4AAA"/>
    <w:rsid w:val="00EE4D56"/>
    <w:rsid w:val="00EE5E1A"/>
    <w:rsid w:val="00EE5EAF"/>
    <w:rsid w:val="00EF4BC0"/>
    <w:rsid w:val="00EF52F5"/>
    <w:rsid w:val="00EF6C0D"/>
    <w:rsid w:val="00EF706B"/>
    <w:rsid w:val="00EF73CB"/>
    <w:rsid w:val="00EF7BEA"/>
    <w:rsid w:val="00F00BBB"/>
    <w:rsid w:val="00F01735"/>
    <w:rsid w:val="00F022C0"/>
    <w:rsid w:val="00F0251A"/>
    <w:rsid w:val="00F0289C"/>
    <w:rsid w:val="00F039C1"/>
    <w:rsid w:val="00F03E6A"/>
    <w:rsid w:val="00F052C9"/>
    <w:rsid w:val="00F1056F"/>
    <w:rsid w:val="00F1335E"/>
    <w:rsid w:val="00F137AC"/>
    <w:rsid w:val="00F139A2"/>
    <w:rsid w:val="00F157E7"/>
    <w:rsid w:val="00F16019"/>
    <w:rsid w:val="00F16B4A"/>
    <w:rsid w:val="00F20E83"/>
    <w:rsid w:val="00F21C39"/>
    <w:rsid w:val="00F24BCC"/>
    <w:rsid w:val="00F27F55"/>
    <w:rsid w:val="00F31509"/>
    <w:rsid w:val="00F32C0F"/>
    <w:rsid w:val="00F366FF"/>
    <w:rsid w:val="00F36CE9"/>
    <w:rsid w:val="00F40599"/>
    <w:rsid w:val="00F40AB2"/>
    <w:rsid w:val="00F418DC"/>
    <w:rsid w:val="00F41C91"/>
    <w:rsid w:val="00F42FA6"/>
    <w:rsid w:val="00F44BEC"/>
    <w:rsid w:val="00F454CC"/>
    <w:rsid w:val="00F47416"/>
    <w:rsid w:val="00F501DF"/>
    <w:rsid w:val="00F51BCF"/>
    <w:rsid w:val="00F51BD9"/>
    <w:rsid w:val="00F5217F"/>
    <w:rsid w:val="00F523EA"/>
    <w:rsid w:val="00F55B5A"/>
    <w:rsid w:val="00F55D28"/>
    <w:rsid w:val="00F56887"/>
    <w:rsid w:val="00F57D29"/>
    <w:rsid w:val="00F6078E"/>
    <w:rsid w:val="00F611A3"/>
    <w:rsid w:val="00F626FA"/>
    <w:rsid w:val="00F63D94"/>
    <w:rsid w:val="00F65166"/>
    <w:rsid w:val="00F65BE1"/>
    <w:rsid w:val="00F7270D"/>
    <w:rsid w:val="00F7299A"/>
    <w:rsid w:val="00F73E4C"/>
    <w:rsid w:val="00F7447A"/>
    <w:rsid w:val="00F746D6"/>
    <w:rsid w:val="00F749DA"/>
    <w:rsid w:val="00F76705"/>
    <w:rsid w:val="00F801A8"/>
    <w:rsid w:val="00F832C8"/>
    <w:rsid w:val="00F832F6"/>
    <w:rsid w:val="00F858C1"/>
    <w:rsid w:val="00F86C2F"/>
    <w:rsid w:val="00F90D84"/>
    <w:rsid w:val="00F914F7"/>
    <w:rsid w:val="00F96F68"/>
    <w:rsid w:val="00F97B21"/>
    <w:rsid w:val="00FA05AF"/>
    <w:rsid w:val="00FA098C"/>
    <w:rsid w:val="00FA1A31"/>
    <w:rsid w:val="00FA3260"/>
    <w:rsid w:val="00FA36C9"/>
    <w:rsid w:val="00FA3DFC"/>
    <w:rsid w:val="00FA3EAA"/>
    <w:rsid w:val="00FA4630"/>
    <w:rsid w:val="00FA4926"/>
    <w:rsid w:val="00FA5EB4"/>
    <w:rsid w:val="00FA6490"/>
    <w:rsid w:val="00FB0157"/>
    <w:rsid w:val="00FB0E9C"/>
    <w:rsid w:val="00FB1F98"/>
    <w:rsid w:val="00FB276A"/>
    <w:rsid w:val="00FB4887"/>
    <w:rsid w:val="00FB6020"/>
    <w:rsid w:val="00FB68EC"/>
    <w:rsid w:val="00FB7B16"/>
    <w:rsid w:val="00FC06A5"/>
    <w:rsid w:val="00FC11FD"/>
    <w:rsid w:val="00FC2DD3"/>
    <w:rsid w:val="00FC50D0"/>
    <w:rsid w:val="00FC5CCB"/>
    <w:rsid w:val="00FC6F14"/>
    <w:rsid w:val="00FD1A80"/>
    <w:rsid w:val="00FD314C"/>
    <w:rsid w:val="00FD39AA"/>
    <w:rsid w:val="00FD3CED"/>
    <w:rsid w:val="00FD4651"/>
    <w:rsid w:val="00FD48EE"/>
    <w:rsid w:val="00FD5731"/>
    <w:rsid w:val="00FD777C"/>
    <w:rsid w:val="00FE1579"/>
    <w:rsid w:val="00FE1C61"/>
    <w:rsid w:val="00FE42A5"/>
    <w:rsid w:val="00FE463C"/>
    <w:rsid w:val="00FE4EE9"/>
    <w:rsid w:val="00FE626E"/>
    <w:rsid w:val="00FE7279"/>
    <w:rsid w:val="00FF3335"/>
    <w:rsid w:val="00FF3389"/>
    <w:rsid w:val="00FF42B5"/>
    <w:rsid w:val="00FF4CB0"/>
    <w:rsid w:val="00FF6192"/>
    <w:rsid w:val="011E2DFA"/>
    <w:rsid w:val="01217EA4"/>
    <w:rsid w:val="01256EF0"/>
    <w:rsid w:val="01573D7A"/>
    <w:rsid w:val="01EA2C51"/>
    <w:rsid w:val="01FA3775"/>
    <w:rsid w:val="023C1BA6"/>
    <w:rsid w:val="023E2F34"/>
    <w:rsid w:val="02751DEB"/>
    <w:rsid w:val="02B75A39"/>
    <w:rsid w:val="030471AA"/>
    <w:rsid w:val="032B34C6"/>
    <w:rsid w:val="033B2BD2"/>
    <w:rsid w:val="03683450"/>
    <w:rsid w:val="03B342EC"/>
    <w:rsid w:val="03B92B48"/>
    <w:rsid w:val="0403139B"/>
    <w:rsid w:val="04176CF0"/>
    <w:rsid w:val="04572EF2"/>
    <w:rsid w:val="04646273"/>
    <w:rsid w:val="0468326F"/>
    <w:rsid w:val="04696989"/>
    <w:rsid w:val="0492306A"/>
    <w:rsid w:val="04A976BD"/>
    <w:rsid w:val="04BA3B95"/>
    <w:rsid w:val="04CD0CED"/>
    <w:rsid w:val="04E0288B"/>
    <w:rsid w:val="04EA25B5"/>
    <w:rsid w:val="04F54A61"/>
    <w:rsid w:val="052513DE"/>
    <w:rsid w:val="05345BB4"/>
    <w:rsid w:val="053638AB"/>
    <w:rsid w:val="054B7754"/>
    <w:rsid w:val="05565142"/>
    <w:rsid w:val="059F5037"/>
    <w:rsid w:val="05A557EF"/>
    <w:rsid w:val="05B072FA"/>
    <w:rsid w:val="05DA5B0A"/>
    <w:rsid w:val="05E845FC"/>
    <w:rsid w:val="05E86777"/>
    <w:rsid w:val="06086BB5"/>
    <w:rsid w:val="062536B6"/>
    <w:rsid w:val="062E1F4B"/>
    <w:rsid w:val="06600DF3"/>
    <w:rsid w:val="06A1123B"/>
    <w:rsid w:val="06B109F3"/>
    <w:rsid w:val="06FA6998"/>
    <w:rsid w:val="06FD6480"/>
    <w:rsid w:val="071C4CA3"/>
    <w:rsid w:val="07B6569E"/>
    <w:rsid w:val="07CD5F34"/>
    <w:rsid w:val="085823B8"/>
    <w:rsid w:val="08746984"/>
    <w:rsid w:val="088610F7"/>
    <w:rsid w:val="088F233A"/>
    <w:rsid w:val="08A14A4B"/>
    <w:rsid w:val="08D47135"/>
    <w:rsid w:val="08DB160E"/>
    <w:rsid w:val="093A61F0"/>
    <w:rsid w:val="096B6ADC"/>
    <w:rsid w:val="097530D9"/>
    <w:rsid w:val="099871AF"/>
    <w:rsid w:val="09BA4A20"/>
    <w:rsid w:val="0A020549"/>
    <w:rsid w:val="0A26138D"/>
    <w:rsid w:val="0A465265"/>
    <w:rsid w:val="0A643B53"/>
    <w:rsid w:val="0A77789B"/>
    <w:rsid w:val="0A9D60CF"/>
    <w:rsid w:val="0AA57069"/>
    <w:rsid w:val="0AC846AE"/>
    <w:rsid w:val="0B1F3445"/>
    <w:rsid w:val="0B36738C"/>
    <w:rsid w:val="0B644DE3"/>
    <w:rsid w:val="0B6655F1"/>
    <w:rsid w:val="0B76219D"/>
    <w:rsid w:val="0BA804AB"/>
    <w:rsid w:val="0C0418C8"/>
    <w:rsid w:val="0C0F22BD"/>
    <w:rsid w:val="0C2A69E5"/>
    <w:rsid w:val="0C3236D5"/>
    <w:rsid w:val="0C8F1B01"/>
    <w:rsid w:val="0C9D4BDA"/>
    <w:rsid w:val="0CB10D43"/>
    <w:rsid w:val="0CEB4D7F"/>
    <w:rsid w:val="0D011E63"/>
    <w:rsid w:val="0D8350D5"/>
    <w:rsid w:val="0D8767CE"/>
    <w:rsid w:val="0D8C309F"/>
    <w:rsid w:val="0D8E4982"/>
    <w:rsid w:val="0DAF04BA"/>
    <w:rsid w:val="0DDE2063"/>
    <w:rsid w:val="0DF323C0"/>
    <w:rsid w:val="0E12691F"/>
    <w:rsid w:val="0E176DF3"/>
    <w:rsid w:val="0E1C1645"/>
    <w:rsid w:val="0E363F6E"/>
    <w:rsid w:val="0E3C65CE"/>
    <w:rsid w:val="0E733DB5"/>
    <w:rsid w:val="0E9E3EF1"/>
    <w:rsid w:val="0EDA5BD5"/>
    <w:rsid w:val="0EF669B5"/>
    <w:rsid w:val="0EFB720D"/>
    <w:rsid w:val="0F0D79C7"/>
    <w:rsid w:val="0F4E2466"/>
    <w:rsid w:val="0F65233E"/>
    <w:rsid w:val="0F8629AC"/>
    <w:rsid w:val="10087984"/>
    <w:rsid w:val="102A073A"/>
    <w:rsid w:val="10585A78"/>
    <w:rsid w:val="106B5CEA"/>
    <w:rsid w:val="10C64056"/>
    <w:rsid w:val="10C72CBA"/>
    <w:rsid w:val="10FE5BF2"/>
    <w:rsid w:val="11535F09"/>
    <w:rsid w:val="118F01CE"/>
    <w:rsid w:val="1197482D"/>
    <w:rsid w:val="11A37EEE"/>
    <w:rsid w:val="11B228C2"/>
    <w:rsid w:val="11B6533A"/>
    <w:rsid w:val="11C73664"/>
    <w:rsid w:val="122A690E"/>
    <w:rsid w:val="123051BC"/>
    <w:rsid w:val="12524F2E"/>
    <w:rsid w:val="128C39EE"/>
    <w:rsid w:val="12B70611"/>
    <w:rsid w:val="12DC34D0"/>
    <w:rsid w:val="12FA353A"/>
    <w:rsid w:val="12FB31CD"/>
    <w:rsid w:val="12FB32CE"/>
    <w:rsid w:val="1389771A"/>
    <w:rsid w:val="13A300B5"/>
    <w:rsid w:val="13AF175B"/>
    <w:rsid w:val="13FE0EFF"/>
    <w:rsid w:val="140869E0"/>
    <w:rsid w:val="14285479"/>
    <w:rsid w:val="142C0E26"/>
    <w:rsid w:val="14451D8D"/>
    <w:rsid w:val="14677A92"/>
    <w:rsid w:val="1488608E"/>
    <w:rsid w:val="148E1889"/>
    <w:rsid w:val="149C2913"/>
    <w:rsid w:val="14B711FB"/>
    <w:rsid w:val="14BB4B0D"/>
    <w:rsid w:val="14D97127"/>
    <w:rsid w:val="14FB6555"/>
    <w:rsid w:val="155873A4"/>
    <w:rsid w:val="15693742"/>
    <w:rsid w:val="15AE019C"/>
    <w:rsid w:val="16070274"/>
    <w:rsid w:val="16072FC4"/>
    <w:rsid w:val="1634356B"/>
    <w:rsid w:val="16951D3E"/>
    <w:rsid w:val="16F75169"/>
    <w:rsid w:val="170456C4"/>
    <w:rsid w:val="171A1996"/>
    <w:rsid w:val="179A3827"/>
    <w:rsid w:val="17D65A09"/>
    <w:rsid w:val="17D8155A"/>
    <w:rsid w:val="180F3214"/>
    <w:rsid w:val="181E5F9F"/>
    <w:rsid w:val="1838552D"/>
    <w:rsid w:val="183F2776"/>
    <w:rsid w:val="18607C56"/>
    <w:rsid w:val="1871293F"/>
    <w:rsid w:val="1881228C"/>
    <w:rsid w:val="18C94040"/>
    <w:rsid w:val="18D201A5"/>
    <w:rsid w:val="194B3238"/>
    <w:rsid w:val="196743FB"/>
    <w:rsid w:val="19A95749"/>
    <w:rsid w:val="19D67BB1"/>
    <w:rsid w:val="19DD5D3F"/>
    <w:rsid w:val="19F35E3C"/>
    <w:rsid w:val="1A9D5A81"/>
    <w:rsid w:val="1AAD2081"/>
    <w:rsid w:val="1AC95D70"/>
    <w:rsid w:val="1ACC675B"/>
    <w:rsid w:val="1B020CA6"/>
    <w:rsid w:val="1B0762BF"/>
    <w:rsid w:val="1B1C4C30"/>
    <w:rsid w:val="1B2924CE"/>
    <w:rsid w:val="1B662540"/>
    <w:rsid w:val="1B93507C"/>
    <w:rsid w:val="1BED2E66"/>
    <w:rsid w:val="1BF23CD0"/>
    <w:rsid w:val="1C1168F0"/>
    <w:rsid w:val="1C177EAE"/>
    <w:rsid w:val="1C25495C"/>
    <w:rsid w:val="1C5E27F7"/>
    <w:rsid w:val="1C682818"/>
    <w:rsid w:val="1CC92727"/>
    <w:rsid w:val="1CCE0EB2"/>
    <w:rsid w:val="1CCE7BB3"/>
    <w:rsid w:val="1CE34270"/>
    <w:rsid w:val="1CEE03EA"/>
    <w:rsid w:val="1D584284"/>
    <w:rsid w:val="1D785907"/>
    <w:rsid w:val="1D845FAF"/>
    <w:rsid w:val="1DA6605A"/>
    <w:rsid w:val="1DB4060E"/>
    <w:rsid w:val="1DC63193"/>
    <w:rsid w:val="1DD67A1E"/>
    <w:rsid w:val="1E1A574F"/>
    <w:rsid w:val="1E681FFA"/>
    <w:rsid w:val="1E7F6B29"/>
    <w:rsid w:val="1EB97984"/>
    <w:rsid w:val="1F265544"/>
    <w:rsid w:val="1FCA4893"/>
    <w:rsid w:val="204F6FF5"/>
    <w:rsid w:val="206E0B45"/>
    <w:rsid w:val="20793F9C"/>
    <w:rsid w:val="2090268B"/>
    <w:rsid w:val="20956C20"/>
    <w:rsid w:val="209C1158"/>
    <w:rsid w:val="20F14481"/>
    <w:rsid w:val="210631FB"/>
    <w:rsid w:val="21196738"/>
    <w:rsid w:val="21254824"/>
    <w:rsid w:val="213830B5"/>
    <w:rsid w:val="21782636"/>
    <w:rsid w:val="21B73E54"/>
    <w:rsid w:val="21CB1BC7"/>
    <w:rsid w:val="228232CF"/>
    <w:rsid w:val="230B34F1"/>
    <w:rsid w:val="233C5D00"/>
    <w:rsid w:val="2347268F"/>
    <w:rsid w:val="23625326"/>
    <w:rsid w:val="23B22118"/>
    <w:rsid w:val="23B70CF2"/>
    <w:rsid w:val="23E54247"/>
    <w:rsid w:val="240117B2"/>
    <w:rsid w:val="24304146"/>
    <w:rsid w:val="245A5711"/>
    <w:rsid w:val="248D6DB7"/>
    <w:rsid w:val="248F0954"/>
    <w:rsid w:val="24F23361"/>
    <w:rsid w:val="251833AA"/>
    <w:rsid w:val="251B62AD"/>
    <w:rsid w:val="25300CD0"/>
    <w:rsid w:val="253147B0"/>
    <w:rsid w:val="25760E50"/>
    <w:rsid w:val="25CE560F"/>
    <w:rsid w:val="25DC2902"/>
    <w:rsid w:val="26145DF7"/>
    <w:rsid w:val="261E0D85"/>
    <w:rsid w:val="26471E8B"/>
    <w:rsid w:val="26527E2F"/>
    <w:rsid w:val="268A2C2F"/>
    <w:rsid w:val="269A6A45"/>
    <w:rsid w:val="26C93792"/>
    <w:rsid w:val="270E700A"/>
    <w:rsid w:val="277909FE"/>
    <w:rsid w:val="277B158B"/>
    <w:rsid w:val="27DE3583"/>
    <w:rsid w:val="27F87BFE"/>
    <w:rsid w:val="280368B0"/>
    <w:rsid w:val="28D7455D"/>
    <w:rsid w:val="28F91F87"/>
    <w:rsid w:val="29083CDC"/>
    <w:rsid w:val="290D0836"/>
    <w:rsid w:val="2911138C"/>
    <w:rsid w:val="296144ED"/>
    <w:rsid w:val="29874914"/>
    <w:rsid w:val="29A958FC"/>
    <w:rsid w:val="29BB3B63"/>
    <w:rsid w:val="29C951C9"/>
    <w:rsid w:val="29DC5EE6"/>
    <w:rsid w:val="29F46A58"/>
    <w:rsid w:val="2A090348"/>
    <w:rsid w:val="2A47395D"/>
    <w:rsid w:val="2A5F673F"/>
    <w:rsid w:val="2A855BE1"/>
    <w:rsid w:val="2B3914C1"/>
    <w:rsid w:val="2B420651"/>
    <w:rsid w:val="2B681C1A"/>
    <w:rsid w:val="2B7E0E2E"/>
    <w:rsid w:val="2B892E3D"/>
    <w:rsid w:val="2B8F4FFC"/>
    <w:rsid w:val="2BA4307C"/>
    <w:rsid w:val="2BC81FE6"/>
    <w:rsid w:val="2C4A6CAD"/>
    <w:rsid w:val="2C5A0078"/>
    <w:rsid w:val="2C875138"/>
    <w:rsid w:val="2C94299C"/>
    <w:rsid w:val="2C993FC6"/>
    <w:rsid w:val="2CB25B61"/>
    <w:rsid w:val="2CE77A42"/>
    <w:rsid w:val="2D2B280A"/>
    <w:rsid w:val="2D3B4AA5"/>
    <w:rsid w:val="2D696A53"/>
    <w:rsid w:val="2D9B57D5"/>
    <w:rsid w:val="2DAD1169"/>
    <w:rsid w:val="2DCE2921"/>
    <w:rsid w:val="2DDD382F"/>
    <w:rsid w:val="2E14271E"/>
    <w:rsid w:val="2EAB3FB8"/>
    <w:rsid w:val="2F0C047A"/>
    <w:rsid w:val="2F6573E8"/>
    <w:rsid w:val="305736E6"/>
    <w:rsid w:val="306C590D"/>
    <w:rsid w:val="30A0740C"/>
    <w:rsid w:val="30BF66A1"/>
    <w:rsid w:val="312014EF"/>
    <w:rsid w:val="31251B08"/>
    <w:rsid w:val="31271523"/>
    <w:rsid w:val="316F5542"/>
    <w:rsid w:val="317E33E4"/>
    <w:rsid w:val="318D466D"/>
    <w:rsid w:val="31F170EA"/>
    <w:rsid w:val="3223547F"/>
    <w:rsid w:val="32323021"/>
    <w:rsid w:val="32493837"/>
    <w:rsid w:val="32892AD4"/>
    <w:rsid w:val="329A734E"/>
    <w:rsid w:val="32B25730"/>
    <w:rsid w:val="32C249E8"/>
    <w:rsid w:val="32D111B8"/>
    <w:rsid w:val="32FC3907"/>
    <w:rsid w:val="33102FFE"/>
    <w:rsid w:val="332E3962"/>
    <w:rsid w:val="33482DF3"/>
    <w:rsid w:val="336164DA"/>
    <w:rsid w:val="337374B4"/>
    <w:rsid w:val="33817F32"/>
    <w:rsid w:val="339E7F36"/>
    <w:rsid w:val="33ED5951"/>
    <w:rsid w:val="33FD3E4D"/>
    <w:rsid w:val="3445411C"/>
    <w:rsid w:val="346D2DC8"/>
    <w:rsid w:val="34755BBF"/>
    <w:rsid w:val="34895986"/>
    <w:rsid w:val="34A86293"/>
    <w:rsid w:val="34CA02F4"/>
    <w:rsid w:val="34E24E8E"/>
    <w:rsid w:val="34F11E49"/>
    <w:rsid w:val="34FD6EAB"/>
    <w:rsid w:val="35501058"/>
    <w:rsid w:val="355A10A6"/>
    <w:rsid w:val="35902C65"/>
    <w:rsid w:val="35A04AD0"/>
    <w:rsid w:val="35B500F5"/>
    <w:rsid w:val="35DE13A3"/>
    <w:rsid w:val="35EF4D27"/>
    <w:rsid w:val="35FF66DF"/>
    <w:rsid w:val="362C29D1"/>
    <w:rsid w:val="36D5400E"/>
    <w:rsid w:val="36DA051A"/>
    <w:rsid w:val="36EF64F2"/>
    <w:rsid w:val="370D26B5"/>
    <w:rsid w:val="370E23F5"/>
    <w:rsid w:val="37175C89"/>
    <w:rsid w:val="374B2970"/>
    <w:rsid w:val="375778D0"/>
    <w:rsid w:val="37A04CB3"/>
    <w:rsid w:val="37A73115"/>
    <w:rsid w:val="37B83807"/>
    <w:rsid w:val="37CA1D87"/>
    <w:rsid w:val="387B74A3"/>
    <w:rsid w:val="38A05E79"/>
    <w:rsid w:val="38A206B7"/>
    <w:rsid w:val="390371A5"/>
    <w:rsid w:val="392C1062"/>
    <w:rsid w:val="392C3613"/>
    <w:rsid w:val="3936280A"/>
    <w:rsid w:val="39A96323"/>
    <w:rsid w:val="39CD7229"/>
    <w:rsid w:val="39FE7073"/>
    <w:rsid w:val="3A501DFC"/>
    <w:rsid w:val="3A5365A5"/>
    <w:rsid w:val="3A5E2952"/>
    <w:rsid w:val="3A693121"/>
    <w:rsid w:val="3A8A0354"/>
    <w:rsid w:val="3AC226BC"/>
    <w:rsid w:val="3ACB4B6D"/>
    <w:rsid w:val="3ACE5BBE"/>
    <w:rsid w:val="3AFF2CB4"/>
    <w:rsid w:val="3B2650FC"/>
    <w:rsid w:val="3B29531F"/>
    <w:rsid w:val="3B5D4AA0"/>
    <w:rsid w:val="3B6A2CFE"/>
    <w:rsid w:val="3B764FBB"/>
    <w:rsid w:val="3BB7432A"/>
    <w:rsid w:val="3BC370E4"/>
    <w:rsid w:val="3BE873AF"/>
    <w:rsid w:val="3C0B2A0F"/>
    <w:rsid w:val="3C153D59"/>
    <w:rsid w:val="3C1F221C"/>
    <w:rsid w:val="3C260353"/>
    <w:rsid w:val="3C2A6A2E"/>
    <w:rsid w:val="3C410CD1"/>
    <w:rsid w:val="3C7B6138"/>
    <w:rsid w:val="3C944870"/>
    <w:rsid w:val="3CEF3BE7"/>
    <w:rsid w:val="3D011B69"/>
    <w:rsid w:val="3D0D2B78"/>
    <w:rsid w:val="3D3226D8"/>
    <w:rsid w:val="3D7F2C5B"/>
    <w:rsid w:val="3DA65D04"/>
    <w:rsid w:val="3DB06C07"/>
    <w:rsid w:val="3DB72C7C"/>
    <w:rsid w:val="3DCF2C47"/>
    <w:rsid w:val="3E032704"/>
    <w:rsid w:val="3E153337"/>
    <w:rsid w:val="3ED63360"/>
    <w:rsid w:val="3ED75717"/>
    <w:rsid w:val="3EE32CD6"/>
    <w:rsid w:val="3F254193"/>
    <w:rsid w:val="3F262348"/>
    <w:rsid w:val="3F302366"/>
    <w:rsid w:val="3F424813"/>
    <w:rsid w:val="3F425751"/>
    <w:rsid w:val="3F965413"/>
    <w:rsid w:val="3F9F5CF0"/>
    <w:rsid w:val="400373B2"/>
    <w:rsid w:val="402515A7"/>
    <w:rsid w:val="403325D9"/>
    <w:rsid w:val="40592A04"/>
    <w:rsid w:val="405B53F5"/>
    <w:rsid w:val="408D7A55"/>
    <w:rsid w:val="40B56CE0"/>
    <w:rsid w:val="40D86486"/>
    <w:rsid w:val="410E662D"/>
    <w:rsid w:val="41647AE2"/>
    <w:rsid w:val="41671D88"/>
    <w:rsid w:val="41B510E0"/>
    <w:rsid w:val="41C53D63"/>
    <w:rsid w:val="41FD61FC"/>
    <w:rsid w:val="420A76B7"/>
    <w:rsid w:val="422B547A"/>
    <w:rsid w:val="423333E6"/>
    <w:rsid w:val="42485653"/>
    <w:rsid w:val="42914B12"/>
    <w:rsid w:val="42AE233E"/>
    <w:rsid w:val="42D367BE"/>
    <w:rsid w:val="42E1578D"/>
    <w:rsid w:val="43233AFC"/>
    <w:rsid w:val="434B0AE2"/>
    <w:rsid w:val="436139E1"/>
    <w:rsid w:val="43615909"/>
    <w:rsid w:val="437572D3"/>
    <w:rsid w:val="437E4EE9"/>
    <w:rsid w:val="43A75F77"/>
    <w:rsid w:val="43AD06D6"/>
    <w:rsid w:val="43B544B4"/>
    <w:rsid w:val="43BC6F25"/>
    <w:rsid w:val="43F91C98"/>
    <w:rsid w:val="43FF58E9"/>
    <w:rsid w:val="44255268"/>
    <w:rsid w:val="44580859"/>
    <w:rsid w:val="44642F0A"/>
    <w:rsid w:val="44891512"/>
    <w:rsid w:val="449A29CB"/>
    <w:rsid w:val="44DE2A1E"/>
    <w:rsid w:val="44DE6DAF"/>
    <w:rsid w:val="45084841"/>
    <w:rsid w:val="45DC7F42"/>
    <w:rsid w:val="468276CB"/>
    <w:rsid w:val="46907429"/>
    <w:rsid w:val="46970850"/>
    <w:rsid w:val="470F4FD7"/>
    <w:rsid w:val="474A2FA0"/>
    <w:rsid w:val="47795C24"/>
    <w:rsid w:val="47806FEF"/>
    <w:rsid w:val="47965E9B"/>
    <w:rsid w:val="47982B5E"/>
    <w:rsid w:val="48517214"/>
    <w:rsid w:val="48633025"/>
    <w:rsid w:val="48785897"/>
    <w:rsid w:val="48863585"/>
    <w:rsid w:val="4898698B"/>
    <w:rsid w:val="48A0002C"/>
    <w:rsid w:val="48AE3D03"/>
    <w:rsid w:val="48F77DB0"/>
    <w:rsid w:val="4901209D"/>
    <w:rsid w:val="490267B3"/>
    <w:rsid w:val="49420B7F"/>
    <w:rsid w:val="49832A3A"/>
    <w:rsid w:val="499F3EFE"/>
    <w:rsid w:val="49CA6839"/>
    <w:rsid w:val="4A004182"/>
    <w:rsid w:val="4A4C62A0"/>
    <w:rsid w:val="4AA376C0"/>
    <w:rsid w:val="4AD172ED"/>
    <w:rsid w:val="4B4F20B5"/>
    <w:rsid w:val="4B66752A"/>
    <w:rsid w:val="4B6F2392"/>
    <w:rsid w:val="4BAC11D4"/>
    <w:rsid w:val="4BE31E73"/>
    <w:rsid w:val="4BF14D92"/>
    <w:rsid w:val="4C75439A"/>
    <w:rsid w:val="4C7907B5"/>
    <w:rsid w:val="4CAA1914"/>
    <w:rsid w:val="4CB379D9"/>
    <w:rsid w:val="4CEB0EE7"/>
    <w:rsid w:val="4D005F23"/>
    <w:rsid w:val="4D3B3431"/>
    <w:rsid w:val="4D75046B"/>
    <w:rsid w:val="4DD87F56"/>
    <w:rsid w:val="4E1F390E"/>
    <w:rsid w:val="4E27553A"/>
    <w:rsid w:val="4E7258AD"/>
    <w:rsid w:val="4E835693"/>
    <w:rsid w:val="4EB07F34"/>
    <w:rsid w:val="4EEA49B1"/>
    <w:rsid w:val="4F0255EE"/>
    <w:rsid w:val="4F2125EF"/>
    <w:rsid w:val="4F400A63"/>
    <w:rsid w:val="4F9C7784"/>
    <w:rsid w:val="4FC8587D"/>
    <w:rsid w:val="4FD5411F"/>
    <w:rsid w:val="4FEB34EC"/>
    <w:rsid w:val="506E380E"/>
    <w:rsid w:val="507E6CAC"/>
    <w:rsid w:val="50CA37BC"/>
    <w:rsid w:val="50E273CB"/>
    <w:rsid w:val="50EC4996"/>
    <w:rsid w:val="50F847BA"/>
    <w:rsid w:val="5126022D"/>
    <w:rsid w:val="513D5059"/>
    <w:rsid w:val="514974AF"/>
    <w:rsid w:val="519A31F0"/>
    <w:rsid w:val="51DB0264"/>
    <w:rsid w:val="51FD0869"/>
    <w:rsid w:val="524E4C96"/>
    <w:rsid w:val="52AD589F"/>
    <w:rsid w:val="52B93D43"/>
    <w:rsid w:val="52D34ED7"/>
    <w:rsid w:val="533D0446"/>
    <w:rsid w:val="534E5B58"/>
    <w:rsid w:val="53651EBB"/>
    <w:rsid w:val="538651F6"/>
    <w:rsid w:val="53BB2ECB"/>
    <w:rsid w:val="54216673"/>
    <w:rsid w:val="54C81879"/>
    <w:rsid w:val="5537454D"/>
    <w:rsid w:val="55A941BD"/>
    <w:rsid w:val="55AD41C0"/>
    <w:rsid w:val="55BE23B9"/>
    <w:rsid w:val="55E040C8"/>
    <w:rsid w:val="55E234EC"/>
    <w:rsid w:val="55FE1F1E"/>
    <w:rsid w:val="56170F1C"/>
    <w:rsid w:val="5635296B"/>
    <w:rsid w:val="5677786A"/>
    <w:rsid w:val="569D3FFC"/>
    <w:rsid w:val="570D695C"/>
    <w:rsid w:val="57144DD8"/>
    <w:rsid w:val="57363167"/>
    <w:rsid w:val="57674640"/>
    <w:rsid w:val="57697E9B"/>
    <w:rsid w:val="578D55A4"/>
    <w:rsid w:val="57944EE3"/>
    <w:rsid w:val="57A316AD"/>
    <w:rsid w:val="57CE4E37"/>
    <w:rsid w:val="57DA3F07"/>
    <w:rsid w:val="58116D83"/>
    <w:rsid w:val="58496617"/>
    <w:rsid w:val="585C5332"/>
    <w:rsid w:val="5874147F"/>
    <w:rsid w:val="58860355"/>
    <w:rsid w:val="58AC31BA"/>
    <w:rsid w:val="596E698C"/>
    <w:rsid w:val="598C1670"/>
    <w:rsid w:val="59983AA3"/>
    <w:rsid w:val="599C2605"/>
    <w:rsid w:val="5A89635C"/>
    <w:rsid w:val="5AB87B99"/>
    <w:rsid w:val="5AC75214"/>
    <w:rsid w:val="5B0544B0"/>
    <w:rsid w:val="5B2268F6"/>
    <w:rsid w:val="5B2A69DB"/>
    <w:rsid w:val="5B99759E"/>
    <w:rsid w:val="5BC25542"/>
    <w:rsid w:val="5BF40951"/>
    <w:rsid w:val="5C117C43"/>
    <w:rsid w:val="5C3C0CA7"/>
    <w:rsid w:val="5C4E1B8D"/>
    <w:rsid w:val="5C844EF0"/>
    <w:rsid w:val="5D003258"/>
    <w:rsid w:val="5D4D12A0"/>
    <w:rsid w:val="5D544DD2"/>
    <w:rsid w:val="5D5F0E01"/>
    <w:rsid w:val="5D774762"/>
    <w:rsid w:val="5DBF3D8B"/>
    <w:rsid w:val="5DCA60FC"/>
    <w:rsid w:val="5DD94455"/>
    <w:rsid w:val="5DFC1C9A"/>
    <w:rsid w:val="5E062AD9"/>
    <w:rsid w:val="5E083DDF"/>
    <w:rsid w:val="5E446FFB"/>
    <w:rsid w:val="5E4B0D56"/>
    <w:rsid w:val="5E5C050B"/>
    <w:rsid w:val="5E842D6A"/>
    <w:rsid w:val="5F7548BD"/>
    <w:rsid w:val="5FAA40F9"/>
    <w:rsid w:val="5FC766C4"/>
    <w:rsid w:val="5FCB3A16"/>
    <w:rsid w:val="60750AA5"/>
    <w:rsid w:val="609729FC"/>
    <w:rsid w:val="60A06AA4"/>
    <w:rsid w:val="60A63A84"/>
    <w:rsid w:val="60F94B16"/>
    <w:rsid w:val="60FE0C90"/>
    <w:rsid w:val="61444944"/>
    <w:rsid w:val="614C0CAD"/>
    <w:rsid w:val="61B62A3E"/>
    <w:rsid w:val="61F90348"/>
    <w:rsid w:val="61F96E6E"/>
    <w:rsid w:val="628215C2"/>
    <w:rsid w:val="62A11EB0"/>
    <w:rsid w:val="62CC6F24"/>
    <w:rsid w:val="62D95A1D"/>
    <w:rsid w:val="630C2877"/>
    <w:rsid w:val="6349390F"/>
    <w:rsid w:val="634E153D"/>
    <w:rsid w:val="635B4CE2"/>
    <w:rsid w:val="63CA2BAD"/>
    <w:rsid w:val="648D4011"/>
    <w:rsid w:val="652022BB"/>
    <w:rsid w:val="654B5631"/>
    <w:rsid w:val="656F6655"/>
    <w:rsid w:val="65882FCA"/>
    <w:rsid w:val="65930574"/>
    <w:rsid w:val="659D22CE"/>
    <w:rsid w:val="65D0432E"/>
    <w:rsid w:val="65D234D2"/>
    <w:rsid w:val="65ED16C6"/>
    <w:rsid w:val="66201209"/>
    <w:rsid w:val="6637201E"/>
    <w:rsid w:val="66B70972"/>
    <w:rsid w:val="67033A19"/>
    <w:rsid w:val="67077433"/>
    <w:rsid w:val="67193C1C"/>
    <w:rsid w:val="67412428"/>
    <w:rsid w:val="6758702D"/>
    <w:rsid w:val="675906CB"/>
    <w:rsid w:val="675A18CE"/>
    <w:rsid w:val="67610A08"/>
    <w:rsid w:val="67804F75"/>
    <w:rsid w:val="679153E6"/>
    <w:rsid w:val="679A4C00"/>
    <w:rsid w:val="67CB0F9C"/>
    <w:rsid w:val="67CE7C48"/>
    <w:rsid w:val="67E21353"/>
    <w:rsid w:val="67F46D7A"/>
    <w:rsid w:val="68087756"/>
    <w:rsid w:val="68817D77"/>
    <w:rsid w:val="68AA16BF"/>
    <w:rsid w:val="68B81321"/>
    <w:rsid w:val="68CD46E0"/>
    <w:rsid w:val="68F8238A"/>
    <w:rsid w:val="699E1D04"/>
    <w:rsid w:val="69CB3C8C"/>
    <w:rsid w:val="69D56C6D"/>
    <w:rsid w:val="69ED1A0A"/>
    <w:rsid w:val="69FE2D8D"/>
    <w:rsid w:val="6A093343"/>
    <w:rsid w:val="6A097002"/>
    <w:rsid w:val="6A54625C"/>
    <w:rsid w:val="6AAF10BE"/>
    <w:rsid w:val="6AE36DCD"/>
    <w:rsid w:val="6AEA0EBA"/>
    <w:rsid w:val="6B193B35"/>
    <w:rsid w:val="6B1C6115"/>
    <w:rsid w:val="6B273075"/>
    <w:rsid w:val="6B374F98"/>
    <w:rsid w:val="6B4D1DBE"/>
    <w:rsid w:val="6B713DAD"/>
    <w:rsid w:val="6B8C03D1"/>
    <w:rsid w:val="6B981667"/>
    <w:rsid w:val="6BCB0EC8"/>
    <w:rsid w:val="6C0902A4"/>
    <w:rsid w:val="6C7369F4"/>
    <w:rsid w:val="6CC345B4"/>
    <w:rsid w:val="6CF465A0"/>
    <w:rsid w:val="6CFA2C2B"/>
    <w:rsid w:val="6D24720F"/>
    <w:rsid w:val="6D544B2B"/>
    <w:rsid w:val="6D5A0970"/>
    <w:rsid w:val="6D6536BC"/>
    <w:rsid w:val="6DC81EC3"/>
    <w:rsid w:val="6DCF45C6"/>
    <w:rsid w:val="6DD21621"/>
    <w:rsid w:val="6DE6340F"/>
    <w:rsid w:val="6E1B3083"/>
    <w:rsid w:val="6E4A1F36"/>
    <w:rsid w:val="6E535385"/>
    <w:rsid w:val="6EA8562D"/>
    <w:rsid w:val="6ECC519A"/>
    <w:rsid w:val="6EDD6F03"/>
    <w:rsid w:val="6F5251AA"/>
    <w:rsid w:val="7019337C"/>
    <w:rsid w:val="70412BDC"/>
    <w:rsid w:val="70716C72"/>
    <w:rsid w:val="707523A4"/>
    <w:rsid w:val="707A3278"/>
    <w:rsid w:val="70B53147"/>
    <w:rsid w:val="710A2627"/>
    <w:rsid w:val="71176B7A"/>
    <w:rsid w:val="71212A5E"/>
    <w:rsid w:val="713B148D"/>
    <w:rsid w:val="71F94260"/>
    <w:rsid w:val="72054CC7"/>
    <w:rsid w:val="7214590C"/>
    <w:rsid w:val="7215754F"/>
    <w:rsid w:val="722F009C"/>
    <w:rsid w:val="72656DCC"/>
    <w:rsid w:val="72A65BBA"/>
    <w:rsid w:val="72C01554"/>
    <w:rsid w:val="72E506EE"/>
    <w:rsid w:val="730D0C18"/>
    <w:rsid w:val="73196788"/>
    <w:rsid w:val="733B420A"/>
    <w:rsid w:val="73571248"/>
    <w:rsid w:val="738353DE"/>
    <w:rsid w:val="73C26FFF"/>
    <w:rsid w:val="73D84E4D"/>
    <w:rsid w:val="741B05F1"/>
    <w:rsid w:val="74724E57"/>
    <w:rsid w:val="748E7FDB"/>
    <w:rsid w:val="749315D0"/>
    <w:rsid w:val="75113D4B"/>
    <w:rsid w:val="751F3364"/>
    <w:rsid w:val="75220D9F"/>
    <w:rsid w:val="75494B66"/>
    <w:rsid w:val="75523405"/>
    <w:rsid w:val="7564033A"/>
    <w:rsid w:val="758C0BFC"/>
    <w:rsid w:val="75A53C9D"/>
    <w:rsid w:val="75FD63E7"/>
    <w:rsid w:val="76412921"/>
    <w:rsid w:val="76440687"/>
    <w:rsid w:val="76456184"/>
    <w:rsid w:val="765803CA"/>
    <w:rsid w:val="766311EF"/>
    <w:rsid w:val="76B719DB"/>
    <w:rsid w:val="76C3441B"/>
    <w:rsid w:val="77180191"/>
    <w:rsid w:val="77811234"/>
    <w:rsid w:val="77903F5A"/>
    <w:rsid w:val="77BD5E86"/>
    <w:rsid w:val="78073AFA"/>
    <w:rsid w:val="78783E55"/>
    <w:rsid w:val="789E1FFB"/>
    <w:rsid w:val="78E8103D"/>
    <w:rsid w:val="78FA7AE4"/>
    <w:rsid w:val="79103752"/>
    <w:rsid w:val="79106EFF"/>
    <w:rsid w:val="793E28AF"/>
    <w:rsid w:val="793F2FCC"/>
    <w:rsid w:val="799E5EC0"/>
    <w:rsid w:val="7A2A3F81"/>
    <w:rsid w:val="7A3E2112"/>
    <w:rsid w:val="7A4320B9"/>
    <w:rsid w:val="7A487D34"/>
    <w:rsid w:val="7A795219"/>
    <w:rsid w:val="7A9D113D"/>
    <w:rsid w:val="7AFE58F8"/>
    <w:rsid w:val="7B1A1BA0"/>
    <w:rsid w:val="7B426852"/>
    <w:rsid w:val="7B483EB9"/>
    <w:rsid w:val="7BBF3166"/>
    <w:rsid w:val="7C0066D3"/>
    <w:rsid w:val="7C142B76"/>
    <w:rsid w:val="7C1C40FC"/>
    <w:rsid w:val="7C222354"/>
    <w:rsid w:val="7C707AB3"/>
    <w:rsid w:val="7C7E6F96"/>
    <w:rsid w:val="7CC80EB9"/>
    <w:rsid w:val="7CE014EF"/>
    <w:rsid w:val="7CF875E3"/>
    <w:rsid w:val="7D9F2E27"/>
    <w:rsid w:val="7DA47EF0"/>
    <w:rsid w:val="7DBD0B2A"/>
    <w:rsid w:val="7DE2279A"/>
    <w:rsid w:val="7E212AAC"/>
    <w:rsid w:val="7E267802"/>
    <w:rsid w:val="7E5E3D3E"/>
    <w:rsid w:val="7E5F5463"/>
    <w:rsid w:val="7E615AB9"/>
    <w:rsid w:val="7E9C048D"/>
    <w:rsid w:val="7ECD444C"/>
    <w:rsid w:val="7F360D9F"/>
    <w:rsid w:val="7F42479C"/>
    <w:rsid w:val="7F4F2E87"/>
    <w:rsid w:val="7FB022EB"/>
    <w:rsid w:val="7FE263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78"/>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2">
    <w:name w:val="heading 2"/>
    <w:basedOn w:val="1"/>
    <w:next w:val="3"/>
    <w:link w:val="5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3"/>
    <w:link w:val="72"/>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link w:val="80"/>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7">
    <w:name w:val="heading 6"/>
    <w:basedOn w:val="1"/>
    <w:next w:val="1"/>
    <w:link w:val="60"/>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8">
    <w:name w:val="heading 7"/>
    <w:basedOn w:val="1"/>
    <w:next w:val="1"/>
    <w:link w:val="79"/>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9">
    <w:name w:val="heading 8"/>
    <w:basedOn w:val="1"/>
    <w:next w:val="1"/>
    <w:link w:val="75"/>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0">
    <w:name w:val="heading 9"/>
    <w:basedOn w:val="1"/>
    <w:next w:val="1"/>
    <w:link w:val="8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8">
    <w:name w:val="Default Paragraph Font"/>
    <w:uiPriority w:val="0"/>
  </w:style>
  <w:style w:type="table" w:default="1" w:styleId="46">
    <w:name w:val="Normal Table"/>
    <w:semiHidden/>
    <w:uiPriority w:val="0"/>
    <w:tblPr>
      <w:tblStyle w:val="46"/>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11">
    <w:name w:val="toc 7"/>
    <w:basedOn w:val="1"/>
    <w:next w:val="1"/>
    <w:uiPriority w:val="0"/>
    <w:pPr>
      <w:ind w:left="1260"/>
      <w:jc w:val="left"/>
    </w:pPr>
    <w:rPr>
      <w:sz w:val="18"/>
      <w:szCs w:val="18"/>
    </w:rPr>
  </w:style>
  <w:style w:type="paragraph" w:styleId="12">
    <w:name w:val="List Number"/>
    <w:basedOn w:val="1"/>
    <w:uiPriority w:val="0"/>
    <w:pPr>
      <w:numPr>
        <w:ilvl w:val="0"/>
        <w:numId w:val="1"/>
      </w:numPr>
    </w:pPr>
  </w:style>
  <w:style w:type="paragraph" w:styleId="13">
    <w:name w:val="Normal Indent"/>
    <w:basedOn w:val="1"/>
    <w:link w:val="61"/>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7"/>
    <w:uiPriority w:val="0"/>
    <w:pPr>
      <w:shd w:val="clear" w:color="auto" w:fill="000080"/>
    </w:pPr>
  </w:style>
  <w:style w:type="paragraph" w:styleId="16">
    <w:name w:val="annotation text"/>
    <w:basedOn w:val="1"/>
    <w:link w:val="74"/>
    <w:uiPriority w:val="0"/>
    <w:pPr>
      <w:jc w:val="left"/>
    </w:pPr>
    <w:rPr>
      <w:rFonts w:eastAsia="宋体"/>
      <w:kern w:val="2"/>
      <w:sz w:val="21"/>
      <w:szCs w:val="24"/>
      <w:lang w:val="en-US" w:eastAsia="zh-CN" w:bidi="ar-SA"/>
    </w:rPr>
  </w:style>
  <w:style w:type="paragraph" w:styleId="17">
    <w:name w:val="Salutation"/>
    <w:basedOn w:val="1"/>
    <w:next w:val="1"/>
    <w:link w:val="69"/>
    <w:uiPriority w:val="0"/>
    <w:pPr>
      <w:spacing w:line="240" w:lineRule="auto"/>
      <w:ind w:firstLine="0" w:firstLineChars="0"/>
    </w:pPr>
    <w:rPr>
      <w:rFonts w:ascii="长城仿宋" w:hAnsi="宋体" w:eastAsia="长城仿宋"/>
      <w:sz w:val="28"/>
    </w:rPr>
  </w:style>
  <w:style w:type="paragraph" w:styleId="18">
    <w:name w:val="Body Text 3"/>
    <w:basedOn w:val="1"/>
    <w:link w:val="77"/>
    <w:uiPriority w:val="0"/>
    <w:rPr>
      <w:rFonts w:ascii="宋体"/>
      <w:sz w:val="24"/>
      <w:szCs w:val="20"/>
    </w:rPr>
  </w:style>
  <w:style w:type="paragraph" w:styleId="19">
    <w:name w:val="Body Text"/>
    <w:basedOn w:val="1"/>
    <w:link w:val="63"/>
    <w:uiPriority w:val="0"/>
    <w:pPr>
      <w:spacing w:after="120" w:afterLines="0"/>
    </w:pPr>
  </w:style>
  <w:style w:type="paragraph" w:styleId="20">
    <w:name w:val="Body Text Indent"/>
    <w:basedOn w:val="1"/>
    <w:link w:val="66"/>
    <w:uiPriority w:val="0"/>
    <w:pPr>
      <w:spacing w:after="120" w:afterLines="0"/>
      <w:ind w:left="420" w:leftChars="200"/>
    </w:pPr>
  </w:style>
  <w:style w:type="paragraph" w:styleId="21">
    <w:name w:val="List 2"/>
    <w:basedOn w:val="1"/>
    <w:qFormat/>
    <w:uiPriority w:val="0"/>
    <w:pPr>
      <w:ind w:left="100" w:leftChars="200" w:hanging="200" w:hangingChars="200"/>
    </w:pPr>
    <w:rPr>
      <w:sz w:val="28"/>
    </w:rPr>
  </w:style>
  <w:style w:type="paragraph" w:styleId="22">
    <w:name w:val="toc 5"/>
    <w:basedOn w:val="1"/>
    <w:next w:val="1"/>
    <w:uiPriority w:val="0"/>
    <w:pPr>
      <w:ind w:left="840"/>
      <w:jc w:val="left"/>
    </w:pPr>
    <w:rPr>
      <w:sz w:val="18"/>
      <w:szCs w:val="18"/>
    </w:rPr>
  </w:style>
  <w:style w:type="paragraph" w:styleId="23">
    <w:name w:val="toc 3"/>
    <w:basedOn w:val="1"/>
    <w:next w:val="1"/>
    <w:uiPriority w:val="39"/>
    <w:pPr>
      <w:ind w:left="420"/>
      <w:jc w:val="left"/>
    </w:pPr>
    <w:rPr>
      <w:i/>
      <w:iCs/>
      <w:sz w:val="20"/>
      <w:szCs w:val="20"/>
    </w:rPr>
  </w:style>
  <w:style w:type="paragraph" w:styleId="24">
    <w:name w:val="Plain Text"/>
    <w:basedOn w:val="1"/>
    <w:link w:val="56"/>
    <w:uiPriority w:val="0"/>
    <w:rPr>
      <w:rFonts w:ascii="Courier New" w:hAnsi="Courier New"/>
      <w:szCs w:val="20"/>
    </w:rPr>
  </w:style>
  <w:style w:type="paragraph" w:styleId="25">
    <w:name w:val="toc 8"/>
    <w:basedOn w:val="1"/>
    <w:next w:val="1"/>
    <w:uiPriority w:val="0"/>
    <w:pPr>
      <w:ind w:left="1470"/>
      <w:jc w:val="left"/>
    </w:pPr>
    <w:rPr>
      <w:sz w:val="18"/>
      <w:szCs w:val="18"/>
    </w:rPr>
  </w:style>
  <w:style w:type="paragraph" w:styleId="26">
    <w:name w:val="Date"/>
    <w:basedOn w:val="1"/>
    <w:next w:val="1"/>
    <w:uiPriority w:val="0"/>
    <w:rPr>
      <w:sz w:val="24"/>
      <w:szCs w:val="20"/>
    </w:rPr>
  </w:style>
  <w:style w:type="paragraph" w:styleId="27">
    <w:name w:val="Body Text Indent 2"/>
    <w:basedOn w:val="1"/>
    <w:uiPriority w:val="0"/>
    <w:pPr>
      <w:spacing w:line="360" w:lineRule="auto"/>
      <w:ind w:left="840" w:leftChars="400" w:firstLine="239" w:firstLineChars="114"/>
    </w:pPr>
    <w:rPr>
      <w:rFonts w:ascii="宋体" w:hAnsi="宋体"/>
    </w:rPr>
  </w:style>
  <w:style w:type="paragraph" w:styleId="28">
    <w:name w:val="Balloon Text"/>
    <w:basedOn w:val="1"/>
    <w:uiPriority w:val="0"/>
    <w:rPr>
      <w:sz w:val="18"/>
      <w:szCs w:val="18"/>
    </w:rPr>
  </w:style>
  <w:style w:type="paragraph" w:styleId="29">
    <w:name w:val="footer"/>
    <w:basedOn w:val="1"/>
    <w:link w:val="54"/>
    <w:uiPriority w:val="0"/>
    <w:pPr>
      <w:tabs>
        <w:tab w:val="center" w:pos="4153"/>
        <w:tab w:val="right" w:pos="8306"/>
      </w:tabs>
      <w:snapToGrid w:val="0"/>
      <w:jc w:val="left"/>
    </w:pPr>
    <w:rPr>
      <w:sz w:val="18"/>
      <w:szCs w:val="18"/>
    </w:rPr>
  </w:style>
  <w:style w:type="paragraph" w:styleId="3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39"/>
    <w:pPr>
      <w:spacing w:before="120" w:beforeLines="0" w:after="120" w:afterLines="0"/>
      <w:jc w:val="left"/>
    </w:pPr>
    <w:rPr>
      <w:b/>
      <w:bCs/>
      <w:caps/>
      <w:sz w:val="20"/>
      <w:szCs w:val="20"/>
    </w:rPr>
  </w:style>
  <w:style w:type="paragraph" w:styleId="32">
    <w:name w:val="toc 4"/>
    <w:basedOn w:val="1"/>
    <w:next w:val="1"/>
    <w:uiPriority w:val="0"/>
    <w:pPr>
      <w:ind w:left="630"/>
      <w:jc w:val="left"/>
    </w:pPr>
    <w:rPr>
      <w:sz w:val="18"/>
      <w:szCs w:val="18"/>
    </w:rPr>
  </w:style>
  <w:style w:type="paragraph" w:styleId="33">
    <w:name w:val="Subtitle"/>
    <w:basedOn w:val="1"/>
    <w:next w:val="1"/>
    <w:qFormat/>
    <w:uiPriority w:val="0"/>
    <w:pPr>
      <w:spacing w:before="240" w:after="60" w:line="312" w:lineRule="auto"/>
      <w:jc w:val="center"/>
      <w:outlineLvl w:val="1"/>
    </w:pPr>
    <w:rPr>
      <w:rFonts w:ascii="Cambria" w:hAnsi="Cambria"/>
      <w:b/>
      <w:bCs/>
      <w:kern w:val="28"/>
      <w:sz w:val="24"/>
      <w:szCs w:val="32"/>
    </w:rPr>
  </w:style>
  <w:style w:type="paragraph" w:styleId="34">
    <w:name w:val="List"/>
    <w:basedOn w:val="1"/>
    <w:uiPriority w:val="0"/>
    <w:pPr>
      <w:ind w:left="200" w:hanging="200" w:hangingChars="200"/>
    </w:pPr>
    <w:rPr>
      <w:sz w:val="28"/>
    </w:rPr>
  </w:style>
  <w:style w:type="paragraph" w:styleId="35">
    <w:name w:val="footnote text"/>
    <w:basedOn w:val="1"/>
    <w:uiPriority w:val="0"/>
    <w:rPr>
      <w:sz w:val="20"/>
      <w:szCs w:val="20"/>
    </w:rPr>
  </w:style>
  <w:style w:type="paragraph" w:styleId="36">
    <w:name w:val="toc 6"/>
    <w:basedOn w:val="1"/>
    <w:next w:val="1"/>
    <w:uiPriority w:val="0"/>
    <w:pPr>
      <w:ind w:left="1050"/>
      <w:jc w:val="left"/>
    </w:pPr>
    <w:rPr>
      <w:sz w:val="18"/>
      <w:szCs w:val="18"/>
    </w:rPr>
  </w:style>
  <w:style w:type="paragraph" w:styleId="37">
    <w:name w:val="Body Text Indent 3"/>
    <w:basedOn w:val="1"/>
    <w:uiPriority w:val="0"/>
    <w:pPr>
      <w:spacing w:after="120" w:afterLines="0"/>
      <w:ind w:left="420" w:leftChars="200"/>
    </w:pPr>
    <w:rPr>
      <w:sz w:val="16"/>
      <w:szCs w:val="16"/>
    </w:rPr>
  </w:style>
  <w:style w:type="paragraph" w:styleId="38">
    <w:name w:val="table of figures"/>
    <w:basedOn w:val="1"/>
    <w:next w:val="1"/>
    <w:uiPriority w:val="0"/>
    <w:pPr>
      <w:ind w:leftChars="200" w:hanging="200" w:hangingChars="200"/>
    </w:pPr>
  </w:style>
  <w:style w:type="paragraph" w:styleId="39">
    <w:name w:val="toc 2"/>
    <w:basedOn w:val="1"/>
    <w:next w:val="1"/>
    <w:uiPriority w:val="39"/>
    <w:pPr>
      <w:ind w:left="210"/>
      <w:jc w:val="left"/>
    </w:pPr>
    <w:rPr>
      <w:smallCaps/>
      <w:sz w:val="20"/>
      <w:szCs w:val="20"/>
    </w:rPr>
  </w:style>
  <w:style w:type="paragraph" w:styleId="40">
    <w:name w:val="toc 9"/>
    <w:basedOn w:val="1"/>
    <w:next w:val="1"/>
    <w:uiPriority w:val="0"/>
    <w:pPr>
      <w:ind w:left="1680"/>
      <w:jc w:val="left"/>
    </w:pPr>
    <w:rPr>
      <w:sz w:val="18"/>
      <w:szCs w:val="18"/>
    </w:rPr>
  </w:style>
  <w:style w:type="paragraph" w:styleId="41">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42">
    <w:name w:val="Title"/>
    <w:basedOn w:val="1"/>
    <w:link w:val="57"/>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1"/>
    <w:uiPriority w:val="0"/>
    <w:rPr>
      <w:b/>
      <w:bCs/>
    </w:rPr>
  </w:style>
  <w:style w:type="paragraph" w:styleId="44">
    <w:name w:val="Body Text First Indent"/>
    <w:basedOn w:val="19"/>
    <w:qFormat/>
    <w:uiPriority w:val="0"/>
    <w:pPr>
      <w:autoSpaceDE w:val="0"/>
      <w:autoSpaceDN w:val="0"/>
      <w:adjustRightInd w:val="0"/>
      <w:ind w:firstLine="420" w:firstLineChars="100"/>
    </w:pPr>
    <w:rPr>
      <w:rFonts w:ascii="宋体" w:hAnsi="宋体" w:eastAsia="宋体"/>
      <w:color w:val="000000"/>
      <w:kern w:val="2"/>
      <w:sz w:val="21"/>
      <w:szCs w:val="21"/>
      <w:lang w:val="en-US" w:eastAsia="zh-CN" w:bidi="ar-SA"/>
    </w:rPr>
  </w:style>
  <w:style w:type="paragraph" w:styleId="45">
    <w:name w:val="Body Text First Indent 2"/>
    <w:basedOn w:val="20"/>
    <w:uiPriority w:val="0"/>
    <w:pPr>
      <w:ind w:firstLine="420"/>
    </w:pPr>
  </w:style>
  <w:style w:type="table" w:styleId="47">
    <w:name w:val="Table Grid"/>
    <w:basedOn w:val="46"/>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uiPriority w:val="0"/>
  </w:style>
  <w:style w:type="character" w:styleId="50">
    <w:name w:val="FollowedHyperlink"/>
    <w:basedOn w:val="48"/>
    <w:uiPriority w:val="0"/>
    <w:rPr>
      <w:color w:val="800080"/>
      <w:u w:val="single"/>
    </w:rPr>
  </w:style>
  <w:style w:type="character" w:styleId="51">
    <w:name w:val="Hyperlink"/>
    <w:basedOn w:val="48"/>
    <w:uiPriority w:val="99"/>
    <w:rPr>
      <w:color w:val="0000FF"/>
      <w:u w:val="single"/>
    </w:rPr>
  </w:style>
  <w:style w:type="character" w:styleId="52">
    <w:name w:val="annotation reference"/>
    <w:basedOn w:val="48"/>
    <w:uiPriority w:val="0"/>
    <w:rPr>
      <w:sz w:val="21"/>
      <w:szCs w:val="21"/>
    </w:rPr>
  </w:style>
  <w:style w:type="character" w:styleId="53">
    <w:name w:val="footnote reference"/>
    <w:basedOn w:val="48"/>
    <w:uiPriority w:val="0"/>
    <w:rPr>
      <w:vertAlign w:val="superscript"/>
    </w:rPr>
  </w:style>
  <w:style w:type="character" w:customStyle="1" w:styleId="54">
    <w:name w:val="页脚 Char"/>
    <w:link w:val="29"/>
    <w:uiPriority w:val="0"/>
    <w:rPr>
      <w:kern w:val="2"/>
      <w:sz w:val="18"/>
      <w:szCs w:val="18"/>
    </w:rPr>
  </w:style>
  <w:style w:type="character" w:customStyle="1" w:styleId="55">
    <w:name w:val="font11"/>
    <w:basedOn w:val="48"/>
    <w:uiPriority w:val="0"/>
    <w:rPr>
      <w:rFonts w:hint="eastAsia" w:ascii="宋体" w:hAnsi="宋体" w:eastAsia="宋体" w:cs="宋体"/>
      <w:b/>
      <w:color w:val="000000"/>
      <w:sz w:val="20"/>
      <w:szCs w:val="20"/>
      <w:u w:val="none"/>
    </w:rPr>
  </w:style>
  <w:style w:type="character" w:customStyle="1" w:styleId="56">
    <w:name w:val="纯文本 Char3"/>
    <w:aliases w:val="普通文字 Char Char2,纯文本 Char Char Char1,纯文本 Char Char2,普通文字 Char Char Char2,普通文字 Char2,普通文字 Char Char Char Char2,普通文字 Char Char Char Char Char1,正 文 1 Char1,Texte Char,小 Char,普通文字1 Char1,普通文字2 Char1,普通文字3 Char1,普通文字4 Char1,普通文字5 Char1,普通文字6 Char1"/>
    <w:link w:val="24"/>
    <w:uiPriority w:val="0"/>
    <w:rPr>
      <w:rFonts w:ascii="Courier New" w:hAnsi="Courier New"/>
      <w:kern w:val="2"/>
      <w:sz w:val="21"/>
    </w:rPr>
  </w:style>
  <w:style w:type="character" w:customStyle="1" w:styleId="57">
    <w:name w:val="标题 Char"/>
    <w:basedOn w:val="48"/>
    <w:link w:val="42"/>
    <w:locked/>
    <w:uiPriority w:val="0"/>
    <w:rPr>
      <w:rFonts w:ascii="Arial" w:hAnsi="Arial" w:eastAsia="宋体"/>
      <w:b/>
      <w:sz w:val="32"/>
      <w:lang w:val="en-US" w:eastAsia="zh-CN" w:bidi="ar-SA"/>
    </w:rPr>
  </w:style>
  <w:style w:type="character" w:customStyle="1" w:styleId="58">
    <w:name w:val="标题 2 Char"/>
    <w:basedOn w:val="48"/>
    <w:link w:val="2"/>
    <w:uiPriority w:val="0"/>
    <w:rPr>
      <w:rFonts w:ascii="Arial" w:hAnsi="Arial" w:eastAsia="黑体"/>
      <w:b/>
      <w:bCs/>
      <w:kern w:val="2"/>
      <w:sz w:val="32"/>
      <w:szCs w:val="32"/>
      <w:lang w:val="en-US" w:eastAsia="zh-CN" w:bidi="ar-SA"/>
    </w:rPr>
  </w:style>
  <w:style w:type="character" w:customStyle="1" w:styleId="59">
    <w:name w:val=" Char Char7"/>
    <w:basedOn w:val="48"/>
    <w:uiPriority w:val="0"/>
    <w:rPr>
      <w:rFonts w:ascii="Arial" w:hAnsi="Arial" w:eastAsia="黑体"/>
      <w:b/>
      <w:bCs/>
      <w:kern w:val="2"/>
      <w:sz w:val="32"/>
      <w:szCs w:val="32"/>
      <w:lang w:val="en-US" w:eastAsia="zh-CN" w:bidi="ar-SA"/>
    </w:rPr>
  </w:style>
  <w:style w:type="character" w:customStyle="1" w:styleId="60">
    <w:name w:val="标题 6 Char"/>
    <w:basedOn w:val="48"/>
    <w:link w:val="7"/>
    <w:locked/>
    <w:uiPriority w:val="0"/>
    <w:rPr>
      <w:rFonts w:ascii="Arial" w:hAnsi="Arial" w:eastAsia="黑体"/>
      <w:b/>
      <w:bCs/>
      <w:sz w:val="24"/>
      <w:szCs w:val="24"/>
      <w:lang w:val="en-US" w:eastAsia="zh-CN" w:bidi="ar-SA"/>
    </w:rPr>
  </w:style>
  <w:style w:type="character" w:customStyle="1" w:styleId="61">
    <w:name w:val="正文缩进 Char"/>
    <w:link w:val="13"/>
    <w:uiPriority w:val="0"/>
    <w:rPr>
      <w:kern w:val="2"/>
      <w:sz w:val="21"/>
      <w:szCs w:val="24"/>
    </w:rPr>
  </w:style>
  <w:style w:type="character" w:customStyle="1" w:styleId="62">
    <w:name w:val=" Char Char"/>
    <w:basedOn w:val="48"/>
    <w:uiPriority w:val="0"/>
    <w:rPr>
      <w:rFonts w:ascii="Arial" w:hAnsi="Arial" w:eastAsia="黑体"/>
      <w:b/>
      <w:bCs/>
      <w:kern w:val="2"/>
      <w:sz w:val="32"/>
      <w:szCs w:val="32"/>
      <w:lang w:val="en-US" w:eastAsia="zh-CN" w:bidi="ar-SA"/>
    </w:rPr>
  </w:style>
  <w:style w:type="character" w:customStyle="1" w:styleId="63">
    <w:name w:val="正文文本 Char"/>
    <w:basedOn w:val="48"/>
    <w:link w:val="19"/>
    <w:locked/>
    <w:uiPriority w:val="0"/>
    <w:rPr>
      <w:rFonts w:eastAsia="宋体"/>
      <w:kern w:val="2"/>
      <w:sz w:val="21"/>
      <w:szCs w:val="24"/>
      <w:lang w:val="en-US" w:eastAsia="zh-CN" w:bidi="ar-SA"/>
    </w:rPr>
  </w:style>
  <w:style w:type="character" w:customStyle="1" w:styleId="64">
    <w:name w:val="font41"/>
    <w:basedOn w:val="48"/>
    <w:uiPriority w:val="0"/>
    <w:rPr>
      <w:rFonts w:hint="eastAsia" w:ascii="宋体" w:hAnsi="宋体" w:eastAsia="宋体" w:cs="宋体"/>
      <w:b/>
      <w:color w:val="000000"/>
      <w:sz w:val="28"/>
      <w:szCs w:val="28"/>
      <w:u w:val="none"/>
    </w:rPr>
  </w:style>
  <w:style w:type="character" w:customStyle="1" w:styleId="65">
    <w:name w:val=" Char Char8"/>
    <w:basedOn w:val="48"/>
    <w:uiPriority w:val="0"/>
    <w:rPr>
      <w:rFonts w:ascii="Arial" w:hAnsi="Arial" w:eastAsia="黑体"/>
      <w:b/>
      <w:bCs/>
      <w:kern w:val="2"/>
      <w:sz w:val="32"/>
      <w:szCs w:val="32"/>
      <w:lang w:val="en-US" w:eastAsia="zh-CN" w:bidi="ar-SA"/>
    </w:rPr>
  </w:style>
  <w:style w:type="character" w:customStyle="1" w:styleId="66">
    <w:name w:val="正文文本缩进 Char"/>
    <w:basedOn w:val="48"/>
    <w:link w:val="20"/>
    <w:locked/>
    <w:uiPriority w:val="0"/>
    <w:rPr>
      <w:rFonts w:eastAsia="宋体"/>
      <w:kern w:val="2"/>
      <w:sz w:val="21"/>
      <w:szCs w:val="24"/>
      <w:lang w:val="en-US" w:eastAsia="zh-CN" w:bidi="ar-SA"/>
    </w:rPr>
  </w:style>
  <w:style w:type="character" w:customStyle="1" w:styleId="67">
    <w:name w:val="文档结构图 Char"/>
    <w:basedOn w:val="48"/>
    <w:link w:val="15"/>
    <w:locked/>
    <w:uiPriority w:val="0"/>
    <w:rPr>
      <w:rFonts w:eastAsia="宋体"/>
      <w:kern w:val="2"/>
      <w:sz w:val="21"/>
      <w:szCs w:val="24"/>
      <w:lang w:val="en-US" w:eastAsia="zh-CN" w:bidi="ar-SA"/>
    </w:rPr>
  </w:style>
  <w:style w:type="character" w:customStyle="1" w:styleId="68">
    <w:name w:val="批注文字 Char1"/>
    <w:basedOn w:val="48"/>
    <w:semiHidden/>
    <w:locked/>
    <w:uiPriority w:val="0"/>
  </w:style>
  <w:style w:type="character" w:customStyle="1" w:styleId="69">
    <w:name w:val="称呼 Char"/>
    <w:basedOn w:val="48"/>
    <w:link w:val="17"/>
    <w:locked/>
    <w:uiPriority w:val="0"/>
    <w:rPr>
      <w:rFonts w:ascii="长城仿宋" w:hAnsi="宋体" w:eastAsia="长城仿宋"/>
      <w:kern w:val="2"/>
      <w:sz w:val="28"/>
      <w:szCs w:val="24"/>
      <w:lang w:val="en-US" w:eastAsia="zh-CN" w:bidi="ar-SA"/>
    </w:rPr>
  </w:style>
  <w:style w:type="character" w:customStyle="1" w:styleId="70">
    <w:name w:val=" Char Char Char Char"/>
    <w:uiPriority w:val="0"/>
  </w:style>
  <w:style w:type="character" w:customStyle="1" w:styleId="71">
    <w:name w:val="批注主题 Char"/>
    <w:basedOn w:val="68"/>
    <w:link w:val="43"/>
    <w:locked/>
    <w:uiPriority w:val="0"/>
    <w:rPr>
      <w:rFonts w:eastAsia="宋体"/>
      <w:b/>
      <w:bCs/>
      <w:kern w:val="2"/>
      <w:sz w:val="21"/>
      <w:szCs w:val="24"/>
      <w:lang w:val="en-US" w:eastAsia="zh-CN" w:bidi="ar-SA"/>
    </w:rPr>
  </w:style>
  <w:style w:type="character" w:customStyle="1" w:styleId="72">
    <w:name w:val="标题 3 Char"/>
    <w:basedOn w:val="48"/>
    <w:link w:val="5"/>
    <w:uiPriority w:val="0"/>
    <w:rPr>
      <w:rFonts w:eastAsia="宋体"/>
      <w:b/>
      <w:bCs/>
      <w:kern w:val="2"/>
      <w:sz w:val="32"/>
      <w:szCs w:val="32"/>
      <w:lang w:val="en-US" w:eastAsia="zh-CN" w:bidi="ar-SA"/>
    </w:rPr>
  </w:style>
  <w:style w:type="character" w:customStyle="1" w:styleId="73">
    <w:name w:val="font161"/>
    <w:basedOn w:val="48"/>
    <w:uiPriority w:val="0"/>
    <w:rPr>
      <w:b/>
      <w:bCs/>
      <w:sz w:val="32"/>
      <w:szCs w:val="32"/>
    </w:rPr>
  </w:style>
  <w:style w:type="character" w:customStyle="1" w:styleId="74">
    <w:name w:val="批注文字 Char"/>
    <w:basedOn w:val="48"/>
    <w:link w:val="16"/>
    <w:uiPriority w:val="0"/>
    <w:rPr>
      <w:rFonts w:eastAsia="宋体"/>
      <w:kern w:val="2"/>
      <w:sz w:val="21"/>
      <w:szCs w:val="24"/>
      <w:lang w:val="en-US" w:eastAsia="zh-CN" w:bidi="ar-SA"/>
    </w:rPr>
  </w:style>
  <w:style w:type="character" w:customStyle="1" w:styleId="75">
    <w:name w:val="标题 8 Char"/>
    <w:basedOn w:val="48"/>
    <w:link w:val="9"/>
    <w:locked/>
    <w:uiPriority w:val="0"/>
    <w:rPr>
      <w:rFonts w:ascii="Arial" w:hAnsi="Arial" w:eastAsia="黑体"/>
      <w:sz w:val="24"/>
      <w:szCs w:val="24"/>
      <w:lang w:val="en-US" w:eastAsia="zh-CN" w:bidi="ar-SA"/>
    </w:rPr>
  </w:style>
  <w:style w:type="character" w:customStyle="1" w:styleId="76">
    <w:name w:val=" Char Char2"/>
    <w:basedOn w:val="48"/>
    <w:uiPriority w:val="0"/>
    <w:rPr>
      <w:rFonts w:eastAsia="宋体"/>
      <w:kern w:val="2"/>
      <w:sz w:val="21"/>
      <w:szCs w:val="24"/>
      <w:lang w:val="en-US" w:eastAsia="zh-CN" w:bidi="ar-SA"/>
    </w:rPr>
  </w:style>
  <w:style w:type="character" w:customStyle="1" w:styleId="77">
    <w:name w:val="正文文本 3 Char"/>
    <w:basedOn w:val="48"/>
    <w:link w:val="18"/>
    <w:locked/>
    <w:uiPriority w:val="0"/>
    <w:rPr>
      <w:rFonts w:ascii="宋体" w:eastAsia="宋体"/>
      <w:kern w:val="2"/>
      <w:sz w:val="24"/>
      <w:lang w:val="en-US" w:eastAsia="zh-CN" w:bidi="ar-SA"/>
    </w:rPr>
  </w:style>
  <w:style w:type="character" w:customStyle="1" w:styleId="78">
    <w:name w:val="标题 1 Char"/>
    <w:basedOn w:val="48"/>
    <w:link w:val="4"/>
    <w:uiPriority w:val="0"/>
    <w:rPr>
      <w:rFonts w:eastAsia="宋体"/>
      <w:b/>
      <w:bCs/>
      <w:kern w:val="44"/>
      <w:sz w:val="44"/>
      <w:szCs w:val="44"/>
      <w:lang w:val="en-US" w:eastAsia="zh-CN" w:bidi="ar-SA"/>
    </w:rPr>
  </w:style>
  <w:style w:type="character" w:customStyle="1" w:styleId="79">
    <w:name w:val="标题 7 Char"/>
    <w:basedOn w:val="48"/>
    <w:link w:val="8"/>
    <w:locked/>
    <w:uiPriority w:val="0"/>
    <w:rPr>
      <w:rFonts w:eastAsia="宋体"/>
      <w:b/>
      <w:bCs/>
      <w:sz w:val="24"/>
      <w:szCs w:val="24"/>
      <w:lang w:val="en-US" w:eastAsia="zh-CN" w:bidi="ar-SA"/>
    </w:rPr>
  </w:style>
  <w:style w:type="character" w:customStyle="1" w:styleId="80">
    <w:name w:val="标题 4 Char"/>
    <w:basedOn w:val="48"/>
    <w:link w:val="6"/>
    <w:locked/>
    <w:uiPriority w:val="0"/>
    <w:rPr>
      <w:rFonts w:ascii="Arial" w:hAnsi="Arial" w:eastAsia="黑体"/>
      <w:b/>
      <w:bCs/>
      <w:kern w:val="2"/>
      <w:sz w:val="28"/>
      <w:szCs w:val="28"/>
      <w:lang w:val="en-US" w:eastAsia="zh-CN" w:bidi="ar-SA"/>
    </w:rPr>
  </w:style>
  <w:style w:type="character" w:customStyle="1" w:styleId="81">
    <w:name w:val="标题 9 Char"/>
    <w:basedOn w:val="48"/>
    <w:link w:val="10"/>
    <w:locked/>
    <w:uiPriority w:val="0"/>
    <w:rPr>
      <w:rFonts w:ascii="Arial" w:hAnsi="Arial" w:eastAsia="黑体"/>
      <w:sz w:val="21"/>
      <w:szCs w:val="21"/>
      <w:lang w:val="en-US" w:eastAsia="zh-CN" w:bidi="ar-SA"/>
    </w:rPr>
  </w:style>
  <w:style w:type="paragraph" w:customStyle="1" w:styleId="82">
    <w:name w:val="表格文字"/>
    <w:basedOn w:val="1"/>
    <w:uiPriority w:val="0"/>
    <w:pPr>
      <w:adjustRightInd w:val="0"/>
      <w:spacing w:line="420" w:lineRule="atLeast"/>
      <w:jc w:val="left"/>
      <w:textAlignment w:val="baseline"/>
    </w:pPr>
    <w:rPr>
      <w:kern w:val="0"/>
      <w:szCs w:val="20"/>
    </w:rPr>
  </w:style>
  <w:style w:type="paragraph" w:customStyle="1" w:styleId="83">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84">
    <w:name w:val="样式 标题 2 + Times New Roman 四号 非加粗 段前: 5 磅 段后: 0 磅 行距: 固定值 20..."/>
    <w:basedOn w:val="2"/>
    <w:uiPriority w:val="0"/>
    <w:pPr>
      <w:spacing w:before="100" w:beforeLines="0" w:after="0" w:afterLines="0" w:line="400" w:lineRule="exact"/>
    </w:pPr>
    <w:rPr>
      <w:rFonts w:ascii="Times New Roman" w:hAnsi="Times New Roman" w:cs="宋体"/>
      <w:b w:val="0"/>
      <w:bCs w:val="0"/>
      <w:sz w:val="28"/>
      <w:szCs w:val="20"/>
    </w:rPr>
  </w:style>
  <w:style w:type="paragraph" w:customStyle="1" w:styleId="85">
    <w:name w:val="Char2"/>
    <w:basedOn w:val="1"/>
    <w:uiPriority w:val="0"/>
    <w:rPr>
      <w:szCs w:val="20"/>
    </w:rPr>
  </w:style>
  <w:style w:type="paragraph" w:customStyle="1" w:styleId="86">
    <w:name w:val=" Char"/>
    <w:basedOn w:val="1"/>
    <w:uiPriority w:val="0"/>
    <w:pPr>
      <w:tabs>
        <w:tab w:val="left" w:pos="360"/>
      </w:tabs>
    </w:pPr>
    <w:rPr>
      <w:sz w:val="24"/>
    </w:rPr>
  </w:style>
  <w:style w:type="paragraph" w:customStyle="1" w:styleId="87">
    <w:name w:val="表格"/>
    <w:basedOn w:val="1"/>
    <w:uiPriority w:val="0"/>
    <w:pPr>
      <w:jc w:val="center"/>
      <w:textAlignment w:val="center"/>
    </w:pPr>
    <w:rPr>
      <w:rFonts w:ascii="华文细黑" w:hAnsi="华文细黑"/>
      <w:kern w:val="0"/>
      <w:szCs w:val="20"/>
    </w:rPr>
  </w:style>
  <w:style w:type="paragraph" w:customStyle="1" w:styleId="88">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纯文本1"/>
    <w:basedOn w:val="1"/>
    <w:qFormat/>
    <w:uiPriority w:val="0"/>
    <w:pPr>
      <w:spacing w:beforeLines="50" w:afterLines="50" w:line="400" w:lineRule="exact"/>
    </w:pPr>
    <w:rPr>
      <w:rFonts w:ascii="宋体" w:hAnsi="Courier New"/>
      <w:sz w:val="24"/>
      <w:szCs w:val="20"/>
    </w:rPr>
  </w:style>
  <w:style w:type="paragraph" w:customStyle="1" w:styleId="9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样式2"/>
    <w:basedOn w:val="5"/>
    <w:uiPriority w:val="0"/>
  </w:style>
  <w:style w:type="paragraph" w:customStyle="1" w:styleId="92">
    <w:name w:val="正文2"/>
    <w:basedOn w:val="1"/>
    <w:uiPriority w:val="0"/>
    <w:pPr>
      <w:spacing w:before="156" w:beforeLines="0" w:line="360" w:lineRule="auto"/>
      <w:ind w:firstLine="510" w:firstLineChars="200"/>
    </w:pPr>
    <w:rPr>
      <w:sz w:val="24"/>
    </w:rPr>
  </w:style>
  <w:style w:type="paragraph" w:customStyle="1" w:styleId="93">
    <w:name w:val="Char Char Char Char Char Char Char"/>
    <w:basedOn w:val="1"/>
    <w:uiPriority w:val="0"/>
    <w:pPr>
      <w:spacing w:line="380" w:lineRule="exact"/>
      <w:ind w:firstLine="200" w:firstLineChars="200"/>
    </w:pPr>
    <w:rPr>
      <w:rFonts w:ascii="Tahoma" w:hAnsi="Tahoma"/>
      <w:sz w:val="24"/>
      <w:szCs w:val="20"/>
    </w:rPr>
  </w:style>
  <w:style w:type="paragraph" w:customStyle="1" w:styleId="94">
    <w:name w:val="列项——（一级）"/>
    <w:qFormat/>
    <w:uiPriority w:val="0"/>
    <w:pPr>
      <w:widowControl w:val="0"/>
      <w:tabs>
        <w:tab w:val="left" w:pos="720"/>
        <w:tab w:val="left" w:pos="1140"/>
      </w:tabs>
      <w:ind w:left="720" w:hanging="720"/>
      <w:jc w:val="both"/>
    </w:pPr>
    <w:rPr>
      <w:rFonts w:ascii="宋体" w:hAnsi="Times New Roman" w:eastAsia="宋体" w:cs="Times New Roman"/>
      <w:sz w:val="21"/>
      <w:lang w:val="en-US" w:eastAsia="zh-CN" w:bidi="ar-SA"/>
    </w:rPr>
  </w:style>
  <w:style w:type="paragraph" w:customStyle="1" w:styleId="9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styleId="96">
    <w:name w:val="No Spacing"/>
    <w:qFormat/>
    <w:uiPriority w:val="1"/>
    <w:pPr>
      <w:widowControl w:val="0"/>
      <w:jc w:val="both"/>
    </w:pPr>
    <w:rPr>
      <w:kern w:val="2"/>
      <w:sz w:val="21"/>
      <w:szCs w:val="24"/>
      <w:lang w:val="en-US" w:eastAsia="zh-CN" w:bidi="ar-SA"/>
    </w:rPr>
  </w:style>
  <w:style w:type="paragraph" w:customStyle="1" w:styleId="97">
    <w:name w:val="样式1"/>
    <w:basedOn w:val="5"/>
    <w:uiPriority w:val="0"/>
    <w:rPr>
      <w:rFonts w:eastAsia="Arial"/>
    </w:rPr>
  </w:style>
  <w:style w:type="paragraph" w:customStyle="1" w:styleId="98">
    <w:name w:val="1"/>
    <w:basedOn w:val="1"/>
    <w:next w:val="1"/>
    <w:uiPriority w:val="0"/>
  </w:style>
  <w:style w:type="paragraph" w:customStyle="1" w:styleId="99">
    <w:name w:val=" Char1"/>
    <w:basedOn w:val="1"/>
    <w:uiPriority w:val="0"/>
    <w:pPr>
      <w:jc w:val="center"/>
    </w:pPr>
    <w:rPr>
      <w:rFonts w:ascii="宋体" w:hAnsi="宋体"/>
      <w:sz w:val="32"/>
      <w:szCs w:val="32"/>
    </w:rPr>
  </w:style>
  <w:style w:type="paragraph" w:customStyle="1" w:styleId="100">
    <w:name w:val=" Char Char Char"/>
    <w:basedOn w:val="1"/>
    <w:uiPriority w:val="0"/>
    <w:pPr>
      <w:spacing w:line="360" w:lineRule="auto"/>
      <w:ind w:firstLine="200" w:firstLineChars="200"/>
    </w:pPr>
  </w:style>
  <w:style w:type="paragraph" w:customStyle="1" w:styleId="101">
    <w:name w:val="样式 标题 3 + (中文) 黑体 小四 非加粗 段前: 7.8 磅 段后: 0 磅 行距: 固定值 20 磅"/>
    <w:basedOn w:val="5"/>
    <w:uiPriority w:val="0"/>
    <w:pPr>
      <w:spacing w:before="0" w:beforeLines="0" w:after="0" w:afterLines="0" w:line="400" w:lineRule="exact"/>
    </w:pPr>
    <w:rPr>
      <w:rFonts w:eastAsia="黑体" w:cs="宋体"/>
      <w:b w:val="0"/>
      <w:bCs w:val="0"/>
      <w:sz w:val="24"/>
      <w:szCs w:val="20"/>
    </w:rPr>
  </w:style>
  <w:style w:type="paragraph" w:customStyle="1" w:styleId="102">
    <w:name w:val="样式 标题 1 + 黑体 三号 非加粗 居中 段前: 6 磅 段后: 6 磅 行距: 固定值 20 磅"/>
    <w:basedOn w:val="4"/>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03">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104">
    <w:name w:val="二级条标题"/>
    <w:basedOn w:val="103"/>
    <w:next w:val="1"/>
    <w:qFormat/>
    <w:uiPriority w:val="0"/>
    <w:pPr>
      <w:tabs>
        <w:tab w:val="left" w:pos="1680"/>
      </w:tabs>
      <w:ind w:left="1680"/>
      <w:outlineLvl w:val="3"/>
    </w:pPr>
  </w:style>
  <w:style w:type="paragraph" w:customStyle="1" w:styleId="105">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06">
    <w:name w:val="Char1 Char Char Char1"/>
    <w:basedOn w:val="1"/>
    <w:uiPriority w:val="0"/>
    <w:rPr>
      <w:rFonts w:ascii="Tahoma" w:hAnsi="Tahoma"/>
      <w:sz w:val="24"/>
      <w:szCs w:val="20"/>
    </w:rPr>
  </w:style>
  <w:style w:type="paragraph" w:customStyle="1" w:styleId="107">
    <w:name w:val="Plain Text"/>
    <w:basedOn w:val="1"/>
    <w:uiPriority w:val="0"/>
    <w:pPr>
      <w:spacing w:before="156" w:beforeLines="50" w:after="156" w:afterLines="50" w:line="400" w:lineRule="exact"/>
    </w:pPr>
    <w:rPr>
      <w:rFonts w:ascii="宋体" w:hAnsi="Courier New"/>
      <w:sz w:val="24"/>
    </w:rPr>
  </w:style>
  <w:style w:type="paragraph" w:customStyle="1" w:styleId="108">
    <w:name w:val="样式3"/>
    <w:basedOn w:val="5"/>
    <w:uiPriority w:val="0"/>
    <w:rPr>
      <w:rFonts w:eastAsia="Arial"/>
    </w:rPr>
  </w:style>
  <w:style w:type="paragraph" w:customStyle="1" w:styleId="109">
    <w:name w:val="a"/>
    <w:basedOn w:val="1"/>
    <w:qFormat/>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paragraph" w:customStyle="1" w:styleId="110">
    <w:name w:val="样式4"/>
    <w:basedOn w:val="5"/>
    <w:uiPriority w:val="0"/>
    <w:rPr>
      <w:rFonts w:eastAsia="Arial"/>
    </w:rPr>
  </w:style>
  <w:style w:type="paragraph" w:customStyle="1" w:styleId="111">
    <w:name w:val="正文段"/>
    <w:basedOn w:val="1"/>
    <w:uiPriority w:val="0"/>
    <w:pPr>
      <w:widowControl/>
      <w:snapToGrid w:val="0"/>
      <w:spacing w:after="156" w:afterLines="50"/>
      <w:ind w:firstLine="200" w:firstLineChars="200"/>
    </w:pPr>
    <w:rPr>
      <w:kern w:val="0"/>
      <w:sz w:val="24"/>
      <w:szCs w:val="20"/>
    </w:rPr>
  </w:style>
  <w:style w:type="paragraph" w:customStyle="1" w:styleId="1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e510</Company>
  <Pages>49</Pages>
  <Words>5166</Words>
  <Characters>29449</Characters>
  <Lines>245</Lines>
  <Paragraphs>69</Paragraphs>
  <TotalTime>11</TotalTime>
  <ScaleCrop>false</ScaleCrop>
  <LinksUpToDate>false</LinksUpToDate>
  <CharactersWithSpaces>34546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2017-07-04T03:04:00Z</dcterms:created>
  <dc:creator>e510</dc:creator>
  <cp:lastModifiedBy>＞眺望未来-</cp:lastModifiedBy>
  <cp:lastPrinted>2020-08-20T02:06:27Z</cp:lastPrinted>
  <dcterms:modified xsi:type="dcterms:W3CDTF">2024-01-31T02:00:50Z</dcterms:modified>
  <cp:revision>585</cp:revision>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83917E9E743F4253AE8D81CB9B162714_13</vt:lpwstr>
  </property>
</Properties>
</file>