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 w:val="0"/>
        <w:spacing w:line="360" w:lineRule="auto"/>
        <w:rPr>
          <w:rFonts w:hint="eastAsia" w:hAnsi="宋体" w:eastAsia="宋体" w:cs="Times New Roman"/>
          <w:b/>
          <w:bCs/>
          <w:sz w:val="24"/>
          <w:szCs w:val="20"/>
          <w:lang w:val="en-US" w:eastAsia="zh-CN"/>
        </w:rPr>
      </w:pPr>
      <w:r>
        <w:rPr>
          <w:rFonts w:hint="eastAsia" w:hAnsi="宋体" w:eastAsia="宋体" w:cs="Times New Roman"/>
          <w:b/>
          <w:bCs/>
          <w:sz w:val="24"/>
          <w:szCs w:val="20"/>
        </w:rPr>
        <w:t>附件十</w:t>
      </w:r>
      <w:r>
        <w:rPr>
          <w:rFonts w:hint="eastAsia" w:hAnsi="宋体" w:eastAsia="宋体" w:cs="Times New Roman"/>
          <w:b/>
          <w:bCs/>
          <w:sz w:val="24"/>
          <w:szCs w:val="20"/>
          <w:lang w:val="en-US" w:eastAsia="zh-CN"/>
        </w:rPr>
        <w:t>五</w:t>
      </w:r>
    </w:p>
    <w:p>
      <w:pPr>
        <w:pStyle w:val="4"/>
        <w:shd w:val="clear" w:color="auto" w:fill="FFFFFF"/>
        <w:snapToGrid w:val="0"/>
        <w:spacing w:line="560" w:lineRule="exact"/>
        <w:jc w:val="center"/>
        <w:rPr>
          <w:rFonts w:hint="eastAsia" w:hAnsi="宋体" w:eastAsia="宋体" w:cs="Times New Roman"/>
          <w:b/>
          <w:bCs/>
          <w:sz w:val="30"/>
          <w:szCs w:val="30"/>
        </w:rPr>
      </w:pPr>
      <w:r>
        <w:rPr>
          <w:rFonts w:hint="eastAsia" w:hAnsi="宋体" w:eastAsia="宋体" w:cs="Times New Roman"/>
          <w:b/>
          <w:bCs/>
          <w:sz w:val="30"/>
          <w:szCs w:val="30"/>
        </w:rPr>
        <w:t>第一轮报价明细表</w:t>
      </w:r>
    </w:p>
    <w:p>
      <w:pPr>
        <w:pStyle w:val="4"/>
        <w:shd w:val="clear" w:color="auto" w:fill="FFFFFF"/>
        <w:snapToGrid w:val="0"/>
        <w:spacing w:line="560" w:lineRule="exact"/>
        <w:rPr>
          <w:rFonts w:hint="eastAsia" w:hAnsi="宋体" w:eastAsia="宋体" w:cs="Times New Roman"/>
          <w:w w:val="90"/>
          <w:szCs w:val="21"/>
          <w:u w:val="single"/>
          <w:lang w:eastAsia="zh-CN"/>
        </w:rPr>
      </w:pPr>
      <w:r>
        <w:rPr>
          <w:rFonts w:hint="eastAsia" w:hAnsi="宋体" w:eastAsia="宋体" w:cs="Times New Roman"/>
          <w:bCs/>
          <w:szCs w:val="21"/>
        </w:rPr>
        <w:t>项目编号：</w:t>
      </w:r>
      <w:r>
        <w:rPr>
          <w:rFonts w:hint="eastAsia" w:hAnsi="宋体" w:eastAsia="宋体" w:cs="Times New Roman"/>
          <w:bCs/>
          <w:szCs w:val="21"/>
          <w:u w:val="single"/>
          <w:lang w:eastAsia="zh-CN"/>
        </w:rPr>
        <w:t>浙新联盐采2022（010）号</w:t>
      </w:r>
    </w:p>
    <w:p>
      <w:pPr>
        <w:pStyle w:val="4"/>
        <w:shd w:val="clear" w:color="auto" w:fill="FFFFFF"/>
        <w:snapToGrid w:val="0"/>
        <w:spacing w:line="560" w:lineRule="exact"/>
        <w:rPr>
          <w:rFonts w:hint="eastAsia" w:hAnsi="宋体" w:eastAsia="宋体" w:cs="Times New Roman"/>
          <w:bCs/>
          <w:szCs w:val="21"/>
          <w:lang w:eastAsia="zh-CN"/>
        </w:rPr>
      </w:pPr>
      <w:r>
        <w:rPr>
          <w:rFonts w:hint="eastAsia" w:hAnsi="宋体" w:eastAsia="宋体" w:cs="Times New Roman"/>
          <w:bCs/>
          <w:szCs w:val="21"/>
        </w:rPr>
        <w:t>项目名称：</w:t>
      </w:r>
      <w:r>
        <w:rPr>
          <w:rFonts w:hint="eastAsia" w:hAnsi="宋体" w:eastAsia="宋体" w:cs="Times New Roman"/>
          <w:bCs/>
          <w:szCs w:val="21"/>
          <w:u w:val="single"/>
          <w:lang w:eastAsia="zh-CN"/>
        </w:rPr>
        <w:t>海盐县望海街道圩区管理中心数字化建设项目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77"/>
        <w:gridCol w:w="4721"/>
        <w:gridCol w:w="784"/>
        <w:gridCol w:w="525"/>
        <w:gridCol w:w="72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单价（元）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一、调度指挥中心建设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操作员工作站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I5,内存 8G，硬盘 1T/258G，集显，23寸显示器，鼠标键盘，正版操作软件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图像工作站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I7,内存 16G，硬盘 1T/256G，独立显卡，23寸显示器，鼠标键盘， 正版操作软件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 拼接屏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 液晶显示单元；京东方面板尺寸：55英寸； 分辨率：1920 × 1080@60 Hz（向下兼容）； 视角：178°(水平)/ 178°(垂直)； 响应时间：8 ms (G to G)； 对比度：1200:1； 亮度：500cd/㎡； 物理拼缝：3.5mm； 输入接口：HDMI×1, DVI×1, VGA×1, CVBS×1, USB×1 输出接口：HDMI ×1, VGA×1, CVBS×1控制接口：RS232 IN×1, RS232OUT×1功耗：≤ 210W； 电源要求：100～240 VAC, 50/60 Hz； 寿命：≥60000 小时；工作温度和湿度：0℃～40℃，10%～80%RH（无冷凝水）；外形尺寸：1213.5 (W) mm × 684.3 (H) mm × 71.74 (D) mm 边框宽度：2.3mm（左/上）,1.2mm（右/下）；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 屏支架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前维护支架 仅壁挂专用；下单数量=行*列，与屏幕数量相同。含屏厚度230-245mm支架均采用SPCC优质冷轧钢板保障质量的源头；表面采用静电喷塑工艺，喷塑固化温度180-210度，涂层厚度80-100 微米，对高防腐要求产品还可选择阴极电泳底漆工艺，防腐耐锈。默认参数颜色：黑色弧度：0°LOGO：无表面处理：静电喷塑材料：SPCC 高强度钢板厚度：160mm+屏厚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高清视音频解码器，采用 Linux操作系统，运行稳定可靠 输入接口：1路 HDMI,1路DVI输出接口：4路 HDMI，2路 BNC输入分辨率：4K: 3840×2160@30Hz, WSXGA: 1680×1050/60 Hz, WXGA: 1440×900/60 Hz, WXGA: 1280×800/60 Hz, 1366×768/60 Hz,1080p: 1920×1080@50/60 Hz,UXGA: 1600×1200@ 60Hz, XVGA: 1280×960@60 Hz,720p: 1280×720@50 Hz/60 Hz,SXGA: 1280×1024@60Hz, XGA: 1024×768@60 Hz 输出分辨率：HDMI：4K: 3840 × 2160@30  Hz(仅奇数口), 1080p: 1920 × 1080@50/60 Hz, WSXGA: 1680×1050/60Hz, UXGA: 1600×1200@60 Hz (仅奇数口), 720p: 1280 ×720@50 Hz/60 Hz, SXGA: 1280 ×1024@60 Hz, XGA:1024×768@60 Hz BNC：支持 PAL、NTSC 制式 编码格式：支持 H.265、H.264、MPEG4、MJPEG 等主流的编码格式； 封装格式：支持 PS、RTP、TS、ES 等主流的封装格式； 音频解码：支持 G.722、G.711A、G.726、G.711U、MPEG2-L2、AAC音频格式的解码； 解码能力：2路 2400W，或4路1200W，或8路800W，或12 路500W，或 20 路 300W，或 36 路 1080P， 或 72 路 720P 及以下分辨率同时实时解码画面分割：支持 1、2、4、6、8、9、10、12、16 画面分割显示。(基线16路，最大支持定制到32画面) 接口参数：网口：1个RJ4510M/100M/1000Mbps 自适应以太网接口 1个光口100base-FX/1000base-X 支持光电自适应串行接口：1个RS-232 接口（RJ45）,1个RS-485/RS232 复用接口（RJ45） 音频输出接口：4个3.5mm 接口独立音频输出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大屏幕图像处理器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全硬件FPGA架构，无内嵌操作系统，没有工控机式设备的死机、计算机病毒的困扰。能够适应控制室、调度中心、监控中心等场所对系统性能日益严格的要求。2、输出通道任意开窗、缩放、漫游和叠加等功能。 3、单输出通道，最多可以同时开8个图层，显示8路信号源的画面。 4、为适应LED显示屏的复杂要求， 拼接器单路DVI支持自定义分辨率输出，最宽可自定义3840像素、最高可自定义2400像素。 5、支持输入板卡和输出板卡混插，即输入板卡可以插到输出槽位，输出板卡可以插到输入槽位。6、输入信号支持 AV、VGA、DVI、SDI、HDMI1.3、HDMI1.4、HDMI2.0、DP1.2、HDBaseT、Fiber；输入的HDMI1.4、HDMI2.0 和 DP1.2 支持3840X2160 分辨率； 7、单卡可支持 1 路 DP1.2 4K@60HZ 或者 1 路 HDMI2.0 4K@60HZ 信号源输入，单接口支持3840X2160@60HZ 信号处理。8、支持大屏回显功能和输入信号源预览功能。 9、支持输出通道测试功能，可以自定义测试背景颜色和窗口颜色 10、支持输入端口在线修改 EDID，无需第三方工具，确保电脑显卡自动输出非标分辨率。  11、单台设备支持对6组显示屏集中控制，不同组的显示屏输出分辨率可以不同，不同组的显示屏共享输入信号源。12、支持输入信号源的自检功能，当有输入时，蓝色标识。13、支持背景图案显示，在机器里面保存一张底图，无需借助第三方设备提供信号。14、支持字幕叠加，将字幕保存在设备内部，无需借助第三方设备提供信号。字幕滚动显示速度可调。15、支持信号源裁剪功能。 16、支持任意场景保存和读取功能，支持场景分组功能。 以上技术性能指标需提供提供首页具有CNAS标识的检测报告复印件。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专用线材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超五类网线、DVI等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大屏包边装饰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硬包装饰，含木饰面等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3KVA 在线式 ups（1hs 后备时间）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 主机、电池柜、电缆等，电缆实际连接长度综合考虑在报价中，不予另行计取费用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免维护电池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铅酸免维护电池，6-GFM-65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集控台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席操作台，含 3 把椅子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上位机软件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10000点授权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广播对讲管理软件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网络音频系统终端控制嵌入软件内置嵌入式终端控制软件，支持多种设备各项基本功能的运行管理、音频处理、远程点播、节目播放等多个功能，系统在软件编制上充分兼顾了实用性和操作维护的简捷性，提供了友好的人机界面和强大的数据控制软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控制室广播主机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1、终端自带监听咪头，主控室监听教室现场实况；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12U标准机柜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工业网闸及防火墙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支持工业 OPC、MODBUS/TCP 协议， 能实现工业网络环境中不同安全 级别网络之间数据安全交换的隔离系统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 个10/100/1000Base-TX 以太网端口，长期运行温度： -5℃～50℃,业务口防雷：共模±10kV,电源口防雷：共模±6kV。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镂空吊顶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按业主要求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格力2P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二、镇级运管软件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定制圩区工况大屏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建设大屏专用可视化界面，为系统提供数据界面支撑。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人/月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4处闸泵站信息化监控软件开发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定制：数据采集系统控制系统、隔离传输串口软件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三、闸站自动化系统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(一)计算机监控系统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LCU 闸站远控柜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含闸门智能控制器，内含测控装置1套，含指示灯、断路器、继电器、接触器、工业电源、信号隔离模块、二次回路配线等；最高支持1闸1 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闸门箱远控改造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更换控制箱尺寸：600*500*300，改造原有手控回路，增加远控回路及相应按钮,并增加脱扣装置，更新接触器，配线等。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三相智能表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采集电流、电压等。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多级电源防雷器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二级：最大持续运行电压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Uc285V;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最大放电电流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Imax(8/20μs)20KA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；响应时间≤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25ns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；工作环境温度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-40/850C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闸位系统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精度2mm以内 使用寿命10万小时以上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小型闸门止锁装置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定制加工，热镀锌，全钢。工作温度：0～55℃储存温度：-20～80℃包含底座及推进装置。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雷达水位计及支架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量程7米，精度±3mm，485传输，DC12V供电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回路控制、电流6A、行程可调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警灯/警号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 爆闪警灯、播放语音警讯含支架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ZR-RVV-8*1.0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ZR-RVVP-4*1.0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镀锌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100*100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布线管材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含：PVC 管材，暗敷、明敷布管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包含闸控系统实现所需的行程开关、上下限位开关、传感器支架，设备防雷接地措施等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(二)视频图像系统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高清红外高速球机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400万像素7寸32倍星光轻网络球机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红外固定摄像机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400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万星光级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1/2.7”CMOSICR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红外阵列筒型网络摄像机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摄像机电源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DC12V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6.5A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监控杆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米，挑臂长0.3米，镀锌钢管立杆厚度2mm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2U标准机架式IP存储，嵌入式处理器，嵌入式软硬件设计；支持8路高清，400M带宽网络视频接入，256M 网络带宽输出；支持2个SATA 盘位；SMART 2.0等功能；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4TB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工业级交换机</w:t>
            </w:r>
            <w:bookmarkStart w:id="0" w:name="_GoBack"/>
            <w:bookmarkEnd w:id="0"/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16口；电源故障,端口中断,可由继电器输出报警冗余双直流电源输入；0~ 60°C工作温度范围；宽温型号工作温度范围－40~ 75°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五类双绞屏蔽线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ZR-RVV-2*1.5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布线管材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含：PVC管材，暗敷、明敷布管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包含监控立杆基础费，防雷接地措施等。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(三)预警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 网络终端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内置功放，10W+10W立体声定阻输出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音柱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Ω定阻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ZR-RVVP-4*1.0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含：PVC 管材，暗敷、明敷布管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专用支架、不锈钢抱箍、螺丝等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四、网络体系建设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站点传输链路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1年50MVPN专网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圩区控制中心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1年100M VPN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街道调度指挥中心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1年200M VPN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合计：（一）+（二）+4*（三）+（四）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</w:tbl>
    <w:p>
      <w:pPr>
        <w:widowControl/>
        <w:snapToGrid w:val="0"/>
        <w:spacing w:before="50" w:after="50" w:line="360" w:lineRule="exact"/>
        <w:jc w:val="left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注</w:t>
      </w:r>
      <w:r>
        <w:rPr>
          <w:rFonts w:ascii="宋体" w:hAnsi="宋体" w:eastAsia="宋体" w:cs="Times New Roman"/>
          <w:kern w:val="0"/>
          <w:szCs w:val="21"/>
        </w:rPr>
        <w:t>: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Arial"/>
          <w:bCs/>
          <w:kern w:val="0"/>
          <w:szCs w:val="21"/>
        </w:rPr>
      </w:pPr>
      <w:r>
        <w:rPr>
          <w:rFonts w:hint="eastAsia" w:ascii="宋体" w:hAnsi="宋体" w:eastAsia="宋体" w:cs="Arial"/>
          <w:bCs/>
          <w:kern w:val="0"/>
          <w:szCs w:val="21"/>
        </w:rPr>
        <w:t>1.总报价包括且不限于完成本项目范围内所有设施安装、实施、验收、运维、人工、主材、辅材、交通、差旅、保险、风险、利润、管理费、税金等一切费用，所有均包含于本次总投标报价中。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Arial"/>
          <w:bCs/>
          <w:kern w:val="0"/>
          <w:szCs w:val="21"/>
        </w:rPr>
      </w:pPr>
      <w:r>
        <w:rPr>
          <w:rFonts w:hint="eastAsia" w:ascii="宋体" w:hAnsi="宋体" w:eastAsia="宋体" w:cs="Arial"/>
          <w:bCs/>
          <w:kern w:val="0"/>
          <w:szCs w:val="21"/>
        </w:rPr>
        <w:t>2.总价高于最高限价的报价作无效标处理。</w:t>
      </w:r>
    </w:p>
    <w:p>
      <w:pPr>
        <w:widowControl/>
        <w:spacing w:line="360" w:lineRule="auto"/>
        <w:ind w:firstLine="560"/>
        <w:jc w:val="left"/>
        <w:rPr>
          <w:rFonts w:hint="default" w:ascii="宋体" w:hAnsi="宋体" w:eastAsia="宋体" w:cs="Arial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Arial"/>
          <w:bCs/>
          <w:kern w:val="0"/>
          <w:szCs w:val="21"/>
          <w:lang w:val="en-US" w:eastAsia="zh-CN"/>
        </w:rPr>
        <w:t>3.清单中第三项闸站自动化系统为一座闸站工程量，报价合计闸站工程量为4座。</w:t>
      </w:r>
    </w:p>
    <w:p>
      <w:pPr>
        <w:widowControl/>
        <w:shd w:val="clear" w:color="auto" w:fill="FFFFFF"/>
        <w:spacing w:line="360" w:lineRule="auto"/>
        <w:ind w:firstLine="6000" w:firstLineChars="2500"/>
        <w:jc w:val="left"/>
        <w:rPr>
          <w:rFonts w:hint="eastAsia" w:ascii="宋体" w:hAnsi="Times New Roman" w:eastAsia="宋体" w:cs="Times New Roman"/>
          <w:kern w:val="0"/>
          <w:sz w:val="24"/>
          <w:szCs w:val="20"/>
        </w:rPr>
      </w:pPr>
    </w:p>
    <w:p>
      <w:pPr>
        <w:widowControl/>
        <w:spacing w:before="120" w:beforeLines="50" w:after="120" w:afterLines="50"/>
        <w:ind w:right="-21" w:rightChars="-10" w:firstLine="4410" w:firstLineChars="210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kern w:val="0"/>
          <w:szCs w:val="21"/>
        </w:rPr>
        <w:t>竞争性磋商供应商</w:t>
      </w:r>
      <w:r>
        <w:rPr>
          <w:rFonts w:ascii="Arial" w:hAnsi="Arial" w:eastAsia="宋体" w:cs="Arial"/>
          <w:kern w:val="0"/>
          <w:szCs w:val="21"/>
        </w:rPr>
        <w:t>全称（公章）：</w:t>
      </w:r>
    </w:p>
    <w:p>
      <w:pPr>
        <w:widowControl/>
        <w:spacing w:before="120" w:beforeLines="50" w:after="120" w:afterLines="50"/>
        <w:ind w:right="-10" w:firstLine="4410" w:firstLineChars="2100"/>
        <w:jc w:val="left"/>
        <w:rPr>
          <w:rFonts w:ascii="Arial" w:hAnsi="Arial" w:eastAsia="宋体" w:cs="Arial"/>
          <w:kern w:val="0"/>
          <w:szCs w:val="21"/>
        </w:rPr>
      </w:pPr>
      <w:r>
        <w:rPr>
          <w:rFonts w:ascii="Arial" w:hAnsi="Arial" w:eastAsia="宋体" w:cs="Arial"/>
          <w:kern w:val="0"/>
          <w:szCs w:val="21"/>
        </w:rPr>
        <w:t>法定代表人或授权代表（签字或盖章）：</w:t>
      </w:r>
    </w:p>
    <w:p>
      <w:pPr>
        <w:widowControl/>
        <w:spacing w:line="360" w:lineRule="auto"/>
        <w:ind w:firstLine="4410" w:firstLineChars="2100"/>
        <w:jc w:val="left"/>
        <w:rPr>
          <w:rFonts w:ascii="宋体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日期：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Cs w:val="21"/>
        </w:rPr>
        <w:t>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ZjE2N2I2ODViZGIyNzA2YmMxMzRhNTIyNTJkN2EifQ=="/>
  </w:docVars>
  <w:rsids>
    <w:rsidRoot w:val="653834FB"/>
    <w:rsid w:val="653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60" w:lineRule="auto"/>
      <w:jc w:val="both"/>
    </w:pPr>
    <w:rPr>
      <w:rFonts w:ascii="楷体_GB2312" w:hAnsi="Times New Roman" w:eastAsia="楷体_GB2312" w:cs="Times New Roman"/>
      <w:kern w:val="2"/>
      <w:sz w:val="32"/>
      <w:lang w:val="en-US" w:eastAsia="zh-CN" w:bidi="ar-SA"/>
    </w:rPr>
  </w:style>
  <w:style w:type="paragraph" w:styleId="3">
    <w:name w:val="Body Text First Indent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7">
    <w:name w:val="font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2022-12-20T17:43:00Z</dcterms:created>
  <dc:creator>Assssssss</dc:creator>
  <cp:lastModifiedBy>Assssssss</cp:lastModifiedBy>
  <dcterms:modified xsi:type="dcterms:W3CDTF">2022-12-20T17:44:12Z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6D51DE8883674EF18A299D666EB1424B</vt:lpwstr>
  </property>
</Properties>
</file>