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新宋体" w:hAnsi="新宋体" w:eastAsia="新宋体"/>
          <w:b/>
          <w:bCs/>
          <w:color w:val="auto"/>
          <w:spacing w:val="120"/>
          <w:sz w:val="52"/>
          <w:szCs w:val="52"/>
          <w:highlight w:val="none"/>
        </w:rPr>
      </w:pPr>
    </w:p>
    <w:p>
      <w:pPr>
        <w:jc w:val="center"/>
        <w:rPr>
          <w:rFonts w:ascii="新宋体" w:hAnsi="新宋体" w:eastAsia="新宋体"/>
          <w:b/>
          <w:bCs/>
          <w:color w:val="auto"/>
          <w:sz w:val="52"/>
          <w:szCs w:val="52"/>
          <w:highlight w:val="none"/>
        </w:rPr>
      </w:pPr>
      <w:r>
        <w:rPr>
          <w:rFonts w:hint="eastAsia" w:ascii="新宋体" w:hAnsi="新宋体" w:eastAsia="新宋体"/>
          <w:color w:val="auto"/>
          <w:spacing w:val="20"/>
          <w:sz w:val="84"/>
          <w:highlight w:val="none"/>
        </w:rPr>
        <w:t>温州市政府（分散）采购</w:t>
      </w:r>
    </w:p>
    <w:p>
      <w:pPr>
        <w:jc w:val="center"/>
        <w:rPr>
          <w:rFonts w:ascii="新宋体" w:hAnsi="新宋体" w:eastAsia="新宋体"/>
          <w:b/>
          <w:bCs/>
          <w:color w:val="auto"/>
          <w:spacing w:val="26"/>
          <w:sz w:val="52"/>
          <w:highlight w:val="none"/>
        </w:rPr>
      </w:pPr>
    </w:p>
    <w:p>
      <w:pPr>
        <w:ind w:firstLine="2357" w:firstLineChars="235"/>
        <w:rPr>
          <w:rFonts w:ascii="新宋体" w:hAnsi="新宋体" w:eastAsia="新宋体"/>
          <w:b/>
          <w:bCs/>
          <w:color w:val="auto"/>
          <w:spacing w:val="140"/>
          <w:sz w:val="72"/>
          <w:highlight w:val="none"/>
        </w:rPr>
      </w:pPr>
    </w:p>
    <w:p>
      <w:pPr>
        <w:jc w:val="center"/>
        <w:rPr>
          <w:rFonts w:ascii="新宋体" w:hAnsi="新宋体" w:eastAsia="新宋体"/>
          <w:b/>
          <w:bCs/>
          <w:color w:val="auto"/>
          <w:spacing w:val="140"/>
          <w:sz w:val="72"/>
          <w:highlight w:val="none"/>
        </w:rPr>
      </w:pPr>
    </w:p>
    <w:p>
      <w:pPr>
        <w:adjustRightInd w:val="0"/>
        <w:snapToGrid w:val="0"/>
        <w:spacing w:line="480" w:lineRule="auto"/>
        <w:ind w:right="361"/>
        <w:jc w:val="center"/>
        <w:rPr>
          <w:rFonts w:ascii="新宋体" w:hAnsi="新宋体" w:eastAsia="新宋体"/>
          <w:color w:val="auto"/>
          <w:sz w:val="84"/>
          <w:szCs w:val="84"/>
          <w:highlight w:val="none"/>
        </w:rPr>
      </w:pPr>
      <w:r>
        <w:rPr>
          <w:rFonts w:hint="eastAsia" w:ascii="新宋体" w:hAnsi="新宋体" w:eastAsia="新宋体"/>
          <w:b/>
          <w:bCs/>
          <w:color w:val="auto"/>
          <w:sz w:val="84"/>
          <w:szCs w:val="84"/>
          <w:highlight w:val="none"/>
        </w:rPr>
        <w:t>招 标 文 件</w:t>
      </w:r>
    </w:p>
    <w:p>
      <w:pPr>
        <w:ind w:left="1888" w:leftChars="899" w:firstLine="210" w:firstLineChars="87"/>
        <w:rPr>
          <w:rFonts w:ascii="新宋体" w:hAnsi="新宋体" w:eastAsia="新宋体"/>
          <w:b/>
          <w:bCs/>
          <w:color w:val="auto"/>
          <w:sz w:val="24"/>
          <w:highlight w:val="none"/>
        </w:rPr>
      </w:pPr>
    </w:p>
    <w:p>
      <w:pPr>
        <w:spacing w:line="800" w:lineRule="exact"/>
        <w:ind w:firstLine="1140" w:firstLineChars="300"/>
        <w:jc w:val="left"/>
        <w:rPr>
          <w:rFonts w:ascii="新宋体" w:hAnsi="新宋体" w:eastAsia="新宋体"/>
          <w:b/>
          <w:color w:val="auto"/>
          <w:spacing w:val="40"/>
          <w:sz w:val="30"/>
          <w:szCs w:val="30"/>
          <w:highlight w:val="none"/>
        </w:rPr>
      </w:pPr>
      <w:r>
        <w:rPr>
          <w:rFonts w:hint="eastAsia" w:ascii="新宋体" w:hAnsi="新宋体" w:eastAsia="新宋体"/>
          <w:color w:val="auto"/>
          <w:spacing w:val="40"/>
          <w:sz w:val="30"/>
          <w:szCs w:val="30"/>
          <w:highlight w:val="none"/>
        </w:rPr>
        <w:t>项 目 编 号</w:t>
      </w:r>
      <w:r>
        <w:rPr>
          <w:rFonts w:hint="eastAsia" w:ascii="新宋体" w:hAnsi="新宋体" w:eastAsia="新宋体"/>
          <w:color w:val="auto"/>
          <w:spacing w:val="40"/>
          <w:sz w:val="28"/>
          <w:highlight w:val="none"/>
        </w:rPr>
        <w:t>：</w:t>
      </w:r>
      <w:r>
        <w:rPr>
          <w:rFonts w:hint="eastAsia" w:ascii="新宋体" w:hAnsi="新宋体" w:eastAsia="新宋体"/>
          <w:b/>
          <w:bCs/>
          <w:color w:val="auto"/>
          <w:sz w:val="30"/>
          <w:szCs w:val="30"/>
          <w:highlight w:val="none"/>
        </w:rPr>
        <w:t xml:space="preserve">WZHX2018(BJ)-08-317    </w:t>
      </w:r>
    </w:p>
    <w:p>
      <w:pPr>
        <w:spacing w:line="800" w:lineRule="exact"/>
        <w:ind w:left="3794" w:leftChars="540" w:hanging="2660" w:hangingChars="700"/>
        <w:rPr>
          <w:rFonts w:ascii="新宋体" w:hAnsi="新宋体" w:eastAsia="新宋体"/>
          <w:b/>
          <w:color w:val="auto"/>
          <w:sz w:val="30"/>
          <w:szCs w:val="30"/>
          <w:highlight w:val="none"/>
        </w:rPr>
      </w:pPr>
      <w:r>
        <w:rPr>
          <w:rFonts w:hint="eastAsia" w:ascii="新宋体" w:hAnsi="新宋体" w:eastAsia="新宋体"/>
          <w:color w:val="auto"/>
          <w:spacing w:val="40"/>
          <w:sz w:val="30"/>
          <w:szCs w:val="30"/>
          <w:highlight w:val="none"/>
        </w:rPr>
        <w:t>项 目 名 称：</w:t>
      </w:r>
      <w:r>
        <w:rPr>
          <w:rFonts w:hint="eastAsia" w:ascii="新宋体" w:hAnsi="新宋体" w:eastAsia="新宋体"/>
          <w:b/>
          <w:color w:val="auto"/>
          <w:spacing w:val="40"/>
          <w:sz w:val="30"/>
          <w:szCs w:val="30"/>
          <w:highlight w:val="none"/>
        </w:rPr>
        <w:t xml:space="preserve"> </w:t>
      </w:r>
      <w:r>
        <w:rPr>
          <w:rFonts w:hint="eastAsia" w:ascii="新宋体" w:hAnsi="新宋体" w:eastAsia="新宋体"/>
          <w:b/>
          <w:color w:val="auto"/>
          <w:sz w:val="30"/>
          <w:szCs w:val="30"/>
          <w:highlight w:val="none"/>
        </w:rPr>
        <w:t>开发区雪亮工程高清人脸识别监控租赁</w:t>
      </w:r>
    </w:p>
    <w:p>
      <w:pPr>
        <w:spacing w:line="800" w:lineRule="exact"/>
        <w:ind w:left="3802" w:leftChars="540" w:hanging="2668" w:hangingChars="700"/>
        <w:rPr>
          <w:rFonts w:ascii="新宋体" w:hAnsi="新宋体" w:eastAsia="新宋体"/>
          <w:b/>
          <w:color w:val="auto"/>
          <w:sz w:val="30"/>
          <w:szCs w:val="30"/>
          <w:highlight w:val="none"/>
        </w:rPr>
      </w:pPr>
      <w:r>
        <w:rPr>
          <w:rFonts w:hint="eastAsia" w:ascii="新宋体" w:hAnsi="新宋体" w:eastAsia="新宋体"/>
          <w:b/>
          <w:color w:val="auto"/>
          <w:spacing w:val="40"/>
          <w:sz w:val="30"/>
          <w:szCs w:val="30"/>
          <w:highlight w:val="none"/>
        </w:rPr>
        <w:t xml:space="preserve">        </w:t>
      </w:r>
      <w:r>
        <w:rPr>
          <w:rFonts w:hint="eastAsia" w:ascii="新宋体" w:hAnsi="新宋体" w:eastAsia="新宋体"/>
          <w:b/>
          <w:color w:val="auto"/>
          <w:sz w:val="30"/>
          <w:szCs w:val="30"/>
          <w:highlight w:val="none"/>
        </w:rPr>
        <w:t>开发区雪亮工程三大平台和运维管理中心的租赁</w:t>
      </w:r>
    </w:p>
    <w:p>
      <w:pPr>
        <w:spacing w:line="800" w:lineRule="exact"/>
        <w:ind w:left="3794" w:leftChars="540" w:hanging="2660" w:hangingChars="700"/>
        <w:rPr>
          <w:rFonts w:ascii="新宋体" w:hAnsi="新宋体" w:eastAsia="新宋体"/>
          <w:b/>
          <w:color w:val="auto"/>
          <w:spacing w:val="40"/>
          <w:sz w:val="30"/>
          <w:szCs w:val="30"/>
          <w:highlight w:val="none"/>
        </w:rPr>
      </w:pPr>
      <w:r>
        <w:rPr>
          <w:rFonts w:hint="eastAsia" w:ascii="新宋体" w:hAnsi="新宋体" w:eastAsia="新宋体"/>
          <w:color w:val="auto"/>
          <w:spacing w:val="40"/>
          <w:sz w:val="30"/>
          <w:szCs w:val="30"/>
          <w:highlight w:val="none"/>
        </w:rPr>
        <w:t>采 购 方 式：</w:t>
      </w:r>
      <w:r>
        <w:rPr>
          <w:rFonts w:hint="eastAsia" w:ascii="新宋体" w:hAnsi="新宋体" w:eastAsia="新宋体"/>
          <w:b/>
          <w:color w:val="auto"/>
          <w:spacing w:val="40"/>
          <w:sz w:val="30"/>
          <w:szCs w:val="30"/>
          <w:highlight w:val="none"/>
        </w:rPr>
        <w:t>公开招标</w:t>
      </w:r>
    </w:p>
    <w:p>
      <w:pPr>
        <w:spacing w:line="600" w:lineRule="exact"/>
        <w:ind w:firstLine="1140" w:firstLineChars="300"/>
        <w:rPr>
          <w:rFonts w:ascii="新宋体" w:hAnsi="新宋体" w:eastAsia="新宋体"/>
          <w:color w:val="auto"/>
          <w:spacing w:val="40"/>
          <w:sz w:val="30"/>
          <w:szCs w:val="30"/>
          <w:highlight w:val="none"/>
        </w:rPr>
      </w:pPr>
    </w:p>
    <w:p>
      <w:pPr>
        <w:spacing w:line="600" w:lineRule="exact"/>
        <w:ind w:firstLine="1140" w:firstLineChars="300"/>
        <w:rPr>
          <w:rFonts w:ascii="新宋体" w:hAnsi="新宋体" w:eastAsia="新宋体"/>
          <w:color w:val="auto"/>
          <w:spacing w:val="40"/>
          <w:sz w:val="30"/>
          <w:szCs w:val="30"/>
          <w:highlight w:val="none"/>
        </w:rPr>
      </w:pPr>
    </w:p>
    <w:p>
      <w:pPr>
        <w:spacing w:line="600" w:lineRule="exact"/>
        <w:ind w:firstLine="1140" w:firstLineChars="300"/>
        <w:rPr>
          <w:rFonts w:ascii="新宋体" w:hAnsi="新宋体" w:eastAsia="新宋体"/>
          <w:color w:val="auto"/>
          <w:spacing w:val="40"/>
          <w:sz w:val="30"/>
          <w:szCs w:val="30"/>
          <w:highlight w:val="none"/>
        </w:rPr>
      </w:pPr>
    </w:p>
    <w:p>
      <w:pPr>
        <w:spacing w:line="600" w:lineRule="exact"/>
        <w:ind w:firstLine="1620" w:firstLineChars="450"/>
        <w:rPr>
          <w:rFonts w:ascii="新宋体" w:hAnsi="新宋体" w:eastAsia="新宋体"/>
          <w:color w:val="auto"/>
          <w:spacing w:val="30"/>
          <w:sz w:val="30"/>
          <w:highlight w:val="none"/>
        </w:rPr>
      </w:pPr>
      <w:r>
        <w:rPr>
          <w:rFonts w:hint="eastAsia" w:ascii="新宋体" w:hAnsi="新宋体" w:eastAsia="新宋体"/>
          <w:color w:val="auto"/>
          <w:spacing w:val="30"/>
          <w:sz w:val="30"/>
          <w:highlight w:val="none"/>
        </w:rPr>
        <w:t>招 标 人:</w:t>
      </w:r>
      <w:r>
        <w:rPr>
          <w:rFonts w:hint="eastAsia" w:ascii="新宋体" w:hAnsi="新宋体" w:eastAsia="新宋体"/>
          <w:b/>
          <w:color w:val="auto"/>
          <w:sz w:val="22"/>
          <w:szCs w:val="22"/>
          <w:highlight w:val="none"/>
        </w:rPr>
        <w:t xml:space="preserve"> </w:t>
      </w:r>
      <w:r>
        <w:rPr>
          <w:rFonts w:hint="eastAsia" w:ascii="新宋体" w:hAnsi="新宋体" w:eastAsia="新宋体"/>
          <w:color w:val="auto"/>
          <w:spacing w:val="30"/>
          <w:sz w:val="30"/>
          <w:highlight w:val="none"/>
        </w:rPr>
        <w:t>温州市公安局经济技术开发区分局</w:t>
      </w:r>
    </w:p>
    <w:p>
      <w:pPr>
        <w:spacing w:line="600" w:lineRule="exact"/>
        <w:jc w:val="center"/>
        <w:rPr>
          <w:rFonts w:ascii="新宋体" w:hAnsi="新宋体" w:eastAsia="新宋体"/>
          <w:color w:val="auto"/>
          <w:spacing w:val="30"/>
          <w:sz w:val="30"/>
          <w:highlight w:val="none"/>
        </w:rPr>
      </w:pPr>
      <w:r>
        <w:rPr>
          <w:rFonts w:hint="eastAsia" w:ascii="新宋体" w:hAnsi="新宋体" w:eastAsia="新宋体"/>
          <w:color w:val="auto"/>
          <w:spacing w:val="30"/>
          <w:sz w:val="30"/>
          <w:highlight w:val="none"/>
        </w:rPr>
        <w:t xml:space="preserve">  招标代理公司：温州市华信采购招标代理有限公司</w:t>
      </w:r>
    </w:p>
    <w:p>
      <w:pPr>
        <w:spacing w:line="600" w:lineRule="exact"/>
        <w:jc w:val="center"/>
        <w:rPr>
          <w:rFonts w:ascii="新宋体" w:hAnsi="新宋体" w:eastAsia="新宋体"/>
          <w:color w:val="auto"/>
          <w:spacing w:val="30"/>
          <w:sz w:val="30"/>
          <w:highlight w:val="none"/>
        </w:rPr>
      </w:pPr>
      <w:r>
        <w:rPr>
          <w:rFonts w:hint="eastAsia" w:ascii="新宋体" w:hAnsi="新宋体" w:eastAsia="新宋体"/>
          <w:color w:val="auto"/>
          <w:spacing w:val="30"/>
          <w:sz w:val="30"/>
          <w:highlight w:val="none"/>
        </w:rPr>
        <w:t>二0一八年八月</w:t>
      </w:r>
    </w:p>
    <w:p>
      <w:pPr>
        <w:ind w:firstLine="3072" w:firstLineChars="850"/>
        <w:rPr>
          <w:rFonts w:ascii="新宋体" w:hAnsi="新宋体" w:eastAsia="新宋体"/>
          <w:b/>
          <w:color w:val="auto"/>
          <w:sz w:val="36"/>
          <w:szCs w:val="36"/>
          <w:highlight w:val="none"/>
        </w:rPr>
      </w:pPr>
    </w:p>
    <w:p>
      <w:pPr>
        <w:rPr>
          <w:rFonts w:ascii="新宋体" w:hAnsi="新宋体" w:eastAsia="新宋体"/>
          <w:color w:val="auto"/>
          <w:spacing w:val="40"/>
          <w:sz w:val="28"/>
          <w:highlight w:val="none"/>
        </w:rPr>
      </w:pPr>
    </w:p>
    <w:p>
      <w:pPr>
        <w:rPr>
          <w:rFonts w:ascii="新宋体" w:hAnsi="新宋体" w:eastAsia="新宋体"/>
          <w:color w:val="auto"/>
          <w:spacing w:val="40"/>
          <w:sz w:val="28"/>
          <w:highlight w:val="none"/>
        </w:rPr>
      </w:pPr>
    </w:p>
    <w:p>
      <w:pPr>
        <w:rPr>
          <w:rFonts w:ascii="新宋体" w:hAnsi="新宋体" w:eastAsia="新宋体"/>
          <w:color w:val="auto"/>
          <w:spacing w:val="40"/>
          <w:sz w:val="28"/>
          <w:highlight w:val="none"/>
        </w:rPr>
      </w:pPr>
    </w:p>
    <w:p>
      <w:pPr>
        <w:spacing w:before="100" w:beforeAutospacing="1" w:after="100" w:afterAutospacing="1" w:line="440" w:lineRule="exact"/>
        <w:jc w:val="center"/>
        <w:outlineLvl w:val="0"/>
        <w:rPr>
          <w:rFonts w:ascii="新宋体" w:hAnsi="新宋体" w:eastAsia="新宋体"/>
          <w:b/>
          <w:bCs/>
          <w:color w:val="auto"/>
          <w:sz w:val="32"/>
          <w:szCs w:val="32"/>
          <w:highlight w:val="none"/>
        </w:rPr>
      </w:pPr>
      <w:r>
        <w:rPr>
          <w:rFonts w:hint="eastAsia" w:ascii="新宋体" w:hAnsi="新宋体" w:eastAsia="新宋体"/>
          <w:b/>
          <w:bCs/>
          <w:color w:val="auto"/>
          <w:sz w:val="32"/>
          <w:szCs w:val="32"/>
          <w:highlight w:val="none"/>
        </w:rPr>
        <w:t>目    录</w:t>
      </w:r>
    </w:p>
    <w:p>
      <w:pPr>
        <w:jc w:val="center"/>
        <w:rPr>
          <w:rFonts w:ascii="新宋体" w:hAnsi="新宋体" w:eastAsia="新宋体"/>
          <w:b/>
          <w:bCs/>
          <w:color w:val="auto"/>
          <w:sz w:val="32"/>
          <w:szCs w:val="32"/>
          <w:highlight w:val="none"/>
        </w:rPr>
      </w:pP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第一册   通  用  文  本    </w:t>
      </w:r>
      <w:r>
        <w:rPr>
          <w:rFonts w:ascii="新宋体" w:hAnsi="新宋体" w:eastAsia="新宋体"/>
          <w:color w:val="auto"/>
          <w:sz w:val="22"/>
          <w:highlight w:val="none"/>
        </w:rPr>
        <w:t>…………………………………………………………………</w:t>
      </w:r>
      <w:r>
        <w:rPr>
          <w:rFonts w:hint="eastAsia" w:ascii="新宋体" w:hAnsi="新宋体" w:eastAsia="新宋体"/>
          <w:color w:val="auto"/>
          <w:sz w:val="22"/>
          <w:highlight w:val="none"/>
        </w:rPr>
        <w:t>2</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投标保证金办理注意事项     </w:t>
      </w:r>
      <w:r>
        <w:rPr>
          <w:rFonts w:ascii="新宋体" w:hAnsi="新宋体" w:eastAsia="新宋体"/>
          <w:color w:val="auto"/>
          <w:sz w:val="22"/>
          <w:highlight w:val="none"/>
        </w:rPr>
        <w:t>…………………………………………………………………</w:t>
      </w:r>
      <w:r>
        <w:rPr>
          <w:rFonts w:hint="eastAsia" w:ascii="新宋体" w:hAnsi="新宋体" w:eastAsia="新宋体"/>
          <w:color w:val="auto"/>
          <w:sz w:val="22"/>
          <w:highlight w:val="none"/>
        </w:rPr>
        <w:t>3</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投标邀请函                 </w:t>
      </w:r>
      <w:r>
        <w:rPr>
          <w:rFonts w:ascii="新宋体" w:hAnsi="新宋体" w:eastAsia="新宋体"/>
          <w:color w:val="auto"/>
          <w:sz w:val="22"/>
          <w:highlight w:val="none"/>
        </w:rPr>
        <w:t>…………………………………………………………………</w:t>
      </w:r>
      <w:r>
        <w:rPr>
          <w:rFonts w:hint="eastAsia" w:ascii="新宋体" w:hAnsi="新宋体" w:eastAsia="新宋体"/>
          <w:color w:val="auto"/>
          <w:sz w:val="22"/>
          <w:highlight w:val="none"/>
        </w:rPr>
        <w:t>4</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第一部分  投标人须知       </w:t>
      </w:r>
      <w:r>
        <w:rPr>
          <w:rFonts w:ascii="新宋体" w:hAnsi="新宋体" w:eastAsia="新宋体"/>
          <w:color w:val="auto"/>
          <w:sz w:val="22"/>
          <w:highlight w:val="none"/>
        </w:rPr>
        <w:t>…………………………………………………………………</w:t>
      </w:r>
      <w:r>
        <w:rPr>
          <w:rFonts w:hint="eastAsia" w:ascii="新宋体" w:hAnsi="新宋体" w:eastAsia="新宋体"/>
          <w:color w:val="auto"/>
          <w:sz w:val="22"/>
          <w:highlight w:val="none"/>
        </w:rPr>
        <w:t>5</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一、说明                   </w:t>
      </w:r>
      <w:r>
        <w:rPr>
          <w:rFonts w:ascii="新宋体" w:hAnsi="新宋体" w:eastAsia="新宋体"/>
          <w:color w:val="auto"/>
          <w:sz w:val="22"/>
          <w:highlight w:val="none"/>
        </w:rPr>
        <w:t>…………………………………………………………………</w:t>
      </w:r>
      <w:r>
        <w:rPr>
          <w:rFonts w:hint="eastAsia" w:ascii="新宋体" w:hAnsi="新宋体" w:eastAsia="新宋体"/>
          <w:color w:val="auto"/>
          <w:sz w:val="22"/>
          <w:highlight w:val="none"/>
        </w:rPr>
        <w:t>5</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二、招标文件               </w:t>
      </w:r>
      <w:r>
        <w:rPr>
          <w:rFonts w:ascii="新宋体" w:hAnsi="新宋体" w:eastAsia="新宋体"/>
          <w:color w:val="auto"/>
          <w:sz w:val="22"/>
          <w:highlight w:val="none"/>
        </w:rPr>
        <w:t>…………………………………………………………………</w:t>
      </w:r>
      <w:r>
        <w:rPr>
          <w:rFonts w:hint="eastAsia" w:ascii="新宋体" w:hAnsi="新宋体" w:eastAsia="新宋体"/>
          <w:color w:val="auto"/>
          <w:sz w:val="22"/>
          <w:highlight w:val="none"/>
        </w:rPr>
        <w:t>5</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三、投标文件的编制         </w:t>
      </w:r>
      <w:r>
        <w:rPr>
          <w:rFonts w:ascii="新宋体" w:hAnsi="新宋体" w:eastAsia="新宋体"/>
          <w:color w:val="auto"/>
          <w:sz w:val="22"/>
          <w:highlight w:val="none"/>
        </w:rPr>
        <w:t>…………………………………………………………………</w:t>
      </w:r>
      <w:r>
        <w:rPr>
          <w:rFonts w:hint="eastAsia" w:ascii="新宋体" w:hAnsi="新宋体" w:eastAsia="新宋体"/>
          <w:color w:val="auto"/>
          <w:sz w:val="22"/>
          <w:highlight w:val="none"/>
        </w:rPr>
        <w:t>6</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四、投标文件的递交         </w:t>
      </w:r>
      <w:r>
        <w:rPr>
          <w:rFonts w:ascii="新宋体" w:hAnsi="新宋体" w:eastAsia="新宋体"/>
          <w:color w:val="auto"/>
          <w:sz w:val="22"/>
          <w:highlight w:val="none"/>
        </w:rPr>
        <w:t>…………………………………………………………………</w:t>
      </w:r>
      <w:r>
        <w:rPr>
          <w:rFonts w:hint="eastAsia" w:ascii="新宋体" w:hAnsi="新宋体" w:eastAsia="新宋体"/>
          <w:color w:val="auto"/>
          <w:sz w:val="22"/>
          <w:highlight w:val="none"/>
        </w:rPr>
        <w:t>11</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五、开标和评标             </w:t>
      </w:r>
      <w:r>
        <w:rPr>
          <w:rFonts w:ascii="新宋体" w:hAnsi="新宋体" w:eastAsia="新宋体"/>
          <w:color w:val="auto"/>
          <w:sz w:val="22"/>
          <w:highlight w:val="none"/>
        </w:rPr>
        <w:t>…………………………………………………………………</w:t>
      </w:r>
      <w:r>
        <w:rPr>
          <w:rFonts w:hint="eastAsia" w:ascii="新宋体" w:hAnsi="新宋体" w:eastAsia="新宋体"/>
          <w:color w:val="auto"/>
          <w:sz w:val="22"/>
          <w:highlight w:val="none"/>
        </w:rPr>
        <w:t>11</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六、授予合同               </w:t>
      </w:r>
      <w:r>
        <w:rPr>
          <w:rFonts w:ascii="新宋体" w:hAnsi="新宋体" w:eastAsia="新宋体"/>
          <w:color w:val="auto"/>
          <w:sz w:val="22"/>
          <w:highlight w:val="none"/>
        </w:rPr>
        <w:t>…………………………………………………………………</w:t>
      </w:r>
      <w:r>
        <w:rPr>
          <w:rFonts w:hint="eastAsia" w:ascii="新宋体" w:hAnsi="新宋体" w:eastAsia="新宋体"/>
          <w:color w:val="auto"/>
          <w:sz w:val="22"/>
          <w:highlight w:val="none"/>
        </w:rPr>
        <w:t>14</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第二部分  合同主要条款     </w:t>
      </w:r>
      <w:r>
        <w:rPr>
          <w:rFonts w:ascii="新宋体" w:hAnsi="新宋体" w:eastAsia="新宋体"/>
          <w:color w:val="auto"/>
          <w:sz w:val="22"/>
          <w:highlight w:val="none"/>
        </w:rPr>
        <w:t>…………………………………………………………………</w:t>
      </w:r>
      <w:r>
        <w:rPr>
          <w:rFonts w:hint="eastAsia" w:ascii="新宋体" w:hAnsi="新宋体" w:eastAsia="新宋体"/>
          <w:color w:val="auto"/>
          <w:sz w:val="22"/>
          <w:highlight w:val="none"/>
        </w:rPr>
        <w:t>16</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第三部分 合同格式          </w:t>
      </w:r>
      <w:r>
        <w:rPr>
          <w:rFonts w:ascii="新宋体" w:hAnsi="新宋体" w:eastAsia="新宋体"/>
          <w:color w:val="auto"/>
          <w:sz w:val="22"/>
          <w:highlight w:val="none"/>
        </w:rPr>
        <w:t>…………………………………………………………………</w:t>
      </w:r>
      <w:r>
        <w:rPr>
          <w:rFonts w:hint="eastAsia" w:ascii="新宋体" w:hAnsi="新宋体" w:eastAsia="新宋体"/>
          <w:color w:val="auto"/>
          <w:sz w:val="22"/>
          <w:highlight w:val="none"/>
        </w:rPr>
        <w:t>22</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第四部分  附件             …………………………………………………………………23</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第二册    专用文本         …………………………………………………………………61</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第五部分 招标内容及要求    …………………………………………………………………62</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第六部分 评标原则及方法    …………………………………………………………………102</w:t>
      </w:r>
    </w:p>
    <w:p>
      <w:pPr>
        <w:spacing w:line="420" w:lineRule="exact"/>
        <w:ind w:firstLine="541" w:firstLineChars="245"/>
        <w:rPr>
          <w:rFonts w:ascii="新宋体" w:hAnsi="新宋体" w:eastAsia="新宋体"/>
          <w:b/>
          <w:color w:val="auto"/>
          <w:sz w:val="22"/>
          <w:highlight w:val="none"/>
          <w:u w:val="single"/>
        </w:rPr>
      </w:pPr>
      <w:r>
        <w:rPr>
          <w:rFonts w:hint="eastAsia" w:ascii="新宋体" w:hAnsi="新宋体" w:eastAsia="新宋体"/>
          <w:b/>
          <w:color w:val="auto"/>
          <w:sz w:val="22"/>
          <w:highlight w:val="none"/>
          <w:u w:val="single"/>
        </w:rPr>
        <w:t>注：招标文件中加粗条款为重要条款，提醒投标人注意；加“▲”或</w:t>
      </w:r>
      <w:r>
        <w:rPr>
          <w:rFonts w:ascii="新宋体" w:hAnsi="新宋体" w:eastAsia="新宋体"/>
          <w:b/>
          <w:color w:val="auto"/>
          <w:sz w:val="22"/>
          <w:highlight w:val="none"/>
          <w:u w:val="single"/>
        </w:rPr>
        <w:t>在文字下面加下划线</w:t>
      </w:r>
      <w:r>
        <w:rPr>
          <w:rFonts w:hint="eastAsia" w:ascii="新宋体" w:hAnsi="新宋体" w:eastAsia="新宋体"/>
          <w:b/>
          <w:color w:val="auto"/>
          <w:sz w:val="22"/>
          <w:highlight w:val="none"/>
          <w:u w:val="single"/>
        </w:rPr>
        <w:t>的条款，为实质性条款，着重提醒投标人注意，并认真查看招标文件中的每一个条款及要求，因误读招标文件而造成的后果，招标采购单位概不负责。</w:t>
      </w:r>
    </w:p>
    <w:p>
      <w:pPr>
        <w:spacing w:line="600" w:lineRule="exact"/>
        <w:ind w:firstLine="550" w:firstLineChars="250"/>
        <w:rPr>
          <w:rFonts w:ascii="新宋体" w:hAnsi="新宋体" w:eastAsia="新宋体"/>
          <w:color w:val="auto"/>
          <w:sz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jc w:val="center"/>
        <w:outlineLvl w:val="0"/>
        <w:rPr>
          <w:rFonts w:ascii="新宋体" w:hAnsi="新宋体" w:eastAsia="新宋体"/>
          <w:b/>
          <w:bCs/>
          <w:color w:val="auto"/>
          <w:sz w:val="52"/>
          <w:szCs w:val="52"/>
          <w:highlight w:val="none"/>
        </w:rPr>
      </w:pPr>
      <w:r>
        <w:rPr>
          <w:rFonts w:hint="eastAsia" w:ascii="新宋体" w:hAnsi="新宋体" w:eastAsia="新宋体"/>
          <w:b/>
          <w:bCs/>
          <w:color w:val="auto"/>
          <w:sz w:val="52"/>
          <w:szCs w:val="52"/>
          <w:highlight w:val="none"/>
        </w:rPr>
        <w:t>第一册</w:t>
      </w:r>
    </w:p>
    <w:p>
      <w:pPr>
        <w:rPr>
          <w:rFonts w:ascii="新宋体" w:hAnsi="新宋体" w:eastAsia="新宋体"/>
          <w:b/>
          <w:bCs/>
          <w:color w:val="auto"/>
          <w:sz w:val="48"/>
          <w:highlight w:val="none"/>
        </w:rPr>
      </w:pPr>
    </w:p>
    <w:p>
      <w:pPr>
        <w:jc w:val="center"/>
        <w:outlineLvl w:val="1"/>
        <w:rPr>
          <w:rFonts w:ascii="新宋体" w:hAnsi="新宋体" w:eastAsia="新宋体"/>
          <w:b/>
          <w:bCs/>
          <w:color w:val="auto"/>
          <w:sz w:val="48"/>
          <w:highlight w:val="none"/>
        </w:rPr>
      </w:pPr>
      <w:r>
        <w:rPr>
          <w:rFonts w:hint="eastAsia" w:ascii="新宋体" w:hAnsi="新宋体" w:eastAsia="新宋体"/>
          <w:b/>
          <w:bCs/>
          <w:color w:val="auto"/>
          <w:sz w:val="48"/>
          <w:highlight w:val="none"/>
        </w:rPr>
        <w:t>通  用  文  本</w:t>
      </w: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spacing w:line="360" w:lineRule="auto"/>
        <w:jc w:val="center"/>
        <w:rPr>
          <w:rFonts w:ascii="新宋体" w:hAnsi="新宋体" w:eastAsia="新宋体"/>
          <w:b/>
          <w:color w:val="auto"/>
          <w:sz w:val="22"/>
          <w:szCs w:val="22"/>
          <w:highlight w:val="none"/>
        </w:rPr>
      </w:pPr>
    </w:p>
    <w:p>
      <w:pPr>
        <w:pStyle w:val="24"/>
        <w:spacing w:line="460" w:lineRule="exact"/>
        <w:ind w:left="433" w:leftChars="206" w:firstLine="0" w:firstLineChars="0"/>
        <w:jc w:val="center"/>
        <w:outlineLvl w:val="0"/>
        <w:rPr>
          <w:rFonts w:ascii="新宋体" w:hAnsi="新宋体" w:eastAsia="新宋体"/>
          <w:b/>
          <w:color w:val="auto"/>
          <w:sz w:val="30"/>
          <w:szCs w:val="22"/>
          <w:highlight w:val="none"/>
        </w:rPr>
      </w:pPr>
      <w:r>
        <w:rPr>
          <w:rFonts w:hint="eastAsia" w:ascii="新宋体" w:hAnsi="新宋体" w:eastAsia="新宋体"/>
          <w:b/>
          <w:color w:val="auto"/>
          <w:sz w:val="30"/>
          <w:szCs w:val="22"/>
          <w:highlight w:val="none"/>
        </w:rPr>
        <w:t>投标保证金办理注意事项</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1、为了您的投标工作顺利进行，银行规定银行票</w:t>
      </w:r>
      <w:r>
        <w:rPr>
          <w:rFonts w:hint="eastAsia" w:ascii="新宋体" w:hAnsi="新宋体" w:eastAsia="新宋体"/>
          <w:b/>
          <w:bCs/>
          <w:color w:val="auto"/>
          <w:sz w:val="22"/>
          <w:highlight w:val="none"/>
        </w:rPr>
        <w:t>据交换时间为上午11：00，下午2：45（北京时间）即每周一至周五工作日的下午2：45以后，银行停止票据交换资金清算入账</w:t>
      </w:r>
      <w:r>
        <w:rPr>
          <w:rFonts w:hint="eastAsia" w:ascii="新宋体" w:hAnsi="新宋体" w:eastAsia="新宋体"/>
          <w:color w:val="auto"/>
          <w:sz w:val="22"/>
          <w:highlight w:val="none"/>
        </w:rPr>
        <w:t>。（为了确保温州市行政审批与公共资源交易服务管理中心在开标前一天能收到投标保证金，务必请投标人至少在</w:t>
      </w:r>
      <w:r>
        <w:rPr>
          <w:rFonts w:hint="eastAsia" w:ascii="新宋体" w:hAnsi="新宋体" w:eastAsia="新宋体"/>
          <w:b/>
          <w:bCs/>
          <w:color w:val="auto"/>
          <w:sz w:val="22"/>
          <w:highlight w:val="none"/>
        </w:rPr>
        <w:t>保证金缴纳截止时间前三天</w:t>
      </w:r>
      <w:r>
        <w:rPr>
          <w:rFonts w:hint="eastAsia" w:ascii="新宋体" w:hAnsi="新宋体" w:eastAsia="新宋体"/>
          <w:color w:val="auto"/>
          <w:sz w:val="22"/>
          <w:highlight w:val="none"/>
        </w:rPr>
        <w:t>（外地投标人还应适当提前）办理投标保证金汇款手续。保证金最迟于</w:t>
      </w:r>
      <w:r>
        <w:rPr>
          <w:rFonts w:hint="eastAsia" w:ascii="新宋体" w:hAnsi="新宋体" w:eastAsia="新宋体"/>
          <w:b/>
          <w:bCs/>
          <w:color w:val="auto"/>
          <w:sz w:val="22"/>
          <w:highlight w:val="none"/>
        </w:rPr>
        <w:t>保证金缴纳截止时间</w:t>
      </w:r>
      <w:r>
        <w:rPr>
          <w:rFonts w:hint="eastAsia" w:ascii="新宋体" w:hAnsi="新宋体" w:eastAsia="新宋体"/>
          <w:color w:val="auto"/>
          <w:sz w:val="22"/>
          <w:highlight w:val="none"/>
        </w:rPr>
        <w:t>前到公共资源交易中心服务区结算窗口确认到帐并换取收据，递交投标文件时提交评审）。</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2、为了帮助您选择快捷的保证金支付结算方式，请您联系温州银行股份有限公司鹿城支行，支行办公时间（如有变化以银行规定时间为准）：</w:t>
      </w:r>
    </w:p>
    <w:p>
      <w:pPr>
        <w:spacing w:line="380" w:lineRule="exact"/>
        <w:ind w:left="1117" w:leftChars="532"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上午：9：00—11：45 </w:t>
      </w:r>
    </w:p>
    <w:p>
      <w:pPr>
        <w:spacing w:line="380" w:lineRule="exact"/>
        <w:ind w:left="1117" w:leftChars="532"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下午：14：00—16：30</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3、温州市行政审批与公共资源交易服务管理中心保证金账户：</w:t>
      </w:r>
    </w:p>
    <w:p>
      <w:pPr>
        <w:spacing w:line="420" w:lineRule="exact"/>
        <w:ind w:firstLine="981" w:firstLineChars="444"/>
        <w:rPr>
          <w:rFonts w:ascii="新宋体" w:hAnsi="新宋体" w:eastAsia="新宋体"/>
          <w:b/>
          <w:bCs/>
          <w:color w:val="auto"/>
          <w:sz w:val="22"/>
          <w:highlight w:val="none"/>
        </w:rPr>
      </w:pPr>
      <w:r>
        <w:rPr>
          <w:rFonts w:hint="eastAsia" w:ascii="新宋体" w:hAnsi="新宋体" w:eastAsia="新宋体"/>
          <w:b/>
          <w:bCs/>
          <w:color w:val="auto"/>
          <w:sz w:val="22"/>
          <w:highlight w:val="none"/>
        </w:rPr>
        <w:t>户名：温州市行政审批与公共资源交易服务管理中心</w:t>
      </w:r>
    </w:p>
    <w:p>
      <w:pPr>
        <w:spacing w:line="420" w:lineRule="exact"/>
        <w:ind w:firstLine="981" w:firstLineChars="444"/>
        <w:rPr>
          <w:rFonts w:ascii="新宋体" w:hAnsi="新宋体" w:eastAsia="新宋体"/>
          <w:b/>
          <w:bCs/>
          <w:color w:val="auto"/>
          <w:sz w:val="22"/>
          <w:highlight w:val="none"/>
        </w:rPr>
      </w:pPr>
      <w:r>
        <w:rPr>
          <w:rFonts w:hint="eastAsia" w:ascii="新宋体" w:hAnsi="新宋体" w:eastAsia="新宋体"/>
          <w:b/>
          <w:bCs/>
          <w:color w:val="auto"/>
          <w:sz w:val="22"/>
          <w:highlight w:val="none"/>
        </w:rPr>
        <w:t>账号：715000120196666999</w:t>
      </w:r>
    </w:p>
    <w:p>
      <w:pPr>
        <w:spacing w:line="420" w:lineRule="exact"/>
        <w:ind w:firstLine="981" w:firstLineChars="444"/>
        <w:rPr>
          <w:rFonts w:ascii="新宋体" w:hAnsi="新宋体" w:eastAsia="新宋体"/>
          <w:color w:val="auto"/>
          <w:sz w:val="22"/>
          <w:highlight w:val="none"/>
        </w:rPr>
      </w:pPr>
      <w:r>
        <w:rPr>
          <w:rFonts w:hint="eastAsia" w:ascii="新宋体" w:hAnsi="新宋体" w:eastAsia="新宋体"/>
          <w:b/>
          <w:bCs/>
          <w:color w:val="auto"/>
          <w:sz w:val="22"/>
          <w:highlight w:val="none"/>
        </w:rPr>
        <w:t>开户行：温州银行股份有限公司鹿城支行</w:t>
      </w:r>
    </w:p>
    <w:p>
      <w:pPr>
        <w:spacing w:line="38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转帐支票：</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确认资金到帐后→凭银行进帐回单、“采购云”平台报名成功后的界面截图→到公共资源交易中心结算窗口开具保证金收据</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（同城结算约3天到帐）。</w:t>
      </w:r>
    </w:p>
    <w:p>
      <w:pPr>
        <w:spacing w:line="380" w:lineRule="exact"/>
        <w:ind w:firstLine="541" w:firstLineChars="245"/>
        <w:jc w:val="lef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本   　票：</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先在温州市行政审批与公共资源交易服务管理中心结算窗口办理背书（盖章）→去银行办理进帐手续→凭银行进帐回单、“采购云”平台报名成功后的界面截图→到公共资源交易中心结算窗口开具保证金收据（同城结算1小时左右到帐,县城除外）。</w:t>
      </w:r>
    </w:p>
    <w:p>
      <w:pPr>
        <w:spacing w:line="38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电  　 汇：</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确认资金到帐后凭银行汇款回单、“采购云”平台报名成功后的界面截图→到公共资源交易结算窗口开具保证金收据（异地结算约5天到帐）。</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4、温州市行政审批与公共资源交易服务管理中心财务部：0577-88151022</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为使您的投标工作顺利进行，请您应在保证金缴纳截止时间前来中心结算窗口确认保证金到帐情况并办理开具保证金收据手续。</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投标保证金，应从有资质的正式投标人银行账户中汇出，转入温州市行政审批与公共资源交易服务管理中心账户，不得由其分支机构或第三者汇出。</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保证金退付：未中标的投标人的投标保证金，在中标人确定后5个工作日内退还；中标人的投标保证金在签订合同并提交合同备案后5个工作日内退还。</w:t>
      </w:r>
    </w:p>
    <w:p>
      <w:pPr>
        <w:spacing w:line="420" w:lineRule="exact"/>
        <w:ind w:firstLine="4934" w:firstLineChars="224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温州市行政审批与公共资源交易服务管理中心</w:t>
      </w:r>
    </w:p>
    <w:p>
      <w:pPr>
        <w:pStyle w:val="24"/>
        <w:spacing w:line="460" w:lineRule="exact"/>
        <w:ind w:left="433" w:leftChars="206" w:firstLine="0" w:firstLineChars="0"/>
        <w:jc w:val="center"/>
        <w:outlineLvl w:val="0"/>
        <w:rPr>
          <w:rFonts w:ascii="新宋体" w:hAnsi="新宋体" w:eastAsia="新宋体"/>
          <w:b/>
          <w:color w:val="auto"/>
          <w:sz w:val="30"/>
          <w:highlight w:val="none"/>
        </w:rPr>
      </w:pPr>
      <w:bookmarkStart w:id="0" w:name="_Toc84779266"/>
      <w:r>
        <w:rPr>
          <w:rFonts w:hint="eastAsia" w:ascii="新宋体" w:hAnsi="新宋体" w:eastAsia="新宋体"/>
          <w:b/>
          <w:color w:val="auto"/>
          <w:sz w:val="30"/>
          <w:highlight w:val="none"/>
        </w:rPr>
        <w:t>投标邀请函</w:t>
      </w:r>
      <w:bookmarkEnd w:id="0"/>
    </w:p>
    <w:p>
      <w:pPr>
        <w:spacing w:line="400" w:lineRule="exact"/>
        <w:rPr>
          <w:rFonts w:ascii="新宋体" w:hAnsi="新宋体" w:eastAsia="新宋体"/>
          <w:color w:val="auto"/>
          <w:sz w:val="22"/>
          <w:highlight w:val="none"/>
        </w:rPr>
      </w:pP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温州市华信采购招标代理有限公司受温州市公安局经济技术开发区分局委托，就开发区雪亮工程高清人脸识别监控租赁、开发区雪亮工程三大平台和运维管理中心的租赁进行公开招标，我们诚恳地邀请贵单位参加投标，并请按招标文件的要求认真准备按时前来投标。</w:t>
      </w:r>
    </w:p>
    <w:p>
      <w:pPr>
        <w:spacing w:line="44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1、项目编号：WZHX2018(BJ)-08-317     </w:t>
      </w:r>
    </w:p>
    <w:p>
      <w:pPr>
        <w:spacing w:line="438" w:lineRule="exact"/>
        <w:ind w:firstLine="550" w:firstLineChars="250"/>
        <w:rPr>
          <w:rFonts w:ascii="新宋体" w:hAnsi="新宋体" w:eastAsia="新宋体"/>
          <w:b/>
          <w:bCs/>
          <w:color w:val="auto"/>
          <w:sz w:val="22"/>
          <w:szCs w:val="22"/>
          <w:highlight w:val="none"/>
        </w:rPr>
      </w:pPr>
      <w:r>
        <w:rPr>
          <w:rFonts w:hint="eastAsia" w:ascii="新宋体" w:hAnsi="新宋体" w:eastAsia="新宋体"/>
          <w:color w:val="auto"/>
          <w:sz w:val="22"/>
          <w:highlight w:val="none"/>
        </w:rPr>
        <w:t>2、项目名称：</w:t>
      </w:r>
      <w:r>
        <w:rPr>
          <w:rFonts w:hint="eastAsia" w:ascii="新宋体" w:hAnsi="新宋体" w:eastAsia="新宋体"/>
          <w:b/>
          <w:bCs/>
          <w:color w:val="auto"/>
          <w:sz w:val="22"/>
          <w:szCs w:val="22"/>
          <w:highlight w:val="none"/>
        </w:rPr>
        <w:t>标段一：开发区雪亮工程高清人脸识别监控租赁</w:t>
      </w:r>
    </w:p>
    <w:p>
      <w:pPr>
        <w:spacing w:line="440" w:lineRule="exact"/>
        <w:ind w:firstLine="552" w:firstLineChars="2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标段二：开发区雪亮工程三大平台和运维管理中心的租赁</w:t>
      </w:r>
    </w:p>
    <w:p>
      <w:pPr>
        <w:spacing w:line="44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3、招标内容：详见招标文件</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 xml:space="preserve">4、招标文件发售时间： 2018年 </w:t>
      </w:r>
      <w:r>
        <w:rPr>
          <w:rFonts w:hint="eastAsia" w:ascii="新宋体" w:hAnsi="新宋体" w:eastAsia="新宋体"/>
          <w:color w:val="auto"/>
          <w:sz w:val="22"/>
          <w:highlight w:val="none"/>
          <w:lang w:val="en-US" w:eastAsia="zh-CN"/>
        </w:rPr>
        <w:t>8</w:t>
      </w:r>
      <w:r>
        <w:rPr>
          <w:rFonts w:hint="eastAsia" w:ascii="新宋体" w:hAnsi="新宋体" w:eastAsia="新宋体"/>
          <w:color w:val="auto"/>
          <w:sz w:val="22"/>
          <w:highlight w:val="none"/>
        </w:rPr>
        <w:t xml:space="preserve">   月  </w:t>
      </w:r>
      <w:r>
        <w:rPr>
          <w:rFonts w:hint="eastAsia" w:ascii="新宋体" w:hAnsi="新宋体" w:eastAsia="新宋体"/>
          <w:color w:val="auto"/>
          <w:sz w:val="22"/>
          <w:highlight w:val="none"/>
          <w:lang w:val="en-US" w:eastAsia="zh-CN"/>
        </w:rPr>
        <w:t>17</w:t>
      </w:r>
      <w:r>
        <w:rPr>
          <w:rFonts w:hint="eastAsia" w:ascii="新宋体" w:hAnsi="新宋体" w:eastAsia="新宋体"/>
          <w:color w:val="auto"/>
          <w:sz w:val="22"/>
          <w:highlight w:val="none"/>
        </w:rPr>
        <w:t xml:space="preserve">  日至2018年   </w:t>
      </w:r>
      <w:r>
        <w:rPr>
          <w:rFonts w:hint="eastAsia" w:ascii="新宋体" w:hAnsi="新宋体" w:eastAsia="新宋体"/>
          <w:color w:val="auto"/>
          <w:sz w:val="22"/>
          <w:highlight w:val="none"/>
          <w:lang w:val="en-US" w:eastAsia="zh-CN"/>
        </w:rPr>
        <w:t>8</w:t>
      </w:r>
      <w:r>
        <w:rPr>
          <w:rFonts w:hint="eastAsia" w:ascii="新宋体" w:hAnsi="新宋体" w:eastAsia="新宋体"/>
          <w:color w:val="auto"/>
          <w:sz w:val="22"/>
          <w:highlight w:val="none"/>
        </w:rPr>
        <w:t xml:space="preserve">    月  </w:t>
      </w:r>
      <w:r>
        <w:rPr>
          <w:rFonts w:hint="eastAsia" w:ascii="新宋体" w:hAnsi="新宋体" w:eastAsia="新宋体"/>
          <w:color w:val="auto"/>
          <w:sz w:val="22"/>
          <w:highlight w:val="none"/>
          <w:lang w:val="en-US" w:eastAsia="zh-CN"/>
        </w:rPr>
        <w:t>28</w:t>
      </w:r>
      <w:r>
        <w:rPr>
          <w:rFonts w:hint="eastAsia" w:ascii="新宋体" w:hAnsi="新宋体" w:eastAsia="新宋体"/>
          <w:color w:val="auto"/>
          <w:sz w:val="22"/>
          <w:highlight w:val="none"/>
        </w:rPr>
        <w:t xml:space="preserve">  日止（上午9：00-11：30，下午2：00-5：00</w:t>
      </w:r>
      <w:r>
        <w:rPr>
          <w:rFonts w:ascii="新宋体" w:hAnsi="新宋体" w:eastAsia="新宋体"/>
          <w:color w:val="auto"/>
          <w:sz w:val="22"/>
          <w:highlight w:val="none"/>
        </w:rPr>
        <w:t>，法定休息日除外）(递交投标文件截止</w:t>
      </w:r>
      <w:r>
        <w:rPr>
          <w:rFonts w:hint="eastAsia" w:ascii="新宋体" w:hAnsi="新宋体" w:eastAsia="新宋体"/>
          <w:color w:val="auto"/>
          <w:sz w:val="22"/>
          <w:highlight w:val="none"/>
        </w:rPr>
        <w:t>之前报名、购买招标文件均有效，未购买招标文件的潜在投标人拒绝参加投标</w:t>
      </w:r>
      <w:r>
        <w:rPr>
          <w:rFonts w:ascii="新宋体" w:hAnsi="新宋体" w:eastAsia="新宋体"/>
          <w:color w:val="auto"/>
          <w:sz w:val="22"/>
          <w:highlight w:val="none"/>
        </w:rPr>
        <w:t>)</w:t>
      </w:r>
    </w:p>
    <w:p>
      <w:pPr>
        <w:widowControl/>
        <w:tabs>
          <w:tab w:val="left" w:pos="-360"/>
        </w:tabs>
        <w:autoSpaceDE w:val="0"/>
        <w:autoSpaceDN w:val="0"/>
        <w:spacing w:line="440" w:lineRule="exact"/>
        <w:ind w:right="-34"/>
        <w:textAlignment w:val="bottom"/>
        <w:rPr>
          <w:rFonts w:ascii="新宋体" w:hAnsi="新宋体" w:eastAsia="新宋体"/>
          <w:color w:val="auto"/>
          <w:sz w:val="22"/>
          <w:highlight w:val="none"/>
        </w:rPr>
      </w:pPr>
      <w:r>
        <w:rPr>
          <w:rFonts w:hint="eastAsia" w:ascii="新宋体" w:hAnsi="新宋体" w:eastAsia="新宋体"/>
          <w:color w:val="auto"/>
          <w:sz w:val="22"/>
          <w:highlight w:val="none"/>
        </w:rPr>
        <w:t xml:space="preserve">        招标文件发售地点： 温州市鹿城区东游大厦1505室</w:t>
      </w:r>
    </w:p>
    <w:p>
      <w:pPr>
        <w:widowControl/>
        <w:tabs>
          <w:tab w:val="left" w:pos="-360"/>
        </w:tabs>
        <w:autoSpaceDE w:val="0"/>
        <w:autoSpaceDN w:val="0"/>
        <w:spacing w:line="440" w:lineRule="exact"/>
        <w:ind w:right="-34" w:firstLine="880" w:firstLineChars="400"/>
        <w:textAlignment w:val="bottom"/>
        <w:rPr>
          <w:rFonts w:ascii="新宋体" w:hAnsi="新宋体" w:eastAsia="新宋体"/>
          <w:color w:val="auto"/>
          <w:sz w:val="22"/>
          <w:highlight w:val="none"/>
        </w:rPr>
      </w:pPr>
      <w:r>
        <w:rPr>
          <w:rFonts w:hint="eastAsia" w:ascii="新宋体" w:hAnsi="新宋体" w:eastAsia="新宋体"/>
          <w:color w:val="auto"/>
          <w:sz w:val="22"/>
          <w:highlight w:val="none"/>
        </w:rPr>
        <w:t>招标文件发售价格：人民币400元（售后不退）</w:t>
      </w:r>
    </w:p>
    <w:p>
      <w:pPr>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5、投标保证金：</w:t>
      </w:r>
      <w:r>
        <w:rPr>
          <w:rFonts w:hint="eastAsia" w:ascii="新宋体" w:hAnsi="新宋体" w:eastAsia="新宋体"/>
          <w:b/>
          <w:color w:val="auto"/>
          <w:sz w:val="22"/>
          <w:highlight w:val="none"/>
        </w:rPr>
        <w:t>标段一：人民币柒万元整；标段二：人民币陆万元整</w:t>
      </w:r>
      <w:r>
        <w:rPr>
          <w:rFonts w:hint="eastAsia" w:ascii="新宋体" w:hAnsi="新宋体" w:eastAsia="新宋体"/>
          <w:b/>
          <w:bCs/>
          <w:color w:val="auto"/>
          <w:sz w:val="22"/>
          <w:highlight w:val="none"/>
        </w:rPr>
        <w:t>。</w:t>
      </w:r>
    </w:p>
    <w:p>
      <w:pPr>
        <w:spacing w:line="44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6、投标文件递交截止时间：2018年   </w:t>
      </w:r>
      <w:r>
        <w:rPr>
          <w:rFonts w:hint="eastAsia" w:ascii="新宋体" w:hAnsi="新宋体" w:eastAsia="新宋体"/>
          <w:color w:val="auto"/>
          <w:sz w:val="22"/>
          <w:highlight w:val="none"/>
          <w:lang w:val="en-US" w:eastAsia="zh-CN"/>
        </w:rPr>
        <w:t>9</w:t>
      </w:r>
      <w:r>
        <w:rPr>
          <w:rFonts w:hint="eastAsia" w:ascii="新宋体" w:hAnsi="新宋体" w:eastAsia="新宋体"/>
          <w:color w:val="auto"/>
          <w:sz w:val="22"/>
          <w:highlight w:val="none"/>
        </w:rPr>
        <w:t xml:space="preserve">    月   </w:t>
      </w:r>
      <w:r>
        <w:rPr>
          <w:rFonts w:hint="eastAsia" w:ascii="新宋体" w:hAnsi="新宋体" w:eastAsia="新宋体"/>
          <w:color w:val="auto"/>
          <w:sz w:val="22"/>
          <w:highlight w:val="none"/>
          <w:lang w:val="en-US" w:eastAsia="zh-CN"/>
        </w:rPr>
        <w:t>7</w:t>
      </w:r>
      <w:r>
        <w:rPr>
          <w:rFonts w:hint="eastAsia" w:ascii="新宋体" w:hAnsi="新宋体" w:eastAsia="新宋体"/>
          <w:color w:val="auto"/>
          <w:sz w:val="22"/>
          <w:highlight w:val="none"/>
        </w:rPr>
        <w:t xml:space="preserve">   日09:30分整；</w:t>
      </w:r>
    </w:p>
    <w:p>
      <w:pPr>
        <w:widowControl/>
        <w:tabs>
          <w:tab w:val="left" w:pos="-360"/>
        </w:tabs>
        <w:autoSpaceDE w:val="0"/>
        <w:autoSpaceDN w:val="0"/>
        <w:spacing w:line="440" w:lineRule="exact"/>
        <w:ind w:right="-34"/>
        <w:textAlignment w:val="bottom"/>
        <w:rPr>
          <w:rFonts w:ascii="新宋体" w:hAnsi="新宋体" w:eastAsia="新宋体"/>
          <w:color w:val="auto"/>
          <w:spacing w:val="-3"/>
          <w:sz w:val="22"/>
          <w:highlight w:val="none"/>
        </w:rPr>
      </w:pPr>
      <w:r>
        <w:rPr>
          <w:rFonts w:hint="eastAsia" w:ascii="新宋体" w:hAnsi="新宋体" w:eastAsia="新宋体"/>
          <w:color w:val="auto"/>
          <w:sz w:val="22"/>
          <w:highlight w:val="none"/>
        </w:rPr>
        <w:t xml:space="preserve">      </w:t>
      </w:r>
      <w:r>
        <w:rPr>
          <w:rFonts w:hint="eastAsia" w:ascii="新宋体" w:hAnsi="新宋体" w:eastAsia="新宋体"/>
          <w:color w:val="auto"/>
          <w:spacing w:val="-3"/>
          <w:sz w:val="22"/>
          <w:highlight w:val="none"/>
        </w:rPr>
        <w:t xml:space="preserve"> 递交地点：温州市行政审批与公共资源交易服务管理中心</w:t>
      </w:r>
      <w:r>
        <w:rPr>
          <w:rFonts w:hint="eastAsia" w:ascii="新宋体" w:hAnsi="新宋体" w:eastAsia="新宋体"/>
          <w:b/>
          <w:bCs/>
          <w:color w:val="auto"/>
          <w:spacing w:val="-3"/>
          <w:sz w:val="22"/>
          <w:highlight w:val="none"/>
        </w:rPr>
        <w:t>（温州市鹿城区会展路1268号温州市民中心A座3楼公共资源交易受理区）</w:t>
      </w:r>
      <w:r>
        <w:rPr>
          <w:rFonts w:hint="eastAsia" w:ascii="新宋体" w:hAnsi="新宋体" w:eastAsia="新宋体"/>
          <w:color w:val="auto"/>
          <w:spacing w:val="-3"/>
          <w:sz w:val="22"/>
          <w:highlight w:val="none"/>
        </w:rPr>
        <w:t>。</w:t>
      </w:r>
    </w:p>
    <w:p>
      <w:pPr>
        <w:spacing w:line="440" w:lineRule="exact"/>
        <w:ind w:left="439" w:leftChars="209" w:firstLine="110" w:firstLineChars="50"/>
        <w:rPr>
          <w:rFonts w:ascii="新宋体" w:hAnsi="新宋体" w:eastAsia="新宋体"/>
          <w:color w:val="auto"/>
          <w:sz w:val="22"/>
          <w:highlight w:val="none"/>
        </w:rPr>
      </w:pPr>
      <w:r>
        <w:rPr>
          <w:rFonts w:hint="eastAsia" w:ascii="新宋体" w:hAnsi="新宋体" w:eastAsia="新宋体"/>
          <w:color w:val="auto"/>
          <w:sz w:val="22"/>
          <w:highlight w:val="none"/>
        </w:rPr>
        <w:t xml:space="preserve">7、开标时间：2018年  </w:t>
      </w:r>
      <w:r>
        <w:rPr>
          <w:rFonts w:hint="eastAsia" w:ascii="新宋体" w:hAnsi="新宋体" w:eastAsia="新宋体"/>
          <w:color w:val="auto"/>
          <w:sz w:val="22"/>
          <w:highlight w:val="none"/>
          <w:lang w:val="en-US" w:eastAsia="zh-CN"/>
        </w:rPr>
        <w:t>9</w:t>
      </w:r>
      <w:r>
        <w:rPr>
          <w:rFonts w:hint="eastAsia" w:ascii="新宋体" w:hAnsi="新宋体" w:eastAsia="新宋体"/>
          <w:color w:val="auto"/>
          <w:sz w:val="22"/>
          <w:highlight w:val="none"/>
        </w:rPr>
        <w:t xml:space="preserve">  月  </w:t>
      </w:r>
      <w:r>
        <w:rPr>
          <w:rFonts w:hint="eastAsia" w:ascii="新宋体" w:hAnsi="新宋体" w:eastAsia="新宋体"/>
          <w:color w:val="auto"/>
          <w:sz w:val="22"/>
          <w:highlight w:val="none"/>
          <w:lang w:val="en-US" w:eastAsia="zh-CN"/>
        </w:rPr>
        <w:t>7</w:t>
      </w:r>
      <w:r>
        <w:rPr>
          <w:rFonts w:hint="eastAsia" w:ascii="新宋体" w:hAnsi="新宋体" w:eastAsia="新宋体"/>
          <w:color w:val="auto"/>
          <w:sz w:val="22"/>
          <w:highlight w:val="none"/>
        </w:rPr>
        <w:t xml:space="preserve">  日09:30分整；</w:t>
      </w:r>
    </w:p>
    <w:p>
      <w:pPr>
        <w:spacing w:line="440" w:lineRule="exact"/>
        <w:ind w:firstLine="880" w:firstLineChars="400"/>
        <w:rPr>
          <w:rFonts w:ascii="新宋体" w:hAnsi="新宋体" w:eastAsia="新宋体"/>
          <w:color w:val="auto"/>
          <w:sz w:val="22"/>
          <w:highlight w:val="none"/>
        </w:rPr>
      </w:pPr>
      <w:r>
        <w:rPr>
          <w:rFonts w:hint="eastAsia" w:ascii="新宋体" w:hAnsi="新宋体" w:eastAsia="新宋体"/>
          <w:color w:val="auto"/>
          <w:sz w:val="22"/>
          <w:highlight w:val="none"/>
        </w:rPr>
        <w:t>开标地点：温州市行政审批与公共资源交易服务管理中心 。</w:t>
      </w:r>
    </w:p>
    <w:p>
      <w:pPr>
        <w:spacing w:line="44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8、招标人：温州市公安局经济技术开发区分局</w:t>
      </w:r>
    </w:p>
    <w:p>
      <w:pPr>
        <w:spacing w:line="440" w:lineRule="exact"/>
        <w:ind w:firstLine="880" w:firstLineChars="400"/>
        <w:rPr>
          <w:rFonts w:ascii="新宋体" w:hAnsi="新宋体" w:eastAsia="新宋体"/>
          <w:color w:val="auto"/>
          <w:sz w:val="22"/>
          <w:highlight w:val="none"/>
        </w:rPr>
      </w:pPr>
      <w:r>
        <w:rPr>
          <w:rFonts w:hint="eastAsia" w:ascii="新宋体" w:hAnsi="新宋体" w:eastAsia="新宋体"/>
          <w:color w:val="auto"/>
          <w:sz w:val="22"/>
          <w:highlight w:val="none"/>
        </w:rPr>
        <w:t>联系人:张先生</w:t>
      </w:r>
    </w:p>
    <w:p>
      <w:pPr>
        <w:spacing w:line="440" w:lineRule="exact"/>
        <w:ind w:firstLine="880" w:firstLineChars="400"/>
        <w:rPr>
          <w:rFonts w:ascii="新宋体" w:hAnsi="新宋体" w:eastAsia="新宋体"/>
          <w:color w:val="auto"/>
          <w:sz w:val="22"/>
          <w:highlight w:val="none"/>
        </w:rPr>
      </w:pPr>
      <w:r>
        <w:rPr>
          <w:rFonts w:hint="eastAsia" w:ascii="新宋体" w:hAnsi="新宋体" w:eastAsia="新宋体"/>
          <w:color w:val="auto"/>
          <w:sz w:val="22"/>
          <w:highlight w:val="none"/>
        </w:rPr>
        <w:t>联系电话:0577-85851022</w:t>
      </w:r>
    </w:p>
    <w:p>
      <w:pPr>
        <w:spacing w:line="440" w:lineRule="exact"/>
        <w:ind w:firstLine="880" w:firstLineChars="400"/>
        <w:rPr>
          <w:rFonts w:ascii="新宋体" w:hAnsi="新宋体" w:eastAsia="新宋体"/>
          <w:color w:val="auto"/>
          <w:sz w:val="22"/>
          <w:highlight w:val="none"/>
        </w:rPr>
      </w:pPr>
      <w:r>
        <w:rPr>
          <w:rFonts w:hint="eastAsia" w:ascii="新宋体" w:hAnsi="新宋体" w:eastAsia="新宋体"/>
          <w:color w:val="auto"/>
          <w:sz w:val="22"/>
          <w:highlight w:val="none"/>
        </w:rPr>
        <w:t>招标代理公司：温州市华信采购招标代理有限公司</w:t>
      </w:r>
    </w:p>
    <w:p>
      <w:pPr>
        <w:spacing w:line="440" w:lineRule="exact"/>
        <w:ind w:firstLine="880" w:firstLineChars="400"/>
        <w:rPr>
          <w:rFonts w:ascii="新宋体" w:hAnsi="新宋体" w:eastAsia="新宋体"/>
          <w:color w:val="auto"/>
          <w:sz w:val="22"/>
          <w:highlight w:val="none"/>
        </w:rPr>
      </w:pPr>
      <w:r>
        <w:rPr>
          <w:rFonts w:hint="eastAsia" w:ascii="新宋体" w:hAnsi="新宋体" w:eastAsia="新宋体"/>
          <w:color w:val="auto"/>
          <w:sz w:val="22"/>
          <w:highlight w:val="none"/>
        </w:rPr>
        <w:t>地点：温州市鹿城区东游大厦1505室</w:t>
      </w:r>
    </w:p>
    <w:p>
      <w:pPr>
        <w:spacing w:line="440" w:lineRule="exact"/>
        <w:ind w:left="441" w:leftChars="210"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电话：0577-88899877</w:t>
      </w:r>
    </w:p>
    <w:p>
      <w:pPr>
        <w:spacing w:line="440" w:lineRule="exact"/>
        <w:ind w:left="441" w:leftChars="210"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联系人：郑先生</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9、</w:t>
      </w:r>
      <w:r>
        <w:rPr>
          <w:rFonts w:ascii="新宋体" w:hAnsi="新宋体" w:eastAsia="新宋体"/>
          <w:color w:val="auto"/>
          <w:sz w:val="22"/>
          <w:highlight w:val="none"/>
        </w:rPr>
        <w:t>同级采购监督部门：</w:t>
      </w:r>
      <w:r>
        <w:rPr>
          <w:rFonts w:hint="eastAsia" w:ascii="新宋体" w:hAnsi="新宋体" w:eastAsia="新宋体"/>
          <w:color w:val="auto"/>
          <w:sz w:val="22"/>
          <w:highlight w:val="none"/>
        </w:rPr>
        <w:t>温州市经济技术开发区财政局</w:t>
      </w:r>
      <w:r>
        <w:rPr>
          <w:rFonts w:ascii="新宋体" w:hAnsi="新宋体" w:eastAsia="新宋体"/>
          <w:color w:val="auto"/>
          <w:sz w:val="22"/>
          <w:highlight w:val="none"/>
        </w:rPr>
        <w:t xml:space="preserve"> </w:t>
      </w:r>
    </w:p>
    <w:p>
      <w:pPr>
        <w:spacing w:line="440" w:lineRule="exact"/>
        <w:ind w:left="441" w:leftChars="210" w:firstLine="440" w:firstLineChars="200"/>
        <w:rPr>
          <w:rFonts w:ascii="新宋体" w:hAnsi="新宋体" w:eastAsia="新宋体"/>
          <w:color w:val="auto"/>
          <w:sz w:val="22"/>
          <w:highlight w:val="none"/>
        </w:rPr>
      </w:pPr>
      <w:r>
        <w:rPr>
          <w:rFonts w:ascii="新宋体" w:hAnsi="新宋体" w:eastAsia="新宋体"/>
          <w:color w:val="auto"/>
          <w:sz w:val="22"/>
          <w:highlight w:val="none"/>
        </w:rPr>
        <w:t>电话：</w:t>
      </w:r>
      <w:r>
        <w:rPr>
          <w:rFonts w:hint="eastAsia" w:ascii="新宋体" w:hAnsi="新宋体" w:eastAsia="新宋体"/>
          <w:color w:val="auto"/>
          <w:sz w:val="22"/>
          <w:highlight w:val="none"/>
        </w:rPr>
        <w:t>0577-86998861</w:t>
      </w:r>
    </w:p>
    <w:p>
      <w:pPr>
        <w:spacing w:line="440" w:lineRule="exact"/>
        <w:ind w:left="441" w:leftChars="210" w:firstLine="2200" w:firstLineChars="1000"/>
        <w:rPr>
          <w:rFonts w:ascii="新宋体" w:hAnsi="新宋体" w:eastAsia="新宋体"/>
          <w:color w:val="auto"/>
          <w:kern w:val="0"/>
          <w:sz w:val="22"/>
          <w:highlight w:val="none"/>
        </w:rPr>
      </w:pPr>
      <w:r>
        <w:rPr>
          <w:rFonts w:hint="eastAsia" w:ascii="新宋体" w:hAnsi="新宋体" w:eastAsia="新宋体"/>
          <w:color w:val="auto"/>
          <w:sz w:val="22"/>
          <w:highlight w:val="none"/>
        </w:rPr>
        <w:t xml:space="preserve">                                 温州市公安局经济技术开发区分局</w:t>
      </w:r>
    </w:p>
    <w:p>
      <w:pPr>
        <w:spacing w:line="400" w:lineRule="exact"/>
        <w:jc w:val="right"/>
        <w:rPr>
          <w:rFonts w:ascii="新宋体" w:hAnsi="新宋体" w:eastAsia="新宋体"/>
          <w:color w:val="auto"/>
          <w:sz w:val="22"/>
          <w:highlight w:val="none"/>
        </w:rPr>
      </w:pPr>
      <w:r>
        <w:rPr>
          <w:rFonts w:hint="eastAsia" w:ascii="新宋体" w:hAnsi="新宋体" w:eastAsia="新宋体"/>
          <w:color w:val="auto"/>
          <w:sz w:val="22"/>
          <w:highlight w:val="none"/>
        </w:rPr>
        <w:t>温州市华信采购招标代理有限公司</w:t>
      </w:r>
    </w:p>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 xml:space="preserve">                                                        2018年 </w:t>
      </w:r>
      <w:r>
        <w:rPr>
          <w:rFonts w:hint="eastAsia" w:ascii="新宋体" w:hAnsi="新宋体" w:eastAsia="新宋体"/>
          <w:color w:val="auto"/>
          <w:sz w:val="22"/>
          <w:highlight w:val="none"/>
          <w:lang w:val="en-US" w:eastAsia="zh-CN"/>
        </w:rPr>
        <w:t>8</w:t>
      </w:r>
      <w:bookmarkStart w:id="7" w:name="_GoBack"/>
      <w:bookmarkEnd w:id="7"/>
      <w:r>
        <w:rPr>
          <w:rFonts w:hint="eastAsia" w:ascii="新宋体" w:hAnsi="新宋体" w:eastAsia="新宋体"/>
          <w:color w:val="auto"/>
          <w:sz w:val="22"/>
          <w:highlight w:val="none"/>
        </w:rPr>
        <w:t xml:space="preserve">  月</w:t>
      </w:r>
    </w:p>
    <w:p>
      <w:pPr>
        <w:spacing w:line="460" w:lineRule="exact"/>
        <w:jc w:val="center"/>
        <w:rPr>
          <w:rFonts w:ascii="新宋体" w:hAnsi="新宋体" w:eastAsia="新宋体"/>
          <w:color w:val="auto"/>
          <w:sz w:val="22"/>
          <w:highlight w:val="none"/>
        </w:rPr>
      </w:pPr>
    </w:p>
    <w:p>
      <w:pPr>
        <w:pStyle w:val="24"/>
        <w:spacing w:line="460" w:lineRule="exact"/>
        <w:ind w:left="433" w:leftChars="206" w:firstLine="0" w:firstLineChars="0"/>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第一部分    投标人须知</w:t>
      </w:r>
    </w:p>
    <w:p>
      <w:pPr>
        <w:spacing w:before="100" w:beforeAutospacing="1" w:after="100" w:afterAutospacing="1" w:line="460" w:lineRule="exact"/>
        <w:jc w:val="center"/>
        <w:outlineLvl w:val="1"/>
        <w:rPr>
          <w:rFonts w:ascii="新宋体" w:hAnsi="新宋体" w:eastAsia="新宋体"/>
          <w:b/>
          <w:bCs/>
          <w:color w:val="auto"/>
          <w:sz w:val="32"/>
          <w:szCs w:val="32"/>
          <w:highlight w:val="none"/>
        </w:rPr>
      </w:pPr>
      <w:r>
        <w:rPr>
          <w:rFonts w:hint="eastAsia" w:ascii="新宋体" w:hAnsi="新宋体" w:eastAsia="新宋体"/>
          <w:b/>
          <w:bCs/>
          <w:color w:val="auto"/>
          <w:sz w:val="26"/>
          <w:szCs w:val="26"/>
          <w:highlight w:val="none"/>
        </w:rPr>
        <w:t>一、 说   明</w:t>
      </w:r>
    </w:p>
    <w:p>
      <w:pPr>
        <w:tabs>
          <w:tab w:val="left" w:pos="360"/>
        </w:tabs>
        <w:spacing w:line="460" w:lineRule="exact"/>
        <w:ind w:firstLine="550" w:firstLineChars="250"/>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2、</w:t>
      </w:r>
      <w:r>
        <w:rPr>
          <w:rFonts w:hint="eastAsia" w:ascii="新宋体" w:hAnsi="新宋体" w:eastAsia="新宋体"/>
          <w:color w:val="auto"/>
          <w:sz w:val="22"/>
          <w:szCs w:val="22"/>
          <w:highlight w:val="none"/>
        </w:rPr>
        <w:t>招标内容：</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标段一: 开发区雪亮工程高清人脸识别监控租赁</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财政预算:人民币陆佰叁拾万柒仟元整（¥6307000.00元）</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标段二: 开发区雪亮工程三大平台和运维管理中心的租赁 </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财政预算:人民币伍佰玖拾万伍仟元整（¥5905000.00元）</w:t>
      </w:r>
    </w:p>
    <w:p>
      <w:pPr>
        <w:tabs>
          <w:tab w:val="left" w:pos="360"/>
        </w:tabs>
        <w:spacing w:line="460" w:lineRule="exact"/>
        <w:ind w:firstLine="552" w:firstLineChars="250"/>
        <w:rPr>
          <w:rFonts w:ascii="新宋体" w:hAnsi="新宋体" w:eastAsia="新宋体"/>
          <w:b/>
          <w:color w:val="auto"/>
          <w:sz w:val="22"/>
          <w:szCs w:val="22"/>
          <w:highlight w:val="none"/>
        </w:rPr>
      </w:pPr>
      <w:r>
        <w:rPr>
          <w:rFonts w:hint="eastAsia" w:ascii="新宋体" w:hAnsi="新宋体" w:eastAsia="新宋体"/>
          <w:b/>
          <w:color w:val="auto"/>
          <w:sz w:val="22"/>
          <w:highlight w:val="none"/>
        </w:rPr>
        <w:t>（注：投标人可同时对以上所有标段进行投标，也可对其中一个标段进行投标，但不允许将一个标段拆分投标，否则其投标文件不予接受。）</w:t>
      </w:r>
    </w:p>
    <w:p>
      <w:pPr>
        <w:tabs>
          <w:tab w:val="left" w:pos="360"/>
        </w:tabs>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3、合格投标人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符合《中华人民共和国政府采购法》第22条规定的投标人资格条件</w:t>
      </w:r>
      <w:r>
        <w:rPr>
          <w:rFonts w:ascii="新宋体" w:hAnsi="新宋体" w:eastAsia="新宋体"/>
          <w:color w:val="auto"/>
          <w:sz w:val="22"/>
          <w:szCs w:val="22"/>
          <w:highlight w:val="none"/>
        </w:rPr>
        <w:t>；</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3.2</w:t>
      </w:r>
      <w:r>
        <w:rPr>
          <w:rFonts w:ascii="新宋体" w:hAnsi="新宋体" w:eastAsia="新宋体"/>
          <w:color w:val="auto"/>
          <w:sz w:val="22"/>
          <w:szCs w:val="22"/>
          <w:highlight w:val="none"/>
        </w:rPr>
        <w:t>本项目不接受联合体</w:t>
      </w:r>
      <w:r>
        <w:rPr>
          <w:rFonts w:hint="eastAsia" w:ascii="新宋体" w:hAnsi="新宋体" w:eastAsia="新宋体"/>
          <w:color w:val="auto"/>
          <w:sz w:val="22"/>
          <w:szCs w:val="22"/>
          <w:highlight w:val="none"/>
        </w:rPr>
        <w:t>投标。</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3.3</w:t>
      </w:r>
      <w:r>
        <w:rPr>
          <w:rFonts w:hint="eastAsia" w:ascii="新宋体" w:hAnsi="新宋体" w:eastAsia="新宋体"/>
          <w:color w:val="auto"/>
          <w:sz w:val="22"/>
          <w:highlight w:val="none"/>
        </w:rPr>
        <w:t>单位负责人为同一人或者存在直接控股、管理关系的不同供应商，不得参加同一合同项下的政府采购活动。违反该款规定的，相关投标均无效。</w:t>
      </w:r>
    </w:p>
    <w:p>
      <w:pPr>
        <w:tabs>
          <w:tab w:val="left" w:pos="360"/>
        </w:tabs>
        <w:spacing w:line="460" w:lineRule="exact"/>
        <w:ind w:firstLine="541" w:firstLineChars="245"/>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4、投标人代表</w:t>
      </w:r>
    </w:p>
    <w:p>
      <w:pPr>
        <w:tabs>
          <w:tab w:val="left" w:pos="360"/>
        </w:tabs>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4.1指全权代表投标人参加投标活动并签署投标文件的人，如果投标人代表不是法定代表人，须持有《法定代表人授权书》（见附件）。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5、投标费用</w:t>
      </w:r>
    </w:p>
    <w:p>
      <w:pPr>
        <w:spacing w:line="460" w:lineRule="exact"/>
        <w:ind w:firstLine="541" w:firstLineChars="245"/>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5.1</w:t>
      </w:r>
      <w:r>
        <w:rPr>
          <w:rFonts w:hint="eastAsia" w:ascii="新宋体" w:hAnsi="新宋体" w:eastAsia="新宋体"/>
          <w:color w:val="auto"/>
          <w:sz w:val="22"/>
          <w:szCs w:val="22"/>
          <w:highlight w:val="none"/>
        </w:rPr>
        <w:t>投标人应承担所有与准备和参加投标有关费用，不论投标的结果如何，招标人或招标代理公司均无义务和责任承担这些费用。</w:t>
      </w:r>
    </w:p>
    <w:p>
      <w:pPr>
        <w:spacing w:before="100" w:beforeAutospacing="1" w:after="100" w:afterAutospacing="1" w:line="460" w:lineRule="exact"/>
        <w:jc w:val="center"/>
        <w:outlineLvl w:val="1"/>
        <w:rPr>
          <w:rFonts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二、 招标文件</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1、招标文件由招标文件目录所列内容及相关资料组成。</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2、招标文件的澄清</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3、招标文件的修改</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3.2招标人、招标代理机构可以视采购的具体情况决定是否延长投标截止时间和开标时间，并在招标文件要求递交投标文件的截止时间三日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olor w:val="auto"/>
          <w:sz w:val="22"/>
          <w:szCs w:val="22"/>
          <w:highlight w:val="none"/>
        </w:rPr>
        <w:t>。</w:t>
      </w:r>
    </w:p>
    <w:p>
      <w:pPr>
        <w:spacing w:before="100" w:beforeAutospacing="1" w:after="100" w:afterAutospacing="1" w:line="460" w:lineRule="exact"/>
        <w:jc w:val="center"/>
        <w:outlineLvl w:val="1"/>
        <w:rPr>
          <w:rFonts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三、 投标文件的编制</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1、投标人应认真阅读招标文件中所有事项、格式、条款和技术规范等。</w:t>
      </w:r>
      <w:r>
        <w:rPr>
          <w:rFonts w:hint="eastAsia" w:ascii="新宋体" w:hAnsi="新宋体" w:eastAsia="新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3、</w:t>
      </w:r>
      <w:r>
        <w:rPr>
          <w:rFonts w:hint="eastAsia" w:ascii="新宋体" w:hAnsi="新宋体" w:eastAsia="新宋体"/>
          <w:b/>
          <w:bCs/>
          <w:color w:val="auto"/>
          <w:sz w:val="22"/>
          <w:szCs w:val="22"/>
          <w:highlight w:val="none"/>
        </w:rPr>
        <w:t>投标文件的构成：</w:t>
      </w:r>
    </w:p>
    <w:p>
      <w:pPr>
        <w:spacing w:line="460" w:lineRule="exact"/>
        <w:ind w:firstLine="541" w:firstLineChars="245"/>
        <w:rPr>
          <w:rFonts w:ascii="新宋体" w:hAnsi="新宋体" w:eastAsia="新宋体"/>
          <w:color w:val="auto"/>
          <w:sz w:val="22"/>
          <w:szCs w:val="22"/>
          <w:highlight w:val="none"/>
        </w:rPr>
      </w:pPr>
      <w:r>
        <w:rPr>
          <w:rFonts w:hint="eastAsia" w:ascii="新宋体" w:hAnsi="新宋体" w:eastAsia="新宋体"/>
          <w:b/>
          <w:color w:val="auto"/>
          <w:sz w:val="22"/>
          <w:szCs w:val="22"/>
          <w:highlight w:val="none"/>
        </w:rPr>
        <w:t>3.1</w:t>
      </w:r>
      <w:r>
        <w:rPr>
          <w:rFonts w:hint="eastAsia" w:ascii="新宋体" w:hAnsi="新宋体" w:eastAsia="新宋体"/>
          <w:color w:val="auto"/>
          <w:sz w:val="22"/>
          <w:szCs w:val="22"/>
          <w:highlight w:val="none"/>
        </w:rPr>
        <w:t>投标文件由技术标和商务标两部分构成：</w:t>
      </w:r>
    </w:p>
    <w:p>
      <w:pPr>
        <w:numPr>
          <w:ilvl w:val="0"/>
          <w:numId w:val="2"/>
        </w:num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技术标</w:t>
      </w:r>
    </w:p>
    <w:tbl>
      <w:tblPr>
        <w:tblStyle w:val="64"/>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13"/>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7913"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内容</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7913" w:type="dxa"/>
            <w:vAlign w:val="center"/>
          </w:tcPr>
          <w:p>
            <w:pPr>
              <w:spacing w:line="460" w:lineRule="exact"/>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投标函</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7913" w:type="dxa"/>
            <w:vAlign w:val="center"/>
          </w:tcPr>
          <w:p>
            <w:pPr>
              <w:spacing w:line="460" w:lineRule="exact"/>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资格证明文件</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法定代表人授权书</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2.2</w:t>
            </w:r>
          </w:p>
        </w:tc>
        <w:tc>
          <w:tcPr>
            <w:tcW w:w="7913" w:type="dxa"/>
            <w:vAlign w:val="center"/>
          </w:tcPr>
          <w:p>
            <w:pPr>
              <w:spacing w:line="460" w:lineRule="exact"/>
              <w:outlineLvl w:val="3"/>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投标人情况表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2.3</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企业法人有效营业执照</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2.4</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监狱企业的相关证明材料</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2.5</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中小企业的相关证明材料</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2.6</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投标人“信用中国”(www.creditchina.gov.cn)；“中国政府采购网”（http://www.ccgp.gov.cn/）信用记录网页截图（招标公告发布之日至投标截止时间前）</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zh-CN"/>
              </w:rPr>
              <w:t>偏离表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详细的供货清单一览表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7913" w:type="dxa"/>
            <w:vAlign w:val="center"/>
          </w:tcPr>
          <w:p>
            <w:pPr>
              <w:widowControl/>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备品、备件、专用工具清单</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w:t>
            </w:r>
          </w:p>
        </w:tc>
        <w:tc>
          <w:tcPr>
            <w:tcW w:w="7913" w:type="dxa"/>
            <w:vAlign w:val="center"/>
          </w:tcPr>
          <w:p>
            <w:pPr>
              <w:spacing w:line="400" w:lineRule="exact"/>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供招标人选购的备品备件及维保期期满后相关维修配件清单一览表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投标人综合实力（标段一）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产品配置及技术参数（标段一）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投标产品情况比较（标段一）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技术方案（标段一）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实施方案（标段一）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项目实施进度计划表（标段一）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13</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技术服务及力量保障（标段一）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13.1</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项目负责人资格情况表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13.2</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项目服务人员汇总表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14</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测试验收（标段一）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15</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售后服务（标段一）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16</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同类项目业绩（标段一）</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17</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综合实力（标段二）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18</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设备选型（标段二）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19</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技术方案（标段二）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20</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施工安排（标段二）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项目实施进度计划表（标段二）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22</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技术支持与售后（标段二）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23</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技术服务及力量保障（标段二）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23.1</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项目负责人资格情况表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23.2</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项目服务人员汇总表</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24</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同类项目业绩（标段二）</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25</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节能环保</w:t>
            </w:r>
          </w:p>
        </w:tc>
        <w:tc>
          <w:tcPr>
            <w:tcW w:w="1490"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附件二十七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25.1</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节能环保产品声明函</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25.2</w:t>
            </w:r>
          </w:p>
        </w:tc>
        <w:tc>
          <w:tcPr>
            <w:tcW w:w="7913" w:type="dxa"/>
            <w:vAlign w:val="center"/>
          </w:tcPr>
          <w:p>
            <w:pPr>
              <w:outlineLvl w:val="2"/>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节能（环保）产品清单</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6" w:type="dxa"/>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26</w:t>
            </w:r>
          </w:p>
        </w:tc>
        <w:tc>
          <w:tcPr>
            <w:tcW w:w="7913"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投标人认为需要提供的其他技术资料</w:t>
            </w:r>
          </w:p>
        </w:tc>
        <w:tc>
          <w:tcPr>
            <w:tcW w:w="1490" w:type="dxa"/>
            <w:vAlign w:val="center"/>
          </w:tcPr>
          <w:p>
            <w:pPr>
              <w:spacing w:line="460" w:lineRule="exact"/>
              <w:jc w:val="center"/>
              <w:rPr>
                <w:rFonts w:ascii="新宋体" w:hAnsi="新宋体" w:eastAsia="新宋体" w:cs="新宋体"/>
                <w:bCs/>
                <w:color w:val="auto"/>
                <w:sz w:val="22"/>
                <w:szCs w:val="22"/>
                <w:highlight w:val="none"/>
              </w:rPr>
            </w:pPr>
          </w:p>
        </w:tc>
      </w:tr>
    </w:tbl>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（2） 商务（报价）标</w:t>
      </w:r>
    </w:p>
    <w:tbl>
      <w:tblPr>
        <w:tblStyle w:val="6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宋体" w:hAnsi="宋体" w:cs="楷体"/>
                <w:bCs/>
                <w:color w:val="auto"/>
                <w:sz w:val="22"/>
                <w:szCs w:val="22"/>
                <w:highlight w:val="none"/>
              </w:rPr>
            </w:pPr>
            <w:r>
              <w:rPr>
                <w:rFonts w:hint="eastAsia" w:ascii="宋体" w:hAnsi="宋体" w:cs="楷体"/>
                <w:bCs/>
                <w:color w:val="auto"/>
                <w:sz w:val="22"/>
                <w:szCs w:val="22"/>
                <w:highlight w:val="none"/>
              </w:rPr>
              <w:t>序号</w:t>
            </w:r>
          </w:p>
        </w:tc>
        <w:tc>
          <w:tcPr>
            <w:tcW w:w="7913" w:type="dxa"/>
            <w:vAlign w:val="center"/>
          </w:tcPr>
          <w:p>
            <w:pPr>
              <w:spacing w:line="460" w:lineRule="exact"/>
              <w:jc w:val="center"/>
              <w:rPr>
                <w:rFonts w:ascii="宋体" w:hAnsi="宋体" w:cs="楷体"/>
                <w:bCs/>
                <w:color w:val="auto"/>
                <w:sz w:val="22"/>
                <w:szCs w:val="22"/>
                <w:highlight w:val="none"/>
              </w:rPr>
            </w:pPr>
            <w:r>
              <w:rPr>
                <w:rFonts w:hint="eastAsia" w:ascii="宋体" w:hAnsi="宋体" w:cs="楷体"/>
                <w:bCs/>
                <w:color w:val="auto"/>
                <w:sz w:val="22"/>
                <w:szCs w:val="22"/>
                <w:highlight w:val="none"/>
              </w:rPr>
              <w:t>内容</w:t>
            </w:r>
          </w:p>
        </w:tc>
        <w:tc>
          <w:tcPr>
            <w:tcW w:w="1285" w:type="dxa"/>
            <w:vAlign w:val="center"/>
          </w:tcPr>
          <w:p>
            <w:pPr>
              <w:spacing w:line="460" w:lineRule="exact"/>
              <w:jc w:val="center"/>
              <w:rPr>
                <w:rFonts w:ascii="宋体" w:hAnsi="宋体" w:cs="楷体"/>
                <w:bCs/>
                <w:color w:val="auto"/>
                <w:sz w:val="22"/>
                <w:szCs w:val="22"/>
                <w:highlight w:val="none"/>
              </w:rPr>
            </w:pPr>
            <w:r>
              <w:rPr>
                <w:rFonts w:hint="eastAsia" w:ascii="宋体" w:hAnsi="宋体" w:cs="楷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宋体" w:hAnsi="宋体" w:cs="楷体"/>
                <w:bCs/>
                <w:color w:val="auto"/>
                <w:sz w:val="22"/>
                <w:szCs w:val="22"/>
                <w:highlight w:val="none"/>
              </w:rPr>
            </w:pPr>
            <w:r>
              <w:rPr>
                <w:rFonts w:hint="eastAsia" w:ascii="宋体" w:hAnsi="宋体" w:cs="楷体"/>
                <w:bCs/>
                <w:color w:val="auto"/>
                <w:sz w:val="22"/>
                <w:szCs w:val="22"/>
                <w:highlight w:val="none"/>
              </w:rPr>
              <w:t>1</w:t>
            </w:r>
          </w:p>
        </w:tc>
        <w:tc>
          <w:tcPr>
            <w:tcW w:w="7913" w:type="dxa"/>
            <w:vAlign w:val="center"/>
          </w:tcPr>
          <w:p>
            <w:pPr>
              <w:spacing w:line="460" w:lineRule="exact"/>
              <w:rPr>
                <w:rFonts w:ascii="宋体" w:hAnsi="宋体" w:cs="楷体"/>
                <w:bCs/>
                <w:color w:val="auto"/>
                <w:sz w:val="22"/>
                <w:szCs w:val="22"/>
                <w:highlight w:val="none"/>
              </w:rPr>
            </w:pPr>
            <w:r>
              <w:rPr>
                <w:rFonts w:hint="eastAsia" w:ascii="宋体" w:hAnsi="宋体" w:cs="楷体"/>
                <w:bCs/>
                <w:color w:val="auto"/>
                <w:sz w:val="22"/>
                <w:szCs w:val="22"/>
                <w:highlight w:val="none"/>
                <w:lang w:val="zh-CN"/>
              </w:rPr>
              <w:t>投标报价一览表</w:t>
            </w:r>
          </w:p>
        </w:tc>
        <w:tc>
          <w:tcPr>
            <w:tcW w:w="1285" w:type="dxa"/>
            <w:vAlign w:val="center"/>
          </w:tcPr>
          <w:p>
            <w:pPr>
              <w:spacing w:line="460" w:lineRule="exact"/>
              <w:jc w:val="center"/>
              <w:rPr>
                <w:rFonts w:ascii="宋体" w:hAnsi="宋体" w:cs="楷体"/>
                <w:bCs/>
                <w:color w:val="auto"/>
                <w:sz w:val="22"/>
                <w:szCs w:val="22"/>
                <w:highlight w:val="none"/>
              </w:rPr>
            </w:pPr>
            <w:r>
              <w:rPr>
                <w:rFonts w:hint="eastAsia" w:ascii="宋体" w:hAnsi="宋体" w:cs="楷体"/>
                <w:bCs/>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6" w:type="dxa"/>
            <w:vAlign w:val="center"/>
          </w:tcPr>
          <w:p>
            <w:pPr>
              <w:spacing w:line="460" w:lineRule="exact"/>
              <w:jc w:val="center"/>
              <w:rPr>
                <w:rFonts w:ascii="宋体" w:hAnsi="宋体" w:cs="楷体"/>
                <w:bCs/>
                <w:color w:val="auto"/>
                <w:sz w:val="22"/>
                <w:szCs w:val="22"/>
                <w:highlight w:val="none"/>
              </w:rPr>
            </w:pPr>
            <w:r>
              <w:rPr>
                <w:rFonts w:hint="eastAsia" w:ascii="宋体" w:hAnsi="宋体" w:cs="楷体"/>
                <w:bCs/>
                <w:color w:val="auto"/>
                <w:sz w:val="22"/>
                <w:szCs w:val="22"/>
                <w:highlight w:val="none"/>
              </w:rPr>
              <w:t>2</w:t>
            </w:r>
          </w:p>
        </w:tc>
        <w:tc>
          <w:tcPr>
            <w:tcW w:w="7913" w:type="dxa"/>
            <w:vAlign w:val="center"/>
          </w:tcPr>
          <w:p>
            <w:pPr>
              <w:spacing w:line="460" w:lineRule="exact"/>
              <w:rPr>
                <w:rFonts w:ascii="宋体" w:hAnsi="宋体" w:cs="楷体"/>
                <w:bCs/>
                <w:color w:val="auto"/>
                <w:sz w:val="22"/>
                <w:szCs w:val="22"/>
                <w:highlight w:val="none"/>
              </w:rPr>
            </w:pPr>
            <w:r>
              <w:rPr>
                <w:rFonts w:hint="eastAsia" w:ascii="宋体" w:hAnsi="宋体" w:cs="楷体"/>
                <w:bCs/>
                <w:color w:val="auto"/>
                <w:sz w:val="22"/>
                <w:szCs w:val="22"/>
                <w:highlight w:val="none"/>
              </w:rPr>
              <w:t>投标分项报价表</w:t>
            </w:r>
          </w:p>
        </w:tc>
        <w:tc>
          <w:tcPr>
            <w:tcW w:w="1285" w:type="dxa"/>
            <w:vAlign w:val="center"/>
          </w:tcPr>
          <w:p>
            <w:pPr>
              <w:spacing w:line="460" w:lineRule="exact"/>
              <w:jc w:val="center"/>
              <w:rPr>
                <w:rFonts w:ascii="宋体" w:hAnsi="宋体" w:cs="楷体"/>
                <w:bCs/>
                <w:color w:val="auto"/>
                <w:sz w:val="22"/>
                <w:szCs w:val="22"/>
                <w:highlight w:val="none"/>
              </w:rPr>
            </w:pPr>
            <w:r>
              <w:rPr>
                <w:rFonts w:hint="eastAsia" w:ascii="宋体" w:hAnsi="宋体" w:cs="楷体"/>
                <w:bCs/>
                <w:color w:val="auto"/>
                <w:sz w:val="22"/>
                <w:szCs w:val="22"/>
                <w:highlight w:val="none"/>
              </w:rPr>
              <w:t>附件三</w:t>
            </w:r>
          </w:p>
        </w:tc>
      </w:tr>
    </w:tbl>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3.2 投标文件格式</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投标人应根据招标文件中所提供的格式，内容按顺序填写并装订成册，分别装于技术标和商务标内。</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4、投标报价</w:t>
      </w:r>
    </w:p>
    <w:p>
      <w:pPr>
        <w:spacing w:line="460" w:lineRule="exact"/>
        <w:ind w:firstLine="541" w:firstLineChars="245"/>
        <w:rPr>
          <w:rFonts w:ascii="新宋体" w:hAnsi="新宋体" w:eastAsia="新宋体"/>
          <w:b/>
          <w:color w:val="auto"/>
          <w:sz w:val="22"/>
          <w:szCs w:val="22"/>
          <w:highlight w:val="none"/>
          <w:u w:val="single"/>
        </w:rPr>
      </w:pPr>
      <w:r>
        <w:rPr>
          <w:rFonts w:hint="eastAsia" w:ascii="新宋体" w:hAnsi="新宋体" w:eastAsia="新宋体"/>
          <w:b/>
          <w:color w:val="auto"/>
          <w:sz w:val="22"/>
          <w:highlight w:val="none"/>
        </w:rPr>
        <w:t>4.1</w:t>
      </w:r>
      <w:r>
        <w:rPr>
          <w:rFonts w:hint="eastAsia" w:ascii="新宋体" w:hAnsi="新宋体" w:eastAsia="新宋体"/>
          <w:b/>
          <w:color w:val="auto"/>
          <w:sz w:val="22"/>
          <w:szCs w:val="22"/>
          <w:highlight w:val="none"/>
          <w:u w:val="single"/>
        </w:rPr>
        <w:t>投标报价是指中标人在正确地完全履行合同义务后招标人应支付给中标人所有的货物的技术服务价款，即货物的供货、税金、包装、运输、装卸、硬件设备维保、系统集成、运维服务费、驻点维护管理人员工资、企业管理费、风险、利润、安装调试、验收（含第三方验收）、技术服务、培训、售后服务、材料、招标代理费等全部费用等完成合同所需的一切本身和不可或缺的所有工作开支、政策性文件规定及合同包含的所有风险、责任等各项全部费用，供应商应根据上述因素自行考虑含入投标报价。</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4.2投标人必须按附件中的投标报价一览表、投标分项报价表（均统一格式）内容填写价格，并由投标人代表签署。</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4.3</w:t>
      </w:r>
      <w:r>
        <w:rPr>
          <w:rFonts w:hint="eastAsia" w:ascii="新宋体" w:hAnsi="新宋体" w:eastAsia="新宋体"/>
          <w:b/>
          <w:color w:val="auto"/>
          <w:sz w:val="22"/>
          <w:highlight w:val="none"/>
        </w:rPr>
        <w:t>投标货币以人民币进行投标</w:t>
      </w:r>
      <w:r>
        <w:rPr>
          <w:rFonts w:hint="eastAsia" w:ascii="新宋体" w:hAnsi="新宋体" w:eastAsia="新宋体"/>
          <w:b/>
          <w:color w:val="auto"/>
          <w:sz w:val="22"/>
          <w:szCs w:val="22"/>
          <w:highlight w:val="none"/>
        </w:rPr>
        <w:t>。</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4.4</w:t>
      </w:r>
      <w:r>
        <w:rPr>
          <w:rFonts w:hint="eastAsia" w:ascii="新宋体" w:hAnsi="新宋体" w:eastAsia="新宋体"/>
          <w:b/>
          <w:color w:val="auto"/>
          <w:sz w:val="22"/>
          <w:highlight w:val="none"/>
        </w:rPr>
        <w:t>招标人和招标代理机构不接受任何选择投标，对任何服务只允许一个价格。</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4.5招标人和</w:t>
      </w:r>
      <w:r>
        <w:rPr>
          <w:rFonts w:hint="eastAsia" w:ascii="新宋体" w:hAnsi="新宋体" w:eastAsia="新宋体"/>
          <w:color w:val="auto"/>
          <w:sz w:val="22"/>
          <w:highlight w:val="none"/>
        </w:rPr>
        <w:t>招标代理机构</w:t>
      </w:r>
      <w:r>
        <w:rPr>
          <w:rFonts w:hint="eastAsia" w:ascii="新宋体" w:hAnsi="新宋体" w:eastAsia="新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4.7最低报价不能作为中标的保证。</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5、投标保证金</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5.1</w:t>
      </w:r>
      <w:r>
        <w:rPr>
          <w:rFonts w:hint="eastAsia" w:ascii="新宋体" w:hAnsi="新宋体" w:eastAsia="新宋体"/>
          <w:bCs/>
          <w:color w:val="auto"/>
          <w:sz w:val="22"/>
          <w:szCs w:val="22"/>
          <w:highlight w:val="none"/>
        </w:rPr>
        <w:t>投标人须提供由投标人单位汇出的</w:t>
      </w:r>
      <w:r>
        <w:rPr>
          <w:rFonts w:hint="eastAsia" w:ascii="新宋体" w:hAnsi="新宋体" w:eastAsia="新宋体"/>
          <w:b/>
          <w:color w:val="auto"/>
          <w:sz w:val="22"/>
          <w:szCs w:val="22"/>
          <w:highlight w:val="none"/>
        </w:rPr>
        <w:t>投标保证金</w:t>
      </w:r>
      <w:r>
        <w:rPr>
          <w:rFonts w:hint="eastAsia" w:ascii="新宋体" w:hAnsi="新宋体" w:eastAsia="新宋体"/>
          <w:b/>
          <w:color w:val="auto"/>
          <w:sz w:val="22"/>
          <w:highlight w:val="none"/>
        </w:rPr>
        <w:t>标段一：人民币柒万元整；标段二：人民币陆万元整</w:t>
      </w:r>
      <w:r>
        <w:rPr>
          <w:rFonts w:hint="eastAsia" w:ascii="新宋体" w:hAnsi="新宋体" w:eastAsia="新宋体"/>
          <w:bCs/>
          <w:color w:val="auto"/>
          <w:sz w:val="22"/>
          <w:szCs w:val="22"/>
          <w:highlight w:val="none"/>
        </w:rPr>
        <w:t>。否则招标人、</w:t>
      </w:r>
      <w:r>
        <w:rPr>
          <w:rFonts w:hint="eastAsia" w:ascii="新宋体" w:hAnsi="新宋体" w:eastAsia="新宋体"/>
          <w:color w:val="auto"/>
          <w:sz w:val="22"/>
          <w:highlight w:val="none"/>
        </w:rPr>
        <w:t>招标代理机构</w:t>
      </w:r>
      <w:r>
        <w:rPr>
          <w:rFonts w:hint="eastAsia" w:ascii="新宋体" w:hAnsi="新宋体" w:eastAsia="新宋体"/>
          <w:bCs/>
          <w:color w:val="auto"/>
          <w:sz w:val="22"/>
          <w:szCs w:val="22"/>
          <w:highlight w:val="none"/>
        </w:rPr>
        <w:t>将不接受其投标。</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5.2 投标保证金应以汇票（包括电汇）、支票形式从投标人开户银行汇出，不得从第三者或者分支机构汇出。投标保证金按以下开户银行及帐号汇入：</w:t>
      </w:r>
    </w:p>
    <w:p>
      <w:pPr>
        <w:spacing w:line="460" w:lineRule="exact"/>
        <w:ind w:firstLine="571" w:firstLineChars="245"/>
        <w:rPr>
          <w:rFonts w:ascii="新宋体" w:hAnsi="新宋体" w:eastAsia="新宋体"/>
          <w:b/>
          <w:color w:val="auto"/>
          <w:spacing w:val="6"/>
          <w:sz w:val="22"/>
          <w:szCs w:val="22"/>
          <w:highlight w:val="none"/>
        </w:rPr>
      </w:pPr>
      <w:r>
        <w:rPr>
          <w:rFonts w:hint="eastAsia" w:ascii="新宋体" w:hAnsi="新宋体" w:eastAsia="新宋体"/>
          <w:b/>
          <w:color w:val="auto"/>
          <w:spacing w:val="6"/>
          <w:sz w:val="22"/>
          <w:szCs w:val="22"/>
          <w:highlight w:val="none"/>
        </w:rPr>
        <w:t>户名：温州市行政审批与公共资源交易服务管理中心</w:t>
      </w:r>
    </w:p>
    <w:p>
      <w:pPr>
        <w:spacing w:line="460" w:lineRule="exact"/>
        <w:ind w:firstLine="571" w:firstLineChars="245"/>
        <w:rPr>
          <w:rFonts w:ascii="新宋体" w:hAnsi="新宋体" w:eastAsia="新宋体"/>
          <w:b/>
          <w:color w:val="auto"/>
          <w:spacing w:val="6"/>
          <w:sz w:val="22"/>
          <w:szCs w:val="22"/>
          <w:highlight w:val="none"/>
        </w:rPr>
      </w:pPr>
      <w:r>
        <w:rPr>
          <w:rFonts w:hint="eastAsia" w:ascii="新宋体" w:hAnsi="新宋体" w:eastAsia="新宋体"/>
          <w:b/>
          <w:color w:val="auto"/>
          <w:spacing w:val="6"/>
          <w:sz w:val="22"/>
          <w:szCs w:val="22"/>
          <w:highlight w:val="none"/>
        </w:rPr>
        <w:t>账号：715000120196666999</w:t>
      </w:r>
    </w:p>
    <w:p>
      <w:pPr>
        <w:spacing w:line="460" w:lineRule="exact"/>
        <w:ind w:firstLine="571" w:firstLineChars="245"/>
        <w:rPr>
          <w:rFonts w:ascii="新宋体" w:hAnsi="新宋体" w:eastAsia="新宋体"/>
          <w:b/>
          <w:color w:val="auto"/>
          <w:spacing w:val="6"/>
          <w:sz w:val="22"/>
          <w:szCs w:val="22"/>
          <w:highlight w:val="none"/>
        </w:rPr>
      </w:pPr>
      <w:r>
        <w:rPr>
          <w:rFonts w:hint="eastAsia" w:ascii="新宋体" w:hAnsi="新宋体" w:eastAsia="新宋体"/>
          <w:b/>
          <w:color w:val="auto"/>
          <w:spacing w:val="6"/>
          <w:sz w:val="22"/>
          <w:szCs w:val="22"/>
          <w:highlight w:val="none"/>
        </w:rPr>
        <w:t>开户行：温州银行股份有限公司鹿城支行</w:t>
      </w:r>
    </w:p>
    <w:p>
      <w:pPr>
        <w:spacing w:line="460" w:lineRule="exact"/>
        <w:ind w:firstLine="539" w:firstLineChars="245"/>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5.3 </w:t>
      </w:r>
      <w:r>
        <w:rPr>
          <w:rFonts w:hint="eastAsia" w:ascii="新宋体" w:hAnsi="新宋体" w:eastAsia="新宋体"/>
          <w:b/>
          <w:color w:val="auto"/>
          <w:sz w:val="22"/>
          <w:szCs w:val="22"/>
          <w:highlight w:val="none"/>
        </w:rPr>
        <w:t>投标人必须在保证金缴纳截止时间前到温州市行政审批与公共资源交易服务管理中心资金结算窗口确认到账并开具保证金收据</w:t>
      </w:r>
      <w:r>
        <w:rPr>
          <w:rFonts w:hint="eastAsia" w:ascii="新宋体" w:hAnsi="新宋体" w:eastAsia="新宋体"/>
          <w:color w:val="auto"/>
          <w:sz w:val="22"/>
          <w:szCs w:val="22"/>
          <w:highlight w:val="none"/>
        </w:rPr>
        <w:t>，该保证金收据作为递交投标保证金的凭据在投标时和投标文件同时提交，▲</w:t>
      </w:r>
      <w:r>
        <w:rPr>
          <w:rFonts w:hint="eastAsia" w:ascii="新宋体" w:hAnsi="新宋体" w:eastAsia="新宋体"/>
          <w:color w:val="auto"/>
          <w:sz w:val="22"/>
          <w:szCs w:val="22"/>
          <w:highlight w:val="none"/>
          <w:u w:val="single"/>
        </w:rPr>
        <w:t>未提交保证金收据的其投标将不予接受。</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5.4 保证金收据办理：</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投标人携带保证金缴纳凭证（银行转账支票进账单、电汇单等，缴纳保证金用途必须注明项目名称）复印件两份和“采购云”平台报名成功后的界面截图（内容含供应商名称、项目名称、投标截止时间、保证金金额等）并加盖公章，于招标文件规定的保证金缴纳截止时间前到中心资金结算窗口开具保证金收据。</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5.5 保证金退付办理：</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投标人在收到“采购云”平台的项目保证金退付通知后，携带中心开具的保证金收据复印件、保证金缴纳凭证复印件（盖有结算窗口确认章）和供应商开具的收款收据（盖财务章或者公章）到中心资金结算窗口办理退付保证金手续；亦可邮寄上述资料（邮寄地址：温州市公共资源交易中心温州银行窗口，曹绿如，电话：0577-88928908），邮寄前请先致电登记并自行承担邮寄丢失的风险。</w:t>
      </w:r>
    </w:p>
    <w:p>
      <w:pPr>
        <w:spacing w:line="460" w:lineRule="exact"/>
        <w:ind w:firstLine="571" w:firstLineChars="245"/>
        <w:rPr>
          <w:rFonts w:ascii="新宋体" w:hAnsi="新宋体" w:eastAsia="新宋体"/>
          <w:color w:val="auto"/>
          <w:sz w:val="22"/>
          <w:szCs w:val="22"/>
          <w:highlight w:val="none"/>
        </w:rPr>
      </w:pPr>
      <w:r>
        <w:rPr>
          <w:rFonts w:hint="eastAsia" w:ascii="新宋体" w:hAnsi="新宋体" w:eastAsia="新宋体"/>
          <w:b/>
          <w:color w:val="auto"/>
          <w:spacing w:val="6"/>
          <w:sz w:val="22"/>
          <w:szCs w:val="22"/>
          <w:highlight w:val="none"/>
        </w:rPr>
        <w:t>5.6</w:t>
      </w:r>
      <w:r>
        <w:rPr>
          <w:rFonts w:hint="eastAsia" w:ascii="新宋体" w:hAnsi="新宋体" w:eastAsia="新宋体"/>
          <w:color w:val="auto"/>
          <w:sz w:val="22"/>
          <w:szCs w:val="22"/>
          <w:highlight w:val="none"/>
        </w:rPr>
        <w:t>中标人的投标保证金在中标人与招标人签订了采购合同后5个工作日内无息退还，未中标人的投标保证金将在中标通知书发出后5个工作日内无息退还。</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5.7如发生下列情况之一，投标保证金将不予退还：</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（1）投标人在招标文件规定的投标有效期内撤回投标；</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（2）中标人未按中标通知书中规定的时间与招标人签订合同；</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（3）中标人在规定期限内未能根据招标文件要求提供履约保证金；</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（4）投标人在招标文件中提供虚假技术指标及参数或在投标时提供虚假承诺，经评标委员会确认属实的；</w:t>
      </w:r>
    </w:p>
    <w:p>
      <w:pPr>
        <w:spacing w:line="460" w:lineRule="exact"/>
        <w:ind w:firstLine="539" w:firstLineChars="245"/>
        <w:rPr>
          <w:rFonts w:ascii="新宋体" w:hAnsi="新宋体" w:eastAsia="新宋体"/>
          <w:b/>
          <w:color w:val="auto"/>
          <w:sz w:val="22"/>
          <w:szCs w:val="22"/>
          <w:highlight w:val="none"/>
        </w:rPr>
      </w:pPr>
      <w:r>
        <w:rPr>
          <w:rFonts w:hint="eastAsia" w:ascii="宋体" w:hAnsi="宋体"/>
          <w:color w:val="auto"/>
          <w:sz w:val="22"/>
          <w:highlight w:val="none"/>
        </w:rPr>
        <w:t>（5）经政府采购监督管理部门审查认定投标人有违反《中华人民共和国政府采购法》等有关法律法规的行为。</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6、投标有效期</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6.1自开标之日起</w:t>
      </w:r>
      <w:r>
        <w:rPr>
          <w:rFonts w:hint="eastAsia" w:ascii="新宋体" w:hAnsi="新宋体" w:eastAsia="新宋体"/>
          <w:b/>
          <w:bCs/>
          <w:color w:val="auto"/>
          <w:sz w:val="22"/>
          <w:szCs w:val="22"/>
          <w:highlight w:val="none"/>
        </w:rPr>
        <w:t xml:space="preserve"> 120 </w:t>
      </w:r>
      <w:r>
        <w:rPr>
          <w:rFonts w:hint="eastAsia" w:ascii="新宋体" w:hAnsi="新宋体" w:eastAsia="新宋体"/>
          <w:b/>
          <w:color w:val="auto"/>
          <w:sz w:val="22"/>
          <w:szCs w:val="22"/>
          <w:highlight w:val="none"/>
        </w:rPr>
        <w:t>天内投标应保持有效。</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6.2特殊情况下，在原投标有效期截止前，招标人、招标代理机构可与投标人协商延长投标有效期，这种要求和答复均以书面形式进行。投标人可拒绝接受延期要求，而不会导致投标保证金不予退还。同意延长投标有效期的投标人不得修改投标文件。有关退还不予退还投标保证金的规定在投标有效期的延长期内继续有效。</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7、投标文件的签署和规定</w:t>
      </w:r>
    </w:p>
    <w:p>
      <w:pPr>
        <w:tabs>
          <w:tab w:val="left" w:pos="360"/>
        </w:tabs>
        <w:spacing w:line="460" w:lineRule="exact"/>
        <w:ind w:firstLine="552" w:firstLineChars="25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7.1每个标段的投标人应提供该标段技术标、商务标各一式八份的投标文件，分别装订成册。其中正本一份、副本七份，每个标段每套投标文件的封面应清楚标明“正本”或“副本”字样，若“正本”与“副本”不符，以“正本”为准</w:t>
      </w:r>
      <w:r>
        <w:rPr>
          <w:rFonts w:hint="eastAsia" w:ascii="新宋体" w:hAnsi="新宋体" w:eastAsia="新宋体"/>
          <w:color w:val="auto"/>
          <w:sz w:val="22"/>
          <w:szCs w:val="22"/>
          <w:highlight w:val="none"/>
        </w:rPr>
        <w:t>。</w:t>
      </w:r>
    </w:p>
    <w:p>
      <w:pPr>
        <w:tabs>
          <w:tab w:val="left" w:pos="360"/>
        </w:tabs>
        <w:spacing w:line="460" w:lineRule="exact"/>
        <w:ind w:firstLine="550" w:firstLineChars="250"/>
        <w:rPr>
          <w:rFonts w:ascii="宋体" w:hAnsi="宋体"/>
          <w:color w:val="auto"/>
          <w:sz w:val="22"/>
          <w:highlight w:val="none"/>
        </w:rPr>
      </w:pPr>
      <w:r>
        <w:rPr>
          <w:rFonts w:hint="eastAsia" w:ascii="宋体" w:hAnsi="宋体"/>
          <w:color w:val="auto"/>
          <w:sz w:val="22"/>
          <w:highlight w:val="none"/>
        </w:rPr>
        <w:t>7.2投标文件的正本必须打印或用不褪色的墨水书写，并由投标人代表签署，副本可用正本的复印。</w:t>
      </w:r>
    </w:p>
    <w:p>
      <w:pPr>
        <w:tabs>
          <w:tab w:val="left" w:pos="360"/>
        </w:tabs>
        <w:spacing w:line="460" w:lineRule="exact"/>
        <w:ind w:firstLine="552" w:firstLineChars="25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7.3 投标文件如有修改和增删必须由投标人代表在修改和增删处旁签署或盖章，方才有效。</w:t>
      </w:r>
    </w:p>
    <w:p>
      <w:pPr>
        <w:tabs>
          <w:tab w:val="left" w:pos="360"/>
        </w:tabs>
        <w:spacing w:line="460" w:lineRule="exact"/>
        <w:ind w:firstLine="550" w:firstLineChars="250"/>
        <w:rPr>
          <w:rFonts w:ascii="宋体" w:hAnsi="宋体"/>
          <w:color w:val="auto"/>
          <w:sz w:val="22"/>
          <w:highlight w:val="none"/>
        </w:rPr>
      </w:pPr>
      <w:r>
        <w:rPr>
          <w:rFonts w:hint="eastAsia" w:ascii="宋体" w:hAnsi="宋体"/>
          <w:color w:val="auto"/>
          <w:sz w:val="22"/>
          <w:highlight w:val="none"/>
        </w:rPr>
        <w:t>7.4 投标文件因字迹模糊或在关键的技术、商务条款上表述不清楚，将可能导致其投标被否决。</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8、投标文件的密封及标记</w:t>
      </w:r>
    </w:p>
    <w:p>
      <w:pPr>
        <w:spacing w:line="460" w:lineRule="exact"/>
        <w:ind w:firstLine="541" w:firstLineChars="245"/>
        <w:rPr>
          <w:rFonts w:ascii="新宋体" w:hAnsi="新宋体" w:eastAsia="新宋体"/>
          <w:color w:val="auto"/>
          <w:sz w:val="22"/>
          <w:highlight w:val="none"/>
        </w:rPr>
      </w:pPr>
      <w:r>
        <w:rPr>
          <w:rFonts w:hint="eastAsia" w:ascii="新宋体" w:hAnsi="新宋体" w:eastAsia="新宋体"/>
          <w:b/>
          <w:color w:val="auto"/>
          <w:sz w:val="22"/>
          <w:szCs w:val="22"/>
          <w:highlight w:val="none"/>
        </w:rPr>
        <w:t>8.1每个标段的投标人必须将该标段的投标文件的“技术标”“商务标”分别单独密封，且在各自的密封袋上标明“技术标”和“商务标”字样。</w:t>
      </w:r>
      <w:r>
        <w:rPr>
          <w:rFonts w:hint="eastAsia" w:ascii="新宋体" w:hAnsi="新宋体" w:eastAsia="新宋体"/>
          <w:color w:val="auto"/>
          <w:sz w:val="22"/>
          <w:highlight w:val="none"/>
        </w:rPr>
        <w:t>封口处贴上封条，骑缝处加盖投标人公章或由投标人代表签字。封皮上写明投标项目名称、编号、投标人名称、电话联系人，并注明“开标时启封”字样。</w:t>
      </w:r>
    </w:p>
    <w:p>
      <w:pPr>
        <w:spacing w:line="460" w:lineRule="exact"/>
        <w:ind w:firstLine="541" w:firstLineChars="245"/>
        <w:rPr>
          <w:rFonts w:ascii="新宋体" w:hAnsi="新宋体" w:eastAsia="新宋体"/>
          <w:color w:val="auto"/>
          <w:sz w:val="22"/>
          <w:highlight w:val="none"/>
        </w:rPr>
      </w:pPr>
      <w:r>
        <w:rPr>
          <w:rFonts w:hint="eastAsia" w:ascii="新宋体" w:hAnsi="新宋体" w:eastAsia="新宋体"/>
          <w:b/>
          <w:color w:val="auto"/>
          <w:sz w:val="22"/>
          <w:szCs w:val="22"/>
          <w:highlight w:val="none"/>
        </w:rPr>
        <w:t>（注：每个标段分开装袋密封）</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8.2如果投标人未按上述要求密封及加写标记，招标机构对投标文件的误投和提前启封不负责任。</w:t>
      </w:r>
    </w:p>
    <w:p>
      <w:pPr>
        <w:spacing w:before="100" w:beforeAutospacing="1" w:after="100" w:afterAutospacing="1" w:line="440" w:lineRule="exact"/>
        <w:jc w:val="center"/>
        <w:outlineLvl w:val="1"/>
        <w:rPr>
          <w:rFonts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四、 投标文件的递交</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1、投标文件的递交</w:t>
      </w:r>
    </w:p>
    <w:p>
      <w:pPr>
        <w:spacing w:line="460" w:lineRule="exact"/>
        <w:ind w:firstLine="541" w:firstLineChars="245"/>
        <w:rPr>
          <w:rFonts w:ascii="新宋体" w:hAnsi="新宋体" w:eastAsia="新宋体"/>
          <w:b/>
          <w:color w:val="auto"/>
          <w:sz w:val="22"/>
          <w:highlight w:val="none"/>
        </w:rPr>
      </w:pPr>
      <w:r>
        <w:rPr>
          <w:rFonts w:hint="eastAsia" w:ascii="新宋体" w:hAnsi="新宋体" w:eastAsia="新宋体"/>
          <w:b/>
          <w:bCs/>
          <w:color w:val="auto"/>
          <w:sz w:val="22"/>
          <w:szCs w:val="22"/>
          <w:highlight w:val="none"/>
        </w:rPr>
        <w:t>1.1</w:t>
      </w:r>
      <w:r>
        <w:rPr>
          <w:rFonts w:hint="eastAsia" w:ascii="新宋体" w:hAnsi="新宋体" w:eastAsia="新宋体"/>
          <w:b/>
          <w:color w:val="auto"/>
          <w:sz w:val="22"/>
          <w:highlight w:val="none"/>
        </w:rPr>
        <w:t>投标文件必须在规定的投标截止时间前送达到指定的收标地点，并同时递交投标保证金凭据、法定代表人授权书和投标人代表有效身份证件和企业营业执照（以上证明文件复印件加盖公章，需提供原件备查），由评标委员会确认投标资格。</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2、投标文件的修改和撤回</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2.1在投标截止时间前，投标人可以用书面形式提出修改或撤回其投标并送达到招标人，但不得影响开标活动的正常进行。</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2.2</w:t>
      </w:r>
      <w:r>
        <w:rPr>
          <w:rFonts w:ascii="新宋体" w:hAnsi="新宋体" w:eastAsia="新宋体"/>
          <w:color w:val="auto"/>
          <w:sz w:val="22"/>
          <w:highlight w:val="none"/>
        </w:rPr>
        <w:t>“</w:t>
      </w:r>
      <w:r>
        <w:rPr>
          <w:rFonts w:hint="eastAsia" w:ascii="新宋体" w:hAnsi="新宋体" w:eastAsia="新宋体"/>
          <w:color w:val="auto"/>
          <w:sz w:val="22"/>
          <w:highlight w:val="none"/>
        </w:rPr>
        <w:t>投标文件修改</w:t>
      </w:r>
      <w:r>
        <w:rPr>
          <w:rFonts w:ascii="新宋体" w:hAnsi="新宋体" w:eastAsia="新宋体"/>
          <w:color w:val="auto"/>
          <w:sz w:val="22"/>
          <w:highlight w:val="none"/>
        </w:rPr>
        <w:t>”</w:t>
      </w:r>
      <w:r>
        <w:rPr>
          <w:rFonts w:hint="eastAsia" w:ascii="新宋体" w:hAnsi="新宋体" w:eastAsia="新宋体"/>
          <w:color w:val="auto"/>
          <w:sz w:val="22"/>
          <w:highlight w:val="none"/>
        </w:rPr>
        <w:t>或“投标文件撤回通知”都应密封并在密封袋上写明投标项目名称、编号、投标人名称，并注明“投标文件修改”或“投标文件撤回通知”字样。</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2.3  从投标截止日期起至投标有效期满这段时间内，投标人不得撤回其投标，否则投标保证金将被不予退还。</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3、</w:t>
      </w:r>
      <w:r>
        <w:rPr>
          <w:rFonts w:hint="eastAsia" w:ascii="新宋体" w:hAnsi="新宋体" w:eastAsia="新宋体"/>
          <w:b/>
          <w:color w:val="auto"/>
          <w:sz w:val="22"/>
          <w:highlight w:val="none"/>
        </w:rPr>
        <w:t>发生下列情况之一的投标文件将拒收:</w:t>
      </w:r>
    </w:p>
    <w:p>
      <w:pPr>
        <w:tabs>
          <w:tab w:val="left" w:pos="360"/>
        </w:tabs>
        <w:spacing w:line="460" w:lineRule="exact"/>
        <w:ind w:firstLine="552" w:firstLineChars="2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3.1 在投标截止时间以后送达的投标文件；</w:t>
      </w:r>
    </w:p>
    <w:p>
      <w:pPr>
        <w:tabs>
          <w:tab w:val="left" w:pos="360"/>
        </w:tabs>
        <w:spacing w:line="460" w:lineRule="exact"/>
        <w:ind w:firstLine="552" w:firstLineChars="2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3.2 未密封的投标文件；</w:t>
      </w:r>
    </w:p>
    <w:p>
      <w:pPr>
        <w:tabs>
          <w:tab w:val="left" w:pos="360"/>
        </w:tabs>
        <w:spacing w:line="460" w:lineRule="exact"/>
        <w:ind w:firstLine="552" w:firstLineChars="2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3.3 由于包装不妥在送达途中严重破损或失散的投标文件；</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3.4 以电讯形式递交的投标文件。</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u w:val="single"/>
        </w:rPr>
        <w:t>4、组织供应商签署不存在影响公平竞争的《政府采购活动现场确认声明书》。</w:t>
      </w:r>
    </w:p>
    <w:p>
      <w:pPr>
        <w:spacing w:before="100" w:beforeAutospacing="1" w:after="100" w:afterAutospacing="1" w:line="460" w:lineRule="exact"/>
        <w:jc w:val="center"/>
        <w:outlineLvl w:val="1"/>
        <w:rPr>
          <w:rFonts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五、 开标和评标</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1、评标委员会</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bCs/>
          <w:color w:val="auto"/>
          <w:sz w:val="22"/>
          <w:szCs w:val="22"/>
          <w:highlight w:val="none"/>
        </w:rPr>
        <w:t>1.1招标人和招标代理机构组建评标委员会。评标委员会的成员在评标过程中必须严格遵守《政府采购法》等有关法律、法规的规定。</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bCs/>
          <w:color w:val="auto"/>
          <w:sz w:val="22"/>
          <w:szCs w:val="22"/>
          <w:highlight w:val="none"/>
        </w:rPr>
        <w:t>2、评标过程的保密性</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2.1开标后直至向中标人授予合同时止，凡与评审有关的资料均不得向投标人及与评标无关人员透露。如果投标人在评标过程中试图向招标人和招标代理机构施加影响，其投标将被拒绝。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3、开标、评标</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 开标时邀请所有投标人代表参加，参加开标的代表应准时出席并签名报到以证明其出席。</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3.2 开标时，应当由投标人推选的代表检查投标文件的密封情况；经确认无误后，由招标代理机构工作人员当众拆封，宣布投标人名称、投标价格和招标文件规定的需要宣布的其他内容。</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投标人不足3家的，不得开标。</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开标过程应当由招标人或者招标代理机构负责记录，由参加开标的各投标人代表和相关工作人员签字确认后随采购文件一并存档。</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投标人代表对开标过程和开标记录有疑义，以及认为招标人、招标代理机构相关工作人员有需要回避的情形的，应当场提出询问或者回避申请。</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投标人未参加开标的，视同认可开标结果。</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3.3 开标结束后，招标人依法对投标人的资格进行审查，合格投标人不足3家的，不得评标。</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3.4 评标委员会对符合资格的投标人的投标文件进行符合性审查，以确定其是否满足招标文件的实质性要求。</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3.5 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3.6 评标委员按照招标文件中规定的评标方法和标准，对投标文件进行商务和技术评估，综合比较与评价。</w:t>
      </w:r>
    </w:p>
    <w:p>
      <w:pPr>
        <w:spacing w:line="460" w:lineRule="exact"/>
        <w:ind w:firstLine="541" w:firstLineChars="245"/>
        <w:rPr>
          <w:rFonts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t>3.7 投标人存在下列情况之一的，投标无效：</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（1）未按照招标文件的规定提交投标保证金的；</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（2）投标文件未按招标文件要求签署、盖章的；</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 xml:space="preserve">（3）不具备招标文件中规定的资格要求的； </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（4）明显不符合招标文件中主要技术规格、技术标准的；</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（5）投标文件内容不全或关键字迹模糊无法辨认的；</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（6）报价超过招标文件中规定的预算金额或者最高限价的；</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（7）投标人代表没有法定代表人 合法、有效委托的；</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（8）投标文件含有招标人不能接受的附加条件的；</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（9）法律、法规和招标文件规定的其他无效情形。</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3.8有下列情形之一的，视为投标人串通投标，其投标无效</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（1）不同投标人的投标文件由同一单位或者个人编制；</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（2）不同投标人委托同一单位或者个人办理投标事宜；</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（3）不同投标人的投标文件载明的项目管理成员或者联系人员为同一人；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（4）不同投标人的投标文件异常一致或者投标报价呈规律性差异；</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（5）不同投标人的投标文件相互混装；</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（6）不同投标人的投标保证金从同一单位或者个人的账户转出。</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3.9 投标文件报价出现前后不一致的，按照下列规定修正：</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（1）投标文件中开标一览表（报价表）内容与投标文件中相应内容不一致的，以开标一览表（报价表）为准；</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（2）大写金额和小写金额不一致的，以大写金额为准；</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（3）单价金额小数点或者百分比有明显错位的，以开标一览表的总价为准，并修改单价；</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（4）总价金额与按单价汇总金额不一致的，以单价金额计算结果为准。</w:t>
      </w:r>
    </w:p>
    <w:p>
      <w:pPr>
        <w:spacing w:line="460" w:lineRule="exact"/>
        <w:ind w:firstLine="539" w:firstLineChars="245"/>
        <w:rPr>
          <w:color w:val="auto"/>
          <w:highlight w:val="none"/>
        </w:rPr>
      </w:pPr>
      <w:r>
        <w:rPr>
          <w:rFonts w:hint="eastAsia" w:ascii="新宋体" w:hAnsi="新宋体" w:eastAsia="新宋体"/>
          <w:color w:val="auto"/>
          <w:sz w:val="22"/>
          <w:szCs w:val="22"/>
          <w:highlight w:val="none"/>
        </w:rPr>
        <w:t>同时出现两种以上不一致的，按照前款规定的顺序修正。修正后的报价按照本小节第4.1条第二款的规定经投标人确认后产生约束力，投标人不确认的，其投标无效。</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3.10 投标的评定</w:t>
      </w:r>
    </w:p>
    <w:p>
      <w:pPr>
        <w:tabs>
          <w:tab w:val="left" w:pos="1365"/>
        </w:tabs>
        <w:spacing w:line="460" w:lineRule="exact"/>
        <w:ind w:left="638" w:leftChars="104" w:hanging="420" w:hangingChars="200"/>
        <w:rPr>
          <w:rFonts w:ascii="新宋体" w:hAnsi="新宋体" w:eastAsia="新宋体"/>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color w:val="auto"/>
          <w:sz w:val="22"/>
          <w:szCs w:val="22"/>
          <w:highlight w:val="none"/>
        </w:rPr>
        <w:t xml:space="preserve"> 评标委员会除考虑投标人的投标报价的竞争有利性外，同时还应考虑以下几方面：</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（1）交货及完工时间的满足性；</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（2）与合同条款规定的付款方式和条件的偏差；</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（3）质量保证措施的可行性；</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（4）产品的质量水平、先进性和设备配套的齐全性；</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（5）投标人在甲方所在地为用户提供售后服务的保障措施；</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（6）投标人针对本项目安排的工程技术人员的业绩、素质、能力和信誉；</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（7）投标人的经营信誉、资信和实力；</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（8）投标人的同类业绩；</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（9）投标人提出的使招标人满意的优惠条款。</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3.11 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4、投标文件的澄清</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4.1在评标期间，评标委员会可要求投标人对于投标文件中含义不明确、同类问题表述不一致或者有明显文字和计算错误的内容，评标委员会应当以书面形式要求投标人作出必要的澄清、说明或者补正。</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拒不按要求对其投标文件进行澄清，说明或补正的投标人，评标委员会可以否决其投标。</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4.2</w:t>
      </w:r>
      <w:r>
        <w:rPr>
          <w:rFonts w:hint="eastAsia" w:ascii="新宋体" w:hAnsi="新宋体" w:eastAsia="新宋体"/>
          <w:b/>
          <w:color w:val="auto"/>
          <w:sz w:val="22"/>
          <w:szCs w:val="22"/>
          <w:highlight w:val="none"/>
        </w:rPr>
        <w:t>经澄清后，若偏差仍存在，且不可接受，投标人则被认为是“没有实质性响应招标文件要求”，其投标将被拒绝。</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5</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确定中标候选人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5.1由评标委员会确定中标候选人。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5.2评标委员会依据法律、法规及招标文件有关规定按评审后得分（即技术分与商务分之和）由高到低顺序排序，得分前二名的投标人确定为该项目的第一和第二中标候选人（得分相同投标报价低的排序第一；得分且投标报价相同的，技术指标优的排序第一）向招标人推荐。</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6、确定中标人</w:t>
      </w:r>
    </w:p>
    <w:p>
      <w:pPr>
        <w:spacing w:line="46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6.1招标人按照评标报告中推荐的中标候选供应商顺序确定中标人；也可以事先授权评标委员会按照推荐的中标候选供应商顺序直接确定中标人。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以视情况直接确定排名第二的候选人为中标人</w:t>
      </w:r>
      <w:r>
        <w:rPr>
          <w:rFonts w:ascii="新宋体" w:hAnsi="新宋体" w:eastAsia="新宋体"/>
          <w:color w:val="auto"/>
          <w:sz w:val="22"/>
          <w:szCs w:val="22"/>
          <w:highlight w:val="none"/>
        </w:rPr>
        <w:t>。如第二中标候选人因前款规定的同样原因不能签订合同的，本次招标失败，重新组织招标。</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中标人确定后，招标人将在政府指定媒体公告中标结果，招标人向中标人发出中标通知书。</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8、</w:t>
      </w:r>
      <w:r>
        <w:rPr>
          <w:rFonts w:hint="eastAsia" w:ascii="新宋体" w:hAnsi="新宋体" w:eastAsia="新宋体"/>
          <w:b/>
          <w:color w:val="auto"/>
          <w:sz w:val="22"/>
          <w:szCs w:val="22"/>
          <w:highlight w:val="none"/>
        </w:rPr>
        <w:t>招标人对决标结果不做任何解释，也不保证最低价中标。</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9、评标细则详见“评标原则及方法”。</w:t>
      </w:r>
    </w:p>
    <w:p>
      <w:pPr>
        <w:spacing w:before="100" w:beforeAutospacing="1" w:after="100" w:afterAutospacing="1" w:line="440" w:lineRule="exact"/>
        <w:jc w:val="center"/>
        <w:outlineLvl w:val="1"/>
        <w:rPr>
          <w:rFonts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六、 授予合同</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highlight w:val="none"/>
        </w:rPr>
        <w:t>1、中标通知书</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1.1</w:t>
      </w:r>
      <w:r>
        <w:rPr>
          <w:rFonts w:hint="eastAsia" w:ascii="新宋体" w:hAnsi="新宋体" w:eastAsia="新宋体"/>
          <w:color w:val="auto"/>
          <w:sz w:val="22"/>
          <w:szCs w:val="22"/>
          <w:highlight w:val="none"/>
        </w:rPr>
        <w:t xml:space="preserve">中标人确定后，招标人将向中标人发出中标通知书。 </w:t>
      </w:r>
    </w:p>
    <w:p>
      <w:pPr>
        <w:spacing w:line="46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1.2</w:t>
      </w:r>
      <w:r>
        <w:rPr>
          <w:rFonts w:hint="eastAsia" w:ascii="新宋体" w:hAnsi="新宋体" w:eastAsia="新宋体"/>
          <w:color w:val="auto"/>
          <w:sz w:val="22"/>
          <w:szCs w:val="22"/>
          <w:highlight w:val="none"/>
        </w:rPr>
        <w:t>中标通知书是合同的一个组成部分,对招标人和中标人均具有同等法律效力。</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2、授标时更改采购货物数量的权力</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3、签订合同</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bCs/>
          <w:color w:val="auto"/>
          <w:sz w:val="22"/>
          <w:szCs w:val="22"/>
          <w:highlight w:val="none"/>
        </w:rPr>
        <w:t>3.1中标人应按中标通知书规定的时间、地点与招标人签订合同，同时提交履约保证金。</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3.2</w:t>
      </w:r>
      <w:r>
        <w:rPr>
          <w:rFonts w:hint="eastAsia" w:ascii="新宋体" w:hAnsi="新宋体" w:eastAsia="新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3.4拒签合同的违约责任</w:t>
      </w:r>
    </w:p>
    <w:p>
      <w:pPr>
        <w:spacing w:line="460" w:lineRule="exact"/>
        <w:ind w:firstLine="571" w:firstLineChars="245"/>
        <w:rPr>
          <w:rFonts w:ascii="新宋体" w:hAnsi="新宋体" w:eastAsia="新宋体"/>
          <w:b/>
          <w:color w:val="auto"/>
          <w:sz w:val="22"/>
          <w:szCs w:val="22"/>
          <w:highlight w:val="none"/>
        </w:rPr>
      </w:pPr>
      <w:r>
        <w:rPr>
          <w:rFonts w:hint="eastAsia" w:ascii="新宋体" w:hAnsi="新宋体" w:eastAsia="新宋体"/>
          <w:b/>
          <w:color w:val="auto"/>
          <w:spacing w:val="6"/>
          <w:sz w:val="22"/>
          <w:szCs w:val="22"/>
          <w:highlight w:val="none"/>
        </w:rPr>
        <w:t>中标人接到中标通知书后，在规定时间内借故否认已经承诺的条件而拒签合同的，以违约处理，其投标保证金将不予退还。</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4、履约保证金</w:t>
      </w:r>
    </w:p>
    <w:p>
      <w:pPr>
        <w:spacing w:line="46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4.1中标人在收到中标通知书后，签订合同前须向招标人提交合同总价10%的履约保证金。</w:t>
      </w:r>
    </w:p>
    <w:p>
      <w:pPr>
        <w:spacing w:line="46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4.2履约保证金用于补偿招标人因中标人不能履行其合同义务而蒙受的损失。</w:t>
      </w:r>
    </w:p>
    <w:p>
      <w:pPr>
        <w:spacing w:line="460" w:lineRule="exact"/>
        <w:ind w:firstLine="539" w:firstLineChars="245"/>
        <w:rPr>
          <w:rFonts w:ascii="新宋体" w:hAnsi="新宋体" w:eastAsia="新宋体"/>
          <w:b/>
          <w:color w:val="auto"/>
          <w:sz w:val="22"/>
          <w:highlight w:val="none"/>
        </w:rPr>
      </w:pPr>
      <w:r>
        <w:rPr>
          <w:rFonts w:hint="eastAsia" w:ascii="新宋体" w:hAnsi="新宋体" w:eastAsia="新宋体"/>
          <w:bCs/>
          <w:color w:val="auto"/>
          <w:sz w:val="22"/>
          <w:highlight w:val="none"/>
        </w:rPr>
        <w:t>4.3履约保证金自合同签订之日起至履约完毕止有效。有效期满后，招标人应及时将履约保证金无息退还给中标人。</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highlight w:val="none"/>
        </w:rPr>
        <w:t>5、质疑与投诉</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5.3投诉人投诉时，应提交投诉书，投诉书应当由本人并由法定代表人 签字盖公章，投诉书应说明具体的投诉事项及事实依据。投诉人对投诉书的真实性负责，恶意投诉将承当相应的法律和民事责任。</w:t>
      </w:r>
    </w:p>
    <w:p>
      <w:pPr>
        <w:spacing w:line="42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5.4监管单位是温州市经济技术开发区财政局</w:t>
      </w:r>
      <w:r>
        <w:rPr>
          <w:rFonts w:ascii="新宋体" w:hAnsi="新宋体" w:eastAsia="新宋体"/>
          <w:color w:val="auto"/>
          <w:sz w:val="22"/>
          <w:highlight w:val="none"/>
        </w:rPr>
        <w:t xml:space="preserve"> 电话：</w:t>
      </w:r>
      <w:r>
        <w:rPr>
          <w:rFonts w:hint="eastAsia" w:ascii="新宋体" w:hAnsi="新宋体" w:eastAsia="新宋体"/>
          <w:color w:val="auto"/>
          <w:sz w:val="22"/>
          <w:highlight w:val="none"/>
        </w:rPr>
        <w:t>0577-86998861</w:t>
      </w:r>
    </w:p>
    <w:p>
      <w:pPr>
        <w:spacing w:line="46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6、招标代理服务费</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6.1各标段招标代理服务费：根据国家计委计价格【2002】1980号《招标代理服务收费管理暂行办法》规定按成交金额的差额定率累计法计算后下浮20%收取。（见附后附表）,由各标段中标人在领取中标通知书时支付。</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6.2 招标代理服务费可以是现金、支票或汇票。</w:t>
      </w: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spacing w:line="460" w:lineRule="exact"/>
        <w:ind w:firstLine="539" w:firstLineChars="245"/>
        <w:rPr>
          <w:rFonts w:ascii="新宋体" w:hAnsi="新宋体" w:eastAsia="新宋体"/>
          <w:color w:val="auto"/>
          <w:sz w:val="22"/>
          <w:highlight w:val="none"/>
        </w:rPr>
      </w:pPr>
    </w:p>
    <w:p>
      <w:pPr>
        <w:pStyle w:val="24"/>
        <w:spacing w:line="460" w:lineRule="exact"/>
        <w:ind w:left="430" w:leftChars="205" w:firstLine="0" w:firstLineChars="0"/>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第二部分    合同主要条款</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ind w:firstLine="539" w:firstLineChars="245"/>
        <w:rPr>
          <w:rFonts w:ascii="新宋体" w:hAnsi="新宋体" w:eastAsia="新宋体" w:cs="新宋体"/>
          <w:color w:val="auto"/>
          <w:sz w:val="22"/>
          <w:szCs w:val="22"/>
          <w:highlight w:val="none"/>
        </w:rPr>
      </w:pP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温州市公安局经济技术开发区分局的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（项目名称、编号）在国内以公开招标方式进行采购，经评标委员会评定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《中华人民共和国合同法》</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4、招标文件</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5、投标文件</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三、采购内容</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1、规格及数量</w:t>
      </w:r>
    </w:p>
    <w:tbl>
      <w:tblPr>
        <w:tblStyle w:val="64"/>
        <w:tblW w:w="8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88"/>
        <w:gridCol w:w="1335"/>
        <w:gridCol w:w="1095"/>
        <w:gridCol w:w="750"/>
        <w:gridCol w:w="147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Pr>
          <w:p>
            <w:pPr>
              <w:spacing w:line="460" w:lineRule="exact"/>
              <w:rPr>
                <w:rFonts w:hAnsi="宋体"/>
                <w:color w:val="auto"/>
                <w:szCs w:val="21"/>
                <w:highlight w:val="none"/>
              </w:rPr>
            </w:pPr>
            <w:r>
              <w:rPr>
                <w:rFonts w:hint="eastAsia" w:hAnsi="宋体"/>
                <w:color w:val="auto"/>
                <w:szCs w:val="21"/>
                <w:highlight w:val="none"/>
              </w:rPr>
              <w:t>序号</w:t>
            </w:r>
          </w:p>
        </w:tc>
        <w:tc>
          <w:tcPr>
            <w:tcW w:w="2088" w:type="dxa"/>
          </w:tcPr>
          <w:p>
            <w:pPr>
              <w:spacing w:line="460" w:lineRule="exact"/>
              <w:rPr>
                <w:rFonts w:hAnsi="宋体"/>
                <w:color w:val="auto"/>
                <w:szCs w:val="21"/>
                <w:highlight w:val="none"/>
              </w:rPr>
            </w:pPr>
            <w:r>
              <w:rPr>
                <w:rFonts w:hint="eastAsia" w:hAnsi="宋体"/>
                <w:color w:val="auto"/>
                <w:szCs w:val="21"/>
                <w:highlight w:val="none"/>
              </w:rPr>
              <w:t>设备名称</w:t>
            </w:r>
          </w:p>
        </w:tc>
        <w:tc>
          <w:tcPr>
            <w:tcW w:w="1335" w:type="dxa"/>
          </w:tcPr>
          <w:p>
            <w:pPr>
              <w:spacing w:line="460" w:lineRule="exact"/>
              <w:rPr>
                <w:rFonts w:hAnsi="宋体"/>
                <w:color w:val="auto"/>
                <w:szCs w:val="21"/>
                <w:highlight w:val="none"/>
              </w:rPr>
            </w:pPr>
            <w:r>
              <w:rPr>
                <w:rFonts w:hint="eastAsia" w:hAnsi="宋体"/>
                <w:color w:val="auto"/>
                <w:szCs w:val="21"/>
                <w:highlight w:val="none"/>
              </w:rPr>
              <w:t>单价</w:t>
            </w:r>
          </w:p>
        </w:tc>
        <w:tc>
          <w:tcPr>
            <w:tcW w:w="1095" w:type="dxa"/>
          </w:tcPr>
          <w:p>
            <w:pPr>
              <w:spacing w:line="460" w:lineRule="exact"/>
              <w:rPr>
                <w:rFonts w:hAnsi="宋体"/>
                <w:color w:val="auto"/>
                <w:szCs w:val="21"/>
                <w:highlight w:val="none"/>
              </w:rPr>
            </w:pPr>
            <w:r>
              <w:rPr>
                <w:rFonts w:hint="eastAsia" w:hAnsi="宋体"/>
                <w:color w:val="auto"/>
                <w:szCs w:val="21"/>
                <w:highlight w:val="none"/>
              </w:rPr>
              <w:t>数量</w:t>
            </w:r>
          </w:p>
        </w:tc>
        <w:tc>
          <w:tcPr>
            <w:tcW w:w="750" w:type="dxa"/>
          </w:tcPr>
          <w:p>
            <w:pPr>
              <w:spacing w:line="460" w:lineRule="exact"/>
              <w:rPr>
                <w:rFonts w:hAnsi="宋体"/>
                <w:color w:val="auto"/>
                <w:szCs w:val="21"/>
                <w:highlight w:val="none"/>
              </w:rPr>
            </w:pPr>
            <w:r>
              <w:rPr>
                <w:rFonts w:hint="eastAsia" w:hAnsi="宋体"/>
                <w:color w:val="auto"/>
                <w:szCs w:val="21"/>
                <w:highlight w:val="none"/>
              </w:rPr>
              <w:t>合价</w:t>
            </w:r>
          </w:p>
        </w:tc>
        <w:tc>
          <w:tcPr>
            <w:tcW w:w="1473" w:type="dxa"/>
          </w:tcPr>
          <w:p>
            <w:pPr>
              <w:spacing w:line="460" w:lineRule="exact"/>
              <w:rPr>
                <w:rFonts w:hAnsi="宋体"/>
                <w:color w:val="auto"/>
                <w:szCs w:val="21"/>
                <w:highlight w:val="none"/>
              </w:rPr>
            </w:pPr>
            <w:r>
              <w:rPr>
                <w:rFonts w:hint="eastAsia" w:hAnsi="宋体"/>
                <w:color w:val="auto"/>
                <w:szCs w:val="21"/>
                <w:highlight w:val="none"/>
              </w:rPr>
              <w:t>交货周期</w:t>
            </w:r>
          </w:p>
        </w:tc>
        <w:tc>
          <w:tcPr>
            <w:tcW w:w="1065" w:type="dxa"/>
          </w:tcPr>
          <w:p>
            <w:pPr>
              <w:spacing w:line="460" w:lineRule="exact"/>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Pr>
          <w:p>
            <w:pPr>
              <w:spacing w:line="460" w:lineRule="exact"/>
              <w:rPr>
                <w:rFonts w:hAnsi="宋体"/>
                <w:color w:val="auto"/>
                <w:szCs w:val="21"/>
                <w:highlight w:val="none"/>
              </w:rPr>
            </w:pPr>
          </w:p>
        </w:tc>
        <w:tc>
          <w:tcPr>
            <w:tcW w:w="2088" w:type="dxa"/>
          </w:tcPr>
          <w:p>
            <w:pPr>
              <w:spacing w:line="460" w:lineRule="exact"/>
              <w:rPr>
                <w:rFonts w:hAnsi="宋体"/>
                <w:color w:val="auto"/>
                <w:szCs w:val="21"/>
                <w:highlight w:val="none"/>
              </w:rPr>
            </w:pPr>
          </w:p>
        </w:tc>
        <w:tc>
          <w:tcPr>
            <w:tcW w:w="1335" w:type="dxa"/>
          </w:tcPr>
          <w:p>
            <w:pPr>
              <w:spacing w:line="460" w:lineRule="exact"/>
              <w:rPr>
                <w:rFonts w:hAnsi="宋体"/>
                <w:color w:val="auto"/>
                <w:szCs w:val="21"/>
                <w:highlight w:val="none"/>
              </w:rPr>
            </w:pPr>
          </w:p>
        </w:tc>
        <w:tc>
          <w:tcPr>
            <w:tcW w:w="1095" w:type="dxa"/>
          </w:tcPr>
          <w:p>
            <w:pPr>
              <w:spacing w:line="460" w:lineRule="exact"/>
              <w:rPr>
                <w:rFonts w:hAnsi="宋体"/>
                <w:color w:val="auto"/>
                <w:szCs w:val="21"/>
                <w:highlight w:val="none"/>
              </w:rPr>
            </w:pPr>
          </w:p>
        </w:tc>
        <w:tc>
          <w:tcPr>
            <w:tcW w:w="750" w:type="dxa"/>
          </w:tcPr>
          <w:p>
            <w:pPr>
              <w:spacing w:line="460" w:lineRule="exact"/>
              <w:rPr>
                <w:rFonts w:hAnsi="宋体"/>
                <w:color w:val="auto"/>
                <w:szCs w:val="21"/>
                <w:highlight w:val="none"/>
              </w:rPr>
            </w:pPr>
          </w:p>
        </w:tc>
        <w:tc>
          <w:tcPr>
            <w:tcW w:w="1473" w:type="dxa"/>
          </w:tcPr>
          <w:p>
            <w:pPr>
              <w:spacing w:line="460" w:lineRule="exact"/>
              <w:rPr>
                <w:rFonts w:hAnsi="宋体"/>
                <w:color w:val="auto"/>
                <w:szCs w:val="21"/>
                <w:highlight w:val="none"/>
              </w:rPr>
            </w:pPr>
          </w:p>
        </w:tc>
        <w:tc>
          <w:tcPr>
            <w:tcW w:w="1065" w:type="dxa"/>
          </w:tcPr>
          <w:p>
            <w:pPr>
              <w:spacing w:line="4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Pr>
          <w:p>
            <w:pPr>
              <w:spacing w:line="460" w:lineRule="exact"/>
              <w:rPr>
                <w:rFonts w:hAnsi="宋体"/>
                <w:color w:val="auto"/>
                <w:szCs w:val="21"/>
                <w:highlight w:val="none"/>
              </w:rPr>
            </w:pPr>
          </w:p>
        </w:tc>
        <w:tc>
          <w:tcPr>
            <w:tcW w:w="2088" w:type="dxa"/>
          </w:tcPr>
          <w:p>
            <w:pPr>
              <w:spacing w:line="460" w:lineRule="exact"/>
              <w:rPr>
                <w:rFonts w:hAnsi="宋体"/>
                <w:color w:val="auto"/>
                <w:szCs w:val="21"/>
                <w:highlight w:val="none"/>
              </w:rPr>
            </w:pPr>
          </w:p>
        </w:tc>
        <w:tc>
          <w:tcPr>
            <w:tcW w:w="1335" w:type="dxa"/>
          </w:tcPr>
          <w:p>
            <w:pPr>
              <w:spacing w:line="460" w:lineRule="exact"/>
              <w:rPr>
                <w:rFonts w:hAnsi="宋体"/>
                <w:color w:val="auto"/>
                <w:szCs w:val="21"/>
                <w:highlight w:val="none"/>
              </w:rPr>
            </w:pPr>
          </w:p>
        </w:tc>
        <w:tc>
          <w:tcPr>
            <w:tcW w:w="1095" w:type="dxa"/>
          </w:tcPr>
          <w:p>
            <w:pPr>
              <w:spacing w:line="460" w:lineRule="exact"/>
              <w:rPr>
                <w:rFonts w:hAnsi="宋体"/>
                <w:color w:val="auto"/>
                <w:szCs w:val="21"/>
                <w:highlight w:val="none"/>
              </w:rPr>
            </w:pPr>
          </w:p>
        </w:tc>
        <w:tc>
          <w:tcPr>
            <w:tcW w:w="750" w:type="dxa"/>
          </w:tcPr>
          <w:p>
            <w:pPr>
              <w:spacing w:line="460" w:lineRule="exact"/>
              <w:rPr>
                <w:rFonts w:hAnsi="宋体"/>
                <w:color w:val="auto"/>
                <w:szCs w:val="21"/>
                <w:highlight w:val="none"/>
              </w:rPr>
            </w:pPr>
          </w:p>
        </w:tc>
        <w:tc>
          <w:tcPr>
            <w:tcW w:w="1473" w:type="dxa"/>
          </w:tcPr>
          <w:p>
            <w:pPr>
              <w:spacing w:line="460" w:lineRule="exact"/>
              <w:rPr>
                <w:rFonts w:hAnsi="宋体"/>
                <w:color w:val="auto"/>
                <w:szCs w:val="21"/>
                <w:highlight w:val="none"/>
              </w:rPr>
            </w:pPr>
          </w:p>
        </w:tc>
        <w:tc>
          <w:tcPr>
            <w:tcW w:w="1065" w:type="dxa"/>
          </w:tcPr>
          <w:p>
            <w:pPr>
              <w:spacing w:line="4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2" w:type="dxa"/>
            <w:gridSpan w:val="7"/>
          </w:tcPr>
          <w:p>
            <w:pPr>
              <w:spacing w:line="460" w:lineRule="exact"/>
              <w:rPr>
                <w:rFonts w:hAnsi="宋体"/>
                <w:color w:val="auto"/>
                <w:szCs w:val="21"/>
                <w:highlight w:val="none"/>
              </w:rPr>
            </w:pPr>
            <w:r>
              <w:rPr>
                <w:rFonts w:hint="eastAsia" w:hAnsi="宋体"/>
                <w:color w:val="auto"/>
                <w:szCs w:val="21"/>
                <w:highlight w:val="none"/>
              </w:rPr>
              <w:t>合同额：大写：                              小写：</w:t>
            </w:r>
          </w:p>
        </w:tc>
      </w:tr>
    </w:tbl>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2、标准和计量单位</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（1）本合同项下交付的货物应符合技术规格所述的标准。如在招标文件中无相应说明，则以国家颁布的最新版本标准或行业（部）标准或相应的国际标准执行，没有国家或行业（部）标准的则按企业标准执行。</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 除非技术规格中另有规定，计量单位均采用中华人民共和国法定计量单位。</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3、专利权</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四、交货</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1、包装要求</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（2）每一包装箱内必须附有装箱清单、合格证和齐全的技术资料等。</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（3）乙方应在每一包装箱的四侧用不褪色的油漆以醒目的中文字样标注“收货人”“货物名称”“小心轻放”、“防潮”、“此端朝上，请勿倒置”等字样和其他国际贸易中使用的适当标志。</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2、交货方式</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（1）现场交货：乙方负责办理运输和保险，将货物运抵甲方指定的现场并落地就位。有关运输和保险的一切费用由乙方承担。所有货物运抵现场的日期为交货日期。</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（2）在现场交货条件下，乙方在货物发运前</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天，将要发运货物的合同号、货物名称、规格、数量、包装箱件数、重量、包装箱尺寸（长×宽×高）和货物的卸车，贮存的特殊要求以及运输工具名称以及启运日期，以传真形式通知甲方。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（3）如因乙方延误将上述内容用传真形式通知甲方，由此引起的一切损失应由乙方承担。</w:t>
      </w:r>
    </w:p>
    <w:p>
      <w:pPr>
        <w:spacing w:line="46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3、交付日期：</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标段一：2018年12月1日之前完成验收。</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标段二：2018年12月1日之前完成验收</w:t>
      </w:r>
    </w:p>
    <w:p>
      <w:pPr>
        <w:spacing w:line="46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4、交货地点：</w:t>
      </w:r>
      <w:r>
        <w:rPr>
          <w:rFonts w:hint="eastAsia" w:ascii="新宋体" w:hAnsi="新宋体" w:eastAsia="新宋体"/>
          <w:color w:val="auto"/>
          <w:sz w:val="22"/>
          <w:szCs w:val="22"/>
          <w:highlight w:val="none"/>
        </w:rPr>
        <w:t>温州市公安局经济技术开发区分局</w:t>
      </w:r>
    </w:p>
    <w:p>
      <w:pPr>
        <w:spacing w:line="440" w:lineRule="exact"/>
        <w:ind w:firstLine="541" w:firstLineChars="245"/>
        <w:rPr>
          <w:rFonts w:ascii="新宋体" w:hAnsi="新宋体" w:eastAsia="新宋体"/>
          <w:b/>
          <w:color w:val="auto"/>
          <w:sz w:val="22"/>
          <w:highlight w:val="none"/>
        </w:rPr>
      </w:pPr>
      <w:bookmarkStart w:id="1" w:name="OLE_LINK6"/>
      <w:r>
        <w:rPr>
          <w:rFonts w:hint="eastAsia" w:ascii="新宋体" w:hAnsi="新宋体" w:eastAsia="新宋体"/>
          <w:b/>
          <w:color w:val="auto"/>
          <w:sz w:val="22"/>
          <w:highlight w:val="none"/>
        </w:rPr>
        <w:t>5、技术文件和资料</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（1）提供技术文件和资料的种类和数量在本招标文件《采购内容及要求》中规定，甲乙双方可根据采购要求和需要订立具体的技术文件和资料交付时间和数量。</w:t>
      </w:r>
    </w:p>
    <w:p>
      <w:pPr>
        <w:spacing w:line="440" w:lineRule="exact"/>
        <w:ind w:firstLine="539" w:firstLineChars="245"/>
        <w:rPr>
          <w:rFonts w:ascii="新宋体" w:hAnsi="新宋体" w:eastAsia="新宋体"/>
          <w:b/>
          <w:color w:val="auto"/>
          <w:sz w:val="22"/>
          <w:highlight w:val="none"/>
        </w:rPr>
      </w:pPr>
      <w:r>
        <w:rPr>
          <w:rFonts w:hint="eastAsia" w:ascii="新宋体" w:hAnsi="新宋体" w:eastAsia="新宋体"/>
          <w:color w:val="auto"/>
          <w:sz w:val="22"/>
          <w:highlight w:val="none"/>
        </w:rPr>
        <w:t>（2）如果甲方确认乙方提供的技术文件和资料不完整，或在运输途中丢失，乙方应在收到甲方通知后3天内将这些文件、资料补齐。</w:t>
      </w:r>
      <w:bookmarkEnd w:id="1"/>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五、付款方式与结算</w:t>
      </w:r>
    </w:p>
    <w:p>
      <w:pPr>
        <w:spacing w:line="460" w:lineRule="exact"/>
        <w:ind w:firstLine="539" w:firstLineChars="245"/>
        <w:rPr>
          <w:rFonts w:ascii="新宋体" w:hAnsi="新宋体" w:eastAsia="新宋体"/>
          <w:b/>
          <w:color w:val="auto"/>
          <w:sz w:val="22"/>
          <w:highlight w:val="none"/>
        </w:rPr>
      </w:pPr>
      <w:r>
        <w:rPr>
          <w:rFonts w:hint="eastAsia" w:ascii="新宋体" w:hAnsi="新宋体" w:eastAsia="新宋体"/>
          <w:color w:val="auto"/>
          <w:sz w:val="22"/>
          <w:szCs w:val="22"/>
          <w:highlight w:val="none"/>
        </w:rPr>
        <w:t>乙方在收到中标通知书后，签订合同前须向甲方提交合同总价10%的履约保证金，如乙方未按规定提交履约保证金则甲方有权拒签合同。签订合同后甲方向乙方支付合同总额的20%（乙方必需开具正式税务发票）预付款；完成设备的安装、调试后、验收合格后30个工作日内，甲方向乙方支付合同总额的50%；剩余30%作为3年的项目运维保证金（每年10%），每年实际支付金额以项目运维考核结算为准，3年后，原履约保证金自动转为质量保证金，5年质保期满后根据考核结算结果，余额无息退还。</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六、质量要求</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pPr>
        <w:spacing w:line="440" w:lineRule="exact"/>
        <w:ind w:firstLine="541" w:firstLineChars="245"/>
        <w:rPr>
          <w:rFonts w:ascii="宋体" w:hAnsi="宋体"/>
          <w:color w:val="auto"/>
          <w:kern w:val="0"/>
          <w:sz w:val="22"/>
          <w:szCs w:val="22"/>
          <w:highlight w:val="none"/>
        </w:rPr>
      </w:pPr>
      <w:r>
        <w:rPr>
          <w:rFonts w:hint="eastAsia" w:ascii="新宋体" w:hAnsi="新宋体" w:eastAsia="新宋体"/>
          <w:b/>
          <w:color w:val="auto"/>
          <w:sz w:val="22"/>
          <w:highlight w:val="none"/>
        </w:rPr>
        <w:t>3、</w:t>
      </w:r>
      <w:r>
        <w:rPr>
          <w:rFonts w:hint="eastAsia" w:ascii="新宋体" w:hAnsi="新宋体" w:eastAsia="新宋体"/>
          <w:color w:val="auto"/>
          <w:sz w:val="22"/>
          <w:szCs w:val="22"/>
          <w:highlight w:val="none"/>
        </w:rPr>
        <w:t>本合同项下货物质量保证期为向甲方移交，通过最终验收之日起质保伍年（60个月）（设备另有超过质保期规定的按原规定执行），在保修期内所产生的相关费用由乙方承担，合同内的所有产品要求乙方提供上门服务（招标文件另有规定按就高原则）。</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七、验收</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olor w:val="auto"/>
          <w:sz w:val="22"/>
          <w:szCs w:val="22"/>
          <w:highlight w:val="none"/>
        </w:rPr>
        <w:t>验收应在</w:t>
      </w:r>
      <w:r>
        <w:rPr>
          <w:rFonts w:hint="eastAsia" w:ascii="新宋体" w:hAnsi="新宋体" w:eastAsia="新宋体"/>
          <w:color w:val="auto"/>
          <w:sz w:val="22"/>
          <w:szCs w:val="22"/>
          <w:highlight w:val="none"/>
          <w:u w:val="single"/>
        </w:rPr>
        <w:t>甲方、乙方及项目监理三方</w:t>
      </w:r>
      <w:r>
        <w:rPr>
          <w:rFonts w:hint="eastAsia" w:ascii="新宋体" w:hAnsi="新宋体" w:eastAsia="新宋体"/>
          <w:color w:val="auto"/>
          <w:sz w:val="22"/>
          <w:szCs w:val="22"/>
          <w:highlight w:val="none"/>
        </w:rPr>
        <w:t>共同参加下进行。</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olor w:val="auto"/>
          <w:sz w:val="22"/>
          <w:szCs w:val="22"/>
          <w:highlight w:val="none"/>
        </w:rPr>
        <w:t>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olor w:val="auto"/>
          <w:sz w:val="22"/>
          <w:szCs w:val="22"/>
          <w:highlight w:val="none"/>
        </w:rPr>
        <w:t>3、如果合同货物运输过程中因事故造成货物短缺、损坏，乙方应及时安排换货，以保证合同货物成功完整交付。换货的相关费用由乙方承担。</w:t>
      </w:r>
      <w:r>
        <w:rPr>
          <w:rFonts w:hint="eastAsia" w:ascii="新宋体" w:hAnsi="新宋体" w:eastAsia="新宋体" w:cs="新宋体"/>
          <w:b/>
          <w:color w:val="auto"/>
          <w:sz w:val="22"/>
          <w:szCs w:val="22"/>
          <w:highlight w:val="none"/>
        </w:rPr>
        <w:t> </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八、双方责任</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（1）按合同规定向乙方支付货款。</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（2）组织对货物的验收。</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2、乙方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（1）按合同要求提供货物和服务。</w:t>
      </w:r>
    </w:p>
    <w:p>
      <w:pPr>
        <w:spacing w:line="44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olor w:val="auto"/>
          <w:sz w:val="22"/>
          <w:highlight w:val="none"/>
        </w:rPr>
        <w:t>（2）对所提供的货物和服务质量问题无条件负责处理。</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九、乙方履约延误</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1、乙方应按照合同规定的时间交货和提供服务。</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3、除了合同条款中不可抗力的情况外，除非延误是取得同意而不收取赔偿费，乙方延误交货或提供服务将按合同条款12条规定被收取误期赔偿费。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4、所有提供的货物及验收都应服从甲方的统一安排。</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十、误期赔偿费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除不可抗力外，如果乙方没有按照合同规定的时间交货和提供服务，甲方应在不影响合同项下的其他补救措施的情况下，从合同价款中扣除误期赔偿费。</w:t>
      </w:r>
      <w:r>
        <w:rPr>
          <w:rFonts w:hint="eastAsia" w:ascii="新宋体" w:hAnsi="新宋体" w:eastAsia="新宋体"/>
          <w:b/>
          <w:color w:val="auto"/>
          <w:sz w:val="22"/>
          <w:highlight w:val="none"/>
        </w:rPr>
        <w:t>每延误一天的赔偿费按迟交货物交货价或未提供服务的服务费用的百分之零点五（0.5%</w:t>
      </w:r>
      <w:r>
        <w:rPr>
          <w:rFonts w:ascii="新宋体" w:hAnsi="新宋体" w:eastAsia="新宋体"/>
          <w:b/>
          <w:color w:val="auto"/>
          <w:sz w:val="22"/>
          <w:highlight w:val="none"/>
        </w:rPr>
        <w:t>）</w:t>
      </w:r>
      <w:r>
        <w:rPr>
          <w:rFonts w:hint="eastAsia" w:ascii="新宋体" w:hAnsi="新宋体" w:eastAsia="新宋体"/>
          <w:b/>
          <w:color w:val="auto"/>
          <w:sz w:val="22"/>
          <w:highlight w:val="none"/>
        </w:rPr>
        <w:t>计收，直至交货或提供服务为止。误期赔偿费最高限额为合同价的百分之二十（20%）。一旦延到误期赔偿费的最高限额，甲方可考虑终止合同。</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十一、不可抗力</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十二、税费</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1、根据国家现行税法对甲方征收的与本合同有关的一切费用由甲方承担。</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2、根据现行税法对乙方征收的与本合同有关的一切税费均由乙方承担。</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3、在中国境外发生的与本合同执行有关的一切税费由乙方承担。</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十三、违约终止合同</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1、甲方在乙方违约的情况下，如果发生下列情况之一，可考虑终止部分或全部合同：</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（1）乙方未能在合同规定的期限内或甲方同意延长的期限内提供全部或部分货物；</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十四、履约保证金的罚没</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1、如乙方未能履行合同规定的任何义务，甲方有权从履约保证金中得到补偿。</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2、如果乙方毫无理由地拖延交货或拒绝履行合同规定的任何义务，履约保证金将被没收，并加收违约赔偿金。</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3、乙方提供的货物须和投标文件中所承诺的货物规格、数量、型号等相符（合同中另有规定除外）如不符，除追究乙方责任外，其履约保证金将被没收。</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十五、争端的解决</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1、合同实施或与合同有关的一切争端，甲乙双方应通过友好协商解决，如果协商仍得不到解决，任何一方可向履行合同所在地或合同签约地的仲裁机构申请调解或仲裁。</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2、仲裁裁决应为最终裁决，对双方均有约束力。</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3、仲裁费用除仲裁机构另有裁决外应由败诉方承担。</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4、在仲裁期间，除正在执行仲裁的部分外，本合同的其他部分应继续执行。</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十六、转让和分包及货物不可替代</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1、未经甲方事先书面同意，乙方不得部分转让或全部转让和分包其履行合同的义务。</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2、货物不可替代，乙方在没有取得甲方的书面授权的情况下，不得将合同货物的生产制造转交其他生产厂商或以其他厂商的货物替代。</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十七、适用法律</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本合同按照中华人民共和国的法律进行解释。</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十八、合同生效及其他</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1、合同应在双方签字盖章并在甲方收到乙方提供的履约保证金后开始生效。</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2、如需修改或补充合同内容，经协商，双方应签署书面修改或补充协议，该协议将作为本合同的一个组成部分。</w:t>
      </w:r>
    </w:p>
    <w:p>
      <w:pPr>
        <w:spacing w:line="44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 xml:space="preserve">3、 </w:t>
      </w:r>
      <w:r>
        <w:rPr>
          <w:rFonts w:hint="eastAsia" w:ascii="新宋体" w:hAnsi="新宋体" w:eastAsia="新宋体"/>
          <w:b/>
          <w:bCs/>
          <w:color w:val="auto"/>
          <w:sz w:val="22"/>
          <w:highlight w:val="none"/>
        </w:rPr>
        <w:t>合同壹式伍份，双方各贰份，壹份送招标代理公司备案</w:t>
      </w:r>
    </w:p>
    <w:p>
      <w:pPr>
        <w:tabs>
          <w:tab w:val="left" w:pos="360"/>
        </w:tabs>
        <w:spacing w:line="460" w:lineRule="exact"/>
        <w:ind w:firstLine="550" w:firstLineChars="250"/>
        <w:rPr>
          <w:rFonts w:ascii="新宋体" w:hAnsi="新宋体" w:eastAsia="新宋体" w:cs="新宋体"/>
          <w:color w:val="auto"/>
          <w:sz w:val="22"/>
          <w:szCs w:val="22"/>
          <w:highlight w:val="none"/>
        </w:rPr>
      </w:pP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tabs>
          <w:tab w:val="left" w:pos="360"/>
        </w:tabs>
        <w:spacing w:line="460" w:lineRule="exact"/>
        <w:ind w:firstLine="550" w:firstLineChars="250"/>
        <w:rPr>
          <w:rFonts w:ascii="新宋体" w:hAnsi="新宋体" w:eastAsia="新宋体"/>
          <w:bCs/>
          <w:color w:val="auto"/>
          <w:sz w:val="22"/>
          <w:szCs w:val="22"/>
          <w:highlight w:val="none"/>
          <w:lang w:val="en-GB"/>
        </w:rPr>
      </w:pPr>
      <w:r>
        <w:rPr>
          <w:rFonts w:hint="eastAsia" w:ascii="新宋体" w:hAnsi="新宋体" w:eastAsia="新宋体" w:cs="新宋体"/>
          <w:color w:val="auto"/>
          <w:sz w:val="22"/>
          <w:szCs w:val="22"/>
          <w:highlight w:val="none"/>
        </w:rPr>
        <w:t>时间:                                时间</w:t>
      </w:r>
      <w:r>
        <w:rPr>
          <w:rFonts w:hint="eastAsia" w:ascii="新宋体" w:hAnsi="新宋体" w:eastAsia="新宋体"/>
          <w:bCs/>
          <w:color w:val="auto"/>
          <w:sz w:val="22"/>
          <w:szCs w:val="22"/>
          <w:highlight w:val="none"/>
          <w:lang w:val="en-GB"/>
        </w:rPr>
        <w:t>：</w:t>
      </w:r>
    </w:p>
    <w:p>
      <w:pPr>
        <w:spacing w:line="460" w:lineRule="atLeast"/>
        <w:rPr>
          <w:rFonts w:ascii="宋体"/>
          <w:b/>
          <w:color w:val="auto"/>
          <w:sz w:val="22"/>
          <w:szCs w:val="22"/>
          <w:highlight w:val="none"/>
        </w:rPr>
      </w:pPr>
    </w:p>
    <w:p>
      <w:pPr>
        <w:autoSpaceDE w:val="0"/>
        <w:autoSpaceDN w:val="0"/>
        <w:adjustRightInd w:val="0"/>
        <w:snapToGrid w:val="0"/>
        <w:spacing w:line="460" w:lineRule="exact"/>
        <w:ind w:firstLine="519" w:firstLineChars="236"/>
        <w:rPr>
          <w:rFonts w:ascii="新宋体" w:hAnsi="新宋体" w:eastAsia="新宋体" w:cs="新宋体"/>
          <w:color w:val="auto"/>
          <w:sz w:val="22"/>
          <w:szCs w:val="22"/>
          <w:highlight w:val="none"/>
        </w:rPr>
      </w:pPr>
    </w:p>
    <w:p>
      <w:pPr>
        <w:autoSpaceDE w:val="0"/>
        <w:autoSpaceDN w:val="0"/>
        <w:adjustRightInd w:val="0"/>
        <w:snapToGrid w:val="0"/>
        <w:spacing w:line="460" w:lineRule="exact"/>
        <w:ind w:firstLine="519" w:firstLineChars="236"/>
        <w:rPr>
          <w:rFonts w:ascii="新宋体" w:hAnsi="新宋体" w:eastAsia="新宋体" w:cs="新宋体"/>
          <w:color w:val="auto"/>
          <w:sz w:val="22"/>
          <w:szCs w:val="22"/>
          <w:highlight w:val="none"/>
        </w:rPr>
      </w:pPr>
    </w:p>
    <w:p>
      <w:pPr>
        <w:keepNext/>
        <w:keepLines/>
        <w:spacing w:before="260" w:after="260" w:line="413" w:lineRule="auto"/>
        <w:jc w:val="center"/>
        <w:rPr>
          <w:b/>
          <w:bCs/>
          <w:color w:val="auto"/>
          <w:sz w:val="28"/>
          <w:szCs w:val="28"/>
          <w:highlight w:val="none"/>
        </w:rPr>
      </w:pPr>
      <w:r>
        <w:rPr>
          <w:rFonts w:hint="eastAsia"/>
          <w:b/>
          <w:bCs/>
          <w:color w:val="auto"/>
          <w:sz w:val="28"/>
          <w:szCs w:val="28"/>
          <w:highlight w:val="none"/>
        </w:rPr>
        <w:t>政府</w:t>
      </w:r>
      <w:r>
        <w:rPr>
          <w:b/>
          <w:bCs/>
          <w:color w:val="auto"/>
          <w:sz w:val="28"/>
          <w:szCs w:val="28"/>
          <w:highlight w:val="none"/>
        </w:rPr>
        <w:t>采购项目验收书</w:t>
      </w:r>
    </w:p>
    <w:tbl>
      <w:tblPr>
        <w:tblStyle w:val="6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招 标 人</w:t>
            </w:r>
          </w:p>
        </w:tc>
        <w:tc>
          <w:tcPr>
            <w:tcW w:w="4358"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312" w:type="dxa"/>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项目编号</w:t>
            </w:r>
          </w:p>
        </w:tc>
        <w:tc>
          <w:tcPr>
            <w:tcW w:w="2461" w:type="dxa"/>
            <w:gridSpan w:val="2"/>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项目名称</w:t>
            </w:r>
          </w:p>
        </w:tc>
        <w:tc>
          <w:tcPr>
            <w:tcW w:w="8131" w:type="dxa"/>
            <w:gridSpan w:val="5"/>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验收内容</w:t>
            </w:r>
          </w:p>
        </w:tc>
        <w:tc>
          <w:tcPr>
            <w:tcW w:w="1915" w:type="dxa"/>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合同约定</w:t>
            </w: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执行情况</w:t>
            </w:r>
          </w:p>
        </w:tc>
        <w:tc>
          <w:tcPr>
            <w:tcW w:w="902" w:type="dxa"/>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jc w:val="center"/>
              <w:rPr>
                <w:rFonts w:ascii="新宋体" w:hAnsi="新宋体" w:eastAsia="新宋体" w:cs="新宋体"/>
                <w:color w:val="auto"/>
                <w:sz w:val="24"/>
                <w:highlight w:val="none"/>
              </w:rPr>
            </w:pPr>
          </w:p>
        </w:tc>
        <w:tc>
          <w:tcPr>
            <w:tcW w:w="3010"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1915" w:type="dxa"/>
            <w:vAlign w:val="center"/>
          </w:tcPr>
          <w:p>
            <w:pPr>
              <w:snapToGrid w:val="0"/>
              <w:spacing w:beforeLines="50" w:afterLines="50"/>
              <w:jc w:val="center"/>
              <w:rPr>
                <w:rFonts w:ascii="新宋体" w:hAnsi="新宋体" w:eastAsia="新宋体" w:cs="新宋体"/>
                <w:color w:val="auto"/>
                <w:sz w:val="24"/>
                <w:highlight w:val="none"/>
              </w:rPr>
            </w:pPr>
          </w:p>
        </w:tc>
        <w:tc>
          <w:tcPr>
            <w:tcW w:w="2871" w:type="dxa"/>
            <w:gridSpan w:val="2"/>
            <w:vAlign w:val="center"/>
          </w:tcPr>
          <w:p>
            <w:pPr>
              <w:snapToGrid w:val="0"/>
              <w:spacing w:beforeLines="50" w:afterLines="50"/>
              <w:jc w:val="center"/>
              <w:rPr>
                <w:rFonts w:ascii="新宋体" w:hAnsi="新宋体" w:eastAsia="新宋体" w:cs="新宋体"/>
                <w:color w:val="auto"/>
                <w:sz w:val="24"/>
                <w:highlight w:val="none"/>
              </w:rPr>
            </w:pPr>
          </w:p>
        </w:tc>
        <w:tc>
          <w:tcPr>
            <w:tcW w:w="902" w:type="dxa"/>
            <w:vAlign w:val="center"/>
          </w:tcPr>
          <w:p>
            <w:pPr>
              <w:snapToGrid w:val="0"/>
              <w:spacing w:beforeLines="50" w:afterLines="50"/>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5" w:type="dxa"/>
            <w:gridSpan w:val="7"/>
            <w:vAlign w:val="center"/>
          </w:tcPr>
          <w:p>
            <w:pPr>
              <w:snapToGrid w:val="0"/>
              <w:spacing w:beforeLines="50" w:afterLines="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验收成员签字：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招 标 人</w:t>
            </w:r>
          </w:p>
        </w:tc>
        <w:tc>
          <w:tcPr>
            <w:tcW w:w="8131" w:type="dxa"/>
            <w:gridSpan w:val="5"/>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 标 人</w:t>
            </w:r>
          </w:p>
        </w:tc>
        <w:tc>
          <w:tcPr>
            <w:tcW w:w="8131" w:type="dxa"/>
            <w:gridSpan w:val="5"/>
            <w:vAlign w:val="center"/>
          </w:tcPr>
          <w:p>
            <w:pPr>
              <w:snapToGrid w:val="0"/>
              <w:spacing w:beforeLines="50" w:afterLines="5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盖章</w:t>
            </w:r>
          </w:p>
        </w:tc>
      </w:tr>
    </w:tbl>
    <w:p>
      <w:pPr>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注：1、招标人按照合同规定的技术、服务、安全标准，组织对供应商履约情况进行验收，并出具验收书。验收书应当包括每一项技术、服务、安全标准履约情况。</w:t>
      </w:r>
    </w:p>
    <w:p>
      <w:pPr>
        <w:numPr>
          <w:ilvl w:val="0"/>
          <w:numId w:val="3"/>
        </w:numPr>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政府向社会公众提供的公共服务项目，验收时应当邀请服务对象参与并出具意见，验收结果应当向社会公告。</w:t>
      </w:r>
    </w:p>
    <w:p>
      <w:pPr>
        <w:spacing w:line="460" w:lineRule="exact"/>
        <w:rPr>
          <w:rFonts w:ascii="新宋体" w:hAnsi="新宋体" w:eastAsia="新宋体" w:cs="新宋体"/>
          <w:color w:val="auto"/>
          <w:sz w:val="22"/>
          <w:szCs w:val="22"/>
          <w:highlight w:val="none"/>
        </w:rPr>
      </w:pPr>
    </w:p>
    <w:p>
      <w:pPr>
        <w:spacing w:line="460" w:lineRule="exact"/>
        <w:rPr>
          <w:rFonts w:ascii="新宋体" w:hAnsi="新宋体" w:eastAsia="新宋体" w:cs="新宋体"/>
          <w:color w:val="auto"/>
          <w:sz w:val="22"/>
          <w:szCs w:val="22"/>
          <w:highlight w:val="none"/>
        </w:rPr>
      </w:pPr>
    </w:p>
    <w:p>
      <w:pPr>
        <w:spacing w:line="460" w:lineRule="exact"/>
        <w:ind w:firstLine="539" w:firstLineChars="245"/>
        <w:rPr>
          <w:rFonts w:ascii="新宋体" w:hAnsi="新宋体" w:eastAsia="新宋体" w:cs="新宋体"/>
          <w:bCs/>
          <w:color w:val="auto"/>
          <w:sz w:val="22"/>
          <w:szCs w:val="22"/>
          <w:highlight w:val="none"/>
        </w:rPr>
      </w:pPr>
    </w:p>
    <w:p>
      <w:pPr>
        <w:spacing w:line="460" w:lineRule="exact"/>
        <w:ind w:firstLine="539" w:firstLineChars="245"/>
        <w:rPr>
          <w:rFonts w:ascii="新宋体" w:hAnsi="新宋体" w:eastAsia="新宋体" w:cs="新宋体"/>
          <w:bCs/>
          <w:color w:val="auto"/>
          <w:sz w:val="22"/>
          <w:szCs w:val="22"/>
          <w:highlight w:val="none"/>
        </w:rPr>
      </w:pPr>
    </w:p>
    <w:p>
      <w:pPr>
        <w:spacing w:line="500" w:lineRule="exact"/>
        <w:jc w:val="center"/>
        <w:outlineLvl w:val="0"/>
        <w:rPr>
          <w:rFonts w:ascii="新宋体" w:hAnsi="新宋体" w:eastAsia="新宋体"/>
          <w:b/>
          <w:bCs/>
          <w:color w:val="auto"/>
          <w:sz w:val="32"/>
          <w:szCs w:val="32"/>
          <w:highlight w:val="none"/>
        </w:rPr>
      </w:pPr>
      <w:r>
        <w:rPr>
          <w:rFonts w:hint="eastAsia" w:ascii="新宋体" w:hAnsi="新宋体" w:eastAsia="新宋体"/>
          <w:b/>
          <w:bCs/>
          <w:color w:val="auto"/>
          <w:sz w:val="32"/>
          <w:szCs w:val="32"/>
          <w:highlight w:val="none"/>
        </w:rPr>
        <w:t>第三部分    合同格式</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温州市公安局经济技术开发区分局采购的</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（项目编号、项目名称、标段）在国内公开招标，经评标委员会决标</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为中标人。双方同意按照下面条款和条件，签署本合同。</w:t>
      </w:r>
    </w:p>
    <w:p>
      <w:pPr>
        <w:spacing w:line="45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1、合同文件</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下列文件构成本合同的组成部分：</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(1) 合同主要条款                </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 中标通知书</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(3) 投标分项报价表               </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(4) 偏离表           </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 招标内容及要求</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(6) 合同补充条款或说明（如有的话）     </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(7) 承诺书      （含询标记录和优惠条件）       </w:t>
      </w:r>
    </w:p>
    <w:p>
      <w:pPr>
        <w:spacing w:line="45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2、合同范围和条件</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本合同范围和条件应与上述合同文件规定的内容相一致。</w:t>
      </w:r>
    </w:p>
    <w:p>
      <w:pPr>
        <w:tabs>
          <w:tab w:val="left" w:pos="360"/>
        </w:tabs>
        <w:spacing w:line="450" w:lineRule="exact"/>
        <w:ind w:firstLine="552" w:firstLineChars="2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3、货物和数量</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本合同提供的货物及数量（详见招标内容及要求）。</w:t>
      </w:r>
    </w:p>
    <w:p>
      <w:pPr>
        <w:spacing w:line="45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4、合同总价</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本合同总价为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，（分项价格详见投标分项报价表）。</w:t>
      </w:r>
    </w:p>
    <w:p>
      <w:pPr>
        <w:spacing w:line="45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5、付款方式</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本合同的付款方式在合同主要条款中已规定。</w:t>
      </w:r>
    </w:p>
    <w:p>
      <w:pPr>
        <w:spacing w:line="45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6、交货时间及地点。</w:t>
      </w:r>
    </w:p>
    <w:p>
      <w:pPr>
        <w:spacing w:line="45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rPr>
        <w:t>7、合同生效</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本合同经双方授权代表签署，双方加盖印章后生效。</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甲方：（印章）                        乙方：（印章）</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全权代表:（签字）                    全权代表:（签字）</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                               地址：</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                               电话：</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                               传真：</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开户银行：                           开户银行：</w:t>
      </w:r>
    </w:p>
    <w:p>
      <w:pPr>
        <w:spacing w:line="45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帐号：                               帐号：</w:t>
      </w:r>
    </w:p>
    <w:p>
      <w:pPr>
        <w:tabs>
          <w:tab w:val="left" w:pos="360"/>
        </w:tabs>
        <w:spacing w:line="460" w:lineRule="exact"/>
        <w:ind w:firstLine="550" w:firstLineChars="250"/>
        <w:rPr>
          <w:rFonts w:ascii="新宋体" w:hAnsi="新宋体" w:eastAsia="新宋体"/>
          <w:bCs/>
          <w:color w:val="auto"/>
          <w:sz w:val="22"/>
          <w:szCs w:val="22"/>
          <w:highlight w:val="none"/>
          <w:lang w:val="en-GB"/>
        </w:rPr>
      </w:pPr>
      <w:r>
        <w:rPr>
          <w:rFonts w:hint="eastAsia" w:ascii="新宋体" w:hAnsi="新宋体" w:eastAsia="新宋体"/>
          <w:color w:val="auto"/>
          <w:sz w:val="22"/>
          <w:szCs w:val="22"/>
          <w:highlight w:val="none"/>
        </w:rPr>
        <w:t>日期：                               日期</w:t>
      </w:r>
      <w:r>
        <w:rPr>
          <w:rFonts w:hint="eastAsia" w:ascii="新宋体" w:hAnsi="新宋体" w:eastAsia="新宋体"/>
          <w:bCs/>
          <w:color w:val="auto"/>
          <w:sz w:val="22"/>
          <w:szCs w:val="22"/>
          <w:highlight w:val="none"/>
          <w:lang w:val="en-GB"/>
        </w:rPr>
        <w:t>：</w:t>
      </w:r>
    </w:p>
    <w:p>
      <w:pPr>
        <w:pStyle w:val="24"/>
        <w:spacing w:line="460" w:lineRule="exact"/>
        <w:ind w:left="433" w:leftChars="206" w:firstLine="0" w:firstLineChars="0"/>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第四部分    附件</w:t>
      </w:r>
    </w:p>
    <w:p>
      <w:pPr>
        <w:spacing w:line="460" w:lineRule="exact"/>
        <w:ind w:firstLine="539" w:firstLineChars="245"/>
        <w:rPr>
          <w:rFonts w:ascii="新宋体" w:hAnsi="新宋体" w:eastAsia="新宋体"/>
          <w:color w:val="auto"/>
          <w:sz w:val="22"/>
          <w:szCs w:val="22"/>
          <w:highlight w:val="none"/>
        </w:rPr>
      </w:pPr>
    </w:p>
    <w:p>
      <w:pPr>
        <w:pStyle w:val="24"/>
        <w:spacing w:line="460" w:lineRule="exact"/>
        <w:ind w:left="433" w:hanging="433" w:hangingChars="196"/>
        <w:outlineLvl w:val="1"/>
        <w:rPr>
          <w:rFonts w:ascii="新宋体" w:hAnsi="新宋体" w:eastAsia="新宋体"/>
          <w:b/>
          <w:color w:val="auto"/>
          <w:sz w:val="22"/>
          <w:highlight w:val="none"/>
        </w:rPr>
      </w:pPr>
      <w:r>
        <w:rPr>
          <w:rFonts w:hint="eastAsia" w:ascii="新宋体" w:hAnsi="新宋体" w:eastAsia="新宋体"/>
          <w:b/>
          <w:color w:val="auto"/>
          <w:sz w:val="22"/>
          <w:highlight w:val="none"/>
        </w:rPr>
        <w:t>附件一</w:t>
      </w:r>
    </w:p>
    <w:p>
      <w:pPr>
        <w:spacing w:line="400" w:lineRule="exact"/>
        <w:jc w:val="center"/>
        <w:outlineLvl w:val="2"/>
        <w:rPr>
          <w:rFonts w:ascii="新宋体" w:hAnsi="新宋体" w:eastAsia="新宋体"/>
          <w:b/>
          <w:bCs/>
          <w:color w:val="auto"/>
          <w:sz w:val="28"/>
          <w:szCs w:val="28"/>
          <w:highlight w:val="none"/>
          <w:lang w:val="zh-CN"/>
        </w:rPr>
      </w:pPr>
      <w:r>
        <w:rPr>
          <w:rFonts w:hint="eastAsia" w:ascii="新宋体" w:hAnsi="新宋体" w:eastAsia="新宋体"/>
          <w:b/>
          <w:bCs/>
          <w:color w:val="auto"/>
          <w:sz w:val="28"/>
          <w:szCs w:val="28"/>
          <w:highlight w:val="none"/>
          <w:lang w:val="zh-CN"/>
        </w:rPr>
        <w:t>投标函</w:t>
      </w: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致：温州市公安局经济技术开发区分局</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项目（招标编号：</w:t>
      </w:r>
      <w:r>
        <w:rPr>
          <w:rFonts w:hint="eastAsia" w:ascii="新宋体" w:hAnsi="新宋体" w:eastAsia="新宋体"/>
          <w:b/>
          <w:color w:val="auto"/>
          <w:sz w:val="22"/>
          <w:szCs w:val="22"/>
          <w:highlight w:val="none"/>
          <w:u w:val="single"/>
        </w:rPr>
        <w:t xml:space="preserve">        </w:t>
      </w:r>
      <w:r>
        <w:rPr>
          <w:rFonts w:hint="eastAsia" w:ascii="新宋体" w:hAnsi="新宋体" w:eastAsia="新宋体"/>
          <w:b/>
          <w:color w:val="auto"/>
          <w:sz w:val="22"/>
          <w:szCs w:val="22"/>
          <w:highlight w:val="none"/>
        </w:rPr>
        <w:t xml:space="preserve"> </w:t>
      </w:r>
      <w:r>
        <w:rPr>
          <w:rFonts w:hint="eastAsia" w:ascii="新宋体" w:hAnsi="新宋体" w:eastAsia="新宋体"/>
          <w:color w:val="auto"/>
          <w:sz w:val="22"/>
          <w:szCs w:val="22"/>
          <w:highlight w:val="none"/>
        </w:rPr>
        <w:t>）（标段</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（投标人名称）作为投标人正式授权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（授权代表全名，职务）代表我方处理有关本投标的一切事宜。</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在此提交的投标文件中，包括如下内容，并已分别单独密封装袋：</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（—）按“投标人须知”要求编制的投标文件技术标【正本一份，副本七份】；</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（二）按“投标人须知”要求编制的投标文件商务标【正本一份，副本七份】</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我方己完全明白招标文件的所有条款要求，并重申以下几点：</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（一）本投标文件的有效期自投标截止日起</w:t>
      </w:r>
      <w:r>
        <w:rPr>
          <w:rFonts w:hint="eastAsia" w:ascii="新宋体" w:hAnsi="新宋体" w:eastAsia="新宋体"/>
          <w:b/>
          <w:color w:val="auto"/>
          <w:sz w:val="22"/>
          <w:szCs w:val="22"/>
          <w:highlight w:val="none"/>
        </w:rPr>
        <w:t>120天内</w:t>
      </w:r>
      <w:r>
        <w:rPr>
          <w:rFonts w:hint="eastAsia" w:ascii="新宋体" w:hAnsi="新宋体" w:eastAsia="新宋体"/>
          <w:color w:val="auto"/>
          <w:sz w:val="22"/>
          <w:szCs w:val="22"/>
          <w:highlight w:val="none"/>
        </w:rPr>
        <w:t>有效，如中标，有效期将延至合同终止日为止；</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（三）我方明白并愿意在规定的开标时间之后，投标人在投标有效期内撤回投标，其投标保证金将被贵方没收；</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（四）我方同意提供按照贵方可能要求的与投标有关的一切数据或资料；</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（五）我方理解贵方不一定接受最低报价。</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（六）我方如果中标，将保证履行招标文件以及招标文件修改书（如有）中的全部责任和义务，按质、按量、按期完成《合同书》中的全部任务。</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（七）所有与本投标有关的函件请发往下列地址：</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w:t>
      </w:r>
      <w:r>
        <w:rPr>
          <w:rFonts w:hint="eastAsia" w:ascii="新宋体" w:hAnsi="新宋体" w:eastAsia="新宋体"/>
          <w:color w:val="auto"/>
          <w:sz w:val="22"/>
          <w:szCs w:val="22"/>
          <w:highlight w:val="none"/>
          <w:u w:val="single"/>
        </w:rPr>
        <w:t xml:space="preserve">                           </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r>
        <w:rPr>
          <w:rFonts w:hint="eastAsia" w:ascii="新宋体" w:hAnsi="新宋体" w:eastAsia="新宋体"/>
          <w:color w:val="auto"/>
          <w:sz w:val="22"/>
          <w:szCs w:val="22"/>
          <w:highlight w:val="none"/>
          <w:u w:val="single"/>
        </w:rPr>
        <w:t xml:space="preserve">                           </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r>
        <w:rPr>
          <w:rFonts w:hint="eastAsia" w:ascii="新宋体" w:hAnsi="新宋体" w:eastAsia="新宋体"/>
          <w:color w:val="auto"/>
          <w:sz w:val="22"/>
          <w:szCs w:val="22"/>
          <w:highlight w:val="none"/>
          <w:u w:val="single"/>
        </w:rPr>
        <w:t xml:space="preserve">                           </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电子邮件</w:t>
      </w:r>
      <w:r>
        <w:rPr>
          <w:rFonts w:hint="eastAsia" w:ascii="新宋体" w:hAnsi="新宋体" w:eastAsia="新宋体"/>
          <w:color w:val="auto"/>
          <w:sz w:val="22"/>
          <w:szCs w:val="22"/>
          <w:highlight w:val="none"/>
          <w:u w:val="single"/>
        </w:rPr>
        <w:t xml:space="preserve">                       </w:t>
      </w:r>
    </w:p>
    <w:p>
      <w:pPr>
        <w:spacing w:line="420" w:lineRule="exact"/>
        <w:ind w:firstLine="435"/>
        <w:rPr>
          <w:rFonts w:ascii="新宋体" w:hAnsi="新宋体" w:eastAsia="新宋体"/>
          <w:color w:val="auto"/>
          <w:sz w:val="22"/>
          <w:szCs w:val="22"/>
          <w:highlight w:val="none"/>
        </w:rPr>
      </w:pPr>
    </w:p>
    <w:p>
      <w:pPr>
        <w:spacing w:line="420" w:lineRule="exact"/>
        <w:ind w:firstLine="4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投标人名称（公章）</w:t>
      </w:r>
      <w:r>
        <w:rPr>
          <w:rFonts w:hint="eastAsia" w:ascii="新宋体" w:hAnsi="新宋体" w:eastAsia="新宋体"/>
          <w:color w:val="auto"/>
          <w:sz w:val="22"/>
          <w:szCs w:val="22"/>
          <w:highlight w:val="none"/>
          <w:u w:val="single"/>
        </w:rPr>
        <w:t xml:space="preserve">                </w:t>
      </w:r>
    </w:p>
    <w:p>
      <w:pPr>
        <w:spacing w:line="420" w:lineRule="exact"/>
        <w:ind w:firstLine="43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w:t>
      </w:r>
      <w:r>
        <w:rPr>
          <w:rFonts w:hint="eastAsia" w:ascii="新宋体" w:hAnsi="新宋体" w:eastAsia="新宋体"/>
          <w:color w:val="auto"/>
          <w:sz w:val="22"/>
          <w:szCs w:val="22"/>
          <w:highlight w:val="none"/>
          <w:u w:val="single"/>
        </w:rPr>
        <w:t xml:space="preserve">                        </w:t>
      </w:r>
    </w:p>
    <w:p>
      <w:pPr>
        <w:spacing w:line="460" w:lineRule="exact"/>
        <w:ind w:firstLine="437"/>
        <w:jc w:val="lef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                                   日  期</w:t>
      </w:r>
      <w:r>
        <w:rPr>
          <w:rFonts w:hint="eastAsia" w:ascii="新宋体" w:hAnsi="新宋体" w:eastAsia="新宋体"/>
          <w:color w:val="auto"/>
          <w:sz w:val="22"/>
          <w:szCs w:val="22"/>
          <w:highlight w:val="none"/>
          <w:u w:val="single"/>
        </w:rPr>
        <w:t xml:space="preserve">                               </w:t>
      </w:r>
    </w:p>
    <w:p>
      <w:pPr>
        <w:spacing w:line="460" w:lineRule="exact"/>
        <w:ind w:firstLine="437"/>
        <w:jc w:val="left"/>
        <w:rPr>
          <w:rFonts w:ascii="新宋体" w:hAnsi="新宋体" w:eastAsia="新宋体"/>
          <w:color w:val="auto"/>
          <w:sz w:val="22"/>
          <w:szCs w:val="22"/>
          <w:highlight w:val="none"/>
          <w:u w:val="single"/>
        </w:rPr>
      </w:pPr>
    </w:p>
    <w:p>
      <w:pPr>
        <w:spacing w:line="460" w:lineRule="exact"/>
        <w:ind w:firstLine="541" w:firstLineChars="245"/>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附件二  </w:t>
      </w:r>
    </w:p>
    <w:p>
      <w:pPr>
        <w:spacing w:line="380" w:lineRule="exact"/>
        <w:ind w:firstLine="220" w:firstLineChars="100"/>
        <w:rPr>
          <w:rFonts w:ascii="新宋体" w:hAnsi="新宋体" w:eastAsia="新宋体"/>
          <w:color w:val="auto"/>
          <w:sz w:val="22"/>
          <w:szCs w:val="22"/>
          <w:highlight w:val="none"/>
        </w:rPr>
      </w:pPr>
    </w:p>
    <w:p>
      <w:pPr>
        <w:spacing w:line="400" w:lineRule="exact"/>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投标报价一览表</w:t>
      </w:r>
    </w:p>
    <w:p>
      <w:pPr>
        <w:spacing w:line="38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w:t>
      </w:r>
    </w:p>
    <w:p>
      <w:pPr>
        <w:spacing w:line="380" w:lineRule="exact"/>
        <w:ind w:left="535" w:leftChars="-171" w:hanging="894" w:hangingChars="405"/>
        <w:rPr>
          <w:rFonts w:ascii="新宋体" w:hAnsi="新宋体" w:eastAsia="新宋体"/>
          <w:b/>
          <w:color w:val="auto"/>
          <w:sz w:val="22"/>
          <w:highlight w:val="none"/>
        </w:rPr>
      </w:pPr>
    </w:p>
    <w:p>
      <w:pPr>
        <w:spacing w:line="38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b/>
          <w:color w:val="auto"/>
          <w:sz w:val="22"/>
          <w:szCs w:val="22"/>
          <w:highlight w:val="none"/>
        </w:rPr>
        <w:t xml:space="preserve">                                                  </w:t>
      </w:r>
      <w:r>
        <w:rPr>
          <w:rFonts w:hint="eastAsia" w:ascii="新宋体" w:hAnsi="新宋体" w:eastAsia="新宋体"/>
          <w:b/>
          <w:bCs/>
          <w:color w:val="auto"/>
          <w:sz w:val="22"/>
          <w:szCs w:val="22"/>
          <w:highlight w:val="none"/>
        </w:rPr>
        <w:t>项目编号</w:t>
      </w:r>
      <w:r>
        <w:rPr>
          <w:rFonts w:hint="eastAsia" w:ascii="新宋体" w:hAnsi="新宋体" w:eastAsia="新宋体"/>
          <w:bCs/>
          <w:color w:val="auto"/>
          <w:sz w:val="22"/>
          <w:szCs w:val="22"/>
          <w:highlight w:val="none"/>
        </w:rPr>
        <w:t>：</w:t>
      </w:r>
      <w:r>
        <w:rPr>
          <w:rFonts w:hint="eastAsia" w:ascii="新宋体" w:hAnsi="新宋体" w:eastAsia="新宋体"/>
          <w:b/>
          <w:bCs/>
          <w:color w:val="auto"/>
          <w:sz w:val="22"/>
          <w:szCs w:val="22"/>
          <w:highlight w:val="none"/>
        </w:rPr>
        <w:t xml:space="preserve"> </w:t>
      </w:r>
    </w:p>
    <w:tbl>
      <w:tblPr>
        <w:tblStyle w:val="64"/>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504"/>
        <w:gridCol w:w="301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66" w:type="dxa"/>
            <w:vAlign w:val="center"/>
          </w:tcPr>
          <w:p>
            <w:pPr>
              <w:ind w:right="-21" w:rightChars="-10"/>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标段号</w:t>
            </w:r>
          </w:p>
        </w:tc>
        <w:tc>
          <w:tcPr>
            <w:tcW w:w="2504"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投标项目</w:t>
            </w:r>
          </w:p>
        </w:tc>
        <w:tc>
          <w:tcPr>
            <w:tcW w:w="3016"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工期</w:t>
            </w:r>
            <w:r>
              <w:rPr>
                <w:rFonts w:hint="eastAsia" w:ascii="新宋体" w:hAnsi="新宋体" w:eastAsia="新宋体" w:cs="新宋体"/>
                <w:bCs/>
                <w:color w:val="auto"/>
                <w:sz w:val="22"/>
                <w:szCs w:val="22"/>
                <w:highlight w:val="none"/>
              </w:rPr>
              <w:t>（日历天）</w:t>
            </w:r>
          </w:p>
        </w:tc>
        <w:tc>
          <w:tcPr>
            <w:tcW w:w="1744"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系统设备维保技术服务</w:t>
            </w:r>
            <w:r>
              <w:rPr>
                <w:rFonts w:hint="eastAsia" w:ascii="新宋体" w:hAnsi="新宋体" w:eastAsia="新宋体" w:cs="新宋体"/>
                <w:bCs/>
                <w:color w:val="auto"/>
                <w:sz w:val="22"/>
                <w:szCs w:val="22"/>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66" w:type="dxa"/>
            <w:vMerge w:val="restart"/>
            <w:vAlign w:val="center"/>
          </w:tcPr>
          <w:p>
            <w:pPr>
              <w:ind w:right="-21" w:rightChars="-10"/>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2504" w:type="dxa"/>
            <w:vAlign w:val="center"/>
          </w:tcPr>
          <w:p>
            <w:pPr>
              <w:ind w:right="-21" w:rightChars="-10"/>
              <w:jc w:val="center"/>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olor w:val="auto"/>
                <w:sz w:val="22"/>
                <w:szCs w:val="22"/>
                <w:highlight w:val="none"/>
              </w:rPr>
              <w:t>开发区雪亮工程高清人脸识别监控租赁</w:t>
            </w:r>
          </w:p>
        </w:tc>
        <w:tc>
          <w:tcPr>
            <w:tcW w:w="3016"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天</w:t>
            </w:r>
          </w:p>
        </w:tc>
        <w:tc>
          <w:tcPr>
            <w:tcW w:w="1744"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66" w:type="dxa"/>
            <w:vMerge w:val="continue"/>
            <w:vAlign w:val="center"/>
          </w:tcPr>
          <w:p>
            <w:pPr>
              <w:spacing w:beforeLines="100"/>
              <w:ind w:right="-21" w:rightChars="-10"/>
              <w:rPr>
                <w:rFonts w:ascii="新宋体" w:hAnsi="新宋体" w:eastAsia="新宋体" w:cs="新宋体"/>
                <w:color w:val="auto"/>
                <w:sz w:val="22"/>
                <w:szCs w:val="22"/>
                <w:highlight w:val="none"/>
              </w:rPr>
            </w:pPr>
          </w:p>
        </w:tc>
        <w:tc>
          <w:tcPr>
            <w:tcW w:w="2504" w:type="dxa"/>
            <w:vAlign w:val="center"/>
          </w:tcPr>
          <w:p>
            <w:pPr>
              <w:ind w:right="-21" w:rightChars="-1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投标总价</w:t>
            </w:r>
          </w:p>
          <w:p>
            <w:pPr>
              <w:spacing w:beforeLines="100"/>
              <w:ind w:right="-21" w:rightChars="-10"/>
              <w:rPr>
                <w:rFonts w:ascii="新宋体" w:hAnsi="新宋体" w:eastAsia="新宋体" w:cs="新宋体"/>
                <w:color w:val="auto"/>
                <w:sz w:val="22"/>
                <w:szCs w:val="22"/>
                <w:highlight w:val="none"/>
              </w:rPr>
            </w:pPr>
          </w:p>
        </w:tc>
        <w:tc>
          <w:tcPr>
            <w:tcW w:w="4760" w:type="dxa"/>
            <w:gridSpan w:val="2"/>
            <w:vAlign w:val="center"/>
          </w:tcPr>
          <w:p>
            <w:pPr>
              <w:ind w:right="-21" w:rightChars="-1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p>
            <w:pPr>
              <w:widowControl/>
              <w:jc w:val="left"/>
              <w:rPr>
                <w:rFonts w:ascii="新宋体" w:hAnsi="新宋体" w:eastAsia="新宋体" w:cs="新宋体"/>
                <w:bCs/>
                <w:color w:val="auto"/>
                <w:sz w:val="22"/>
                <w:szCs w:val="22"/>
                <w:highlight w:val="none"/>
              </w:rPr>
            </w:pPr>
          </w:p>
          <w:p>
            <w:pPr>
              <w:spacing w:beforeLines="100"/>
              <w:ind w:right="-21" w:rightChars="-10"/>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（小写）：¥</w:t>
            </w:r>
          </w:p>
        </w:tc>
      </w:tr>
    </w:tbl>
    <w:p>
      <w:pPr>
        <w:spacing w:line="460" w:lineRule="exact"/>
        <w:ind w:firstLine="541" w:firstLineChars="245"/>
        <w:rPr>
          <w:rFonts w:ascii="新宋体" w:hAnsi="新宋体" w:eastAsia="新宋体"/>
          <w:b/>
          <w:bCs/>
          <w:color w:val="auto"/>
          <w:sz w:val="22"/>
          <w:highlight w:val="none"/>
        </w:rPr>
      </w:pPr>
    </w:p>
    <w:p>
      <w:pPr>
        <w:spacing w:line="460" w:lineRule="exact"/>
        <w:rPr>
          <w:rFonts w:ascii="新宋体" w:hAnsi="新宋体" w:eastAsia="新宋体"/>
          <w:b/>
          <w:bCs/>
          <w:color w:val="auto"/>
          <w:sz w:val="22"/>
          <w:highlight w:val="none"/>
        </w:rPr>
      </w:pPr>
      <w:r>
        <w:rPr>
          <w:rFonts w:hint="eastAsia" w:ascii="新宋体" w:hAnsi="新宋体" w:eastAsia="新宋体"/>
          <w:b/>
          <w:bCs/>
          <w:color w:val="auto"/>
          <w:sz w:val="22"/>
          <w:highlight w:val="none"/>
        </w:rPr>
        <w:t>说明：1、此栏内投标总价应与附件三“投标分项报价表”中合计总价相一致。</w:t>
      </w:r>
    </w:p>
    <w:p>
      <w:pPr>
        <w:spacing w:line="460" w:lineRule="exact"/>
        <w:ind w:firstLine="663" w:firstLineChars="300"/>
        <w:rPr>
          <w:rFonts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2.、▲此表不得自行增减内容，不提供此表格将被视为没有实质性响应招标文件。</w:t>
      </w:r>
    </w:p>
    <w:p>
      <w:pPr>
        <w:spacing w:line="460" w:lineRule="exact"/>
        <w:ind w:firstLine="541" w:firstLineChars="245"/>
        <w:rPr>
          <w:rFonts w:ascii="新宋体" w:hAnsi="新宋体" w:eastAsia="新宋体"/>
          <w:b/>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380" w:lineRule="exact"/>
        <w:ind w:firstLine="220" w:firstLineChars="100"/>
        <w:rPr>
          <w:rFonts w:ascii="新宋体" w:hAnsi="新宋体" w:eastAsia="新宋体"/>
          <w:color w:val="auto"/>
          <w:sz w:val="22"/>
          <w:szCs w:val="22"/>
          <w:highlight w:val="none"/>
        </w:rPr>
      </w:pPr>
    </w:p>
    <w:p>
      <w:pPr>
        <w:spacing w:line="400" w:lineRule="exact"/>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投标报价一览表</w:t>
      </w:r>
    </w:p>
    <w:p>
      <w:pPr>
        <w:spacing w:line="38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w:t>
      </w:r>
    </w:p>
    <w:p>
      <w:pPr>
        <w:spacing w:line="380" w:lineRule="exact"/>
        <w:ind w:left="535" w:leftChars="-171" w:hanging="894" w:hangingChars="405"/>
        <w:rPr>
          <w:rFonts w:ascii="新宋体" w:hAnsi="新宋体" w:eastAsia="新宋体"/>
          <w:b/>
          <w:color w:val="auto"/>
          <w:sz w:val="22"/>
          <w:highlight w:val="none"/>
        </w:rPr>
      </w:pPr>
    </w:p>
    <w:p>
      <w:pPr>
        <w:spacing w:line="38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b/>
          <w:color w:val="auto"/>
          <w:sz w:val="22"/>
          <w:szCs w:val="22"/>
          <w:highlight w:val="none"/>
        </w:rPr>
        <w:t xml:space="preserve">                                                  </w:t>
      </w:r>
      <w:r>
        <w:rPr>
          <w:rFonts w:hint="eastAsia" w:ascii="新宋体" w:hAnsi="新宋体" w:eastAsia="新宋体"/>
          <w:b/>
          <w:bCs/>
          <w:color w:val="auto"/>
          <w:sz w:val="22"/>
          <w:szCs w:val="22"/>
          <w:highlight w:val="none"/>
        </w:rPr>
        <w:t>项目编号</w:t>
      </w:r>
      <w:r>
        <w:rPr>
          <w:rFonts w:hint="eastAsia" w:ascii="新宋体" w:hAnsi="新宋体" w:eastAsia="新宋体"/>
          <w:bCs/>
          <w:color w:val="auto"/>
          <w:sz w:val="22"/>
          <w:szCs w:val="22"/>
          <w:highlight w:val="none"/>
        </w:rPr>
        <w:t>：</w:t>
      </w:r>
      <w:r>
        <w:rPr>
          <w:rFonts w:hint="eastAsia" w:ascii="新宋体" w:hAnsi="新宋体" w:eastAsia="新宋体"/>
          <w:b/>
          <w:bCs/>
          <w:color w:val="auto"/>
          <w:sz w:val="22"/>
          <w:szCs w:val="22"/>
          <w:highlight w:val="none"/>
        </w:rPr>
        <w:t xml:space="preserve"> </w:t>
      </w:r>
    </w:p>
    <w:tbl>
      <w:tblPr>
        <w:tblStyle w:val="64"/>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504"/>
        <w:gridCol w:w="301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66" w:type="dxa"/>
            <w:vAlign w:val="center"/>
          </w:tcPr>
          <w:p>
            <w:pPr>
              <w:ind w:right="-21" w:rightChars="-10"/>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标段号</w:t>
            </w:r>
          </w:p>
        </w:tc>
        <w:tc>
          <w:tcPr>
            <w:tcW w:w="2504"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投标项目</w:t>
            </w:r>
          </w:p>
        </w:tc>
        <w:tc>
          <w:tcPr>
            <w:tcW w:w="3016"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工期</w:t>
            </w:r>
            <w:r>
              <w:rPr>
                <w:rFonts w:hint="eastAsia" w:ascii="新宋体" w:hAnsi="新宋体" w:eastAsia="新宋体" w:cs="新宋体"/>
                <w:bCs/>
                <w:color w:val="auto"/>
                <w:sz w:val="22"/>
                <w:szCs w:val="22"/>
                <w:highlight w:val="none"/>
              </w:rPr>
              <w:t>（日历天）</w:t>
            </w:r>
          </w:p>
        </w:tc>
        <w:tc>
          <w:tcPr>
            <w:tcW w:w="1744"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系统设备维保技术服务</w:t>
            </w:r>
            <w:r>
              <w:rPr>
                <w:rFonts w:hint="eastAsia" w:ascii="新宋体" w:hAnsi="新宋体" w:eastAsia="新宋体" w:cs="新宋体"/>
                <w:bCs/>
                <w:color w:val="auto"/>
                <w:sz w:val="22"/>
                <w:szCs w:val="22"/>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66" w:type="dxa"/>
            <w:vMerge w:val="restart"/>
            <w:vAlign w:val="center"/>
          </w:tcPr>
          <w:p>
            <w:pPr>
              <w:ind w:right="-21" w:rightChars="-10"/>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2504" w:type="dxa"/>
            <w:vAlign w:val="center"/>
          </w:tcPr>
          <w:p>
            <w:pPr>
              <w:ind w:right="-21" w:rightChars="-10"/>
              <w:jc w:val="center"/>
              <w:rPr>
                <w:rFonts w:ascii="新宋体" w:hAnsi="新宋体" w:eastAsia="新宋体" w:cs="新宋体"/>
                <w:bCs/>
                <w:color w:val="auto"/>
                <w:sz w:val="22"/>
                <w:szCs w:val="22"/>
                <w:highlight w:val="none"/>
              </w:rPr>
            </w:pPr>
            <w:r>
              <w:rPr>
                <w:rFonts w:hint="eastAsia" w:ascii="新宋体" w:hAnsi="新宋体" w:eastAsia="新宋体"/>
                <w:color w:val="auto"/>
                <w:sz w:val="22"/>
                <w:szCs w:val="22"/>
                <w:highlight w:val="none"/>
              </w:rPr>
              <w:t>开发区雪亮工程三大平台和运维管理中心的租赁</w:t>
            </w:r>
            <w:r>
              <w:rPr>
                <w:rFonts w:hint="eastAsia" w:ascii="新宋体" w:hAnsi="新宋体" w:eastAsia="新宋体" w:cs="新宋体"/>
                <w:color w:val="auto"/>
                <w:sz w:val="22"/>
                <w:szCs w:val="22"/>
                <w:highlight w:val="none"/>
              </w:rPr>
              <w:t xml:space="preserve"> </w:t>
            </w:r>
          </w:p>
        </w:tc>
        <w:tc>
          <w:tcPr>
            <w:tcW w:w="3016"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天</w:t>
            </w:r>
          </w:p>
        </w:tc>
        <w:tc>
          <w:tcPr>
            <w:tcW w:w="1744" w:type="dxa"/>
            <w:vAlign w:val="center"/>
          </w:tcPr>
          <w:p>
            <w:pPr>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66" w:type="dxa"/>
            <w:vMerge w:val="continue"/>
            <w:vAlign w:val="center"/>
          </w:tcPr>
          <w:p>
            <w:pPr>
              <w:spacing w:beforeLines="100"/>
              <w:ind w:right="-21" w:rightChars="-10"/>
              <w:rPr>
                <w:rFonts w:ascii="新宋体" w:hAnsi="新宋体" w:eastAsia="新宋体" w:cs="新宋体"/>
                <w:color w:val="auto"/>
                <w:sz w:val="22"/>
                <w:szCs w:val="22"/>
                <w:highlight w:val="none"/>
              </w:rPr>
            </w:pPr>
          </w:p>
        </w:tc>
        <w:tc>
          <w:tcPr>
            <w:tcW w:w="2504" w:type="dxa"/>
            <w:vAlign w:val="center"/>
          </w:tcPr>
          <w:p>
            <w:pPr>
              <w:ind w:right="-21" w:rightChars="-1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投标总价</w:t>
            </w:r>
          </w:p>
          <w:p>
            <w:pPr>
              <w:spacing w:beforeLines="100"/>
              <w:ind w:right="-21" w:rightChars="-10"/>
              <w:rPr>
                <w:rFonts w:ascii="新宋体" w:hAnsi="新宋体" w:eastAsia="新宋体" w:cs="新宋体"/>
                <w:color w:val="auto"/>
                <w:sz w:val="22"/>
                <w:szCs w:val="22"/>
                <w:highlight w:val="none"/>
              </w:rPr>
            </w:pPr>
          </w:p>
        </w:tc>
        <w:tc>
          <w:tcPr>
            <w:tcW w:w="4760" w:type="dxa"/>
            <w:gridSpan w:val="2"/>
            <w:vAlign w:val="center"/>
          </w:tcPr>
          <w:p>
            <w:pPr>
              <w:ind w:right="-21" w:rightChars="-1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p>
            <w:pPr>
              <w:widowControl/>
              <w:jc w:val="left"/>
              <w:rPr>
                <w:rFonts w:ascii="新宋体" w:hAnsi="新宋体" w:eastAsia="新宋体" w:cs="新宋体"/>
                <w:bCs/>
                <w:color w:val="auto"/>
                <w:sz w:val="22"/>
                <w:szCs w:val="22"/>
                <w:highlight w:val="none"/>
              </w:rPr>
            </w:pPr>
          </w:p>
          <w:p>
            <w:pPr>
              <w:spacing w:beforeLines="100"/>
              <w:ind w:right="-21" w:rightChars="-10"/>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（小写）：¥</w:t>
            </w:r>
          </w:p>
        </w:tc>
      </w:tr>
    </w:tbl>
    <w:p>
      <w:pPr>
        <w:spacing w:line="460" w:lineRule="exact"/>
        <w:ind w:firstLine="541" w:firstLineChars="245"/>
        <w:rPr>
          <w:rFonts w:ascii="新宋体" w:hAnsi="新宋体" w:eastAsia="新宋体"/>
          <w:b/>
          <w:bCs/>
          <w:color w:val="auto"/>
          <w:sz w:val="22"/>
          <w:highlight w:val="none"/>
        </w:rPr>
      </w:pPr>
    </w:p>
    <w:p>
      <w:pPr>
        <w:spacing w:line="460" w:lineRule="exact"/>
        <w:rPr>
          <w:rFonts w:ascii="新宋体" w:hAnsi="新宋体" w:eastAsia="新宋体"/>
          <w:b/>
          <w:bCs/>
          <w:color w:val="auto"/>
          <w:sz w:val="22"/>
          <w:highlight w:val="none"/>
        </w:rPr>
      </w:pPr>
      <w:r>
        <w:rPr>
          <w:rFonts w:hint="eastAsia" w:ascii="新宋体" w:hAnsi="新宋体" w:eastAsia="新宋体"/>
          <w:b/>
          <w:bCs/>
          <w:color w:val="auto"/>
          <w:sz w:val="22"/>
          <w:highlight w:val="none"/>
        </w:rPr>
        <w:t>说明：1、此栏内投标总价应与附件三“投标分项报价表”中合计总价相一致。</w:t>
      </w:r>
    </w:p>
    <w:p>
      <w:pPr>
        <w:spacing w:line="460" w:lineRule="exact"/>
        <w:ind w:firstLine="663" w:firstLineChars="300"/>
        <w:rPr>
          <w:rFonts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2.、▲此表不得自行增减内容，不提供此表格将被视为没有实质性响应招标文件。</w:t>
      </w:r>
    </w:p>
    <w:p>
      <w:pPr>
        <w:spacing w:line="460" w:lineRule="exact"/>
        <w:ind w:firstLine="541" w:firstLineChars="245"/>
        <w:rPr>
          <w:rFonts w:ascii="新宋体" w:hAnsi="新宋体" w:eastAsia="新宋体"/>
          <w:b/>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ind w:firstLine="220" w:firstLineChars="100"/>
        <w:rPr>
          <w:rFonts w:ascii="新宋体" w:hAnsi="新宋体" w:eastAsia="新宋体"/>
          <w:color w:val="auto"/>
          <w:sz w:val="22"/>
          <w:szCs w:val="22"/>
          <w:highlight w:val="none"/>
        </w:rPr>
        <w:sectPr>
          <w:footerReference r:id="rId6" w:type="first"/>
          <w:headerReference r:id="rId3" w:type="default"/>
          <w:footerReference r:id="rId4" w:type="default"/>
          <w:footerReference r:id="rId5" w:type="even"/>
          <w:pgSz w:w="11907" w:h="16840"/>
          <w:pgMar w:top="1134" w:right="1134" w:bottom="1134" w:left="1134" w:header="851" w:footer="992" w:gutter="0"/>
          <w:pgNumType w:start="0"/>
          <w:cols w:space="720" w:num="1"/>
          <w:titlePg/>
          <w:docGrid w:linePitch="312" w:charSpace="0"/>
        </w:sectPr>
      </w:pPr>
      <w:r>
        <w:rPr>
          <w:rFonts w:hint="eastAsia" w:ascii="新宋体" w:hAnsi="新宋体" w:eastAsia="新宋体"/>
          <w:color w:val="auto"/>
          <w:sz w:val="22"/>
          <w:szCs w:val="22"/>
          <w:highlight w:val="none"/>
        </w:rPr>
        <w:t xml:space="preserve">                                                日   期：</w:t>
      </w:r>
    </w:p>
    <w:p>
      <w:pPr>
        <w:pStyle w:val="24"/>
        <w:spacing w:line="460" w:lineRule="exact"/>
        <w:ind w:left="433" w:hanging="433" w:hangingChars="196"/>
        <w:outlineLvl w:val="1"/>
        <w:rPr>
          <w:rFonts w:ascii="新宋体" w:hAnsi="新宋体" w:eastAsia="新宋体"/>
          <w:b/>
          <w:color w:val="auto"/>
          <w:sz w:val="22"/>
          <w:highlight w:val="none"/>
        </w:rPr>
      </w:pPr>
      <w:r>
        <w:rPr>
          <w:rFonts w:hint="eastAsia" w:ascii="新宋体" w:hAnsi="新宋体" w:eastAsia="新宋体"/>
          <w:b/>
          <w:color w:val="auto"/>
          <w:sz w:val="22"/>
          <w:highlight w:val="none"/>
        </w:rPr>
        <w:t>附件三</w:t>
      </w:r>
    </w:p>
    <w:p>
      <w:pPr>
        <w:spacing w:line="380" w:lineRule="exact"/>
        <w:rPr>
          <w:rFonts w:ascii="宋体" w:hAnsi="宋体"/>
          <w:b/>
          <w:bCs/>
          <w:color w:val="auto"/>
          <w:szCs w:val="21"/>
          <w:highlight w:val="none"/>
        </w:rPr>
      </w:pPr>
    </w:p>
    <w:p>
      <w:pPr>
        <w:spacing w:line="400" w:lineRule="exact"/>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投标分项报价表</w:t>
      </w:r>
    </w:p>
    <w:p>
      <w:pPr>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olor w:val="auto"/>
          <w:sz w:val="22"/>
          <w:szCs w:val="22"/>
          <w:highlight w:val="none"/>
        </w:rPr>
        <w:t>标段一：开发区雪亮工程高清人脸识别监控租赁</w:t>
      </w:r>
      <w:r>
        <w:rPr>
          <w:rFonts w:hint="eastAsia" w:ascii="新宋体" w:hAnsi="新宋体" w:eastAsia="新宋体" w:cs="新宋体"/>
          <w:color w:val="auto"/>
          <w:sz w:val="22"/>
          <w:szCs w:val="22"/>
          <w:highlight w:val="none"/>
        </w:rPr>
        <w:t>)</w:t>
      </w:r>
    </w:p>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Cs/>
          <w:color w:val="auto"/>
          <w:sz w:val="22"/>
          <w:szCs w:val="22"/>
          <w:highlight w:val="none"/>
        </w:rPr>
        <w:t xml:space="preserve">                                        </w:t>
      </w:r>
      <w:r>
        <w:rPr>
          <w:rFonts w:hint="eastAsia" w:ascii="新宋体" w:hAnsi="新宋体" w:eastAsia="新宋体" w:cs="新宋体"/>
          <w:color w:val="auto"/>
          <w:sz w:val="22"/>
          <w:szCs w:val="22"/>
          <w:highlight w:val="none"/>
        </w:rPr>
        <w:t>（价格单位：人民币元）</w:t>
      </w: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w:t>
            </w:r>
          </w:p>
        </w:tc>
        <w:tc>
          <w:tcPr>
            <w:tcW w:w="1605"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货物名称</w:t>
            </w:r>
          </w:p>
        </w:tc>
        <w:tc>
          <w:tcPr>
            <w:tcW w:w="1477"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品牌型号规格、产地</w:t>
            </w:r>
          </w:p>
        </w:tc>
        <w:tc>
          <w:tcPr>
            <w:tcW w:w="1570"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制造厂商名称</w:t>
            </w:r>
          </w:p>
        </w:tc>
        <w:tc>
          <w:tcPr>
            <w:tcW w:w="708"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43"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出厂单价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总价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tcBorders>
              <w:top w:val="single" w:color="auto" w:sz="12" w:space="0"/>
              <w:bottom w:val="single" w:color="auto" w:sz="12" w:space="0"/>
              <w:right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免费</w:t>
            </w:r>
          </w:p>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3707" w:type="dxa"/>
            <w:gridSpan w:val="3"/>
            <w:tcBorders>
              <w:left w:val="single" w:color="auto" w:sz="12" w:space="0"/>
              <w:bottom w:val="single" w:color="auto" w:sz="12" w:space="0"/>
            </w:tcBorders>
            <w:vAlign w:val="center"/>
          </w:tcPr>
          <w:p>
            <w:pPr>
              <w:spacing w:line="420" w:lineRule="exact"/>
              <w:ind w:right="-10"/>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设备总价</w:t>
            </w:r>
          </w:p>
        </w:tc>
        <w:tc>
          <w:tcPr>
            <w:tcW w:w="5580" w:type="dxa"/>
            <w:gridSpan w:val="5"/>
            <w:tcBorders>
              <w:bottom w:val="single" w:color="auto" w:sz="12" w:space="0"/>
              <w:right w:val="single" w:color="auto" w:sz="12" w:space="0"/>
            </w:tcBorders>
            <w:vAlign w:val="center"/>
          </w:tcPr>
          <w:p>
            <w:pPr>
              <w:spacing w:line="420" w:lineRule="exact"/>
              <w:ind w:right="-10"/>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3707" w:type="dxa"/>
            <w:gridSpan w:val="3"/>
            <w:tcBorders>
              <w:top w:val="single" w:color="auto" w:sz="12" w:space="0"/>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5580" w:type="dxa"/>
            <w:gridSpan w:val="5"/>
            <w:tcBorders>
              <w:top w:val="single" w:color="auto" w:sz="12" w:space="0"/>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安装、调试费（包括前端施工费、中心设备集成费、设备的测试、调试、验收等费用）</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设计费（如有）、第三方检测、通信链路服务等</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培训费、售后服务</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vAlign w:val="center"/>
          </w:tcPr>
          <w:p>
            <w:pPr>
              <w:widowControl/>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运营维护费（电费、系统整体维护费、网络服务费）</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招标代理费</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07" w:type="dxa"/>
            <w:gridSpan w:val="3"/>
            <w:tcBorders>
              <w:left w:val="single" w:color="auto" w:sz="12" w:space="0"/>
              <w:bottom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合计总价</w:t>
            </w:r>
          </w:p>
        </w:tc>
        <w:tc>
          <w:tcPr>
            <w:tcW w:w="5580" w:type="dxa"/>
            <w:gridSpan w:val="5"/>
            <w:tcBorders>
              <w:bottom w:val="single" w:color="auto" w:sz="12" w:space="0"/>
              <w:right w:val="single" w:color="auto" w:sz="12" w:space="0"/>
            </w:tcBorders>
          </w:tcPr>
          <w:p>
            <w:pPr>
              <w:spacing w:line="420" w:lineRule="exact"/>
              <w:rPr>
                <w:rFonts w:ascii="新宋体" w:hAnsi="新宋体" w:eastAsia="新宋体" w:cs="新宋体"/>
                <w:bCs/>
                <w:color w:val="auto"/>
                <w:sz w:val="22"/>
                <w:szCs w:val="22"/>
                <w:highlight w:val="none"/>
              </w:rPr>
            </w:pPr>
          </w:p>
        </w:tc>
      </w:tr>
    </w:tbl>
    <w:p>
      <w:pPr>
        <w:spacing w:line="420" w:lineRule="exact"/>
        <w:jc w:val="lef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附注：</w:t>
      </w: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u w:val="single"/>
        </w:rPr>
        <w:t>▲</w:t>
      </w:r>
      <w:r>
        <w:rPr>
          <w:rFonts w:hint="eastAsia" w:ascii="新宋体" w:hAnsi="新宋体" w:eastAsia="新宋体" w:cs="新宋体"/>
          <w:color w:val="auto"/>
          <w:sz w:val="22"/>
          <w:szCs w:val="22"/>
          <w:highlight w:val="none"/>
          <w:u w:val="single"/>
        </w:rPr>
        <w:t>不提供分项报价表将视为没有实质性响应招标文件。</w:t>
      </w:r>
    </w:p>
    <w:p>
      <w:pPr>
        <w:spacing w:line="420" w:lineRule="exact"/>
        <w:ind w:firstLine="63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2、此表的合计总价应与附件二“开标一览表”投标总价相一致。</w:t>
      </w:r>
    </w:p>
    <w:p>
      <w:pPr>
        <w:spacing w:line="420" w:lineRule="exact"/>
        <w:ind w:left="900" w:leftChars="300" w:hanging="27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3、如果免费请在该备注栏内注明“免”，如果含在产品价格中则填“含”，如无此项内容则填“无”，不留空白。</w:t>
      </w:r>
    </w:p>
    <w:p>
      <w:pPr>
        <w:spacing w:line="420" w:lineRule="exact"/>
        <w:ind w:left="900" w:leftChars="300" w:hanging="27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4、“设备总价”不应包含：运杂及保险费及其他相关费用。</w:t>
      </w:r>
    </w:p>
    <w:p>
      <w:pPr>
        <w:spacing w:line="42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 </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投标人代表（签名）：</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420" w:lineRule="exact"/>
        <w:rPr>
          <w:rFonts w:ascii="新宋体" w:hAnsi="新宋体" w:eastAsia="新宋体"/>
          <w:color w:val="auto"/>
          <w:sz w:val="22"/>
          <w:szCs w:val="22"/>
          <w:highlight w:val="none"/>
        </w:rPr>
      </w:pPr>
    </w:p>
    <w:p>
      <w:pPr>
        <w:spacing w:line="420" w:lineRule="exact"/>
        <w:rPr>
          <w:rFonts w:ascii="新宋体" w:hAnsi="新宋体" w:eastAsia="新宋体"/>
          <w:color w:val="auto"/>
          <w:sz w:val="22"/>
          <w:szCs w:val="22"/>
          <w:highlight w:val="none"/>
        </w:rPr>
      </w:pPr>
    </w:p>
    <w:p>
      <w:pPr>
        <w:spacing w:line="400" w:lineRule="exact"/>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投标分项报价表</w:t>
      </w:r>
    </w:p>
    <w:p>
      <w:pPr>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olor w:val="auto"/>
          <w:sz w:val="22"/>
          <w:szCs w:val="22"/>
          <w:highlight w:val="none"/>
        </w:rPr>
        <w:t>标段二：开发区雪亮工程三大平台和运维管理中心的租赁</w:t>
      </w:r>
      <w:r>
        <w:rPr>
          <w:rFonts w:hint="eastAsia" w:ascii="新宋体" w:hAnsi="新宋体" w:eastAsia="新宋体" w:cs="新宋体"/>
          <w:color w:val="auto"/>
          <w:sz w:val="22"/>
          <w:szCs w:val="22"/>
          <w:highlight w:val="none"/>
        </w:rPr>
        <w:t>)</w:t>
      </w:r>
    </w:p>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Cs/>
          <w:color w:val="auto"/>
          <w:sz w:val="22"/>
          <w:szCs w:val="22"/>
          <w:highlight w:val="none"/>
        </w:rPr>
        <w:t xml:space="preserve">                                        </w:t>
      </w:r>
      <w:r>
        <w:rPr>
          <w:rFonts w:hint="eastAsia" w:ascii="新宋体" w:hAnsi="新宋体" w:eastAsia="新宋体" w:cs="新宋体"/>
          <w:color w:val="auto"/>
          <w:sz w:val="22"/>
          <w:szCs w:val="22"/>
          <w:highlight w:val="none"/>
        </w:rPr>
        <w:t>（价格单位：人民币元）</w:t>
      </w: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w:t>
            </w:r>
          </w:p>
        </w:tc>
        <w:tc>
          <w:tcPr>
            <w:tcW w:w="1605"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货物名称</w:t>
            </w:r>
          </w:p>
        </w:tc>
        <w:tc>
          <w:tcPr>
            <w:tcW w:w="1477"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品牌型号规格、产地</w:t>
            </w:r>
          </w:p>
        </w:tc>
        <w:tc>
          <w:tcPr>
            <w:tcW w:w="1570"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制造厂商名称</w:t>
            </w:r>
          </w:p>
        </w:tc>
        <w:tc>
          <w:tcPr>
            <w:tcW w:w="708"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43"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出厂单价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总价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tcBorders>
              <w:top w:val="single" w:color="auto" w:sz="12" w:space="0"/>
              <w:bottom w:val="single" w:color="auto" w:sz="12" w:space="0"/>
              <w:right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免费</w:t>
            </w:r>
          </w:p>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3707" w:type="dxa"/>
            <w:gridSpan w:val="3"/>
            <w:tcBorders>
              <w:left w:val="single" w:color="auto" w:sz="12" w:space="0"/>
              <w:bottom w:val="single" w:color="auto" w:sz="12" w:space="0"/>
            </w:tcBorders>
            <w:vAlign w:val="center"/>
          </w:tcPr>
          <w:p>
            <w:pPr>
              <w:spacing w:line="420" w:lineRule="exact"/>
              <w:ind w:right="-10"/>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设备总价</w:t>
            </w:r>
          </w:p>
        </w:tc>
        <w:tc>
          <w:tcPr>
            <w:tcW w:w="5580" w:type="dxa"/>
            <w:gridSpan w:val="5"/>
            <w:tcBorders>
              <w:bottom w:val="single" w:color="auto" w:sz="12" w:space="0"/>
              <w:right w:val="single" w:color="auto" w:sz="12" w:space="0"/>
            </w:tcBorders>
            <w:vAlign w:val="center"/>
          </w:tcPr>
          <w:p>
            <w:pPr>
              <w:spacing w:line="420" w:lineRule="exact"/>
              <w:ind w:right="-10"/>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3707" w:type="dxa"/>
            <w:gridSpan w:val="3"/>
            <w:tcBorders>
              <w:top w:val="single" w:color="auto" w:sz="12" w:space="0"/>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5580" w:type="dxa"/>
            <w:gridSpan w:val="5"/>
            <w:tcBorders>
              <w:top w:val="single" w:color="auto" w:sz="12" w:space="0"/>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安装、调试费（包括前端施工费、中心设备集成费、设备的测试、调试、验收等费用）</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设计费（如有）、第三方检测、通信链路服务等</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培训费、售后服务</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vAlign w:val="center"/>
          </w:tcPr>
          <w:p>
            <w:pPr>
              <w:widowControl/>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运营维护费（电费、系统整体维护费、网络服务费）</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招标代理费</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07" w:type="dxa"/>
            <w:gridSpan w:val="3"/>
            <w:tcBorders>
              <w:left w:val="single" w:color="auto" w:sz="12" w:space="0"/>
              <w:bottom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合计总价</w:t>
            </w:r>
          </w:p>
        </w:tc>
        <w:tc>
          <w:tcPr>
            <w:tcW w:w="5580" w:type="dxa"/>
            <w:gridSpan w:val="5"/>
            <w:tcBorders>
              <w:bottom w:val="single" w:color="auto" w:sz="12" w:space="0"/>
              <w:right w:val="single" w:color="auto" w:sz="12" w:space="0"/>
            </w:tcBorders>
          </w:tcPr>
          <w:p>
            <w:pPr>
              <w:spacing w:line="420" w:lineRule="exact"/>
              <w:rPr>
                <w:rFonts w:ascii="新宋体" w:hAnsi="新宋体" w:eastAsia="新宋体" w:cs="新宋体"/>
                <w:bCs/>
                <w:color w:val="auto"/>
                <w:sz w:val="22"/>
                <w:szCs w:val="22"/>
                <w:highlight w:val="none"/>
              </w:rPr>
            </w:pPr>
          </w:p>
        </w:tc>
      </w:tr>
    </w:tbl>
    <w:p>
      <w:pPr>
        <w:spacing w:line="420" w:lineRule="exact"/>
        <w:jc w:val="lef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附注：</w:t>
      </w: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u w:val="single"/>
        </w:rPr>
        <w:t>▲</w:t>
      </w:r>
      <w:r>
        <w:rPr>
          <w:rFonts w:hint="eastAsia" w:ascii="新宋体" w:hAnsi="新宋体" w:eastAsia="新宋体" w:cs="新宋体"/>
          <w:color w:val="auto"/>
          <w:sz w:val="22"/>
          <w:szCs w:val="22"/>
          <w:highlight w:val="none"/>
          <w:u w:val="single"/>
        </w:rPr>
        <w:t>不提供分项报价表将视为没有实质性响应招标文件。</w:t>
      </w:r>
    </w:p>
    <w:p>
      <w:pPr>
        <w:spacing w:line="420" w:lineRule="exact"/>
        <w:ind w:firstLine="63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2、此表的合计总价应与附件二“开标一览表”投标总价相一致。</w:t>
      </w:r>
    </w:p>
    <w:p>
      <w:pPr>
        <w:spacing w:line="420" w:lineRule="exact"/>
        <w:ind w:left="900" w:leftChars="300" w:hanging="27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3、如果免费请在该备注栏内注明“免”，如果含在产品价格中则填“含”，如无此项内容则填“无”，不留空白。</w:t>
      </w:r>
    </w:p>
    <w:p>
      <w:pPr>
        <w:spacing w:line="420" w:lineRule="exact"/>
        <w:ind w:left="900" w:leftChars="300" w:hanging="27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4、“设备总价”不应包含：运杂及保险费及其他相关费用。</w:t>
      </w:r>
    </w:p>
    <w:p>
      <w:pPr>
        <w:spacing w:line="42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 </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投标人代表（签名）：</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pStyle w:val="24"/>
        <w:spacing w:line="460" w:lineRule="exact"/>
        <w:ind w:left="433" w:hanging="433" w:hangingChars="196"/>
        <w:outlineLvl w:val="1"/>
        <w:rPr>
          <w:rFonts w:ascii="新宋体" w:hAnsi="新宋体" w:eastAsia="新宋体"/>
          <w:b/>
          <w:color w:val="auto"/>
          <w:sz w:val="22"/>
          <w:highlight w:val="none"/>
        </w:rPr>
      </w:pPr>
      <w:r>
        <w:rPr>
          <w:rFonts w:hint="eastAsia" w:ascii="新宋体" w:hAnsi="新宋体" w:eastAsia="新宋体"/>
          <w:b/>
          <w:color w:val="auto"/>
          <w:sz w:val="22"/>
          <w:highlight w:val="none"/>
        </w:rPr>
        <w:t>附件四</w:t>
      </w:r>
    </w:p>
    <w:p>
      <w:pPr>
        <w:spacing w:line="460" w:lineRule="exact"/>
        <w:jc w:val="center"/>
        <w:outlineLvl w:val="2"/>
        <w:rPr>
          <w:rFonts w:ascii="新宋体" w:hAnsi="新宋体" w:eastAsia="新宋体"/>
          <w:color w:val="auto"/>
          <w:sz w:val="28"/>
          <w:szCs w:val="28"/>
          <w:highlight w:val="none"/>
        </w:rPr>
      </w:pPr>
      <w:r>
        <w:rPr>
          <w:rFonts w:hint="eastAsia" w:ascii="新宋体" w:hAnsi="新宋体" w:eastAsia="新宋体"/>
          <w:b/>
          <w:bCs/>
          <w:color w:val="auto"/>
          <w:sz w:val="28"/>
          <w:szCs w:val="28"/>
          <w:highlight w:val="none"/>
          <w:lang w:val="zh-CN"/>
        </w:rPr>
        <w:t>资格证明文件</w:t>
      </w:r>
      <w:r>
        <w:rPr>
          <w:rFonts w:hint="eastAsia" w:ascii="新宋体" w:hAnsi="新宋体" w:eastAsia="新宋体"/>
          <w:color w:val="auto"/>
          <w:sz w:val="28"/>
          <w:szCs w:val="28"/>
          <w:highlight w:val="none"/>
        </w:rPr>
        <w:t xml:space="preserve"> </w:t>
      </w:r>
    </w:p>
    <w:p>
      <w:pPr>
        <w:spacing w:line="380" w:lineRule="exact"/>
        <w:jc w:val="center"/>
        <w:outlineLvl w:val="3"/>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（1）法定代表人授权书</w:t>
      </w: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温州市公安局经济技术开发区分局：</w:t>
      </w:r>
    </w:p>
    <w:p>
      <w:pPr>
        <w:spacing w:line="460" w:lineRule="exact"/>
        <w:rPr>
          <w:rFonts w:ascii="新宋体" w:hAnsi="新宋体" w:eastAsia="新宋体"/>
          <w:color w:val="auto"/>
          <w:sz w:val="22"/>
          <w:szCs w:val="22"/>
          <w:highlight w:val="none"/>
          <w:u w:val="single"/>
        </w:rPr>
      </w:pPr>
    </w:p>
    <w:p>
      <w:pPr>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（投标人全称）法定代表人 </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（全权代表姓名）为全权代表，参加贵处组织的（招标项目名称 </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、编号 </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、标段</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  ）的招标活动，全权代表我方处理招标活动中的一切事宜。</w:t>
      </w:r>
    </w:p>
    <w:p>
      <w:pPr>
        <w:spacing w:line="460" w:lineRule="exact"/>
        <w:ind w:firstLine="2955"/>
        <w:rPr>
          <w:rFonts w:ascii="新宋体" w:hAnsi="新宋体" w:eastAsia="新宋体"/>
          <w:color w:val="auto"/>
          <w:sz w:val="22"/>
          <w:szCs w:val="22"/>
          <w:highlight w:val="none"/>
        </w:rPr>
      </w:pP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ind w:firstLine="4081" w:firstLineChars="18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投标人全称（公章）：</w:t>
      </w: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  </w:t>
      </w: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w:t>
      </w:r>
    </w:p>
    <w:p>
      <w:pPr>
        <w:spacing w:line="460" w:lineRule="exact"/>
        <w:ind w:firstLine="539" w:firstLineChars="245"/>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 xml:space="preserve">授权代表姓名：                               </w:t>
      </w:r>
    </w:p>
    <w:p>
      <w:pPr>
        <w:spacing w:line="460" w:lineRule="exact"/>
        <w:ind w:firstLine="539" w:firstLineChars="245"/>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职务：</w:t>
      </w:r>
    </w:p>
    <w:p>
      <w:pPr>
        <w:spacing w:line="460" w:lineRule="exact"/>
        <w:ind w:firstLine="539" w:firstLineChars="245"/>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详细通讯地址：</w:t>
      </w:r>
    </w:p>
    <w:p>
      <w:pPr>
        <w:spacing w:line="460" w:lineRule="exact"/>
        <w:ind w:firstLine="539" w:firstLineChars="245"/>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电话：</w:t>
      </w:r>
    </w:p>
    <w:p>
      <w:pPr>
        <w:spacing w:line="460" w:lineRule="exact"/>
        <w:ind w:firstLine="539" w:firstLineChars="245"/>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传真：</w:t>
      </w:r>
    </w:p>
    <w:p>
      <w:pPr>
        <w:spacing w:line="460" w:lineRule="exact"/>
        <w:ind w:firstLine="539" w:firstLineChars="245"/>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邮政编码:</w:t>
      </w:r>
    </w:p>
    <w:p>
      <w:pPr>
        <w:spacing w:line="380" w:lineRule="exact"/>
        <w:rPr>
          <w:rFonts w:ascii="新宋体" w:hAnsi="新宋体" w:eastAsia="新宋体"/>
          <w:color w:val="auto"/>
          <w:sz w:val="22"/>
          <w:szCs w:val="22"/>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r>
        <w:rPr>
          <w:rFonts w:ascii="新宋体" w:hAnsi="新宋体" w:eastAsia="新宋体"/>
          <w:color w:val="auto"/>
          <w:sz w:val="22"/>
          <w:szCs w:val="22"/>
          <w:highlight w:val="none"/>
          <w:lang w:val="zh-CN"/>
        </w:rPr>
        <w:pict>
          <v:shape id="Text Box 2" o:spid="_x0000_s1032" o:spt="202" type="#_x0000_t202" style="position:absolute;left:0pt;margin-left:8.95pt;margin-top:6.25pt;height:236.55pt;width:492.45pt;z-index:251656192;mso-width-relative:page;mso-height-relative:page;" coordsize="21600,21600">
            <v:path/>
            <v:fill focussize="0,0"/>
            <v:stroke joinstyle="miter"/>
            <v:imagedata o:title=""/>
            <o:lock v:ext="edit"/>
            <v:textbox>
              <w:txbxContent>
                <w:p>
                  <w:r>
                    <w:rPr>
                      <w:rFonts w:hint="eastAsia" w:ascii="新宋体" w:hAnsi="新宋体" w:eastAsia="新宋体"/>
                      <w:sz w:val="22"/>
                      <w:szCs w:val="22"/>
                    </w:rPr>
                    <w:t xml:space="preserve">  法定代表人 身份证（正反面）：</w:t>
                  </w:r>
                </w:p>
              </w:txbxContent>
            </v:textbox>
          </v:shape>
        </w:pict>
      </w: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p>
    <w:p>
      <w:pPr>
        <w:spacing w:line="460" w:lineRule="exact"/>
        <w:jc w:val="center"/>
        <w:rPr>
          <w:rFonts w:ascii="新宋体" w:hAnsi="新宋体" w:eastAsia="新宋体"/>
          <w:b/>
          <w:bCs/>
          <w:color w:val="auto"/>
          <w:sz w:val="28"/>
          <w:szCs w:val="28"/>
          <w:highlight w:val="none"/>
        </w:rPr>
      </w:pPr>
      <w:r>
        <w:rPr>
          <w:rFonts w:ascii="新宋体" w:hAnsi="新宋体" w:eastAsia="新宋体"/>
          <w:color w:val="auto"/>
          <w:sz w:val="22"/>
          <w:szCs w:val="22"/>
          <w:highlight w:val="none"/>
          <w:lang w:val="zh-CN"/>
        </w:rPr>
        <w:pict>
          <v:shape id="文本框 24" o:spid="_x0000_s1033" o:spt="202" type="#_x0000_t202" style="position:absolute;left:0pt;margin-left:6.95pt;margin-top:183.75pt;height:305.15pt;width:496.35pt;z-index:251657216;mso-width-relative:page;mso-height-relative:page;" coordsize="21600,21600">
            <v:path/>
            <v:fill focussize="0,0"/>
            <v:stroke joinstyle="miter"/>
            <v:imagedata o:title=""/>
            <o:lock v:ext="edit"/>
            <v:textbox>
              <w:txbxContent>
                <w:p>
                  <w:r>
                    <w:rPr>
                      <w:rFonts w:hint="eastAsia" w:ascii="新宋体" w:hAnsi="新宋体" w:eastAsia="新宋体"/>
                      <w:sz w:val="22"/>
                      <w:szCs w:val="22"/>
                    </w:rPr>
                    <w:t xml:space="preserve">  授权代表身份证（正反面）：</w:t>
                  </w:r>
                </w:p>
              </w:txbxContent>
            </v:textbox>
          </v:shape>
        </w:pict>
      </w:r>
    </w:p>
    <w:p>
      <w:pPr>
        <w:spacing w:line="460" w:lineRule="exact"/>
        <w:jc w:val="center"/>
        <w:rPr>
          <w:rFonts w:ascii="新宋体" w:hAnsi="新宋体" w:eastAsia="新宋体"/>
          <w:b/>
          <w:bCs/>
          <w:color w:val="auto"/>
          <w:sz w:val="22"/>
          <w:szCs w:val="22"/>
          <w:highlight w:val="none"/>
        </w:rPr>
        <w:sectPr>
          <w:pgSz w:w="11907" w:h="16840"/>
          <w:pgMar w:top="1134" w:right="1134" w:bottom="1134" w:left="1134" w:header="851" w:footer="992" w:gutter="0"/>
          <w:cols w:space="720" w:num="1"/>
          <w:docGrid w:linePitch="312" w:charSpace="0"/>
        </w:sectPr>
      </w:pPr>
    </w:p>
    <w:p>
      <w:pPr>
        <w:spacing w:line="460" w:lineRule="exact"/>
        <w:jc w:val="center"/>
        <w:outlineLvl w:val="3"/>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（2）投标人情况表</w:t>
      </w:r>
    </w:p>
    <w:p>
      <w:pPr>
        <w:tabs>
          <w:tab w:val="left" w:pos="780"/>
        </w:tabs>
        <w:spacing w:line="40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64"/>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单位名称（盖章）</w:t>
            </w:r>
          </w:p>
        </w:tc>
        <w:tc>
          <w:tcPr>
            <w:tcW w:w="2804" w:type="dxa"/>
            <w:gridSpan w:val="2"/>
          </w:tcPr>
          <w:p>
            <w:pPr>
              <w:spacing w:line="480" w:lineRule="exact"/>
              <w:rPr>
                <w:rFonts w:ascii="新宋体" w:hAnsi="新宋体" w:eastAsia="新宋体"/>
                <w:color w:val="auto"/>
                <w:sz w:val="22"/>
                <w:szCs w:val="22"/>
                <w:highlight w:val="none"/>
              </w:rPr>
            </w:pPr>
          </w:p>
        </w:tc>
        <w:tc>
          <w:tcPr>
            <w:tcW w:w="1115" w:type="dxa"/>
            <w:gridSpan w:val="2"/>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 话</w:t>
            </w:r>
          </w:p>
        </w:tc>
        <w:tc>
          <w:tcPr>
            <w:tcW w:w="2588" w:type="dxa"/>
            <w:gridSpan w:val="2"/>
          </w:tcPr>
          <w:p>
            <w:pPr>
              <w:spacing w:line="480" w:lineRule="exact"/>
              <w:rPr>
                <w:rFonts w:ascii="新宋体" w:hAnsi="新宋体" w:eastAsia="新宋体"/>
                <w:color w:val="auto"/>
                <w:sz w:val="22"/>
                <w:szCs w:val="22"/>
                <w:highlight w:val="none"/>
              </w:rPr>
            </w:pPr>
          </w:p>
        </w:tc>
        <w:tc>
          <w:tcPr>
            <w:tcW w:w="1488" w:type="dxa"/>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主管部门</w:t>
            </w:r>
          </w:p>
        </w:tc>
        <w:tc>
          <w:tcPr>
            <w:tcW w:w="1502" w:type="dxa"/>
          </w:tcPr>
          <w:p>
            <w:pPr>
              <w:spacing w:line="480" w:lineRule="exact"/>
              <w:rPr>
                <w:rFonts w:ascii="新宋体" w:hAnsi="新宋体" w:eastAsia="新宋体"/>
                <w:color w:val="auto"/>
                <w:sz w:val="22"/>
                <w:szCs w:val="22"/>
                <w:highlight w:val="none"/>
              </w:rPr>
            </w:pPr>
          </w:p>
        </w:tc>
        <w:tc>
          <w:tcPr>
            <w:tcW w:w="1488" w:type="dxa"/>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企业负责人</w:t>
            </w:r>
          </w:p>
        </w:tc>
        <w:tc>
          <w:tcPr>
            <w:tcW w:w="1115" w:type="dxa"/>
          </w:tcPr>
          <w:p>
            <w:pPr>
              <w:spacing w:line="480" w:lineRule="exact"/>
              <w:rPr>
                <w:rFonts w:ascii="新宋体" w:hAnsi="新宋体" w:eastAsia="新宋体"/>
                <w:color w:val="auto"/>
                <w:sz w:val="22"/>
                <w:szCs w:val="22"/>
                <w:highlight w:val="none"/>
              </w:rPr>
            </w:pPr>
          </w:p>
        </w:tc>
        <w:tc>
          <w:tcPr>
            <w:tcW w:w="1461" w:type="dxa"/>
            <w:gridSpan w:val="2"/>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    址</w:t>
            </w:r>
          </w:p>
        </w:tc>
        <w:tc>
          <w:tcPr>
            <w:tcW w:w="2804" w:type="dxa"/>
            <w:gridSpan w:val="2"/>
          </w:tcPr>
          <w:p>
            <w:pPr>
              <w:spacing w:line="480" w:lineRule="exact"/>
              <w:rPr>
                <w:rFonts w:ascii="新宋体" w:hAnsi="新宋体" w:eastAsia="新宋体"/>
                <w:color w:val="auto"/>
                <w:sz w:val="22"/>
                <w:szCs w:val="22"/>
                <w:highlight w:val="none"/>
              </w:rPr>
            </w:pPr>
          </w:p>
        </w:tc>
        <w:tc>
          <w:tcPr>
            <w:tcW w:w="1115" w:type="dxa"/>
            <w:gridSpan w:val="2"/>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 真</w:t>
            </w:r>
          </w:p>
        </w:tc>
        <w:tc>
          <w:tcPr>
            <w:tcW w:w="2588" w:type="dxa"/>
            <w:gridSpan w:val="2"/>
          </w:tcPr>
          <w:p>
            <w:pPr>
              <w:spacing w:line="480" w:lineRule="exact"/>
              <w:rPr>
                <w:rFonts w:ascii="新宋体" w:hAnsi="新宋体" w:eastAsia="新宋体"/>
                <w:color w:val="auto"/>
                <w:sz w:val="22"/>
                <w:szCs w:val="22"/>
                <w:highlight w:val="none"/>
              </w:rPr>
            </w:pPr>
          </w:p>
        </w:tc>
        <w:tc>
          <w:tcPr>
            <w:tcW w:w="1488" w:type="dxa"/>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企业性质</w:t>
            </w:r>
          </w:p>
        </w:tc>
        <w:tc>
          <w:tcPr>
            <w:tcW w:w="1502" w:type="dxa"/>
          </w:tcPr>
          <w:p>
            <w:pPr>
              <w:spacing w:line="480" w:lineRule="exact"/>
              <w:rPr>
                <w:rFonts w:ascii="新宋体" w:hAnsi="新宋体" w:eastAsia="新宋体"/>
                <w:color w:val="auto"/>
                <w:sz w:val="22"/>
                <w:szCs w:val="22"/>
                <w:highlight w:val="none"/>
              </w:rPr>
            </w:pPr>
          </w:p>
        </w:tc>
        <w:tc>
          <w:tcPr>
            <w:tcW w:w="1488" w:type="dxa"/>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w:t>
            </w:r>
          </w:p>
        </w:tc>
        <w:tc>
          <w:tcPr>
            <w:tcW w:w="1115" w:type="dxa"/>
          </w:tcPr>
          <w:p>
            <w:pPr>
              <w:spacing w:line="480" w:lineRule="exact"/>
              <w:rPr>
                <w:rFonts w:ascii="新宋体" w:hAnsi="新宋体" w:eastAsia="新宋体"/>
                <w:color w:val="auto"/>
                <w:sz w:val="22"/>
                <w:szCs w:val="22"/>
                <w:highlight w:val="none"/>
              </w:rPr>
            </w:pPr>
          </w:p>
        </w:tc>
        <w:tc>
          <w:tcPr>
            <w:tcW w:w="1461" w:type="dxa"/>
            <w:gridSpan w:val="2"/>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单位简介</w:t>
            </w:r>
          </w:p>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及机构</w:t>
            </w:r>
          </w:p>
        </w:tc>
        <w:tc>
          <w:tcPr>
            <w:tcW w:w="6507" w:type="dxa"/>
            <w:gridSpan w:val="6"/>
            <w:vAlign w:val="center"/>
          </w:tcPr>
          <w:p>
            <w:pPr>
              <w:spacing w:line="480" w:lineRule="exact"/>
              <w:jc w:val="center"/>
              <w:rPr>
                <w:rFonts w:ascii="新宋体" w:hAnsi="新宋体" w:eastAsia="新宋体"/>
                <w:color w:val="auto"/>
                <w:sz w:val="22"/>
                <w:szCs w:val="22"/>
                <w:highlight w:val="none"/>
              </w:rPr>
            </w:pPr>
          </w:p>
        </w:tc>
        <w:tc>
          <w:tcPr>
            <w:tcW w:w="1488"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单位优势</w:t>
            </w:r>
          </w:p>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及特长</w:t>
            </w:r>
          </w:p>
        </w:tc>
        <w:tc>
          <w:tcPr>
            <w:tcW w:w="5566" w:type="dxa"/>
            <w:gridSpan w:val="5"/>
          </w:tcPr>
          <w:p>
            <w:pPr>
              <w:spacing w:line="48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单位概况</w:t>
            </w:r>
          </w:p>
        </w:tc>
        <w:tc>
          <w:tcPr>
            <w:tcW w:w="1115" w:type="dxa"/>
            <w:vMerge w:val="restart"/>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职工总数</w:t>
            </w:r>
          </w:p>
        </w:tc>
        <w:tc>
          <w:tcPr>
            <w:tcW w:w="1689" w:type="dxa"/>
            <w:vMerge w:val="restart"/>
          </w:tcPr>
          <w:p>
            <w:pPr>
              <w:spacing w:line="480" w:lineRule="exact"/>
              <w:ind w:firstLine="1540" w:firstLineChars="700"/>
              <w:rPr>
                <w:rFonts w:ascii="新宋体" w:hAnsi="新宋体" w:eastAsia="新宋体"/>
                <w:color w:val="auto"/>
                <w:sz w:val="22"/>
                <w:szCs w:val="22"/>
                <w:highlight w:val="none"/>
              </w:rPr>
            </w:pPr>
          </w:p>
        </w:tc>
        <w:tc>
          <w:tcPr>
            <w:tcW w:w="3703" w:type="dxa"/>
            <w:gridSpan w:val="4"/>
            <w:vMerge w:val="restart"/>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各人员构成情况</w:t>
            </w:r>
          </w:p>
        </w:tc>
        <w:tc>
          <w:tcPr>
            <w:tcW w:w="1488" w:type="dxa"/>
            <w:vMerge w:val="restart"/>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上一年主要  经济指标</w:t>
            </w:r>
          </w:p>
        </w:tc>
        <w:tc>
          <w:tcPr>
            <w:tcW w:w="1502"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ascii="新宋体" w:hAnsi="新宋体" w:eastAsia="新宋体"/>
                <w:color w:val="auto"/>
                <w:sz w:val="22"/>
                <w:szCs w:val="22"/>
                <w:highlight w:val="none"/>
              </w:rPr>
            </w:pPr>
          </w:p>
        </w:tc>
        <w:tc>
          <w:tcPr>
            <w:tcW w:w="1470" w:type="dxa"/>
            <w:gridSpan w:val="2"/>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新宋体" w:hAnsi="新宋体" w:eastAsia="新宋体"/>
                <w:color w:val="auto"/>
                <w:sz w:val="22"/>
                <w:szCs w:val="22"/>
                <w:highlight w:val="none"/>
              </w:rPr>
            </w:pPr>
          </w:p>
        </w:tc>
        <w:tc>
          <w:tcPr>
            <w:tcW w:w="1115" w:type="dxa"/>
            <w:vMerge w:val="continue"/>
          </w:tcPr>
          <w:p>
            <w:pPr>
              <w:spacing w:line="480" w:lineRule="exact"/>
              <w:rPr>
                <w:rFonts w:ascii="新宋体" w:hAnsi="新宋体" w:eastAsia="新宋体"/>
                <w:color w:val="auto"/>
                <w:sz w:val="22"/>
                <w:szCs w:val="22"/>
                <w:highlight w:val="none"/>
              </w:rPr>
            </w:pPr>
          </w:p>
        </w:tc>
        <w:tc>
          <w:tcPr>
            <w:tcW w:w="1689" w:type="dxa"/>
            <w:vMerge w:val="continue"/>
          </w:tcPr>
          <w:p>
            <w:pPr>
              <w:spacing w:line="480" w:lineRule="exact"/>
              <w:rPr>
                <w:rFonts w:ascii="新宋体" w:hAnsi="新宋体" w:eastAsia="新宋体"/>
                <w:color w:val="auto"/>
                <w:sz w:val="22"/>
                <w:szCs w:val="22"/>
                <w:highlight w:val="none"/>
              </w:rPr>
            </w:pPr>
          </w:p>
        </w:tc>
        <w:tc>
          <w:tcPr>
            <w:tcW w:w="3703" w:type="dxa"/>
            <w:gridSpan w:val="4"/>
            <w:vMerge w:val="continue"/>
          </w:tcPr>
          <w:p>
            <w:pPr>
              <w:spacing w:line="480" w:lineRule="exact"/>
              <w:rPr>
                <w:rFonts w:ascii="新宋体" w:hAnsi="新宋体" w:eastAsia="新宋体"/>
                <w:color w:val="auto"/>
                <w:sz w:val="22"/>
                <w:szCs w:val="22"/>
                <w:highlight w:val="none"/>
              </w:rPr>
            </w:pPr>
          </w:p>
        </w:tc>
        <w:tc>
          <w:tcPr>
            <w:tcW w:w="1488" w:type="dxa"/>
            <w:vMerge w:val="continue"/>
          </w:tcPr>
          <w:p>
            <w:pPr>
              <w:spacing w:line="480" w:lineRule="exact"/>
              <w:rPr>
                <w:rFonts w:ascii="新宋体" w:hAnsi="新宋体" w:eastAsia="新宋体"/>
                <w:color w:val="auto"/>
                <w:sz w:val="22"/>
                <w:szCs w:val="22"/>
                <w:highlight w:val="none"/>
              </w:rPr>
            </w:pPr>
          </w:p>
        </w:tc>
        <w:tc>
          <w:tcPr>
            <w:tcW w:w="1502"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总产值</w:t>
            </w:r>
          </w:p>
        </w:tc>
        <w:tc>
          <w:tcPr>
            <w:tcW w:w="1488" w:type="dxa"/>
            <w:vAlign w:val="center"/>
          </w:tcPr>
          <w:p>
            <w:pPr>
              <w:spacing w:line="480" w:lineRule="exact"/>
              <w:ind w:firstLine="660" w:firstLineChars="300"/>
              <w:jc w:val="righ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万元</w:t>
            </w:r>
          </w:p>
        </w:tc>
        <w:tc>
          <w:tcPr>
            <w:tcW w:w="1470" w:type="dxa"/>
            <w:gridSpan w:val="2"/>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总产值</w:t>
            </w:r>
          </w:p>
        </w:tc>
        <w:tc>
          <w:tcPr>
            <w:tcW w:w="1106"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新宋体" w:hAnsi="新宋体" w:eastAsia="新宋体"/>
                <w:color w:val="auto"/>
                <w:sz w:val="22"/>
                <w:szCs w:val="22"/>
                <w:highlight w:val="none"/>
              </w:rPr>
            </w:pPr>
          </w:p>
        </w:tc>
        <w:tc>
          <w:tcPr>
            <w:tcW w:w="1115" w:type="dxa"/>
            <w:vMerge w:val="restart"/>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流动资金</w:t>
            </w:r>
          </w:p>
        </w:tc>
        <w:tc>
          <w:tcPr>
            <w:tcW w:w="1689" w:type="dxa"/>
            <w:vMerge w:val="restart"/>
          </w:tcPr>
          <w:p>
            <w:pPr>
              <w:spacing w:line="480" w:lineRule="exact"/>
              <w:jc w:val="righ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80" w:lineRule="exact"/>
              <w:ind w:firstLine="660" w:firstLineChars="300"/>
              <w:jc w:val="righ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万元 </w:t>
            </w:r>
          </w:p>
        </w:tc>
        <w:tc>
          <w:tcPr>
            <w:tcW w:w="728" w:type="dxa"/>
            <w:vMerge w:val="restart"/>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资金来源</w:t>
            </w:r>
          </w:p>
        </w:tc>
        <w:tc>
          <w:tcPr>
            <w:tcW w:w="1487" w:type="dxa"/>
            <w:gridSpan w:val="2"/>
            <w:vAlign w:val="center"/>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自有资金</w:t>
            </w:r>
          </w:p>
        </w:tc>
        <w:tc>
          <w:tcPr>
            <w:tcW w:w="1488"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c>
          <w:tcPr>
            <w:tcW w:w="1488" w:type="dxa"/>
            <w:vMerge w:val="continue"/>
          </w:tcPr>
          <w:p>
            <w:pPr>
              <w:spacing w:line="480" w:lineRule="exact"/>
              <w:rPr>
                <w:rFonts w:ascii="新宋体" w:hAnsi="新宋体" w:eastAsia="新宋体"/>
                <w:color w:val="auto"/>
                <w:sz w:val="22"/>
                <w:szCs w:val="22"/>
                <w:highlight w:val="none"/>
              </w:rPr>
            </w:pPr>
          </w:p>
        </w:tc>
        <w:tc>
          <w:tcPr>
            <w:tcW w:w="1502"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实现利润</w:t>
            </w:r>
          </w:p>
        </w:tc>
        <w:tc>
          <w:tcPr>
            <w:tcW w:w="1488" w:type="dxa"/>
            <w:vAlign w:val="center"/>
          </w:tcPr>
          <w:p>
            <w:pPr>
              <w:spacing w:line="480" w:lineRule="exact"/>
              <w:ind w:firstLine="660" w:firstLineChars="300"/>
              <w:jc w:val="righ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万元</w:t>
            </w:r>
          </w:p>
        </w:tc>
        <w:tc>
          <w:tcPr>
            <w:tcW w:w="1470" w:type="dxa"/>
            <w:gridSpan w:val="2"/>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实现利润</w:t>
            </w:r>
          </w:p>
        </w:tc>
        <w:tc>
          <w:tcPr>
            <w:tcW w:w="1106" w:type="dxa"/>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新宋体" w:hAnsi="新宋体" w:eastAsia="新宋体"/>
                <w:color w:val="auto"/>
                <w:sz w:val="22"/>
                <w:szCs w:val="22"/>
                <w:highlight w:val="none"/>
              </w:rPr>
            </w:pPr>
          </w:p>
        </w:tc>
        <w:tc>
          <w:tcPr>
            <w:tcW w:w="1115" w:type="dxa"/>
            <w:vMerge w:val="continue"/>
            <w:tcBorders>
              <w:bottom w:val="single" w:color="auto" w:sz="4" w:space="0"/>
            </w:tcBorders>
          </w:tcPr>
          <w:p>
            <w:pPr>
              <w:spacing w:line="480" w:lineRule="exact"/>
              <w:rPr>
                <w:rFonts w:ascii="新宋体" w:hAnsi="新宋体" w:eastAsia="新宋体"/>
                <w:color w:val="auto"/>
                <w:sz w:val="22"/>
                <w:szCs w:val="22"/>
                <w:highlight w:val="none"/>
              </w:rPr>
            </w:pPr>
          </w:p>
        </w:tc>
        <w:tc>
          <w:tcPr>
            <w:tcW w:w="1689" w:type="dxa"/>
            <w:vMerge w:val="continue"/>
            <w:tcBorders>
              <w:bottom w:val="single" w:color="auto" w:sz="4" w:space="0"/>
            </w:tcBorders>
          </w:tcPr>
          <w:p>
            <w:pPr>
              <w:spacing w:line="480" w:lineRule="exact"/>
              <w:rPr>
                <w:rFonts w:ascii="新宋体" w:hAnsi="新宋体" w:eastAsia="新宋体"/>
                <w:color w:val="auto"/>
                <w:sz w:val="22"/>
                <w:szCs w:val="22"/>
                <w:highlight w:val="none"/>
              </w:rPr>
            </w:pPr>
          </w:p>
        </w:tc>
        <w:tc>
          <w:tcPr>
            <w:tcW w:w="728" w:type="dxa"/>
            <w:vMerge w:val="continue"/>
            <w:tcBorders>
              <w:bottom w:val="single" w:color="auto" w:sz="4" w:space="0"/>
            </w:tcBorders>
          </w:tcPr>
          <w:p>
            <w:pPr>
              <w:spacing w:line="480" w:lineRule="exact"/>
              <w:rPr>
                <w:rFonts w:ascii="新宋体" w:hAnsi="新宋体" w:eastAsia="新宋体"/>
                <w:color w:val="auto"/>
                <w:sz w:val="22"/>
                <w:szCs w:val="22"/>
                <w:highlight w:val="none"/>
              </w:rPr>
            </w:pPr>
          </w:p>
        </w:tc>
        <w:tc>
          <w:tcPr>
            <w:tcW w:w="1487" w:type="dxa"/>
            <w:gridSpan w:val="2"/>
            <w:tcBorders>
              <w:bottom w:val="single" w:color="auto" w:sz="4" w:space="0"/>
            </w:tcBorders>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万元</w:t>
            </w:r>
          </w:p>
        </w:tc>
        <w:tc>
          <w:tcPr>
            <w:tcW w:w="1488" w:type="dxa"/>
            <w:vMerge w:val="continue"/>
            <w:tcBorders>
              <w:bottom w:val="single" w:color="auto" w:sz="4" w:space="0"/>
            </w:tcBorders>
          </w:tcPr>
          <w:p>
            <w:pPr>
              <w:spacing w:line="480" w:lineRule="exact"/>
              <w:rPr>
                <w:rFonts w:ascii="新宋体" w:hAnsi="新宋体" w:eastAsia="新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新宋体" w:hAnsi="新宋体" w:eastAsia="新宋体"/>
                <w:color w:val="auto"/>
                <w:sz w:val="22"/>
                <w:szCs w:val="22"/>
                <w:highlight w:val="none"/>
              </w:rPr>
            </w:pPr>
          </w:p>
        </w:tc>
        <w:tc>
          <w:tcPr>
            <w:tcW w:w="1115" w:type="dxa"/>
            <w:vMerge w:val="restart"/>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固定资产</w:t>
            </w:r>
          </w:p>
        </w:tc>
        <w:tc>
          <w:tcPr>
            <w:tcW w:w="1689" w:type="dxa"/>
            <w:vMerge w:val="restart"/>
          </w:tcPr>
          <w:p>
            <w:pPr>
              <w:spacing w:line="480" w:lineRule="exact"/>
              <w:jc w:val="righ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原值   万元</w:t>
            </w:r>
          </w:p>
          <w:p>
            <w:pPr>
              <w:spacing w:line="480" w:lineRule="exact"/>
              <w:jc w:val="righ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净值   万元</w:t>
            </w:r>
          </w:p>
        </w:tc>
        <w:tc>
          <w:tcPr>
            <w:tcW w:w="728" w:type="dxa"/>
            <w:vMerge w:val="restart"/>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资金性质</w:t>
            </w:r>
          </w:p>
        </w:tc>
        <w:tc>
          <w:tcPr>
            <w:tcW w:w="1487" w:type="dxa"/>
            <w:gridSpan w:val="2"/>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生产性</w:t>
            </w:r>
          </w:p>
        </w:tc>
        <w:tc>
          <w:tcPr>
            <w:tcW w:w="1488" w:type="dxa"/>
          </w:tcPr>
          <w:p>
            <w:pPr>
              <w:spacing w:line="480" w:lineRule="exact"/>
              <w:ind w:left="220" w:hanging="220" w:hanging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c>
          <w:tcPr>
            <w:tcW w:w="1488" w:type="dxa"/>
            <w:vMerge w:val="continue"/>
          </w:tcPr>
          <w:p>
            <w:pPr>
              <w:spacing w:line="480" w:lineRule="exact"/>
              <w:rPr>
                <w:rFonts w:ascii="新宋体" w:hAnsi="新宋体" w:eastAsia="新宋体"/>
                <w:color w:val="auto"/>
                <w:sz w:val="22"/>
                <w:szCs w:val="22"/>
                <w:highlight w:val="none"/>
              </w:rPr>
            </w:pPr>
          </w:p>
        </w:tc>
        <w:tc>
          <w:tcPr>
            <w:tcW w:w="1502" w:type="dxa"/>
            <w:vMerge w:val="continue"/>
          </w:tcPr>
          <w:p>
            <w:pPr>
              <w:spacing w:line="480" w:lineRule="exact"/>
              <w:rPr>
                <w:rFonts w:ascii="新宋体" w:hAnsi="新宋体" w:eastAsia="新宋体"/>
                <w:color w:val="auto"/>
                <w:sz w:val="22"/>
                <w:szCs w:val="22"/>
                <w:highlight w:val="none"/>
              </w:rPr>
            </w:pPr>
          </w:p>
        </w:tc>
        <w:tc>
          <w:tcPr>
            <w:tcW w:w="4064" w:type="dxa"/>
            <w:gridSpan w:val="4"/>
            <w:vMerge w:val="continue"/>
          </w:tcPr>
          <w:p>
            <w:pPr>
              <w:spacing w:line="48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新宋体" w:hAnsi="新宋体" w:eastAsia="新宋体"/>
                <w:color w:val="auto"/>
                <w:sz w:val="22"/>
                <w:szCs w:val="22"/>
                <w:highlight w:val="none"/>
              </w:rPr>
            </w:pPr>
          </w:p>
        </w:tc>
        <w:tc>
          <w:tcPr>
            <w:tcW w:w="1115" w:type="dxa"/>
            <w:vMerge w:val="continue"/>
          </w:tcPr>
          <w:p>
            <w:pPr>
              <w:spacing w:line="480" w:lineRule="exact"/>
              <w:rPr>
                <w:rFonts w:ascii="新宋体" w:hAnsi="新宋体" w:eastAsia="新宋体"/>
                <w:color w:val="auto"/>
                <w:sz w:val="22"/>
                <w:szCs w:val="22"/>
                <w:highlight w:val="none"/>
              </w:rPr>
            </w:pPr>
          </w:p>
        </w:tc>
        <w:tc>
          <w:tcPr>
            <w:tcW w:w="1689" w:type="dxa"/>
            <w:vMerge w:val="continue"/>
          </w:tcPr>
          <w:p>
            <w:pPr>
              <w:spacing w:line="480" w:lineRule="exact"/>
              <w:rPr>
                <w:rFonts w:ascii="新宋体" w:hAnsi="新宋体" w:eastAsia="新宋体"/>
                <w:color w:val="auto"/>
                <w:sz w:val="22"/>
                <w:szCs w:val="22"/>
                <w:highlight w:val="none"/>
              </w:rPr>
            </w:pPr>
          </w:p>
        </w:tc>
        <w:tc>
          <w:tcPr>
            <w:tcW w:w="728" w:type="dxa"/>
            <w:vMerge w:val="continue"/>
          </w:tcPr>
          <w:p>
            <w:pPr>
              <w:spacing w:line="480" w:lineRule="exact"/>
              <w:rPr>
                <w:rFonts w:ascii="新宋体" w:hAnsi="新宋体" w:eastAsia="新宋体"/>
                <w:color w:val="auto"/>
                <w:sz w:val="22"/>
                <w:szCs w:val="22"/>
                <w:highlight w:val="none"/>
              </w:rPr>
            </w:pPr>
          </w:p>
        </w:tc>
        <w:tc>
          <w:tcPr>
            <w:tcW w:w="1487" w:type="dxa"/>
            <w:gridSpan w:val="2"/>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非生产性</w:t>
            </w:r>
          </w:p>
        </w:tc>
        <w:tc>
          <w:tcPr>
            <w:tcW w:w="1488" w:type="dxa"/>
          </w:tcPr>
          <w:p>
            <w:pPr>
              <w:spacing w:line="480" w:lineRule="exact"/>
              <w:ind w:left="220" w:hanging="220" w:hanging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c>
          <w:tcPr>
            <w:tcW w:w="1488" w:type="dxa"/>
            <w:vMerge w:val="continue"/>
          </w:tcPr>
          <w:p>
            <w:pPr>
              <w:spacing w:line="480" w:lineRule="exact"/>
              <w:rPr>
                <w:rFonts w:ascii="新宋体" w:hAnsi="新宋体" w:eastAsia="新宋体"/>
                <w:color w:val="auto"/>
                <w:sz w:val="22"/>
                <w:szCs w:val="22"/>
                <w:highlight w:val="none"/>
              </w:rPr>
            </w:pPr>
          </w:p>
        </w:tc>
        <w:tc>
          <w:tcPr>
            <w:tcW w:w="1502" w:type="dxa"/>
            <w:vMerge w:val="continue"/>
          </w:tcPr>
          <w:p>
            <w:pPr>
              <w:spacing w:line="480" w:lineRule="exact"/>
              <w:rPr>
                <w:rFonts w:ascii="新宋体" w:hAnsi="新宋体" w:eastAsia="新宋体"/>
                <w:color w:val="auto"/>
                <w:sz w:val="22"/>
                <w:szCs w:val="22"/>
                <w:highlight w:val="none"/>
              </w:rPr>
            </w:pPr>
          </w:p>
        </w:tc>
        <w:tc>
          <w:tcPr>
            <w:tcW w:w="4064" w:type="dxa"/>
            <w:gridSpan w:val="4"/>
            <w:vMerge w:val="continue"/>
          </w:tcPr>
          <w:p>
            <w:pPr>
              <w:spacing w:line="480" w:lineRule="exact"/>
              <w:rPr>
                <w:rFonts w:ascii="新宋体" w:hAnsi="新宋体" w:eastAsia="新宋体"/>
                <w:color w:val="auto"/>
                <w:sz w:val="22"/>
                <w:szCs w:val="22"/>
                <w:highlight w:val="none"/>
              </w:rPr>
            </w:pPr>
          </w:p>
        </w:tc>
      </w:tr>
    </w:tbl>
    <w:p>
      <w:pPr>
        <w:numPr>
          <w:ilvl w:val="2"/>
          <w:numId w:val="4"/>
        </w:numPr>
        <w:tabs>
          <w:tab w:val="left" w:pos="0"/>
        </w:tabs>
        <w:spacing w:line="400" w:lineRule="exact"/>
        <w:ind w:left="0" w:firstLine="0"/>
        <w:rPr>
          <w:rFonts w:ascii="仿宋_GB2312" w:hAnsi="宋体" w:eastAsia="仿宋_GB2312"/>
          <w:color w:val="auto"/>
          <w:szCs w:val="22"/>
          <w:highlight w:val="none"/>
        </w:rPr>
        <w:sectPr>
          <w:pgSz w:w="16838" w:h="11906" w:orient="landscape"/>
          <w:pgMar w:top="1134" w:right="1134" w:bottom="1134" w:left="1134" w:header="851" w:footer="851" w:gutter="0"/>
          <w:cols w:space="720" w:num="1"/>
          <w:docGrid w:linePitch="312" w:charSpace="0"/>
        </w:sectPr>
      </w:pPr>
    </w:p>
    <w:p>
      <w:pPr>
        <w:spacing w:line="460" w:lineRule="exact"/>
        <w:ind w:firstLine="541" w:firstLineChars="245"/>
        <w:rPr>
          <w:rFonts w:ascii="新宋体" w:hAnsi="新宋体" w:eastAsia="新宋体"/>
          <w:b/>
          <w:bCs/>
          <w:color w:val="auto"/>
          <w:sz w:val="22"/>
          <w:szCs w:val="22"/>
          <w:highlight w:val="none"/>
        </w:rPr>
      </w:pPr>
    </w:p>
    <w:p>
      <w:pPr>
        <w:tabs>
          <w:tab w:val="left" w:pos="1620"/>
        </w:tabs>
        <w:spacing w:line="460" w:lineRule="exact"/>
        <w:outlineLvl w:val="3"/>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（3）企业法人有效营业执照 （复印件盖单位公章）</w:t>
      </w:r>
    </w:p>
    <w:p>
      <w:pPr>
        <w:tabs>
          <w:tab w:val="left" w:pos="1620"/>
        </w:tabs>
        <w:spacing w:line="460" w:lineRule="exact"/>
        <w:rPr>
          <w:rFonts w:ascii="新宋体" w:hAnsi="新宋体" w:eastAsia="新宋体"/>
          <w:b/>
          <w:bCs/>
          <w:color w:val="auto"/>
          <w:sz w:val="22"/>
          <w:szCs w:val="22"/>
          <w:highlight w:val="none"/>
        </w:rPr>
      </w:pPr>
    </w:p>
    <w:p>
      <w:pPr>
        <w:tabs>
          <w:tab w:val="left" w:pos="1620"/>
        </w:tabs>
        <w:spacing w:line="460" w:lineRule="exact"/>
        <w:outlineLvl w:val="3"/>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（4）监狱企业的相关证明材料</w:t>
      </w: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tabs>
          <w:tab w:val="left" w:pos="1620"/>
        </w:tabs>
        <w:spacing w:line="460" w:lineRule="exact"/>
        <w:outlineLvl w:val="3"/>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（6）中小企业的相关证明材料</w:t>
      </w:r>
    </w:p>
    <w:p>
      <w:pPr>
        <w:spacing w:line="380" w:lineRule="exact"/>
        <w:rPr>
          <w:rFonts w:ascii="新宋体" w:hAnsi="新宋体" w:eastAsia="新宋体"/>
          <w:color w:val="auto"/>
          <w:sz w:val="22"/>
          <w:szCs w:val="22"/>
          <w:highlight w:val="none"/>
        </w:rPr>
      </w:pPr>
    </w:p>
    <w:p>
      <w:pPr>
        <w:spacing w:line="460" w:lineRule="exact"/>
        <w:ind w:firstLine="539" w:firstLineChars="245"/>
        <w:rPr>
          <w:rFonts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ascii="新宋体" w:hAnsi="新宋体" w:eastAsia="新宋体"/>
          <w:color w:val="auto"/>
          <w:sz w:val="22"/>
          <w:szCs w:val="22"/>
          <w:highlight w:val="none"/>
          <w:lang w:val="zh-CN"/>
        </w:rPr>
      </w:pPr>
      <w:r>
        <w:rPr>
          <w:rFonts w:hint="eastAsia" w:ascii="新宋体" w:hAnsi="新宋体" w:eastAsia="新宋体"/>
          <w:b/>
          <w:color w:val="auto"/>
          <w:sz w:val="22"/>
          <w:highlight w:val="none"/>
          <w:u w:val="single"/>
        </w:rPr>
        <w:t>▲</w:t>
      </w: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必须提供</w:t>
      </w:r>
      <w:r>
        <w:rPr>
          <w:rFonts w:hint="eastAsia" w:ascii="新宋体" w:hAnsi="新宋体" w:eastAsia="新宋体"/>
          <w:b/>
          <w:bCs/>
          <w:color w:val="auto"/>
          <w:sz w:val="22"/>
          <w:szCs w:val="22"/>
          <w:highlight w:val="none"/>
          <w:u w:val="single"/>
        </w:rPr>
        <w:t>投标人、</w:t>
      </w:r>
      <w:r>
        <w:rPr>
          <w:rFonts w:hint="eastAsia" w:ascii="新宋体" w:hAnsi="新宋体" w:eastAsia="新宋体"/>
          <w:b/>
          <w:bCs/>
          <w:color w:val="auto"/>
          <w:sz w:val="22"/>
          <w:szCs w:val="22"/>
          <w:highlight w:val="none"/>
          <w:u w:val="single"/>
          <w:lang w:val="zh-CN"/>
        </w:rPr>
        <w:t>投标产品生产企业为小型、微型企业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b/>
          <w:bCs/>
          <w:color w:val="auto"/>
          <w:sz w:val="22"/>
          <w:szCs w:val="22"/>
          <w:highlight w:val="none"/>
          <w:u w:val="single"/>
        </w:rPr>
        <w:t>规定所属行业</w:t>
      </w:r>
      <w:r>
        <w:rPr>
          <w:rFonts w:hint="eastAsia" w:ascii="新宋体" w:hAnsi="新宋体" w:eastAsia="新宋体"/>
          <w:b/>
          <w:bCs/>
          <w:color w:val="auto"/>
          <w:sz w:val="22"/>
          <w:szCs w:val="22"/>
          <w:highlight w:val="none"/>
          <w:u w:val="single"/>
          <w:lang w:val="zh-CN"/>
        </w:rPr>
        <w:t>为小型、微型企业</w:t>
      </w:r>
      <w:r>
        <w:rPr>
          <w:rFonts w:hint="eastAsia" w:ascii="新宋体" w:hAnsi="新宋体" w:eastAsia="新宋体"/>
          <w:b/>
          <w:bCs/>
          <w:color w:val="auto"/>
          <w:sz w:val="22"/>
          <w:szCs w:val="22"/>
          <w:highlight w:val="none"/>
          <w:u w:val="single"/>
        </w:rPr>
        <w:t>标准要求对应的</w:t>
      </w:r>
      <w:r>
        <w:rPr>
          <w:rFonts w:hint="eastAsia" w:ascii="新宋体" w:hAnsi="新宋体" w:eastAsia="新宋体"/>
          <w:b/>
          <w:bCs/>
          <w:color w:val="auto"/>
          <w:sz w:val="22"/>
          <w:szCs w:val="22"/>
          <w:highlight w:val="none"/>
          <w:u w:val="single"/>
          <w:lang w:val="zh-CN"/>
        </w:rPr>
        <w:t>相关充分证明材料；</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②</w:t>
      </w:r>
      <w:r>
        <w:rPr>
          <w:rFonts w:hint="eastAsia" w:ascii="新宋体" w:hAnsi="新宋体" w:eastAsia="新宋体"/>
          <w:b/>
          <w:bCs/>
          <w:color w:val="auto"/>
          <w:sz w:val="22"/>
          <w:szCs w:val="22"/>
          <w:highlight w:val="none"/>
          <w:lang w:val="zh-CN"/>
        </w:rPr>
        <w:t>投标人已通过浙江政府采购网申请注册并成为正式入库供应商</w:t>
      </w:r>
      <w:r>
        <w:rPr>
          <w:rFonts w:hint="eastAsia" w:ascii="新宋体" w:hAnsi="新宋体" w:eastAsia="新宋体"/>
          <w:b/>
          <w:bCs/>
          <w:color w:val="auto"/>
          <w:sz w:val="22"/>
          <w:szCs w:val="22"/>
          <w:highlight w:val="none"/>
          <w:u w:val="single"/>
          <w:lang w:val="zh-CN"/>
        </w:rPr>
        <w:t>并提供</w:t>
      </w:r>
      <w:r>
        <w:rPr>
          <w:rFonts w:hint="eastAsia" w:ascii="新宋体" w:hAnsi="新宋体" w:eastAsia="新宋体"/>
          <w:b/>
          <w:bCs/>
          <w:color w:val="auto"/>
          <w:sz w:val="22"/>
          <w:szCs w:val="22"/>
          <w:highlight w:val="none"/>
          <w:u w:val="single"/>
        </w:rPr>
        <w:t>注册为</w:t>
      </w:r>
      <w:r>
        <w:rPr>
          <w:rFonts w:hint="eastAsia" w:ascii="新宋体" w:hAnsi="新宋体" w:eastAsia="新宋体"/>
          <w:b/>
          <w:bCs/>
          <w:color w:val="auto"/>
          <w:sz w:val="22"/>
          <w:szCs w:val="22"/>
          <w:highlight w:val="none"/>
          <w:u w:val="single"/>
          <w:lang w:val="zh-CN"/>
        </w:rPr>
        <w:t>小型、微型企业证明材料</w:t>
      </w:r>
      <w:r>
        <w:rPr>
          <w:rFonts w:hint="eastAsia" w:ascii="新宋体" w:hAnsi="新宋体" w:eastAsia="新宋体"/>
          <w:b/>
          <w:bCs/>
          <w:color w:val="auto"/>
          <w:sz w:val="22"/>
          <w:szCs w:val="22"/>
          <w:highlight w:val="none"/>
          <w:lang w:val="zh-CN"/>
        </w:rPr>
        <w:t>。</w:t>
      </w:r>
    </w:p>
    <w:p>
      <w:pPr>
        <w:spacing w:line="460" w:lineRule="exact"/>
        <w:ind w:firstLine="541" w:firstLineChars="245"/>
        <w:rPr>
          <w:rFonts w:ascii="新宋体" w:hAnsi="新宋体" w:eastAsia="新宋体"/>
          <w:b/>
          <w:bCs/>
          <w:color w:val="auto"/>
          <w:sz w:val="22"/>
          <w:szCs w:val="22"/>
          <w:highlight w:val="none"/>
        </w:rPr>
      </w:pPr>
    </w:p>
    <w:p>
      <w:pPr>
        <w:spacing w:line="460" w:lineRule="exact"/>
        <w:ind w:firstLine="541" w:firstLineChars="245"/>
        <w:rPr>
          <w:rFonts w:ascii="新宋体" w:hAnsi="新宋体" w:eastAsia="新宋体"/>
          <w:b/>
          <w:bCs/>
          <w:color w:val="auto"/>
          <w:sz w:val="22"/>
          <w:szCs w:val="22"/>
          <w:highlight w:val="none"/>
          <w:u w:val="single"/>
          <w:lang w:val="zh-CN"/>
        </w:rPr>
      </w:pPr>
      <w:r>
        <w:rPr>
          <w:rFonts w:hint="eastAsia" w:ascii="新宋体" w:hAnsi="新宋体" w:eastAsia="新宋体"/>
          <w:b/>
          <w:color w:val="auto"/>
          <w:sz w:val="22"/>
          <w:highlight w:val="none"/>
          <w:u w:val="single"/>
        </w:rPr>
        <w:t>▲</w:t>
      </w:r>
      <w:r>
        <w:rPr>
          <w:rFonts w:hint="eastAsia" w:ascii="新宋体" w:hAnsi="新宋体" w:eastAsia="新宋体"/>
          <w:b/>
          <w:bCs/>
          <w:color w:val="auto"/>
          <w:sz w:val="22"/>
          <w:szCs w:val="22"/>
          <w:highlight w:val="none"/>
          <w:u w:val="single"/>
        </w:rPr>
        <w:t>注：</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w:t>
      </w:r>
      <w:r>
        <w:rPr>
          <w:rFonts w:hint="eastAsia" w:ascii="新宋体" w:hAnsi="新宋体" w:eastAsia="新宋体"/>
          <w:b/>
          <w:bCs/>
          <w:color w:val="auto"/>
          <w:sz w:val="22"/>
          <w:szCs w:val="22"/>
          <w:highlight w:val="none"/>
          <w:u w:val="single"/>
          <w:lang w:val="zh-CN"/>
        </w:rPr>
        <w:t>小型、微型企业</w:t>
      </w:r>
      <w:r>
        <w:rPr>
          <w:rFonts w:hint="eastAsia" w:ascii="新宋体" w:hAnsi="新宋体" w:eastAsia="新宋体"/>
          <w:b/>
          <w:bCs/>
          <w:color w:val="auto"/>
          <w:sz w:val="22"/>
          <w:szCs w:val="22"/>
          <w:highlight w:val="none"/>
          <w:u w:val="single"/>
        </w:rPr>
        <w:t>的按非小型或</w:t>
      </w:r>
      <w:r>
        <w:rPr>
          <w:rFonts w:hint="eastAsia" w:ascii="新宋体" w:hAnsi="新宋体" w:eastAsia="新宋体"/>
          <w:b/>
          <w:bCs/>
          <w:color w:val="auto"/>
          <w:sz w:val="22"/>
          <w:szCs w:val="22"/>
          <w:highlight w:val="none"/>
          <w:u w:val="single"/>
          <w:lang w:val="zh-CN"/>
        </w:rPr>
        <w:t>微型企业</w:t>
      </w:r>
      <w:r>
        <w:rPr>
          <w:rFonts w:hint="eastAsia" w:ascii="新宋体" w:hAnsi="新宋体" w:eastAsia="新宋体"/>
          <w:b/>
          <w:bCs/>
          <w:color w:val="auto"/>
          <w:sz w:val="22"/>
          <w:szCs w:val="22"/>
          <w:highlight w:val="none"/>
          <w:u w:val="single"/>
        </w:rPr>
        <w:t>处理，所提供的证明材料应为最新的最近的</w:t>
      </w:r>
      <w:r>
        <w:rPr>
          <w:rFonts w:hint="eastAsia" w:ascii="新宋体" w:hAnsi="新宋体" w:eastAsia="新宋体"/>
          <w:b/>
          <w:bCs/>
          <w:color w:val="auto"/>
          <w:sz w:val="22"/>
          <w:szCs w:val="22"/>
          <w:highlight w:val="none"/>
          <w:u w:val="single"/>
          <w:lang w:val="zh-CN"/>
        </w:rPr>
        <w:t>。</w:t>
      </w:r>
    </w:p>
    <w:p>
      <w:pPr>
        <w:spacing w:line="460" w:lineRule="exact"/>
        <w:ind w:firstLine="541" w:firstLineChars="245"/>
        <w:rPr>
          <w:rFonts w:ascii="新宋体" w:hAnsi="新宋体" w:eastAsia="新宋体"/>
          <w:b/>
          <w:bCs/>
          <w:color w:val="auto"/>
          <w:sz w:val="22"/>
          <w:szCs w:val="22"/>
          <w:highlight w:val="none"/>
          <w:u w:val="single"/>
          <w:lang w:val="zh-CN"/>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tabs>
          <w:tab w:val="left" w:pos="1620"/>
        </w:tabs>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《中小企业声明函》</w:t>
      </w:r>
    </w:p>
    <w:p>
      <w:pPr>
        <w:snapToGrid w:val="0"/>
        <w:spacing w:line="460" w:lineRule="exact"/>
        <w:rPr>
          <w:rFonts w:ascii="新宋体" w:hAnsi="新宋体" w:eastAsia="新宋体" w:cs="新宋体"/>
          <w:color w:val="auto"/>
          <w:sz w:val="22"/>
          <w:szCs w:val="22"/>
          <w:highlight w:val="none"/>
        </w:rPr>
      </w:pPr>
    </w:p>
    <w:p>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w:t>
      </w:r>
    </w:p>
    <w:p>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本公司对上述声明的真实性负责。如有虚假，将依法承担相应责任。</w:t>
      </w:r>
    </w:p>
    <w:p>
      <w:pPr>
        <w:snapToGrid w:val="0"/>
        <w:spacing w:line="460" w:lineRule="exact"/>
        <w:rPr>
          <w:rFonts w:ascii="新宋体" w:hAnsi="新宋体" w:eastAsia="新宋体" w:cs="新宋体"/>
          <w:color w:val="auto"/>
          <w:sz w:val="22"/>
          <w:szCs w:val="22"/>
          <w:highlight w:val="none"/>
        </w:rPr>
      </w:pPr>
    </w:p>
    <w:p>
      <w:pPr>
        <w:snapToGrid w:val="0"/>
        <w:spacing w:line="460" w:lineRule="exact"/>
        <w:rPr>
          <w:rFonts w:ascii="新宋体" w:hAnsi="新宋体" w:eastAsia="新宋体" w:cs="新宋体"/>
          <w:color w:val="auto"/>
          <w:sz w:val="22"/>
          <w:szCs w:val="22"/>
          <w:highlight w:val="none"/>
        </w:rPr>
      </w:pPr>
    </w:p>
    <w:p>
      <w:pPr>
        <w:snapToGrid w:val="0"/>
        <w:spacing w:line="460" w:lineRule="exact"/>
        <w:rPr>
          <w:rFonts w:ascii="新宋体" w:hAnsi="新宋体" w:eastAsia="新宋体" w:cs="新宋体"/>
          <w:color w:val="auto"/>
          <w:spacing w:val="20"/>
          <w:sz w:val="22"/>
          <w:szCs w:val="22"/>
          <w:highlight w:val="none"/>
          <w:u w:val="single"/>
        </w:rPr>
      </w:pPr>
      <w:r>
        <w:rPr>
          <w:rFonts w:hint="eastAsia" w:ascii="新宋体" w:hAnsi="新宋体" w:eastAsia="新宋体" w:cs="新宋体"/>
          <w:color w:val="auto"/>
          <w:sz w:val="22"/>
          <w:szCs w:val="22"/>
          <w:highlight w:val="none"/>
        </w:rPr>
        <w:t>法定代表人或授权委托人</w:t>
      </w:r>
      <w:r>
        <w:rPr>
          <w:rFonts w:hint="eastAsia" w:ascii="新宋体" w:hAnsi="新宋体" w:eastAsia="新宋体" w:cs="新宋体"/>
          <w:color w:val="auto"/>
          <w:spacing w:val="20"/>
          <w:sz w:val="22"/>
          <w:szCs w:val="22"/>
          <w:highlight w:val="none"/>
        </w:rPr>
        <w:t>签名：</w:t>
      </w:r>
      <w:r>
        <w:rPr>
          <w:rFonts w:hint="eastAsia" w:ascii="新宋体" w:hAnsi="新宋体" w:eastAsia="新宋体" w:cs="新宋体"/>
          <w:color w:val="auto"/>
          <w:spacing w:val="20"/>
          <w:sz w:val="22"/>
          <w:szCs w:val="22"/>
          <w:highlight w:val="none"/>
          <w:u w:val="single"/>
        </w:rPr>
        <w:t xml:space="preserve">          </w:t>
      </w:r>
    </w:p>
    <w:p>
      <w:pPr>
        <w:snapToGrid w:val="0"/>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投标人盖章：</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 xml:space="preserve">           日  期：</w:t>
      </w: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spacing w:line="460" w:lineRule="exact"/>
        <w:rPr>
          <w:rFonts w:ascii="新宋体" w:hAnsi="新宋体" w:eastAsia="新宋体" w:cs="新宋体"/>
          <w:color w:val="auto"/>
          <w:spacing w:val="20"/>
          <w:sz w:val="22"/>
          <w:szCs w:val="22"/>
          <w:highlight w:val="none"/>
        </w:rPr>
      </w:pPr>
    </w:p>
    <w:p>
      <w:pPr>
        <w:tabs>
          <w:tab w:val="left" w:pos="1620"/>
        </w:tabs>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（7）投标人信用查询</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3、投标人信用信息查询记录和证据留存的具体方式：网页截图打印；</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00" w:lineRule="exact"/>
        <w:jc w:val="center"/>
        <w:rPr>
          <w:rFonts w:ascii="新宋体" w:hAnsi="新宋体" w:eastAsia="新宋体"/>
          <w:b/>
          <w:bCs/>
          <w:color w:val="auto"/>
          <w:sz w:val="28"/>
          <w:szCs w:val="28"/>
          <w:highlight w:val="none"/>
        </w:rPr>
      </w:pPr>
    </w:p>
    <w:p>
      <w:pPr>
        <w:spacing w:line="46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pStyle w:val="24"/>
        <w:spacing w:line="460" w:lineRule="exact"/>
        <w:ind w:left="433" w:hanging="433" w:hangingChars="196"/>
        <w:outlineLvl w:val="1"/>
        <w:rPr>
          <w:rFonts w:ascii="新宋体" w:hAnsi="新宋体" w:eastAsia="新宋体"/>
          <w:b/>
          <w:color w:val="auto"/>
          <w:sz w:val="22"/>
          <w:highlight w:val="none"/>
        </w:rPr>
      </w:pPr>
      <w:r>
        <w:rPr>
          <w:rFonts w:hint="eastAsia" w:ascii="新宋体" w:hAnsi="新宋体" w:eastAsia="新宋体"/>
          <w:b/>
          <w:color w:val="auto"/>
          <w:sz w:val="22"/>
          <w:highlight w:val="none"/>
        </w:rPr>
        <w:t>附件五</w:t>
      </w:r>
    </w:p>
    <w:p>
      <w:pPr>
        <w:spacing w:line="400" w:lineRule="exact"/>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 xml:space="preserve"> </w:t>
      </w:r>
      <w:r>
        <w:rPr>
          <w:rFonts w:hint="eastAsia" w:ascii="新宋体" w:hAnsi="新宋体" w:eastAsia="新宋体"/>
          <w:b/>
          <w:bCs/>
          <w:color w:val="auto"/>
          <w:sz w:val="28"/>
          <w:szCs w:val="28"/>
          <w:highlight w:val="none"/>
          <w:lang w:val="zh-CN"/>
        </w:rPr>
        <w:t>偏离表</w:t>
      </w:r>
    </w:p>
    <w:p>
      <w:pPr>
        <w:spacing w:line="40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highlight w:val="none"/>
        </w:rPr>
        <w:t>（标段</w:t>
      </w:r>
      <w:r>
        <w:rPr>
          <w:rFonts w:hint="eastAsia" w:ascii="新宋体" w:hAnsi="新宋体" w:eastAsia="新宋体"/>
          <w:b/>
          <w:color w:val="auto"/>
          <w:sz w:val="22"/>
          <w:highlight w:val="none"/>
          <w:u w:val="single"/>
        </w:rPr>
        <w:t xml:space="preserve">             </w:t>
      </w:r>
      <w:r>
        <w:rPr>
          <w:rFonts w:hint="eastAsia" w:ascii="新宋体" w:hAnsi="新宋体" w:eastAsia="新宋体"/>
          <w:b/>
          <w:color w:val="auto"/>
          <w:sz w:val="22"/>
          <w:highlight w:val="none"/>
        </w:rPr>
        <w:t xml:space="preserve"> ）</w:t>
      </w:r>
    </w:p>
    <w:p>
      <w:pPr>
        <w:spacing w:line="560" w:lineRule="exact"/>
        <w:ind w:firstLine="433" w:firstLineChars="196"/>
        <w:rPr>
          <w:rFonts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64"/>
        <w:tblW w:w="8772"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754" w:type="dxa"/>
            <w:shd w:val="clear" w:color="auto" w:fill="FFFFFF"/>
            <w:vAlign w:val="center"/>
          </w:tcPr>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序  号</w:t>
            </w:r>
          </w:p>
        </w:tc>
        <w:tc>
          <w:tcPr>
            <w:tcW w:w="1754" w:type="dxa"/>
            <w:shd w:val="clear" w:color="auto" w:fill="FFFFFF"/>
            <w:vAlign w:val="center"/>
          </w:tcPr>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招标文件</w:t>
            </w:r>
          </w:p>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条目</w:t>
            </w:r>
          </w:p>
        </w:tc>
        <w:tc>
          <w:tcPr>
            <w:tcW w:w="1754" w:type="dxa"/>
            <w:shd w:val="clear" w:color="auto" w:fill="FFFFFF"/>
            <w:vAlign w:val="center"/>
          </w:tcPr>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招标文件</w:t>
            </w:r>
          </w:p>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规格要求</w:t>
            </w:r>
          </w:p>
        </w:tc>
        <w:tc>
          <w:tcPr>
            <w:tcW w:w="1755" w:type="dxa"/>
            <w:shd w:val="clear" w:color="auto" w:fill="FFFFFF"/>
            <w:vAlign w:val="center"/>
          </w:tcPr>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投标文件</w:t>
            </w:r>
          </w:p>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对应规格</w:t>
            </w:r>
          </w:p>
        </w:tc>
        <w:tc>
          <w:tcPr>
            <w:tcW w:w="1755" w:type="dxa"/>
            <w:shd w:val="clear" w:color="auto" w:fill="FFFFFF"/>
            <w:vAlign w:val="center"/>
          </w:tcPr>
          <w:p>
            <w:pPr>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1754" w:type="dxa"/>
            <w:vAlign w:val="center"/>
          </w:tcPr>
          <w:p>
            <w:pPr>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4"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c>
          <w:tcPr>
            <w:tcW w:w="1755" w:type="dxa"/>
            <w:vAlign w:val="center"/>
          </w:tcPr>
          <w:p>
            <w:pPr>
              <w:jc w:val="center"/>
              <w:rPr>
                <w:rFonts w:ascii="新宋体" w:hAnsi="新宋体" w:eastAsia="新宋体"/>
                <w:color w:val="auto"/>
                <w:sz w:val="22"/>
                <w:szCs w:val="22"/>
                <w:highlight w:val="none"/>
              </w:rPr>
            </w:pPr>
          </w:p>
        </w:tc>
      </w:tr>
    </w:tbl>
    <w:p>
      <w:pP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460" w:lineRule="exact"/>
        <w:ind w:firstLine="4400" w:firstLineChars="2000"/>
        <w:rPr>
          <w:rFonts w:ascii="新宋体" w:hAnsi="新宋体" w:eastAsia="新宋体"/>
          <w:color w:val="auto"/>
          <w:sz w:val="22"/>
          <w:szCs w:val="22"/>
          <w:highlight w:val="none"/>
        </w:rPr>
      </w:pPr>
    </w:p>
    <w:p>
      <w:pPr>
        <w:spacing w:line="460" w:lineRule="exact"/>
        <w:ind w:firstLine="541" w:firstLineChars="245"/>
        <w:outlineLvl w:val="1"/>
        <w:rPr>
          <w:rFonts w:ascii="新宋体" w:hAnsi="新宋体" w:eastAsia="新宋体"/>
          <w:b/>
          <w:bCs/>
          <w:color w:val="auto"/>
          <w:sz w:val="28"/>
          <w:szCs w:val="28"/>
          <w:highlight w:val="none"/>
        </w:rPr>
      </w:pPr>
      <w:r>
        <w:rPr>
          <w:rFonts w:hint="eastAsia" w:ascii="新宋体" w:hAnsi="新宋体" w:eastAsia="新宋体"/>
          <w:b/>
          <w:bCs/>
          <w:color w:val="auto"/>
          <w:sz w:val="22"/>
          <w:szCs w:val="22"/>
          <w:highlight w:val="none"/>
        </w:rPr>
        <w:t>附件六</w:t>
      </w:r>
    </w:p>
    <w:p>
      <w:pPr>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详细的供货清单一览表</w:t>
      </w:r>
    </w:p>
    <w:p>
      <w:pPr>
        <w:jc w:val="center"/>
        <w:rPr>
          <w:rFonts w:ascii="新宋体" w:hAnsi="新宋体" w:eastAsia="新宋体"/>
          <w:b/>
          <w:color w:val="auto"/>
          <w:sz w:val="22"/>
          <w:szCs w:val="22"/>
          <w:highlight w:val="none"/>
        </w:rPr>
      </w:pPr>
      <w:r>
        <w:rPr>
          <w:rFonts w:hint="eastAsia" w:ascii="新宋体" w:hAnsi="新宋体" w:eastAsia="新宋体"/>
          <w:b/>
          <w:color w:val="auto"/>
          <w:sz w:val="22"/>
          <w:highlight w:val="none"/>
        </w:rPr>
        <w:t>（标段</w:t>
      </w:r>
      <w:r>
        <w:rPr>
          <w:rFonts w:hint="eastAsia" w:ascii="新宋体" w:hAnsi="新宋体" w:eastAsia="新宋体"/>
          <w:b/>
          <w:color w:val="auto"/>
          <w:sz w:val="22"/>
          <w:highlight w:val="none"/>
          <w:u w:val="single"/>
        </w:rPr>
        <w:t xml:space="preserve">             </w:t>
      </w:r>
      <w:r>
        <w:rPr>
          <w:rFonts w:hint="eastAsia" w:ascii="新宋体" w:hAnsi="新宋体" w:eastAsia="新宋体"/>
          <w:b/>
          <w:color w:val="auto"/>
          <w:sz w:val="22"/>
          <w:highlight w:val="none"/>
        </w:rPr>
        <w:t xml:space="preserve"> ）</w:t>
      </w:r>
    </w:p>
    <w:p>
      <w:pPr>
        <w:rPr>
          <w:rFonts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 xml:space="preserve"> 项目名称：                                                       项目编号：</w:t>
      </w:r>
    </w:p>
    <w:tbl>
      <w:tblPr>
        <w:tblStyle w:val="64"/>
        <w:tblpPr w:leftFromText="180" w:rightFromText="180" w:vertAnchor="text" w:horzAnchor="margin" w:tblpY="161"/>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566"/>
        <w:gridCol w:w="2117"/>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828"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设备名称/型号</w:t>
            </w:r>
          </w:p>
        </w:tc>
        <w:tc>
          <w:tcPr>
            <w:tcW w:w="2566"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2117"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（生产厂家）/品牌</w:t>
            </w:r>
          </w:p>
        </w:tc>
        <w:tc>
          <w:tcPr>
            <w:tcW w:w="1260"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tcPr>
          <w:p>
            <w:pPr>
              <w:spacing w:line="360" w:lineRule="auto"/>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tcPr>
          <w:p>
            <w:pPr>
              <w:spacing w:line="360" w:lineRule="auto"/>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tcPr>
          <w:p>
            <w:pPr>
              <w:spacing w:line="360" w:lineRule="auto"/>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tcPr>
          <w:p>
            <w:pPr>
              <w:spacing w:line="360" w:lineRule="auto"/>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Cs/>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bl>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附注：本表必须根据第五部分“招标内容及要求”的内容详细填写及说明，除清单内容外的设备，投标人可增项。（</w:t>
      </w:r>
      <w:r>
        <w:rPr>
          <w:rFonts w:hint="eastAsia" w:ascii="新宋体" w:hAnsi="新宋体" w:eastAsia="新宋体"/>
          <w:b/>
          <w:bCs/>
          <w:color w:val="auto"/>
          <w:sz w:val="22"/>
          <w:szCs w:val="22"/>
          <w:highlight w:val="none"/>
          <w:u w:val="single"/>
        </w:rPr>
        <w:t>如果内容提供不全而导致对投标人不利评定的风险由投标人自行承担</w:t>
      </w:r>
      <w:r>
        <w:rPr>
          <w:rFonts w:hint="eastAsia" w:ascii="新宋体" w:hAnsi="新宋体" w:eastAsia="新宋体"/>
          <w:b/>
          <w:bCs/>
          <w:color w:val="auto"/>
          <w:sz w:val="22"/>
          <w:szCs w:val="22"/>
          <w:highlight w:val="none"/>
        </w:rPr>
        <w:t>）</w:t>
      </w: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5060" w:firstLineChars="2300"/>
        <w:rPr>
          <w:rFonts w:ascii="新宋体" w:hAnsi="新宋体" w:eastAsia="新宋体"/>
          <w:color w:val="auto"/>
          <w:sz w:val="22"/>
          <w:szCs w:val="22"/>
          <w:highlight w:val="none"/>
        </w:rPr>
      </w:pPr>
    </w:p>
    <w:p>
      <w:pPr>
        <w:spacing w:line="460" w:lineRule="exact"/>
        <w:ind w:firstLine="541" w:firstLineChars="245"/>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附件七</w:t>
      </w:r>
    </w:p>
    <w:p>
      <w:pPr>
        <w:spacing w:line="380" w:lineRule="exact"/>
        <w:rPr>
          <w:rFonts w:ascii="新宋体" w:hAnsi="新宋体" w:eastAsia="新宋体"/>
          <w:color w:val="auto"/>
          <w:sz w:val="22"/>
          <w:szCs w:val="22"/>
          <w:highlight w:val="none"/>
        </w:rPr>
      </w:pPr>
    </w:p>
    <w:p>
      <w:pPr>
        <w:spacing w:line="400" w:lineRule="exact"/>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备品、备件、专用工具清单</w:t>
      </w:r>
    </w:p>
    <w:p>
      <w:pPr>
        <w:spacing w:line="400" w:lineRule="exact"/>
        <w:ind w:left="-25" w:leftChars="-12"/>
        <w:jc w:val="center"/>
        <w:rPr>
          <w:rFonts w:ascii="新宋体" w:hAnsi="新宋体" w:eastAsia="新宋体"/>
          <w:b/>
          <w:bCs/>
          <w:color w:val="auto"/>
          <w:sz w:val="22"/>
          <w:szCs w:val="22"/>
          <w:highlight w:val="none"/>
        </w:rPr>
      </w:pPr>
      <w:r>
        <w:rPr>
          <w:rFonts w:hint="eastAsia" w:ascii="新宋体" w:hAnsi="新宋体" w:eastAsia="新宋体"/>
          <w:b/>
          <w:color w:val="auto"/>
          <w:sz w:val="22"/>
          <w:highlight w:val="none"/>
        </w:rPr>
        <w:t xml:space="preserve">（标段 </w:t>
      </w:r>
      <w:r>
        <w:rPr>
          <w:rFonts w:hint="eastAsia" w:ascii="新宋体" w:hAnsi="新宋体" w:eastAsia="新宋体"/>
          <w:b/>
          <w:color w:val="auto"/>
          <w:sz w:val="22"/>
          <w:highlight w:val="none"/>
          <w:u w:val="single"/>
        </w:rPr>
        <w:t xml:space="preserve">             </w:t>
      </w:r>
      <w:r>
        <w:rPr>
          <w:rFonts w:hint="eastAsia" w:ascii="新宋体" w:hAnsi="新宋体" w:eastAsia="新宋体"/>
          <w:b/>
          <w:color w:val="auto"/>
          <w:sz w:val="22"/>
          <w:highlight w:val="none"/>
        </w:rPr>
        <w:t>）</w:t>
      </w:r>
    </w:p>
    <w:p>
      <w:pPr>
        <w:spacing w:line="400" w:lineRule="exact"/>
        <w:ind w:left="-25" w:leftChars="-12"/>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项目名称：                                                  项目编号：</w:t>
      </w:r>
    </w:p>
    <w:tbl>
      <w:tblPr>
        <w:tblStyle w:val="64"/>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56"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240"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名  称</w:t>
            </w:r>
          </w:p>
        </w:tc>
        <w:tc>
          <w:tcPr>
            <w:tcW w:w="1404"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规格型号</w:t>
            </w:r>
          </w:p>
        </w:tc>
        <w:tc>
          <w:tcPr>
            <w:tcW w:w="796"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3704"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原产地/制造商</w:t>
            </w:r>
          </w:p>
        </w:tc>
        <w:tc>
          <w:tcPr>
            <w:tcW w:w="1568"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bl>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说明：</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1、此表仅提供了表格形式，投标人可按此表格复制。</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2、如果无此内容，报价时需说明。</w:t>
      </w:r>
    </w:p>
    <w:p>
      <w:pPr>
        <w:spacing w:line="400" w:lineRule="exact"/>
        <w:ind w:firstLine="4620" w:firstLineChars="2100"/>
        <w:rPr>
          <w:rFonts w:ascii="新宋体" w:hAnsi="新宋体" w:eastAsia="新宋体"/>
          <w:color w:val="auto"/>
          <w:sz w:val="22"/>
          <w:szCs w:val="22"/>
          <w:highlight w:val="none"/>
        </w:rPr>
      </w:pPr>
    </w:p>
    <w:p>
      <w:pPr>
        <w:spacing w:line="400" w:lineRule="exact"/>
        <w:ind w:firstLine="5280" w:firstLineChars="24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541" w:firstLineChars="245"/>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附件八</w:t>
      </w:r>
    </w:p>
    <w:p>
      <w:pPr>
        <w:spacing w:line="380" w:lineRule="exact"/>
        <w:rPr>
          <w:rFonts w:ascii="新宋体" w:hAnsi="新宋体" w:eastAsia="新宋体"/>
          <w:color w:val="auto"/>
          <w:sz w:val="22"/>
          <w:szCs w:val="22"/>
          <w:highlight w:val="none"/>
        </w:rPr>
      </w:pPr>
    </w:p>
    <w:p>
      <w:pPr>
        <w:spacing w:line="400" w:lineRule="exact"/>
        <w:jc w:val="center"/>
        <w:outlineLvl w:val="2"/>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供招标人选购的备品备件及维保期期满后</w:t>
      </w:r>
    </w:p>
    <w:p>
      <w:pPr>
        <w:spacing w:line="40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相关维修配件清单一览表</w:t>
      </w:r>
    </w:p>
    <w:p>
      <w:pPr>
        <w:spacing w:line="400" w:lineRule="exact"/>
        <w:jc w:val="center"/>
        <w:rPr>
          <w:rFonts w:ascii="新宋体" w:hAnsi="新宋体" w:eastAsia="新宋体"/>
          <w:b/>
          <w:bCs/>
          <w:color w:val="auto"/>
          <w:sz w:val="28"/>
          <w:szCs w:val="28"/>
          <w:highlight w:val="none"/>
        </w:rPr>
      </w:pPr>
      <w:r>
        <w:rPr>
          <w:rFonts w:hint="eastAsia" w:ascii="新宋体" w:hAnsi="新宋体" w:eastAsia="新宋体"/>
          <w:b/>
          <w:color w:val="auto"/>
          <w:sz w:val="22"/>
          <w:highlight w:val="none"/>
        </w:rPr>
        <w:t xml:space="preserve">（标段 </w:t>
      </w:r>
      <w:r>
        <w:rPr>
          <w:rFonts w:hint="eastAsia" w:ascii="新宋体" w:hAnsi="新宋体" w:eastAsia="新宋体"/>
          <w:b/>
          <w:color w:val="auto"/>
          <w:sz w:val="22"/>
          <w:highlight w:val="none"/>
          <w:u w:val="single"/>
        </w:rPr>
        <w:t xml:space="preserve">             </w:t>
      </w:r>
      <w:r>
        <w:rPr>
          <w:rFonts w:hint="eastAsia" w:ascii="新宋体" w:hAnsi="新宋体" w:eastAsia="新宋体"/>
          <w:b/>
          <w:color w:val="auto"/>
          <w:sz w:val="22"/>
          <w:highlight w:val="none"/>
        </w:rPr>
        <w:t>）</w:t>
      </w:r>
    </w:p>
    <w:p>
      <w:pPr>
        <w:pStyle w:val="38"/>
        <w:tabs>
          <w:tab w:val="right" w:leader="dot" w:pos="9628"/>
        </w:tabs>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项目名称：                                                  项目编号：</w:t>
      </w:r>
      <w:r>
        <w:rPr>
          <w:rFonts w:hint="eastAsia" w:ascii="新宋体" w:hAnsi="新宋体" w:eastAsia="新宋体" w:cs="新宋体"/>
          <w:color w:val="auto"/>
          <w:sz w:val="22"/>
          <w:szCs w:val="22"/>
          <w:highlight w:val="none"/>
        </w:rPr>
        <w:t xml:space="preserve">                                                 </w:t>
      </w:r>
    </w:p>
    <w:tbl>
      <w:tblPr>
        <w:tblStyle w:val="64"/>
        <w:tblW w:w="100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733"/>
        <w:gridCol w:w="1680"/>
        <w:gridCol w:w="780"/>
        <w:gridCol w:w="1181"/>
        <w:gridCol w:w="892"/>
        <w:gridCol w:w="892"/>
        <w:gridCol w:w="752"/>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107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733"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设备名称及编号</w:t>
            </w:r>
          </w:p>
        </w:tc>
        <w:tc>
          <w:tcPr>
            <w:tcW w:w="168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备件/配件</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名称</w:t>
            </w:r>
          </w:p>
        </w:tc>
        <w:tc>
          <w:tcPr>
            <w:tcW w:w="78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81"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89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w:t>
            </w:r>
          </w:p>
        </w:tc>
        <w:tc>
          <w:tcPr>
            <w:tcW w:w="89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价格</w:t>
            </w:r>
            <w:r>
              <w:rPr>
                <w:rFonts w:hint="eastAsia" w:ascii="新宋体" w:hAnsi="新宋体" w:eastAsia="新宋体" w:cs="新宋体"/>
                <w:b/>
                <w:color w:val="auto"/>
                <w:sz w:val="22"/>
                <w:szCs w:val="22"/>
                <w:highlight w:val="none"/>
              </w:rPr>
              <w:t>（元）</w:t>
            </w:r>
          </w:p>
        </w:tc>
        <w:tc>
          <w:tcPr>
            <w:tcW w:w="75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包装形式</w:t>
            </w:r>
          </w:p>
        </w:tc>
        <w:tc>
          <w:tcPr>
            <w:tcW w:w="1069"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72"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bl>
    <w:p>
      <w:pPr>
        <w:pStyle w:val="6"/>
        <w:spacing w:line="400" w:lineRule="exact"/>
        <w:ind w:firstLine="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注：1、相关维修配件按质量保证期期满后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年内的不变价。（时间由各供应商承诺）</w:t>
      </w:r>
    </w:p>
    <w:p>
      <w:pPr>
        <w:pStyle w:val="6"/>
        <w:spacing w:line="400" w:lineRule="exact"/>
        <w:ind w:firstLine="433" w:firstLineChars="196"/>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2、本表中所列价格不计入投标总价，仅供招标人选购时用。</w:t>
      </w:r>
    </w:p>
    <w:p>
      <w:pPr>
        <w:pStyle w:val="6"/>
        <w:spacing w:line="400" w:lineRule="exact"/>
        <w:ind w:firstLine="433" w:firstLineChars="196"/>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3、此表仅提供了表格形式，投标人应根据需要准备足够数量的表格来填写。</w:t>
      </w:r>
    </w:p>
    <w:p>
      <w:pPr>
        <w:spacing w:line="400" w:lineRule="exact"/>
        <w:ind w:firstLine="4620" w:firstLineChars="2100"/>
        <w:rPr>
          <w:rFonts w:ascii="新宋体" w:hAnsi="新宋体" w:eastAsia="新宋体"/>
          <w:color w:val="auto"/>
          <w:sz w:val="22"/>
          <w:szCs w:val="22"/>
          <w:highlight w:val="none"/>
        </w:rPr>
      </w:pPr>
    </w:p>
    <w:p>
      <w:pPr>
        <w:spacing w:line="400" w:lineRule="exact"/>
        <w:ind w:firstLine="5280" w:firstLineChars="24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460" w:lineRule="exact"/>
        <w:ind w:firstLine="4400" w:firstLineChars="2000"/>
        <w:rPr>
          <w:rFonts w:ascii="新宋体" w:hAnsi="新宋体" w:eastAsia="新宋体"/>
          <w:color w:val="auto"/>
          <w:sz w:val="22"/>
          <w:szCs w:val="22"/>
          <w:highlight w:val="none"/>
        </w:rPr>
      </w:pPr>
    </w:p>
    <w:p>
      <w:pPr>
        <w:ind w:left="143" w:leftChars="68"/>
        <w:rPr>
          <w:rFonts w:ascii="新宋体" w:hAnsi="新宋体" w:eastAsia="新宋体"/>
          <w:b/>
          <w:bCs/>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附件九</w:t>
      </w: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投标人综合实力</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（标段一：开发区雪亮工程高清人脸识别监控租赁）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rPr>
          <w:rFonts w:ascii="新宋体" w:hAnsi="新宋体" w:eastAsia="新宋体"/>
          <w:b/>
          <w:bCs/>
          <w:color w:val="auto"/>
          <w:sz w:val="22"/>
          <w:szCs w:val="22"/>
          <w:highlight w:val="none"/>
        </w:rPr>
      </w:pPr>
    </w:p>
    <w:p>
      <w:pPr>
        <w:spacing w:line="380" w:lineRule="exact"/>
        <w:rPr>
          <w:rFonts w:ascii="新宋体" w:hAnsi="新宋体" w:eastAsia="新宋体"/>
          <w:b/>
          <w:bCs/>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产品配置及技术参数</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（标段一：开发区雪亮工程高清人脸识别监控租赁）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附件十一</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投标产品情况比较</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 开发区雪亮工程高清人脸识别监控租赁）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附件十二</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技术方案</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 开发区雪亮工程高清人脸识别监控租赁）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附件十三</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实施方案</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 开发区雪亮工程高清人脸识别监控租赁）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附件十四</w:t>
      </w:r>
    </w:p>
    <w:p>
      <w:pPr>
        <w:spacing w:line="380" w:lineRule="exact"/>
        <w:rPr>
          <w:rFonts w:ascii="新宋体" w:hAnsi="新宋体" w:eastAsia="新宋体"/>
          <w:b/>
          <w:bCs/>
          <w:color w:val="auto"/>
          <w:sz w:val="22"/>
          <w:szCs w:val="22"/>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项目实施进度计划表</w:t>
      </w:r>
    </w:p>
    <w:p>
      <w:pPr>
        <w:adjustRightInd w:val="0"/>
        <w:snapToGrid w:val="0"/>
        <w:spacing w:line="360" w:lineRule="auto"/>
        <w:jc w:val="center"/>
        <w:rPr>
          <w:rFonts w:ascii="宋体" w:hAnsi="宋体"/>
          <w:color w:val="auto"/>
          <w:kern w:val="0"/>
          <w:szCs w:val="21"/>
          <w:highlight w:val="none"/>
        </w:rPr>
      </w:pPr>
      <w:r>
        <w:rPr>
          <w:rFonts w:hint="eastAsia" w:ascii="新宋体" w:hAnsi="新宋体" w:eastAsia="新宋体"/>
          <w:b/>
          <w:color w:val="auto"/>
          <w:sz w:val="22"/>
          <w:highlight w:val="none"/>
        </w:rPr>
        <w:t>（标段一: 开发区雪亮工程高清人脸识别监控租赁）</w:t>
      </w:r>
    </w:p>
    <w:p>
      <w:pPr>
        <w:adjustRightInd w:val="0"/>
        <w:snapToGrid w:val="0"/>
        <w:spacing w:line="360" w:lineRule="auto"/>
        <w:jc w:val="center"/>
        <w:rPr>
          <w:rFonts w:ascii="宋体" w:hAnsi="宋体"/>
          <w:bCs/>
          <w:color w:val="auto"/>
          <w:szCs w:val="21"/>
          <w:highlight w:val="none"/>
        </w:rPr>
      </w:pPr>
      <w:r>
        <w:rPr>
          <w:rFonts w:hint="eastAsia" w:ascii="宋体" w:hAnsi="宋体"/>
          <w:color w:val="auto"/>
          <w:kern w:val="0"/>
          <w:szCs w:val="21"/>
          <w:highlight w:val="none"/>
        </w:rPr>
        <w:t>（以合同生效日算起）</w:t>
      </w:r>
      <w:r>
        <w:rPr>
          <w:rFonts w:hint="eastAsia" w:ascii="宋体" w:hAnsi="宋体"/>
          <w:color w:val="auto"/>
          <w:highlight w:val="none"/>
        </w:rPr>
        <w:t xml:space="preserve">                      </w:t>
      </w:r>
    </w:p>
    <w:p>
      <w:pPr>
        <w:adjustRightInd w:val="0"/>
        <w:snapToGrid w:val="0"/>
        <w:spacing w:line="360" w:lineRule="auto"/>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工程工期：该工程建设在</w:t>
      </w:r>
      <w:r>
        <w:rPr>
          <w:rFonts w:hint="eastAsia" w:ascii="新宋体" w:hAnsi="新宋体" w:eastAsia="新宋体" w:cs="新宋体"/>
          <w:b/>
          <w:bCs/>
          <w:color w:val="auto"/>
          <w:sz w:val="22"/>
          <w:szCs w:val="22"/>
          <w:highlight w:val="none"/>
          <w:u w:val="single"/>
        </w:rPr>
        <w:t xml:space="preserve">        </w:t>
      </w:r>
      <w:r>
        <w:rPr>
          <w:rFonts w:hint="eastAsia" w:ascii="新宋体" w:hAnsi="新宋体" w:eastAsia="新宋体" w:cs="新宋体"/>
          <w:b/>
          <w:bCs/>
          <w:color w:val="auto"/>
          <w:sz w:val="22"/>
          <w:szCs w:val="22"/>
          <w:highlight w:val="none"/>
        </w:rPr>
        <w:t>天内完工。(</w:t>
      </w:r>
      <w:r>
        <w:rPr>
          <w:rFonts w:hint="eastAsia" w:ascii="新宋体" w:hAnsi="新宋体" w:eastAsia="新宋体" w:cs="新宋体"/>
          <w:b/>
          <w:bCs/>
          <w:color w:val="auto"/>
          <w:sz w:val="22"/>
          <w:szCs w:val="22"/>
          <w:highlight w:val="none"/>
          <w:u w:val="single"/>
        </w:rPr>
        <w:t>招标人要求工程工期需在2018年12月1日这前完成验收，具体工期时间则由投标人根据自身情况承诺。)</w:t>
      </w:r>
    </w:p>
    <w:p>
      <w:pPr>
        <w:adjustRightInd w:val="0"/>
        <w:snapToGrid w:val="0"/>
        <w:spacing w:line="360" w:lineRule="auto"/>
        <w:rPr>
          <w:rFonts w:ascii="宋体" w:hAnsi="宋体"/>
          <w:color w:val="auto"/>
          <w:highlight w:val="none"/>
        </w:rPr>
      </w:pPr>
      <w:r>
        <w:rPr>
          <w:rFonts w:hint="eastAsia" w:ascii="新宋体" w:hAnsi="新宋体" w:eastAsia="新宋体"/>
          <w:b/>
          <w:color w:val="auto"/>
          <w:sz w:val="22"/>
          <w:highlight w:val="none"/>
        </w:rPr>
        <w:t>项目名称：                                           项目编号：</w:t>
      </w:r>
    </w:p>
    <w:tbl>
      <w:tblPr>
        <w:tblStyle w:val="64"/>
        <w:tblW w:w="9434"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1648"/>
        <w:gridCol w:w="522"/>
        <w:gridCol w:w="520"/>
        <w:gridCol w:w="520"/>
        <w:gridCol w:w="520"/>
        <w:gridCol w:w="520"/>
        <w:gridCol w:w="519"/>
        <w:gridCol w:w="519"/>
        <w:gridCol w:w="519"/>
        <w:gridCol w:w="519"/>
        <w:gridCol w:w="519"/>
        <w:gridCol w:w="519"/>
        <w:gridCol w:w="519"/>
        <w:gridCol w:w="519"/>
        <w:gridCol w:w="519"/>
        <w:gridCol w:w="51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tcBorders>
              <w:top w:val="single" w:color="auto" w:sz="8" w:space="0"/>
              <w:bottom w:val="single" w:color="auto" w:sz="2" w:space="0"/>
              <w:tl2br w:val="single" w:color="auto" w:sz="2" w:space="0"/>
            </w:tcBorders>
            <w:vAlign w:val="center"/>
          </w:tcPr>
          <w:p>
            <w:pPr>
              <w:adjustRightInd w:val="0"/>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工作周</w:t>
            </w:r>
          </w:p>
          <w:p>
            <w:pPr>
              <w:adjustRightInd w:val="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内容</w:t>
            </w:r>
          </w:p>
        </w:tc>
        <w:tc>
          <w:tcPr>
            <w:tcW w:w="522"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513"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tcBorders>
              <w:top w:val="single" w:color="auto" w:sz="2" w:space="0"/>
            </w:tcBorders>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bl>
    <w:p>
      <w:pPr>
        <w:adjustRightInd w:val="0"/>
        <w:spacing w:beforeLines="50" w:line="360"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附注：上述时间表的格式仅供参考，投标人可自行编制切合实际的具体时间表。</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附件十五</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技术服务及力量保障</w:t>
      </w:r>
    </w:p>
    <w:p>
      <w:pPr>
        <w:tabs>
          <w:tab w:val="left" w:pos="1620"/>
        </w:tabs>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b/>
          <w:color w:val="auto"/>
          <w:sz w:val="22"/>
          <w:highlight w:val="none"/>
        </w:rPr>
        <w:t>（标段一: 开发区雪亮工程高清人脸识别监控租赁）</w:t>
      </w:r>
    </w:p>
    <w:p>
      <w:pPr>
        <w:tabs>
          <w:tab w:val="left" w:pos="1620"/>
        </w:tabs>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（1）项目负责人资格情况表</w:t>
      </w:r>
    </w:p>
    <w:p>
      <w:pPr>
        <w:adjustRightInd w:val="0"/>
        <w:snapToGrid w:val="0"/>
        <w:spacing w:line="360" w:lineRule="auto"/>
        <w:rPr>
          <w:rFonts w:ascii="宋体" w:hAnsi="宋体"/>
          <w:b/>
          <w:bCs/>
          <w:color w:val="auto"/>
          <w:sz w:val="32"/>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64"/>
        <w:tblW w:w="968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974" w:type="dxa"/>
            <w:vAlign w:val="center"/>
          </w:tcPr>
          <w:p>
            <w:pPr>
              <w:pStyle w:val="334"/>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姓名</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Align w:val="center"/>
          </w:tcPr>
          <w:p>
            <w:pPr>
              <w:pStyle w:val="334"/>
              <w:autoSpaceDE w:val="0"/>
              <w:autoSpaceDN w:val="0"/>
              <w:adjustRightInd w:val="0"/>
              <w:spacing w:line="36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自</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日以来负责的相关项目经验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1974" w:type="dxa"/>
            <w:vAlign w:val="center"/>
          </w:tcPr>
          <w:p>
            <w:pPr>
              <w:pStyle w:val="334"/>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1寸免冠照片</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restart"/>
            <w:vAlign w:val="center"/>
          </w:tcPr>
          <w:p>
            <w:pPr>
              <w:pStyle w:val="303"/>
              <w:widowControl w:val="0"/>
              <w:autoSpaceDE w:val="0"/>
              <w:autoSpaceDN w:val="0"/>
              <w:adjustRightInd w:val="0"/>
              <w:spacing w:before="0" w:beforeAutospacing="0" w:after="0" w:afterAutospacing="0" w:line="360" w:lineRule="auto"/>
              <w:textAlignment w:val="auto"/>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注：相关项目经验应提供旁证材料</w:t>
            </w:r>
          </w:p>
          <w:p>
            <w:pPr>
              <w:autoSpaceDE w:val="0"/>
              <w:autoSpaceDN w:val="0"/>
              <w:adjustRightInd w:val="0"/>
              <w:spacing w:line="360"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（需提供原业主单位盖公章的书面证明）。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性别</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年龄</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职称</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毕业院校系及专业</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毕业时间</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最高学历</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联系电话</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最近一年工作单位</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拟在本项目中担任主要工作</w:t>
            </w:r>
          </w:p>
        </w:tc>
        <w:tc>
          <w:tcPr>
            <w:tcW w:w="7713" w:type="dxa"/>
            <w:gridSpan w:val="2"/>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bl>
    <w:p>
      <w:pPr>
        <w:spacing w:line="360" w:lineRule="exact"/>
        <w:ind w:left="972" w:hanging="972" w:hangingChars="44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附注：须随表提交项目主管在投标人的社保证明复印件加投标人盖公章，学历、职称、所获其他证书的证书复印件加盖投标人公章。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beforeLines="100" w:afterLines="50"/>
        <w:rPr>
          <w:rFonts w:ascii="宋体" w:hAnsi="宋体"/>
          <w:b/>
          <w:bCs/>
          <w:color w:val="auto"/>
          <w:sz w:val="22"/>
          <w:szCs w:val="22"/>
          <w:highlight w:val="none"/>
        </w:rPr>
      </w:pPr>
    </w:p>
    <w:p>
      <w:pPr>
        <w:spacing w:beforeLines="100" w:afterLines="50"/>
        <w:rPr>
          <w:rFonts w:ascii="宋体" w:hAnsi="宋体"/>
          <w:b/>
          <w:bCs/>
          <w:color w:val="auto"/>
          <w:sz w:val="22"/>
          <w:szCs w:val="22"/>
          <w:highlight w:val="none"/>
        </w:rPr>
      </w:pPr>
    </w:p>
    <w:p>
      <w:pPr>
        <w:spacing w:beforeLines="100" w:afterLines="50"/>
        <w:rPr>
          <w:rFonts w:ascii="宋体" w:hAnsi="宋体"/>
          <w:b/>
          <w:bCs/>
          <w:color w:val="auto"/>
          <w:sz w:val="22"/>
          <w:szCs w:val="22"/>
          <w:highlight w:val="none"/>
        </w:rPr>
      </w:pPr>
    </w:p>
    <w:p>
      <w:pPr>
        <w:tabs>
          <w:tab w:val="left" w:pos="1620"/>
        </w:tabs>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（2）项目服务人员汇总表</w:t>
      </w:r>
    </w:p>
    <w:p>
      <w:pPr>
        <w:spacing w:line="360" w:lineRule="auto"/>
        <w:rPr>
          <w:rFonts w:ascii="宋体" w:hAnsi="宋体"/>
          <w:bCs/>
          <w:color w:val="auto"/>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6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姓名</w:t>
            </w:r>
          </w:p>
        </w:tc>
        <w:tc>
          <w:tcPr>
            <w:tcW w:w="25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本项目主要工作</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年龄</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性别</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tc>
        <w:tc>
          <w:tcPr>
            <w:tcW w:w="108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年限</w:t>
            </w:r>
          </w:p>
        </w:tc>
        <w:tc>
          <w:tcPr>
            <w:tcW w:w="1458"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职务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和职称/认证</w:t>
            </w:r>
          </w:p>
        </w:tc>
        <w:tc>
          <w:tcPr>
            <w:tcW w:w="142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到现场服务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ind w:left="5250"/>
              <w:rPr>
                <w:rFonts w:ascii="新宋体" w:hAnsi="新宋体" w:eastAsia="新宋体" w:cs="新宋体"/>
                <w:color w:val="auto"/>
                <w:spacing w:val="12"/>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ind w:left="5250"/>
              <w:rPr>
                <w:rFonts w:ascii="新宋体" w:hAnsi="新宋体" w:eastAsia="新宋体" w:cs="新宋体"/>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bl>
    <w:p>
      <w:pPr>
        <w:spacing w:line="360" w:lineRule="exact"/>
        <w:ind w:left="968" w:hanging="968" w:hangingChars="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附注：1、技术负责、施工、设备材料、以及各主要专业工种负责人均应列入；</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2、列入本表人员如要更换，需经招标人同意，擅自更换或不到位属违约行为；</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3、职称/认证证书复印件附后。</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附件十六</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测试验收</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 开发区雪亮工程高清人脸识别监控租赁）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附件十七</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售后服务</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 开发区雪亮工程高清人脸识别监控租赁）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rPr>
          <w:rFonts w:ascii="新宋体" w:hAnsi="新宋体" w:eastAsia="新宋体"/>
          <w:b/>
          <w:bCs/>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附件十八</w:t>
      </w: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同类项目业绩</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（标段一: 开发区雪亮工程高清人脸识别监控租赁）</w:t>
      </w:r>
    </w:p>
    <w:p>
      <w:pPr>
        <w:autoSpaceDE w:val="0"/>
        <w:autoSpaceDN w:val="0"/>
        <w:ind w:right="893" w:firstLine="418"/>
        <w:textAlignment w:val="bottom"/>
        <w:rPr>
          <w:rFonts w:ascii="新宋体" w:hAnsi="新宋体" w:eastAsia="新宋体"/>
          <w:color w:val="auto"/>
          <w:sz w:val="22"/>
          <w:szCs w:val="22"/>
          <w:highlight w:val="none"/>
          <w:lang w:val="zh-CN"/>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r>
        <w:rPr>
          <w:rFonts w:hint="eastAsia" w:ascii="新宋体" w:hAnsi="新宋体" w:eastAsia="新宋体"/>
          <w:color w:val="auto"/>
          <w:sz w:val="28"/>
          <w:highlight w:val="none"/>
        </w:rPr>
        <w:t xml:space="preserve">  </w:t>
      </w:r>
    </w:p>
    <w:tbl>
      <w:tblPr>
        <w:tblStyle w:val="64"/>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用户名称</w:t>
            </w: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合同金额</w:t>
            </w: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联系方式</w:t>
            </w: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bl>
    <w:p>
      <w:pP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提供客户联系方式、采购合同、验收报告复印件加盖投标人公章</w:t>
      </w:r>
    </w:p>
    <w:p>
      <w:pPr>
        <w:rPr>
          <w:rFonts w:ascii="新宋体" w:hAnsi="新宋体" w:eastAsia="新宋体" w:cs="新宋体"/>
          <w:color w:val="auto"/>
          <w:kern w:val="0"/>
          <w:sz w:val="22"/>
          <w:szCs w:val="22"/>
          <w:highlight w:val="none"/>
          <w:lang w:val="zh-CN"/>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rPr>
          <w:rFonts w:ascii="新宋体" w:hAnsi="新宋体" w:eastAsia="新宋体"/>
          <w:b/>
          <w:bCs/>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附件十九</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综合实力</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（标段二：开发区雪亮工程三大平台和运维管理中心的租赁）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rPr>
          <w:rFonts w:ascii="新宋体" w:hAnsi="新宋体" w:eastAsia="新宋体"/>
          <w:b/>
          <w:bCs/>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设备选型</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（标段二：开发区雪亮工程三大平台和运维管理中心的租赁）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附件二十一</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技术方案</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（标段二：开发区雪亮工程三大平台和运维管理中心的租赁）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附件二十二</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施工安排</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（标段二：开发区雪亮工程三大平台和运维管理中心的租赁）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附件二十三</w:t>
      </w:r>
    </w:p>
    <w:p>
      <w:pPr>
        <w:spacing w:line="380" w:lineRule="exact"/>
        <w:rPr>
          <w:rFonts w:ascii="新宋体" w:hAnsi="新宋体" w:eastAsia="新宋体"/>
          <w:b/>
          <w:bCs/>
          <w:color w:val="auto"/>
          <w:sz w:val="22"/>
          <w:szCs w:val="22"/>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项目实施进度计划表</w:t>
      </w:r>
    </w:p>
    <w:p>
      <w:pPr>
        <w:adjustRightInd w:val="0"/>
        <w:snapToGrid w:val="0"/>
        <w:spacing w:line="360" w:lineRule="auto"/>
        <w:jc w:val="center"/>
        <w:rPr>
          <w:rFonts w:ascii="宋体" w:hAnsi="宋体"/>
          <w:color w:val="auto"/>
          <w:kern w:val="0"/>
          <w:szCs w:val="21"/>
          <w:highlight w:val="none"/>
        </w:rPr>
      </w:pPr>
      <w:r>
        <w:rPr>
          <w:rFonts w:hint="eastAsia" w:ascii="新宋体" w:hAnsi="新宋体" w:eastAsia="新宋体"/>
          <w:b/>
          <w:color w:val="auto"/>
          <w:sz w:val="22"/>
          <w:highlight w:val="none"/>
        </w:rPr>
        <w:t>（标段二：开发区雪亮工程三大平台和运维管理中心的租赁）</w:t>
      </w:r>
    </w:p>
    <w:p>
      <w:pPr>
        <w:adjustRightInd w:val="0"/>
        <w:snapToGrid w:val="0"/>
        <w:spacing w:line="360" w:lineRule="auto"/>
        <w:jc w:val="center"/>
        <w:rPr>
          <w:rFonts w:ascii="宋体" w:hAnsi="宋体"/>
          <w:bCs/>
          <w:color w:val="auto"/>
          <w:szCs w:val="21"/>
          <w:highlight w:val="none"/>
        </w:rPr>
      </w:pPr>
      <w:r>
        <w:rPr>
          <w:rFonts w:hint="eastAsia" w:ascii="宋体" w:hAnsi="宋体"/>
          <w:color w:val="auto"/>
          <w:kern w:val="0"/>
          <w:szCs w:val="21"/>
          <w:highlight w:val="none"/>
        </w:rPr>
        <w:t>（以合同生效日算起）</w:t>
      </w:r>
      <w:r>
        <w:rPr>
          <w:rFonts w:hint="eastAsia" w:ascii="宋体" w:hAnsi="宋体"/>
          <w:color w:val="auto"/>
          <w:highlight w:val="none"/>
        </w:rPr>
        <w:t xml:space="preserve">                      </w:t>
      </w:r>
    </w:p>
    <w:p>
      <w:pPr>
        <w:adjustRightInd w:val="0"/>
        <w:snapToGrid w:val="0"/>
        <w:spacing w:line="360" w:lineRule="auto"/>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工程工期：该工程建设在</w:t>
      </w:r>
      <w:r>
        <w:rPr>
          <w:rFonts w:hint="eastAsia" w:ascii="新宋体" w:hAnsi="新宋体" w:eastAsia="新宋体" w:cs="新宋体"/>
          <w:b/>
          <w:bCs/>
          <w:color w:val="auto"/>
          <w:sz w:val="22"/>
          <w:szCs w:val="22"/>
          <w:highlight w:val="none"/>
          <w:u w:val="single"/>
        </w:rPr>
        <w:t xml:space="preserve">        </w:t>
      </w:r>
      <w:r>
        <w:rPr>
          <w:rFonts w:hint="eastAsia" w:ascii="新宋体" w:hAnsi="新宋体" w:eastAsia="新宋体" w:cs="新宋体"/>
          <w:b/>
          <w:bCs/>
          <w:color w:val="auto"/>
          <w:sz w:val="22"/>
          <w:szCs w:val="22"/>
          <w:highlight w:val="none"/>
        </w:rPr>
        <w:t>天内完工。(</w:t>
      </w:r>
      <w:r>
        <w:rPr>
          <w:rFonts w:hint="eastAsia" w:ascii="新宋体" w:hAnsi="新宋体" w:eastAsia="新宋体" w:cs="新宋体"/>
          <w:b/>
          <w:bCs/>
          <w:color w:val="auto"/>
          <w:sz w:val="22"/>
          <w:szCs w:val="22"/>
          <w:highlight w:val="none"/>
          <w:u w:val="single"/>
        </w:rPr>
        <w:t>招标人要求工程工期需在2018年12月1日这前完成验收，具体工期时间则由投标人根据自身情况承诺)</w:t>
      </w:r>
    </w:p>
    <w:p>
      <w:pPr>
        <w:adjustRightInd w:val="0"/>
        <w:snapToGrid w:val="0"/>
        <w:spacing w:line="360" w:lineRule="auto"/>
        <w:rPr>
          <w:rFonts w:ascii="宋体" w:hAnsi="宋体"/>
          <w:color w:val="auto"/>
          <w:highlight w:val="none"/>
        </w:rPr>
      </w:pPr>
      <w:r>
        <w:rPr>
          <w:rFonts w:hint="eastAsia" w:ascii="新宋体" w:hAnsi="新宋体" w:eastAsia="新宋体"/>
          <w:b/>
          <w:color w:val="auto"/>
          <w:sz w:val="22"/>
          <w:highlight w:val="none"/>
        </w:rPr>
        <w:t>项目名称：                                           项目编号：</w:t>
      </w:r>
    </w:p>
    <w:tbl>
      <w:tblPr>
        <w:tblStyle w:val="64"/>
        <w:tblW w:w="9434"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1648"/>
        <w:gridCol w:w="522"/>
        <w:gridCol w:w="520"/>
        <w:gridCol w:w="520"/>
        <w:gridCol w:w="520"/>
        <w:gridCol w:w="520"/>
        <w:gridCol w:w="519"/>
        <w:gridCol w:w="519"/>
        <w:gridCol w:w="519"/>
        <w:gridCol w:w="519"/>
        <w:gridCol w:w="519"/>
        <w:gridCol w:w="519"/>
        <w:gridCol w:w="519"/>
        <w:gridCol w:w="519"/>
        <w:gridCol w:w="519"/>
        <w:gridCol w:w="51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tcBorders>
              <w:top w:val="single" w:color="auto" w:sz="8" w:space="0"/>
              <w:bottom w:val="single" w:color="auto" w:sz="2" w:space="0"/>
              <w:tl2br w:val="single" w:color="auto" w:sz="2" w:space="0"/>
            </w:tcBorders>
            <w:vAlign w:val="center"/>
          </w:tcPr>
          <w:p>
            <w:pPr>
              <w:adjustRightInd w:val="0"/>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工作周</w:t>
            </w:r>
          </w:p>
          <w:p>
            <w:pPr>
              <w:adjustRightInd w:val="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内容</w:t>
            </w:r>
          </w:p>
        </w:tc>
        <w:tc>
          <w:tcPr>
            <w:tcW w:w="522"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513"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tcBorders>
              <w:top w:val="single" w:color="auto" w:sz="2" w:space="0"/>
            </w:tcBorders>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bl>
    <w:p>
      <w:pPr>
        <w:adjustRightInd w:val="0"/>
        <w:spacing w:beforeLines="50" w:line="360"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附注：上述时间表的格式仅供参考，投标人可自行编制切合实际的具体时间表。</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附件二十四</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技术支持与售后</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（标段二：开发区雪亮工程三大平台和运维管理中心的租赁）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64"/>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附件二十五</w:t>
      </w:r>
    </w:p>
    <w:p>
      <w:pPr>
        <w:ind w:left="147" w:leftChars="70"/>
        <w:rPr>
          <w:rFonts w:ascii="新宋体" w:hAnsi="新宋体" w:eastAsia="新宋体"/>
          <w:b/>
          <w:color w:val="auto"/>
          <w:sz w:val="28"/>
          <w:szCs w:val="28"/>
          <w:highlight w:val="none"/>
        </w:rPr>
      </w:pP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技术服务及力量保障</w:t>
      </w:r>
    </w:p>
    <w:p>
      <w:pPr>
        <w:tabs>
          <w:tab w:val="left" w:pos="1620"/>
        </w:tabs>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b/>
          <w:color w:val="auto"/>
          <w:sz w:val="22"/>
          <w:highlight w:val="none"/>
        </w:rPr>
        <w:t>（标段二：开发区雪亮工程三大平台和运维管理中心的租赁）</w:t>
      </w:r>
    </w:p>
    <w:p>
      <w:pPr>
        <w:tabs>
          <w:tab w:val="left" w:pos="1620"/>
        </w:tabs>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（1）项目负责人资格情况表</w:t>
      </w:r>
    </w:p>
    <w:p>
      <w:pPr>
        <w:adjustRightInd w:val="0"/>
        <w:snapToGrid w:val="0"/>
        <w:spacing w:line="360" w:lineRule="auto"/>
        <w:rPr>
          <w:rFonts w:ascii="宋体" w:hAnsi="宋体"/>
          <w:b/>
          <w:bCs/>
          <w:color w:val="auto"/>
          <w:sz w:val="32"/>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64"/>
        <w:tblW w:w="968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974" w:type="dxa"/>
            <w:vAlign w:val="center"/>
          </w:tcPr>
          <w:p>
            <w:pPr>
              <w:pStyle w:val="334"/>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姓名</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Align w:val="center"/>
          </w:tcPr>
          <w:p>
            <w:pPr>
              <w:pStyle w:val="334"/>
              <w:autoSpaceDE w:val="0"/>
              <w:autoSpaceDN w:val="0"/>
              <w:adjustRightInd w:val="0"/>
              <w:spacing w:line="36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自</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日以来负责的相关项目经验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1974" w:type="dxa"/>
            <w:vAlign w:val="center"/>
          </w:tcPr>
          <w:p>
            <w:pPr>
              <w:pStyle w:val="334"/>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1寸免冠照片</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restart"/>
            <w:vAlign w:val="center"/>
          </w:tcPr>
          <w:p>
            <w:pPr>
              <w:pStyle w:val="303"/>
              <w:widowControl w:val="0"/>
              <w:autoSpaceDE w:val="0"/>
              <w:autoSpaceDN w:val="0"/>
              <w:adjustRightInd w:val="0"/>
              <w:spacing w:before="0" w:beforeAutospacing="0" w:after="0" w:afterAutospacing="0" w:line="360" w:lineRule="auto"/>
              <w:textAlignment w:val="auto"/>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注：相关项目经验应提供旁证材料</w:t>
            </w:r>
          </w:p>
          <w:p>
            <w:pPr>
              <w:autoSpaceDE w:val="0"/>
              <w:autoSpaceDN w:val="0"/>
              <w:adjustRightInd w:val="0"/>
              <w:spacing w:line="360"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（需提供原业主单位盖公章的书面证明）。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性别</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年龄</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职称</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毕业院校系及专业</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毕业时间</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最高学历</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联系电话</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最近一年工作单位</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拟在本项目中担任主要工作</w:t>
            </w:r>
          </w:p>
        </w:tc>
        <w:tc>
          <w:tcPr>
            <w:tcW w:w="7713" w:type="dxa"/>
            <w:gridSpan w:val="2"/>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bl>
    <w:p>
      <w:pPr>
        <w:spacing w:line="360" w:lineRule="exact"/>
        <w:ind w:left="972" w:hanging="972" w:hangingChars="44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附注：须随表提交项目主管在投标人的社保证明复印件加投标人盖公章，学历、职称、所获其他证书的证书复印件加盖投标人公章。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beforeLines="100" w:afterLines="50"/>
        <w:rPr>
          <w:rFonts w:ascii="宋体" w:hAnsi="宋体"/>
          <w:b/>
          <w:bCs/>
          <w:color w:val="auto"/>
          <w:sz w:val="22"/>
          <w:szCs w:val="22"/>
          <w:highlight w:val="none"/>
        </w:rPr>
      </w:pPr>
    </w:p>
    <w:p>
      <w:pPr>
        <w:spacing w:beforeLines="100" w:afterLines="50"/>
        <w:rPr>
          <w:rFonts w:ascii="宋体" w:hAnsi="宋体"/>
          <w:b/>
          <w:bCs/>
          <w:color w:val="auto"/>
          <w:sz w:val="22"/>
          <w:szCs w:val="22"/>
          <w:highlight w:val="none"/>
        </w:rPr>
      </w:pPr>
    </w:p>
    <w:p>
      <w:pPr>
        <w:spacing w:beforeLines="100" w:afterLines="50"/>
        <w:rPr>
          <w:rFonts w:ascii="宋体" w:hAnsi="宋体"/>
          <w:b/>
          <w:bCs/>
          <w:color w:val="auto"/>
          <w:sz w:val="22"/>
          <w:szCs w:val="22"/>
          <w:highlight w:val="none"/>
        </w:rPr>
      </w:pPr>
    </w:p>
    <w:p>
      <w:pPr>
        <w:tabs>
          <w:tab w:val="left" w:pos="1620"/>
        </w:tabs>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（2）项目服务人员汇总表</w:t>
      </w:r>
    </w:p>
    <w:p>
      <w:pPr>
        <w:spacing w:line="360" w:lineRule="auto"/>
        <w:rPr>
          <w:rFonts w:ascii="宋体" w:hAnsi="宋体"/>
          <w:bCs/>
          <w:color w:val="auto"/>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6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姓名</w:t>
            </w:r>
          </w:p>
        </w:tc>
        <w:tc>
          <w:tcPr>
            <w:tcW w:w="25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本项目主要工作</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年龄</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性别</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tc>
        <w:tc>
          <w:tcPr>
            <w:tcW w:w="108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年限</w:t>
            </w:r>
          </w:p>
        </w:tc>
        <w:tc>
          <w:tcPr>
            <w:tcW w:w="1458"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职务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和职称/认证</w:t>
            </w:r>
          </w:p>
        </w:tc>
        <w:tc>
          <w:tcPr>
            <w:tcW w:w="142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到现场服务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ind w:left="5250"/>
              <w:rPr>
                <w:rFonts w:ascii="新宋体" w:hAnsi="新宋体" w:eastAsia="新宋体" w:cs="新宋体"/>
                <w:color w:val="auto"/>
                <w:spacing w:val="12"/>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ind w:left="5250"/>
              <w:rPr>
                <w:rFonts w:ascii="新宋体" w:hAnsi="新宋体" w:eastAsia="新宋体" w:cs="新宋体"/>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bl>
    <w:p>
      <w:pPr>
        <w:spacing w:line="360" w:lineRule="exact"/>
        <w:ind w:left="968" w:hanging="968" w:hangingChars="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附注：1、技术负责、施工、设备材料、以及各主要专业工种负责人均应列入；</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2、列入本表人员如要更换，需经招标人同意，擅自更换或不到位属违约行为；</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3、职称/认证证书复印件附后。</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宋体" w:hAnsi="宋体"/>
          <w:color w:val="auto"/>
          <w:szCs w:val="21"/>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rPr>
          <w:rFonts w:ascii="新宋体" w:hAnsi="新宋体" w:eastAsia="新宋体"/>
          <w:b/>
          <w:bCs/>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附件二十六</w:t>
      </w: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同类项目业绩</w:t>
      </w:r>
    </w:p>
    <w:p>
      <w:pPr>
        <w:autoSpaceDE w:val="0"/>
        <w:autoSpaceDN w:val="0"/>
        <w:ind w:right="893" w:firstLine="418"/>
        <w:jc w:val="center"/>
        <w:textAlignment w:val="bottom"/>
        <w:rPr>
          <w:rFonts w:ascii="新宋体" w:hAnsi="新宋体" w:eastAsia="新宋体"/>
          <w:b/>
          <w:color w:val="auto"/>
          <w:sz w:val="22"/>
          <w:highlight w:val="none"/>
        </w:rPr>
      </w:pPr>
      <w:r>
        <w:rPr>
          <w:rFonts w:hint="eastAsia" w:ascii="新宋体" w:hAnsi="新宋体" w:eastAsia="新宋体"/>
          <w:b/>
          <w:color w:val="auto"/>
          <w:sz w:val="22"/>
          <w:highlight w:val="none"/>
        </w:rPr>
        <w:t>（标段二：开发区雪亮工程三大平台和运维管理中心的租赁）</w:t>
      </w:r>
    </w:p>
    <w:p>
      <w:pPr>
        <w:autoSpaceDE w:val="0"/>
        <w:autoSpaceDN w:val="0"/>
        <w:ind w:right="893" w:firstLine="418"/>
        <w:textAlignment w:val="bottom"/>
        <w:rPr>
          <w:rFonts w:ascii="新宋体" w:hAnsi="新宋体" w:eastAsia="新宋体"/>
          <w:color w:val="auto"/>
          <w:sz w:val="22"/>
          <w:szCs w:val="22"/>
          <w:highlight w:val="none"/>
          <w:lang w:val="zh-CN"/>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r>
        <w:rPr>
          <w:rFonts w:hint="eastAsia" w:ascii="新宋体" w:hAnsi="新宋体" w:eastAsia="新宋体"/>
          <w:color w:val="auto"/>
          <w:sz w:val="28"/>
          <w:highlight w:val="none"/>
        </w:rPr>
        <w:t xml:space="preserve">  </w:t>
      </w:r>
    </w:p>
    <w:tbl>
      <w:tblPr>
        <w:tblStyle w:val="64"/>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用户名称</w:t>
            </w: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合同金额</w:t>
            </w: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联系方式</w:t>
            </w: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bl>
    <w:p>
      <w:pP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提供客户联系方式、采购合同、验收报告复印件加盖投标人公章</w:t>
      </w:r>
    </w:p>
    <w:p>
      <w:pPr>
        <w:rPr>
          <w:rFonts w:ascii="新宋体" w:hAnsi="新宋体" w:eastAsia="新宋体" w:cs="新宋体"/>
          <w:color w:val="auto"/>
          <w:kern w:val="0"/>
          <w:sz w:val="22"/>
          <w:szCs w:val="22"/>
          <w:highlight w:val="none"/>
          <w:lang w:val="zh-CN"/>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rPr>
          <w:rFonts w:ascii="新宋体" w:hAnsi="新宋体" w:eastAsia="新宋体"/>
          <w:b/>
          <w:bCs/>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ind w:left="143" w:leftChars="68"/>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附件二十七</w:t>
      </w:r>
    </w:p>
    <w:p>
      <w:pPr>
        <w:ind w:left="143" w:leftChars="68"/>
        <w:jc w:val="center"/>
        <w:outlineLvl w:val="2"/>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节能环保</w:t>
      </w:r>
    </w:p>
    <w:p>
      <w:pPr>
        <w:ind w:left="143" w:leftChars="68"/>
        <w:jc w:val="center"/>
        <w:rPr>
          <w:rFonts w:ascii="新宋体" w:hAnsi="新宋体" w:eastAsia="新宋体"/>
          <w:b/>
          <w:color w:val="auto"/>
          <w:sz w:val="28"/>
          <w:szCs w:val="28"/>
          <w:highlight w:val="none"/>
        </w:rPr>
      </w:pPr>
      <w:r>
        <w:rPr>
          <w:rFonts w:hint="eastAsia" w:ascii="新宋体" w:hAnsi="新宋体" w:eastAsia="新宋体"/>
          <w:b/>
          <w:color w:val="auto"/>
          <w:sz w:val="22"/>
          <w:highlight w:val="none"/>
        </w:rPr>
        <w:t>（标段：</w:t>
      </w:r>
      <w:r>
        <w:rPr>
          <w:rFonts w:hint="eastAsia" w:ascii="新宋体" w:hAnsi="新宋体" w:eastAsia="新宋体"/>
          <w:b/>
          <w:color w:val="auto"/>
          <w:sz w:val="22"/>
          <w:highlight w:val="none"/>
          <w:u w:val="single"/>
        </w:rPr>
        <w:t xml:space="preserve">              </w:t>
      </w:r>
      <w:r>
        <w:rPr>
          <w:rFonts w:hint="eastAsia" w:ascii="新宋体" w:hAnsi="新宋体" w:eastAsia="新宋体"/>
          <w:b/>
          <w:color w:val="auto"/>
          <w:sz w:val="22"/>
          <w:highlight w:val="none"/>
        </w:rPr>
        <w:t xml:space="preserve"> ）</w:t>
      </w:r>
    </w:p>
    <w:p>
      <w:pPr>
        <w:tabs>
          <w:tab w:val="left" w:pos="1620"/>
        </w:tabs>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（1）节能环保产品声明函</w:t>
      </w:r>
    </w:p>
    <w:p>
      <w:pPr>
        <w:spacing w:line="360" w:lineRule="auto"/>
        <w:ind w:firstLine="440" w:firstLineChars="200"/>
        <w:rPr>
          <w:rFonts w:ascii="宋体" w:hAnsi="宋体"/>
          <w:bCs/>
          <w:color w:val="auto"/>
          <w:sz w:val="22"/>
          <w:szCs w:val="22"/>
          <w:highlight w:val="none"/>
        </w:rPr>
      </w:pP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本公司郑重声明，根据《节能产品政府采购实施意见》（财库〔2004〕185号，不含该期清单）、《关于环境标志产品政府采购实施的意见》（财库〔2006〕90号，不含该期清单）的规定，本公司同时满足以下条件：</w:t>
      </w: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1、此次采购项目中本公司所列节能或环保产品均已录入最新一期财政部、环境保护部公布的“环境标志产品政府采购清单”或最新一期财政部、发展改革委公布的“节能产品政府采购清单”。</w:t>
      </w: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2、本公司参加__________单位的__________项目（项目编号：_________）采购活动提供的环保或节能产品，产品金额占采购项目总金额50%（含）以上。</w:t>
      </w:r>
    </w:p>
    <w:p>
      <w:pPr>
        <w:spacing w:line="360" w:lineRule="auto"/>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本公司对上述声明的真实性负责。如有虚假，将依法承担相应法律责任。</w:t>
      </w:r>
    </w:p>
    <w:p>
      <w:pPr>
        <w:spacing w:line="360" w:lineRule="auto"/>
        <w:rPr>
          <w:rFonts w:ascii="新宋体" w:hAnsi="新宋体" w:eastAsia="新宋体" w:cs="新宋体"/>
          <w:bCs/>
          <w:color w:val="auto"/>
          <w:sz w:val="22"/>
          <w:szCs w:val="22"/>
          <w:highlight w:val="none"/>
        </w:rPr>
      </w:pPr>
    </w:p>
    <w:p>
      <w:pPr>
        <w:spacing w:line="360" w:lineRule="auto"/>
        <w:rPr>
          <w:rFonts w:ascii="宋体" w:hAnsi="宋体"/>
          <w:bCs/>
          <w:color w:val="auto"/>
          <w:sz w:val="22"/>
          <w:szCs w:val="22"/>
          <w:highlight w:val="none"/>
        </w:rPr>
      </w:pPr>
    </w:p>
    <w:p>
      <w:pPr>
        <w:spacing w:line="360" w:lineRule="auto"/>
        <w:rPr>
          <w:rFonts w:ascii="宋体" w:hAnsi="宋体"/>
          <w:bCs/>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宋体" w:hAnsi="宋体"/>
          <w:color w:val="auto"/>
          <w:sz w:val="22"/>
          <w:szCs w:val="22"/>
          <w:highlight w:val="none"/>
        </w:rPr>
      </w:pPr>
      <w:r>
        <w:rPr>
          <w:rFonts w:hint="eastAsia" w:ascii="新宋体" w:hAnsi="新宋体" w:eastAsia="新宋体"/>
          <w:color w:val="auto"/>
          <w:sz w:val="22"/>
          <w:szCs w:val="22"/>
          <w:highlight w:val="none"/>
        </w:rPr>
        <w:t>日  期：</w:t>
      </w:r>
    </w:p>
    <w:p>
      <w:pPr>
        <w:spacing w:line="240" w:lineRule="atLeast"/>
        <w:rPr>
          <w:rFonts w:ascii="宋体" w:hAnsi="宋体"/>
          <w:b/>
          <w:bCs/>
          <w:color w:val="auto"/>
          <w:sz w:val="22"/>
          <w:szCs w:val="22"/>
          <w:highlight w:val="none"/>
        </w:rPr>
      </w:pPr>
    </w:p>
    <w:p>
      <w:pPr>
        <w:spacing w:line="240" w:lineRule="atLeast"/>
        <w:rPr>
          <w:rFonts w:ascii="宋体" w:hAnsi="宋体"/>
          <w:b/>
          <w:bCs/>
          <w:color w:val="auto"/>
          <w:sz w:val="22"/>
          <w:szCs w:val="22"/>
          <w:highlight w:val="none"/>
        </w:rPr>
      </w:pPr>
    </w:p>
    <w:p>
      <w:pPr>
        <w:spacing w:line="240" w:lineRule="atLeast"/>
        <w:jc w:val="center"/>
        <w:outlineLvl w:val="3"/>
        <w:rPr>
          <w:rFonts w:ascii="宋体" w:hAnsi="宋体"/>
          <w:b/>
          <w:color w:val="auto"/>
          <w:sz w:val="36"/>
          <w:szCs w:val="36"/>
          <w:highlight w:val="none"/>
        </w:rPr>
      </w:pPr>
      <w:r>
        <w:rPr>
          <w:rFonts w:ascii="宋体" w:hAnsi="宋体"/>
          <w:b/>
          <w:color w:val="auto"/>
          <w:sz w:val="36"/>
          <w:szCs w:val="36"/>
          <w:highlight w:val="none"/>
        </w:rPr>
        <w:br w:type="page"/>
      </w:r>
      <w:r>
        <w:rPr>
          <w:rFonts w:hint="eastAsia" w:ascii="新宋体" w:hAnsi="新宋体" w:eastAsia="新宋体" w:cs="新宋体"/>
          <w:b/>
          <w:bCs/>
          <w:color w:val="auto"/>
          <w:sz w:val="22"/>
          <w:szCs w:val="22"/>
          <w:highlight w:val="none"/>
        </w:rPr>
        <w:t>（2）节能（环保）产品清单</w:t>
      </w:r>
    </w:p>
    <w:p>
      <w:pPr>
        <w:spacing w:line="240" w:lineRule="atLeast"/>
        <w:rPr>
          <w:rFonts w:ascii="宋体" w:hAnsi="宋体"/>
          <w:b/>
          <w:bCs/>
          <w:color w:val="auto"/>
          <w:szCs w:val="21"/>
          <w:highlight w:val="none"/>
        </w:rPr>
      </w:pPr>
    </w:p>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①投标产品中节能产品明细清单</w:t>
      </w:r>
    </w:p>
    <w:tbl>
      <w:tblPr>
        <w:tblStyle w:val="6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440"/>
        <w:gridCol w:w="1800"/>
        <w:gridCol w:w="19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w:t>
            </w: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产品名称、规格型号</w:t>
            </w: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节字标志认证证书号</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节能产品认证证书有效截止日期</w:t>
            </w: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产品所在节能产品政府采购清单页码</w:t>
            </w: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bl>
    <w:p>
      <w:pPr>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注：提供产品所在节能产品政府采购清单复印件加盖公章</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pPr>
        <w:spacing w:line="460" w:lineRule="exact"/>
        <w:rPr>
          <w:rFonts w:ascii="新宋体" w:hAnsi="新宋体" w:eastAsia="新宋体" w:cs="新宋体"/>
          <w:color w:val="auto"/>
          <w:sz w:val="22"/>
          <w:szCs w:val="22"/>
          <w:highlight w:val="none"/>
        </w:rPr>
      </w:pPr>
    </w:p>
    <w:p>
      <w:pPr>
        <w:spacing w:line="460" w:lineRule="exact"/>
        <w:jc w:val="center"/>
        <w:rPr>
          <w:rFonts w:ascii="新宋体" w:hAnsi="新宋体" w:eastAsia="新宋体" w:cs="新宋体"/>
          <w:color w:val="auto"/>
          <w:sz w:val="22"/>
          <w:szCs w:val="22"/>
          <w:highlight w:val="none"/>
        </w:rPr>
      </w:pPr>
    </w:p>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②投标产品中环保产品明细清单</w:t>
      </w:r>
    </w:p>
    <w:tbl>
      <w:tblPr>
        <w:tblStyle w:val="6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620"/>
        <w:gridCol w:w="1440"/>
        <w:gridCol w:w="21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企业名称</w:t>
            </w: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注册商标</w:t>
            </w: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产品名称、规格型号</w:t>
            </w: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中国环境标志认证证书编号</w:t>
            </w: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认证证书有效截止日期</w:t>
            </w: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产品所在环境标志产品政府采购清单页码</w:t>
            </w: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6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color w:val="auto"/>
                <w:sz w:val="22"/>
                <w:szCs w:val="22"/>
                <w:highlight w:val="none"/>
              </w:rPr>
            </w:pPr>
          </w:p>
        </w:tc>
      </w:tr>
    </w:tbl>
    <w:p>
      <w:pPr>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注：提供产品所在环境标志产品政府采购清单复印件加盖公章</w:t>
      </w:r>
    </w:p>
    <w:p>
      <w:pPr>
        <w:spacing w:line="460" w:lineRule="exact"/>
        <w:rPr>
          <w:rFonts w:ascii="新宋体" w:hAnsi="新宋体" w:eastAsia="新宋体" w:cs="新宋体"/>
          <w:bCs/>
          <w:color w:val="auto"/>
          <w:sz w:val="22"/>
          <w:szCs w:val="22"/>
          <w:highlight w:val="none"/>
        </w:rPr>
      </w:pP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pPr>
        <w:spacing w:line="460" w:lineRule="exact"/>
        <w:ind w:firstLine="4400" w:firstLineChars="20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日  期：</w:t>
      </w:r>
    </w:p>
    <w:p>
      <w:pPr>
        <w:spacing w:line="380" w:lineRule="exact"/>
        <w:ind w:firstLine="4216" w:firstLineChars="2000"/>
        <w:rPr>
          <w:rFonts w:ascii="新宋体" w:hAnsi="新宋体" w:eastAsia="新宋体"/>
          <w:color w:val="auto"/>
          <w:sz w:val="22"/>
          <w:szCs w:val="22"/>
          <w:highlight w:val="none"/>
        </w:rPr>
      </w:pPr>
      <w:r>
        <w:rPr>
          <w:rFonts w:ascii="宋体" w:hAnsi="宋体" w:cs="Arial"/>
          <w:b/>
          <w:color w:val="auto"/>
          <w:highlight w:val="none"/>
        </w:rPr>
        <w:br w:type="page"/>
      </w: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380" w:lineRule="exact"/>
        <w:rPr>
          <w:rFonts w:ascii="新宋体" w:hAnsi="新宋体" w:eastAsia="新宋体"/>
          <w:b/>
          <w:bCs/>
          <w:color w:val="auto"/>
          <w:sz w:val="22"/>
          <w:szCs w:val="22"/>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spacing w:line="380" w:lineRule="exact"/>
        <w:ind w:firstLine="5622" w:firstLineChars="2000"/>
        <w:rPr>
          <w:rFonts w:ascii="新宋体" w:hAnsi="新宋体" w:eastAsia="新宋体"/>
          <w:b/>
          <w:color w:val="auto"/>
          <w:sz w:val="28"/>
          <w:szCs w:val="28"/>
          <w:highlight w:val="none"/>
        </w:rPr>
      </w:pPr>
    </w:p>
    <w:p>
      <w:pPr>
        <w:jc w:val="center"/>
        <w:outlineLvl w:val="0"/>
        <w:rPr>
          <w:rFonts w:ascii="新宋体" w:hAnsi="新宋体" w:eastAsia="新宋体"/>
          <w:b/>
          <w:bCs/>
          <w:color w:val="auto"/>
          <w:sz w:val="52"/>
          <w:szCs w:val="52"/>
          <w:highlight w:val="none"/>
        </w:rPr>
      </w:pPr>
      <w:r>
        <w:rPr>
          <w:rFonts w:hint="eastAsia" w:ascii="新宋体" w:hAnsi="新宋体" w:eastAsia="新宋体"/>
          <w:b/>
          <w:bCs/>
          <w:color w:val="auto"/>
          <w:sz w:val="52"/>
          <w:szCs w:val="52"/>
          <w:highlight w:val="none"/>
        </w:rPr>
        <w:t>第二册</w:t>
      </w:r>
    </w:p>
    <w:p>
      <w:pPr>
        <w:jc w:val="center"/>
        <w:rPr>
          <w:rFonts w:ascii="新宋体" w:hAnsi="新宋体" w:eastAsia="新宋体"/>
          <w:b/>
          <w:bCs/>
          <w:color w:val="auto"/>
          <w:sz w:val="48"/>
          <w:highlight w:val="none"/>
        </w:rPr>
      </w:pPr>
    </w:p>
    <w:p>
      <w:pPr>
        <w:jc w:val="center"/>
        <w:outlineLvl w:val="1"/>
        <w:rPr>
          <w:rFonts w:ascii="新宋体" w:hAnsi="新宋体" w:eastAsia="新宋体"/>
          <w:b/>
          <w:bCs/>
          <w:color w:val="auto"/>
          <w:sz w:val="48"/>
          <w:highlight w:val="none"/>
        </w:rPr>
      </w:pPr>
      <w:r>
        <w:rPr>
          <w:rFonts w:hint="eastAsia" w:ascii="新宋体" w:hAnsi="新宋体" w:eastAsia="新宋体"/>
          <w:b/>
          <w:bCs/>
          <w:color w:val="auto"/>
          <w:sz w:val="48"/>
          <w:highlight w:val="none"/>
        </w:rPr>
        <w:t>专 用 文 本</w:t>
      </w:r>
    </w:p>
    <w:p>
      <w:pPr>
        <w:jc w:val="center"/>
        <w:rPr>
          <w:rFonts w:ascii="新宋体" w:hAnsi="新宋体" w:eastAsia="新宋体"/>
          <w:b/>
          <w:bCs/>
          <w:color w:val="auto"/>
          <w:sz w:val="48"/>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spacing w:line="460" w:lineRule="exact"/>
        <w:jc w:val="center"/>
        <w:rPr>
          <w:rFonts w:ascii="新宋体" w:hAnsi="新宋体" w:eastAsia="新宋体"/>
          <w:b/>
          <w:color w:val="auto"/>
          <w:sz w:val="32"/>
          <w:szCs w:val="32"/>
          <w:highlight w:val="none"/>
        </w:rPr>
      </w:pPr>
    </w:p>
    <w:p>
      <w:pPr>
        <w:pStyle w:val="24"/>
        <w:spacing w:line="460" w:lineRule="exact"/>
        <w:ind w:left="433" w:leftChars="206" w:firstLine="0" w:firstLineChars="0"/>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第五部分   招标内容及要求</w:t>
      </w:r>
      <w:bookmarkStart w:id="2" w:name="_Toc221356895"/>
      <w:bookmarkStart w:id="3" w:name="_Toc221356958"/>
    </w:p>
    <w:bookmarkEnd w:id="2"/>
    <w:bookmarkEnd w:id="3"/>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标段一：开发区雪亮工程高清人脸识别监控租赁</w:t>
      </w:r>
    </w:p>
    <w:p>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本次财政预算为人民币陆佰叁拾万柒仟元整（¥6307000.00元）, 如投标人报价超过财政预算按无效标处理。</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一、采购内容</w:t>
      </w:r>
    </w:p>
    <w:tbl>
      <w:tblPr>
        <w:tblStyle w:val="64"/>
        <w:tblW w:w="10374" w:type="dxa"/>
        <w:tblInd w:w="0" w:type="dxa"/>
        <w:tblLayout w:type="fixed"/>
        <w:tblCellMar>
          <w:top w:w="15" w:type="dxa"/>
          <w:left w:w="15" w:type="dxa"/>
          <w:bottom w:w="15" w:type="dxa"/>
          <w:right w:w="15" w:type="dxa"/>
        </w:tblCellMar>
      </w:tblPr>
      <w:tblGrid>
        <w:gridCol w:w="674"/>
        <w:gridCol w:w="1723"/>
        <w:gridCol w:w="6224"/>
        <w:gridCol w:w="674"/>
        <w:gridCol w:w="1079"/>
      </w:tblGrid>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项目</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货物名称</w:t>
            </w:r>
          </w:p>
        </w:tc>
        <w:tc>
          <w:tcPr>
            <w:tcW w:w="6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top"/>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型号、参数</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数量</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人脸抓拍摄像机（枪机）</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 200万像素深度智能人脸识别相机，靶面尺寸1/1.8"英寸CMOS传感器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2)不低于200万像素恒定光圈镜头，焦距11-40mm范围可调，恒定光圈不小于F1.2；</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 信噪比≥60dB，亮度等级≥11级，最低照度：彩色0.0005lx ，黑白0.0001lx。</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 照度适应范围≥121dB，动态范围≥105dB，宽动态能力综合得分≥136</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5) 支持不少于H.265、H.264 （Main Profile、High Profile、Baseline profile）、M-JPEG编码（以公安部检测报告为准）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6) 同一静止场景相同图像质量下，设备在H.264编码方式时，开启智能编码功能和不开启智能编码功能相比，码率节约1/2（以公安部检测报告为准）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7) 支持3码流，主码流19201080@60fps，子码流704×480@60fps，第三码流1920×1080@60fps；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 可通过客户端软件对画面中的30个人 脸进行检测</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9) 摄像机具有人脸区域自动曝光功能，可根据检测出的人脸区域自动调整曝光参数；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10)支持检出两眼瞳距20像素点以上的人脸图片；</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11)支持人脸抓拍、人体检测、人脸人体检测三种模式；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12) 摄像机具有光电串接功能，支持光纤接口，RJ45接口同时使用，RJ45接口可给另外1台网络摄像机供电。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13) DV12V±35%，AC24V±35%范围内变化时，摄像机正常工作；高低温工作环境：摄像机能够在-30℃~+60℃的环境下正常工作； </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7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支架</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根据现场环境定制，能够依托现场建筑体安装。（支架需镀锌、防锈处理），产品必须符合DB33/T629—2012《跨区域视频监控联网共享技术规范》标准（即横杆口径114mm，壁厚4mm）。</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9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补光灯</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1.16颗原装进口大功率（暖光）LED常亮灯；</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2.可远程显示补光灯故障、正常、开启、关闭等工作状态</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3.支持自闪、跟随、自动频闪（外部摄像机触发）模式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4.补光灯自带光敏控制，在低照度下自动开启，低照度阀值可设</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5.支持IP66防护等级</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6.电源电压在AC80V~264V范围内变化时，设备能正常工作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7.适用-40℃～85℃温度环境气候工作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8.具有GA/T1202-2014《交通技术监控成像补光装置通用技术条件》公安部交通安全产品质量监督检测中心的系统检测报告</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防雷器</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电源、数据二合一防雷器。</w:t>
            </w:r>
          </w:p>
        </w:tc>
        <w:tc>
          <w:tcPr>
            <w:tcW w:w="674" w:type="dxa"/>
            <w:tcBorders>
              <w:top w:val="single" w:color="000000" w:sz="4" w:space="0"/>
              <w:left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光网设备</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PON光猫</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1095"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网络机箱</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箱体规格：体积&gt;420*480*150（mm);材质304不锈钢 壁厚&gt;1.0（mm) 配备二层隔板及绝缘板；配置1只带漏电保护10A-2P空开，1只10A多口插排,含接地铜牌，光纤盘，安装抱箍等辅材，内部布局合理、设备摆放整齐，易于安装维护。喷塑镀锌防腐防锈处理，室外防雨防尘,通风散热设计。</w:t>
            </w:r>
          </w:p>
        </w:tc>
        <w:tc>
          <w:tcPr>
            <w:tcW w:w="674" w:type="dxa"/>
            <w:tcBorders>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高清存储</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符合浙江省公安厅视频监控平台架构要求，能够与前端摄像机设备结合实现存储注册直写；同时符合《温州市安全防范视频监控联网系统信息传输交换控制技术要求》的技术架构标准；</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支持RAID0/1/5/6/10/50/60等标准，支持热备盘模式，RAID重建过程中对业务不中断、不卡顿；</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以H.264/H.265/1080P/25fps/1.5-4Mbps码流可调方式集中存储，录像保留时间≥30天；</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摄像机采用直接写入存储阵列方式，视频存储功能与监控平台无关，即在视频监控平台出现故障时，不影响整个视频监控系统的存储功能；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具备负载均衡机制和容灾备份功能；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提供多设备同步升级功能，可以通过一键式操作对整个局域网内的所有设备同步升级。</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提供完善的SDK开发包及示例源代码，合同期内提供软件功能升级服务。</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路</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r>
      <w:tr>
        <w:tblPrEx>
          <w:tblLayout w:type="fixed"/>
          <w:tblCellMar>
            <w:top w:w="15" w:type="dxa"/>
            <w:left w:w="15" w:type="dxa"/>
            <w:bottom w:w="15" w:type="dxa"/>
            <w:right w:w="15" w:type="dxa"/>
          </w:tblCellMar>
        </w:tblPrEx>
        <w:trPr>
          <w:trHeight w:val="28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left"/>
              <w:rPr>
                <w:rFonts w:ascii="新宋体" w:hAnsi="新宋体" w:eastAsia="新宋体" w:cs="新宋体"/>
                <w:color w:val="auto"/>
                <w:sz w:val="22"/>
                <w:szCs w:val="22"/>
                <w:highlight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硬盘</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3.5英寸 4000G 7200 128M SATA3  6Gb/S</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96</w:t>
            </w:r>
          </w:p>
        </w:tc>
      </w:tr>
      <w:tr>
        <w:tblPrEx>
          <w:tblLayout w:type="fixed"/>
          <w:tblCellMar>
            <w:top w:w="15" w:type="dxa"/>
            <w:left w:w="15" w:type="dxa"/>
            <w:bottom w:w="15" w:type="dxa"/>
            <w:right w:w="15" w:type="dxa"/>
          </w:tblCellMar>
        </w:tblPrEx>
        <w:trPr>
          <w:trHeight w:val="10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移动视频终端</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屏幕：14英寸,分辨率：2560x1440,LED背光，IPS屏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CPU:八代酷睿i7-8550U，CPU主频：1.8GHz，核心数：四核心/八线程内存：16G，LPDDR3</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SSD:512G，720p HD摄像头</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2×USB3.0，Thunderbolt 3接口,HDMI不少于1个</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支持智能指纹识别功能，聚合物电池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重量不大于1.13KG，预装windows10和office2016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9</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人像数据库服务器</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机箱尺寸：2U，8盘位；</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CPU：2*E5-2630 V4 CPU</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内存：8*32G=256G</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硬盘：2*240G SSD，6*480G SSD，2*4T SATA</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支持硬RAID，RAID0、RAID1、RAID5、RAID6、RAID10、RAID50、RAID60模式；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内置4个千兆网口，1个BMC管理网口；两个冗余电源接口；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支持将人脸抓拍记录从下级大数据服务器同步到上级大数据服务器。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支持建立不少于200个人脸静态库，并可在人脸静态库中检索人脸图片。</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支持8亿级别人脸抓拍记录或静态库图片等数据的存储（需提供公安部检测报告证明）。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支持3000万条人脸结构化数据加速以脸搜脸。</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支持通过人脸图片在人脸静态库中进行相似度匹配搜索，检索结果可按相似度进行排序；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支持按人脸库、相似度、生日、性别、省份、城市、证件号等条件在人脸静态库中检索人脸图片；</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支持查看检索出的图片对应的姓名、性别、生日、省份、城市、住址、证件类型、证件号、来源库等信息。</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支持8亿级别人脸静态库记录查询，返回结果平均时间不超过3秒（需提供公安部检测报告证明）。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支持8亿级别动态抓拍库记录查询，返回结果平均时间不超过2秒（需提供公安部检测报告证明）。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支持单库查询任务，可在同一人脸静态库中查询相似人脸（需提供公安部检测报告证明）；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支持双库查询任务，可在两个不同人脸静态库中查询相似人脸（需提供公安部检测报告证明）；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支持按最小相似度、性别、姓名、身份证号等条件查询查重结果。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支持通过人脸图片在动态抓拍库中进行相似度匹配搜索，检索结果可按相似度进行排序；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支持3000万动态抓拍库以脸搜脸检索响应速度不超过2秒（需提供公安部检测报告证明）。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支持按时段、性别、年龄段、是否戴眼镜、是否微笑、是否高危人群、抓拍点位范围等条件在动态抓拍库中检索人脸图片；</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支持报警人脸记录查询；</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支持针对动态抓拍库对同一区域不同时间段内的抓拍数据按相似度进行碰撞（需提供公安部检测报告证明）；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支持针对动态抓拍库对不同区域不同时间内的抓拍数据按相似度进行碰撞（需提供公安部检测报告证明）；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支持按姓名、性别、证件号、民族、相似度等条件在人证库中检索人脸图片。</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支持1000条/秒的数据导入性能。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支持5个查询检索并发数，返回结果平均时间不超过2秒。</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支持20个以图搜图并发数，返回结果平均时间不超过2秒。</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支持集群线性扩展功能。</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1</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10</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人像系统接入</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1、本项目所有点位的人像采集、比对、存储等功能，以视频专网形式可将人像原图报送到温州市公安局人像识别应用平台；</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2、向用户提供应用服务，能实现人脸布控、人脸查询、以脸搜脸、动态轨迹等应用；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3、若由于技术性原因无法直接接入市公安已有人像识别应用平台，中标方必须自行解决技术和费用问题（包括软硬件设备的的采购），招标方不再另外增加费用；</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4、本招标文件中所列技术配置若无法满足平台对接的，由中标方根据实际需求自行解决。</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通用服务器</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E5-2620 V4(8核2.1GHz)×2/16GB DDR4×2 /1TB SATA×2/SAS_HBA/DVD/1GbE×4/冗电/导轨/2U  1、电源：高效能550W铂金1+1 冗余电源；2、电源电压 200-240V/50Hz；3、机箱尺寸：87.8mm(高)×448mm(宽)×794.4mm(深)； 4、重量 最大35 千克（不含导轨）；</w:t>
            </w:r>
          </w:p>
        </w:tc>
        <w:tc>
          <w:tcPr>
            <w:tcW w:w="674" w:type="dxa"/>
            <w:tcBorders>
              <w:top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图片云存储服务器</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支持人脸图片存储不少于180天。</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4U，36盘位，配置不少于36块SATA硬盘；支持不少于双64位六核处理器，16GB缓存（可扩展至64GB）；冗余电源；4个千兆网口；1块64GB系统盘，1块480GB加速缓存盘；支持外接SAS扩展柜。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支持RAID 0、1、3、5、6、10、50多种RAID模式；</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支持RAID即建即用，支持逻辑卷的动态在线扩展；</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支持硬盘智能休眠，可依据业务负载的情况，使部分或全部无读写的硬盘进入休眠模式，减少能源浪费，延长硬盘寿命；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支持通过集群模式对外提供统一存储服务，热数据通过SSD实现高效提取，冷数据通过SATA/SAS机械硬盘常规提取；</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支持图片即存即取功能，可达并发300张/S的读写性能，并且可通过增加SSD缓存池以提升读写性能；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支持单机微视云部署模式，后期图片量增大，支持在线扩容为标准云模式。</w:t>
            </w:r>
          </w:p>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配件：含36块硬盘（3.5英寸 4000G 7200 128M SATA3  6Gb/S）</w:t>
            </w:r>
          </w:p>
        </w:tc>
        <w:tc>
          <w:tcPr>
            <w:tcW w:w="674" w:type="dxa"/>
            <w:tcBorders>
              <w:top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1</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智能分析服务器</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1、支持两块硬盘接口、4个千兆自适应网络接口、1个VGA接口、4个USB 3.0接口和2个USB 2.0接口；支持1+1冗余电源模块，支持热插拔，支持断电恢复后自启动；人脸图片处理能力：80张/秒。</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2、支持16颗GPU芯片；支持断电恢复后自启动；支持添加、修改删除人脸抓拍机；支持实时预览人脸抓拍机界面；支持检出两眼瞳距20像素点以上的人脸图片（需提供公安部检测报告证明）。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大数据写入情况下,人脸图片建模速度不低于128张/秒，人脸图片建模成功率不低于99%；单人图片的脸检出率不低于99%；支持识别102×126~1600万像素人脸图片，支持识别不低于6MB人脸图片；支持比对两眼瞳距不小于20像素点人脸图片；支持比对左右偏转大角度，上下偏转大角度的人脸图片；支持识别人脸性别，人脸性别检出率不低于99%，人脸性别识别准确率不低于99%；支持识别人脸年龄段，童年，少年，青年，中年，老年，人脸年龄段检出率不低于95%；支持识别人脸是否戴眼镜，人脸戴眼镜检出率不低于99%，戴眼镜识别准确率不低于99%；支持识别人脸是否微笑，微笑识别准确率不低于99%；支持识别人脸是否高危人群，人脸是否高危人群检出率不低于99%。（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支持检出抬头、低头、左右转动、右斜向上、右斜向下、左斜向上、左斜向下等的人脸；支持检出微笑、大笑、瞪眼、闭眼、张嘴、歪嘴、吐舌头等表情的人脸；支持检出齐刘海遮挡眉毛、头发遮挡眼睛、戴普通眼镜、戴墨镜、戴彩色眼镜、戴棒球帽、戴雷锋帽、戴普通帽子、戴头戴式耳机等遮挡方式的人脸；支持检出黄色人种、白色人种、黑色人种、棕色人种等不同人种的人脸；支持检出面部过曝、面部欠曝、阴阳脸、逆光等不同光照条件下人脸。</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支持将单张待比对图片与抓拍库或静态库中人脸图片进行比对，输出比对的相似人脸图片；80万人脸库以脸搜脸检索响应速度不超过3秒；以脸搜首位命中率不低于95%，以脸搜前10位命中率不低于99%，以脸搜前50位命中率不低于99.99%；支持按照性别、年龄段、是否戴眼镜、是否微笑、是否高危人群、点位信息、抓拍时间对历史抓拍人脸图片进行检索与导出；支持导入两张人脸图片进行一对一比对，输出比对相似度，比对性能不低于32对/S，1V1比对响应时间不超过1秒（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支持黑名单库容量不低于100万，支持将黑名单库分为16个库分别管理，每个库设置不同报警阈值或关联相机；支持在特定条件下，设备对抓拍的人脸图片进行分析，将分析后的结果与关联的黑名单库进行比较，比对成功时触发报警，并产生报警提示，100万黑名单库实时报警响应速度不超过1秒（需提供公安部检测报告证明）；</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支持对黑名单图片、姓名、性别、省份、城市、身份证号码、起止生日、截止生日、自定义标签4个、报警相似度阈值、报警时间、黑名单库选择进行编辑；支持按照姓名、性别、省份、城市、身份证号、起始生日、截止生日查询黑名单库中人脸图片；黑名单库实时报漏报报率不超过0.1%；支持对校验后的升级文件进行软件升级，支持一键恢复默认出厂设置；提供视频云结构化软件著作权。</w:t>
            </w:r>
          </w:p>
        </w:tc>
        <w:tc>
          <w:tcPr>
            <w:tcW w:w="674" w:type="dxa"/>
            <w:tcBorders>
              <w:top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2</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运维人员</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负责人脸比对系统的日常运维，故障的及时排除，每日巡检等工作。要求驻点维护。驻点人员终端使用由中标方提供.</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r>
      <w:tr>
        <w:tblPrEx>
          <w:tblLayout w:type="fixed"/>
          <w:tblCellMar>
            <w:top w:w="15" w:type="dxa"/>
            <w:left w:w="15" w:type="dxa"/>
            <w:bottom w:w="15" w:type="dxa"/>
            <w:right w:w="15" w:type="dxa"/>
          </w:tblCellMar>
        </w:tblPrEx>
        <w:trPr>
          <w:trHeight w:val="3905"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16</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运维终端</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CPU:I7-8700K 六核心 主频3.70GHz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主板：Z370 接口类型：LGA 1151 DDR4 DIMM插槽 支持RAID</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内存：16G单条 类型288-pin DIMM 速度DDR4 3000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显卡：GTX1080TI 显存类型：GDDR5X  显存：11G DVI HDMI DP 接口</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SSD:250G 类别 PCIe Gen3.0 x4 M.2(2280)SSD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硬盘：4TB 缓存：64M 转速：5900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显示器：31.5英寸曲面 屏幕比例19:9 分辨率1920x1080  接口：HDMI.DP</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17</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施工费</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含前端设备安装，调测等全部费用费用</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18</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第三方检测</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对本期建设点位的图像质量、安装工艺、坐标、编码检测、补光灯、接地电阻、计算机网络按约定要求进行检测，抽检比例为30%。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网络链路（五年）</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ind w:firstLine="220" w:firstLineChars="100"/>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项目整体采用光纤专网方式连接（裸光纤或PON），拒绝以其他链路形式组网；与互联网等其他网络物理隔离，网络传输汇聚到运营商OLT之后直接采用祼光纤连接到招标方提供的视频监控专用机房，中间不再进行任何网络汇聚级联，运营商要保证OLT到视频监控专用机房级联线路有足够带宽（一条链路不够的情况下，可采用多链路捆绑解决），并有冗余线路防止出现断网故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本项费用已经包含每条链路接入的两端光网设备和汇聚设备，招标方不再另外采购；</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该批专网链路可用于重点行业、社会面视频监控的整合联网，运营商要确保每条链路连接的上下行带宽满足实际应用需求。</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维护费（五年）</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含五年的前端所有设备、线路、配件的维护、整理、清洁等服务。</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前端设备电费（五年）</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按设备的额定功率值计算，前端设备除补光灯外，正常运行功耗不得超过50W。五年总电费。</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补光灯电费（五年）</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按设备的额定功率值计算，补光灯正常运行功耗不得超过80W。五年总电费。</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w:t>
            </w:r>
          </w:p>
        </w:tc>
      </w:tr>
      <w:tr>
        <w:tblPrEx>
          <w:tblLayout w:type="fixed"/>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移机费（五年）</w:t>
            </w:r>
          </w:p>
        </w:tc>
        <w:tc>
          <w:tcPr>
            <w:tcW w:w="622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60" w:lineRule="exact"/>
              <w:jc w:val="left"/>
              <w:textAlignment w:val="top"/>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按照招标总数的20%计算</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40</w:t>
            </w:r>
          </w:p>
        </w:tc>
      </w:tr>
    </w:tbl>
    <w:p>
      <w:pPr>
        <w:tabs>
          <w:tab w:val="left" w:pos="360"/>
        </w:tabs>
        <w:spacing w:line="460" w:lineRule="exact"/>
        <w:ind w:firstLine="552" w:firstLineChars="250"/>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注意事项</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招标文件技术部分提供的清单作为供应商投标报价的共同基础，在投标时不得少于招标文件中的设备、材料数量。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2、本项目为交钥匙工程，中标人不得以其它理由增加费用。项目实施过程中可能涉及的所有财务成本已经包含投标总报价之中。中标人在施工过程中，除摄像头等主要设备外，其他所有在本项目施工中用到的附属设备、材料、人工、手续费等，可能与实际采购数量有偏差，中标人不得以此为借口而停止本项目的施工，招标人不追加任何额外费用。因此，投标人须自行考虑报价风险；</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w:t>
      </w:r>
      <w:r>
        <w:rPr>
          <w:rFonts w:hint="eastAsia" w:ascii="新宋体" w:hAnsi="新宋体" w:eastAsia="新宋体" w:cs="新宋体"/>
          <w:b/>
          <w:bCs/>
          <w:color w:val="auto"/>
          <w:kern w:val="0"/>
          <w:sz w:val="22"/>
          <w:szCs w:val="22"/>
          <w:highlight w:val="none"/>
          <w:u w:val="single"/>
          <w:lang w:val="zh-CN"/>
        </w:rPr>
        <w:t>投标人可根据以上所列设备的技术配置及技术性能要求</w:t>
      </w:r>
      <w:r>
        <w:rPr>
          <w:rFonts w:hint="eastAsia" w:ascii="新宋体" w:hAnsi="新宋体" w:eastAsia="新宋体" w:cs="新宋体"/>
          <w:b/>
          <w:bCs/>
          <w:color w:val="auto"/>
          <w:kern w:val="0"/>
          <w:sz w:val="22"/>
          <w:szCs w:val="22"/>
          <w:highlight w:val="none"/>
          <w:u w:val="single"/>
        </w:rPr>
        <w:t>作为</w:t>
      </w:r>
      <w:r>
        <w:rPr>
          <w:rFonts w:hint="eastAsia" w:ascii="新宋体" w:hAnsi="新宋体" w:eastAsia="新宋体" w:cs="新宋体"/>
          <w:b/>
          <w:bCs/>
          <w:color w:val="auto"/>
          <w:kern w:val="0"/>
          <w:sz w:val="22"/>
          <w:szCs w:val="22"/>
          <w:highlight w:val="none"/>
          <w:u w:val="single"/>
          <w:lang w:val="zh-CN"/>
        </w:rPr>
        <w:t>参考选用投标产品，但所选投标产品的技术配置及技术性能应相当于或高于招标文件要求，并满足采购需求，否则将可能作出对投标人不利的评定。</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4、本项目中标价即为合同总价，合同期限为五年；</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5、点位勘查工作在开标后组织。</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6、</w:t>
      </w:r>
      <w:r>
        <w:rPr>
          <w:rFonts w:hint="eastAsia" w:ascii="新宋体" w:hAnsi="新宋体" w:eastAsia="新宋体"/>
          <w:color w:val="auto"/>
          <w:sz w:val="22"/>
          <w:szCs w:val="22"/>
          <w:highlight w:val="none"/>
        </w:rPr>
        <w:t>本合同项下货物质量保证期为向招标人移交，通过最终验收之日起质保伍年（60个月）（设备另有超过质保期规定的按原规定执行），在保修期内所产生的相关费用由乙方承担，合同内的所有产品要求中标人提供上门服务（招标文件另有规定按就高原则）</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二、技术要求及规范</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1、系统建设依据</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系统方案的设计和实施必须满足以下规范和要求：</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（1）GB50348-2004《安全防范工程技术规范》</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（2）GB/T28181-2011 《安全防范视频监控联网系统信息传输、交换、控制技术要求》</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（3）DB33/T502-2004《社会治安动态视频监控系统技术规范》</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（4）DB33/T629—2012《跨区域视频监控联网共享技术规范》</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（5）Q/GAT002—2006《基于公共运营商的社会治安动态视频监控系统技术规范》</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（6）GB50198-94《民用闭路监视电视系统工程技术规范》</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（7）GA/T75-94《安全防范工程程序与要求》</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（8）GA/T669－2006《城市监控报警联网系统通用技术要求》</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（9）GA/T497－2009《公路车辆智能监测记录系统通用技术条件》</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（10）GA308-2001《安全防范系统验收规范》</w:t>
      </w:r>
    </w:p>
    <w:p>
      <w:pPr>
        <w:tabs>
          <w:tab w:val="left" w:pos="360"/>
        </w:tabs>
        <w:spacing w:line="460" w:lineRule="exact"/>
        <w:ind w:firstLine="550" w:firstLineChars="2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其它视频监控建设国家、地方、行业的相关标准</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2、项目建设要求</w:t>
      </w:r>
    </w:p>
    <w:p>
      <w:pPr>
        <w:adjustRightInd w:val="0"/>
        <w:spacing w:line="460" w:lineRule="exact"/>
        <w:ind w:firstLine="431"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snapToGrid w:val="0"/>
          <w:color w:val="auto"/>
          <w:kern w:val="0"/>
          <w:sz w:val="22"/>
          <w:szCs w:val="22"/>
          <w:highlight w:val="none"/>
        </w:rPr>
        <w:t>本次招标项目为开发区雪亮工程高清人脸识别监控租赁</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snapToGrid w:val="0"/>
          <w:color w:val="auto"/>
          <w:kern w:val="0"/>
          <w:sz w:val="22"/>
          <w:szCs w:val="22"/>
          <w:highlight w:val="none"/>
        </w:rPr>
        <w:t>包括监控系统的</w:t>
      </w:r>
      <w:r>
        <w:rPr>
          <w:rFonts w:hint="eastAsia" w:ascii="新宋体" w:hAnsi="新宋体" w:eastAsia="新宋体" w:cs="新宋体"/>
          <w:bCs/>
          <w:snapToGrid w:val="0"/>
          <w:color w:val="auto"/>
          <w:kern w:val="0"/>
          <w:sz w:val="22"/>
          <w:szCs w:val="22"/>
          <w:highlight w:val="none"/>
        </w:rPr>
        <w:t>摄像机、</w:t>
      </w:r>
      <w:r>
        <w:rPr>
          <w:rFonts w:hint="eastAsia" w:ascii="新宋体" w:hAnsi="新宋体" w:eastAsia="新宋体" w:cs="新宋体"/>
          <w:snapToGrid w:val="0"/>
          <w:color w:val="auto"/>
          <w:kern w:val="0"/>
          <w:sz w:val="22"/>
          <w:szCs w:val="22"/>
          <w:highlight w:val="none"/>
        </w:rPr>
        <w:t>传输线路、存储设备、平台服务器设备、机房和以及配套工程所需设备材料等采购、安装、调试、检测、验收，</w:t>
      </w:r>
      <w:r>
        <w:rPr>
          <w:rFonts w:hint="eastAsia" w:ascii="新宋体" w:hAnsi="新宋体" w:eastAsia="新宋体" w:cs="新宋体"/>
          <w:color w:val="auto"/>
          <w:sz w:val="22"/>
          <w:szCs w:val="22"/>
          <w:highlight w:val="none"/>
        </w:rPr>
        <w:t>项目所有设备需提供五年维保服务，费用全部包含在项目建设招标预算当中，不再另外支出。</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3、工程建设要求</w:t>
      </w:r>
    </w:p>
    <w:p>
      <w:pPr>
        <w:adjustRightInd w:val="0"/>
        <w:spacing w:line="460" w:lineRule="exact"/>
        <w:ind w:firstLine="433"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①前端设备：</w:t>
      </w:r>
      <w:r>
        <w:rPr>
          <w:rFonts w:hint="eastAsia" w:ascii="新宋体" w:hAnsi="新宋体" w:eastAsia="新宋体" w:cs="新宋体"/>
          <w:snapToGrid w:val="0"/>
          <w:color w:val="auto"/>
          <w:kern w:val="0"/>
          <w:sz w:val="22"/>
          <w:szCs w:val="22"/>
          <w:highlight w:val="none"/>
        </w:rPr>
        <w:t>前端设备应能在恶劣工作环境（高温、高湿度、多尘等）下长期稳定运行。本次招标项目采用星光级高清网络摄像机，按需采取夜间补光措施。中标人在签订合同前需要对现场进一步勘查，了解需建设点位现状，并提出详细实施方案给招标人。</w:t>
      </w:r>
    </w:p>
    <w:p>
      <w:pPr>
        <w:adjustRightInd w:val="0"/>
        <w:spacing w:line="460" w:lineRule="exact"/>
        <w:ind w:firstLine="433"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②设备机房：</w:t>
      </w:r>
      <w:r>
        <w:rPr>
          <w:rFonts w:hint="eastAsia" w:ascii="新宋体" w:hAnsi="新宋体" w:eastAsia="新宋体" w:cs="新宋体"/>
          <w:snapToGrid w:val="0"/>
          <w:color w:val="auto"/>
          <w:kern w:val="0"/>
          <w:sz w:val="22"/>
          <w:szCs w:val="22"/>
          <w:highlight w:val="none"/>
        </w:rPr>
        <w:t>本项目后端设备安装所需机房，原则上由招标人确定，并且机房及配套设施的相关费用已经包含在项目预算当中（技术配置表中已经列出），若针对本项目有网络架线、设备扩容等需求，由中标人解决，招标人不再增加任何费用支出。</w:t>
      </w:r>
    </w:p>
    <w:p>
      <w:pPr>
        <w:adjustRightInd w:val="0"/>
        <w:spacing w:line="460" w:lineRule="exact"/>
        <w:ind w:firstLine="433"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③第三方检测：</w:t>
      </w:r>
      <w:r>
        <w:rPr>
          <w:rFonts w:hint="eastAsia" w:ascii="新宋体" w:hAnsi="新宋体" w:eastAsia="新宋体" w:cs="新宋体"/>
          <w:snapToGrid w:val="0"/>
          <w:color w:val="auto"/>
          <w:kern w:val="0"/>
          <w:sz w:val="22"/>
          <w:szCs w:val="22"/>
          <w:highlight w:val="none"/>
        </w:rPr>
        <w:t>工程竣工后验收前需抽样10%进行第三方检测，检测费用由中标人支付。</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三、系统架构要求</w:t>
      </w:r>
    </w:p>
    <w:p>
      <w:pPr>
        <w:adjustRightInd w:val="0"/>
        <w:spacing w:line="460" w:lineRule="exact"/>
        <w:ind w:firstLine="433"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1、整体架构</w:t>
      </w:r>
      <w:r>
        <w:rPr>
          <w:rFonts w:hint="eastAsia" w:ascii="新宋体" w:hAnsi="新宋体" w:eastAsia="新宋体" w:cs="新宋体"/>
          <w:snapToGrid w:val="0"/>
          <w:color w:val="auto"/>
          <w:kern w:val="0"/>
          <w:sz w:val="22"/>
          <w:szCs w:val="22"/>
          <w:highlight w:val="none"/>
        </w:rPr>
        <w:t>：中标人要保证本项目系统架构完全符合温州市公安局公安视频监控系统“五层架构”标准，并能够通过软件升级满足温州市公安视频监控系统的版本更新。</w:t>
      </w:r>
    </w:p>
    <w:p>
      <w:pPr>
        <w:adjustRightInd w:val="0"/>
        <w:spacing w:line="460" w:lineRule="exact"/>
        <w:ind w:firstLine="433"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2、传输线路</w:t>
      </w:r>
      <w:r>
        <w:rPr>
          <w:rFonts w:hint="eastAsia" w:ascii="新宋体" w:hAnsi="新宋体" w:eastAsia="新宋体" w:cs="新宋体"/>
          <w:snapToGrid w:val="0"/>
          <w:color w:val="auto"/>
          <w:kern w:val="0"/>
          <w:sz w:val="22"/>
          <w:szCs w:val="22"/>
          <w:highlight w:val="none"/>
        </w:rPr>
        <w:t>：要求中标人必须对系统设备整体采用光纤入网方式连接，拒绝以其他链路形式组网；并且所有高清摄像机、存储、服务器等系统设备必须直接接入温州市公安视频监控专网进行传输，不得将公安视频监控专网与其他任何类型的网络对接，确保公安视频监控专网的网络安全。</w:t>
      </w:r>
    </w:p>
    <w:p>
      <w:pPr>
        <w:adjustRightInd w:val="0"/>
        <w:spacing w:line="460" w:lineRule="exact"/>
        <w:ind w:firstLine="433"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3、平台接入</w:t>
      </w:r>
      <w:r>
        <w:rPr>
          <w:rFonts w:hint="eastAsia" w:ascii="新宋体" w:hAnsi="新宋体" w:eastAsia="新宋体" w:cs="新宋体"/>
          <w:snapToGrid w:val="0"/>
          <w:color w:val="auto"/>
          <w:kern w:val="0"/>
          <w:sz w:val="22"/>
          <w:szCs w:val="22"/>
          <w:highlight w:val="none"/>
        </w:rPr>
        <w:t>：本项目所有点位的视频监控功能（以视频录像存储形式）直接通过公安视频监控专网接入温州市公安局开发区分局视频监控平台，不采取其他任何平台对接等方式接入；所有平台接入遇有技术性问题由中标人自行解决。</w:t>
      </w:r>
    </w:p>
    <w:p>
      <w:pPr>
        <w:adjustRightInd w:val="0"/>
        <w:spacing w:line="460" w:lineRule="exact"/>
        <w:ind w:firstLine="433" w:firstLineChars="196"/>
        <w:rPr>
          <w:rFonts w:ascii="新宋体" w:hAnsi="新宋体" w:eastAsia="新宋体" w:cs="新宋体"/>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4、监控存储</w:t>
      </w:r>
      <w:r>
        <w:rPr>
          <w:rFonts w:hint="eastAsia" w:ascii="新宋体" w:hAnsi="新宋体" w:eastAsia="新宋体" w:cs="新宋体"/>
          <w:snapToGrid w:val="0"/>
          <w:color w:val="auto"/>
          <w:kern w:val="0"/>
          <w:sz w:val="22"/>
          <w:szCs w:val="22"/>
          <w:highlight w:val="none"/>
        </w:rPr>
        <w:t>：符合《温州市安全防范视频监控联网系统信息传输交换控制技术要求》的技术架构，能够与前端摄像机设备结合实现存储直写，同时视频存储功能与监控平台无关，即在视频监控平台出现故障时，不影响整个视频监控系统的实时存储。频监控录像存储时间不得少于30天。</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四、其他要求</w:t>
      </w:r>
    </w:p>
    <w:p>
      <w:pPr>
        <w:adjustRightInd w:val="0"/>
        <w:spacing w:line="460" w:lineRule="exact"/>
        <w:ind w:firstLine="433" w:firstLineChars="196"/>
        <w:rPr>
          <w:rFonts w:ascii="新宋体" w:hAnsi="新宋体" w:eastAsia="新宋体" w:cs="新宋体"/>
          <w:b/>
          <w:bCs/>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1、点位确认</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在确认安装点位时应以照片或图像等形式固定点位，同时按照《跨区域视频监控联网共享技术规范》（DB33/T629—2007）要求完成点位的编码工作、按照温州市公安局警用地理信息系统数据库视频监控图层数据的要求提供点位精确的经、纬度、通道编号等数据。</w:t>
      </w:r>
    </w:p>
    <w:p>
      <w:pPr>
        <w:adjustRightInd w:val="0"/>
        <w:spacing w:line="460" w:lineRule="exact"/>
        <w:ind w:firstLine="433" w:firstLineChars="196"/>
        <w:rPr>
          <w:rFonts w:ascii="新宋体" w:hAnsi="新宋体" w:eastAsia="新宋体" w:cs="新宋体"/>
          <w:b/>
          <w:bCs/>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2、安装、调试</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道路开挖审批、接电等由中标人负责，业主单位协助，费用含在本项建设中标价中；设备的安装必须符合有关标准和规范，中标人必需选择具备安防资信等级的企业并有以往类似施工经验的施工队伍负责项目施工。</w:t>
      </w:r>
      <w:r>
        <w:rPr>
          <w:rFonts w:hint="eastAsia" w:ascii="新宋体" w:hAnsi="新宋体" w:eastAsia="新宋体" w:cs="新宋体"/>
          <w:bCs/>
          <w:color w:val="auto"/>
          <w:sz w:val="22"/>
          <w:szCs w:val="22"/>
          <w:highlight w:val="none"/>
        </w:rPr>
        <w:t>设备安装就位、校准后，中标人应按提交初验报告给业主单位，</w:t>
      </w:r>
      <w:r>
        <w:rPr>
          <w:rFonts w:hint="eastAsia" w:ascii="新宋体" w:hAnsi="新宋体" w:eastAsia="新宋体" w:cs="新宋体"/>
          <w:color w:val="auto"/>
          <w:sz w:val="22"/>
          <w:szCs w:val="22"/>
          <w:highlight w:val="none"/>
        </w:rPr>
        <w:t>开始至少连续一个月以上的系统试运行，并做好试运行记录。</w:t>
      </w:r>
    </w:p>
    <w:p>
      <w:pPr>
        <w:adjustRightInd w:val="0"/>
        <w:spacing w:line="460" w:lineRule="exact"/>
        <w:ind w:firstLine="433" w:firstLineChars="196"/>
        <w:rPr>
          <w:rFonts w:ascii="新宋体" w:hAnsi="新宋体" w:eastAsia="新宋体" w:cs="新宋体"/>
          <w:b/>
          <w:bCs/>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3、检测</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系统在正式验收前，</w:t>
      </w:r>
      <w:r>
        <w:rPr>
          <w:rFonts w:hint="eastAsia" w:ascii="新宋体" w:hAnsi="新宋体" w:eastAsia="新宋体" w:cs="新宋体"/>
          <w:color w:val="auto"/>
          <w:sz w:val="22"/>
          <w:szCs w:val="22"/>
          <w:highlight w:val="none"/>
        </w:rPr>
        <w:t>必须由国家认证合格的检测部门对系统进行检测，并出具检测报告。对于检测不合格的地方应及时进行整改和调整，直至检测合格。中标人负责测试所需的一切费用。系统检测应执行相关安防行业法规、政策、行业标准，主要以本项目合同的要求为准。</w:t>
      </w:r>
    </w:p>
    <w:p>
      <w:pPr>
        <w:adjustRightInd w:val="0"/>
        <w:spacing w:line="460" w:lineRule="exact"/>
        <w:ind w:firstLine="433" w:firstLineChars="196"/>
        <w:rPr>
          <w:rFonts w:ascii="新宋体" w:hAnsi="新宋体" w:eastAsia="新宋体" w:cs="新宋体"/>
          <w:b/>
          <w:bCs/>
          <w:snapToGrid w:val="0"/>
          <w:color w:val="auto"/>
          <w:kern w:val="0"/>
          <w:sz w:val="22"/>
          <w:szCs w:val="22"/>
          <w:highlight w:val="none"/>
        </w:rPr>
      </w:pPr>
      <w:r>
        <w:rPr>
          <w:rFonts w:hint="eastAsia" w:ascii="新宋体" w:hAnsi="新宋体" w:eastAsia="新宋体" w:cs="新宋体"/>
          <w:b/>
          <w:bCs/>
          <w:snapToGrid w:val="0"/>
          <w:color w:val="auto"/>
          <w:kern w:val="0"/>
          <w:sz w:val="22"/>
          <w:szCs w:val="22"/>
          <w:highlight w:val="none"/>
        </w:rPr>
        <w:t>4、验收</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调试开通后至少连续试运行一个月无故障或已发现的故障和隐患均已全部排除，并经第三方检测合格，所有的技术资料和图纸已向业主单位提交并被接受后，业主单位应及时组织验收，验收合格后，出具验收合格证明。验收由技术验收、施工验收和资料审查三部分内容组成。未经审核验收通过的监控系统不得投入使用，验收合格方可移交运行。系统验收应执行相关安防行业法规、政策、行业标准及本项目合同的要求。</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（2）若因中标人产品质量或安装技术问题导致验收不合格，中标人应及时予以处理，直至验收合格，期间发生的一切相关费用由中标人承担，业主单位保留向中标人索赔的权利。</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五、技术服务、力量保障、人员培训</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用户通过故障保修热线或客户经理报障，运行维护期内，中标人负责对出现故障的所有设备免费的维修和更换，并提供终身优惠维修保养服务，每次维修都将形成必要的记录，为用户建立一套完整的运行纪要。</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1、提供系统日巡检服务，确保每台服务器在稳定的工作；服务器出现异常情况应在8小时内解决。</w:t>
      </w:r>
    </w:p>
    <w:p>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2、</w:t>
      </w:r>
      <w:r>
        <w:rPr>
          <w:rFonts w:hint="eastAsia" w:ascii="新宋体" w:hAnsi="新宋体" w:eastAsia="新宋体" w:cs="新宋体"/>
          <w:color w:val="auto"/>
          <w:sz w:val="22"/>
          <w:szCs w:val="22"/>
          <w:highlight w:val="none"/>
        </w:rPr>
        <w:t>每个季度对整个系统进行现场巡检一次和摄像机镜头擦拭一次，遇重大活动和重要保障任务时，接公安局通知时应立即进行检修和擦拭，对系统存在的潜在安全或故障隐患进行分析并提出相应的解决方案加以排除。</w:t>
      </w:r>
    </w:p>
    <w:p>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color w:val="auto"/>
          <w:sz w:val="22"/>
          <w:szCs w:val="22"/>
          <w:highlight w:val="none"/>
        </w:rPr>
        <w:t>提供每周7×24小时电话技术服务、技术咨询或现场技术服务。</w:t>
      </w:r>
    </w:p>
    <w:p>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w:t>
      </w:r>
      <w:r>
        <w:rPr>
          <w:rFonts w:hint="eastAsia" w:ascii="新宋体" w:hAnsi="新宋体" w:eastAsia="新宋体" w:cs="新宋体"/>
          <w:color w:val="auto"/>
          <w:sz w:val="22"/>
          <w:szCs w:val="22"/>
          <w:highlight w:val="none"/>
        </w:rPr>
        <w:t>针对本项目中的所有设备，中标人需在备件库中有高于或等同于本项目设备型号或系列的备品备件，对无法及时修复的故障先免费更换；备品储备量需达到本项目设备的5%。</w:t>
      </w:r>
    </w:p>
    <w:p>
      <w:pPr>
        <w:tabs>
          <w:tab w:val="left" w:pos="12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5、</w:t>
      </w:r>
      <w:r>
        <w:rPr>
          <w:rFonts w:hint="eastAsia" w:ascii="新宋体" w:hAnsi="新宋体" w:eastAsia="新宋体" w:cs="新宋体"/>
          <w:color w:val="auto"/>
          <w:sz w:val="22"/>
          <w:szCs w:val="22"/>
          <w:highlight w:val="none"/>
        </w:rPr>
        <w:t>提供系统所有故障排除服务，确保系统进行实时、有效的视频探测、视频监视，图像显示、记录与回放。</w:t>
      </w:r>
    </w:p>
    <w:p>
      <w:pPr>
        <w:tabs>
          <w:tab w:val="left" w:pos="12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color w:val="auto"/>
          <w:sz w:val="22"/>
          <w:szCs w:val="22"/>
          <w:highlight w:val="none"/>
        </w:rPr>
        <w:t>提供系统及网络现状测试和评估服务，为客户远程网络视频监控系统提供详细系统测试报告。</w:t>
      </w:r>
    </w:p>
    <w:p>
      <w:pPr>
        <w:tabs>
          <w:tab w:val="left" w:pos="12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7、</w:t>
      </w:r>
      <w:r>
        <w:rPr>
          <w:rFonts w:hint="eastAsia" w:ascii="新宋体" w:hAnsi="新宋体" w:eastAsia="新宋体" w:cs="新宋体"/>
          <w:color w:val="auto"/>
          <w:sz w:val="22"/>
          <w:szCs w:val="22"/>
          <w:highlight w:val="none"/>
        </w:rPr>
        <w:t>运行维护服务期内免费提供设备软件升级服务，在网络和设备扩容及软件升级时，中标人需派技术人员到场免费实施或指导。</w:t>
      </w:r>
    </w:p>
    <w:p>
      <w:pPr>
        <w:tabs>
          <w:tab w:val="left" w:pos="12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8、</w:t>
      </w:r>
      <w:r>
        <w:rPr>
          <w:rFonts w:hint="eastAsia" w:ascii="新宋体" w:hAnsi="新宋体" w:eastAsia="新宋体" w:cs="新宋体"/>
          <w:color w:val="auto"/>
          <w:sz w:val="22"/>
          <w:szCs w:val="22"/>
          <w:highlight w:val="none"/>
        </w:rPr>
        <w:t>在系统验收时，中标人为客户远程网络视频监控系统提供详细的施工文档、设备操作使用指南和维护手册、以及详细的安装调试文档，并提供文档更新服务。</w:t>
      </w:r>
    </w:p>
    <w:p>
      <w:pPr>
        <w:snapToGrid w:val="0"/>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9、</w:t>
      </w:r>
      <w:r>
        <w:rPr>
          <w:rFonts w:hint="eastAsia" w:ascii="新宋体" w:hAnsi="新宋体" w:eastAsia="新宋体" w:cs="新宋体"/>
          <w:color w:val="auto"/>
          <w:sz w:val="22"/>
          <w:szCs w:val="22"/>
          <w:highlight w:val="none"/>
        </w:rPr>
        <w:t>在设备投入运行后，如对系统软件有所改进，增加新功能，将免费为客户远程网络视频监控系统提供使用。</w:t>
      </w:r>
    </w:p>
    <w:p>
      <w:pPr>
        <w:snapToGrid w:val="0"/>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10、</w:t>
      </w:r>
      <w:r>
        <w:rPr>
          <w:rFonts w:hint="eastAsia" w:ascii="新宋体" w:hAnsi="新宋体" w:eastAsia="新宋体" w:cs="新宋体"/>
          <w:color w:val="auto"/>
          <w:sz w:val="22"/>
          <w:szCs w:val="22"/>
          <w:highlight w:val="none"/>
        </w:rPr>
        <w:t>中标人在用户所在地能提供长期售后服务配套设施。</w:t>
      </w:r>
    </w:p>
    <w:p>
      <w:pPr>
        <w:spacing w:line="460" w:lineRule="exact"/>
        <w:ind w:firstLine="442" w:firstLineChars="200"/>
        <w:rPr>
          <w:rFonts w:ascii="新宋体" w:hAnsi="新宋体" w:eastAsia="新宋体" w:cs="新宋体"/>
          <w:color w:val="auto"/>
          <w:sz w:val="22"/>
          <w:szCs w:val="22"/>
          <w:highlight w:val="none"/>
          <w:u w:val="single"/>
        </w:rPr>
      </w:pPr>
      <w:r>
        <w:rPr>
          <w:rFonts w:hint="eastAsia" w:ascii="新宋体" w:hAnsi="新宋体" w:eastAsia="新宋体" w:cs="新宋体"/>
          <w:b/>
          <w:color w:val="auto"/>
          <w:sz w:val="22"/>
          <w:szCs w:val="22"/>
          <w:highlight w:val="none"/>
        </w:rPr>
        <w:t>11、</w:t>
      </w:r>
      <w:r>
        <w:rPr>
          <w:rFonts w:hint="eastAsia" w:ascii="新宋体" w:hAnsi="新宋体" w:eastAsia="新宋体" w:cs="新宋体"/>
          <w:color w:val="auto"/>
          <w:sz w:val="22"/>
          <w:szCs w:val="22"/>
          <w:highlight w:val="none"/>
        </w:rPr>
        <w:t>设备安装、调试结束后，中标人应立即派有经验的工程师对业主单位人员进行操作和日常管理的培训，并确保业主单位参与培训的人员能独立、熟练地进行操作。</w:t>
      </w:r>
    </w:p>
    <w:p>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12、</w:t>
      </w:r>
      <w:r>
        <w:rPr>
          <w:rFonts w:hint="eastAsia" w:ascii="新宋体" w:hAnsi="新宋体" w:eastAsia="新宋体" w:cs="新宋体"/>
          <w:color w:val="auto"/>
          <w:sz w:val="22"/>
          <w:szCs w:val="22"/>
          <w:highlight w:val="none"/>
        </w:rPr>
        <w:t>投标人每年对采购单位提供免费培训。</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六、完工日期</w:t>
      </w:r>
    </w:p>
    <w:p>
      <w:pPr>
        <w:tabs>
          <w:tab w:val="left" w:pos="360"/>
        </w:tabs>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2018年12月1日这前完成验收</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七、付款方式与结算</w:t>
      </w:r>
    </w:p>
    <w:p>
      <w:pPr>
        <w:spacing w:line="460" w:lineRule="exact"/>
        <w:ind w:firstLine="539" w:firstLineChars="245"/>
        <w:rPr>
          <w:rFonts w:ascii="新宋体" w:hAnsi="新宋体" w:eastAsia="新宋体"/>
          <w:b/>
          <w:color w:val="auto"/>
          <w:sz w:val="22"/>
          <w:highlight w:val="none"/>
        </w:rPr>
      </w:pPr>
      <w:r>
        <w:rPr>
          <w:rFonts w:hint="eastAsia" w:ascii="新宋体" w:hAnsi="新宋体" w:eastAsia="新宋体"/>
          <w:color w:val="auto"/>
          <w:sz w:val="22"/>
          <w:szCs w:val="22"/>
          <w:highlight w:val="none"/>
        </w:rPr>
        <w:t>中标人在收到中标通知书后，签订合同前须向招标人提交合同总价10%的履约保证金，如中标人未按规定提交履约保证金则招标人有权拒签合同。签订合同后招标人向中标人支付合同总额的20%（中标人必需开具正式税务发票）预付款；完成设备的安装、调试后、验收合格后30个工作日内，招标人向中标人支付合同总额的50%；剩余30%作为3年的项目运维保证金（每年10%），每年实际支付金额以项目运维考核结算为准，3年后，原履约保证金自动转为质量保证金，5年质保期满后根据考核结算结果，余额无息退还。</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标段二：开发区雪亮工程三大平台和运维管理中心的租赁</w:t>
      </w:r>
    </w:p>
    <w:p>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本次财政预算为</w:t>
      </w:r>
      <w:r>
        <w:rPr>
          <w:rFonts w:hint="eastAsia" w:ascii="新宋体" w:hAnsi="新宋体" w:eastAsia="新宋体"/>
          <w:b/>
          <w:color w:val="auto"/>
          <w:sz w:val="22"/>
          <w:szCs w:val="22"/>
          <w:highlight w:val="none"/>
        </w:rPr>
        <w:t>人民币伍佰玖拾万伍仟元整（¥5905000.00元）</w:t>
      </w:r>
      <w:r>
        <w:rPr>
          <w:rFonts w:hint="eastAsia" w:ascii="新宋体" w:hAnsi="新宋体" w:eastAsia="新宋体" w:cs="新宋体"/>
          <w:b/>
          <w:color w:val="auto"/>
          <w:sz w:val="22"/>
          <w:szCs w:val="22"/>
          <w:highlight w:val="none"/>
        </w:rPr>
        <w:t>, 如投标人报价超过财政预算按无效标处理</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一、采购内容</w:t>
      </w:r>
    </w:p>
    <w:tbl>
      <w:tblPr>
        <w:tblStyle w:val="65"/>
        <w:tblW w:w="995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5614"/>
        <w:gridCol w:w="79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客户端接入模块服务器（CAG、PAG）</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知名品牌，非OEM产品，产品自主研发和生产 </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形态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2U 2路机架服务器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处理器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配置≥2颗Intel Xeon E5-2609 v4 处理器, 主频≥1.7GHz， 核数≥8Core</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配置≥16GB DDR4 内存，扩展能力≥16个插槽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配置2块300GB-SAS -10000rpm-2.5英寸硬盘;支持内置Flash存储：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RAID卡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配置RAID0,1,5,6,10,50,60-1GB Cache，配置掉电保护</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PCIe扩展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提供6个PCIe3.0扩展槽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网络接口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提供≥2个千兆GE网口，支持NCSI功能，支持WOL和PXE；支持板载2*10GE/2*GE/4*GE灵活配置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配置≥2个460W电源，支持冗余热插拔金牌超高效率电源，效率≥94%</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风扇冗余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满配热插拔冗余风扇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工作温度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正常工作温度范围5℃-45℃（提供官网彩页证明截图和链接）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管理维护功能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采用国产自主知识产权管理芯片（提供专利证明材料和管理芯片截图），独立接口，支持SNMP、IPMI，提供GUI、虚拟KVM、虚拟媒体、SOL，深度预故障检测(PFA)、智能电源、远程控制、硬件监控等特性，支持BIOS中文管理界面（提供截图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可管理和维护性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1.集成系统管理处理器支持：自动服务器重启、风扇监视和控制、电源监控、温度监控、启动/关闭、按序重启、本地固件更新、错误日志，可通过可视化工具提供系统未来状况的可视显示；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2.具有图形管理界面及其他高级管理功能；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3.配置独立的远程管理控制端口，支持远程监控图形界面,可实现与操作系统无关的远程对服务器的完全控制，包括远程的开机、关机、重启、虚拟软驱、虚拟光驱等操作；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资质认证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具备权威机构颁发的ISO9001、ISO27001、ISO14001、ISO20000、OHSAS18001认证证书体系证书、通过CE，FCC，CCC、中国环境标志产品、能源之星认证、CQC能源环保认证（提供证明材料）</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中心认证管理服务器（CMS、NRM、AMS、DBMS）</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知名品牌，非OEM产品，产品自主研发和生产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形态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2U 2路机架服务器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处理器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配置≥2颗Intel Xeon E5-2609 v4 处理器, 主频≥1.7GHz， 核数≥8Core</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配置≥16GB DDR4 内存，扩展能力≥16个插槽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配置2块300GB-SAS -10000rpm-2.5英寸硬盘;支持内置Flash存储：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RAID卡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配置RAID0,1,5,6,10,50,60-1GB Cache，配置掉电保护</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PCIe扩展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提供6个PCIe3.0扩展槽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网络接口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提供≥2个千兆GE网口，支持NCSI功能，支持WOL和PXE；支持板载2*10GE/2*GE/4*GE灵活配置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配置≥2个460W电源，支持冗余热插拔金牌超高效率电源，效率≥94%</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风扇冗余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满配热插拔冗余风扇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工作温度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正常工作温度范围5℃-45℃（提供官网彩页证明截图和链接）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管理维护功能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采用国产自主知识产权管理芯片（管理芯片截图），独立接口，支持SNMP、IPMI，提供GUI、虚拟KVM、虚拟媒体、SOL，深度预故障检测(PFA)、智能电源、远程控制、硬件监控等特性，支持BIOS中文管理界面（提供截图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可管理和维护性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1.集成系统管理处理器支持：自动服务器重启、风扇监视和控制、电源监控、温度监控、启动/关闭、按序重启、本地固件更新、错误日志，可通过可视化工具提供系统未来状况的可视显示；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2.具有图形管理界面及其他高级管理功能；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3.配置独立的远程管理控制端口，支持远程监控图形界面,可实现与操作系统无关的远程对服务器的完全控制，包括远程的开机、关机、重启、虚拟软驱、虚拟光驱等操作；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资质认证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具备权威机构颁发的ISO9001、ISO27001、ISO14001、ISO20000、OHSAS18001认证证书体系证书、通过CE，FCC，CCC、中国环境标志产品、能源之星认证、CQC能源环保认证（提供证明材料）</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媒体分发服务器（VTDU N+1负载均衡）</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知名品牌，非OEM产品，产品自主研发和生产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形态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2U 2路机架服务器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处理器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配置≥2颗Intel Xeon E5-2609 v4 处理器, 主频≥1.7GHz， 核数≥8Core</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配置≥16GB DDR4 内存，扩展能力≥16个插槽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配置2块300GB-SAS -10000rpm-2.5英寸硬盘;支持内置Flash存储：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RAID卡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配置RAID0,1,5,6,10,50,60-1GB Cache，配置掉电保护</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PCIe扩展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提供6个PCIe3.0扩展槽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网络接口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提供≥2个千兆GE网口，支持NCSI功能，支持WOL和PXE；支持板载2*10GE/2*GE/4*GE灵活配置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配置≥2个460W电源，支持冗余热插拔金牌超高效率电源，效率≥94%</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风扇冗余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满配热插拔冗余风扇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工作温度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正常工作温度范围5℃-45℃（提供官网彩页证明截图和链接）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管理维护功能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采用国产自主知识产权管理芯片，独立接口，支持SNMP、IPMI，提供GUI、虚拟KVM、虚拟媒体、SOL，深度预故障检测(PFA)、智能电源、远程控制、硬件监控等特性，支持BIOS中文管理界面（提供截图证明）；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可管理和维护性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1.集成系统管理处理器支持：自动服务器重启、风扇监视和控制、电源监控、温度监控、启动/关闭、按序重启、本地固件更新、错误日志，可通过可视化工具提供系统未来状况的可视显示；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2.具有图形管理界面及其他高级管理功能；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3.配置独立的远程管理控制端口，支持远程监控图形界面,可实现与操作系统无关的远程对服务器的完全控制，包括远程的开机、关机、重启、虚拟软驱、虚拟光驱等操作；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资质认证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具备权威机构颁发的ISO9001、ISO27001、ISO14001、ISO20000、OHSAS18001认证证书体系证书、通过CE，FCC，CCC、中国环境标志产品、能源之星认证、CQC能源环保认证（提供证明材料）</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数据库服务器（DB 1+1主备）</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知名品牌，非OEM产品，产品自主研发和生产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形态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2U 2路机架服务器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处理器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配置≥2颗Intel Xeon E5-2609 v4 处理器, 主频≥1.7GHz， 核数≥8Core</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配置≥16GB DDR4 内存，扩展能力≥16个插槽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配置2块300GB-SAS -10000rpm-2.5英寸硬盘;支持内置Flash存储：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RAID卡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配置RAID0,1,5,6,10,50,60-1GB Cache，配置掉电保护</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PCIe扩展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提供6个PCIe3.0扩展槽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网络接口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提供≥2个千兆GE网口，支持NCSI功能，支持WOL和PXE；支持板载2*10GE/2*GE/4*GE灵活配置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配置≥2个460W电源，支持冗余热插拔金牌超高效率电源，效率≥94%</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风扇冗余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满配热插拔冗余风扇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工作温度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正常工作温度范围5℃-45℃（提供官网彩页证明截图和链接）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管理维护功能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采用国产自主知识产权管理芯片，独立接口，支持SNMP、IPMI，提供GUI、虚拟KVM、虚拟媒体、SOL，深度预故障检测(PFA)、智能电源、远程控制、硬件监控等特性，支持BIOS中文管理界面（提供截图证明）；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可管理和维护性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1.集成系统管理处理器支持：自动服务器重启、风扇监视和控制、电源监控、温度监控、启动/关闭、按序重启、本地固件更新、错误日志，可通过可视化工具提供系统未来状况的可视显示；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2.具有图形管理界面及其他高级管理功能；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3.配置独立的远程管理控制端口，支持远程监控图形界面,可实现与操作系统无关的远程对服务器的完全控制，包括远程的开机、关机、重启、虚拟软驱、虚拟光驱等操作；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资质认证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具备权威机构颁发的ISO9001、ISO27001、ISO14001、ISO20000、OHSAS18001认证证书体系证书、通过CE，FCC，CCC、中国环境标志产品、能源之星认证、CQC能源环保认证（提供证明材料）</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运维管理服务器</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知名品牌，非OEM产品，产品自主研发和生产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形态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2U 2路机架服务器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处理器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配置≥2颗Intel Xeon E5-2609 v4 处理器, 主频≥1.7GHz， 核数≥8Core</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配置≥16GB DDR4 内存，扩展能力≥16个插槽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配置2块300GB-SAS -10000rpm-2.5英寸硬盘;支持内置Flash存储：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RAID卡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配置RAID0,1,5,6,10,50,60-1GB Cache，配置掉电保护</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PCIe扩展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提供6个PCIe3.0扩展槽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网络接口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提供≥2个千兆GE网口，支持NCSI功能，支持WOL和PXE；支持板载2*10GE/2*GE/4*GE灵活配置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配置≥2个460W电源，支持冗余热插拔金牌超高效率电源，效率≥94%</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风扇冗余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满配热插拔冗余风扇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工作温度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正常工作温度范围5℃-45℃（提供官网彩页证明截图和链接）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管理维护功能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采用国产自主知识产权管理芯片，独立接口，支持SNMP、IPMI，提供GUI、虚拟KVM、虚拟媒体、SOL，深度预故障检测(PFA)、智能电源、远程控制、硬件监控等特性，支持BIOS中文管理界面（提供截图证明）；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可管理和维护性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1.集成系统管理处理器支持：自动服务器重启、风扇监视和控制、电源监控、温度监控、启动/关闭、按序重启、本地固件更新、错误日志，可通过可视化工具提供系统未来状况的可视显示；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2.具有图形管理界面及其他高级管理功能；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3.配置独立的远程管理控制端口，支持远程监控图形界面,可实现与操作系统无关的远程对服务器的完全控制，包括远程的开机、关机、重启、虚拟软驱、虚拟光驱等操作；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资质认证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具备权威机构颁发的ISO9001、ISO27001、ISO14001、ISO20000、OHSAS18001认证证书体系证书、通过CE，FCC，CCC、中国环境标志产品、能源之星认证、CQC能源环保认证（提供证明材料）</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核心交换机</w:t>
            </w:r>
          </w:p>
        </w:tc>
        <w:tc>
          <w:tcPr>
            <w:tcW w:w="5614" w:type="dxa"/>
          </w:tcPr>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1交换容量交换容量≥10Tbps</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2包转发率包转发率≥2800Mpps </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3硬件要求主控引擎≥2；整机业务板槽位数≥6为保证设备散热效果和可靠性，要求设备支持模块化风扇框，可热插拔，独立风扇框数≥2支持颗粒化电源，支持M+N电源冗余（AC和DC均支持），电源个数≥3</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为适应机柜并排部署，设备机箱采用后出风风道设计</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4虚拟化</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横向虚拟化技术，将多台设备虚拟为一台设备，支持长距离集群，且用于虚拟化的板卡与业务板卡物理槽位分离，虚拟化的万兆端口数&gt;=8为了简化管理，支持纵向虚拟化技术，支持把交换机和AP虚拟为一台设备，支持两层子节点，且子节点接入交换机支持堆叠，提供权威第三方测试报告</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5无线管理</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支持无线管理功能，实现对AP的接入控制、AP域管理、无线用户的统一认证管理，提供权威第三方测试报告</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6用户管理 支持标准协议的MAC、802.1x、Portal等认证方式 </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7组播  支持IGMPv1/v2/v3，PIM SM/DM/SSM，组播ACL</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8二层功能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支持基于VLAN和端口的MAC学习，基于源地址的MAC过滤支持MAC地址≥256K，提供权威第三方测试报告支持ARP表项≥128K，提供权威第三方测试报告</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 IP路由</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支持静态路由、RIP、RIPng、OSPF、OSPFv3、BGP、BGP4+、ISIS、ISISv6支持IPv4路由转发表（FIB）≥512K，提供权威第三方测试报告</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 MPLS</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支持MPLS L3VPN、MPLS L2VPN(VPLS，VLL)、MPLS-TE、MPLS QoS</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11可靠性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支持硬件BFD/OAM，3.3ms稳定均匀发包检测，提高设备的可靠性，提供权威第三方测试报告</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12设备管理</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支持SNMPv1/v2/v3，支持热补丁和远程在线升级</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13实配（单台）</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配置主控引擎≥2，电源个数≥2，万兆集群端口数≥8配置12个万兆光口，24个千兆光口，24个千兆电口，用于虚拟化的堆叠线缆≥8根，提高集群可靠性和堆叠带宽</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大数据平台服务器</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知名品牌，非OEM产品，产品自主研发和生产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形态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2U 2路机架服务器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处理器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配置≥2颗Intel Xeon E5-2630 v4 处理器, 主频≥2.2GHz， 核数≥10Core</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配置≥256GB DDR4 内存，扩展能力≥24个插槽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配置8块480GB-SATA-2.5英寸固态硬盘;配置2块4000GB-SATA -7200rpm-3.5英寸硬盘</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支持内置Flash存储：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RAID卡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配置RAID0,1,5,6,10,50,60-1GB Cache，配置掉电保护</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PCIe扩展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提供9个PCIe3.0扩展槽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网络接口</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提供≥4个千兆GE网口，支持NCSI功能，支持WOL和PXE；支持板载2*10GE/2*GE/4*GE灵活配置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配置≥2个460W电源，支持冗余热插拔金牌超高效率电源，效率≥94%</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风扇冗余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满配热插拔冗余风扇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工作温度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正常工作温度范围5℃-45℃（提供官网彩页证明截图和链接）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管理维护功能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采用国产自主知识产权管理芯片，独立接口，支持SNMP、IPMI，提供GUI、虚拟KVM、虚拟媒体、SOL，深度预故障检测(PFA)、智能电源、远程控制、硬件监控等特性，支持BIOS中文管理界面（提供截图证明）；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可管理和维护性</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1.集成系统管理处理器支持：自动服务器重启、风扇监视和控制、电源监控、温度监控、启动/关闭、按序重启、本地固件更新、错误日志，可通过可视化工具提供系统未来状况的可视显示；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2.具有图形管理界面及其他高级管理功能；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3.配置独立的远程管理控制端口，支持远程监控图形界面,可实现与操作系统无关的远程对服务器的完全控制，包括远程的开机、关机、重启、虚拟软驱、虚拟光驱等操作；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资质认证</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具备权威机构颁发的ISO9001、ISO27001、ISO14001、ISO20000、OHSAS18001认证证书体系证书、通过CE，FCC，CCC、中国环境标志产品、能源之星认证、CQC能源环保认证（提供证明材料）</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支持将人脸抓拍记录从下级大数据服务器同步到上级大数据服务器。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支持建立不少于200个人脸静态库，并可在人脸静态库中检索人脸图片。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支持8亿级别人脸抓拍记录或静态库图片等数据的存储（需提供公安部检测报告证明）。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支持3000万条人脸结构化数据加速以脸搜脸。</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支持通过人脸图片在人脸静态库中进行相似度匹配搜索，检索结果可按相似度进行排序；</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支持按人脸库、相似度、生日、性别、省份、城市、证件号等条件在人脸静态库中检索人脸图片；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支持查看检索出的图片对应的姓名、性别、生日、省份、城市、住址、证件类型、证件号、来源库等信息。</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支持8亿级别人脸静态库记录查询，返回结果平均时间不超过3秒（需提供公安部检测报告证明）。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支持8亿级别动态抓拍库记录查询，返回结果平均时间不超过2秒（需提供公安部检测报告证明）。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支持单库查询任务，可在同一人脸静态库中查询相似人脸（需提供公安部检测报告证明）；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支持双库查询任务，可在两个不同人脸静态库中查询相似人脸（需提供公安部检测报告证明）；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支持按最小相似度、性别、姓名、身份证号等条件查询查重结果。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支持通过人脸图片在动态抓拍库中进行相似度匹配搜索，检索结果可按相似度进行排序；</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支持3000万动态抓拍库以脸搜脸检索响应速度不超过2秒（需提供公安部检测报告证明）。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支持按时段、性别、年龄段、是否戴眼镜、是否微笑、是否高危人群、抓拍点位范围等条件在动态抓拍库中检索人脸图片；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支持报警人脸记录查询；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支持针对动态抓拍库对同一区域不同时间段内的抓拍数据按相似度进行碰撞（需提供公安部检测报告证明）；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支持针对动态抓拍库对不同区域不同时间内的抓拍数据按相似度进行碰撞（需提供公安部检测报告证明）；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支持按姓名、性别、证件号、民族、相似度等条件在人证库中检索人脸图片。</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支持1000条/秒的数据导入性能。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支持5个查询检索并发数，返回结果平均时间不超过2秒。</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支持20个以图搜图并发数，返回结果平均时间不超过2秒。</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支持集群线性扩展功能。</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千兆48口交换机</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交换容量≥580Gbps</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包转发率≥190Mpps</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为了提高设备可靠性，本次配置模块化可插拔双电源</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支持1个扩展插槽，可扩展支持业务插卡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支持48个千兆电口，4个千兆光口</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支持4K个VLAN，支持Voice VLAN，基于端口的VLAN，基于MAC的VLAN，基于协议的VLAN</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支持MAC地址≥64k，提供权威第三方测试报告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支持静态路由、RIP、RIPng、OSPF、OSPFv3、BGP、BGP4+、ISIS、ISISv6</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支持MPLS L3VPN、MPLS L2VPN(VPLS，VLL)、MPLS-TE，提供权威第三方测试报告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支持堆叠，主机堆叠数不小于9台</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支持纵向虚拟化，作为纵向子节点零配置即插即用，提供权威第三方测试报告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支持对端口接收报文速率和发送报文速率进行限制，支持SP、WRR、SP+WRR等队列调度算法</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支持G.8032以太环保护协议，提供权威第三方测试报告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支持SNMP v1/v2/v3、Telnet远程维护、网管系统管理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提供工信部入网证书</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数据库</w:t>
            </w:r>
          </w:p>
        </w:tc>
        <w:tc>
          <w:tcPr>
            <w:tcW w:w="5614" w:type="dxa"/>
          </w:tcPr>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单一数据库，支持所有数据类型（结构化、非结构化、XML、媒体、影像等），支持自定义数据类型。</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支持事务的多版本读一致性与回滚段机制。</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DML操作只能有行级锁，任何情况下不允许有锁定过多资源的锁升级，以降低死锁的可能性，若出现死锁，能自动解锁。</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多个用户操作同一条记录时，任何情况下读、写互不影响，并且不能有读取其他用户未提交数据的脏读。</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支持视图、序列、函数、触发器、存储过程和包</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内置丰富预定义函数，并可以根据用户的实际需要定制特殊的函数。如：数学函数、字符串函数、日期时间函数、聚集函数、大对象函数、XML处理函数、分析函数等</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支持用户对数据库内存的自动、手动和动态管理，支持系统级、会话级、内存级和文件级的参数设置</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支持外部表、支持直接路径数据加载和分布式事务</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数据库内置自动任务调度机制</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内嵌基于Web浏览器的快速应用开发工具，可快速构建快速构建基于数据库的Web应用程序</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内嵌图形化系统管理、开发工具，能实时、动态监视、管理数据库的进程、资源、以及SQL操作,随数据库软件一并安装，也可单独安装,无需额外采购。</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支持集群部署，支持多租户部署</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支持多种索引结构</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支持自动工作负载管理，支持整合环境（同一服务器下的多个数据库部署）下的数据库资源控制。</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支持海量数据,TB甚至PB级海量数据的存储管理</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是当前成熟技术的数据库产品，并符合未来数据库技术的发展潮流。该产品与在面向其他市场销售的产品一样的产品，不裁减、增加，不用定制化的产品进行投标。</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库原厂商提供数据库公有云服务平台，支持随时将本地数据库迁移至数据库公有云平台，并支持对公有云中的数据库的完全管控权（如对操作系统和SYSDBA的root访问权），数据库公有云支持一键式自动备份和按时间恢复和一键式补丁升级。 具备软件容错机制和错误恢复能力、错误记录及预警能力。包括数据库、日志镜像、自动恢复机制，具有高度的数据可靠性、容错能力、完整性和有效性。</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支持物理备份和逻辑备份（库级、用户级、表级）</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支持在线备份与恢复，支持基于磁盘的备份，支持多种数据复制方式。</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支持跨平台备份和恢复</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支持从单机到双机集群系统的扩展</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支持主流厂商及市场主推的硬件平台及Linux、Unix、Windows等操作系统；</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支持多种语言，如中文、英文、日文、法文等，特别是对中文的支持，完全支持如Unicode，GBK、GB2312、GB18030等常用字符集，支持UTF-8、UTF-16等国际编码</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支持主流的网络通信协议，如TCP/IP (IPv4 and IPv6)、IPC、 UDP、支持HTTP2.0、SSL等。</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支持当前主流的数据库技术标准和接口（ANSI/ISO）如支持SQL:2008, SQL:2011 和SQL:2012标准, ODBC 3.0、X/Open、CLI、JDBC 4.* , XQuery，JDK 7/JDK 8等</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支持易用并具有广泛适应性的开发语言和工具，如 SQL, C, C++, Pro*C/C++,Java, .NET, Node.js, PHP, Perl, Ruby, JRuby, Python, Jython, REST Data Services 等语言和工具；</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支持当前流行的应用拓扑结构，如客户机/服务器、浏览器/应用服务器/数据库服务器处理模式等；</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支持JDBC、Pro*C和OCI等多种驱动连接方式。支持SQL及SQLJ开发存储过程，内嵌Java虚拟机，支持JDK1.5+标准。</w:t>
            </w:r>
          </w:p>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支持异种数据库的互访和复制, 能够将原有异种数据库向本数据库无损失移植；支持网络上同构或异构数据库之间数据的相互访问。支持导入CSV、XML、SQL等数据文件；支持对源端和目的端数据的正确性对比(行数)</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9" w:hRule="atLeast"/>
        </w:trPr>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综治视频监控共享平台</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厂家需提供正版平台软件，需提供软件著作证明，不得存在软件知识产权问题。</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平台接入能力不低于10000路，授权不得低于五年。需有其它项目平台接入超过10000路证明。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平台实时预览，录像回放并发能力不低于400路。</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需无缝对接温州市经开区综治视频图像信息共享平台，需有业主单位提供的对接证明。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需无缝对接温州市经开区公安视频图像信息共享平台，需有业主单位提供的对接证明。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A.实时预览功能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通过C/S客户端和B/S客户端，能够单画面或多画面显示实时视频图像；支持不同画面的显示方式：1、4、6、9、16画面等方式；能提供多种显示器分辨率，以适应各种应用场合，并可以实现全屏显示。（备注：如同时显示多画面，需要客户端电脑性能支持）</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能够实现对前端云台镜头的全功能远程控制，包括云台的旋转和自动扫描、镜头的变倍变焦、快球预置位的设置和启动、快球巡航轨迹的设定和启动；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3)能实现对云台进行锁定控制，将无法对球机进行云台控制及相关操作。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画面切换：可以分为手动切换、自动切换（轮巡功用）；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画面文字显示：包括组织机构、OSD、标识、通道名称、日期与时间等。</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B.点位查询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分组管理：可以根据实际需要，进行个人分组、公共分组。</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支持监控点的模糊查询：支持拼音首字母的模糊查询，在监控视图，录像回放，监视屏控制等模块的模糊查询。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C.录像回放</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回放时可进行单画面、4画面、单进、单退、快进（1/2/4/8倍数）、剪辑、抓帧、下载等操作。支持即时回放、常规回放、分段回放、标签回放、单帧回放功能。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即时回放功能（即，在预览画面时，发现有异常行为，值班人员可以立即回放刚才发生的情景录像）</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常规回放：1、选择所要回放的通道，支持可以多通道同时回放；2、支持选择回放录像的日期和时间段； 3支持回放录像时，可对录像进行剪辑、抓图、回放录像上电视墙等功能。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分段回放：录像的分段回放，用来对同一路通道的录像资料，分为几个不同的时间片段来回放，方便快速的查找所要的录像段。</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秒级定位：高精度、灵活的录像搜索引擎，录像回放可精确定位到秒级。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单帧回放：将录像画面以单帧方式，精确到某帧。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D.录像下载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可实现对录像文件的下载，支持多路录像同时下载，支持选择录像的日期和时间段下载。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E.字符叠加</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可以在监控画面上叠加所属辖区（某市、某区、某***）、监控点名称、预制点位置、日期时间、录像状态等字符和信息，也可以对某些信息在标题上显示或通过鼠标点击右键获取与该监控图像相关的更详细信息</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可以调整字符叠加的位置和字符的点阵。</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F.日志查询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日志查询功能包括操作信息以及设备上下线等，可以对各业务在统一界面进行查询统计。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可显示不同报警类型的告警信息，如：视频丢失报警、视频遮挡报警、移动侦测报警、I/O输入报警等类别以及告警的时间、不同用户各操作日志、设备故障以及设备上、下线等日志的查询，方便实现管理。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G.点位巡查率统计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持按时间段对某个区域所属点位的视频浏览的使用率进行统计输出，其中按一天作为统计的称为巡查率统计，而按特定时间段作为统计的称为使用率统计。提供详细的统计数据，给摄像机点位的位置选择是否合理，提供参考依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H.水印加密功能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实时视频播放过程中，客户端需支持水印叠加功能，防止特定的图像画面被手机，摄像机等拍摄后流出，通过在画面中叠加用户相关信息，保障图像画面的使用者信息能够在被拍摄后得到跟踪。</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I.时钟同步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需支持时钟同步功能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中标供应商提供5年服务</w:t>
            </w:r>
          </w:p>
          <w:p>
            <w:pPr>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保证公安提供的行业及不高于10000路的社会监控接入含所需网络运营商链路费用。</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公共安全视频监控共享平台</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厂家需提供正版平台软件，需提供软件著作证明，不得存在软件知识产权问题。</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平台接入能力不低于10000路，授权不得低于五年。需有其它项目平台接入超过10000路证明。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平台实时预览，录像回放并发能力不低于400路。</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需无缝对接温州市经开区公共安全视频图像信息共享平台，需有业主单位提供的对接证明。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需无缝对接温州市公安局视频监控平台，需有业主单位提供的对接证明。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A.实时预览功能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通过C/S客户端和B/S客户端，能够单画面或多画面显示实时视频图像；支持不同画面的显示方式：1、4、6、9、16画面等方式；能提供多种显示器分辨率，以适应各种应用场合，并可以实现全屏显示。（备注：如同时显示多画面，需要客户端电脑性能支持）</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能够实现对前端云台镜头的全功能远程控制，包括云台的旋转和自动扫描、镜头的变倍变焦、快球预置位的设置和启动、快球巡航轨迹的设定和启动；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3)能实现对云台进行锁定控制，将无法对球机进行云台控制及相关操作。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画面切换：可以分为手动切换、自动切换（轮巡功用）；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画面文字显示：包括组织机构、OSD、标识、通道名称、日期与时间等。</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B.点位查询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分组管理：可以根据实际需要，进行个人分组、公共分组。</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支持监控点的模糊查询：支持拼音首字母的模糊查询，在监控视图，录像回放，监视屏控制等模块的模糊查询。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C.录像回放</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回放时可进行单画面、4画面、单进、单退、快进（1/2/4/8倍数）、剪辑、抓帧、下载等操作。支持即时回放、常规回放、分段回放、标签回放、单帧回放功能。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即时回放功能（即，在预览画面时，发现有异常行为，值班人员可以立即回放刚才发生的情景录像）</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常规回放：1、选择所要回放的通道，支持可以多通道同时回放；2、支持选择回放录像的日期和时间段； 3支持回放录像时，可对录像进行剪辑、抓图、回放录像上电视墙等功能。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分段回放：录像的分段回放，用来对同一路通道的录像资料，分为几个不同的时间片段来回放，方便快速的查找所要的录像段。</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秒级定位：高精度、灵活的录像搜索引擎，录像回放可精确定位到秒级。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单帧回放：将录像画面以单帧方式，精确到某帧。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D.录像下载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可实现对录像文件的下载，支持多路录像同时下载，支持选择录像的日期和时间段下载。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E.字符叠加</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可以在监控画面上叠加所属辖区（某市、某区、某***）、监控点名称、预制点位置、日期时间、录像状态等字符和信息，也可以对某些信息在标题上显示或通过鼠标点击右键获取与该监控图像相关的更详细信息</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可以调整字符叠加的位置和字符的点阵。</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F.日志查询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日志查询功能包括操作信息以及设备上下线等，可以对各业务在统一界面进行查询统计。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可显示不同报警类型的告警信息，如：视频丢失报警、视频遮挡报警、移动侦测报警、I/O输入报警等类别以及告警的时间、不同用户各操作日志、设备故障以及设备上、下线等日志的查询，方便实现管理。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G.点位巡查率统计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持按时间段对某个区域所属点位的视频浏览的使用率进行统计输出，其中按一天作为统计的称为巡查率统计，而按特定时间段作为统计的称为使用率统计。提供详细的统计数据，给摄像机点位的位置选择是否合理，提供参考依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H.水印加密功能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实时视频播放过程中，客户端需支持水印叠加功能，防止特定的图像画面被手机，摄像机等拍摄后流出，通过在画面中叠加用户相关信息，保障图像画面的使用者信息能够在被拍摄后得到跟踪。</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I.时钟同步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需支持时钟同步功能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中标供应商提供5年服务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保证公安提供的行业及不高于10000路的社会监控接入含所需网络运营商链路费用。</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公安汇聚平台</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厂家需提供正版平台软件，需提供软件著作证明，不得存在软件知识产权问题。</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平台接入能力不低于10000路，授权不得低于五年。需有其它项目平台接入超过10000路证明。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平台实时预览，录像回放并发能力不低于400路。</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需无缝对接温州市经开区公共安全视频图像信息共享平台，需有业主单位提供的对接证明。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需无缝对接温州市公安局视频监控平台，需有业主单位提供的对接证明。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平台功能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A.实时预览功能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通过C/S客户端和B/S客户端，能够单画面或多画面显示实时视频图像；支持不同画面的显示方式：1、4、6、9、16画面等方式；能提供多种显示器分辨率，以适应各种应用场合，并可以实现全屏显示。（备注：如同时显示多画面，需要客户端电脑性能支持）</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能够实现对前端云台镜头的全功能远程控制，包括云台的旋转和自动扫描、镜头的变倍变焦、快球预置位的设置和启动、快球巡航轨迹的设定和启动；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3)能实现对云台进行锁定控制，将无法对球机进行云台控制及相关操作。</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画面切换：可以分为手动切换、自动切换（轮巡功用）；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画面文字显示：包括组织机构、OSD、标识、通道名称、日期与时间等。</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B.点位查询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分组管理：可以根据实际需要，进行个人分组、公共分组。</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支持监控点的模糊查询：支持拼音首字母的模糊查询，在监控视图，录像回放，监视屏控制等模块的模糊查询。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C.录像回放</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回放时可进行单画面、4画面、单进、单退、快进（1/2/4/8倍数）、剪辑、抓帧、下载等操作。支持即时回放、常规回放、分段回放、标签回放、单帧回放功能。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即时回放功能（即，在预览画面时，发现有异常行为，值班人员可以立即回放刚才发生的情景录像）</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常规回放：1、选择所要回放的通道，支持可以多通道同时回放；2、支持选择回放录像的日期和时间段； 3支持回放录像时，可对录像进行剪辑、抓图、回放录像上电视墙等功能。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分段回放：录像的分段回放，用来对同一路通道的录像资料，分为几个不同的时间片段来回放，方便快速的查找所要的录像段。</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秒级定位：高精度、灵活的录像搜索引擎，录像回放可精确定位到秒级。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单帧回放：将录像画面以单帧方式，精确到某帧。</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D.录像下载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可实现对录像文件的下载，支持多路录像同时下载，支持选择录像的日期和时间段下载。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E.字符叠加</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可以在监控画面上叠加所属辖区（某市、某区、某***）、监控点名称、预制点位置、日期时间、录像状态等字符和信息，也可以对某些信息在标题上显示或通过鼠标点击右键获取与该监控图像相关的更详细信息</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可以调整字符叠加的位置和字符的点阵。</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F.日志查询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日志查询功能包括操作信息以及设备上下线等，可以对各业务在统一界面进行查询统计。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可显示不同报警类型的告警信息，如：视频丢失报警、视频遮挡报警、移动侦测报警、I/O输入报警等类别以及告警的时间、不同用户各操作日志、设备故障以及设备上、下线等日志的查询，方便实现管理。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G.点位巡查率统计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持按时间段对某个区域所属点位的视频浏览的使用率进行统计输出，其中按一天作为统计的称为巡查率统计，而按特定时间段作为统计的称为使用率统计。提供详细的统计数据，给摄像机点位的位置选择是否合理，提供参考依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H.水印加密功能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实时视频播放过程中，客户端需支持水印叠加功能，防止特定的图像画面被手机，摄像机等拍摄后流出，通过在画面中叠加用户相关信息，保障图像画面的使用者信息能够在被拍摄后得到跟踪。</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I.时钟同步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需支持时钟同步功能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中标供应商提供5年服务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保证公安提供的行业及不高于10000路的社会监控接入含所需网络运营商链路费用。</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LED小间距大屏</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LED拼接屏不低于25平米</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LED封装：国内一线品牌铜线1515</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像素间距：1.875mm</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像素密度：283,333pixels/m²</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箱体尺寸：640mm×360mm×54.5mm</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 箱体分辨率：340×192</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维护方式：完全前维护</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输入功率 (最大值) :415W/m2</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 箱体重量：6.95Kg/箱体</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10)电源波动在90-240V之间，设备可以正常工作,LED屏最高亮度不低于1200 cd/㎡</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11)LED显示屏具备坏点自动检测功能，显示屏的无线电骚扰值符合国标规定</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12)LED显示屏应具备随环境照度的变化而进行亮度调整的功能（提供国家安全防范报警系统产品质量监督检验中心检测报告）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13)可对LED屏各个像素点按系数进行亮度调整，使整个屏的亮度显示均匀（提供国家安全防范报警系统产品质量监督检验中心检测报告）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提供LED显示单元的CCC证书、国家重点新产品证书和省级软件企业认定证书</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运维中心</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提供不少于150平米的场地做为视频监控运维中心</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运维中心的装修由提供方负责（不少于9个运维人员的工位、视频专网、公安网和互联网线路接入）</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包含五年的场地租赁费</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运维人员</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负责三大平台的实时运维。驻点技术人员终端使用由中标方提供.</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运维终端</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CPU:I7-8700K 六核心 主频3.70GHz </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主板：Z370 接口类型：LGA 1151 DDR4 DIMM插槽 支持RAID</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内存：16G单条 类型288-pin DIMM 速度DDR4 3000</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显卡：GTX1080TI 显存类型：GDDR5X  显存：11G DVI HDMI DP 接口</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SSD:250G 类别 PCIe Gen3.0 x4 M.2(2280)SSD </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硬盘：4TB 缓存：64M 转速：5900</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显示器：31.5英寸曲面 屏幕比例19:9 分辨率1920x1080  接口：HDMI.DP</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打印机终端</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彩色激光打印</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最大打印幅面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A3</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最高分辨率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600×600dpi</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黑白打印速度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20ppm</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彩色打印速度</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20ppm</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处理器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540MHz</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标配：192MB，最大：448MB</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双面打印</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自动</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网络功能</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支持有线网络打印</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显示屏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中文液晶显示屏</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产品尺寸</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545×599×338mm</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系统平台</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Windows 8/7/Vista/2000/XP 家庭版/专业版/Server 2003</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Mac OS X v10.3-10.4或更高版本</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Linux</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电源电压</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AC 220-240V（±10%），50/60Hz（±2Hz）</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电源功率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打印：440W，待机：30W，睡眠：4.4W，关闭：0.5W</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环境参数</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工作温度：15-27℃，工作湿度：20-60%</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模块化UPS主机柜</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UPS容量为100KVA，数量1套，25KVA功率模块4套，单机最大扩容容量≥100KVA；为了用户用电系统安全，，确保供应商提供的新的UPS系统。</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UPS主机应具备双路输入，满足系统的可靠性，提供系统原理图和端子接线图，投标时提供的投标产品使用说明书中必须有详细图片和文字说明，作为评标依据；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为了便于充电管理，优先考虑系统采用充电模块，充电电流不小于30A，并请提供充电器（模块）的第三方机构出具的证书，作为评标依据；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为了避免集中旁路存在的单点瓶颈提供系统可靠性，要求每个功率模块内部具备旁路功能，不接受采用集中旁路，投标时提供书面承诺，作为评标依据；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LCD采用触摸屏，可以显示详细的信息，输入电压、输入频率、旁路电压、旁路频率、输出电压、输出电流、输出频率、有功功率、视载功率、负载率、电池均充电压、浮充电压、电池剩余放电时间、电池剩余容量、电池充电温度补偿系数、电池是否连接等参数，投标时提供的投标产品使用说明书中必须有详细图片和文字说明，加盖公章，作为评标依据；</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UPS主机应具备输入软启动功能、电池启动功能，请提供详细的操作说明；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UPS主机应具备内置防尘网、标配C级防雷和防雷开关、EPO紧急关机功能，请提供机器的实物图片进行证明材料；</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UPS主机电池节数应可以在32-40节之间灵活设置，请提供详细的设置步骤说明；</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UPS标配输入、旁路、输出、维修旁路开关，所有开关必须内置UPS系统机柜里面，由于空间有限，无需外部配置配电柜，投标时提供的投标产品使用说明书中必须有详细图片和文字说明，作为评标依据，同时UPS验收时做现场验证；</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可通过面板设置各种通信协议，以满足不同监控需求，投标时提供的投标产品使用说明书中必须有详细图片和文字说明，作为评标依据，同时UPS验收时做现场验证；</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UPS主机应该获得泰尔、节能、CE、抗震、广电入网证等第三方权威机构出具有效期的认证和报告。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为保证微模块一体化机房的安装便捷性及统一性，要求服务器机柜、网络布线柜、密封冷通道组件、智能配电柜、模块化UPS电源，蓄电池组、行间精密空调、动力环境监控等为同一品牌。</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UPS功率模块</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本次UPS电源系统应采用模块化结构，功率模块应采用25kVA功率模块；所有模块必须满足在线热拔插功能，提供第三方证明材料。</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UPS蓄电池</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蓄电池技术参数要求：</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1、UPS采用12V免维护铅酸蓄电池，蓄电池设计寿命7-10年以上；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2、蓄电池获得泰尔认证、抗震认证；</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3、蓄电池间的连接电压降△U≤3mv．</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4、蓄电池应能承受50KPa的正压或负压而不断裂、不开胶,压力释放后壳体无残余变形.</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蓄电池按规定方法试验，10h率容量第一次循环不低于0.95C10，在第三次循环应达到C10；</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大电流放电：电池以30I10(a)放电3min，极柱不应熔断、其外观不得出现异常；</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完全充电后的蓄电池，在25℃±2℃的环境中静置28天后，其容量不低于,99.1％。</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将完全充电后的电池以0.1I10A电流连续充电96h后，改用0.05I10A充电1h，然后收集气体1h，其密封反应效率≥99.6％。</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5、安全阀应具有自动开启和自动关闭的功能，其开阀压应在10KPA—49kpa，闭阀压应时1KPA—10KPA。</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6、完全充电后的电池静止24h后，测量各单体电池开路电压，其最高值与最低值之差不大于20Mv；</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7、电池进入浮充状态24小时后各电池之间的端电压差不大于45mV。</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8、防爆性能:将完全充电后的电池以0.5I10A电流充电1h，同时在出气孔处用1-3A保险丝产生明火，无引爆。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9、封口剂性能:采用封口剂的蓄电池，在-30℃～65℃温度范围内无裂纹与溢流现象。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r>
              <w:rPr>
                <w:rFonts w:hint="eastAsia" w:ascii="新宋体" w:hAnsi="新宋体" w:eastAsia="新宋体" w:cs="新宋体"/>
                <w:b/>
                <w:bCs/>
                <w:color w:val="auto"/>
                <w:sz w:val="22"/>
                <w:szCs w:val="22"/>
                <w:highlight w:val="none"/>
                <w:u w:val="single"/>
              </w:rPr>
              <w:t>以上的指标要求需要提供信息产业部通信电源产品质量监督检验中心出具的检测报告原件给予证明</w:t>
            </w:r>
            <w:r>
              <w:rPr>
                <w:rFonts w:hint="eastAsia" w:ascii="新宋体" w:hAnsi="新宋体" w:eastAsia="新宋体" w:cs="新宋体"/>
                <w:color w:val="auto"/>
                <w:sz w:val="22"/>
                <w:szCs w:val="22"/>
                <w:highlight w:val="none"/>
              </w:rPr>
              <w:t>；</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11、蓄电池必须满足7、8、9烈度抗震要求，需要提供信息产业部通信设备抗震性能质量监督中心出具的抗震证书和检测报告；</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12、为保证微模块一体化机房的安装便捷性及统一性，要求服务器机柜、网络布线柜、密封冷通道组件、智能配电柜、模块化UPS电源，蓄电池组、行间精密空调、动力环境监控等为同一品牌</w:t>
            </w:r>
          </w:p>
          <w:p>
            <w:pPr>
              <w:spacing w:line="460" w:lineRule="exact"/>
              <w:rPr>
                <w:rFonts w:ascii="新宋体" w:hAnsi="新宋体" w:eastAsia="新宋体" w:cs="新宋体"/>
                <w:color w:val="auto"/>
                <w:sz w:val="22"/>
                <w:szCs w:val="22"/>
                <w:highlight w:val="none"/>
              </w:rPr>
            </w:pP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电池架</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可安装128节蓄电池</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电池连接线</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50平方带铜接头</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承重散立架</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14号工字钢制造</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w:t>
            </w:r>
          </w:p>
        </w:tc>
        <w:tc>
          <w:tcPr>
            <w:tcW w:w="198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精密空调</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(含辅材)</w:t>
            </w:r>
          </w:p>
        </w:tc>
        <w:tc>
          <w:tcPr>
            <w:tcW w:w="5614"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机组运行环境条件</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温度：室内    0℃  +35℃</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室外  -15℃  +45℃</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湿度：20%~80%RH</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海拔：＜1000米</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机组电气性能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输入电压范围：三相电压：220V/380V(－15%~＋15%)</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频率：50Hz  2Hz</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机组主要参数</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总冷量：≥16.8kW</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显冷量：≥15.3kW</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机组的机械性能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外观工艺：机柜表面喷涂均匀、无破损；信号灯、开关、测量显示装置布局合理。</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操作及维修安全、方便。</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结构工艺：部件排列合理、整齐；导线颜色和截面合理，布放平整；接插件牢固；进出线符合工程需要；具备抗震措施。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标牌、标记：应平整清晰。</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机房专用空调机组的温度、湿度控制性能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机房专用空调应能按要求自动调节室内温、湿度，具有制冷、加热、加湿、除湿等功能。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温度调节范围：+18℃  +28℃</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温度调节精度： 1℃ 。</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湿度调节范围：40%  60%RH</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湿度调节精度：  5 %RH </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温、湿度波动超限应能发出报警信号</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   机房专用空调机组的监控性能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机房专用空调机组应具有方便的现场监控及远程监控能力</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系统应具有三遥性能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遥测项目：送风温度、回风温度、送风湿度、回风湿度、显示机组工作状态等    遥信项目：开/关机，电压、电流过高/低，回风温度过高/低，回风湿度过高/低，过滤器正常/堵塞，风机正常/故障，压缩机正常/故障等 </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遥控项目：空调开/关机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系统应具备通信接RS232/RS485接口，能介入动力环境监控系统中。</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对设备运行参数的设置具有智能判断功能，对于超常规的参数设置（错误命令），应能自动拒绝。</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准确度</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对三遥量：</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开关量和控制操作准确度应达到  100%；</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模拟量精确度应达到  交流电量误差 ≤2%</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非电量误差 ≤5%</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设备显示面板或表头显示值应与从通信接口读出的三遥量值保持一致。</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7、设备安装及服务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、技术支持和售后服务</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设备在安装调试、现场测试、试运行、终验后的保修期内及在保修期满后，因系统设计技术、设备质量等问题而影响系空调安装，制作支架，铜管延长等辅材</w:t>
            </w:r>
          </w:p>
        </w:tc>
        <w:tc>
          <w:tcPr>
            <w:tcW w:w="795"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09"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r>
    </w:tbl>
    <w:p>
      <w:pPr>
        <w:tabs>
          <w:tab w:val="left" w:pos="360"/>
        </w:tabs>
        <w:spacing w:line="460" w:lineRule="exact"/>
        <w:ind w:firstLine="552" w:firstLineChars="250"/>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注意事项</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招标文件技术部分提供的清单作为供应商投标报价的共同基础，在投标时不得少于招标文件中的设备、材料数量。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2、本项目为交钥匙工程，中标人不得以其它理由增加费用。项目实施过程中可能涉及的所有财务成本已经包含投标总报价之中。中标人在施工过程中，除摄像头等主要设备外，其他所有在本项目施工中用到的附属设备、材料、人工、手续费等，可能与实际采购数量有偏差，中标人不得以此为借口而停止本项目的施工，招标人不追加任何额外费用。因此，投标人须自行考虑报价风险；</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w:t>
      </w:r>
      <w:r>
        <w:rPr>
          <w:rFonts w:hint="eastAsia" w:ascii="新宋体" w:hAnsi="新宋体" w:eastAsia="新宋体" w:cs="新宋体"/>
          <w:b/>
          <w:bCs/>
          <w:color w:val="auto"/>
          <w:kern w:val="0"/>
          <w:sz w:val="22"/>
          <w:szCs w:val="22"/>
          <w:highlight w:val="none"/>
          <w:u w:val="single"/>
          <w:lang w:val="zh-CN"/>
        </w:rPr>
        <w:t>投标人可根据以上所列设备的技术配置及技术性能要求</w:t>
      </w:r>
      <w:r>
        <w:rPr>
          <w:rFonts w:hint="eastAsia" w:ascii="新宋体" w:hAnsi="新宋体" w:eastAsia="新宋体" w:cs="新宋体"/>
          <w:b/>
          <w:bCs/>
          <w:color w:val="auto"/>
          <w:kern w:val="0"/>
          <w:sz w:val="22"/>
          <w:szCs w:val="22"/>
          <w:highlight w:val="none"/>
          <w:u w:val="single"/>
        </w:rPr>
        <w:t>作为</w:t>
      </w:r>
      <w:r>
        <w:rPr>
          <w:rFonts w:hint="eastAsia" w:ascii="新宋体" w:hAnsi="新宋体" w:eastAsia="新宋体" w:cs="新宋体"/>
          <w:b/>
          <w:bCs/>
          <w:color w:val="auto"/>
          <w:kern w:val="0"/>
          <w:sz w:val="22"/>
          <w:szCs w:val="22"/>
          <w:highlight w:val="none"/>
          <w:u w:val="single"/>
          <w:lang w:val="zh-CN"/>
        </w:rPr>
        <w:t>参考选用投标产品，但所选投标产品的技术配置及技术性能应相当于或高于招标文件要求，并满足采购需求，否则将可能作出对投标人不利的评定。</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4、本项目中标价即为合同总价，合同期限为五年；</w:t>
      </w:r>
    </w:p>
    <w:p>
      <w:pPr>
        <w:tabs>
          <w:tab w:val="left" w:pos="360"/>
        </w:tabs>
        <w:spacing w:line="460" w:lineRule="exact"/>
        <w:ind w:firstLine="552" w:firstLineChars="25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5、本项目中所涉及到的所有软、硬件，五年租赁期满后，产权归甲方所有。</w:t>
      </w:r>
    </w:p>
    <w:p>
      <w:pPr>
        <w:tabs>
          <w:tab w:val="left" w:pos="360"/>
        </w:tabs>
        <w:spacing w:line="460" w:lineRule="exact"/>
        <w:ind w:firstLine="552" w:firstLineChars="250"/>
        <w:outlineLvl w:val="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 其他要求</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1、工期及施工地点</w:t>
      </w:r>
    </w:p>
    <w:p>
      <w:pPr>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（1）工期：</w:t>
      </w:r>
      <w:r>
        <w:rPr>
          <w:rFonts w:hint="eastAsia" w:ascii="新宋体" w:hAnsi="新宋体" w:eastAsia="新宋体" w:cs="新宋体"/>
          <w:b/>
          <w:bCs/>
          <w:color w:val="auto"/>
          <w:sz w:val="22"/>
          <w:szCs w:val="22"/>
          <w:highlight w:val="none"/>
        </w:rPr>
        <w:t>2018年12月1日这前完成验收</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（2）工程地点：</w:t>
      </w:r>
      <w:r>
        <w:rPr>
          <w:rFonts w:hint="eastAsia" w:ascii="新宋体" w:hAnsi="新宋体" w:eastAsia="新宋体" w:cs="新宋体"/>
          <w:color w:val="auto"/>
          <w:sz w:val="22"/>
          <w:szCs w:val="22"/>
          <w:highlight w:val="none"/>
          <w:u w:val="single"/>
        </w:rPr>
        <w:t xml:space="preserve">    招标人指定地点             </w:t>
      </w:r>
      <w:r>
        <w:rPr>
          <w:rFonts w:hint="eastAsia" w:ascii="新宋体" w:hAnsi="新宋体" w:eastAsia="新宋体" w:cs="新宋体"/>
          <w:color w:val="auto"/>
          <w:sz w:val="22"/>
          <w:szCs w:val="22"/>
          <w:highlight w:val="none"/>
        </w:rPr>
        <w:t>。</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（3）若有易耗品，请在投标文件中指明，另要求成交供应商供货时配备齐全，招标人第一次使用时无需另配易耗品即可使用。</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2、技术文件</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系统交付同时提供下列技术资料：</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（1）随机的易损件、备品备件及特殊专用工具及清单。（如有）</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（2）设备生产厂家的产品检测证书、出厂检验报告、合格证书、产品说明书、相关图纸。</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（3）设备随机提供的装箱清单（每箱一单）。</w:t>
      </w:r>
    </w:p>
    <w:p>
      <w:pPr>
        <w:spacing w:line="460" w:lineRule="exact"/>
        <w:ind w:firstLine="539" w:firstLineChars="245"/>
        <w:rPr>
          <w:rFonts w:ascii="新宋体" w:hAnsi="新宋体" w:eastAsia="新宋体" w:cs="新宋体"/>
          <w:b/>
          <w:color w:val="auto"/>
          <w:sz w:val="22"/>
          <w:szCs w:val="22"/>
          <w:highlight w:val="none"/>
          <w:lang w:val="zh-CN"/>
        </w:rPr>
      </w:pPr>
      <w:r>
        <w:rPr>
          <w:rFonts w:hint="eastAsia" w:ascii="新宋体" w:hAnsi="新宋体" w:eastAsia="新宋体" w:cs="新宋体"/>
          <w:color w:val="auto"/>
          <w:sz w:val="22"/>
          <w:szCs w:val="22"/>
          <w:highlight w:val="none"/>
        </w:rPr>
        <w:t>（4）电气原理图。</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3、安装、调试和验收</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（1）为确保安装调试工作安全有序的进行，要求成交供应商在货物运抵安装现场前</w:t>
      </w:r>
      <w:r>
        <w:rPr>
          <w:rFonts w:hint="eastAsia" w:ascii="新宋体" w:hAnsi="新宋体" w:eastAsia="新宋体" w:cs="新宋体"/>
          <w:color w:val="auto"/>
          <w:sz w:val="22"/>
          <w:szCs w:val="22"/>
          <w:highlight w:val="none"/>
          <w:u w:val="single"/>
        </w:rPr>
        <w:t xml:space="preserve"> 3  </w:t>
      </w:r>
      <w:r>
        <w:rPr>
          <w:rFonts w:hint="eastAsia" w:ascii="新宋体" w:hAnsi="新宋体" w:eastAsia="新宋体" w:cs="新宋体"/>
          <w:color w:val="auto"/>
          <w:sz w:val="22"/>
          <w:szCs w:val="22"/>
          <w:highlight w:val="none"/>
        </w:rPr>
        <w:t>天内，向招标人提供一份详细的系统安装、调试验收计划和所采用的标准及方法，现场负责人、工程师和参与安装人员的名单，此计划和采用的标准一旦被招标人确认就不得随意更改，否则成交供应商应承担相应责任。</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（2）成交供应商应承担系统安装所需电气材料等，安装必须符合有关标准和规范。安装过程中招标人将对设备的安装质量进行监督。</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系统安装就位、校准后，成交供应商应按事先被招标人认可的调试验收计划对设备进行调试，并对设备所标注的各项技术指标进行测试，测试报告将在设备验收完毕后提交给招标人，但成交供应商应对测试的各种数据的真实性负责。招标人可指定第三方法定检定机构，对仪器进行检定，由此产生的费用由成交供应商支付。</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（4）系统经过试运行考核无故障（或存在的故障和隐患均已全部排除或解决），并经有关部门检验合格，所有的技术资料和图纸已向招标人移交并被接受，验收视为合格，双方签署验收合格证书。 若因成交供应商产品质量或安装技术问题导致验收不合格，，成交供应商应及时予以解决，直至验收合格，期间发生的一切费用由成交供应商承担，同时招标人保留向成交供应商索赔的权利。</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（5）成交供应商在系统设备到货、安装、调试和验收期间应接受招标人的协调和管理，成交供应商应采取严格的安全措施，承担由于自身原因所造成的事故责任及其发生的一切费用。</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4、技术服务</w:t>
      </w:r>
    </w:p>
    <w:p>
      <w:pPr>
        <w:spacing w:line="460" w:lineRule="exact"/>
        <w:ind w:firstLine="539" w:firstLineChars="245"/>
        <w:rPr>
          <w:rFonts w:ascii="新宋体" w:hAnsi="新宋体" w:eastAsia="新宋体" w:cs="新宋体"/>
          <w:color w:val="auto"/>
          <w:sz w:val="22"/>
          <w:szCs w:val="22"/>
          <w:highlight w:val="none"/>
        </w:rPr>
      </w:pPr>
      <w:bookmarkStart w:id="4" w:name="_Toc67987718"/>
      <w:bookmarkStart w:id="5" w:name="_Toc68486212"/>
      <w:bookmarkStart w:id="6" w:name="_Toc97030438"/>
      <w:r>
        <w:rPr>
          <w:rFonts w:hint="eastAsia" w:ascii="新宋体" w:hAnsi="新宋体" w:eastAsia="新宋体" w:cs="新宋体"/>
          <w:color w:val="auto"/>
          <w:sz w:val="22"/>
          <w:szCs w:val="22"/>
          <w:highlight w:val="none"/>
        </w:rPr>
        <w:t>（1）系统定期测试维护服务</w:t>
      </w:r>
      <w:bookmarkEnd w:id="4"/>
      <w:bookmarkEnd w:id="5"/>
      <w:bookmarkEnd w:id="6"/>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预防系统出现故障，成交供应商技术人员将每隔一定的时间（具体次数与时间与招标人协商安排）对系统进行全面的检测，确认设备运行状态，检查系统错误日志，排除潜在隐患，以确保系统可以正常稳定的运行。检查内容主要包括：</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①硬件运行情况</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②软件运行情况</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③各功能的实现是否正常</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③各功能的运行参数是否正常</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另外，成交供应商技术中心（行使售后服务工作的部门）工程师应经常主动与用户相关管理部门及操作人员联系，及时了解系统的运行情况，解决发现的问题，防止意外事件的发生。</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（2）系统运行维护人员技术培训服务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成交供应商为系统提供全面的技术培训服务。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根据招标人实际情况和提出的相关需求，经过双方充分协商，确定培训时间、地点和培训对象，在规定的时间和地点完成对相关人员的培训，并形成经用户方确认的培训记录。</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成交供应商在投标文件中应提出具体的培训计划（如：培训师资、教材、课程、人数、地点、日程、交通、食宿等）并报价，计入报价中，如果免费培训请在投标文件中注明。</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（3）技术支持服务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技术支持服务包括但不限于：</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①提供场地及设备服务（如迁移、改造、升级、重装等）；</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②各种参数、数据备份与恢复服务、业务恢复服务；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③系统软件改版升级服务，应用软件维护、升级、开发和功能扩充服务；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④在出现紧急情况下迅速解决故障预案的现场服务；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⑤整体系统改造、更新、维护服务。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成交供应商在接到招标人通知后，在一小时内给予回复，四小时赶到现场协助用户解决问题。</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（4）技术咨询服务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成交供应商为招标人提供全年每天24小时，每周7天的全天候技术专家电话咨询，提供系统产品或技术方面的咨询服务。根据招标人要求、帮助招标人解决实际应用问题，并负责解释造成这种问题的主要原因及如何避免此类问题的再次发生。成交供应商将提供专用的售后服务电话，责任工程师的手机、电子邮件地址等通讯方式，确保7×24小时内随时可以联系到责任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（5）售后技术服务流程</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成交供应商技术中心作为招标人提供技术支持的专职部门，应为招标人提供在维护合同中指定的维护服务：</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一级服务：负责处理招标人一天24小时内的所有技术问题。</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二级服务：处理一线工程师不能解决的疑难问题。如果问题不能在限定时间内解决，应上报，由资深工程师协助处理。如果问题仍然无法解决，则由厂家处理直至故障排除。</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（6）系统故障处理</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①系统出现警告，不影响系统运行；7×24小时电话咨询，48小时内到达现场。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②出现部分设备损坏，系统正常运行；7×24小时电话咨询，12小时内到达现场。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③系统崩溃；7×24小时电话咨询，4小时内到达现场。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5、服务安排</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（1）需要制定服务计划的，成交供应商要制订计划并将服务计划送招标人确认；具体服务内容按照经确认的计划进行；</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（2）技术服务工程师到达用户现场后，向招标人提交本次技术服务内容清单，交用户确认；</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（3）服务过程中形成的服务记录均提交招标人签字确认；</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（4）服务完毕，技术服务工程师离开用户之前，必须将本次服务内容完成情况的书面材料交招标人签字确认，在招标人未签字之前不得擅离服务现场；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（5）成交供应商质检部门应不定期对技术服务工程师的服务水平、服务态度和服务效果及招标人满意度进 行调查，以便及时发现服务过程中存在的问题并及时解决；</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（6）成交供应商要设立专门电话，招标人随时可就技术服务工程师的服务情况向成交供应商进行投诉。</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（7）招标人在使用过程中发现该系统不是购买当时的最新版本，成交供应商应无条件将系统升级为购买当时的最新版本.</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6、质量保证</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（1）质保期：</w:t>
      </w:r>
      <w:r>
        <w:rPr>
          <w:rFonts w:hint="eastAsia" w:ascii="新宋体" w:hAnsi="新宋体" w:eastAsia="新宋体"/>
          <w:color w:val="auto"/>
          <w:sz w:val="22"/>
          <w:szCs w:val="22"/>
          <w:highlight w:val="none"/>
        </w:rPr>
        <w:t>本合同项下货物质量保证期为向招标人移交，通过最终验收之日起质保伍年（60个月）（设备另有超过质保期规定的按原规定执行），在保修期内所产生的相关费用由乙方承担，合同内的所有产品要求中标人提供上门服务（招标文件另有规定按就高原则）</w:t>
      </w:r>
      <w:r>
        <w:rPr>
          <w:rFonts w:hint="eastAsia" w:ascii="新宋体" w:hAnsi="新宋体" w:eastAsia="新宋体" w:cs="新宋体"/>
          <w:color w:val="auto"/>
          <w:sz w:val="22"/>
          <w:szCs w:val="22"/>
          <w:highlight w:val="none"/>
        </w:rPr>
        <w:t xml:space="preserve">。  </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成交供应商所提供的货物应保证是企业原厂生产的产品而不是其他地方生产的、全新的、未使用过的，是原包装未拆封的，是用一流的工艺和最佳材料制造而成的，并完全符合合同规定的质量、规格和性能要求。成交供应商应保证所提供的货物经正确安装、正常运转和保养，在其使用寿命期内应具有使招标人满意的性能，并且确保一次性通过各项检验和测试。在货物质量保证期内，成交供应商应对由于设计、工艺、材料和配套件的缺陷所产生的任何不足或故障负责。</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根据招标人按检验标准检验的结果或当地质检部门检验的结果，或者在质量保证期内，如果货物的数量、质量或规格与合同不符，或证实货物是有缺陷的，包括潜在的缺陷或使用不符合要求的材料等，招标人应尽快以书面形式通知成交供应商，提出索赔。成交供应商在收到通知后，应在规定期限内，用与投标时采用的零件、部件或材料来更换有缺陷的或不符合要求的零件、部件或材料，同时相应延长质量保证期。</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（4）产品的设计及制造标准均应符合中华人民共各国国家（或国际）最新颁布的有关标准/规范要求。</w:t>
      </w:r>
    </w:p>
    <w:p>
      <w:pPr>
        <w:tabs>
          <w:tab w:val="left" w:pos="360"/>
        </w:tabs>
        <w:spacing w:line="460" w:lineRule="exact"/>
        <w:ind w:firstLine="550" w:firstLineChars="250"/>
        <w:rPr>
          <w:rFonts w:ascii="新宋体" w:hAnsi="新宋体" w:eastAsia="新宋体" w:cs="新宋体"/>
          <w:b/>
          <w:color w:val="auto"/>
          <w:sz w:val="22"/>
          <w:szCs w:val="22"/>
          <w:highlight w:val="none"/>
          <w:u w:val="single"/>
        </w:rPr>
      </w:pPr>
      <w:r>
        <w:rPr>
          <w:rFonts w:hint="eastAsia" w:ascii="新宋体" w:hAnsi="新宋体" w:eastAsia="新宋体" w:cs="新宋体"/>
          <w:color w:val="auto"/>
          <w:sz w:val="22"/>
          <w:szCs w:val="22"/>
          <w:highlight w:val="none"/>
        </w:rPr>
        <w:t>（5）凡需国家强制性认证或认可的产品、需提供相应的证书和认可标志。</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7、售后服务网点</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（1）成交供应商在温州市应有完整的售后服务网点，确保招标人能及时得到满意的售后服务和相应的技术支持。在质保期满后能够方便地购买到所需的备品备件和及时的技术服务。</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（2）成交供应商在投标文件中应详细介绍温州服务网点情况。</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8、付款方式</w:t>
      </w:r>
    </w:p>
    <w:p>
      <w:pPr>
        <w:spacing w:line="460" w:lineRule="exact"/>
        <w:ind w:firstLine="539" w:firstLineChars="245"/>
        <w:rPr>
          <w:rFonts w:ascii="新宋体" w:hAnsi="新宋体" w:eastAsia="新宋体"/>
          <w:b/>
          <w:color w:val="auto"/>
          <w:sz w:val="22"/>
          <w:highlight w:val="none"/>
        </w:rPr>
      </w:pPr>
      <w:r>
        <w:rPr>
          <w:rFonts w:hint="eastAsia" w:ascii="新宋体" w:hAnsi="新宋体" w:eastAsia="新宋体"/>
          <w:color w:val="auto"/>
          <w:sz w:val="22"/>
          <w:szCs w:val="22"/>
          <w:highlight w:val="none"/>
        </w:rPr>
        <w:t>中标人在收到中标通知书后，签订合同前须向招标人提交合同总价10%的履约保证金，如中标人未按规定提交履约保证金则招标人有权拒签合同。签订合同后招标人向中标人支付合同总额的20%（中标人必需开具正式税务发票）预付款；完成设备的安装、调试后、验收合格后30个工作日内，招标人向中标人支付合同总额的50%；剩余30%作为3年的项目运维保证金（每年10%），每年实际支付金额以项目运维考核结算为准，3年后，原履约保证金自动转为质量保证金，5年质保期满后根据考核结算结果，余额无息退还。</w:t>
      </w:r>
    </w:p>
    <w:p>
      <w:pPr>
        <w:spacing w:line="460" w:lineRule="exact"/>
        <w:ind w:firstLine="541" w:firstLineChars="245"/>
        <w:rPr>
          <w:rFonts w:ascii="新宋体" w:hAnsi="新宋体" w:eastAsia="新宋体"/>
          <w:b/>
          <w:color w:val="auto"/>
          <w:sz w:val="22"/>
          <w:highlight w:val="none"/>
        </w:rPr>
      </w:pPr>
    </w:p>
    <w:p>
      <w:pPr>
        <w:spacing w:line="460" w:lineRule="exact"/>
        <w:ind w:firstLine="442" w:firstLineChars="200"/>
        <w:rPr>
          <w:rFonts w:ascii="新宋体" w:hAnsi="新宋体" w:eastAsia="新宋体" w:cs="新宋体"/>
          <w:b/>
          <w:bCs/>
          <w:color w:val="auto"/>
          <w:sz w:val="22"/>
          <w:szCs w:val="22"/>
          <w:highlight w:val="none"/>
        </w:rPr>
      </w:pPr>
    </w:p>
    <w:p>
      <w:pPr>
        <w:spacing w:line="42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注：投标人可同时对以上所有标段进行投标，也可对其中一个标段进行投标，但不允许将一个标段拆分投标，否则其投标文件不予接受。</w:t>
      </w:r>
    </w:p>
    <w:p>
      <w:pPr>
        <w:spacing w:line="460" w:lineRule="exact"/>
        <w:ind w:firstLine="442" w:firstLineChars="200"/>
        <w:rPr>
          <w:rFonts w:ascii="新宋体" w:hAnsi="新宋体" w:eastAsia="新宋体" w:cs="新宋体"/>
          <w:b/>
          <w:bCs/>
          <w:color w:val="auto"/>
          <w:sz w:val="22"/>
          <w:szCs w:val="22"/>
          <w:highlight w:val="none"/>
        </w:rPr>
      </w:pPr>
    </w:p>
    <w:p>
      <w:pPr>
        <w:spacing w:line="460" w:lineRule="exact"/>
        <w:ind w:firstLine="442" w:firstLineChars="200"/>
        <w:rPr>
          <w:rFonts w:ascii="新宋体" w:hAnsi="新宋体" w:eastAsia="新宋体" w:cs="新宋体"/>
          <w:b/>
          <w:bCs/>
          <w:color w:val="auto"/>
          <w:sz w:val="22"/>
          <w:szCs w:val="22"/>
          <w:highlight w:val="none"/>
        </w:rPr>
      </w:pPr>
    </w:p>
    <w:p>
      <w:pPr>
        <w:spacing w:line="460" w:lineRule="exact"/>
        <w:ind w:firstLine="442" w:firstLineChars="200"/>
        <w:rPr>
          <w:rFonts w:ascii="新宋体" w:hAnsi="新宋体" w:eastAsia="新宋体" w:cs="新宋体"/>
          <w:b/>
          <w:bCs/>
          <w:color w:val="auto"/>
          <w:sz w:val="22"/>
          <w:szCs w:val="22"/>
          <w:highlight w:val="none"/>
        </w:rPr>
      </w:pPr>
    </w:p>
    <w:p>
      <w:pPr>
        <w:spacing w:line="460" w:lineRule="exact"/>
        <w:ind w:firstLine="442" w:firstLineChars="200"/>
        <w:rPr>
          <w:rFonts w:ascii="新宋体" w:hAnsi="新宋体" w:eastAsia="新宋体" w:cs="新宋体"/>
          <w:b/>
          <w:bCs/>
          <w:color w:val="auto"/>
          <w:sz w:val="22"/>
          <w:szCs w:val="22"/>
          <w:highlight w:val="none"/>
        </w:rPr>
      </w:pPr>
    </w:p>
    <w:p>
      <w:pPr>
        <w:spacing w:line="460" w:lineRule="exact"/>
        <w:ind w:firstLine="442" w:firstLineChars="200"/>
        <w:rPr>
          <w:rFonts w:ascii="新宋体" w:hAnsi="新宋体" w:eastAsia="新宋体" w:cs="新宋体"/>
          <w:b/>
          <w:bCs/>
          <w:color w:val="auto"/>
          <w:sz w:val="22"/>
          <w:szCs w:val="22"/>
          <w:highlight w:val="none"/>
        </w:rPr>
      </w:pPr>
    </w:p>
    <w:p>
      <w:pPr>
        <w:pStyle w:val="24"/>
        <w:spacing w:line="460" w:lineRule="exact"/>
        <w:ind w:left="430" w:leftChars="205" w:firstLine="0" w:firstLineChars="0"/>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第六部分   评标原则及方法</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一、总 则</w:t>
      </w:r>
    </w:p>
    <w:p>
      <w:pPr>
        <w:spacing w:line="460" w:lineRule="exact"/>
        <w:ind w:firstLine="539" w:firstLineChars="245"/>
        <w:rPr>
          <w:rFonts w:ascii="新宋体" w:hAnsi="新宋体" w:eastAsia="新宋体"/>
          <w:b/>
          <w:color w:val="auto"/>
          <w:sz w:val="22"/>
          <w:highlight w:val="none"/>
        </w:rPr>
      </w:pPr>
      <w:r>
        <w:rPr>
          <w:rFonts w:hint="eastAsia" w:ascii="新宋体" w:hAnsi="新宋体" w:eastAsia="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二、评标组织</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评标工作由招标人组建的评标委员会负责，评标全过程由有关部门指导监督。</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三、评标程序</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bCs/>
          <w:color w:val="auto"/>
          <w:sz w:val="22"/>
          <w:szCs w:val="22"/>
          <w:highlight w:val="none"/>
        </w:rPr>
        <w:t>评标委员按照招标文件中规定的评标方法和标准，对投标文件进行商务和技术评估，综合比较与评价</w:t>
      </w:r>
      <w:r>
        <w:rPr>
          <w:rFonts w:hint="eastAsia" w:ascii="新宋体" w:hAnsi="新宋体" w:eastAsia="新宋体"/>
          <w:color w:val="auto"/>
          <w:sz w:val="22"/>
          <w:szCs w:val="22"/>
          <w:highlight w:val="none"/>
        </w:rPr>
        <w:t>，根据综合评审结果，提交评审报告。</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四、评标办法</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b/>
          <w:color w:val="auto"/>
          <w:sz w:val="22"/>
          <w:szCs w:val="22"/>
          <w:highlight w:val="none"/>
        </w:rPr>
        <w:t>总分设定为100分：技术标70分（权值70%），商务标（报价）30分（权值30%）。</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五、评分细则</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1、技术分的评定：技术标70分（权值70%）</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rPr>
        <w:t>各评标委员会成员对各投标人的各项评分内容评分的算术平均值为各投标人技术分得分</w:t>
      </w:r>
      <w:r>
        <w:rPr>
          <w:rFonts w:hint="eastAsia" w:ascii="新宋体" w:hAnsi="新宋体" w:eastAsia="新宋体"/>
          <w:color w:val="auto"/>
          <w:sz w:val="22"/>
          <w:szCs w:val="22"/>
          <w:highlight w:val="none"/>
        </w:rPr>
        <w:t>（小数点后按四舍五入保留2位）。</w:t>
      </w:r>
    </w:p>
    <w:p>
      <w:pPr>
        <w:pStyle w:val="24"/>
        <w:spacing w:line="460" w:lineRule="exact"/>
        <w:ind w:firstLine="0" w:firstLineChars="0"/>
        <w:outlineLvl w:val="2"/>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标段一：开发区雪亮工程高清人脸识别监控租赁</w:t>
      </w:r>
    </w:p>
    <w:tbl>
      <w:tblPr>
        <w:tblStyle w:val="64"/>
        <w:tblW w:w="10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580"/>
        <w:gridCol w:w="920"/>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58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评分内容</w:t>
            </w:r>
          </w:p>
        </w:tc>
        <w:tc>
          <w:tcPr>
            <w:tcW w:w="920" w:type="dxa"/>
            <w:vMerge w:val="restart"/>
            <w:tcBorders>
              <w:top w:val="single" w:color="auto" w:sz="4" w:space="0"/>
              <w:left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4811"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新宋体" w:hAnsi="新宋体" w:eastAsia="新宋体" w:cs="新宋体"/>
                <w:color w:val="auto"/>
                <w:sz w:val="22"/>
                <w:szCs w:val="22"/>
                <w:highlight w:val="none"/>
              </w:rPr>
            </w:pPr>
          </w:p>
        </w:tc>
        <w:tc>
          <w:tcPr>
            <w:tcW w:w="3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新宋体" w:hAnsi="新宋体" w:eastAsia="新宋体" w:cs="新宋体"/>
                <w:color w:val="auto"/>
                <w:sz w:val="22"/>
                <w:szCs w:val="22"/>
                <w:highlight w:val="none"/>
              </w:rPr>
            </w:pPr>
          </w:p>
        </w:tc>
        <w:tc>
          <w:tcPr>
            <w:tcW w:w="920" w:type="dxa"/>
            <w:vMerge w:val="continue"/>
            <w:tcBorders>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p>
        </w:tc>
        <w:tc>
          <w:tcPr>
            <w:tcW w:w="48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3580"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投标人综合实力</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4811" w:type="dxa"/>
            <w:tcBorders>
              <w:top w:val="single" w:color="auto" w:sz="4" w:space="0"/>
              <w:left w:val="single" w:color="auto" w:sz="4" w:space="0"/>
              <w:bottom w:val="single" w:color="auto" w:sz="4" w:space="0"/>
              <w:right w:val="single" w:color="auto" w:sz="4" w:space="0"/>
            </w:tcBorders>
            <w:vAlign w:val="center"/>
          </w:tcPr>
          <w:p>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根据投标人企业规模、企业综合系统集成能力以及其他情况，比较打分（6-0分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jc w:val="center"/>
        </w:trPr>
        <w:tc>
          <w:tcPr>
            <w:tcW w:w="725" w:type="dxa"/>
            <w:tcBorders>
              <w:top w:val="single" w:color="auto" w:sz="4" w:space="0"/>
              <w:left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3580" w:type="dxa"/>
            <w:tcBorders>
              <w:top w:val="single" w:color="auto" w:sz="4" w:space="0"/>
              <w:left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产品配置及技术参数</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20分</w:t>
            </w:r>
          </w:p>
        </w:tc>
        <w:tc>
          <w:tcPr>
            <w:tcW w:w="4811" w:type="dxa"/>
            <w:tcBorders>
              <w:top w:val="single" w:color="auto" w:sz="4" w:space="0"/>
              <w:left w:val="single" w:color="auto" w:sz="4" w:space="0"/>
              <w:right w:val="single" w:color="auto" w:sz="4" w:space="0"/>
            </w:tcBorders>
            <w:vAlign w:val="center"/>
          </w:tcPr>
          <w:p>
            <w:pPr>
              <w:tabs>
                <w:tab w:val="left" w:pos="0"/>
              </w:tabs>
              <w:snapToGrid w:val="0"/>
              <w:spacing w:line="460" w:lineRule="exact"/>
              <w:ind w:left="-107" w:leftChars="-5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根据所投产品技术指标与招标文件要求的响应程度，综合评分，其中： </w:t>
            </w:r>
          </w:p>
          <w:p>
            <w:pPr>
              <w:tabs>
                <w:tab w:val="left" w:pos="0"/>
              </w:tabs>
              <w:snapToGrid w:val="0"/>
              <w:spacing w:line="460" w:lineRule="exact"/>
              <w:ind w:left="-107" w:leftChars="-5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高于招标文件要求的，酌情加(2-0分)；</w:t>
            </w:r>
          </w:p>
          <w:p>
            <w:pPr>
              <w:tabs>
                <w:tab w:val="left" w:pos="0"/>
              </w:tabs>
              <w:snapToGrid w:val="0"/>
              <w:spacing w:line="460" w:lineRule="exact"/>
              <w:ind w:left="-107" w:leftChars="-5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完全满足招标文件要求得：18分；</w:t>
            </w:r>
          </w:p>
          <w:p>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低于招标文件参数要求（10-0分）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3580"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投标产品情况比较</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8分</w:t>
            </w:r>
          </w:p>
        </w:tc>
        <w:tc>
          <w:tcPr>
            <w:tcW w:w="481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10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根据投标产品的品牌形象、产品成熟度、用户美誉度、相关行业测评资料、获得的各种证书、其他特殊要求因素，比较打分,（8-0分）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5" w:type="dxa"/>
            <w:vMerge w:val="restart"/>
            <w:tcBorders>
              <w:top w:val="single" w:color="auto" w:sz="4" w:space="0"/>
              <w:left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3580" w:type="dxa"/>
            <w:vMerge w:val="restart"/>
            <w:tcBorders>
              <w:top w:val="single" w:color="auto" w:sz="4" w:space="0"/>
              <w:left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技术方案</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481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10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根据投标人技术方案的合理性、完整性、准确性，方案内容对实际需求的符合性等，综合考虑，由评委横向比较打分（6-0分）。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5" w:type="dxa"/>
            <w:vMerge w:val="continue"/>
            <w:tcBorders>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p>
        </w:tc>
        <w:tc>
          <w:tcPr>
            <w:tcW w:w="3580" w:type="dxa"/>
            <w:vMerge w:val="continue"/>
            <w:tcBorders>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c>
          <w:tcPr>
            <w:tcW w:w="481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10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根据投标人提供的与市局人脸平台对接的技术方案，并由市局出具证明，没有证明不得分（2-0分）。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3580"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实施方案</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4811" w:type="dxa"/>
            <w:tcBorders>
              <w:top w:val="single" w:color="auto" w:sz="4" w:space="0"/>
              <w:left w:val="single" w:color="auto" w:sz="4" w:space="0"/>
              <w:bottom w:val="single" w:color="auto" w:sz="4" w:space="0"/>
              <w:right w:val="single" w:color="auto" w:sz="4" w:space="0"/>
            </w:tcBorders>
            <w:vAlign w:val="center"/>
          </w:tcPr>
          <w:p>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根据实施方案的完整性、合理性和科学性（评委根据实施计划、项目管理、工期管理、质量保证等进行比较打分（6-0分）。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35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u w:val="wave" w:color="FFFFFF"/>
              </w:rPr>
              <w:t>技术服务及力量保障</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6分</w:t>
            </w:r>
          </w:p>
        </w:tc>
        <w:tc>
          <w:tcPr>
            <w:tcW w:w="48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460" w:lineRule="exact"/>
              <w:ind w:left="-107" w:leftChars="-51"/>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根据投入的技术服务及力量保障能力与招标文件要求的响应程度及各投标人间的横向比较（6-0分） </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注：人员需提供相关职称资质证书提供复印件及所在投标人单位的社保证明。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3580"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测试验收</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4811" w:type="dxa"/>
            <w:tcBorders>
              <w:top w:val="single" w:color="auto" w:sz="4" w:space="0"/>
              <w:left w:val="single" w:color="auto" w:sz="4" w:space="0"/>
              <w:bottom w:val="single" w:color="auto" w:sz="4" w:space="0"/>
              <w:right w:val="single" w:color="auto" w:sz="4" w:space="0"/>
            </w:tcBorders>
            <w:vAlign w:val="center"/>
          </w:tcPr>
          <w:p>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评标委员会根据系统测试、验收采用的方法、手段、标准和提供竣工资料的具体说明综合比较评定(3-0分)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3580"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c>
          <w:tcPr>
            <w:tcW w:w="4811" w:type="dxa"/>
            <w:tcBorders>
              <w:top w:val="single" w:color="auto" w:sz="4" w:space="0"/>
              <w:left w:val="single" w:color="auto" w:sz="4" w:space="0"/>
              <w:bottom w:val="single" w:color="auto" w:sz="4" w:space="0"/>
              <w:right w:val="single" w:color="auto" w:sz="4" w:space="0"/>
            </w:tcBorders>
            <w:vAlign w:val="center"/>
          </w:tcPr>
          <w:p>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根据售后服务承诺的范围和完善程度（包括保修、服务标准，服务人员配备，故障响应修复时间方式及保障措施，培训计划综合打分。（4-0分）；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725" w:type="dxa"/>
            <w:tcBorders>
              <w:left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3580" w:type="dxa"/>
            <w:tcBorders>
              <w:left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同类项目业绩</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4811" w:type="dxa"/>
            <w:tcBorders>
              <w:top w:val="single" w:color="auto" w:sz="4" w:space="0"/>
              <w:left w:val="single" w:color="auto" w:sz="4" w:space="0"/>
              <w:right w:val="single" w:color="auto" w:sz="4" w:space="0"/>
            </w:tcBorders>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根据投标人提供2015年1月1日以来同类项目业绩：</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同类项目合同金额大于等于600万元每个得1.5分，</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同类项目合同金额大于等于400万元且小于600万元每个得1分，</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同类项目合同金额大于等于200万元且小于400万元每个得0.5分，</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最多6分；</w:t>
            </w:r>
          </w:p>
          <w:p>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（投标现场携带合同原件备查）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35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节能环保</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2分</w:t>
            </w:r>
          </w:p>
        </w:tc>
        <w:tc>
          <w:tcPr>
            <w:tcW w:w="4811" w:type="dxa"/>
            <w:tcBorders>
              <w:top w:val="single" w:color="auto" w:sz="4" w:space="0"/>
              <w:left w:val="single" w:color="auto" w:sz="4" w:space="0"/>
              <w:bottom w:val="single" w:color="auto" w:sz="4" w:space="0"/>
              <w:right w:val="single" w:color="auto" w:sz="4" w:space="0"/>
            </w:tcBorders>
            <w:vAlign w:val="center"/>
          </w:tcPr>
          <w:p>
            <w:pPr>
              <w:spacing w:line="460" w:lineRule="exact"/>
              <w:ind w:left="-10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列入财政部、发改委节能目录清单（1-0分），</w:t>
            </w:r>
          </w:p>
          <w:p>
            <w:pPr>
              <w:spacing w:line="460" w:lineRule="exact"/>
              <w:ind w:left="-10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列入财政部、环保部环境标志产品目录清单（1-0分）；</w:t>
            </w:r>
          </w:p>
          <w:p>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自行提供证明材料（如标注本次投标产品的清单），由评标委员会根据列入目录清单的产品占比酌情给分。未提供证明材料或不能清楚辨析的不得分</w:t>
            </w:r>
            <w:r>
              <w:rPr>
                <w:rFonts w:hint="eastAsia" w:ascii="新宋体" w:hAnsi="新宋体" w:eastAsia="新宋体" w:cs="新宋体"/>
                <w:snapToGrid w:val="0"/>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35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napToGrid w:val="0"/>
                <w:color w:val="auto"/>
                <w:kern w:val="0"/>
                <w:sz w:val="22"/>
                <w:szCs w:val="22"/>
                <w:highlight w:val="none"/>
              </w:rPr>
            </w:pPr>
            <w:r>
              <w:rPr>
                <w:rFonts w:hint="eastAsia" w:ascii="新宋体" w:hAnsi="新宋体" w:eastAsia="新宋体" w:cs="新宋体"/>
                <w:bCs/>
                <w:color w:val="auto"/>
                <w:sz w:val="22"/>
                <w:szCs w:val="22"/>
                <w:highlight w:val="none"/>
              </w:rPr>
              <w:t>标书制作质量</w:t>
            </w:r>
          </w:p>
        </w:tc>
        <w:tc>
          <w:tcPr>
            <w:tcW w:w="9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napToGrid w:val="0"/>
                <w:color w:val="auto"/>
                <w:kern w:val="0"/>
                <w:sz w:val="22"/>
                <w:szCs w:val="22"/>
                <w:highlight w:val="none"/>
              </w:rPr>
            </w:pPr>
            <w:r>
              <w:rPr>
                <w:rFonts w:hint="eastAsia" w:ascii="新宋体" w:hAnsi="新宋体" w:eastAsia="新宋体" w:cs="新宋体"/>
                <w:bCs/>
                <w:color w:val="auto"/>
                <w:sz w:val="22"/>
                <w:szCs w:val="22"/>
                <w:highlight w:val="none"/>
              </w:rPr>
              <w:t>1分</w:t>
            </w:r>
          </w:p>
        </w:tc>
        <w:tc>
          <w:tcPr>
            <w:tcW w:w="4811" w:type="dxa"/>
            <w:tcBorders>
              <w:top w:val="single" w:color="auto" w:sz="4" w:space="0"/>
              <w:left w:val="single" w:color="auto" w:sz="4" w:space="0"/>
              <w:right w:val="single" w:color="auto" w:sz="4" w:space="0"/>
            </w:tcBorders>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依据投标文件内容编排顺序、格式是否符合招标文件要求，条理是否清晰，有无缺页、漏项及优惠价值由评委综合打分1-0分</w:t>
            </w:r>
          </w:p>
        </w:tc>
      </w:tr>
    </w:tbl>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rPr>
          <w:rFonts w:ascii="新宋体" w:hAnsi="新宋体" w:eastAsia="新宋体"/>
          <w:b/>
          <w:bCs/>
          <w:color w:val="auto"/>
          <w:sz w:val="30"/>
          <w:szCs w:val="30"/>
          <w:highlight w:val="none"/>
        </w:rPr>
      </w:pPr>
    </w:p>
    <w:p>
      <w:pPr>
        <w:pStyle w:val="24"/>
        <w:spacing w:line="460" w:lineRule="exact"/>
        <w:ind w:firstLine="0" w:firstLineChars="0"/>
        <w:outlineLvl w:val="2"/>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标段二：开发区雪亮工程三大平台和运维管理中心的租赁</w:t>
      </w:r>
    </w:p>
    <w:tbl>
      <w:tblPr>
        <w:tblStyle w:val="64"/>
        <w:tblW w:w="9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13"/>
        <w:gridCol w:w="899"/>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8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41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6960"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413"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综合实力</w:t>
            </w: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根据投标人企业规模、企业综合系统集成能力以及其他情况，比较打分（3-0分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3" w:type="dxa"/>
            <w:vMerge w:val="restart"/>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413" w:type="dxa"/>
            <w:vMerge w:val="restart"/>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设备选型</w:t>
            </w: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根据所投产品技术指标与招标文件要求的响应程度。（12-0分）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3" w:type="dxa"/>
            <w:vMerge w:val="continue"/>
            <w:vAlign w:val="center"/>
          </w:tcPr>
          <w:p>
            <w:pPr>
              <w:widowControl/>
              <w:spacing w:line="460" w:lineRule="exact"/>
              <w:jc w:val="center"/>
              <w:rPr>
                <w:rFonts w:ascii="新宋体" w:hAnsi="新宋体" w:eastAsia="新宋体" w:cs="新宋体"/>
                <w:color w:val="auto"/>
                <w:sz w:val="22"/>
                <w:szCs w:val="22"/>
                <w:highlight w:val="none"/>
              </w:rPr>
            </w:pPr>
          </w:p>
        </w:tc>
        <w:tc>
          <w:tcPr>
            <w:tcW w:w="1413" w:type="dxa"/>
            <w:vMerge w:val="continue"/>
            <w:vAlign w:val="center"/>
          </w:tcPr>
          <w:p>
            <w:pPr>
              <w:widowControl/>
              <w:spacing w:line="460" w:lineRule="exact"/>
              <w:jc w:val="center"/>
              <w:rPr>
                <w:rFonts w:ascii="新宋体" w:hAnsi="新宋体" w:eastAsia="新宋体" w:cs="新宋体"/>
                <w:color w:val="auto"/>
                <w:sz w:val="22"/>
                <w:szCs w:val="22"/>
                <w:highlight w:val="none"/>
              </w:rPr>
            </w:pP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根据投标产品的品牌形象、产品成熟度、用户美誉度、相关行业测评资料、获得的各种证书、其他特殊要求因素，比较打分（5-0分）。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683" w:type="dxa"/>
            <w:vMerge w:val="restart"/>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413" w:type="dxa"/>
            <w:vMerge w:val="restart"/>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技术方案</w:t>
            </w:r>
          </w:p>
        </w:tc>
        <w:tc>
          <w:tcPr>
            <w:tcW w:w="899"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根据投标人技术方案的合理性，叙述的准确性，结构图、流程图、系统图等的完整性、准确性、规范性，方案的内容对实际需求的符合性综合考虑，横向比较打分。（12-0分）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83" w:type="dxa"/>
            <w:vMerge w:val="continue"/>
            <w:vAlign w:val="center"/>
          </w:tcPr>
          <w:p>
            <w:pPr>
              <w:widowControl/>
              <w:spacing w:line="460" w:lineRule="exact"/>
              <w:jc w:val="center"/>
              <w:rPr>
                <w:rFonts w:ascii="新宋体" w:hAnsi="新宋体" w:eastAsia="新宋体" w:cs="新宋体"/>
                <w:color w:val="auto"/>
                <w:sz w:val="22"/>
                <w:szCs w:val="22"/>
                <w:highlight w:val="none"/>
              </w:rPr>
            </w:pPr>
          </w:p>
        </w:tc>
        <w:tc>
          <w:tcPr>
            <w:tcW w:w="1413" w:type="dxa"/>
            <w:vMerge w:val="continue"/>
            <w:vAlign w:val="center"/>
          </w:tcPr>
          <w:p>
            <w:pPr>
              <w:widowControl/>
              <w:spacing w:line="460" w:lineRule="exact"/>
              <w:jc w:val="center"/>
              <w:rPr>
                <w:rFonts w:ascii="新宋体" w:hAnsi="新宋体" w:eastAsia="新宋体" w:cs="新宋体"/>
                <w:color w:val="auto"/>
                <w:sz w:val="22"/>
                <w:szCs w:val="22"/>
                <w:highlight w:val="none"/>
              </w:rPr>
            </w:pP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960" w:type="dxa"/>
            <w:vAlign w:val="center"/>
          </w:tcPr>
          <w:p>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提供项目实施的合理化建议，由评委对比后酌情打分（3-0）。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83" w:type="dxa"/>
            <w:vMerge w:val="continue"/>
            <w:vAlign w:val="center"/>
          </w:tcPr>
          <w:p>
            <w:pPr>
              <w:widowControl/>
              <w:spacing w:line="460" w:lineRule="exact"/>
              <w:jc w:val="center"/>
              <w:rPr>
                <w:rFonts w:ascii="新宋体" w:hAnsi="新宋体" w:eastAsia="新宋体" w:cs="新宋体"/>
                <w:color w:val="auto"/>
                <w:sz w:val="22"/>
                <w:szCs w:val="22"/>
                <w:highlight w:val="none"/>
              </w:rPr>
            </w:pPr>
          </w:p>
        </w:tc>
        <w:tc>
          <w:tcPr>
            <w:tcW w:w="1413" w:type="dxa"/>
            <w:vMerge w:val="continue"/>
            <w:vAlign w:val="center"/>
          </w:tcPr>
          <w:p>
            <w:pPr>
              <w:widowControl/>
              <w:spacing w:line="460" w:lineRule="exact"/>
              <w:jc w:val="center"/>
              <w:rPr>
                <w:rFonts w:ascii="新宋体" w:hAnsi="新宋体" w:eastAsia="新宋体" w:cs="新宋体"/>
                <w:color w:val="auto"/>
                <w:sz w:val="22"/>
                <w:szCs w:val="22"/>
                <w:highlight w:val="none"/>
              </w:rPr>
            </w:pP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960" w:type="dxa"/>
            <w:vAlign w:val="center"/>
          </w:tcPr>
          <w:p>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后端中心机房配套情况。是否独立公安专网机房、机房是否安全、地理位置是否便利、配套系统是否完善（包括UPS、机房空调、消防设施）等内容横向比较打分（3-0分）。（须提供机房实物布局图、照片及承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3" w:type="dxa"/>
            <w:vMerge w:val="restart"/>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413" w:type="dxa"/>
            <w:vMerge w:val="restart"/>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施工安排</w:t>
            </w: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c>
          <w:tcPr>
            <w:tcW w:w="6960" w:type="dxa"/>
            <w:vAlign w:val="center"/>
          </w:tcPr>
          <w:p>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根据投标人提供的现有光纤资源（现有行政区域光纤资源列表），能否符合视频专网建设、级联的标准和要求，是否能满足本项目建设需求，由评委横向比较打分（4-0分）。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83" w:type="dxa"/>
            <w:vMerge w:val="continue"/>
            <w:vAlign w:val="center"/>
          </w:tcPr>
          <w:p>
            <w:pPr>
              <w:widowControl/>
              <w:spacing w:line="460" w:lineRule="exact"/>
              <w:jc w:val="left"/>
              <w:rPr>
                <w:rFonts w:ascii="新宋体" w:hAnsi="新宋体" w:eastAsia="新宋体" w:cs="新宋体"/>
                <w:color w:val="auto"/>
                <w:sz w:val="22"/>
                <w:szCs w:val="22"/>
                <w:highlight w:val="none"/>
              </w:rPr>
            </w:pPr>
          </w:p>
        </w:tc>
        <w:tc>
          <w:tcPr>
            <w:tcW w:w="1413" w:type="dxa"/>
            <w:vMerge w:val="continue"/>
            <w:vAlign w:val="center"/>
          </w:tcPr>
          <w:p>
            <w:pPr>
              <w:widowControl/>
              <w:spacing w:line="460" w:lineRule="exact"/>
              <w:jc w:val="left"/>
              <w:rPr>
                <w:rFonts w:ascii="新宋体" w:hAnsi="新宋体" w:eastAsia="新宋体" w:cs="新宋体"/>
                <w:color w:val="auto"/>
                <w:sz w:val="22"/>
                <w:szCs w:val="22"/>
                <w:highlight w:val="none"/>
              </w:rPr>
            </w:pP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包括施工计划、安全保证措施、质量保证措施、进度保证措施和环境保证措施，横向比较打分（6-0分）。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3" w:type="dxa"/>
            <w:vMerge w:val="restart"/>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413" w:type="dxa"/>
            <w:vMerge w:val="restart"/>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技术支持与售后</w:t>
            </w:r>
          </w:p>
        </w:tc>
        <w:tc>
          <w:tcPr>
            <w:tcW w:w="899"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960" w:type="dxa"/>
            <w:vAlign w:val="center"/>
          </w:tcPr>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根据投标人提供详细的主要产品备品备件清单数量及备品备件优越程度综合评价打分（3-0分）。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83" w:type="dxa"/>
            <w:vMerge w:val="continue"/>
            <w:vAlign w:val="center"/>
          </w:tcPr>
          <w:p>
            <w:pPr>
              <w:widowControl/>
              <w:spacing w:line="460" w:lineRule="exact"/>
              <w:jc w:val="left"/>
              <w:rPr>
                <w:rFonts w:ascii="新宋体" w:hAnsi="新宋体" w:eastAsia="新宋体" w:cs="新宋体"/>
                <w:color w:val="auto"/>
                <w:sz w:val="22"/>
                <w:szCs w:val="22"/>
                <w:highlight w:val="none"/>
              </w:rPr>
            </w:pPr>
          </w:p>
        </w:tc>
        <w:tc>
          <w:tcPr>
            <w:tcW w:w="1413" w:type="dxa"/>
            <w:vMerge w:val="continue"/>
            <w:vAlign w:val="center"/>
          </w:tcPr>
          <w:p>
            <w:pPr>
              <w:widowControl/>
              <w:spacing w:line="460" w:lineRule="exact"/>
              <w:jc w:val="left"/>
              <w:rPr>
                <w:rFonts w:ascii="新宋体" w:hAnsi="新宋体" w:eastAsia="新宋体" w:cs="新宋体"/>
                <w:color w:val="auto"/>
                <w:sz w:val="22"/>
                <w:szCs w:val="22"/>
                <w:highlight w:val="none"/>
              </w:rPr>
            </w:pP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c>
          <w:tcPr>
            <w:tcW w:w="6960" w:type="dxa"/>
            <w:vAlign w:val="center"/>
          </w:tcPr>
          <w:p>
            <w:pPr>
              <w:tabs>
                <w:tab w:val="left" w:pos="0"/>
              </w:tabs>
              <w:snapToGrid w:val="0"/>
              <w:spacing w:line="460" w:lineRule="exact"/>
              <w:ind w:left="-107" w:leftChars="-51"/>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根据投入的技术服务及力量保障能力与招标文件要求的响应程度及各投标人间的横向比较（4-0分） </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注：人员需提供相关职称资质证书提供复印件及所在投标人单位的社保证明。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3" w:type="dxa"/>
            <w:vMerge w:val="continue"/>
            <w:vAlign w:val="center"/>
          </w:tcPr>
          <w:p>
            <w:pPr>
              <w:widowControl/>
              <w:spacing w:line="460" w:lineRule="exact"/>
              <w:jc w:val="left"/>
              <w:rPr>
                <w:rFonts w:ascii="新宋体" w:hAnsi="新宋体" w:eastAsia="新宋体" w:cs="新宋体"/>
                <w:color w:val="auto"/>
                <w:sz w:val="22"/>
                <w:szCs w:val="22"/>
                <w:highlight w:val="none"/>
              </w:rPr>
            </w:pPr>
          </w:p>
        </w:tc>
        <w:tc>
          <w:tcPr>
            <w:tcW w:w="1413" w:type="dxa"/>
            <w:vMerge w:val="continue"/>
            <w:vAlign w:val="center"/>
          </w:tcPr>
          <w:p>
            <w:pPr>
              <w:widowControl/>
              <w:spacing w:line="460" w:lineRule="exact"/>
              <w:jc w:val="left"/>
              <w:rPr>
                <w:rFonts w:ascii="新宋体" w:hAnsi="新宋体" w:eastAsia="新宋体" w:cs="新宋体"/>
                <w:color w:val="auto"/>
                <w:sz w:val="22"/>
                <w:szCs w:val="22"/>
                <w:highlight w:val="none"/>
              </w:rPr>
            </w:pP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本顶目设置合理售后故障响应组织架构和响应时间的可行性方案，以及对本项目售后服务承诺的范围和完善程度(包括保修年限，服务标准，人员配备，故障响应修复时间方式及保障措施等)横向比较打分，最为合理的，得2分；基本合理得1分；响应时间明显不及时、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8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41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同类项目业绩</w:t>
            </w: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根据投标人的同类项目业绩情况，横向比较打分。业绩必须是2015年1月1日至今同类已验收通过的项目。单项合同涉及金额≥2000万得2分，单项合同涉及金额≥1000万元得1分；未完工业绩不得分。</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本项最多10分</w:t>
            </w:r>
          </w:p>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（提供客户联系方式、采购合同、验收报告复印件加盖投标人公章，资料提供不齐全不得分，合同原件备查；只计算投标人业绩，其子公司、母公司业绩不计分）。</w:t>
            </w:r>
          </w:p>
          <w:p>
            <w:pPr>
              <w:widowControl/>
              <w:spacing w:line="460" w:lineRule="exact"/>
              <w:jc w:val="lef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68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41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节能环保</w:t>
            </w: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2分</w:t>
            </w:r>
          </w:p>
        </w:tc>
        <w:tc>
          <w:tcPr>
            <w:tcW w:w="6960" w:type="dxa"/>
            <w:vAlign w:val="center"/>
          </w:tcPr>
          <w:p>
            <w:pPr>
              <w:spacing w:line="460" w:lineRule="exact"/>
              <w:ind w:left="-10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列入财政部、发改委节能目录清单（1-0分），</w:t>
            </w:r>
          </w:p>
          <w:p>
            <w:pPr>
              <w:spacing w:line="460" w:lineRule="exact"/>
              <w:ind w:left="-10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列入财政部、环保部环境标志产品目录清单（1-0分）；</w:t>
            </w:r>
          </w:p>
          <w:p>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自行提供证明材料（如标注本次投标产品的清单），由评标委员会根据列入目录清单的产品占比酌情给分。未提供证明材料或不能清楚辨析的不得分</w:t>
            </w:r>
            <w:r>
              <w:rPr>
                <w:rFonts w:hint="eastAsia" w:ascii="新宋体" w:hAnsi="新宋体" w:eastAsia="新宋体" w:cs="新宋体"/>
                <w:snapToGrid w:val="0"/>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8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413"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标书及优惠</w:t>
            </w:r>
          </w:p>
        </w:tc>
        <w:tc>
          <w:tcPr>
            <w:tcW w:w="899" w:type="dxa"/>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6960" w:type="dxa"/>
            <w:vAlign w:val="center"/>
          </w:tcPr>
          <w:p>
            <w:pPr>
              <w:widowControl/>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依据投标文件内容编排顺序、格式是否符合招标文件要求，条理是否清晰，有无缺页、漏项由评委综合打分（1分）。</w:t>
            </w:r>
          </w:p>
        </w:tc>
      </w:tr>
    </w:tbl>
    <w:p>
      <w:pPr>
        <w:rPr>
          <w:color w:val="auto"/>
          <w:highlight w:val="none"/>
        </w:rPr>
      </w:pPr>
    </w:p>
    <w:p>
      <w:pPr>
        <w:pStyle w:val="24"/>
        <w:spacing w:line="460" w:lineRule="exact"/>
        <w:ind w:firstLine="0" w:firstLineChars="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2、商务评分（30分）（权值30%）：</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1）有效投标人的投标报价等于评标基准价时其报价分为满分30分；</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2）其他投标人的价格分按以下公式计算：</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投标报价得分=（评分基准价/投标人投标报价）× 价格权值 ×100（保留小数2位）</w:t>
      </w:r>
    </w:p>
    <w:p>
      <w:pPr>
        <w:spacing w:line="460" w:lineRule="exact"/>
        <w:ind w:firstLine="539" w:firstLineChars="245"/>
        <w:rPr>
          <w:rFonts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ascii="新宋体" w:hAnsi="新宋体" w:eastAsia="新宋体"/>
          <w:color w:val="auto"/>
          <w:sz w:val="22"/>
          <w:szCs w:val="22"/>
          <w:highlight w:val="none"/>
          <w:lang w:val="zh-CN"/>
        </w:rPr>
      </w:pPr>
      <w:r>
        <w:rPr>
          <w:rFonts w:hint="eastAsia" w:ascii="新宋体" w:hAnsi="新宋体" w:eastAsia="新宋体"/>
          <w:b/>
          <w:color w:val="auto"/>
          <w:sz w:val="22"/>
          <w:highlight w:val="none"/>
          <w:u w:val="single"/>
        </w:rPr>
        <w:t>▲</w:t>
      </w: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必须提供</w:t>
      </w:r>
      <w:r>
        <w:rPr>
          <w:rFonts w:hint="eastAsia" w:ascii="新宋体" w:hAnsi="新宋体" w:eastAsia="新宋体"/>
          <w:b/>
          <w:bCs/>
          <w:color w:val="auto"/>
          <w:sz w:val="22"/>
          <w:szCs w:val="22"/>
          <w:highlight w:val="none"/>
          <w:u w:val="single"/>
        </w:rPr>
        <w:t>投标人、</w:t>
      </w:r>
      <w:r>
        <w:rPr>
          <w:rFonts w:hint="eastAsia" w:ascii="新宋体" w:hAnsi="新宋体" w:eastAsia="新宋体"/>
          <w:b/>
          <w:bCs/>
          <w:color w:val="auto"/>
          <w:sz w:val="22"/>
          <w:szCs w:val="22"/>
          <w:highlight w:val="none"/>
          <w:u w:val="single"/>
          <w:lang w:val="zh-CN"/>
        </w:rPr>
        <w:t>投标产品生产企业为小型、微型企业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b/>
          <w:bCs/>
          <w:color w:val="auto"/>
          <w:sz w:val="22"/>
          <w:szCs w:val="22"/>
          <w:highlight w:val="none"/>
          <w:u w:val="single"/>
        </w:rPr>
        <w:t>规定所属行业</w:t>
      </w:r>
      <w:r>
        <w:rPr>
          <w:rFonts w:hint="eastAsia" w:ascii="新宋体" w:hAnsi="新宋体" w:eastAsia="新宋体"/>
          <w:b/>
          <w:bCs/>
          <w:color w:val="auto"/>
          <w:sz w:val="22"/>
          <w:szCs w:val="22"/>
          <w:highlight w:val="none"/>
          <w:u w:val="single"/>
          <w:lang w:val="zh-CN"/>
        </w:rPr>
        <w:t>为小型、微型企业</w:t>
      </w:r>
      <w:r>
        <w:rPr>
          <w:rFonts w:hint="eastAsia" w:ascii="新宋体" w:hAnsi="新宋体" w:eastAsia="新宋体"/>
          <w:b/>
          <w:bCs/>
          <w:color w:val="auto"/>
          <w:sz w:val="22"/>
          <w:szCs w:val="22"/>
          <w:highlight w:val="none"/>
          <w:u w:val="single"/>
        </w:rPr>
        <w:t>标准要求对应的</w:t>
      </w:r>
      <w:r>
        <w:rPr>
          <w:rFonts w:hint="eastAsia" w:ascii="新宋体" w:hAnsi="新宋体" w:eastAsia="新宋体"/>
          <w:b/>
          <w:bCs/>
          <w:color w:val="auto"/>
          <w:sz w:val="22"/>
          <w:szCs w:val="22"/>
          <w:highlight w:val="none"/>
          <w:u w:val="single"/>
          <w:lang w:val="zh-CN"/>
        </w:rPr>
        <w:t>相关充分证明材料；</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ascii="新宋体" w:hAnsi="新宋体" w:eastAsia="新宋体"/>
          <w:b/>
          <w:bCs/>
          <w:color w:val="auto"/>
          <w:sz w:val="22"/>
          <w:szCs w:val="22"/>
          <w:highlight w:val="none"/>
          <w:u w:val="single"/>
          <w:lang w:val="zh-CN"/>
        </w:rPr>
      </w:pPr>
      <w:r>
        <w:rPr>
          <w:rFonts w:hint="eastAsia" w:ascii="新宋体" w:hAnsi="新宋体" w:eastAsia="新宋体" w:cs="新宋体"/>
          <w:b/>
          <w:bCs/>
          <w:color w:val="auto"/>
          <w:sz w:val="22"/>
          <w:szCs w:val="22"/>
          <w:highlight w:val="none"/>
          <w:lang w:val="zh-CN"/>
        </w:rPr>
        <w:t>②</w:t>
      </w:r>
      <w:r>
        <w:rPr>
          <w:rFonts w:hint="eastAsia" w:ascii="新宋体" w:hAnsi="新宋体" w:eastAsia="新宋体"/>
          <w:b/>
          <w:bCs/>
          <w:color w:val="auto"/>
          <w:sz w:val="22"/>
          <w:szCs w:val="22"/>
          <w:highlight w:val="none"/>
          <w:lang w:val="zh-CN"/>
        </w:rPr>
        <w:t>投标人已通过浙江政府采购网申请注册并成为正式入库供应商</w:t>
      </w:r>
      <w:r>
        <w:rPr>
          <w:rFonts w:hint="eastAsia" w:ascii="新宋体" w:hAnsi="新宋体" w:eastAsia="新宋体"/>
          <w:b/>
          <w:bCs/>
          <w:color w:val="auto"/>
          <w:sz w:val="22"/>
          <w:szCs w:val="22"/>
          <w:highlight w:val="none"/>
          <w:u w:val="single"/>
          <w:lang w:val="zh-CN"/>
        </w:rPr>
        <w:t>并提供</w:t>
      </w:r>
      <w:r>
        <w:rPr>
          <w:rFonts w:hint="eastAsia" w:ascii="新宋体" w:hAnsi="新宋体" w:eastAsia="新宋体"/>
          <w:b/>
          <w:bCs/>
          <w:color w:val="auto"/>
          <w:sz w:val="22"/>
          <w:szCs w:val="22"/>
          <w:highlight w:val="none"/>
          <w:u w:val="single"/>
        </w:rPr>
        <w:t>注册为</w:t>
      </w:r>
      <w:r>
        <w:rPr>
          <w:rFonts w:hint="eastAsia" w:ascii="新宋体" w:hAnsi="新宋体" w:eastAsia="新宋体"/>
          <w:b/>
          <w:bCs/>
          <w:color w:val="auto"/>
          <w:sz w:val="22"/>
          <w:szCs w:val="22"/>
          <w:highlight w:val="none"/>
          <w:u w:val="single"/>
          <w:lang w:val="zh-CN"/>
        </w:rPr>
        <w:t>小型、微型企业证明材料</w:t>
      </w:r>
      <w:r>
        <w:rPr>
          <w:rFonts w:hint="eastAsia" w:ascii="新宋体" w:hAnsi="新宋体" w:eastAsia="新宋体"/>
          <w:b/>
          <w:bCs/>
          <w:color w:val="auto"/>
          <w:sz w:val="22"/>
          <w:szCs w:val="22"/>
          <w:highlight w:val="none"/>
          <w:lang w:val="zh-CN"/>
        </w:rPr>
        <w:t>。</w:t>
      </w:r>
    </w:p>
    <w:p>
      <w:pPr>
        <w:spacing w:line="46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lang w:val="zh-CN"/>
        </w:rPr>
        <w:t>监狱企业视同小微企业，其产品参加本项目投标的，享受小微企业同等的价格扣除。</w:t>
      </w:r>
    </w:p>
    <w:p>
      <w:pPr>
        <w:spacing w:line="460" w:lineRule="exact"/>
        <w:ind w:firstLine="663" w:firstLineChars="300"/>
        <w:rPr>
          <w:rFonts w:ascii="新宋体" w:hAnsi="新宋体" w:eastAsia="新宋体"/>
          <w:b/>
          <w:color w:val="auto"/>
          <w:sz w:val="22"/>
          <w:szCs w:val="22"/>
          <w:highlight w:val="none"/>
        </w:rPr>
      </w:pPr>
      <w:r>
        <w:rPr>
          <w:rFonts w:hint="eastAsia" w:ascii="新宋体" w:hAnsi="新宋体" w:eastAsia="新宋体"/>
          <w:b/>
          <w:color w:val="auto"/>
          <w:sz w:val="22"/>
          <w:highlight w:val="none"/>
        </w:rPr>
        <w:t xml:space="preserve">     3)</w:t>
      </w:r>
      <w:r>
        <w:rPr>
          <w:rFonts w:hint="eastAsia" w:ascii="新宋体" w:hAnsi="新宋体" w:eastAsia="新宋体"/>
          <w:b/>
          <w:color w:val="auto"/>
          <w:sz w:val="22"/>
          <w:szCs w:val="22"/>
          <w:highlight w:val="none"/>
        </w:rPr>
        <w:t>标段一财政预算为</w:t>
      </w:r>
      <w:r>
        <w:rPr>
          <w:rFonts w:hint="eastAsia" w:ascii="新宋体" w:hAnsi="新宋体" w:eastAsia="新宋体"/>
          <w:b/>
          <w:bCs/>
          <w:color w:val="auto"/>
          <w:sz w:val="22"/>
          <w:szCs w:val="22"/>
          <w:highlight w:val="none"/>
        </w:rPr>
        <w:t>人民币陆佰叁拾万柒仟元整（¥6307000.00元）</w:t>
      </w:r>
      <w:r>
        <w:rPr>
          <w:rFonts w:hint="eastAsia" w:ascii="新宋体" w:hAnsi="新宋体" w:eastAsia="新宋体"/>
          <w:b/>
          <w:color w:val="auto"/>
          <w:sz w:val="22"/>
          <w:szCs w:val="22"/>
          <w:highlight w:val="none"/>
        </w:rPr>
        <w:t>;</w:t>
      </w:r>
    </w:p>
    <w:p>
      <w:pPr>
        <w:spacing w:line="460" w:lineRule="exact"/>
        <w:ind w:firstLine="1325" w:firstLineChars="6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 xml:space="preserve"> 标段二财政预算为人民币伍佰玖拾万伍仟元整（¥5905000.00元）;</w:t>
      </w:r>
    </w:p>
    <w:p>
      <w:pPr>
        <w:spacing w:line="460" w:lineRule="exact"/>
        <w:rPr>
          <w:rFonts w:ascii="新宋体" w:hAnsi="新宋体" w:eastAsia="新宋体"/>
          <w:b/>
          <w:color w:val="auto"/>
          <w:sz w:val="22"/>
          <w:highlight w:val="none"/>
        </w:rPr>
      </w:pPr>
      <w:r>
        <w:rPr>
          <w:rFonts w:hint="eastAsia" w:ascii="新宋体" w:hAnsi="新宋体" w:eastAsia="新宋体"/>
          <w:b/>
          <w:color w:val="auto"/>
          <w:sz w:val="22"/>
          <w:szCs w:val="22"/>
          <w:highlight w:val="none"/>
        </w:rPr>
        <w:t xml:space="preserve">        如投标人报价超过财政预算按无效标处理。</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3、有效投标人的综合得分为技术分和商务（报价）分的总和。</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六、定标办法</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确定中标候选人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1.1由评标委员会确定中标候选人。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1.2评标委员会依据法律、法规及招标文件有关规定按评审后得分（即技术分与商务分之和）由高到低顺序排序，得分前二名的投标人确定为该项目的第一和第二中标候选人（得分相同投标报价低的排序第一；得分且投标报价相同的，技术指标优的排序第一）向招标人推荐。</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2、确定中标人</w:t>
      </w:r>
    </w:p>
    <w:p>
      <w:pPr>
        <w:spacing w:line="46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以视情况直接确定排名第二的候选人为中标人</w:t>
      </w:r>
      <w:r>
        <w:rPr>
          <w:rFonts w:ascii="新宋体" w:hAnsi="新宋体" w:eastAsia="新宋体"/>
          <w:color w:val="auto"/>
          <w:sz w:val="22"/>
          <w:szCs w:val="22"/>
          <w:highlight w:val="none"/>
        </w:rPr>
        <w:t>。如第二中标候选人因前款规定的同样原因不能签订合同的，本次招标失败，重新组织招标。</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中标人确定后，招标人将在政府指定媒体公告中标结果，招标人向中标人发出中标通知书。</w:t>
      </w:r>
    </w:p>
    <w:p>
      <w:pPr>
        <w:spacing w:line="460" w:lineRule="exact"/>
        <w:ind w:firstLine="541" w:firstLineChars="245"/>
        <w:outlineLvl w:val="1"/>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七、投标人义务</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投标人应随时接受评标委员会的询标，解答包括有关的商务、技术问题等。评标结束，所有评标资料存招标机构备查。</w:t>
      </w:r>
    </w:p>
    <w:p>
      <w:pPr>
        <w:pStyle w:val="24"/>
        <w:spacing w:line="460" w:lineRule="exact"/>
        <w:ind w:left="0" w:firstLine="0" w:firstLineChars="0"/>
        <w:outlineLvl w:val="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附1：采购代理服务收费标准</w:t>
      </w:r>
    </w:p>
    <w:p>
      <w:pPr>
        <w:spacing w:line="460" w:lineRule="exact"/>
        <w:jc w:val="center"/>
        <w:rPr>
          <w:rFonts w:ascii="新宋体" w:hAnsi="新宋体" w:eastAsia="新宋体"/>
          <w:b/>
          <w:color w:val="auto"/>
          <w:sz w:val="22"/>
          <w:highlight w:val="none"/>
        </w:rPr>
      </w:pPr>
      <w:r>
        <w:rPr>
          <w:rFonts w:hint="eastAsia" w:ascii="新宋体" w:hAnsi="新宋体" w:eastAsia="新宋体"/>
          <w:b/>
          <w:color w:val="auto"/>
          <w:sz w:val="22"/>
          <w:highlight w:val="none"/>
        </w:rPr>
        <w:t>采购代理服务收费标准</w:t>
      </w:r>
    </w:p>
    <w:tbl>
      <w:tblPr>
        <w:tblStyle w:val="64"/>
        <w:tblW w:w="852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ascii="新宋体" w:hAnsi="新宋体" w:eastAsia="新宋体"/>
                <w:color w:val="auto"/>
                <w:sz w:val="22"/>
                <w:highlight w:val="none"/>
              </w:rPr>
              <w:pict>
                <v:group id="Group 23" o:spid="_x0000_s1076" o:spt="203" style="position:absolute;left:0pt;margin-left:0pt;margin-top:2.3pt;height:64.95pt;width:120.75pt;z-index:251659264;mso-width-relative:page;mso-height-relative:page;" coordsize="2415,1299203">
                  <o:lock v:ext="edit"/>
                  <v:line id="Line 24" o:spid="_x0000_s1077" o:spt="20" style="position:absolute;left:0;top:363;height:936;width:2415;" coordsize="21600,21600">
                    <v:path arrowok="t"/>
                    <v:fill focussize="0,0"/>
                    <v:stroke/>
                    <v:imagedata o:title=""/>
                    <o:lock v:ext="edit"/>
                  </v:line>
                  <v:line id="Line 25" o:spid="_x0000_s1078" o:spt="20" style="position:absolute;left:945;top:0;height:1299;width:1470;" coordsize="21600,21600">
                    <v:path arrowok="t"/>
                    <v:fill focussize="0,0"/>
                    <v:stroke/>
                    <v:imagedata o:title=""/>
                    <o:lock v:ext="edit"/>
                  </v:line>
                </v:group>
              </w:pict>
            </w:r>
            <w:r>
              <w:rPr>
                <w:rFonts w:ascii="新宋体" w:hAnsi="新宋体" w:eastAsia="新宋体"/>
                <w:color w:val="auto"/>
                <w:sz w:val="22"/>
                <w:highlight w:val="none"/>
              </w:rPr>
              <w:pict>
                <v:line id="Line 22" o:spid="_x0000_s1079" o:spt="20" style="position:absolute;left:0pt;margin-left:99pt;margin-top:2.3pt;height:0.05pt;width:0.05pt;z-index:251658240;mso-width-relative:page;mso-height-relative:page;" coordsize="21600,21600">
                  <v:path arrowok="t"/>
                  <v:fill focussize="0,0"/>
                  <v:stroke/>
                  <v:imagedata o:title=""/>
                  <o:lock v:ext="edit"/>
                </v:line>
              </w:pict>
            </w:r>
            <w:r>
              <w:rPr>
                <w:rFonts w:hint="eastAsia" w:ascii="新宋体" w:hAnsi="新宋体" w:eastAsia="新宋体"/>
                <w:color w:val="auto"/>
                <w:sz w:val="22"/>
                <w:highlight w:val="none"/>
              </w:rPr>
              <w:t xml:space="preserve">          服务类型</w:t>
            </w:r>
          </w:p>
          <w:p>
            <w:pPr>
              <w:spacing w:line="460" w:lineRule="exact"/>
              <w:ind w:firstLine="1011" w:firstLineChars="460"/>
              <w:rPr>
                <w:rFonts w:ascii="新宋体" w:hAnsi="新宋体" w:eastAsia="新宋体"/>
                <w:color w:val="auto"/>
                <w:sz w:val="22"/>
                <w:highlight w:val="none"/>
              </w:rPr>
            </w:pPr>
            <w:r>
              <w:rPr>
                <w:rFonts w:hint="eastAsia" w:ascii="新宋体" w:hAnsi="新宋体" w:eastAsia="新宋体"/>
                <w:color w:val="auto"/>
                <w:sz w:val="22"/>
                <w:highlight w:val="none"/>
              </w:rPr>
              <w:t>费率</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0.01%</w:t>
            </w:r>
          </w:p>
        </w:tc>
      </w:tr>
    </w:tbl>
    <w:p>
      <w:pPr>
        <w:spacing w:line="460" w:lineRule="exact"/>
        <w:rPr>
          <w:rFonts w:ascii="新宋体" w:hAnsi="新宋体" w:eastAsia="新宋体"/>
          <w:b/>
          <w:color w:val="auto"/>
          <w:sz w:val="22"/>
          <w:highlight w:val="none"/>
        </w:rPr>
      </w:pPr>
      <w:r>
        <w:rPr>
          <w:rFonts w:hint="eastAsia" w:ascii="新宋体" w:hAnsi="新宋体" w:eastAsia="新宋体"/>
          <w:b/>
          <w:color w:val="auto"/>
          <w:sz w:val="22"/>
          <w:highlight w:val="none"/>
        </w:rPr>
        <w:t>注：本次招标为服务招标，采购代理服务收费按差额定率累进法计算。</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 xml:space="preserve"> </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例：某货物招标代理业务成交金额为6000万元，计算招标代理服务收费额如下：</w:t>
      </w:r>
    </w:p>
    <w:p>
      <w:pPr>
        <w:spacing w:line="460" w:lineRule="exact"/>
        <w:ind w:firstLine="110" w:firstLineChars="50"/>
        <w:rPr>
          <w:rFonts w:ascii="新宋体" w:hAnsi="新宋体" w:eastAsia="新宋体"/>
          <w:color w:val="auto"/>
          <w:sz w:val="22"/>
          <w:highlight w:val="none"/>
        </w:rPr>
      </w:pPr>
      <w:r>
        <w:rPr>
          <w:rFonts w:hint="eastAsia" w:ascii="新宋体" w:hAnsi="新宋体" w:eastAsia="新宋体"/>
          <w:color w:val="auto"/>
          <w:sz w:val="22"/>
          <w:highlight w:val="none"/>
        </w:rPr>
        <w:t>100万元×1.5%＝1.5万元</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（500－100）万元×1.1%＝4.4万元</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（1000－500）万元×0.8%＝4.0万元</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（5000－1000）万元×0.5%＝20万元</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（6000－5000）万元×0.25%＝2.5万元</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highlight w:val="none"/>
        </w:rPr>
        <w:t>合计收费=1.5+4.4+4.0+20+2.5＝32.4（万元）</w:t>
      </w:r>
    </w:p>
    <w:sectPr>
      <w:headerReference r:id="rId7" w:type="default"/>
      <w:footerReference r:id="rId8"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2"/>
      </w:rPr>
    </w:pPr>
    <w:r>
      <w:fldChar w:fldCharType="begin"/>
    </w:r>
    <w:r>
      <w:rPr>
        <w:rStyle w:val="52"/>
      </w:rPr>
      <w:instrText xml:space="preserve">PAGE  </w:instrText>
    </w:r>
    <w:r>
      <w:fldChar w:fldCharType="separate"/>
    </w:r>
    <w:r>
      <w:rPr>
        <w:rStyle w:val="52"/>
      </w:rPr>
      <w:t>30</w:t>
    </w:r>
    <w:r>
      <w:fldChar w:fldCharType="end"/>
    </w:r>
  </w:p>
  <w:p>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2"/>
      </w:rPr>
    </w:pPr>
    <w:r>
      <w:fldChar w:fldCharType="begin"/>
    </w:r>
    <w:r>
      <w:rPr>
        <w:rStyle w:val="52"/>
      </w:rPr>
      <w:instrText xml:space="preserve">PAGE  </w:instrText>
    </w:r>
    <w:r>
      <w:fldChar w:fldCharType="separate"/>
    </w:r>
    <w:r>
      <w:rPr>
        <w:rStyle w:val="52"/>
      </w:rPr>
      <w:t>109</w:t>
    </w:r>
    <w:r>
      <w:fldChar w:fldCharType="end"/>
    </w:r>
  </w:p>
  <w:p>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rPr>
      <w:t xml:space="preserve">温州市政府（分散）采购招标文件                                                项目编号：WZHX2018(BJ)-08-317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rPr>
      <w:t xml:space="preserve">温州市政府（分散）采购招标文件                                             项目编号：WZHX2018(BJ)-08-317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CFC479C"/>
    <w:multiLevelType w:val="singleLevel"/>
    <w:tmpl w:val="0CFC479C"/>
    <w:lvl w:ilvl="0" w:tentative="0">
      <w:start w:val="2"/>
      <w:numFmt w:val="decimal"/>
      <w:suff w:val="nothing"/>
      <w:lvlText w:val="%1、"/>
      <w:lvlJc w:val="left"/>
    </w:lvl>
  </w:abstractNum>
  <w:abstractNum w:abstractNumId="3">
    <w:nsid w:val="64597657"/>
    <w:multiLevelType w:val="multilevel"/>
    <w:tmpl w:val="64597657"/>
    <w:lvl w:ilvl="0" w:tentative="0">
      <w:start w:val="1"/>
      <w:numFmt w:val="chineseCountingThousand"/>
      <w:pStyle w:val="259"/>
      <w:lvlText w:val="第%1章."/>
      <w:lvlJc w:val="left"/>
      <w:pPr>
        <w:ind w:left="1271" w:hanging="420"/>
      </w:pPr>
      <w:rPr>
        <w:rFonts w:hint="eastAsia"/>
        <w:b/>
        <w:i w:val="0"/>
        <w:sz w:val="44"/>
        <w:szCs w:val="44"/>
      </w:rPr>
    </w:lvl>
    <w:lvl w:ilvl="1" w:tentative="0">
      <w:start w:val="1"/>
      <w:numFmt w:val="decimal"/>
      <w:pStyle w:val="258"/>
      <w:isLgl/>
      <w:suff w:val="space"/>
      <w:lvlText w:val="%1.%2"/>
      <w:lvlJc w:val="left"/>
      <w:pPr>
        <w:ind w:left="1549" w:hanging="420"/>
      </w:pPr>
      <w:rPr>
        <w:rFonts w:hint="default" w:ascii="Cambria" w:hAnsi="Cambria" w:eastAsia="仿宋_GB2312"/>
        <w:b/>
        <w:i w:val="0"/>
      </w:rPr>
    </w:lvl>
    <w:lvl w:ilvl="2" w:tentative="0">
      <w:start w:val="1"/>
      <w:numFmt w:val="decimal"/>
      <w:pStyle w:val="257"/>
      <w:isLgl/>
      <w:suff w:val="space"/>
      <w:lvlText w:val="%1.%2.%3"/>
      <w:lvlJc w:val="left"/>
      <w:pPr>
        <w:ind w:left="420" w:hanging="420"/>
      </w:pPr>
      <w:rPr>
        <w:rFonts w:hint="default" w:ascii="Cambria" w:hAnsi="Cambria" w:eastAsia="仿宋_GB2312"/>
        <w:b/>
        <w:i w:val="0"/>
        <w:sz w:val="32"/>
        <w:szCs w:val="32"/>
      </w:rPr>
    </w:lvl>
    <w:lvl w:ilvl="3" w:tentative="0">
      <w:start w:val="1"/>
      <w:numFmt w:val="decimal"/>
      <w:pStyle w:val="285"/>
      <w:isLgl/>
      <w:suff w:val="space"/>
      <w:lvlText w:val="%1.%2.%3.%4"/>
      <w:lvlJc w:val="left"/>
      <w:pPr>
        <w:ind w:left="3108" w:hanging="2688"/>
      </w:pPr>
      <w:rPr>
        <w:rFonts w:hint="default" w:ascii="Cambria" w:hAnsi="Cambria" w:eastAsia="仿宋_GB2312"/>
        <w:b/>
        <w:i w:val="0"/>
      </w:rPr>
    </w:lvl>
    <w:lvl w:ilvl="4" w:tentative="0">
      <w:start w:val="1"/>
      <w:numFmt w:val="decimal"/>
      <w:isLgl/>
      <w:suff w:val="space"/>
      <w:lvlText w:val="%1.%2.%3.%4.%5"/>
      <w:lvlJc w:val="left"/>
      <w:pPr>
        <w:ind w:left="840" w:hanging="420"/>
      </w:pPr>
      <w:rPr>
        <w:rFonts w:hint="default" w:ascii="Cambria" w:hAnsi="Cambria" w:eastAsia="仿宋_GB2312"/>
        <w:b/>
        <w:i w:val="0"/>
      </w:rPr>
    </w:lvl>
    <w:lvl w:ilvl="5" w:tentative="0">
      <w:start w:val="1"/>
      <w:numFmt w:val="decimal"/>
      <w:isLgl/>
      <w:suff w:val="space"/>
      <w:lvlText w:val="%1.%2.%3.%4.%5.%6"/>
      <w:lvlJc w:val="left"/>
      <w:pPr>
        <w:ind w:left="840" w:hanging="420"/>
      </w:pPr>
      <w:rPr>
        <w:rFonts w:hint="default" w:ascii="Cambria" w:hAnsi="Cambria" w:eastAsia="仿宋_GB2312"/>
        <w:b/>
        <w:i w:val="0"/>
      </w:rPr>
    </w:lvl>
    <w:lvl w:ilvl="6" w:tentative="0">
      <w:start w:val="1"/>
      <w:numFmt w:val="decimal"/>
      <w:isLgl/>
      <w:suff w:val="space"/>
      <w:lvlText w:val="%1.%2.%3.%4.%5.%6.%7"/>
      <w:lvlJc w:val="left"/>
      <w:pPr>
        <w:ind w:left="840" w:hanging="420"/>
      </w:pPr>
      <w:rPr>
        <w:rFonts w:hint="default" w:ascii="Cambria" w:hAnsi="Cambria" w:eastAsia="仿宋_GB2312"/>
        <w:b/>
      </w:rPr>
    </w:lvl>
    <w:lvl w:ilvl="7" w:tentative="0">
      <w:start w:val="1"/>
      <w:numFmt w:val="decimal"/>
      <w:isLgl/>
      <w:suff w:val="space"/>
      <w:lvlText w:val="%1.%2.%3.%4.%5.%6.%7.%8"/>
      <w:lvlJc w:val="left"/>
      <w:pPr>
        <w:ind w:left="840" w:hanging="420"/>
      </w:pPr>
      <w:rPr>
        <w:rFonts w:hint="default" w:ascii="Cambria" w:hAnsi="Cambria" w:eastAsia="仿宋_GB2312"/>
      </w:rPr>
    </w:lvl>
    <w:lvl w:ilvl="8" w:tentative="0">
      <w:start w:val="1"/>
      <w:numFmt w:val="decimal"/>
      <w:isLgl/>
      <w:suff w:val="space"/>
      <w:lvlText w:val="%1.%2.%3.%4.%5.%6.%7.%8.%9"/>
      <w:lvlJc w:val="left"/>
      <w:pPr>
        <w:ind w:left="840" w:hanging="420"/>
      </w:pPr>
      <w:rPr>
        <w:rFonts w:hint="default" w:ascii="Cambria" w:hAnsi="Cambria" w:eastAsia="仿宋_GB2312"/>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7418"/>
    <w:rsid w:val="000C4552"/>
    <w:rsid w:val="000C7F40"/>
    <w:rsid w:val="000D7D60"/>
    <w:rsid w:val="000F406A"/>
    <w:rsid w:val="00153E08"/>
    <w:rsid w:val="00172A27"/>
    <w:rsid w:val="001D644D"/>
    <w:rsid w:val="001F5556"/>
    <w:rsid w:val="00233114"/>
    <w:rsid w:val="00237BAE"/>
    <w:rsid w:val="002606CD"/>
    <w:rsid w:val="002714CA"/>
    <w:rsid w:val="00281DDE"/>
    <w:rsid w:val="002B43F7"/>
    <w:rsid w:val="003045D0"/>
    <w:rsid w:val="003109A6"/>
    <w:rsid w:val="00377DE1"/>
    <w:rsid w:val="003E4D15"/>
    <w:rsid w:val="00460B56"/>
    <w:rsid w:val="004744D0"/>
    <w:rsid w:val="005323AB"/>
    <w:rsid w:val="00576912"/>
    <w:rsid w:val="005D1441"/>
    <w:rsid w:val="00652E52"/>
    <w:rsid w:val="00654A7B"/>
    <w:rsid w:val="006740F4"/>
    <w:rsid w:val="00684E38"/>
    <w:rsid w:val="006D3608"/>
    <w:rsid w:val="006E1EEF"/>
    <w:rsid w:val="007925DC"/>
    <w:rsid w:val="007A0F94"/>
    <w:rsid w:val="00841FAF"/>
    <w:rsid w:val="008A48C9"/>
    <w:rsid w:val="008B69A5"/>
    <w:rsid w:val="008C723D"/>
    <w:rsid w:val="00947A39"/>
    <w:rsid w:val="009C659F"/>
    <w:rsid w:val="009E29E2"/>
    <w:rsid w:val="00A8104D"/>
    <w:rsid w:val="00AC4384"/>
    <w:rsid w:val="00AC6F8D"/>
    <w:rsid w:val="00AD6F45"/>
    <w:rsid w:val="00AE36A1"/>
    <w:rsid w:val="00B01F5F"/>
    <w:rsid w:val="00B538A0"/>
    <w:rsid w:val="00B570B7"/>
    <w:rsid w:val="00BF1A62"/>
    <w:rsid w:val="00C53BC2"/>
    <w:rsid w:val="00C970A1"/>
    <w:rsid w:val="00D3622A"/>
    <w:rsid w:val="00D40823"/>
    <w:rsid w:val="00D63FFE"/>
    <w:rsid w:val="00D82D4F"/>
    <w:rsid w:val="00DC0F73"/>
    <w:rsid w:val="00E12EB4"/>
    <w:rsid w:val="00E37D95"/>
    <w:rsid w:val="00E435C9"/>
    <w:rsid w:val="00F81E0B"/>
    <w:rsid w:val="00F82F9F"/>
    <w:rsid w:val="00FB5603"/>
    <w:rsid w:val="01434E17"/>
    <w:rsid w:val="03C73476"/>
    <w:rsid w:val="04BA283A"/>
    <w:rsid w:val="06434494"/>
    <w:rsid w:val="06B2601B"/>
    <w:rsid w:val="0747552D"/>
    <w:rsid w:val="07E16F56"/>
    <w:rsid w:val="0A387483"/>
    <w:rsid w:val="0C54479D"/>
    <w:rsid w:val="0CBC7E7F"/>
    <w:rsid w:val="11267977"/>
    <w:rsid w:val="12D244A6"/>
    <w:rsid w:val="13BC3D6E"/>
    <w:rsid w:val="15D24BE1"/>
    <w:rsid w:val="163004AD"/>
    <w:rsid w:val="16D17F3A"/>
    <w:rsid w:val="18652E1F"/>
    <w:rsid w:val="1BF57F17"/>
    <w:rsid w:val="1E020A80"/>
    <w:rsid w:val="1E377015"/>
    <w:rsid w:val="1E4B2040"/>
    <w:rsid w:val="1E7C7FD7"/>
    <w:rsid w:val="1F0115E6"/>
    <w:rsid w:val="28275576"/>
    <w:rsid w:val="2EDB1BB5"/>
    <w:rsid w:val="2F343603"/>
    <w:rsid w:val="305B0C4B"/>
    <w:rsid w:val="307C3171"/>
    <w:rsid w:val="311B2D2F"/>
    <w:rsid w:val="31660B31"/>
    <w:rsid w:val="31AC33EA"/>
    <w:rsid w:val="31DF4BB2"/>
    <w:rsid w:val="346F325E"/>
    <w:rsid w:val="35B27104"/>
    <w:rsid w:val="376E3726"/>
    <w:rsid w:val="3792083F"/>
    <w:rsid w:val="38473863"/>
    <w:rsid w:val="3ACA6A85"/>
    <w:rsid w:val="3B5B5EDD"/>
    <w:rsid w:val="3B610C48"/>
    <w:rsid w:val="3B682891"/>
    <w:rsid w:val="3BA672B3"/>
    <w:rsid w:val="3D3A069F"/>
    <w:rsid w:val="3E992EED"/>
    <w:rsid w:val="402A3F47"/>
    <w:rsid w:val="41A801B8"/>
    <w:rsid w:val="41EE40A9"/>
    <w:rsid w:val="41F26D6E"/>
    <w:rsid w:val="42197A7E"/>
    <w:rsid w:val="421C4E89"/>
    <w:rsid w:val="43AF1D76"/>
    <w:rsid w:val="43D668E4"/>
    <w:rsid w:val="45FD3BE3"/>
    <w:rsid w:val="480402C4"/>
    <w:rsid w:val="49AA4769"/>
    <w:rsid w:val="4C227943"/>
    <w:rsid w:val="4D0975A8"/>
    <w:rsid w:val="4DA01A49"/>
    <w:rsid w:val="4DB77858"/>
    <w:rsid w:val="512C07A2"/>
    <w:rsid w:val="53087EBA"/>
    <w:rsid w:val="53A00006"/>
    <w:rsid w:val="53CC3E84"/>
    <w:rsid w:val="557416C7"/>
    <w:rsid w:val="574E1851"/>
    <w:rsid w:val="587F7A26"/>
    <w:rsid w:val="58D51520"/>
    <w:rsid w:val="593E38AE"/>
    <w:rsid w:val="59B819C2"/>
    <w:rsid w:val="59FA27D9"/>
    <w:rsid w:val="5CFD44A1"/>
    <w:rsid w:val="5D0C20A3"/>
    <w:rsid w:val="5D5D144B"/>
    <w:rsid w:val="5D95202F"/>
    <w:rsid w:val="5E930C1F"/>
    <w:rsid w:val="5F2B6236"/>
    <w:rsid w:val="5FE246D0"/>
    <w:rsid w:val="611A5262"/>
    <w:rsid w:val="62550200"/>
    <w:rsid w:val="62EC1AFA"/>
    <w:rsid w:val="62ED56F7"/>
    <w:rsid w:val="64703813"/>
    <w:rsid w:val="64E867AA"/>
    <w:rsid w:val="655E149F"/>
    <w:rsid w:val="675D2996"/>
    <w:rsid w:val="69412846"/>
    <w:rsid w:val="6A6968C9"/>
    <w:rsid w:val="6C7045B6"/>
    <w:rsid w:val="6F4B5362"/>
    <w:rsid w:val="70643747"/>
    <w:rsid w:val="70A44107"/>
    <w:rsid w:val="71A86D74"/>
    <w:rsid w:val="71B576D4"/>
    <w:rsid w:val="7239599B"/>
    <w:rsid w:val="724F1F89"/>
    <w:rsid w:val="738311C2"/>
    <w:rsid w:val="73A763BB"/>
    <w:rsid w:val="788620D0"/>
    <w:rsid w:val="7A6622C5"/>
    <w:rsid w:val="7BED60B8"/>
    <w:rsid w:val="7C311A78"/>
    <w:rsid w:val="7EC40A24"/>
    <w:rsid w:val="7F28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0"/>
    <w:qFormat/>
    <w:uiPriority w:val="0"/>
    <w:pPr>
      <w:keepNext/>
      <w:jc w:val="center"/>
      <w:outlineLvl w:val="0"/>
    </w:pPr>
    <w:rPr>
      <w:rFonts w:eastAsia="黑体"/>
      <w:b/>
      <w:sz w:val="32"/>
      <w:szCs w:val="20"/>
    </w:rPr>
  </w:style>
  <w:style w:type="paragraph" w:styleId="3">
    <w:name w:val="heading 2"/>
    <w:basedOn w:val="1"/>
    <w:next w:val="1"/>
    <w:link w:val="126"/>
    <w:qFormat/>
    <w:uiPriority w:val="0"/>
    <w:pPr>
      <w:keepNext/>
      <w:outlineLvl w:val="1"/>
    </w:pPr>
    <w:rPr>
      <w:rFonts w:ascii="仿宋_GB2312"/>
      <w:b/>
      <w:sz w:val="28"/>
      <w:szCs w:val="32"/>
    </w:rPr>
  </w:style>
  <w:style w:type="paragraph" w:styleId="4">
    <w:name w:val="heading 3"/>
    <w:basedOn w:val="1"/>
    <w:next w:val="1"/>
    <w:link w:val="201"/>
    <w:qFormat/>
    <w:uiPriority w:val="0"/>
    <w:pPr>
      <w:keepNext/>
      <w:keepLines/>
      <w:spacing w:line="540" w:lineRule="atLeast"/>
      <w:outlineLvl w:val="2"/>
    </w:pPr>
    <w:rPr>
      <w:rFonts w:eastAsia="黑体"/>
      <w:b/>
      <w:sz w:val="28"/>
      <w:szCs w:val="20"/>
    </w:rPr>
  </w:style>
  <w:style w:type="paragraph" w:styleId="5">
    <w:name w:val="heading 4"/>
    <w:basedOn w:val="1"/>
    <w:next w:val="6"/>
    <w:link w:val="196"/>
    <w:qFormat/>
    <w:uiPriority w:val="0"/>
    <w:pPr>
      <w:keepNext/>
      <w:keepLines/>
      <w:spacing w:line="540" w:lineRule="atLeast"/>
      <w:outlineLvl w:val="3"/>
    </w:pPr>
    <w:rPr>
      <w:sz w:val="28"/>
      <w:szCs w:val="28"/>
    </w:rPr>
  </w:style>
  <w:style w:type="paragraph" w:styleId="7">
    <w:name w:val="heading 5"/>
    <w:basedOn w:val="1"/>
    <w:next w:val="1"/>
    <w:link w:val="138"/>
    <w:qFormat/>
    <w:uiPriority w:val="0"/>
    <w:pPr>
      <w:keepNext/>
      <w:keepLines/>
      <w:spacing w:before="280" w:after="290" w:line="372" w:lineRule="auto"/>
      <w:outlineLvl w:val="4"/>
    </w:pPr>
    <w:rPr>
      <w:b/>
      <w:bCs/>
      <w:kern w:val="0"/>
      <w:sz w:val="28"/>
      <w:szCs w:val="28"/>
    </w:rPr>
  </w:style>
  <w:style w:type="paragraph" w:styleId="8">
    <w:name w:val="heading 6"/>
    <w:basedOn w:val="1"/>
    <w:next w:val="6"/>
    <w:link w:val="81"/>
    <w:qFormat/>
    <w:uiPriority w:val="0"/>
    <w:pPr>
      <w:keepNext/>
      <w:keepLines/>
      <w:spacing w:before="240" w:after="64" w:line="317" w:lineRule="auto"/>
      <w:outlineLvl w:val="5"/>
    </w:pPr>
    <w:rPr>
      <w:rFonts w:ascii="Arial" w:hAnsi="Arial" w:eastAsia="黑体"/>
      <w:b/>
      <w:sz w:val="24"/>
      <w:szCs w:val="20"/>
    </w:rPr>
  </w:style>
  <w:style w:type="paragraph" w:styleId="9">
    <w:name w:val="heading 7"/>
    <w:basedOn w:val="1"/>
    <w:next w:val="6"/>
    <w:link w:val="200"/>
    <w:qFormat/>
    <w:uiPriority w:val="0"/>
    <w:pPr>
      <w:keepNext/>
      <w:keepLines/>
      <w:spacing w:before="240" w:after="64" w:line="317" w:lineRule="auto"/>
      <w:outlineLvl w:val="6"/>
    </w:pPr>
    <w:rPr>
      <w:b/>
      <w:sz w:val="24"/>
      <w:szCs w:val="20"/>
    </w:rPr>
  </w:style>
  <w:style w:type="paragraph" w:styleId="10">
    <w:name w:val="heading 8"/>
    <w:basedOn w:val="1"/>
    <w:next w:val="6"/>
    <w:link w:val="194"/>
    <w:qFormat/>
    <w:uiPriority w:val="0"/>
    <w:pPr>
      <w:keepNext/>
      <w:keepLines/>
      <w:spacing w:before="240" w:after="64" w:line="317" w:lineRule="auto"/>
      <w:outlineLvl w:val="7"/>
    </w:pPr>
    <w:rPr>
      <w:rFonts w:ascii="Arial" w:hAnsi="Arial" w:eastAsia="黑体"/>
      <w:sz w:val="24"/>
      <w:szCs w:val="20"/>
    </w:rPr>
  </w:style>
  <w:style w:type="paragraph" w:styleId="11">
    <w:name w:val="heading 9"/>
    <w:basedOn w:val="1"/>
    <w:next w:val="6"/>
    <w:link w:val="86"/>
    <w:qFormat/>
    <w:uiPriority w:val="0"/>
    <w:pPr>
      <w:keepNext/>
      <w:keepLines/>
      <w:spacing w:before="240" w:after="64" w:line="317" w:lineRule="auto"/>
      <w:outlineLvl w:val="8"/>
    </w:pPr>
    <w:rPr>
      <w:rFonts w:ascii="Arial" w:hAnsi="Arial" w:eastAsia="黑体"/>
      <w:szCs w:val="20"/>
    </w:rPr>
  </w:style>
  <w:style w:type="character" w:default="1" w:styleId="50">
    <w:name w:val="Default Paragraph Font"/>
    <w:semiHidden/>
    <w:unhideWhenUsed/>
    <w:uiPriority w:val="1"/>
  </w:style>
  <w:style w:type="table" w:default="1" w:styleId="6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102"/>
    <w:qFormat/>
    <w:uiPriority w:val="0"/>
    <w:pPr>
      <w:adjustRightInd w:val="0"/>
      <w:spacing w:line="312" w:lineRule="atLeast"/>
      <w:ind w:firstLine="420"/>
      <w:textAlignment w:val="baseline"/>
    </w:pPr>
    <w:rPr>
      <w:rFonts w:ascii="仿宋_GB2312"/>
      <w:b/>
      <w:kern w:val="0"/>
      <w:szCs w:val="32"/>
    </w:rPr>
  </w:style>
  <w:style w:type="paragraph" w:styleId="12">
    <w:name w:val="annotation subject"/>
    <w:basedOn w:val="13"/>
    <w:next w:val="13"/>
    <w:link w:val="146"/>
    <w:qFormat/>
    <w:uiPriority w:val="0"/>
    <w:rPr>
      <w:b/>
      <w:bCs/>
    </w:rPr>
  </w:style>
  <w:style w:type="paragraph" w:styleId="13">
    <w:name w:val="annotation text"/>
    <w:basedOn w:val="1"/>
    <w:link w:val="199"/>
    <w:qFormat/>
    <w:uiPriority w:val="0"/>
    <w:pPr>
      <w:jc w:val="left"/>
    </w:p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Body Text First Indent"/>
    <w:basedOn w:val="16"/>
    <w:link w:val="71"/>
    <w:uiPriority w:val="0"/>
    <w:pPr>
      <w:autoSpaceDE w:val="0"/>
      <w:autoSpaceDN w:val="0"/>
      <w:adjustRightInd w:val="0"/>
      <w:ind w:firstLine="420" w:firstLineChars="100"/>
      <w:jc w:val="left"/>
    </w:pPr>
    <w:rPr>
      <w:rFonts w:ascii="Times New Roman"/>
      <w:b w:val="0"/>
      <w:kern w:val="0"/>
      <w:sz w:val="20"/>
      <w:szCs w:val="20"/>
    </w:rPr>
  </w:style>
  <w:style w:type="paragraph" w:styleId="16">
    <w:name w:val="Body Text"/>
    <w:basedOn w:val="1"/>
    <w:link w:val="75"/>
    <w:qFormat/>
    <w:uiPriority w:val="0"/>
    <w:pPr>
      <w:spacing w:after="120"/>
    </w:pPr>
    <w:rPr>
      <w:rFonts w:ascii="仿宋_GB2312"/>
      <w:b/>
    </w:rPr>
  </w:style>
  <w:style w:type="paragraph" w:styleId="17">
    <w:name w:val="macro"/>
    <w:link w:val="8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8">
    <w:name w:val="List Number"/>
    <w:basedOn w:val="1"/>
    <w:uiPriority w:val="0"/>
    <w:pPr>
      <w:tabs>
        <w:tab w:val="left" w:pos="360"/>
      </w:tabs>
      <w:ind w:left="360" w:hanging="360" w:hangingChars="200"/>
    </w:pPr>
  </w:style>
  <w:style w:type="paragraph" w:styleId="19">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20">
    <w:name w:val="List Bullet"/>
    <w:basedOn w:val="1"/>
    <w:qFormat/>
    <w:uiPriority w:val="0"/>
    <w:pPr>
      <w:tabs>
        <w:tab w:val="left" w:pos="360"/>
      </w:tabs>
    </w:pPr>
    <w:rPr>
      <w:rFonts w:ascii="Calibri" w:hAnsi="Calibri"/>
      <w:szCs w:val="22"/>
    </w:rPr>
  </w:style>
  <w:style w:type="paragraph" w:styleId="21">
    <w:name w:val="Document Map"/>
    <w:basedOn w:val="1"/>
    <w:link w:val="82"/>
    <w:uiPriority w:val="0"/>
    <w:pPr>
      <w:shd w:val="clear" w:color="auto" w:fill="000080"/>
    </w:pPr>
  </w:style>
  <w:style w:type="paragraph" w:styleId="22">
    <w:name w:val="Salutation"/>
    <w:basedOn w:val="1"/>
    <w:next w:val="1"/>
    <w:link w:val="148"/>
    <w:uiPriority w:val="0"/>
    <w:pPr>
      <w:tabs>
        <w:tab w:val="left" w:pos="840"/>
      </w:tabs>
      <w:autoSpaceDE w:val="0"/>
      <w:autoSpaceDN w:val="0"/>
      <w:adjustRightInd w:val="0"/>
      <w:jc w:val="left"/>
    </w:pPr>
    <w:rPr>
      <w:rFonts w:ascii="仿宋_GB2312" w:eastAsia="仿宋_GB2312"/>
      <w:b/>
      <w:kern w:val="0"/>
      <w:sz w:val="24"/>
      <w:szCs w:val="32"/>
    </w:rPr>
  </w:style>
  <w:style w:type="paragraph" w:styleId="23">
    <w:name w:val="Body Text 3"/>
    <w:basedOn w:val="1"/>
    <w:link w:val="195"/>
    <w:uiPriority w:val="0"/>
    <w:pPr>
      <w:autoSpaceDE w:val="0"/>
      <w:autoSpaceDN w:val="0"/>
      <w:adjustRightInd w:val="0"/>
      <w:jc w:val="center"/>
    </w:pPr>
  </w:style>
  <w:style w:type="paragraph" w:styleId="24">
    <w:name w:val="Body Text Indent"/>
    <w:basedOn w:val="1"/>
    <w:link w:val="124"/>
    <w:uiPriority w:val="0"/>
    <w:pPr>
      <w:ind w:left="480" w:hanging="480" w:hangingChars="200"/>
    </w:pPr>
    <w:rPr>
      <w:sz w:val="24"/>
    </w:rPr>
  </w:style>
  <w:style w:type="paragraph" w:styleId="25">
    <w:name w:val="List Number 3"/>
    <w:basedOn w:val="1"/>
    <w:uiPriority w:val="0"/>
    <w:pPr>
      <w:tabs>
        <w:tab w:val="left" w:pos="1200"/>
      </w:tabs>
      <w:ind w:left="1200" w:leftChars="400" w:hanging="360" w:hangingChars="200"/>
    </w:pPr>
  </w:style>
  <w:style w:type="paragraph" w:styleId="26">
    <w:name w:val="List Bullet 2"/>
    <w:basedOn w:val="1"/>
    <w:uiPriority w:val="0"/>
    <w:pPr>
      <w:tabs>
        <w:tab w:val="left" w:pos="780"/>
      </w:tabs>
      <w:spacing w:line="360" w:lineRule="auto"/>
      <w:ind w:left="780" w:leftChars="200" w:hanging="360" w:hangingChars="200"/>
    </w:pPr>
  </w:style>
  <w:style w:type="paragraph" w:styleId="27">
    <w:name w:val="toc 5"/>
    <w:basedOn w:val="1"/>
    <w:next w:val="1"/>
    <w:uiPriority w:val="0"/>
    <w:pPr>
      <w:autoSpaceDE w:val="0"/>
      <w:autoSpaceDN w:val="0"/>
      <w:adjustRightInd w:val="0"/>
      <w:ind w:left="1680" w:leftChars="800"/>
      <w:jc w:val="left"/>
    </w:pPr>
    <w:rPr>
      <w:kern w:val="0"/>
      <w:sz w:val="20"/>
      <w:szCs w:val="20"/>
    </w:rPr>
  </w:style>
  <w:style w:type="paragraph" w:styleId="28">
    <w:name w:val="toc 3"/>
    <w:basedOn w:val="1"/>
    <w:next w:val="1"/>
    <w:uiPriority w:val="0"/>
    <w:pPr>
      <w:ind w:left="840" w:leftChars="400"/>
    </w:pPr>
  </w:style>
  <w:style w:type="paragraph" w:styleId="29">
    <w:name w:val="Plain Text"/>
    <w:basedOn w:val="1"/>
    <w:link w:val="174"/>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uiPriority w:val="0"/>
    <w:pPr>
      <w:autoSpaceDE w:val="0"/>
      <w:autoSpaceDN w:val="0"/>
      <w:adjustRightInd w:val="0"/>
      <w:ind w:left="2940" w:leftChars="1400"/>
      <w:jc w:val="left"/>
    </w:pPr>
    <w:rPr>
      <w:kern w:val="0"/>
      <w:sz w:val="20"/>
      <w:szCs w:val="20"/>
    </w:rPr>
  </w:style>
  <w:style w:type="paragraph" w:styleId="32">
    <w:name w:val="Date"/>
    <w:basedOn w:val="1"/>
    <w:next w:val="1"/>
    <w:link w:val="93"/>
    <w:uiPriority w:val="0"/>
    <w:pPr>
      <w:ind w:left="100" w:leftChars="2500"/>
    </w:pPr>
  </w:style>
  <w:style w:type="paragraph" w:styleId="33">
    <w:name w:val="Body Text Indent 2"/>
    <w:basedOn w:val="1"/>
    <w:link w:val="125"/>
    <w:uiPriority w:val="0"/>
    <w:pPr>
      <w:spacing w:line="500" w:lineRule="exact"/>
      <w:ind w:firstLine="511" w:firstLineChars="213"/>
    </w:pPr>
    <w:rPr>
      <w:sz w:val="24"/>
    </w:rPr>
  </w:style>
  <w:style w:type="paragraph" w:styleId="34">
    <w:name w:val="Balloon Text"/>
    <w:basedOn w:val="1"/>
    <w:link w:val="83"/>
    <w:uiPriority w:val="0"/>
    <w:rPr>
      <w:sz w:val="18"/>
      <w:szCs w:val="18"/>
    </w:rPr>
  </w:style>
  <w:style w:type="paragraph" w:styleId="35">
    <w:name w:val="footer"/>
    <w:basedOn w:val="1"/>
    <w:link w:val="88"/>
    <w:uiPriority w:val="0"/>
    <w:pPr>
      <w:tabs>
        <w:tab w:val="center" w:pos="4153"/>
        <w:tab w:val="right" w:pos="8306"/>
      </w:tabs>
      <w:snapToGrid w:val="0"/>
      <w:jc w:val="left"/>
    </w:pPr>
    <w:rPr>
      <w:sz w:val="18"/>
      <w:szCs w:val="18"/>
    </w:rPr>
  </w:style>
  <w:style w:type="paragraph" w:styleId="36">
    <w:name w:val="header"/>
    <w:basedOn w:val="1"/>
    <w:link w:val="176"/>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62"/>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uiPriority w:val="0"/>
  </w:style>
  <w:style w:type="paragraph" w:styleId="39">
    <w:name w:val="toc 4"/>
    <w:basedOn w:val="1"/>
    <w:next w:val="1"/>
    <w:uiPriority w:val="0"/>
    <w:pPr>
      <w:autoSpaceDE w:val="0"/>
      <w:autoSpaceDN w:val="0"/>
      <w:adjustRightInd w:val="0"/>
      <w:ind w:left="1260" w:leftChars="600"/>
      <w:jc w:val="left"/>
    </w:pPr>
    <w:rPr>
      <w:kern w:val="0"/>
      <w:sz w:val="20"/>
      <w:szCs w:val="20"/>
    </w:rPr>
  </w:style>
  <w:style w:type="paragraph" w:styleId="40">
    <w:name w:val="Subtitle"/>
    <w:basedOn w:val="1"/>
    <w:next w:val="1"/>
    <w:link w:val="119"/>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uiPriority w:val="0"/>
    <w:pPr>
      <w:ind w:left="200" w:hanging="200" w:hangingChars="200"/>
    </w:pPr>
  </w:style>
  <w:style w:type="paragraph" w:styleId="43">
    <w:name w:val="toc 6"/>
    <w:basedOn w:val="1"/>
    <w:next w:val="1"/>
    <w:uiPriority w:val="0"/>
    <w:pPr>
      <w:autoSpaceDE w:val="0"/>
      <w:autoSpaceDN w:val="0"/>
      <w:adjustRightInd w:val="0"/>
      <w:ind w:left="2100" w:leftChars="1000"/>
      <w:jc w:val="left"/>
    </w:pPr>
    <w:rPr>
      <w:kern w:val="0"/>
      <w:sz w:val="20"/>
      <w:szCs w:val="20"/>
    </w:rPr>
  </w:style>
  <w:style w:type="paragraph" w:styleId="44">
    <w:name w:val="Body Text Indent 3"/>
    <w:basedOn w:val="1"/>
    <w:link w:val="137"/>
    <w:uiPriority w:val="0"/>
    <w:pPr>
      <w:spacing w:line="500" w:lineRule="exact"/>
      <w:ind w:left="511" w:hanging="511" w:hangingChars="213"/>
    </w:pPr>
    <w:rPr>
      <w:sz w:val="24"/>
    </w:rPr>
  </w:style>
  <w:style w:type="paragraph" w:styleId="45">
    <w:name w:val="toc 2"/>
    <w:basedOn w:val="1"/>
    <w:next w:val="1"/>
    <w:uiPriority w:val="0"/>
    <w:pPr>
      <w:ind w:left="420" w:leftChars="200"/>
    </w:pPr>
  </w:style>
  <w:style w:type="paragraph" w:styleId="46">
    <w:name w:val="toc 9"/>
    <w:basedOn w:val="1"/>
    <w:next w:val="1"/>
    <w:uiPriority w:val="0"/>
    <w:pPr>
      <w:autoSpaceDE w:val="0"/>
      <w:autoSpaceDN w:val="0"/>
      <w:adjustRightInd w:val="0"/>
      <w:ind w:left="3360" w:leftChars="1600"/>
      <w:jc w:val="left"/>
    </w:pPr>
    <w:rPr>
      <w:kern w:val="0"/>
      <w:sz w:val="20"/>
      <w:szCs w:val="20"/>
    </w:rPr>
  </w:style>
  <w:style w:type="paragraph" w:styleId="47">
    <w:name w:val="Body Text 2"/>
    <w:basedOn w:val="1"/>
    <w:link w:val="175"/>
    <w:uiPriority w:val="0"/>
    <w:pPr>
      <w:autoSpaceDE w:val="0"/>
      <w:autoSpaceDN w:val="0"/>
      <w:adjustRightInd w:val="0"/>
      <w:spacing w:after="120" w:line="480" w:lineRule="auto"/>
      <w:jc w:val="left"/>
    </w:pPr>
  </w:style>
  <w:style w:type="paragraph" w:styleId="48">
    <w:name w:val="Normal (Web)"/>
    <w:basedOn w:val="1"/>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40"/>
    <w:qFormat/>
    <w:uiPriority w:val="0"/>
    <w:pPr>
      <w:spacing w:before="240" w:after="60"/>
      <w:jc w:val="center"/>
      <w:outlineLvl w:val="0"/>
    </w:pPr>
    <w:rPr>
      <w:rFonts w:ascii="Cambria" w:hAnsi="Cambria"/>
      <w:b/>
      <w:bCs/>
      <w:sz w:val="32"/>
      <w:szCs w:val="32"/>
    </w:rPr>
  </w:style>
  <w:style w:type="character" w:styleId="51">
    <w:name w:val="Strong"/>
    <w:qFormat/>
    <w:uiPriority w:val="0"/>
    <w:rPr>
      <w:rFonts w:ascii="仿宋_GB2312" w:eastAsia="仿宋_GB2312"/>
      <w:bCs/>
      <w:sz w:val="32"/>
      <w:szCs w:val="32"/>
    </w:rPr>
  </w:style>
  <w:style w:type="character" w:styleId="52">
    <w:name w:val="page number"/>
    <w:basedOn w:val="50"/>
    <w:uiPriority w:val="0"/>
  </w:style>
  <w:style w:type="character" w:styleId="53">
    <w:name w:val="FollowedHyperlink"/>
    <w:uiPriority w:val="0"/>
    <w:rPr>
      <w:rFonts w:ascii="仿宋_GB2312" w:eastAsia="仿宋_GB2312"/>
      <w:b/>
      <w:color w:val="800080"/>
      <w:sz w:val="32"/>
      <w:szCs w:val="32"/>
      <w:u w:val="none"/>
    </w:rPr>
  </w:style>
  <w:style w:type="character" w:styleId="54">
    <w:name w:val="Emphasis"/>
    <w:qFormat/>
    <w:uiPriority w:val="0"/>
    <w:rPr>
      <w:i/>
      <w:iCs/>
    </w:rPr>
  </w:style>
  <w:style w:type="character" w:styleId="55">
    <w:name w:val="line number"/>
    <w:basedOn w:val="50"/>
    <w:uiPriority w:val="0"/>
  </w:style>
  <w:style w:type="character" w:styleId="56">
    <w:name w:val="HTML Definition"/>
    <w:uiPriority w:val="0"/>
    <w:rPr>
      <w:rFonts w:ascii="仿宋_GB2312" w:eastAsia="仿宋_GB2312"/>
      <w:b/>
      <w:sz w:val="32"/>
      <w:szCs w:val="32"/>
    </w:rPr>
  </w:style>
  <w:style w:type="character" w:styleId="57">
    <w:name w:val="HTML Variable"/>
    <w:uiPriority w:val="0"/>
    <w:rPr>
      <w:rFonts w:ascii="仿宋_GB2312" w:eastAsia="仿宋_GB2312"/>
      <w:b/>
      <w:sz w:val="32"/>
      <w:szCs w:val="32"/>
    </w:rPr>
  </w:style>
  <w:style w:type="character" w:styleId="58">
    <w:name w:val="Hyperlink"/>
    <w:uiPriority w:val="0"/>
    <w:rPr>
      <w:rFonts w:ascii="仿宋_GB2312" w:eastAsia="仿宋_GB2312"/>
      <w:b/>
      <w:color w:val="0000FF"/>
      <w:sz w:val="32"/>
      <w:szCs w:val="32"/>
      <w:u w:val="none"/>
    </w:rPr>
  </w:style>
  <w:style w:type="character" w:styleId="59">
    <w:name w:val="HTML Code"/>
    <w:uiPriority w:val="0"/>
    <w:rPr>
      <w:rFonts w:hint="default" w:ascii="serif" w:hAnsi="serif" w:eastAsia="serif" w:cs="serif"/>
      <w:b/>
      <w:sz w:val="21"/>
      <w:szCs w:val="21"/>
    </w:rPr>
  </w:style>
  <w:style w:type="character" w:styleId="60">
    <w:name w:val="annotation reference"/>
    <w:uiPriority w:val="0"/>
    <w:rPr>
      <w:sz w:val="21"/>
      <w:szCs w:val="21"/>
    </w:rPr>
  </w:style>
  <w:style w:type="character" w:styleId="61">
    <w:name w:val="HTML Cite"/>
    <w:uiPriority w:val="0"/>
    <w:rPr>
      <w:color w:val="008000"/>
    </w:rPr>
  </w:style>
  <w:style w:type="character" w:styleId="62">
    <w:name w:val="HTML Keyboard"/>
    <w:uiPriority w:val="0"/>
    <w:rPr>
      <w:rFonts w:ascii="serif" w:hAnsi="serif" w:eastAsia="serif" w:cs="serif"/>
      <w:b/>
      <w:sz w:val="21"/>
      <w:szCs w:val="21"/>
    </w:rPr>
  </w:style>
  <w:style w:type="character" w:styleId="63">
    <w:name w:val="HTML Sample"/>
    <w:uiPriority w:val="0"/>
    <w:rPr>
      <w:rFonts w:hint="default" w:ascii="serif" w:hAnsi="serif" w:eastAsia="serif" w:cs="serif"/>
      <w:b/>
      <w:sz w:val="21"/>
      <w:szCs w:val="21"/>
    </w:rPr>
  </w:style>
  <w:style w:type="table" w:styleId="65">
    <w:name w:val="Table Grid"/>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6">
    <w:name w:val="heading 4 Char2"/>
    <w:uiPriority w:val="0"/>
    <w:rPr>
      <w:rFonts w:ascii="Cambria" w:hAnsi="Cambria"/>
      <w:b/>
      <w:bCs/>
      <w:kern w:val="2"/>
      <w:sz w:val="28"/>
      <w:szCs w:val="28"/>
    </w:rPr>
  </w:style>
  <w:style w:type="character" w:customStyle="1" w:styleId="67">
    <w:name w:val="Table Text Char Char"/>
    <w:link w:val="68"/>
    <w:uiPriority w:val="0"/>
    <w:rPr>
      <w:sz w:val="21"/>
      <w:lang w:val="en-US" w:eastAsia="en-US" w:bidi="ar-SA"/>
    </w:rPr>
  </w:style>
  <w:style w:type="paragraph" w:customStyle="1" w:styleId="68">
    <w:name w:val="Table Text"/>
    <w:basedOn w:val="1"/>
    <w:link w:val="67"/>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69">
    <w:name w:val="heading 3 Char"/>
    <w:uiPriority w:val="0"/>
    <w:rPr>
      <w:rFonts w:ascii="Arial" w:hAnsi="Arial" w:eastAsia="黑体"/>
      <w:sz w:val="28"/>
      <w:szCs w:val="24"/>
    </w:rPr>
  </w:style>
  <w:style w:type="character" w:customStyle="1" w:styleId="70">
    <w:name w:val="Char Char11"/>
    <w:uiPriority w:val="0"/>
    <w:rPr>
      <w:rFonts w:ascii="Times New Roman" w:hAnsi="Times New Roman" w:eastAsia="宋体" w:cs="Times New Roman"/>
      <w:sz w:val="18"/>
      <w:szCs w:val="18"/>
    </w:rPr>
  </w:style>
  <w:style w:type="character" w:customStyle="1" w:styleId="71">
    <w:name w:val="正文首行缩进 Char"/>
    <w:link w:val="15"/>
    <w:uiPriority w:val="0"/>
    <w:rPr>
      <w:rFonts w:eastAsia="宋体"/>
      <w:lang w:val="en-US" w:eastAsia="zh-CN" w:bidi="ar-SA"/>
    </w:rPr>
  </w:style>
  <w:style w:type="character" w:customStyle="1" w:styleId="72">
    <w:name w:val="two1"/>
    <w:uiPriority w:val="0"/>
    <w:rPr>
      <w:rFonts w:ascii="仿宋_GB2312" w:eastAsia="仿宋_GB2312"/>
      <w:b/>
      <w:color w:val="1D63B3"/>
      <w:sz w:val="32"/>
      <w:szCs w:val="32"/>
    </w:rPr>
  </w:style>
  <w:style w:type="character" w:customStyle="1" w:styleId="73">
    <w:name w:val="Style4"/>
    <w:uiPriority w:val="0"/>
    <w:rPr>
      <w:rFonts w:ascii="Calibri" w:hAnsi="宋体" w:eastAsia="宋体" w:cs="Times New Roman"/>
      <w:szCs w:val="22"/>
      <w:lang w:eastAsia="zh-CN"/>
    </w:rPr>
  </w:style>
  <w:style w:type="character" w:customStyle="1" w:styleId="74">
    <w:name w:val="PI Char"/>
    <w:uiPriority w:val="0"/>
    <w:rPr>
      <w:rFonts w:ascii="宋体" w:hAnsi="宋体"/>
      <w:sz w:val="24"/>
    </w:rPr>
  </w:style>
  <w:style w:type="character" w:customStyle="1" w:styleId="75">
    <w:name w:val="正文文本 Char"/>
    <w:link w:val="16"/>
    <w:uiPriority w:val="0"/>
    <w:rPr>
      <w:rFonts w:ascii="仿宋_GB2312" w:eastAsia="宋体"/>
      <w:b/>
      <w:kern w:val="2"/>
      <w:sz w:val="21"/>
      <w:szCs w:val="24"/>
      <w:lang w:val="en-US" w:eastAsia="zh-CN" w:bidi="ar-SA"/>
    </w:rPr>
  </w:style>
  <w:style w:type="character" w:customStyle="1" w:styleId="76">
    <w:name w:val="样式2 Char Char"/>
    <w:link w:val="77"/>
    <w:uiPriority w:val="0"/>
    <w:rPr>
      <w:rFonts w:ascii="宋体" w:hAnsi="宋体" w:eastAsia="宋体"/>
      <w:bCs/>
      <w:kern w:val="2"/>
      <w:sz w:val="28"/>
      <w:szCs w:val="28"/>
      <w:lang w:val="en-US" w:eastAsia="zh-CN" w:bidi="ar-SA"/>
    </w:rPr>
  </w:style>
  <w:style w:type="paragraph" w:customStyle="1" w:styleId="77">
    <w:name w:val="样式2"/>
    <w:basedOn w:val="3"/>
    <w:link w:val="76"/>
    <w:uiPriority w:val="0"/>
    <w:pPr>
      <w:keepLines/>
      <w:snapToGrid w:val="0"/>
      <w:spacing w:before="260" w:afterLines="50" w:line="480" w:lineRule="exact"/>
      <w:ind w:firstLine="556"/>
    </w:pPr>
    <w:rPr>
      <w:rFonts w:ascii="宋体" w:hAnsi="宋体"/>
      <w:b w:val="0"/>
      <w:bCs/>
      <w:szCs w:val="28"/>
    </w:rPr>
  </w:style>
  <w:style w:type="character" w:customStyle="1" w:styleId="78">
    <w:name w:val="不明显参考1"/>
    <w:qFormat/>
    <w:uiPriority w:val="0"/>
    <w:rPr>
      <w:smallCaps/>
      <w:color w:val="C0504D"/>
      <w:u w:val="single"/>
    </w:rPr>
  </w:style>
  <w:style w:type="character" w:customStyle="1" w:styleId="79">
    <w:name w:val="ändrad Char"/>
    <w:uiPriority w:val="0"/>
    <w:rPr>
      <w:rFonts w:eastAsia="宋体"/>
      <w:kern w:val="2"/>
      <w:sz w:val="21"/>
      <w:szCs w:val="24"/>
      <w:lang w:val="en-US" w:eastAsia="zh-CN" w:bidi="ar-SA"/>
    </w:rPr>
  </w:style>
  <w:style w:type="character" w:customStyle="1" w:styleId="80">
    <w:name w:val="smalltxt1"/>
    <w:uiPriority w:val="0"/>
    <w:rPr>
      <w:rFonts w:hint="default" w:ascii="ˎ̥" w:hAnsi="ˎ̥"/>
      <w:sz w:val="24"/>
      <w:szCs w:val="24"/>
    </w:rPr>
  </w:style>
  <w:style w:type="character" w:customStyle="1" w:styleId="81">
    <w:name w:val="标题 6 Char"/>
    <w:link w:val="8"/>
    <w:uiPriority w:val="0"/>
    <w:rPr>
      <w:rFonts w:ascii="Arial" w:hAnsi="Arial" w:eastAsia="黑体"/>
      <w:b/>
      <w:kern w:val="2"/>
      <w:sz w:val="24"/>
      <w:lang w:val="en-US" w:eastAsia="zh-CN" w:bidi="ar-SA"/>
    </w:rPr>
  </w:style>
  <w:style w:type="character" w:customStyle="1" w:styleId="82">
    <w:name w:val="文档结构图 Char"/>
    <w:link w:val="21"/>
    <w:uiPriority w:val="0"/>
    <w:rPr>
      <w:rFonts w:eastAsia="宋体"/>
      <w:kern w:val="2"/>
      <w:sz w:val="21"/>
      <w:szCs w:val="24"/>
      <w:lang w:val="en-US" w:eastAsia="zh-CN" w:bidi="ar-SA"/>
    </w:rPr>
  </w:style>
  <w:style w:type="character" w:customStyle="1" w:styleId="83">
    <w:name w:val="批注框文本 Char"/>
    <w:link w:val="34"/>
    <w:uiPriority w:val="0"/>
    <w:rPr>
      <w:rFonts w:eastAsia="宋体"/>
      <w:kern w:val="2"/>
      <w:sz w:val="18"/>
      <w:szCs w:val="18"/>
      <w:lang w:val="en-US" w:eastAsia="zh-CN" w:bidi="ar-SA"/>
    </w:rPr>
  </w:style>
  <w:style w:type="character" w:customStyle="1" w:styleId="84">
    <w:name w:val="宏文本 Char"/>
    <w:link w:val="17"/>
    <w:uiPriority w:val="0"/>
    <w:rPr>
      <w:rFonts w:ascii="Courier New" w:hAnsi="Courier New" w:eastAsia="Times New Roman"/>
      <w:kern w:val="2"/>
      <w:sz w:val="24"/>
      <w:szCs w:val="24"/>
      <w:lang w:val="en-US" w:eastAsia="zh-CN" w:bidi="ar-SA"/>
    </w:rPr>
  </w:style>
  <w:style w:type="character" w:customStyle="1" w:styleId="85">
    <w:name w:val="Char Char6"/>
    <w:uiPriority w:val="0"/>
    <w:rPr>
      <w:rFonts w:ascii="Times New Roman" w:hAnsi="Times New Roman" w:eastAsia="宋体" w:cs="Times New Roman"/>
      <w:szCs w:val="24"/>
    </w:rPr>
  </w:style>
  <w:style w:type="character" w:customStyle="1" w:styleId="86">
    <w:name w:val="标题 9 Char"/>
    <w:link w:val="11"/>
    <w:uiPriority w:val="0"/>
    <w:rPr>
      <w:rFonts w:ascii="Arial" w:hAnsi="Arial" w:eastAsia="黑体"/>
      <w:kern w:val="2"/>
      <w:sz w:val="21"/>
      <w:lang w:val="en-US" w:eastAsia="zh-CN" w:bidi="ar-SA"/>
    </w:rPr>
  </w:style>
  <w:style w:type="character" w:customStyle="1" w:styleId="87">
    <w:name w:val="书籍标题1"/>
    <w:uiPriority w:val="0"/>
    <w:rPr>
      <w:b/>
      <w:bCs/>
      <w:smallCaps/>
      <w:spacing w:val="5"/>
    </w:rPr>
  </w:style>
  <w:style w:type="character" w:customStyle="1" w:styleId="88">
    <w:name w:val="页脚 Char"/>
    <w:link w:val="35"/>
    <w:uiPriority w:val="0"/>
    <w:rPr>
      <w:rFonts w:eastAsia="宋体"/>
      <w:kern w:val="2"/>
      <w:sz w:val="18"/>
      <w:szCs w:val="18"/>
      <w:lang w:val="en-US" w:eastAsia="zh-CN" w:bidi="ar-SA"/>
    </w:rPr>
  </w:style>
  <w:style w:type="character" w:customStyle="1" w:styleId="89">
    <w:name w:val="Char Char Char Char Char Char Char Char Char"/>
    <w:uiPriority w:val="0"/>
    <w:rPr>
      <w:rFonts w:ascii="宋体" w:hAnsi="Courier New" w:eastAsia="宋体"/>
      <w:sz w:val="21"/>
      <w:szCs w:val="21"/>
      <w:lang w:val="en-US" w:eastAsia="zh-CN" w:bidi="ar-SA"/>
    </w:rPr>
  </w:style>
  <w:style w:type="character" w:customStyle="1" w:styleId="90">
    <w:name w:val="dandyren_title1"/>
    <w:uiPriority w:val="0"/>
    <w:rPr>
      <w:b/>
      <w:bCs/>
      <w:color w:val="FF6633"/>
      <w:sz w:val="18"/>
      <w:szCs w:val="18"/>
    </w:rPr>
  </w:style>
  <w:style w:type="character" w:customStyle="1" w:styleId="91">
    <w:name w:val="无间隔 Char"/>
    <w:link w:val="92"/>
    <w:uiPriority w:val="0"/>
    <w:rPr>
      <w:rFonts w:ascii="Calibri" w:hAnsi="Calibri" w:eastAsia="Times New Roman"/>
      <w:sz w:val="22"/>
      <w:szCs w:val="22"/>
      <w:lang w:val="en-US" w:eastAsia="zh-CN" w:bidi="ar-SA"/>
    </w:rPr>
  </w:style>
  <w:style w:type="paragraph" w:styleId="92">
    <w:name w:val="No Spacing"/>
    <w:link w:val="91"/>
    <w:qFormat/>
    <w:uiPriority w:val="0"/>
    <w:rPr>
      <w:rFonts w:ascii="Calibri" w:hAnsi="Calibri" w:eastAsia="Times New Roman" w:cs="Times New Roman"/>
      <w:sz w:val="22"/>
      <w:szCs w:val="22"/>
      <w:lang w:val="en-US" w:eastAsia="zh-CN" w:bidi="ar-SA"/>
    </w:rPr>
  </w:style>
  <w:style w:type="character" w:customStyle="1" w:styleId="93">
    <w:name w:val="日期 Char"/>
    <w:link w:val="32"/>
    <w:uiPriority w:val="0"/>
    <w:rPr>
      <w:rFonts w:eastAsia="宋体"/>
      <w:kern w:val="2"/>
      <w:sz w:val="21"/>
      <w:szCs w:val="24"/>
      <w:lang w:val="en-US" w:eastAsia="zh-CN" w:bidi="ar-SA"/>
    </w:rPr>
  </w:style>
  <w:style w:type="character" w:customStyle="1" w:styleId="94">
    <w:name w:val="Char Char24"/>
    <w:uiPriority w:val="0"/>
    <w:rPr>
      <w:rFonts w:eastAsia="宋体"/>
      <w:b/>
      <w:kern w:val="2"/>
      <w:sz w:val="28"/>
      <w:lang w:val="en-US" w:eastAsia="zh-CN" w:bidi="ar-SA"/>
    </w:rPr>
  </w:style>
  <w:style w:type="character" w:customStyle="1" w:styleId="95">
    <w:name w:val="Footer-Even Char"/>
    <w:uiPriority w:val="0"/>
    <w:rPr>
      <w:sz w:val="18"/>
      <w:szCs w:val="18"/>
    </w:rPr>
  </w:style>
  <w:style w:type="character" w:customStyle="1" w:styleId="96">
    <w:name w:val="textcolor1"/>
    <w:uiPriority w:val="0"/>
    <w:rPr>
      <w:rFonts w:ascii="仿宋_GB2312" w:eastAsia="仿宋_GB2312"/>
      <w:b/>
      <w:color w:val="FF6600"/>
      <w:sz w:val="32"/>
      <w:szCs w:val="32"/>
    </w:rPr>
  </w:style>
  <w:style w:type="character" w:customStyle="1" w:styleId="97">
    <w:name w:val="明显强调1"/>
    <w:qFormat/>
    <w:uiPriority w:val="0"/>
    <w:rPr>
      <w:b/>
      <w:bCs/>
      <w:i/>
      <w:iCs/>
      <w:color w:val="4F81BD"/>
    </w:rPr>
  </w:style>
  <w:style w:type="character" w:customStyle="1" w:styleId="98">
    <w:name w:val="style111"/>
    <w:uiPriority w:val="0"/>
    <w:rPr>
      <w:sz w:val="27"/>
      <w:szCs w:val="27"/>
    </w:rPr>
  </w:style>
  <w:style w:type="character" w:customStyle="1" w:styleId="99">
    <w:name w:val="表格 Char Char"/>
    <w:link w:val="100"/>
    <w:uiPriority w:val="0"/>
    <w:rPr>
      <w:rFonts w:ascii="宋体" w:hAnsi="宋体" w:eastAsia="宋体"/>
      <w:lang w:val="en-US" w:eastAsia="zh-CN" w:bidi="ar-SA"/>
    </w:rPr>
  </w:style>
  <w:style w:type="paragraph" w:customStyle="1" w:styleId="100">
    <w:name w:val="表格"/>
    <w:basedOn w:val="1"/>
    <w:link w:val="99"/>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01">
    <w:name w:val="heading 5 Char"/>
    <w:uiPriority w:val="0"/>
    <w:rPr>
      <w:rFonts w:ascii="Arial" w:hAnsi="Arial" w:eastAsia="黑体"/>
      <w:sz w:val="21"/>
      <w:szCs w:val="21"/>
    </w:rPr>
  </w:style>
  <w:style w:type="character" w:customStyle="1" w:styleId="102">
    <w:name w:val="正文缩进 Char"/>
    <w:link w:val="6"/>
    <w:uiPriority w:val="0"/>
    <w:rPr>
      <w:rFonts w:ascii="仿宋_GB2312" w:eastAsia="宋体"/>
      <w:b/>
      <w:sz w:val="21"/>
      <w:szCs w:val="32"/>
      <w:lang w:val="en-US" w:eastAsia="zh-CN" w:bidi="ar-SA"/>
    </w:rPr>
  </w:style>
  <w:style w:type="character" w:customStyle="1" w:styleId="103">
    <w:name w:val="明显强调11"/>
    <w:uiPriority w:val="0"/>
    <w:rPr>
      <w:b/>
      <w:bCs/>
      <w:i/>
      <w:iCs/>
      <w:color w:val="4F81BD"/>
    </w:rPr>
  </w:style>
  <w:style w:type="character" w:customStyle="1" w:styleId="104">
    <w:name w:val="pt141"/>
    <w:uiPriority w:val="0"/>
    <w:rPr>
      <w:color w:val="330066"/>
      <w:spacing w:val="450"/>
      <w:sz w:val="22"/>
      <w:szCs w:val="22"/>
    </w:rPr>
  </w:style>
  <w:style w:type="character" w:customStyle="1" w:styleId="105">
    <w:name w:val="Char Char111"/>
    <w:uiPriority w:val="0"/>
    <w:rPr>
      <w:rFonts w:ascii="Times New Roman" w:hAnsi="Times New Roman" w:eastAsia="宋体" w:cs="Times New Roman"/>
      <w:sz w:val="18"/>
      <w:szCs w:val="18"/>
    </w:rPr>
  </w:style>
  <w:style w:type="character" w:customStyle="1" w:styleId="106">
    <w:name w:val="书籍标题2"/>
    <w:qFormat/>
    <w:uiPriority w:val="0"/>
    <w:rPr>
      <w:b/>
      <w:bCs/>
      <w:smallCaps/>
      <w:spacing w:val="5"/>
    </w:rPr>
  </w:style>
  <w:style w:type="character" w:customStyle="1" w:styleId="107">
    <w:name w:val="style21"/>
    <w:uiPriority w:val="0"/>
    <w:rPr>
      <w:sz w:val="15"/>
      <w:szCs w:val="15"/>
    </w:rPr>
  </w:style>
  <w:style w:type="character" w:customStyle="1" w:styleId="108">
    <w:name w:val="Style1"/>
    <w:uiPriority w:val="0"/>
    <w:rPr>
      <w:rFonts w:ascii="Calibri" w:hAnsi="宋体" w:eastAsia="宋体" w:cs="Times New Roman"/>
      <w:sz w:val="22"/>
      <w:szCs w:val="22"/>
      <w:lang w:eastAsia="zh-CN"/>
    </w:rPr>
  </w:style>
  <w:style w:type="character" w:customStyle="1" w:styleId="109">
    <w:name w:val="heading 5 Char1"/>
    <w:uiPriority w:val="0"/>
    <w:rPr>
      <w:rFonts w:eastAsia="宋体"/>
      <w:b/>
      <w:bCs/>
      <w:kern w:val="2"/>
      <w:sz w:val="28"/>
      <w:szCs w:val="28"/>
      <w:lang w:val="en-US" w:eastAsia="zh-CN" w:bidi="ar-SA"/>
    </w:rPr>
  </w:style>
  <w:style w:type="character" w:customStyle="1" w:styleId="110">
    <w:name w:val="heading 2 Char"/>
    <w:uiPriority w:val="0"/>
    <w:rPr>
      <w:rFonts w:ascii="Arial" w:hAnsi="Arial" w:eastAsia="黑体" w:cs="Times New Roman"/>
      <w:sz w:val="30"/>
      <w:szCs w:val="24"/>
    </w:rPr>
  </w:style>
  <w:style w:type="character" w:customStyle="1" w:styleId="111">
    <w:name w:val="Char Char16"/>
    <w:qFormat/>
    <w:uiPriority w:val="0"/>
    <w:rPr>
      <w:b/>
      <w:bCs/>
      <w:kern w:val="2"/>
      <w:sz w:val="28"/>
      <w:szCs w:val="28"/>
    </w:rPr>
  </w:style>
  <w:style w:type="character" w:customStyle="1" w:styleId="112">
    <w:name w:val="heading 4 Char"/>
    <w:uiPriority w:val="0"/>
    <w:rPr>
      <w:rFonts w:ascii="Arial" w:hAnsi="Arial" w:eastAsia="黑体" w:cs="Times New Roman"/>
      <w:sz w:val="21"/>
      <w:szCs w:val="21"/>
    </w:rPr>
  </w:style>
  <w:style w:type="character" w:customStyle="1" w:styleId="113">
    <w:name w:val="Ò³Ã¼ Char Char"/>
    <w:uiPriority w:val="0"/>
    <w:rPr>
      <w:sz w:val="18"/>
      <w:szCs w:val="18"/>
    </w:rPr>
  </w:style>
  <w:style w:type="character" w:customStyle="1" w:styleId="114">
    <w:name w:val="Char Char Char1"/>
    <w:uiPriority w:val="0"/>
    <w:rPr>
      <w:rFonts w:ascii="宋体" w:hAnsi="Courier New"/>
      <w:sz w:val="21"/>
      <w:szCs w:val="21"/>
    </w:rPr>
  </w:style>
  <w:style w:type="character" w:customStyle="1" w:styleId="115">
    <w:name w:val="Char Char19"/>
    <w:uiPriority w:val="0"/>
    <w:rPr>
      <w:rFonts w:ascii="Cambria" w:hAnsi="Cambria"/>
      <w:b/>
      <w:bCs/>
      <w:kern w:val="2"/>
      <w:sz w:val="32"/>
      <w:szCs w:val="32"/>
    </w:rPr>
  </w:style>
  <w:style w:type="character" w:customStyle="1" w:styleId="116">
    <w:name w:val="Style3"/>
    <w:uiPriority w:val="0"/>
    <w:rPr>
      <w:rFonts w:ascii="Calibri" w:hAnsi="宋体" w:eastAsia="宋体" w:cs="Times New Roman"/>
      <w:szCs w:val="22"/>
      <w:lang w:eastAsia="zh-CN"/>
    </w:rPr>
  </w:style>
  <w:style w:type="character" w:customStyle="1" w:styleId="117">
    <w:name w:val="Ò³Ã¼ Char Char2"/>
    <w:uiPriority w:val="0"/>
    <w:rPr>
      <w:kern w:val="2"/>
      <w:sz w:val="18"/>
      <w:szCs w:val="18"/>
    </w:rPr>
  </w:style>
  <w:style w:type="character" w:customStyle="1" w:styleId="118">
    <w:name w:val="Char Char1"/>
    <w:uiPriority w:val="0"/>
    <w:rPr>
      <w:rFonts w:eastAsia="宋体"/>
      <w:sz w:val="21"/>
      <w:lang w:val="en-US" w:eastAsia="zh-CN" w:bidi="ar-SA"/>
    </w:rPr>
  </w:style>
  <w:style w:type="character" w:customStyle="1" w:styleId="119">
    <w:name w:val="副标题 Char"/>
    <w:link w:val="40"/>
    <w:uiPriority w:val="0"/>
    <w:rPr>
      <w:rFonts w:ascii="Cambria" w:hAnsi="Cambria" w:eastAsia="宋体"/>
      <w:b/>
      <w:bCs/>
      <w:kern w:val="28"/>
      <w:sz w:val="32"/>
      <w:szCs w:val="32"/>
      <w:lang w:val="en-US" w:eastAsia="zh-CN" w:bidi="ar-SA"/>
    </w:rPr>
  </w:style>
  <w:style w:type="character" w:customStyle="1" w:styleId="120">
    <w:name w:val="样式 标题 3 + 黑体 小四 Char Char"/>
    <w:link w:val="121"/>
    <w:uiPriority w:val="0"/>
    <w:rPr>
      <w:rFonts w:ascii="黑体" w:hAnsi="Arial" w:eastAsia="黑体"/>
      <w:bCs/>
      <w:sz w:val="24"/>
      <w:szCs w:val="24"/>
      <w:lang w:bidi="ar-SA"/>
    </w:rPr>
  </w:style>
  <w:style w:type="paragraph" w:customStyle="1" w:styleId="121">
    <w:name w:val="样式 标题 3 + 黑体 小四"/>
    <w:basedOn w:val="4"/>
    <w:link w:val="120"/>
    <w:uiPriority w:val="0"/>
    <w:pPr>
      <w:spacing w:before="260" w:after="260" w:line="413" w:lineRule="auto"/>
    </w:pPr>
    <w:rPr>
      <w:rFonts w:ascii="黑体" w:hAnsi="Arial"/>
      <w:b w:val="0"/>
      <w:bCs/>
      <w:kern w:val="0"/>
      <w:sz w:val="24"/>
      <w:szCs w:val="24"/>
    </w:rPr>
  </w:style>
  <w:style w:type="character" w:customStyle="1" w:styleId="122">
    <w:name w:val="明显引用 Char"/>
    <w:link w:val="123"/>
    <w:uiPriority w:val="0"/>
    <w:rPr>
      <w:rFonts w:ascii="Calibri" w:hAnsi="Calibri" w:eastAsia="宋体"/>
      <w:b/>
      <w:bCs/>
      <w:i/>
      <w:iCs/>
      <w:color w:val="4F81BD"/>
      <w:lang w:val="en-US" w:eastAsia="zh-CN" w:bidi="ar-SA"/>
    </w:rPr>
  </w:style>
  <w:style w:type="paragraph" w:styleId="123">
    <w:name w:val="Intense Quote"/>
    <w:basedOn w:val="1"/>
    <w:next w:val="1"/>
    <w:link w:val="122"/>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24">
    <w:name w:val="正文文本缩进 Char"/>
    <w:link w:val="24"/>
    <w:uiPriority w:val="0"/>
    <w:rPr>
      <w:rFonts w:eastAsia="宋体"/>
      <w:kern w:val="2"/>
      <w:sz w:val="24"/>
      <w:szCs w:val="24"/>
      <w:lang w:val="en-US" w:eastAsia="zh-CN" w:bidi="ar-SA"/>
    </w:rPr>
  </w:style>
  <w:style w:type="character" w:customStyle="1" w:styleId="125">
    <w:name w:val="正文文本缩进 2 Char"/>
    <w:link w:val="33"/>
    <w:uiPriority w:val="0"/>
    <w:rPr>
      <w:rFonts w:eastAsia="宋体"/>
      <w:kern w:val="2"/>
      <w:sz w:val="24"/>
      <w:szCs w:val="24"/>
      <w:lang w:val="en-US" w:eastAsia="zh-CN" w:bidi="ar-SA"/>
    </w:rPr>
  </w:style>
  <w:style w:type="character" w:customStyle="1" w:styleId="126">
    <w:name w:val="标题 2 Char"/>
    <w:link w:val="3"/>
    <w:uiPriority w:val="0"/>
    <w:rPr>
      <w:rFonts w:ascii="仿宋_GB2312" w:eastAsia="宋体"/>
      <w:b/>
      <w:kern w:val="2"/>
      <w:sz w:val="28"/>
      <w:szCs w:val="32"/>
      <w:lang w:val="en-US" w:eastAsia="zh-CN" w:bidi="ar-SA"/>
    </w:rPr>
  </w:style>
  <w:style w:type="character" w:customStyle="1" w:styleId="127">
    <w:name w:val="fontborder"/>
    <w:uiPriority w:val="0"/>
    <w:rPr>
      <w:rFonts w:ascii="仿宋_GB2312" w:eastAsia="仿宋_GB2312"/>
      <w:b/>
      <w:sz w:val="32"/>
      <w:szCs w:val="32"/>
      <w:bdr w:val="single" w:color="000000" w:sz="6" w:space="0"/>
    </w:rPr>
  </w:style>
  <w:style w:type="character" w:customStyle="1" w:styleId="128">
    <w:name w:val="heading 8 Char1"/>
    <w:uiPriority w:val="0"/>
    <w:rPr>
      <w:rFonts w:ascii="Arial" w:hAnsi="Arial" w:eastAsia="黑体"/>
      <w:sz w:val="24"/>
      <w:lang w:val="en-US" w:eastAsia="zh-CN" w:bidi="ar-SA"/>
    </w:rPr>
  </w:style>
  <w:style w:type="character" w:customStyle="1" w:styleId="129">
    <w:name w:val="明显参考1"/>
    <w:uiPriority w:val="0"/>
    <w:rPr>
      <w:b/>
      <w:bCs/>
      <w:smallCaps/>
      <w:color w:val="C0504D"/>
      <w:spacing w:val="5"/>
      <w:u w:val="single"/>
    </w:rPr>
  </w:style>
  <w:style w:type="character" w:customStyle="1" w:styleId="130">
    <w:name w:val="Char Char18"/>
    <w:uiPriority w:val="0"/>
    <w:rPr>
      <w:b/>
      <w:bCs/>
      <w:kern w:val="2"/>
      <w:sz w:val="32"/>
      <w:szCs w:val="32"/>
    </w:rPr>
  </w:style>
  <w:style w:type="character" w:customStyle="1" w:styleId="131">
    <w:name w:val="Char Char61"/>
    <w:uiPriority w:val="0"/>
    <w:rPr>
      <w:rFonts w:ascii="Times New Roman" w:hAnsi="Times New Roman" w:eastAsia="宋体" w:cs="Times New Roman"/>
      <w:szCs w:val="24"/>
    </w:rPr>
  </w:style>
  <w:style w:type="character" w:customStyle="1" w:styleId="132">
    <w:name w:val="引用 Char"/>
    <w:link w:val="133"/>
    <w:uiPriority w:val="0"/>
    <w:rPr>
      <w:rFonts w:ascii="Calibri" w:hAnsi="Calibri" w:eastAsia="宋体"/>
      <w:i/>
      <w:iCs/>
      <w:color w:val="000000"/>
      <w:lang w:val="en-US" w:eastAsia="zh-CN" w:bidi="ar-SA"/>
    </w:rPr>
  </w:style>
  <w:style w:type="paragraph" w:styleId="133">
    <w:name w:val="Quote"/>
    <w:basedOn w:val="1"/>
    <w:next w:val="1"/>
    <w:link w:val="132"/>
    <w:qFormat/>
    <w:uiPriority w:val="0"/>
    <w:rPr>
      <w:rFonts w:ascii="Calibri" w:hAnsi="Calibri"/>
      <w:i/>
      <w:iCs/>
      <w:color w:val="000000"/>
      <w:kern w:val="0"/>
      <w:sz w:val="20"/>
      <w:szCs w:val="20"/>
    </w:rPr>
  </w:style>
  <w:style w:type="character" w:customStyle="1" w:styleId="134">
    <w:name w:val="one1"/>
    <w:uiPriority w:val="0"/>
    <w:rPr>
      <w:rFonts w:ascii="仿宋_GB2312" w:eastAsia="仿宋_GB2312"/>
      <w:b/>
      <w:color w:val="1D63B3"/>
      <w:sz w:val="21"/>
      <w:szCs w:val="21"/>
    </w:rPr>
  </w:style>
  <w:style w:type="character" w:customStyle="1" w:styleId="135">
    <w:name w:val="Style5"/>
    <w:uiPriority w:val="0"/>
    <w:rPr>
      <w:rFonts w:ascii="Calibri" w:hAnsi="宋体" w:eastAsia="宋体" w:cs="Times New Roman"/>
      <w:sz w:val="22"/>
      <w:szCs w:val="22"/>
      <w:lang w:eastAsia="zh-CN"/>
    </w:rPr>
  </w:style>
  <w:style w:type="character" w:customStyle="1" w:styleId="136">
    <w:name w:val="Char Char20"/>
    <w:uiPriority w:val="0"/>
    <w:rPr>
      <w:b/>
      <w:bCs/>
      <w:kern w:val="44"/>
      <w:sz w:val="44"/>
      <w:szCs w:val="44"/>
    </w:rPr>
  </w:style>
  <w:style w:type="character" w:customStyle="1" w:styleId="137">
    <w:name w:val="正文文本缩进 3 Char"/>
    <w:link w:val="44"/>
    <w:uiPriority w:val="0"/>
    <w:rPr>
      <w:rFonts w:eastAsia="宋体"/>
      <w:kern w:val="2"/>
      <w:sz w:val="24"/>
      <w:szCs w:val="24"/>
      <w:lang w:val="en-US" w:eastAsia="zh-CN" w:bidi="ar-SA"/>
    </w:rPr>
  </w:style>
  <w:style w:type="character" w:customStyle="1" w:styleId="138">
    <w:name w:val="标题 5 Char"/>
    <w:link w:val="7"/>
    <w:uiPriority w:val="0"/>
    <w:rPr>
      <w:rFonts w:eastAsia="宋体"/>
      <w:b/>
      <w:bCs/>
      <w:sz w:val="28"/>
      <w:szCs w:val="28"/>
      <w:lang w:bidi="ar-SA"/>
    </w:rPr>
  </w:style>
  <w:style w:type="character" w:customStyle="1" w:styleId="139">
    <w:name w:val="Char Char27"/>
    <w:uiPriority w:val="0"/>
    <w:rPr>
      <w:rFonts w:eastAsia="宋体"/>
      <w:kern w:val="2"/>
      <w:sz w:val="28"/>
      <w:lang w:val="en-US" w:eastAsia="zh-CN" w:bidi="ar-SA"/>
    </w:rPr>
  </w:style>
  <w:style w:type="character" w:customStyle="1" w:styleId="140">
    <w:name w:val="标题 Char"/>
    <w:link w:val="49"/>
    <w:uiPriority w:val="0"/>
    <w:rPr>
      <w:rFonts w:ascii="Cambria" w:hAnsi="Cambria" w:eastAsia="宋体"/>
      <w:b/>
      <w:bCs/>
      <w:kern w:val="2"/>
      <w:sz w:val="32"/>
      <w:szCs w:val="32"/>
      <w:lang w:val="en-US" w:eastAsia="zh-CN" w:bidi="ar-SA"/>
    </w:rPr>
  </w:style>
  <w:style w:type="character" w:customStyle="1" w:styleId="141">
    <w:name w:val="heading 2 Char1"/>
    <w:uiPriority w:val="0"/>
    <w:rPr>
      <w:rFonts w:ascii="Cambria" w:hAnsi="Cambria" w:eastAsia="宋体"/>
      <w:b/>
      <w:bCs/>
      <w:kern w:val="2"/>
      <w:sz w:val="32"/>
      <w:szCs w:val="32"/>
      <w:lang w:val="en-US" w:eastAsia="zh-CN" w:bidi="ar-SA"/>
    </w:rPr>
  </w:style>
  <w:style w:type="character" w:customStyle="1" w:styleId="142">
    <w:name w:val="lemmawgt-lemmatitle-title1"/>
    <w:basedOn w:val="50"/>
    <w:uiPriority w:val="0"/>
  </w:style>
  <w:style w:type="character" w:customStyle="1" w:styleId="143">
    <w:name w:val="bsharetext"/>
    <w:uiPriority w:val="0"/>
    <w:rPr>
      <w:rFonts w:ascii="仿宋_GB2312" w:eastAsia="仿宋_GB2312"/>
      <w:b/>
      <w:color w:val="FF0000"/>
      <w:sz w:val="32"/>
      <w:szCs w:val="32"/>
      <w:u w:val="none"/>
    </w:rPr>
  </w:style>
  <w:style w:type="character" w:customStyle="1" w:styleId="144">
    <w:name w:val="top3"/>
    <w:basedOn w:val="50"/>
    <w:uiPriority w:val="0"/>
  </w:style>
  <w:style w:type="character" w:customStyle="1" w:styleId="145">
    <w:name w:val="heading 6 Char1"/>
    <w:uiPriority w:val="0"/>
    <w:rPr>
      <w:rFonts w:ascii="Arial" w:hAnsi="Arial" w:eastAsia="黑体"/>
      <w:kern w:val="2"/>
      <w:sz w:val="24"/>
      <w:szCs w:val="24"/>
      <w:lang w:val="en-US" w:eastAsia="zh-CN" w:bidi="ar-SA"/>
    </w:rPr>
  </w:style>
  <w:style w:type="character" w:customStyle="1" w:styleId="146">
    <w:name w:val="批注主题 Char"/>
    <w:link w:val="12"/>
    <w:uiPriority w:val="0"/>
    <w:rPr>
      <w:rFonts w:eastAsia="宋体"/>
      <w:b/>
      <w:bCs/>
      <w:kern w:val="2"/>
      <w:sz w:val="21"/>
      <w:szCs w:val="24"/>
      <w:lang w:val="en-US" w:eastAsia="zh-CN" w:bidi="ar-SA"/>
    </w:rPr>
  </w:style>
  <w:style w:type="character" w:customStyle="1" w:styleId="147">
    <w:name w:val="heading 1 Char1"/>
    <w:uiPriority w:val="0"/>
    <w:rPr>
      <w:rFonts w:eastAsia="宋体"/>
      <w:b/>
      <w:bCs/>
      <w:kern w:val="44"/>
      <w:sz w:val="44"/>
      <w:szCs w:val="44"/>
      <w:lang w:val="en-US" w:eastAsia="zh-CN" w:bidi="ar-SA"/>
    </w:rPr>
  </w:style>
  <w:style w:type="character" w:customStyle="1" w:styleId="148">
    <w:name w:val="称呼 Char"/>
    <w:link w:val="22"/>
    <w:uiPriority w:val="0"/>
    <w:rPr>
      <w:rFonts w:ascii="仿宋_GB2312" w:eastAsia="仿宋_GB2312"/>
      <w:b/>
      <w:sz w:val="24"/>
      <w:szCs w:val="32"/>
    </w:rPr>
  </w:style>
  <w:style w:type="character" w:customStyle="1" w:styleId="149">
    <w:name w:val="表正文 Char2"/>
    <w:uiPriority w:val="0"/>
    <w:rPr>
      <w:rFonts w:ascii="Times New Roman" w:hAnsi="Times New Roman" w:eastAsia="宋体" w:cs="Times New Roman"/>
      <w:szCs w:val="24"/>
    </w:rPr>
  </w:style>
  <w:style w:type="character" w:customStyle="1" w:styleId="150">
    <w:name w:val="明显参考2"/>
    <w:qFormat/>
    <w:uiPriority w:val="0"/>
    <w:rPr>
      <w:b/>
      <w:bCs/>
      <w:smallCaps/>
      <w:color w:val="C0504D"/>
      <w:spacing w:val="5"/>
      <w:u w:val="single"/>
    </w:rPr>
  </w:style>
  <w:style w:type="character" w:customStyle="1" w:styleId="151">
    <w:name w:val="Footer-Even Char2"/>
    <w:uiPriority w:val="0"/>
    <w:rPr>
      <w:kern w:val="2"/>
      <w:sz w:val="18"/>
      <w:szCs w:val="18"/>
    </w:rPr>
  </w:style>
  <w:style w:type="character" w:customStyle="1" w:styleId="152">
    <w:name w:val="heading 2 Char2"/>
    <w:uiPriority w:val="0"/>
    <w:rPr>
      <w:rFonts w:ascii="Cambria" w:hAnsi="Cambria"/>
      <w:b/>
      <w:bCs/>
      <w:kern w:val="2"/>
      <w:sz w:val="32"/>
      <w:szCs w:val="32"/>
    </w:rPr>
  </w:style>
  <w:style w:type="character" w:customStyle="1" w:styleId="153">
    <w:name w:val="不明显强调1"/>
    <w:qFormat/>
    <w:uiPriority w:val="0"/>
    <w:rPr>
      <w:i/>
      <w:iCs/>
      <w:color w:val="808080"/>
    </w:rPr>
  </w:style>
  <w:style w:type="character" w:customStyle="1" w:styleId="154">
    <w:name w:val="heading 7 Char1"/>
    <w:uiPriority w:val="0"/>
    <w:rPr>
      <w:rFonts w:ascii="Arial" w:hAnsi="Arial" w:eastAsia="黑体"/>
      <w:sz w:val="21"/>
      <w:szCs w:val="21"/>
      <w:lang w:val="en-US" w:eastAsia="zh-CN" w:bidi="ar-SA"/>
    </w:rPr>
  </w:style>
  <w:style w:type="character" w:customStyle="1" w:styleId="155">
    <w:name w:val="Char Char271"/>
    <w:uiPriority w:val="0"/>
    <w:rPr>
      <w:rFonts w:eastAsia="宋体"/>
      <w:kern w:val="2"/>
      <w:sz w:val="28"/>
      <w:lang w:val="en-US" w:eastAsia="zh-CN" w:bidi="ar-SA"/>
    </w:rPr>
  </w:style>
  <w:style w:type="character" w:customStyle="1" w:styleId="156">
    <w:name w:val="Char Char211"/>
    <w:uiPriority w:val="0"/>
    <w:rPr>
      <w:rFonts w:ascii="Times New Roman" w:hAnsi="Times New Roman" w:eastAsia="宋体" w:cs="Times New Roman"/>
      <w:b/>
      <w:bCs/>
      <w:kern w:val="44"/>
      <w:sz w:val="44"/>
      <w:szCs w:val="44"/>
    </w:rPr>
  </w:style>
  <w:style w:type="character" w:customStyle="1" w:styleId="157">
    <w:name w:val="正文1 Char Char"/>
    <w:link w:val="158"/>
    <w:uiPriority w:val="0"/>
    <w:rPr>
      <w:rFonts w:ascii="宋体" w:hAnsi="宋体" w:eastAsia="宋体" w:cs="宋体"/>
      <w:sz w:val="21"/>
      <w:lang w:val="en-US" w:eastAsia="zh-CN" w:bidi="ar-SA"/>
    </w:rPr>
  </w:style>
  <w:style w:type="paragraph" w:customStyle="1" w:styleId="158">
    <w:name w:val="正文1"/>
    <w:basedOn w:val="1"/>
    <w:link w:val="157"/>
    <w:uiPriority w:val="0"/>
    <w:pPr>
      <w:widowControl/>
      <w:spacing w:line="360" w:lineRule="auto"/>
      <w:ind w:left="360" w:firstLine="420"/>
      <w:jc w:val="left"/>
    </w:pPr>
    <w:rPr>
      <w:rFonts w:ascii="宋体" w:hAnsi="宋体" w:cs="宋体"/>
      <w:kern w:val="0"/>
      <w:szCs w:val="20"/>
    </w:rPr>
  </w:style>
  <w:style w:type="character" w:customStyle="1" w:styleId="159">
    <w:name w:val="heading 3 Char2"/>
    <w:uiPriority w:val="0"/>
    <w:rPr>
      <w:b/>
      <w:bCs/>
      <w:kern w:val="2"/>
      <w:sz w:val="32"/>
      <w:szCs w:val="32"/>
    </w:rPr>
  </w:style>
  <w:style w:type="character" w:customStyle="1" w:styleId="160">
    <w:name w:val="标题 1 Char"/>
    <w:link w:val="2"/>
    <w:uiPriority w:val="0"/>
    <w:rPr>
      <w:rFonts w:eastAsia="黑体"/>
      <w:b/>
      <w:kern w:val="2"/>
      <w:sz w:val="32"/>
      <w:lang w:val="en-US" w:eastAsia="zh-CN" w:bidi="ar-SA"/>
    </w:rPr>
  </w:style>
  <w:style w:type="character" w:customStyle="1" w:styleId="161">
    <w:name w:val="heading 1 Char2"/>
    <w:uiPriority w:val="0"/>
    <w:rPr>
      <w:b/>
      <w:bCs/>
      <w:kern w:val="44"/>
      <w:sz w:val="44"/>
      <w:szCs w:val="44"/>
    </w:rPr>
  </w:style>
  <w:style w:type="character" w:customStyle="1" w:styleId="162">
    <w:name w:val="签名 Char"/>
    <w:link w:val="37"/>
    <w:uiPriority w:val="0"/>
    <w:rPr>
      <w:rFonts w:ascii="仿宋_GB2312" w:eastAsia="仿宋_GB2312"/>
      <w:b/>
      <w:sz w:val="24"/>
      <w:szCs w:val="32"/>
    </w:rPr>
  </w:style>
  <w:style w:type="character" w:customStyle="1" w:styleId="163">
    <w:name w:val="ändrad Char1"/>
    <w:uiPriority w:val="0"/>
    <w:rPr>
      <w:rFonts w:ascii="仿宋_GB2312" w:eastAsia="宋体"/>
      <w:b/>
      <w:kern w:val="2"/>
      <w:sz w:val="21"/>
      <w:szCs w:val="24"/>
      <w:lang w:val="en-US" w:eastAsia="zh-CN" w:bidi="ar-SA"/>
    </w:rPr>
  </w:style>
  <w:style w:type="character" w:customStyle="1" w:styleId="164">
    <w:name w:val="Char Char241"/>
    <w:uiPriority w:val="0"/>
    <w:rPr>
      <w:rFonts w:eastAsia="宋体"/>
      <w:b/>
      <w:kern w:val="2"/>
      <w:sz w:val="28"/>
      <w:lang w:val="en-US" w:eastAsia="zh-CN" w:bidi="ar-SA"/>
    </w:rPr>
  </w:style>
  <w:style w:type="character" w:customStyle="1" w:styleId="165">
    <w:name w:val="heading 1 Char"/>
    <w:uiPriority w:val="0"/>
    <w:rPr>
      <w:rFonts w:ascii="Arial" w:hAnsi="Arial" w:eastAsia="黑体"/>
      <w:b/>
      <w:sz w:val="36"/>
      <w:szCs w:val="36"/>
    </w:rPr>
  </w:style>
  <w:style w:type="character" w:customStyle="1" w:styleId="166">
    <w:name w:val="Plain Text Char"/>
    <w:uiPriority w:val="0"/>
    <w:rPr>
      <w:rFonts w:ascii="宋体" w:hAnsi="Courier New" w:eastAsia="宋体" w:cs="Times New Roman"/>
      <w:sz w:val="21"/>
      <w:szCs w:val="21"/>
    </w:rPr>
  </w:style>
  <w:style w:type="character" w:customStyle="1" w:styleId="167">
    <w:name w:val="heading 4 Char1"/>
    <w:uiPriority w:val="0"/>
    <w:rPr>
      <w:rFonts w:ascii="Cambria" w:hAnsi="Cambria" w:eastAsia="宋体"/>
      <w:b/>
      <w:bCs/>
      <w:kern w:val="2"/>
      <w:sz w:val="28"/>
      <w:szCs w:val="28"/>
      <w:lang w:val="en-US" w:eastAsia="zh-CN" w:bidi="ar-SA"/>
    </w:rPr>
  </w:style>
  <w:style w:type="character" w:customStyle="1" w:styleId="168">
    <w:name w:val="Texte Char Char"/>
    <w:uiPriority w:val="0"/>
    <w:rPr>
      <w:rFonts w:ascii="宋体" w:hAnsi="Courier New" w:eastAsia="宋体"/>
      <w:sz w:val="21"/>
      <w:szCs w:val="21"/>
      <w:lang w:val="en-US" w:eastAsia="zh-CN" w:bidi="ar-SA"/>
    </w:rPr>
  </w:style>
  <w:style w:type="character" w:customStyle="1" w:styleId="169">
    <w:name w:val="*正文 Char"/>
    <w:link w:val="170"/>
    <w:uiPriority w:val="0"/>
    <w:rPr>
      <w:rFonts w:ascii="宋体" w:hAnsi="宋体" w:eastAsia="宋体" w:cs="Times New Roman"/>
      <w:kern w:val="0"/>
      <w:sz w:val="22"/>
      <w:szCs w:val="20"/>
    </w:rPr>
  </w:style>
  <w:style w:type="paragraph" w:customStyle="1" w:styleId="170">
    <w:name w:val="*正文"/>
    <w:basedOn w:val="1"/>
    <w:link w:val="169"/>
    <w:qFormat/>
    <w:uiPriority w:val="0"/>
    <w:pPr>
      <w:spacing w:line="360" w:lineRule="auto"/>
      <w:ind w:firstLine="200" w:firstLineChars="200"/>
    </w:pPr>
    <w:rPr>
      <w:rFonts w:ascii="宋体" w:hAnsi="宋体"/>
      <w:kern w:val="0"/>
      <w:sz w:val="22"/>
      <w:szCs w:val="20"/>
    </w:rPr>
  </w:style>
  <w:style w:type="character" w:customStyle="1" w:styleId="171">
    <w:name w:val="heading 3 Char1"/>
    <w:uiPriority w:val="0"/>
    <w:rPr>
      <w:rFonts w:eastAsia="宋体"/>
      <w:b/>
      <w:bCs/>
      <w:kern w:val="2"/>
      <w:sz w:val="32"/>
      <w:szCs w:val="32"/>
      <w:lang w:val="en-US" w:eastAsia="zh-CN" w:bidi="ar-SA"/>
    </w:rPr>
  </w:style>
  <w:style w:type="character" w:customStyle="1" w:styleId="172">
    <w:name w:val="fontstrikethrough"/>
    <w:uiPriority w:val="0"/>
    <w:rPr>
      <w:rFonts w:ascii="仿宋_GB2312" w:eastAsia="仿宋_GB2312"/>
      <w:b/>
      <w:strike/>
      <w:sz w:val="32"/>
      <w:szCs w:val="32"/>
    </w:rPr>
  </w:style>
  <w:style w:type="character" w:customStyle="1" w:styleId="173">
    <w:name w:val="Char Char21"/>
    <w:qFormat/>
    <w:uiPriority w:val="0"/>
    <w:rPr>
      <w:rFonts w:ascii="Times New Roman" w:hAnsi="Times New Roman" w:eastAsia="宋体" w:cs="Times New Roman"/>
      <w:b/>
      <w:bCs/>
      <w:kern w:val="44"/>
      <w:sz w:val="44"/>
      <w:szCs w:val="44"/>
    </w:rPr>
  </w:style>
  <w:style w:type="character" w:customStyle="1" w:styleId="174">
    <w:name w:val="纯文本 Char"/>
    <w:link w:val="29"/>
    <w:uiPriority w:val="0"/>
    <w:rPr>
      <w:rFonts w:ascii="宋体" w:hAnsi="Courier New" w:eastAsia="宋体"/>
      <w:b/>
      <w:sz w:val="21"/>
      <w:szCs w:val="21"/>
      <w:lang w:val="en-US" w:eastAsia="zh-CN" w:bidi="ar-SA"/>
    </w:rPr>
  </w:style>
  <w:style w:type="character" w:customStyle="1" w:styleId="175">
    <w:name w:val="正文文本 2 Char"/>
    <w:basedOn w:val="50"/>
    <w:link w:val="47"/>
    <w:uiPriority w:val="0"/>
  </w:style>
  <w:style w:type="character" w:customStyle="1" w:styleId="176">
    <w:name w:val="页眉 Char"/>
    <w:link w:val="36"/>
    <w:uiPriority w:val="0"/>
    <w:rPr>
      <w:rFonts w:eastAsia="宋体"/>
      <w:kern w:val="2"/>
      <w:sz w:val="18"/>
      <w:szCs w:val="18"/>
      <w:lang w:val="en-US" w:eastAsia="zh-CN" w:bidi="ar-SA"/>
    </w:rPr>
  </w:style>
  <w:style w:type="character" w:customStyle="1" w:styleId="177">
    <w:name w:val="不明显强调11"/>
    <w:uiPriority w:val="0"/>
    <w:rPr>
      <w:i/>
      <w:iCs/>
      <w:color w:val="808080"/>
    </w:rPr>
  </w:style>
  <w:style w:type="character" w:customStyle="1" w:styleId="178">
    <w:name w:val="Char Char12"/>
    <w:uiPriority w:val="0"/>
    <w:rPr>
      <w:rFonts w:eastAsia="宋体"/>
      <w:kern w:val="2"/>
      <w:sz w:val="21"/>
      <w:szCs w:val="24"/>
      <w:lang w:val="en-US" w:eastAsia="zh-CN" w:bidi="ar-SA"/>
    </w:rPr>
  </w:style>
  <w:style w:type="character" w:customStyle="1" w:styleId="179">
    <w:name w:val="Char Char15"/>
    <w:uiPriority w:val="0"/>
    <w:rPr>
      <w:rFonts w:ascii="Arial" w:hAnsi="Arial" w:eastAsia="黑体"/>
      <w:sz w:val="24"/>
      <w:szCs w:val="24"/>
    </w:rPr>
  </w:style>
  <w:style w:type="character" w:customStyle="1" w:styleId="180">
    <w:name w:val="heading 9 Char1"/>
    <w:uiPriority w:val="0"/>
    <w:rPr>
      <w:rFonts w:ascii="Arial" w:hAnsi="Arial" w:eastAsia="黑体"/>
      <w:sz w:val="21"/>
      <w:lang w:val="en-US" w:eastAsia="zh-CN" w:bidi="ar-SA"/>
    </w:rPr>
  </w:style>
  <w:style w:type="character" w:customStyle="1" w:styleId="181">
    <w:name w:val="Char Char Char"/>
    <w:uiPriority w:val="0"/>
    <w:rPr>
      <w:rFonts w:ascii="宋体" w:hAnsi="Courier New" w:eastAsia="宋体"/>
      <w:b/>
      <w:sz w:val="21"/>
      <w:szCs w:val="21"/>
      <w:lang w:val="en-US" w:eastAsia="zh-CN" w:bidi="ar-SA"/>
    </w:rPr>
  </w:style>
  <w:style w:type="character" w:customStyle="1" w:styleId="182">
    <w:name w:val="Char Char4"/>
    <w:uiPriority w:val="0"/>
    <w:rPr>
      <w:rFonts w:ascii="Cambria" w:hAnsi="Cambria" w:eastAsia="宋体"/>
      <w:b/>
      <w:bCs/>
      <w:sz w:val="32"/>
      <w:szCs w:val="32"/>
      <w:lang w:bidi="ar-SA"/>
    </w:rPr>
  </w:style>
  <w:style w:type="character" w:customStyle="1" w:styleId="183">
    <w:name w:val="Char Char41"/>
    <w:uiPriority w:val="0"/>
    <w:rPr>
      <w:rFonts w:ascii="Cambria" w:hAnsi="Cambria" w:eastAsia="宋体"/>
      <w:b/>
      <w:bCs/>
      <w:sz w:val="32"/>
      <w:szCs w:val="32"/>
      <w:lang w:bidi="ar-SA"/>
    </w:rPr>
  </w:style>
  <w:style w:type="character" w:customStyle="1" w:styleId="184">
    <w:name w:val="style41"/>
    <w:uiPriority w:val="0"/>
    <w:rPr>
      <w:color w:val="auto"/>
    </w:rPr>
  </w:style>
  <w:style w:type="character" w:customStyle="1" w:styleId="185">
    <w:name w:val="style13"/>
    <w:basedOn w:val="50"/>
    <w:uiPriority w:val="0"/>
  </w:style>
  <w:style w:type="character" w:customStyle="1" w:styleId="186">
    <w:name w:val="PI Char1"/>
    <w:uiPriority w:val="0"/>
    <w:rPr>
      <w:rFonts w:eastAsia="宋体"/>
      <w:kern w:val="2"/>
      <w:sz w:val="24"/>
      <w:szCs w:val="24"/>
      <w:lang w:val="en-US" w:eastAsia="zh-CN" w:bidi="ar-SA"/>
    </w:rPr>
  </w:style>
  <w:style w:type="character" w:customStyle="1" w:styleId="187">
    <w:name w:val="Char Char2"/>
    <w:uiPriority w:val="0"/>
    <w:rPr>
      <w:rFonts w:ascii="Arial" w:hAnsi="Arial" w:eastAsia="黑体"/>
      <w:b/>
      <w:bCs/>
      <w:kern w:val="44"/>
      <w:sz w:val="30"/>
      <w:szCs w:val="44"/>
      <w:lang w:val="en-US" w:eastAsia="zh-CN" w:bidi="ar-SA"/>
    </w:rPr>
  </w:style>
  <w:style w:type="character" w:customStyle="1" w:styleId="188">
    <w:name w:val="blue1"/>
    <w:basedOn w:val="50"/>
    <w:uiPriority w:val="0"/>
  </w:style>
  <w:style w:type="character" w:customStyle="1" w:styleId="189">
    <w:name w:val="PI Char2"/>
    <w:uiPriority w:val="0"/>
    <w:rPr>
      <w:kern w:val="2"/>
      <w:sz w:val="24"/>
      <w:szCs w:val="24"/>
    </w:rPr>
  </w:style>
  <w:style w:type="character" w:customStyle="1" w:styleId="190">
    <w:name w:val="Footer-Even Char1"/>
    <w:uiPriority w:val="0"/>
    <w:rPr>
      <w:rFonts w:eastAsia="宋体"/>
      <w:kern w:val="2"/>
      <w:sz w:val="18"/>
      <w:szCs w:val="18"/>
      <w:lang w:val="en-US" w:eastAsia="zh-CN" w:bidi="ar-SA"/>
    </w:rPr>
  </w:style>
  <w:style w:type="character" w:customStyle="1" w:styleId="191">
    <w:name w:val="Char Char22"/>
    <w:uiPriority w:val="0"/>
    <w:rPr>
      <w:rFonts w:ascii="Arial" w:hAnsi="Arial" w:eastAsia="黑体"/>
      <w:b/>
      <w:bCs/>
      <w:kern w:val="44"/>
      <w:sz w:val="30"/>
      <w:szCs w:val="44"/>
      <w:lang w:val="en-US" w:eastAsia="zh-CN" w:bidi="ar-SA"/>
    </w:rPr>
  </w:style>
  <w:style w:type="character" w:customStyle="1" w:styleId="192">
    <w:name w:val="gray6"/>
    <w:basedOn w:val="50"/>
    <w:uiPriority w:val="0"/>
  </w:style>
  <w:style w:type="character" w:customStyle="1" w:styleId="193">
    <w:name w:val="不明显参考11"/>
    <w:uiPriority w:val="0"/>
    <w:rPr>
      <w:smallCaps/>
      <w:color w:val="C0504D"/>
      <w:u w:val="single"/>
    </w:rPr>
  </w:style>
  <w:style w:type="character" w:customStyle="1" w:styleId="194">
    <w:name w:val="标题 8 Char"/>
    <w:link w:val="10"/>
    <w:uiPriority w:val="0"/>
    <w:rPr>
      <w:rFonts w:ascii="Arial" w:hAnsi="Arial" w:eastAsia="黑体"/>
      <w:kern w:val="2"/>
      <w:sz w:val="24"/>
      <w:lang w:val="en-US" w:eastAsia="zh-CN" w:bidi="ar-SA"/>
    </w:rPr>
  </w:style>
  <w:style w:type="character" w:customStyle="1" w:styleId="195">
    <w:name w:val="正文文本 3 Char"/>
    <w:basedOn w:val="50"/>
    <w:link w:val="23"/>
    <w:uiPriority w:val="0"/>
  </w:style>
  <w:style w:type="character" w:customStyle="1" w:styleId="196">
    <w:name w:val="标题 4 Char"/>
    <w:link w:val="5"/>
    <w:uiPriority w:val="0"/>
    <w:rPr>
      <w:rFonts w:eastAsia="宋体"/>
      <w:kern w:val="2"/>
      <w:sz w:val="28"/>
      <w:szCs w:val="28"/>
      <w:lang w:val="en-US" w:eastAsia="zh-CN" w:bidi="ar-SA"/>
    </w:rPr>
  </w:style>
  <w:style w:type="character" w:customStyle="1" w:styleId="197">
    <w:name w:val="Style2"/>
    <w:uiPriority w:val="0"/>
    <w:rPr>
      <w:rFonts w:ascii="Calibri" w:hAnsi="宋体" w:eastAsia="宋体" w:cs="Times New Roman"/>
      <w:sz w:val="22"/>
      <w:szCs w:val="22"/>
      <w:lang w:eastAsia="zh-CN"/>
    </w:rPr>
  </w:style>
  <w:style w:type="character" w:customStyle="1" w:styleId="198">
    <w:name w:val="样式 宋体"/>
    <w:uiPriority w:val="0"/>
    <w:rPr>
      <w:rFonts w:ascii="宋体" w:hAnsi="宋体" w:eastAsia="宋体"/>
      <w:sz w:val="24"/>
      <w:szCs w:val="24"/>
    </w:rPr>
  </w:style>
  <w:style w:type="character" w:customStyle="1" w:styleId="199">
    <w:name w:val="批注文字 Char"/>
    <w:link w:val="13"/>
    <w:uiPriority w:val="0"/>
    <w:rPr>
      <w:rFonts w:eastAsia="宋体"/>
      <w:kern w:val="2"/>
      <w:sz w:val="21"/>
      <w:szCs w:val="24"/>
      <w:lang w:val="en-US" w:eastAsia="zh-CN" w:bidi="ar-SA"/>
    </w:rPr>
  </w:style>
  <w:style w:type="character" w:customStyle="1" w:styleId="200">
    <w:name w:val="标题 7 Char"/>
    <w:link w:val="9"/>
    <w:uiPriority w:val="0"/>
    <w:rPr>
      <w:rFonts w:eastAsia="宋体"/>
      <w:b/>
      <w:kern w:val="2"/>
      <w:sz w:val="24"/>
      <w:lang w:val="en-US" w:eastAsia="zh-CN" w:bidi="ar-SA"/>
    </w:rPr>
  </w:style>
  <w:style w:type="character" w:customStyle="1" w:styleId="201">
    <w:name w:val="标题 3 Char"/>
    <w:link w:val="4"/>
    <w:uiPriority w:val="0"/>
    <w:rPr>
      <w:rFonts w:eastAsia="黑体"/>
      <w:b/>
      <w:kern w:val="2"/>
      <w:sz w:val="28"/>
      <w:lang w:val="en-US" w:eastAsia="zh-CN" w:bidi="ar-SA"/>
    </w:rPr>
  </w:style>
  <w:style w:type="character" w:customStyle="1" w:styleId="202">
    <w:name w:val="Ò³Ã¼ Char Char1"/>
    <w:uiPriority w:val="0"/>
    <w:rPr>
      <w:rFonts w:eastAsia="宋体"/>
      <w:kern w:val="2"/>
      <w:sz w:val="18"/>
      <w:szCs w:val="18"/>
      <w:lang w:val="en-US" w:eastAsia="zh-CN" w:bidi="ar-SA"/>
    </w:rPr>
  </w:style>
  <w:style w:type="character" w:customStyle="1" w:styleId="203">
    <w:name w:val="heading 5 Char2"/>
    <w:uiPriority w:val="0"/>
    <w:rPr>
      <w:b/>
      <w:bCs/>
      <w:kern w:val="2"/>
      <w:sz w:val="28"/>
      <w:szCs w:val="28"/>
    </w:rPr>
  </w:style>
  <w:style w:type="character" w:customStyle="1" w:styleId="204">
    <w:name w:val="Char Char121"/>
    <w:uiPriority w:val="0"/>
    <w:rPr>
      <w:rFonts w:eastAsia="宋体"/>
      <w:kern w:val="2"/>
      <w:sz w:val="21"/>
      <w:szCs w:val="24"/>
      <w:lang w:val="en-US" w:eastAsia="zh-CN" w:bidi="ar-SA"/>
    </w:rPr>
  </w:style>
  <w:style w:type="character" w:customStyle="1" w:styleId="205">
    <w:name w:val="Char Char17"/>
    <w:uiPriority w:val="0"/>
    <w:rPr>
      <w:rFonts w:ascii="Cambria" w:hAnsi="Cambria"/>
      <w:b/>
      <w:bCs/>
      <w:kern w:val="2"/>
      <w:sz w:val="28"/>
      <w:szCs w:val="28"/>
    </w:rPr>
  </w:style>
  <w:style w:type="character" w:customStyle="1" w:styleId="206">
    <w:name w:val="Char Char201"/>
    <w:uiPriority w:val="0"/>
    <w:rPr>
      <w:rFonts w:ascii="Cambria" w:hAnsi="Cambria" w:eastAsia="宋体" w:cs="Times New Roman"/>
      <w:b/>
      <w:bCs/>
      <w:sz w:val="32"/>
      <w:szCs w:val="32"/>
    </w:rPr>
  </w:style>
  <w:style w:type="paragraph" w:styleId="207">
    <w:name w:val="List Paragraph"/>
    <w:basedOn w:val="1"/>
    <w:qFormat/>
    <w:uiPriority w:val="34"/>
    <w:pPr>
      <w:ind w:firstLine="420" w:firstLineChars="200"/>
    </w:pPr>
    <w:rPr>
      <w:rFonts w:ascii="Calibri" w:hAnsi="Calibri"/>
      <w:szCs w:val="22"/>
    </w:rPr>
  </w:style>
  <w:style w:type="paragraph" w:customStyle="1" w:styleId="208">
    <w:name w:val="正文2"/>
    <w:basedOn w:val="1"/>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0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10">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11">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12">
    <w:name w:val="正文（首行缩进）"/>
    <w:basedOn w:val="24"/>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1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4">
    <w:name w:val="Item List in Table"/>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215">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16">
    <w:name w:val="标书正文带编号"/>
    <w:basedOn w:val="1"/>
    <w:uiPriority w:val="0"/>
    <w:pPr>
      <w:tabs>
        <w:tab w:val="left" w:pos="397"/>
      </w:tabs>
      <w:autoSpaceDE w:val="0"/>
      <w:autoSpaceDN w:val="0"/>
      <w:adjustRightInd w:val="0"/>
      <w:ind w:firstLine="397"/>
      <w:jc w:val="left"/>
    </w:pPr>
    <w:rPr>
      <w:rFonts w:cs="宋体"/>
      <w:kern w:val="0"/>
      <w:sz w:val="20"/>
      <w:szCs w:val="21"/>
    </w:rPr>
  </w:style>
  <w:style w:type="paragraph" w:customStyle="1" w:styleId="217">
    <w:name w:val="技术报告正文"/>
    <w:basedOn w:val="1"/>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8">
    <w:name w:val="小标题"/>
    <w:basedOn w:val="1"/>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19">
    <w:name w:val="Char Char1 Char Char Char Char Char Char Char Char Char Char Char Char Char Char"/>
    <w:basedOn w:val="1"/>
    <w:uiPriority w:val="0"/>
    <w:pPr>
      <w:widowControl/>
      <w:autoSpaceDE w:val="0"/>
      <w:autoSpaceDN w:val="0"/>
      <w:adjustRightInd w:val="0"/>
      <w:spacing w:after="160" w:line="240" w:lineRule="exact"/>
      <w:jc w:val="left"/>
    </w:pPr>
    <w:rPr>
      <w:kern w:val="0"/>
      <w:sz w:val="20"/>
      <w:szCs w:val="20"/>
    </w:rPr>
  </w:style>
  <w:style w:type="paragraph" w:customStyle="1" w:styleId="220">
    <w:name w:val="List Paragraph1"/>
    <w:basedOn w:val="1"/>
    <w:uiPriority w:val="0"/>
    <w:pPr>
      <w:ind w:firstLine="420" w:firstLineChars="200"/>
    </w:pPr>
  </w:style>
  <w:style w:type="paragraph" w:customStyle="1" w:styleId="221">
    <w:name w:val="样式5"/>
    <w:basedOn w:val="6"/>
    <w:uiPriority w:val="0"/>
    <w:pPr>
      <w:adjustRightInd/>
      <w:spacing w:line="360" w:lineRule="auto"/>
      <w:ind w:firstLine="200" w:firstLineChars="200"/>
      <w:textAlignment w:val="auto"/>
    </w:pPr>
    <w:rPr>
      <w:sz w:val="28"/>
      <w:szCs w:val="21"/>
    </w:rPr>
  </w:style>
  <w:style w:type="paragraph" w:customStyle="1" w:styleId="222">
    <w:name w:val="纯文本1"/>
    <w:basedOn w:val="1"/>
    <w:uiPriority w:val="0"/>
    <w:pPr>
      <w:adjustRightInd w:val="0"/>
      <w:textAlignment w:val="baseline"/>
    </w:pPr>
    <w:rPr>
      <w:rFonts w:ascii="宋体" w:hAnsi="Courier New" w:eastAsia="楷体_GB2312"/>
      <w:sz w:val="28"/>
      <w:szCs w:val="20"/>
    </w:rPr>
  </w:style>
  <w:style w:type="paragraph" w:customStyle="1" w:styleId="22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2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5">
    <w:name w:val="Char Char Char Char Char Char Char"/>
    <w:basedOn w:val="1"/>
    <w:uiPriority w:val="0"/>
    <w:rPr>
      <w:rFonts w:ascii="仿宋_GB2312" w:eastAsia="仿宋_GB2312"/>
      <w:b/>
      <w:sz w:val="32"/>
      <w:szCs w:val="32"/>
    </w:rPr>
  </w:style>
  <w:style w:type="paragraph" w:customStyle="1" w:styleId="226">
    <w:name w:val="文档正文"/>
    <w:basedOn w:val="1"/>
    <w:uiPriority w:val="0"/>
    <w:pPr>
      <w:adjustRightInd w:val="0"/>
      <w:spacing w:line="300" w:lineRule="auto"/>
      <w:ind w:firstLine="567"/>
      <w:textAlignment w:val="baseline"/>
    </w:pPr>
    <w:rPr>
      <w:kern w:val="0"/>
      <w:sz w:val="24"/>
      <w:szCs w:val="20"/>
    </w:rPr>
  </w:style>
  <w:style w:type="paragraph" w:customStyle="1" w:styleId="227">
    <w:name w:val="WW-正文文字缩进 2"/>
    <w:basedOn w:val="1"/>
    <w:uiPriority w:val="0"/>
    <w:pPr>
      <w:suppressAutoHyphens/>
      <w:autoSpaceDE w:val="0"/>
      <w:autoSpaceDN w:val="0"/>
      <w:adjustRightInd w:val="0"/>
      <w:ind w:firstLine="420"/>
      <w:jc w:val="left"/>
    </w:pPr>
    <w:rPr>
      <w:kern w:val="1"/>
      <w:sz w:val="20"/>
      <w:szCs w:val="20"/>
    </w:rPr>
  </w:style>
  <w:style w:type="paragraph" w:customStyle="1" w:styleId="228">
    <w:name w:val="xl6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2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0">
    <w:name w:val="TOC 标题1"/>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31">
    <w:name w:val="ÕýÎÄÊ×ÐÐËõ½ø"/>
    <w:basedOn w:val="1"/>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3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3">
    <w:name w:val="14"/>
    <w:basedOn w:val="1"/>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34">
    <w:name w:val="标准小四"/>
    <w:basedOn w:val="1"/>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5">
    <w:name w:val="Char Char Char Char"/>
    <w:basedOn w:val="1"/>
    <w:uiPriority w:val="0"/>
    <w:pPr>
      <w:autoSpaceDE w:val="0"/>
      <w:autoSpaceDN w:val="0"/>
      <w:adjustRightInd w:val="0"/>
      <w:jc w:val="left"/>
    </w:pPr>
    <w:rPr>
      <w:rFonts w:ascii="Tahoma" w:hAnsi="Tahoma"/>
      <w:kern w:val="0"/>
      <w:sz w:val="24"/>
      <w:szCs w:val="20"/>
    </w:rPr>
  </w:style>
  <w:style w:type="paragraph" w:customStyle="1" w:styleId="236">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237">
    <w:name w:val="Char Char13"/>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8">
    <w:name w:val="样式"/>
    <w:basedOn w:val="1"/>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39">
    <w:name w:val="正文 首行缩进:  2 字符 Char"/>
    <w:basedOn w:val="1"/>
    <w:uiPriority w:val="0"/>
    <w:pPr>
      <w:spacing w:line="360" w:lineRule="auto"/>
      <w:ind w:firstLine="480"/>
    </w:pPr>
    <w:rPr>
      <w:rFonts w:cs="宋体"/>
      <w:sz w:val="24"/>
      <w:szCs w:val="20"/>
    </w:rPr>
  </w:style>
  <w:style w:type="paragraph" w:customStyle="1" w:styleId="240">
    <w:name w:val="Char13"/>
    <w:basedOn w:val="1"/>
    <w:uiPriority w:val="0"/>
    <w:pPr>
      <w:widowControl/>
      <w:spacing w:after="160" w:line="240" w:lineRule="exact"/>
      <w:jc w:val="left"/>
    </w:pPr>
    <w:rPr>
      <w:rFonts w:ascii="Verdana" w:hAnsi="Verdana"/>
      <w:kern w:val="0"/>
      <w:sz w:val="20"/>
      <w:szCs w:val="20"/>
      <w:lang w:eastAsia="en-US"/>
    </w:rPr>
  </w:style>
  <w:style w:type="paragraph" w:customStyle="1" w:styleId="241">
    <w:name w:val="表格文字（大）"/>
    <w:basedOn w:val="1"/>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42">
    <w:name w:val="章标题"/>
    <w:next w:val="1"/>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243">
    <w:name w:val="1 Char"/>
    <w:basedOn w:val="6"/>
    <w:uiPriority w:val="0"/>
    <w:pPr>
      <w:adjustRightInd/>
      <w:spacing w:line="360" w:lineRule="auto"/>
      <w:ind w:firstLine="200" w:firstLineChars="200"/>
      <w:textAlignment w:val="auto"/>
    </w:pPr>
    <w:rPr>
      <w:kern w:val="2"/>
    </w:rPr>
  </w:style>
  <w:style w:type="paragraph" w:customStyle="1" w:styleId="244">
    <w:name w:val="xl6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5">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46">
    <w:name w:val="Test2"/>
    <w:basedOn w:val="3"/>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47">
    <w:name w:val="列出段落1"/>
    <w:basedOn w:val="1"/>
    <w:uiPriority w:val="0"/>
    <w:pPr>
      <w:ind w:firstLine="420" w:firstLineChars="200"/>
    </w:pPr>
    <w:rPr>
      <w:szCs w:val="20"/>
    </w:rPr>
  </w:style>
  <w:style w:type="paragraph" w:customStyle="1" w:styleId="248">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49">
    <w:name w:val="xl91"/>
    <w:basedOn w:val="1"/>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0">
    <w:name w:val="正文-宋体四号"/>
    <w:basedOn w:val="1"/>
    <w:uiPriority w:val="0"/>
    <w:pPr>
      <w:spacing w:line="360" w:lineRule="auto"/>
      <w:ind w:firstLine="560" w:firstLineChars="200"/>
    </w:pPr>
    <w:rPr>
      <w:rFonts w:cs="宋体"/>
      <w:sz w:val="28"/>
      <w:szCs w:val="20"/>
    </w:rPr>
  </w:style>
  <w:style w:type="paragraph" w:customStyle="1" w:styleId="251">
    <w:name w:val="xl76"/>
    <w:basedOn w:val="1"/>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2">
    <w:name w:val="五级条标题"/>
    <w:basedOn w:val="253"/>
    <w:next w:val="1"/>
    <w:uiPriority w:val="0"/>
    <w:pPr>
      <w:tabs>
        <w:tab w:val="left" w:pos="3889"/>
        <w:tab w:val="left" w:pos="4309"/>
        <w:tab w:val="left" w:pos="4729"/>
        <w:tab w:val="left" w:pos="5149"/>
        <w:tab w:val="left" w:pos="5569"/>
      </w:tabs>
      <w:ind w:left="5569"/>
      <w:outlineLvl w:val="6"/>
    </w:pPr>
  </w:style>
  <w:style w:type="paragraph" w:customStyle="1" w:styleId="253">
    <w:name w:val="四级条标题"/>
    <w:basedOn w:val="254"/>
    <w:next w:val="1"/>
    <w:uiPriority w:val="0"/>
    <w:pPr>
      <w:tabs>
        <w:tab w:val="left" w:pos="3889"/>
        <w:tab w:val="left" w:pos="4309"/>
        <w:tab w:val="left" w:pos="4729"/>
        <w:tab w:val="left" w:pos="5149"/>
      </w:tabs>
      <w:ind w:left="5149"/>
      <w:outlineLvl w:val="5"/>
    </w:pPr>
  </w:style>
  <w:style w:type="paragraph" w:customStyle="1" w:styleId="254">
    <w:name w:val="三级条标题"/>
    <w:basedOn w:val="255"/>
    <w:next w:val="1"/>
    <w:uiPriority w:val="0"/>
    <w:pPr>
      <w:tabs>
        <w:tab w:val="left" w:pos="3889"/>
        <w:tab w:val="left" w:pos="4309"/>
        <w:tab w:val="left" w:pos="4729"/>
      </w:tabs>
      <w:ind w:left="4729"/>
      <w:outlineLvl w:val="4"/>
    </w:pPr>
  </w:style>
  <w:style w:type="paragraph" w:customStyle="1" w:styleId="255">
    <w:name w:val="二级条标题"/>
    <w:basedOn w:val="256"/>
    <w:next w:val="1"/>
    <w:uiPriority w:val="0"/>
    <w:pPr>
      <w:tabs>
        <w:tab w:val="left" w:pos="3889"/>
        <w:tab w:val="left" w:pos="4309"/>
      </w:tabs>
      <w:ind w:left="4309"/>
      <w:outlineLvl w:val="3"/>
    </w:pPr>
  </w:style>
  <w:style w:type="paragraph" w:customStyle="1" w:styleId="256">
    <w:name w:val="一级条标题"/>
    <w:next w:val="1"/>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57">
    <w:name w:val="GW-标题3"/>
    <w:basedOn w:val="258"/>
    <w:next w:val="1"/>
    <w:qFormat/>
    <w:uiPriority w:val="99"/>
    <w:pPr>
      <w:numPr>
        <w:ilvl w:val="2"/>
      </w:numPr>
      <w:spacing w:beforeLines="50" w:afterLines="50"/>
      <w:outlineLvl w:val="2"/>
    </w:pPr>
    <w:rPr>
      <w:rFonts w:ascii="仿宋_GB2312" w:hAnsi="Times New Roman"/>
      <w:sz w:val="32"/>
      <w:szCs w:val="24"/>
    </w:rPr>
  </w:style>
  <w:style w:type="paragraph" w:customStyle="1" w:styleId="258">
    <w:name w:val="GW-标题2"/>
    <w:basedOn w:val="259"/>
    <w:next w:val="1"/>
    <w:qFormat/>
    <w:uiPriority w:val="99"/>
    <w:pPr>
      <w:pageBreakBefore w:val="0"/>
      <w:numPr>
        <w:ilvl w:val="1"/>
      </w:numPr>
      <w:spacing w:before="100" w:after="100"/>
      <w:outlineLvl w:val="1"/>
    </w:pPr>
    <w:rPr>
      <w:sz w:val="36"/>
    </w:rPr>
  </w:style>
  <w:style w:type="paragraph" w:customStyle="1" w:styleId="259">
    <w:name w:val="GW-标题1"/>
    <w:basedOn w:val="2"/>
    <w:next w:val="1"/>
    <w:qFormat/>
    <w:uiPriority w:val="99"/>
    <w:pPr>
      <w:keepLines/>
      <w:pageBreakBefore/>
      <w:numPr>
        <w:ilvl w:val="0"/>
        <w:numId w:val="1"/>
      </w:numPr>
      <w:spacing w:beforeLines="100" w:afterLines="100" w:line="360" w:lineRule="auto"/>
      <w:ind w:left="840"/>
      <w:jc w:val="both"/>
    </w:pPr>
    <w:rPr>
      <w:rFonts w:ascii="Calibri" w:hAnsi="Calibri" w:eastAsia="仿宋_GB2312"/>
      <w:kern w:val="44"/>
      <w:sz w:val="44"/>
      <w:szCs w:val="44"/>
    </w:rPr>
  </w:style>
  <w:style w:type="paragraph" w:customStyle="1" w:styleId="260">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Char Char"/>
    <w:basedOn w:val="1"/>
    <w:uiPriority w:val="0"/>
    <w:rPr>
      <w:rFonts w:ascii="仿宋_GB2312" w:eastAsia="仿宋_GB2312"/>
      <w:b/>
      <w:sz w:val="32"/>
      <w:szCs w:val="32"/>
    </w:rPr>
  </w:style>
  <w:style w:type="paragraph" w:customStyle="1" w:styleId="262">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63">
    <w:name w:val="p0"/>
    <w:basedOn w:val="1"/>
    <w:qFormat/>
    <w:uiPriority w:val="0"/>
    <w:pPr>
      <w:widowControl/>
    </w:pPr>
    <w:rPr>
      <w:kern w:val="0"/>
      <w:szCs w:val="21"/>
    </w:rPr>
  </w:style>
  <w:style w:type="paragraph" w:customStyle="1" w:styleId="26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列项——（一级）"/>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66">
    <w:name w:val="排列"/>
    <w:basedOn w:val="1"/>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7">
    <w:name w:val="样式 标题 1Level 1Level 11h1II+IHeading1H1-Heading 1Header 1..."/>
    <w:basedOn w:val="2"/>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68">
    <w:name w:val="标题五"/>
    <w:basedOn w:val="1"/>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69">
    <w:name w:val="button"/>
    <w:basedOn w:val="1"/>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70">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1">
    <w:name w:val="1.1.1"/>
    <w:basedOn w:val="1"/>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72">
    <w:name w:val="xl7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73">
    <w:name w:val="Char Char Char Char Char Char Char Char Char Char Char Char Char"/>
    <w:basedOn w:val="1"/>
    <w:uiPriority w:val="0"/>
  </w:style>
  <w:style w:type="paragraph" w:customStyle="1" w:styleId="274">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75">
    <w:name w:val="此正文"/>
    <w:basedOn w:val="1"/>
    <w:uiPriority w:val="0"/>
    <w:pPr>
      <w:autoSpaceDE w:val="0"/>
      <w:autoSpaceDN w:val="0"/>
      <w:adjustRightInd w:val="0"/>
      <w:spacing w:line="360" w:lineRule="auto"/>
      <w:ind w:firstLine="200" w:firstLineChars="200"/>
      <w:jc w:val="left"/>
    </w:pPr>
    <w:rPr>
      <w:kern w:val="0"/>
      <w:sz w:val="24"/>
      <w:szCs w:val="20"/>
    </w:rPr>
  </w:style>
  <w:style w:type="paragraph" w:customStyle="1" w:styleId="276">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77">
    <w:name w:val="Char Char Char Char Char Char Char1"/>
    <w:basedOn w:val="1"/>
    <w:uiPriority w:val="0"/>
    <w:rPr>
      <w:rFonts w:ascii="仿宋_GB2312" w:eastAsia="仿宋_GB2312"/>
      <w:b/>
      <w:sz w:val="32"/>
      <w:szCs w:val="32"/>
    </w:rPr>
  </w:style>
  <w:style w:type="paragraph" w:customStyle="1" w:styleId="278">
    <w:name w:val="xl9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9">
    <w:name w:val="正文文本 21"/>
    <w:basedOn w:val="1"/>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1">
    <w:name w:val="部分1"/>
    <w:basedOn w:val="1"/>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图"/>
    <w:basedOn w:val="1"/>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84">
    <w:name w:val="正文字缩2字"/>
    <w:basedOn w:val="1"/>
    <w:uiPriority w:val="0"/>
    <w:pPr>
      <w:spacing w:before="60" w:after="60" w:line="360" w:lineRule="auto"/>
      <w:ind w:left="200" w:leftChars="200" w:firstLine="200" w:firstLineChars="200"/>
    </w:pPr>
    <w:rPr>
      <w:sz w:val="24"/>
    </w:rPr>
  </w:style>
  <w:style w:type="paragraph" w:customStyle="1" w:styleId="285">
    <w:name w:val="GW-标题4"/>
    <w:basedOn w:val="257"/>
    <w:next w:val="1"/>
    <w:qFormat/>
    <w:uiPriority w:val="99"/>
    <w:pPr>
      <w:numPr>
        <w:ilvl w:val="3"/>
      </w:numPr>
      <w:outlineLvl w:val="3"/>
    </w:pPr>
    <w:rPr>
      <w:rFonts w:hAnsi="Calibri"/>
      <w:sz w:val="30"/>
    </w:rPr>
  </w:style>
  <w:style w:type="paragraph" w:customStyle="1" w:styleId="286">
    <w:name w:val="样式 标题 3 + 黑体 小四 非加粗"/>
    <w:basedOn w:val="4"/>
    <w:uiPriority w:val="0"/>
    <w:pPr>
      <w:spacing w:before="260" w:after="260" w:line="413" w:lineRule="auto"/>
    </w:pPr>
    <w:rPr>
      <w:rFonts w:ascii="黑体" w:hAnsi="黑体"/>
      <w:b w:val="0"/>
      <w:kern w:val="0"/>
      <w:sz w:val="24"/>
      <w:szCs w:val="32"/>
    </w:rPr>
  </w:style>
  <w:style w:type="paragraph" w:customStyle="1" w:styleId="287">
    <w:name w:val="xl83"/>
    <w:basedOn w:val="1"/>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Table Heading"/>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9">
    <w:name w:val="前言、引言标题"/>
    <w:next w:val="1"/>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90">
    <w:name w:val="标准段落"/>
    <w:basedOn w:val="1"/>
    <w:uiPriority w:val="0"/>
    <w:pPr>
      <w:spacing w:after="120" w:line="360" w:lineRule="auto"/>
      <w:ind w:firstLine="420"/>
    </w:pPr>
    <w:rPr>
      <w:rFonts w:ascii="黑体" w:hAnsi="宋体" w:eastAsia="黑体"/>
      <w:b/>
      <w:spacing w:val="6"/>
      <w:szCs w:val="22"/>
    </w:rPr>
  </w:style>
  <w:style w:type="paragraph" w:customStyle="1" w:styleId="291">
    <w:name w:val="xl9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8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保留正文"/>
    <w:basedOn w:val="16"/>
    <w:uiPriority w:val="0"/>
    <w:pPr>
      <w:keepNext/>
      <w:spacing w:after="160"/>
    </w:pPr>
    <w:rPr>
      <w:szCs w:val="20"/>
    </w:rPr>
  </w:style>
  <w:style w:type="paragraph" w:customStyle="1" w:styleId="294">
    <w:name w:val="È±Ê¡ÎÄ±¾ Char"/>
    <w:basedOn w:val="1"/>
    <w:uiPriority w:val="0"/>
    <w:pPr>
      <w:widowControl/>
      <w:overflowPunct w:val="0"/>
      <w:autoSpaceDE w:val="0"/>
      <w:autoSpaceDN w:val="0"/>
      <w:adjustRightInd w:val="0"/>
      <w:textAlignment w:val="baseline"/>
    </w:pPr>
    <w:rPr>
      <w:szCs w:val="21"/>
      <w:lang w:val="zh-CN"/>
    </w:rPr>
  </w:style>
  <w:style w:type="paragraph" w:customStyle="1" w:styleId="295">
    <w:name w:val="正文样式 首行缩进:  0.74 厘米"/>
    <w:basedOn w:val="1"/>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96">
    <w:name w:val="NICMAN Body Text"/>
    <w:basedOn w:val="1"/>
    <w:next w:val="16"/>
    <w:uiPriority w:val="0"/>
    <w:pPr>
      <w:autoSpaceDE w:val="0"/>
      <w:autoSpaceDN w:val="0"/>
      <w:adjustRightInd w:val="0"/>
      <w:spacing w:after="120"/>
      <w:jc w:val="left"/>
    </w:pPr>
    <w:rPr>
      <w:kern w:val="0"/>
      <w:sz w:val="20"/>
      <w:szCs w:val="20"/>
    </w:rPr>
  </w:style>
  <w:style w:type="paragraph" w:customStyle="1" w:styleId="297">
    <w:name w:val="xl29"/>
    <w:basedOn w:val="1"/>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98">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299">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0">
    <w:name w:val="xl25"/>
    <w:basedOn w:val="1"/>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1">
    <w:name w:val="正文－恩普"/>
    <w:basedOn w:val="6"/>
    <w:uiPriority w:val="0"/>
    <w:pPr>
      <w:adjustRightInd/>
      <w:spacing w:line="360" w:lineRule="auto"/>
      <w:ind w:firstLine="200" w:firstLineChars="200"/>
      <w:textAlignment w:val="auto"/>
    </w:pPr>
    <w:rPr>
      <w:kern w:val="2"/>
      <w:sz w:val="24"/>
      <w:szCs w:val="24"/>
    </w:rPr>
  </w:style>
  <w:style w:type="paragraph" w:customStyle="1" w:styleId="302">
    <w:name w:val="lemmawgt-lemmatitle-title"/>
    <w:basedOn w:val="1"/>
    <w:uiPriority w:val="0"/>
    <w:pPr>
      <w:spacing w:after="75"/>
      <w:jc w:val="left"/>
    </w:pPr>
    <w:rPr>
      <w:kern w:val="0"/>
    </w:rPr>
  </w:style>
  <w:style w:type="paragraph" w:customStyle="1" w:styleId="303">
    <w:name w:val="xl55"/>
    <w:basedOn w:val="1"/>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304">
    <w:name w:val="Char"/>
    <w:basedOn w:val="1"/>
    <w:uiPriority w:val="0"/>
    <w:rPr>
      <w:rFonts w:ascii="仿宋_GB2312" w:eastAsia="仿宋_GB2312"/>
      <w:b/>
      <w:sz w:val="32"/>
      <w:szCs w:val="32"/>
    </w:rPr>
  </w:style>
  <w:style w:type="paragraph" w:customStyle="1" w:styleId="305">
    <w:name w:val="Char1"/>
    <w:basedOn w:val="1"/>
    <w:uiPriority w:val="0"/>
    <w:rPr>
      <w:rFonts w:ascii="仿宋_GB2312" w:eastAsia="仿宋_GB2312"/>
      <w:b/>
      <w:sz w:val="32"/>
      <w:szCs w:val="32"/>
    </w:rPr>
  </w:style>
  <w:style w:type="paragraph" w:customStyle="1" w:styleId="306">
    <w:name w:val="样式 左侧:  0.85 厘米 首行缩进:  0.85 厘米"/>
    <w:basedOn w:val="1"/>
    <w:uiPriority w:val="0"/>
    <w:pPr>
      <w:autoSpaceDE w:val="0"/>
      <w:autoSpaceDN w:val="0"/>
      <w:adjustRightInd w:val="0"/>
      <w:spacing w:line="360" w:lineRule="auto"/>
      <w:ind w:firstLine="482"/>
      <w:jc w:val="left"/>
    </w:pPr>
    <w:rPr>
      <w:rFonts w:cs="宋体"/>
      <w:kern w:val="0"/>
      <w:sz w:val="24"/>
      <w:szCs w:val="20"/>
    </w:rPr>
  </w:style>
  <w:style w:type="paragraph" w:customStyle="1" w:styleId="307">
    <w:name w:val="简单回函地址"/>
    <w:basedOn w:val="1"/>
    <w:uiPriority w:val="0"/>
  </w:style>
  <w:style w:type="paragraph" w:customStyle="1" w:styleId="308">
    <w:name w:val="Char11"/>
    <w:basedOn w:val="1"/>
    <w:uiPriority w:val="0"/>
    <w:pPr>
      <w:autoSpaceDE w:val="0"/>
      <w:autoSpaceDN w:val="0"/>
      <w:adjustRightInd w:val="0"/>
      <w:jc w:val="left"/>
    </w:pPr>
    <w:rPr>
      <w:rFonts w:ascii="仿宋_GB2312" w:eastAsia="仿宋_GB2312"/>
      <w:b/>
      <w:kern w:val="0"/>
      <w:sz w:val="32"/>
      <w:szCs w:val="32"/>
    </w:rPr>
  </w:style>
  <w:style w:type="paragraph" w:customStyle="1" w:styleId="309">
    <w:name w:val="Char1 Char Char Char Char Char Char"/>
    <w:basedOn w:val="1"/>
    <w:uiPriority w:val="0"/>
    <w:rPr>
      <w:rFonts w:ascii="宋体" w:hAnsi="宋体"/>
      <w:color w:val="000000"/>
      <w:sz w:val="24"/>
    </w:rPr>
  </w:style>
  <w:style w:type="paragraph" w:customStyle="1" w:styleId="310">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1">
    <w:name w:val="1级正文+缩进"/>
    <w:basedOn w:val="1"/>
    <w:qFormat/>
    <w:uiPriority w:val="0"/>
    <w:pPr>
      <w:autoSpaceDE w:val="0"/>
      <w:autoSpaceDN w:val="0"/>
      <w:adjustRightInd w:val="0"/>
      <w:spacing w:line="360" w:lineRule="auto"/>
      <w:ind w:firstLine="464" w:firstLineChars="221"/>
      <w:jc w:val="left"/>
    </w:pPr>
    <w:rPr>
      <w:rFonts w:ascii="Arial" w:hAnsi="Arial"/>
      <w:bCs/>
      <w:color w:val="FF0000"/>
      <w:szCs w:val="21"/>
    </w:rPr>
  </w:style>
  <w:style w:type="paragraph" w:customStyle="1" w:styleId="312">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3">
    <w:name w:val="xl89"/>
    <w:basedOn w:val="1"/>
    <w:uiPriority w:val="0"/>
    <w:pPr>
      <w:widowControl/>
      <w:spacing w:before="100" w:beforeAutospacing="1" w:after="100" w:afterAutospacing="1"/>
      <w:jc w:val="left"/>
    </w:pPr>
    <w:rPr>
      <w:rFonts w:ascii="宋体" w:hAnsi="宋体" w:cs="宋体"/>
      <w:kern w:val="0"/>
      <w:sz w:val="24"/>
    </w:rPr>
  </w:style>
  <w:style w:type="paragraph" w:customStyle="1" w:styleId="314">
    <w:name w:val="xl8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15">
    <w:name w:val="文字"/>
    <w:basedOn w:val="1"/>
    <w:uiPriority w:val="0"/>
    <w:pPr>
      <w:tabs>
        <w:tab w:val="left" w:pos="8520"/>
      </w:tabs>
      <w:spacing w:line="312" w:lineRule="auto"/>
      <w:ind w:right="-210" w:firstLine="556"/>
    </w:pPr>
    <w:rPr>
      <w:rFonts w:ascii="宋体"/>
      <w:sz w:val="28"/>
      <w:szCs w:val="20"/>
    </w:rPr>
  </w:style>
  <w:style w:type="paragraph" w:customStyle="1" w:styleId="316">
    <w:name w:val="features1"/>
    <w:basedOn w:val="1"/>
    <w:uiPriority w:val="0"/>
    <w:pPr>
      <w:widowControl/>
      <w:spacing w:before="100" w:beforeAutospacing="1" w:after="100" w:afterAutospacing="1"/>
      <w:jc w:val="left"/>
    </w:pPr>
    <w:rPr>
      <w:rFonts w:ascii="宋体" w:hAnsi="宋体" w:cs="宋体"/>
      <w:b/>
      <w:bCs/>
      <w:kern w:val="0"/>
      <w:sz w:val="18"/>
      <w:szCs w:val="18"/>
    </w:rPr>
  </w:style>
  <w:style w:type="paragraph" w:customStyle="1" w:styleId="31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18">
    <w:name w:val="Char Char Char Char Char Char Char Char Char Char"/>
    <w:basedOn w:val="1"/>
    <w:uiPriority w:val="0"/>
    <w:pPr>
      <w:autoSpaceDE w:val="0"/>
      <w:autoSpaceDN w:val="0"/>
      <w:adjustRightInd w:val="0"/>
      <w:jc w:val="left"/>
    </w:pPr>
    <w:rPr>
      <w:rFonts w:ascii="仿宋_GB2312" w:eastAsia="仿宋_GB2312"/>
      <w:b/>
      <w:kern w:val="0"/>
      <w:sz w:val="32"/>
      <w:szCs w:val="32"/>
    </w:rPr>
  </w:style>
  <w:style w:type="paragraph" w:customStyle="1" w:styleId="319">
    <w:name w:val="Char2"/>
    <w:basedOn w:val="1"/>
    <w:uiPriority w:val="0"/>
    <w:pPr>
      <w:autoSpaceDE w:val="0"/>
      <w:autoSpaceDN w:val="0"/>
      <w:adjustRightInd w:val="0"/>
      <w:jc w:val="left"/>
    </w:pPr>
    <w:rPr>
      <w:rFonts w:ascii="仿宋_GB2312" w:eastAsia="仿宋_GB2312"/>
      <w:b/>
      <w:kern w:val="0"/>
      <w:sz w:val="32"/>
      <w:szCs w:val="32"/>
    </w:rPr>
  </w:style>
  <w:style w:type="paragraph" w:customStyle="1" w:styleId="320">
    <w:name w:val="tabletext"/>
    <w:basedOn w:val="1"/>
    <w:uiPriority w:val="0"/>
    <w:pPr>
      <w:widowControl/>
      <w:spacing w:line="300" w:lineRule="atLeast"/>
      <w:jc w:val="left"/>
    </w:pPr>
    <w:rPr>
      <w:rFonts w:ascii="宋体" w:hAnsi="宋体" w:cs="宋体"/>
      <w:kern w:val="0"/>
      <w:sz w:val="18"/>
      <w:szCs w:val="18"/>
    </w:rPr>
  </w:style>
  <w:style w:type="paragraph" w:customStyle="1" w:styleId="321">
    <w:name w:val="默认段落字体 Para Char Char Char Char Char Char Char"/>
    <w:basedOn w:val="1"/>
    <w:uiPriority w:val="0"/>
  </w:style>
  <w:style w:type="paragraph" w:customStyle="1" w:styleId="322">
    <w:name w:val="Char Char Char Char Char Char Char Char Char Char Char Char Char Char Char Char Char Char Char1"/>
    <w:basedOn w:val="1"/>
    <w:uiPriority w:val="0"/>
    <w:rPr>
      <w:rFonts w:ascii="仿宋_GB2312" w:eastAsia="仿宋_GB2312"/>
      <w:b/>
      <w:sz w:val="32"/>
      <w:szCs w:val="32"/>
    </w:rPr>
  </w:style>
  <w:style w:type="paragraph" w:customStyle="1" w:styleId="32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4">
    <w:name w:val="Table Contents"/>
    <w:basedOn w:val="1"/>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25">
    <w:name w:val="VIT-Text"/>
    <w:basedOn w:val="1"/>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6">
    <w:name w:val="Char Char Char Char Char Char Char Char Char Char Char Char Char Char Char Char Char Char Char"/>
    <w:basedOn w:val="1"/>
    <w:uiPriority w:val="0"/>
    <w:rPr>
      <w:rFonts w:ascii="仿宋_GB2312" w:eastAsia="仿宋_GB2312"/>
      <w:b/>
      <w:sz w:val="32"/>
      <w:szCs w:val="32"/>
    </w:rPr>
  </w:style>
  <w:style w:type="paragraph" w:customStyle="1" w:styleId="327">
    <w:name w:val="Char Char Char Char1"/>
    <w:basedOn w:val="21"/>
    <w:uiPriority w:val="0"/>
    <w:rPr>
      <w:rFonts w:ascii="Tahoma" w:hAnsi="Tahoma"/>
      <w:sz w:val="24"/>
    </w:rPr>
  </w:style>
  <w:style w:type="paragraph" w:customStyle="1" w:styleId="328">
    <w:name w:val="样式1"/>
    <w:basedOn w:val="1"/>
    <w:uiPriority w:val="0"/>
    <w:pPr>
      <w:autoSpaceDE w:val="0"/>
      <w:autoSpaceDN w:val="0"/>
      <w:adjustRightInd w:val="0"/>
      <w:spacing w:line="400" w:lineRule="exact"/>
    </w:pPr>
    <w:rPr>
      <w:rFonts w:ascii="宋体" w:cs="宋体"/>
      <w:kern w:val="0"/>
    </w:rPr>
  </w:style>
  <w:style w:type="paragraph" w:customStyle="1" w:styleId="329">
    <w:name w:val="Char Char Char Char Char Char Char Char Char Char Char Char Char1"/>
    <w:basedOn w:val="1"/>
    <w:uiPriority w:val="0"/>
    <w:rPr>
      <w:rFonts w:ascii="Tahoma" w:hAnsi="Tahoma"/>
      <w:sz w:val="24"/>
      <w:szCs w:val="20"/>
    </w:rPr>
  </w:style>
  <w:style w:type="paragraph" w:customStyle="1" w:styleId="330">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1">
    <w:name w:val="样式 样式 正文文本缩进 + 仿宋_GB2312 小四 首行缩进:  0 厘米 行距: 1.5 倍行距 + (中文) 仿宋_GB... Char Char"/>
    <w:basedOn w:val="1"/>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32">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33">
    <w:name w:val="样式 标题 3 + 黑色 段前: 5 磅 段后: 5 磅 行距: 1.5 倍行距"/>
    <w:basedOn w:val="1"/>
    <w:uiPriority w:val="0"/>
    <w:pPr>
      <w:ind w:left="855" w:hanging="855"/>
    </w:pPr>
    <w:rPr>
      <w:sz w:val="24"/>
      <w:szCs w:val="20"/>
    </w:rPr>
  </w:style>
  <w:style w:type="paragraph" w:customStyle="1" w:styleId="334">
    <w:name w:val="表内文字"/>
    <w:basedOn w:val="1"/>
    <w:qFormat/>
    <w:uiPriority w:val="0"/>
    <w:pPr>
      <w:spacing w:line="240" w:lineRule="atLeast"/>
      <w:jc w:val="center"/>
    </w:pPr>
    <w:rPr>
      <w:rFonts w:ascii="Arial" w:hAnsi="Arial" w:cs="Arial"/>
      <w:b/>
      <w:bCs/>
    </w:rPr>
  </w:style>
  <w:style w:type="paragraph" w:customStyle="1" w:styleId="335">
    <w:name w:val="正文缩进1"/>
    <w:basedOn w:val="1"/>
    <w:next w:val="24"/>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2"/>
    <customShpInfo spid="_x0000_s1033"/>
    <customShpInfo spid="_x0000_s1077"/>
    <customShpInfo spid="_x0000_s1078"/>
    <customShpInfo spid="_x0000_s1076"/>
    <customShpInfo spid="_x0000_s1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110</Pages>
  <Words>50955</Words>
  <Characters>14635</Characters>
  <Lines>121</Lines>
  <Paragraphs>130</Paragraphs>
  <TotalTime>40</TotalTime>
  <ScaleCrop>false</ScaleCrop>
  <LinksUpToDate>false</LinksUpToDate>
  <CharactersWithSpaces>65460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2018-08-15T06:55:00Z</dcterms:created>
  <dc:creator>zyq</dc:creator>
  <cp:lastModifiedBy>温州市华信采购招标代理有限公司</cp:lastModifiedBy>
  <cp:lastPrinted>2018-08-17T02:27:00Z</cp:lastPrinted>
  <dcterms:modified xsi:type="dcterms:W3CDTF">2018-08-17T09:27:49Z</dcterms:modified>
  <cp:revision>7</cp:revision>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