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pacing w:val="-20"/>
          <w:sz w:val="72"/>
          <w:szCs w:val="72"/>
        </w:rPr>
      </w:pPr>
    </w:p>
    <w:p>
      <w:pPr>
        <w:spacing w:line="360" w:lineRule="auto"/>
        <w:jc w:val="center"/>
        <w:rPr>
          <w:rFonts w:hint="eastAsia" w:ascii="宋体" w:hAnsi="宋体"/>
          <w:bCs/>
          <w:spacing w:val="-20"/>
          <w:sz w:val="72"/>
          <w:szCs w:val="72"/>
        </w:rPr>
      </w:pPr>
      <w:r>
        <w:rPr>
          <w:rFonts w:hint="eastAsia" w:ascii="宋体" w:hAnsi="宋体"/>
          <w:bCs/>
          <w:spacing w:val="-20"/>
          <w:sz w:val="72"/>
          <w:szCs w:val="72"/>
        </w:rPr>
        <w:t xml:space="preserve">龙 港 </w:t>
      </w:r>
      <w:r>
        <w:rPr>
          <w:rFonts w:ascii="宋体" w:hAnsi="宋体"/>
          <w:bCs/>
          <w:spacing w:val="-20"/>
          <w:sz w:val="72"/>
          <w:szCs w:val="72"/>
        </w:rPr>
        <w:t>市</w:t>
      </w:r>
      <w:r>
        <w:rPr>
          <w:rFonts w:hint="eastAsia" w:ascii="宋体" w:hAnsi="宋体"/>
          <w:bCs/>
          <w:spacing w:val="-20"/>
          <w:sz w:val="72"/>
          <w:szCs w:val="72"/>
        </w:rPr>
        <w:t xml:space="preserve"> 国 企 采 购</w:t>
      </w:r>
    </w:p>
    <w:p>
      <w:pPr>
        <w:spacing w:line="360" w:lineRule="auto"/>
        <w:jc w:val="center"/>
        <w:rPr>
          <w:rFonts w:hint="eastAsia" w:ascii="宋体" w:hAnsi="宋体"/>
          <w:bCs/>
          <w:sz w:val="72"/>
          <w:szCs w:val="72"/>
        </w:rPr>
      </w:pPr>
      <w:r>
        <w:rPr>
          <w:rFonts w:hint="eastAsia" w:ascii="宋体" w:hAnsi="宋体"/>
          <w:bCs/>
          <w:sz w:val="72"/>
          <w:szCs w:val="72"/>
        </w:rPr>
        <w:t>招  标  文  件</w:t>
      </w:r>
    </w:p>
    <w:p>
      <w:pPr>
        <w:spacing w:line="440" w:lineRule="exact"/>
        <w:ind w:left="2679" w:leftChars="1" w:hanging="2677" w:hangingChars="889"/>
        <w:rPr>
          <w:rFonts w:hint="eastAsia" w:ascii="宋体" w:hAnsi="宋体"/>
          <w:b/>
          <w:sz w:val="30"/>
          <w:szCs w:val="30"/>
        </w:rPr>
      </w:pPr>
    </w:p>
    <w:p>
      <w:pPr>
        <w:snapToGrid w:val="0"/>
        <w:spacing w:line="440" w:lineRule="atLeast"/>
        <w:ind w:left="2238" w:leftChars="456" w:hanging="1280" w:hangingChars="400"/>
        <w:rPr>
          <w:rFonts w:hint="eastAsia" w:ascii="宋体" w:hAnsi="宋体"/>
          <w:bCs/>
          <w:sz w:val="32"/>
          <w:szCs w:val="32"/>
        </w:rPr>
      </w:pPr>
    </w:p>
    <w:p>
      <w:pPr>
        <w:snapToGrid w:val="0"/>
        <w:spacing w:line="440" w:lineRule="atLeast"/>
        <w:ind w:firstLine="840" w:firstLineChars="300"/>
        <w:rPr>
          <w:rFonts w:hint="eastAsia" w:ascii="宋体" w:hAnsi="宋体"/>
          <w:bCs/>
          <w:sz w:val="28"/>
          <w:szCs w:val="28"/>
        </w:rPr>
      </w:pPr>
      <w:r>
        <w:rPr>
          <w:rFonts w:hint="eastAsia" w:ascii="宋体" w:hAnsi="宋体"/>
          <w:bCs/>
          <w:sz w:val="28"/>
          <w:szCs w:val="28"/>
        </w:rPr>
        <w:t>项目名称：平苍引水北山泵站二次扩容改造工程设备采购及安装项目</w:t>
      </w:r>
    </w:p>
    <w:p>
      <w:pPr>
        <w:spacing w:line="360" w:lineRule="auto"/>
        <w:ind w:firstLine="840" w:firstLineChars="300"/>
        <w:rPr>
          <w:rFonts w:ascii="宋体" w:hAnsi="宋体"/>
          <w:bCs/>
          <w:sz w:val="28"/>
          <w:szCs w:val="28"/>
        </w:rPr>
      </w:pPr>
      <w:r>
        <w:rPr>
          <w:rFonts w:hint="eastAsia" w:ascii="宋体" w:hAnsi="宋体"/>
          <w:bCs/>
          <w:sz w:val="28"/>
          <w:szCs w:val="28"/>
        </w:rPr>
        <w:t>项目编号：LGCG2021</w:t>
      </w:r>
    </w:p>
    <w:p>
      <w:pPr>
        <w:spacing w:line="360" w:lineRule="auto"/>
        <w:rPr>
          <w:rFonts w:ascii="宋体" w:hAnsi="宋体"/>
          <w:bCs/>
          <w:sz w:val="28"/>
          <w:szCs w:val="28"/>
        </w:rPr>
      </w:pPr>
    </w:p>
    <w:p>
      <w:pPr>
        <w:spacing w:line="360" w:lineRule="auto"/>
        <w:rPr>
          <w:rFonts w:ascii="宋体" w:hAnsi="宋体"/>
          <w:bCs/>
          <w:sz w:val="28"/>
          <w:szCs w:val="28"/>
        </w:rPr>
      </w:pPr>
    </w:p>
    <w:p>
      <w:pPr>
        <w:spacing w:line="360" w:lineRule="auto"/>
        <w:ind w:firstLine="840" w:firstLineChars="300"/>
        <w:rPr>
          <w:rFonts w:hint="eastAsia" w:ascii="宋体" w:hAnsi="宋体"/>
          <w:bCs/>
          <w:color w:val="000000"/>
          <w:sz w:val="28"/>
          <w:szCs w:val="28"/>
        </w:rPr>
      </w:pPr>
      <w:r>
        <w:rPr>
          <w:rFonts w:hint="eastAsia" w:ascii="宋体" w:hAnsi="宋体"/>
          <w:bCs/>
          <w:sz w:val="28"/>
          <w:szCs w:val="28"/>
        </w:rPr>
        <w:t>采 购 人：温州市平苍引水有限公司</w:t>
      </w:r>
    </w:p>
    <w:p>
      <w:pPr>
        <w:spacing w:line="360" w:lineRule="auto"/>
        <w:ind w:firstLine="840" w:firstLineChars="300"/>
        <w:rPr>
          <w:rFonts w:hint="eastAsia" w:ascii="宋体" w:hAnsi="宋体"/>
          <w:bCs/>
          <w:sz w:val="28"/>
          <w:szCs w:val="28"/>
        </w:rPr>
      </w:pPr>
      <w:r>
        <w:rPr>
          <w:rFonts w:hint="eastAsia" w:ascii="宋体" w:hAnsi="宋体"/>
          <w:bCs/>
          <w:sz w:val="28"/>
          <w:szCs w:val="28"/>
        </w:rPr>
        <w:t>联 系 人：杨先生</w:t>
      </w:r>
    </w:p>
    <w:p>
      <w:pPr>
        <w:spacing w:line="440" w:lineRule="exact"/>
        <w:ind w:firstLine="840" w:firstLineChars="300"/>
        <w:rPr>
          <w:rFonts w:hint="eastAsia" w:ascii="宋体" w:hAnsi="宋体"/>
          <w:bCs/>
          <w:sz w:val="28"/>
          <w:szCs w:val="28"/>
        </w:rPr>
      </w:pPr>
      <w:r>
        <w:rPr>
          <w:rFonts w:hint="eastAsia" w:ascii="宋体" w:hAnsi="宋体"/>
          <w:bCs/>
          <w:color w:val="000000"/>
          <w:sz w:val="28"/>
          <w:szCs w:val="28"/>
        </w:rPr>
        <w:t>联系电话：0577-63758915</w:t>
      </w:r>
    </w:p>
    <w:p>
      <w:pPr>
        <w:spacing w:line="440" w:lineRule="exact"/>
        <w:rPr>
          <w:rFonts w:ascii="宋体" w:hAnsi="宋体"/>
          <w:bCs/>
          <w:sz w:val="28"/>
          <w:szCs w:val="28"/>
        </w:rPr>
      </w:pPr>
    </w:p>
    <w:p>
      <w:pPr>
        <w:spacing w:line="440" w:lineRule="exact"/>
        <w:ind w:firstLine="840" w:firstLineChars="300"/>
        <w:jc w:val="left"/>
        <w:rPr>
          <w:rFonts w:hint="eastAsia" w:ascii="宋体"/>
          <w:sz w:val="28"/>
          <w:szCs w:val="28"/>
        </w:rPr>
      </w:pPr>
    </w:p>
    <w:p>
      <w:pPr>
        <w:spacing w:line="440" w:lineRule="exact"/>
        <w:ind w:firstLine="840" w:firstLineChars="300"/>
        <w:jc w:val="left"/>
        <w:rPr>
          <w:rFonts w:hint="eastAsia" w:ascii="宋体"/>
          <w:sz w:val="28"/>
          <w:szCs w:val="28"/>
        </w:rPr>
      </w:pPr>
    </w:p>
    <w:p>
      <w:pPr>
        <w:spacing w:line="440" w:lineRule="exact"/>
        <w:ind w:firstLine="840" w:firstLineChars="300"/>
        <w:jc w:val="left"/>
        <w:rPr>
          <w:rFonts w:hint="eastAsia" w:ascii="宋体"/>
          <w:sz w:val="28"/>
          <w:szCs w:val="28"/>
        </w:rPr>
      </w:pPr>
      <w:r>
        <w:rPr>
          <w:rFonts w:hint="eastAsia" w:ascii="宋体"/>
          <w:sz w:val="28"/>
          <w:szCs w:val="28"/>
        </w:rPr>
        <w:t>代理机构：浙江首信工程项目管理有限公司</w:t>
      </w:r>
    </w:p>
    <w:p>
      <w:pPr>
        <w:spacing w:line="440" w:lineRule="exact"/>
        <w:ind w:firstLine="840" w:firstLineChars="300"/>
        <w:jc w:val="left"/>
        <w:rPr>
          <w:rFonts w:hint="eastAsia" w:ascii="宋体"/>
          <w:sz w:val="28"/>
          <w:szCs w:val="28"/>
        </w:rPr>
      </w:pPr>
      <w:r>
        <w:rPr>
          <w:rFonts w:hint="eastAsia" w:ascii="宋体"/>
          <w:sz w:val="28"/>
          <w:szCs w:val="28"/>
        </w:rPr>
        <w:t>联 系 人：刘先生</w:t>
      </w:r>
    </w:p>
    <w:p>
      <w:pPr>
        <w:ind w:firstLine="840" w:firstLineChars="300"/>
        <w:rPr>
          <w:rFonts w:ascii="宋体" w:hAnsi="宋体"/>
          <w:bCs/>
          <w:sz w:val="28"/>
          <w:szCs w:val="28"/>
        </w:rPr>
      </w:pPr>
      <w:r>
        <w:rPr>
          <w:rFonts w:hint="eastAsia" w:ascii="宋体"/>
          <w:sz w:val="28"/>
          <w:szCs w:val="28"/>
        </w:rPr>
        <w:t>联系电话：0577-68877002</w:t>
      </w:r>
    </w:p>
    <w:p>
      <w:pPr>
        <w:ind w:firstLine="840" w:firstLineChars="300"/>
        <w:rPr>
          <w:rFonts w:hint="eastAsia" w:ascii="宋体" w:hAnsi="宋体"/>
          <w:bCs/>
          <w:sz w:val="28"/>
          <w:szCs w:val="28"/>
        </w:rPr>
      </w:pPr>
    </w:p>
    <w:p>
      <w:pPr>
        <w:rPr>
          <w:rFonts w:hint="eastAsia" w:ascii="宋体" w:hAnsi="宋体"/>
          <w:bCs/>
          <w:sz w:val="28"/>
          <w:szCs w:val="28"/>
        </w:rPr>
      </w:pPr>
    </w:p>
    <w:p>
      <w:pPr>
        <w:spacing w:line="440" w:lineRule="exact"/>
        <w:jc w:val="center"/>
        <w:rPr>
          <w:rFonts w:hint="eastAsia" w:ascii="宋体" w:hAnsi="宋体"/>
          <w:b/>
          <w:color w:val="000000"/>
          <w:sz w:val="28"/>
          <w:szCs w:val="28"/>
        </w:rPr>
      </w:pPr>
      <w:r>
        <w:rPr>
          <w:rFonts w:hint="eastAsia" w:ascii="宋体" w:hAnsi="宋体"/>
          <w:bCs/>
          <w:sz w:val="28"/>
          <w:szCs w:val="28"/>
        </w:rPr>
        <w:t>监督单位：龙港市投融资审价服务中心</w:t>
      </w:r>
    </w:p>
    <w:p>
      <w:pPr>
        <w:spacing w:line="440" w:lineRule="exact"/>
        <w:rPr>
          <w:rFonts w:hint="eastAsia" w:ascii="宋体" w:hAnsi="宋体"/>
          <w:b/>
          <w:color w:val="000000"/>
          <w:sz w:val="30"/>
          <w:szCs w:val="30"/>
        </w:rPr>
      </w:pPr>
    </w:p>
    <w:p>
      <w:pPr>
        <w:spacing w:line="440" w:lineRule="exact"/>
        <w:ind w:firstLine="3000" w:firstLineChars="996"/>
        <w:rPr>
          <w:rFonts w:hint="eastAsia" w:ascii="宋体" w:hAnsi="宋体"/>
          <w:b/>
          <w:color w:val="000000"/>
          <w:sz w:val="30"/>
          <w:szCs w:val="30"/>
        </w:rPr>
      </w:pPr>
      <w:r>
        <w:rPr>
          <w:rFonts w:hint="eastAsia" w:ascii="宋体" w:hAnsi="宋体"/>
          <w:b/>
          <w:color w:val="000000"/>
          <w:sz w:val="30"/>
          <w:szCs w:val="30"/>
        </w:rPr>
        <w:t>二○二一年</w:t>
      </w:r>
      <w:r>
        <w:rPr>
          <w:rFonts w:hint="eastAsia" w:ascii="宋体" w:hAnsi="宋体"/>
          <w:b/>
          <w:color w:val="000000"/>
          <w:sz w:val="30"/>
          <w:szCs w:val="30"/>
          <w:lang w:val="en-US" w:eastAsia="zh-CN"/>
        </w:rPr>
        <w:t>七</w:t>
      </w:r>
      <w:r>
        <w:rPr>
          <w:rFonts w:hint="eastAsia" w:ascii="宋体" w:hAnsi="宋体"/>
          <w:b/>
          <w:color w:val="000000"/>
          <w:sz w:val="30"/>
          <w:szCs w:val="30"/>
        </w:rPr>
        <w:t>月</w:t>
      </w:r>
    </w:p>
    <w:p>
      <w:pPr>
        <w:jc w:val="center"/>
        <w:rPr>
          <w:rFonts w:hint="eastAsia" w:ascii="宋体" w:hAnsi="宋体"/>
          <w:b/>
          <w:sz w:val="30"/>
          <w:szCs w:val="30"/>
        </w:rPr>
      </w:pPr>
    </w:p>
    <w:p>
      <w:pPr>
        <w:pStyle w:val="4"/>
        <w:jc w:val="center"/>
        <w:rPr>
          <w:rFonts w:hint="eastAsia"/>
          <w:b w:val="0"/>
          <w:sz w:val="44"/>
          <w:szCs w:val="44"/>
        </w:rPr>
      </w:pPr>
      <w:r>
        <w:rPr>
          <w:rFonts w:hint="eastAsia"/>
          <w:b w:val="0"/>
          <w:sz w:val="44"/>
          <w:szCs w:val="44"/>
        </w:rPr>
        <w:t>目  录</w:t>
      </w:r>
    </w:p>
    <w:p>
      <w:pPr>
        <w:numPr>
          <w:ilvl w:val="0"/>
          <w:numId w:val="1"/>
        </w:numPr>
        <w:spacing w:line="360" w:lineRule="auto"/>
        <w:rPr>
          <w:rFonts w:hint="eastAsia" w:ascii="宋体" w:hAnsi="宋体"/>
          <w:sz w:val="24"/>
        </w:rPr>
      </w:pPr>
      <w:r>
        <w:rPr>
          <w:rFonts w:hint="eastAsia" w:ascii="宋体" w:hAnsi="宋体"/>
          <w:sz w:val="24"/>
        </w:rPr>
        <w:t xml:space="preserve">招标公告    </w:t>
      </w:r>
    </w:p>
    <w:p>
      <w:pPr>
        <w:numPr>
          <w:ilvl w:val="0"/>
          <w:numId w:val="1"/>
        </w:numPr>
        <w:spacing w:line="360" w:lineRule="auto"/>
        <w:rPr>
          <w:rFonts w:hint="eastAsia" w:ascii="宋体" w:hAnsi="宋体"/>
          <w:sz w:val="24"/>
        </w:rPr>
      </w:pPr>
      <w:r>
        <w:rPr>
          <w:rFonts w:hint="eastAsia" w:ascii="宋体" w:hAnsi="宋体"/>
          <w:sz w:val="24"/>
        </w:rPr>
        <w:t xml:space="preserve"> 投标须知及前附表 </w:t>
      </w:r>
    </w:p>
    <w:p>
      <w:pPr>
        <w:spacing w:line="360" w:lineRule="auto"/>
        <w:ind w:firstLine="570"/>
        <w:rPr>
          <w:rFonts w:hint="eastAsia" w:ascii="宋体" w:hAnsi="宋体"/>
          <w:szCs w:val="21"/>
        </w:rPr>
      </w:pPr>
      <w:r>
        <w:rPr>
          <w:rFonts w:hint="eastAsia" w:ascii="宋体" w:hAnsi="宋体"/>
          <w:szCs w:val="21"/>
        </w:rPr>
        <w:t>一、投标通知(邀请)书</w:t>
      </w:r>
    </w:p>
    <w:p>
      <w:pPr>
        <w:spacing w:line="360" w:lineRule="auto"/>
        <w:ind w:firstLine="570"/>
        <w:rPr>
          <w:rFonts w:hint="eastAsia" w:ascii="宋体" w:hAnsi="宋体"/>
          <w:szCs w:val="21"/>
        </w:rPr>
      </w:pPr>
      <w:r>
        <w:rPr>
          <w:rFonts w:hint="eastAsia" w:ascii="宋体" w:hAnsi="宋体"/>
          <w:szCs w:val="21"/>
        </w:rPr>
        <w:t>二、总则</w:t>
      </w:r>
    </w:p>
    <w:p>
      <w:pPr>
        <w:spacing w:line="360" w:lineRule="auto"/>
        <w:ind w:firstLine="570"/>
        <w:rPr>
          <w:rFonts w:hint="eastAsia" w:ascii="宋体" w:hAnsi="宋体"/>
          <w:szCs w:val="21"/>
        </w:rPr>
      </w:pPr>
      <w:r>
        <w:rPr>
          <w:rFonts w:hint="eastAsia" w:ascii="宋体" w:hAnsi="宋体"/>
          <w:szCs w:val="21"/>
        </w:rPr>
        <w:t xml:space="preserve">三、招标文件说明  </w:t>
      </w:r>
    </w:p>
    <w:p>
      <w:pPr>
        <w:spacing w:line="360" w:lineRule="auto"/>
        <w:ind w:firstLine="570"/>
        <w:rPr>
          <w:rFonts w:hint="eastAsia" w:ascii="宋体" w:hAnsi="宋体"/>
          <w:szCs w:val="21"/>
        </w:rPr>
      </w:pPr>
      <w:r>
        <w:rPr>
          <w:rFonts w:hint="eastAsia" w:ascii="宋体" w:hAnsi="宋体"/>
          <w:szCs w:val="21"/>
        </w:rPr>
        <w:t xml:space="preserve">四、投标文件的编制 </w:t>
      </w:r>
    </w:p>
    <w:p>
      <w:pPr>
        <w:spacing w:line="360" w:lineRule="auto"/>
        <w:ind w:firstLine="570"/>
        <w:rPr>
          <w:rFonts w:hint="eastAsia" w:ascii="宋体" w:hAnsi="宋体"/>
          <w:szCs w:val="21"/>
        </w:rPr>
      </w:pPr>
      <w:r>
        <w:rPr>
          <w:rFonts w:hint="eastAsia" w:ascii="宋体" w:hAnsi="宋体"/>
          <w:szCs w:val="21"/>
        </w:rPr>
        <w:t xml:space="preserve">五、投标文件的递交  </w:t>
      </w:r>
    </w:p>
    <w:p>
      <w:pPr>
        <w:spacing w:line="360" w:lineRule="auto"/>
        <w:ind w:firstLine="570"/>
        <w:rPr>
          <w:rFonts w:hint="eastAsia" w:ascii="宋体" w:hAnsi="宋体"/>
          <w:szCs w:val="21"/>
        </w:rPr>
      </w:pPr>
      <w:r>
        <w:rPr>
          <w:rFonts w:hint="eastAsia" w:ascii="宋体" w:hAnsi="宋体"/>
          <w:szCs w:val="21"/>
        </w:rPr>
        <w:t xml:space="preserve">六、开标与评审  </w:t>
      </w:r>
    </w:p>
    <w:p>
      <w:pPr>
        <w:spacing w:line="360" w:lineRule="auto"/>
        <w:ind w:firstLine="570"/>
        <w:rPr>
          <w:rFonts w:hint="eastAsia" w:ascii="宋体" w:hAnsi="宋体"/>
          <w:szCs w:val="21"/>
        </w:rPr>
      </w:pPr>
      <w:r>
        <w:rPr>
          <w:rFonts w:hint="eastAsia" w:ascii="宋体" w:hAnsi="宋体"/>
          <w:szCs w:val="21"/>
        </w:rPr>
        <w:t xml:space="preserve">七、授予合同  </w:t>
      </w:r>
    </w:p>
    <w:p>
      <w:pPr>
        <w:tabs>
          <w:tab w:val="left" w:pos="0"/>
        </w:tabs>
        <w:snapToGrid w:val="0"/>
        <w:spacing w:line="360" w:lineRule="auto"/>
        <w:ind w:left="2" w:right="-50" w:rightChars="-24" w:hanging="2"/>
        <w:rPr>
          <w:rFonts w:hint="eastAsia" w:ascii="宋体" w:hAnsi="宋体"/>
          <w:sz w:val="24"/>
        </w:rPr>
      </w:pPr>
      <w:r>
        <w:rPr>
          <w:rFonts w:hint="eastAsia" w:ascii="宋体" w:hAnsi="宋体"/>
          <w:sz w:val="24"/>
        </w:rPr>
        <w:t xml:space="preserve">第三章  招标内容及要求   </w:t>
      </w:r>
    </w:p>
    <w:p>
      <w:pPr>
        <w:tabs>
          <w:tab w:val="left" w:pos="0"/>
        </w:tabs>
        <w:snapToGrid w:val="0"/>
        <w:spacing w:line="360" w:lineRule="auto"/>
        <w:ind w:left="2"/>
        <w:rPr>
          <w:rFonts w:hint="eastAsia" w:ascii="宋体" w:hAnsi="宋体"/>
          <w:sz w:val="24"/>
        </w:rPr>
      </w:pPr>
      <w:r>
        <w:rPr>
          <w:rFonts w:hint="eastAsia" w:ascii="宋体" w:hAnsi="宋体"/>
          <w:sz w:val="24"/>
        </w:rPr>
        <w:t xml:space="preserve">第四章  合同主要条款   </w:t>
      </w:r>
    </w:p>
    <w:p>
      <w:pPr>
        <w:tabs>
          <w:tab w:val="left" w:pos="0"/>
        </w:tabs>
        <w:snapToGrid w:val="0"/>
        <w:spacing w:line="360" w:lineRule="auto"/>
        <w:ind w:left="2"/>
        <w:rPr>
          <w:rFonts w:hint="eastAsia" w:ascii="宋体" w:hAnsi="宋体"/>
          <w:sz w:val="24"/>
        </w:rPr>
      </w:pPr>
      <w:r>
        <w:rPr>
          <w:rFonts w:hint="eastAsia" w:ascii="宋体" w:hAnsi="宋体"/>
          <w:sz w:val="24"/>
        </w:rPr>
        <w:t xml:space="preserve">第五章  投标文件格式  </w:t>
      </w:r>
    </w:p>
    <w:p>
      <w:pPr>
        <w:tabs>
          <w:tab w:val="left" w:pos="0"/>
        </w:tabs>
        <w:snapToGrid w:val="0"/>
        <w:spacing w:line="360" w:lineRule="auto"/>
        <w:ind w:left="2"/>
        <w:rPr>
          <w:rFonts w:hint="eastAsia" w:ascii="宋体" w:hAnsi="宋体"/>
          <w:szCs w:val="21"/>
        </w:rPr>
      </w:pPr>
      <w:r>
        <w:rPr>
          <w:rFonts w:hint="eastAsia" w:ascii="宋体" w:hAnsi="宋体"/>
          <w:sz w:val="24"/>
        </w:rPr>
        <w:t xml:space="preserve">     </w:t>
      </w:r>
      <w:r>
        <w:rPr>
          <w:rFonts w:hint="eastAsia" w:ascii="宋体" w:hAnsi="宋体"/>
          <w:szCs w:val="21"/>
        </w:rPr>
        <w:t>附件一、投标函</w:t>
      </w:r>
    </w:p>
    <w:p>
      <w:pPr>
        <w:tabs>
          <w:tab w:val="left" w:pos="0"/>
        </w:tabs>
        <w:snapToGrid w:val="0"/>
        <w:spacing w:line="360" w:lineRule="auto"/>
        <w:ind w:left="2"/>
        <w:rPr>
          <w:rFonts w:hint="eastAsia" w:ascii="宋体" w:hAnsi="宋体"/>
          <w:szCs w:val="21"/>
        </w:rPr>
      </w:pPr>
      <w:r>
        <w:rPr>
          <w:rFonts w:hint="eastAsia" w:ascii="宋体" w:hAnsi="宋体"/>
          <w:szCs w:val="21"/>
        </w:rPr>
        <w:t xml:space="preserve">      附件二、开标一览表（报价表）</w:t>
      </w:r>
    </w:p>
    <w:p>
      <w:pPr>
        <w:tabs>
          <w:tab w:val="left" w:pos="0"/>
        </w:tabs>
        <w:snapToGrid w:val="0"/>
        <w:spacing w:line="360" w:lineRule="auto"/>
        <w:ind w:left="2"/>
        <w:rPr>
          <w:rFonts w:hint="eastAsia" w:ascii="宋体" w:hAnsi="宋体"/>
          <w:szCs w:val="21"/>
        </w:rPr>
      </w:pPr>
      <w:r>
        <w:rPr>
          <w:rFonts w:hint="eastAsia" w:ascii="宋体" w:hAnsi="宋体"/>
          <w:szCs w:val="21"/>
        </w:rPr>
        <w:t xml:space="preserve">      附件三、投标报价明细表</w:t>
      </w:r>
    </w:p>
    <w:p>
      <w:pPr>
        <w:tabs>
          <w:tab w:val="left" w:pos="0"/>
        </w:tabs>
        <w:snapToGrid w:val="0"/>
        <w:spacing w:line="360" w:lineRule="auto"/>
        <w:ind w:left="2"/>
        <w:rPr>
          <w:rFonts w:hint="eastAsia" w:ascii="宋体" w:hAnsi="宋体"/>
          <w:szCs w:val="21"/>
        </w:rPr>
      </w:pPr>
      <w:r>
        <w:rPr>
          <w:rFonts w:hint="eastAsia" w:ascii="宋体" w:hAnsi="宋体"/>
          <w:szCs w:val="21"/>
        </w:rPr>
        <w:t xml:space="preserve">      附件四、技术规格表</w:t>
      </w:r>
    </w:p>
    <w:p>
      <w:pPr>
        <w:tabs>
          <w:tab w:val="left" w:pos="0"/>
        </w:tabs>
        <w:snapToGrid w:val="0"/>
        <w:spacing w:line="360" w:lineRule="auto"/>
        <w:ind w:left="2"/>
        <w:rPr>
          <w:rFonts w:hint="eastAsia" w:ascii="宋体" w:hAnsi="宋体"/>
          <w:szCs w:val="21"/>
        </w:rPr>
      </w:pPr>
      <w:r>
        <w:rPr>
          <w:rFonts w:hint="eastAsia" w:ascii="宋体" w:hAnsi="宋体"/>
          <w:szCs w:val="21"/>
        </w:rPr>
        <w:t xml:space="preserve">      附件五、技术商务偏离表</w:t>
      </w:r>
    </w:p>
    <w:p>
      <w:pPr>
        <w:tabs>
          <w:tab w:val="left" w:pos="0"/>
        </w:tabs>
        <w:snapToGrid w:val="0"/>
        <w:spacing w:line="360" w:lineRule="auto"/>
        <w:ind w:left="2"/>
        <w:rPr>
          <w:rFonts w:hint="eastAsia" w:ascii="宋体" w:hAnsi="宋体"/>
          <w:szCs w:val="21"/>
        </w:rPr>
      </w:pPr>
      <w:r>
        <w:rPr>
          <w:rFonts w:hint="eastAsia" w:ascii="宋体" w:hAnsi="宋体"/>
          <w:szCs w:val="21"/>
        </w:rPr>
        <w:t xml:space="preserve">      附件六、设备详细说明一览表</w:t>
      </w:r>
    </w:p>
    <w:p>
      <w:pPr>
        <w:tabs>
          <w:tab w:val="left" w:pos="0"/>
        </w:tabs>
        <w:snapToGrid w:val="0"/>
        <w:spacing w:line="360" w:lineRule="auto"/>
        <w:ind w:left="2"/>
        <w:rPr>
          <w:rFonts w:hint="eastAsia" w:ascii="宋体" w:hAnsi="宋体"/>
          <w:szCs w:val="21"/>
        </w:rPr>
      </w:pPr>
      <w:r>
        <w:rPr>
          <w:rFonts w:hint="eastAsia" w:ascii="宋体" w:hAnsi="宋体"/>
          <w:szCs w:val="21"/>
        </w:rPr>
        <w:t xml:space="preserve">      附件七、随机备品备件、专用工具清单（如有）</w:t>
      </w:r>
    </w:p>
    <w:p>
      <w:pPr>
        <w:tabs>
          <w:tab w:val="left" w:pos="0"/>
        </w:tabs>
        <w:snapToGrid w:val="0"/>
        <w:spacing w:line="360" w:lineRule="auto"/>
        <w:ind w:left="2"/>
        <w:rPr>
          <w:rFonts w:hint="eastAsia" w:ascii="宋体" w:hAnsi="宋体"/>
          <w:szCs w:val="21"/>
        </w:rPr>
      </w:pPr>
      <w:r>
        <w:rPr>
          <w:rFonts w:hint="eastAsia" w:ascii="宋体" w:hAnsi="宋体"/>
          <w:szCs w:val="21"/>
        </w:rPr>
        <w:t xml:space="preserve">      附件八、售后服务措施及承诺表</w:t>
      </w:r>
    </w:p>
    <w:p>
      <w:pPr>
        <w:tabs>
          <w:tab w:val="left" w:pos="0"/>
        </w:tabs>
        <w:snapToGrid w:val="0"/>
        <w:spacing w:line="360" w:lineRule="auto"/>
        <w:ind w:left="2"/>
        <w:rPr>
          <w:rFonts w:ascii="宋体" w:hAnsi="宋体"/>
          <w:szCs w:val="21"/>
        </w:rPr>
      </w:pPr>
      <w:r>
        <w:rPr>
          <w:rFonts w:hint="eastAsia" w:ascii="宋体" w:hAnsi="宋体"/>
          <w:szCs w:val="21"/>
        </w:rPr>
        <w:t xml:space="preserve">      附件九、资格说明文件</w:t>
      </w:r>
    </w:p>
    <w:p>
      <w:pPr>
        <w:tabs>
          <w:tab w:val="left" w:pos="0"/>
        </w:tabs>
        <w:snapToGrid w:val="0"/>
        <w:spacing w:line="360" w:lineRule="auto"/>
        <w:ind w:left="2"/>
        <w:rPr>
          <w:rFonts w:hint="eastAsia" w:ascii="宋体" w:hAnsi="宋体"/>
          <w:sz w:val="24"/>
        </w:rPr>
      </w:pPr>
      <w:r>
        <w:rPr>
          <w:rFonts w:hint="eastAsia" w:ascii="宋体" w:hAnsi="宋体"/>
          <w:sz w:val="24"/>
        </w:rPr>
        <w:t xml:space="preserve">第六章  评标原则及方法  </w:t>
      </w:r>
    </w:p>
    <w:p>
      <w:pPr>
        <w:spacing w:line="500" w:lineRule="exact"/>
        <w:ind w:firstLine="442" w:firstLineChars="200"/>
        <w:rPr>
          <w:rFonts w:hint="eastAsia" w:ascii="宋体" w:hAnsi="宋体"/>
          <w:b/>
          <w:bCs/>
          <w:sz w:val="22"/>
          <w:szCs w:val="22"/>
        </w:rPr>
      </w:pPr>
      <w:r>
        <w:rPr>
          <w:rFonts w:hint="eastAsia" w:ascii="宋体" w:hAnsi="宋体"/>
          <w:b/>
          <w:bCs/>
          <w:sz w:val="22"/>
          <w:szCs w:val="22"/>
        </w:rPr>
        <w:t>注：</w:t>
      </w:r>
      <w:r>
        <w:rPr>
          <w:rFonts w:hint="eastAsia" w:ascii="宋体" w:hAnsi="宋体" w:cs="宋体"/>
          <w:b/>
          <w:bCs/>
          <w:sz w:val="22"/>
          <w:szCs w:val="22"/>
        </w:rPr>
        <w:t>本招标文件中部分加“*”、“▲”、“★”的条款，为招标的实质性要求和条件，着重提醒各投标人注意，并认真查看招标文件中的每一个条款及要求，因误读招标文件而造成的后果，招标人概不负责。</w:t>
      </w:r>
    </w:p>
    <w:p>
      <w:pPr>
        <w:spacing w:line="360" w:lineRule="auto"/>
        <w:jc w:val="center"/>
        <w:rPr>
          <w:rFonts w:hint="eastAsia"/>
          <w:b/>
          <w:sz w:val="36"/>
          <w:szCs w:val="36"/>
        </w:rPr>
      </w:pPr>
      <w:r>
        <w:br w:type="page"/>
      </w:r>
      <w:bookmarkStart w:id="0" w:name="_Toc275202074"/>
      <w:r>
        <w:rPr>
          <w:rFonts w:hint="eastAsia"/>
          <w:b/>
          <w:sz w:val="36"/>
          <w:szCs w:val="36"/>
        </w:rPr>
        <w:t>第一章   招标公告</w:t>
      </w:r>
    </w:p>
    <w:p>
      <w:pPr>
        <w:spacing w:line="360" w:lineRule="auto"/>
        <w:jc w:val="center"/>
        <w:rPr>
          <w:rFonts w:hint="eastAsia" w:ascii="宋体" w:hAnsi="宋体"/>
          <w:b/>
          <w:sz w:val="32"/>
          <w:szCs w:val="32"/>
        </w:rPr>
      </w:pPr>
      <w:bookmarkStart w:id="1" w:name="OLE_LINK1"/>
      <w:bookmarkStart w:id="2" w:name="OLE_LINK2"/>
      <w:r>
        <w:rPr>
          <w:rFonts w:hint="eastAsia" w:ascii="宋体" w:hAnsi="宋体"/>
          <w:b/>
          <w:sz w:val="32"/>
          <w:szCs w:val="32"/>
          <w:shd w:val="clear" w:color="auto" w:fill="FFFFFF"/>
        </w:rPr>
        <w:t>浙江首信工程项目管理有限公司</w:t>
      </w:r>
      <w:r>
        <w:rPr>
          <w:rFonts w:hint="eastAsia" w:ascii="宋体" w:hAnsi="宋体"/>
          <w:b/>
          <w:sz w:val="32"/>
          <w:szCs w:val="32"/>
          <w:shd w:val="clear" w:color="auto" w:fill="FFFFFF"/>
          <w:lang w:val="zh-CN"/>
        </w:rPr>
        <w:t>关于</w:t>
      </w:r>
      <w:r>
        <w:rPr>
          <w:rFonts w:hint="eastAsia" w:ascii="宋体" w:hAnsi="宋体"/>
          <w:b/>
          <w:color w:val="000000"/>
          <w:sz w:val="32"/>
          <w:szCs w:val="32"/>
          <w:u w:val="none" w:color="800080"/>
        </w:rPr>
        <w:t>平苍引水北山泵站二次扩容改造工程设备采购及安装项目的</w:t>
      </w:r>
      <w:r>
        <w:rPr>
          <w:rFonts w:hint="eastAsia" w:ascii="宋体" w:hAnsi="宋体"/>
          <w:b/>
          <w:sz w:val="32"/>
          <w:szCs w:val="32"/>
        </w:rPr>
        <w:t>公开招标公告</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7" w:type="dxa"/>
            <w:noWrap w:val="0"/>
            <w:vAlign w:val="top"/>
          </w:tcPr>
          <w:p>
            <w:pPr>
              <w:pStyle w:val="17"/>
              <w:spacing w:before="0" w:beforeAutospacing="0" w:after="0" w:afterAutospacing="0" w:line="360" w:lineRule="auto"/>
              <w:rPr>
                <w:rFonts w:hint="eastAsia" w:ascii="宋体" w:hAnsi="宋体" w:eastAsia="宋体" w:cs="宋体"/>
                <w:sz w:val="22"/>
                <w:szCs w:val="22"/>
              </w:rPr>
            </w:pPr>
            <w:r>
              <w:rPr>
                <w:rFonts w:hint="eastAsia" w:ascii="宋体" w:hAnsi="宋体" w:eastAsia="宋体" w:cs="宋体"/>
                <w:sz w:val="22"/>
                <w:szCs w:val="22"/>
              </w:rPr>
              <w:t xml:space="preserve">项目概况                          </w:t>
            </w:r>
          </w:p>
          <w:p>
            <w:pPr>
              <w:snapToGrid w:val="0"/>
              <w:spacing w:line="360" w:lineRule="auto"/>
              <w:ind w:firstLine="440" w:firstLineChars="200"/>
              <w:rPr>
                <w:rFonts w:hint="eastAsia" w:ascii="宋体" w:hAnsi="宋体" w:cs="宋体"/>
                <w:sz w:val="22"/>
                <w:szCs w:val="22"/>
              </w:rPr>
            </w:pPr>
            <w:r>
              <w:rPr>
                <w:rFonts w:hint="eastAsia" w:ascii="宋体" w:hAnsi="宋体" w:cs="宋体"/>
                <w:bCs/>
                <w:sz w:val="22"/>
                <w:szCs w:val="22"/>
                <w:u w:val="single"/>
              </w:rPr>
              <w:t>平苍引水北山泵站二次扩容改造工程设备采购及安装项目</w:t>
            </w:r>
            <w:r>
              <w:rPr>
                <w:rFonts w:hint="eastAsia" w:ascii="宋体" w:hAnsi="宋体" w:cs="宋体"/>
                <w:sz w:val="22"/>
                <w:szCs w:val="22"/>
              </w:rPr>
              <w:t>招标项目的潜在投标人应在政采云平台（http://zfcg.czt.zj.gov.cn）获取（下载）招标文件，并于2021年  月  日09:30（北京时间）前递交（上传）投标文件。</w:t>
            </w:r>
          </w:p>
        </w:tc>
      </w:tr>
    </w:tbl>
    <w:p>
      <w:pPr>
        <w:pStyle w:val="17"/>
        <w:spacing w:before="0" w:beforeAutospacing="0" w:after="0" w:afterAutospacing="0" w:line="360" w:lineRule="auto"/>
        <w:rPr>
          <w:rFonts w:hint="eastAsia" w:ascii="宋体" w:hAnsi="宋体" w:eastAsia="宋体" w:cs="宋体"/>
          <w:sz w:val="22"/>
          <w:szCs w:val="22"/>
        </w:rPr>
      </w:pPr>
      <w:r>
        <w:rPr>
          <w:rStyle w:val="21"/>
          <w:rFonts w:hint="eastAsia" w:ascii="宋体" w:hAnsi="宋体" w:eastAsia="宋体" w:cs="宋体"/>
          <w:sz w:val="22"/>
          <w:szCs w:val="22"/>
        </w:rPr>
        <w:t>一、项目基本情况</w:t>
      </w:r>
    </w:p>
    <w:p>
      <w:pPr>
        <w:pStyle w:val="17"/>
        <w:spacing w:before="0" w:beforeAutospacing="0" w:after="0" w:afterAutospacing="0" w:line="360" w:lineRule="auto"/>
        <w:ind w:firstLine="330" w:firstLineChars="150"/>
        <w:rPr>
          <w:rFonts w:hint="eastAsia" w:ascii="宋体" w:hAnsi="宋体" w:eastAsia="宋体" w:cs="宋体"/>
          <w:sz w:val="22"/>
          <w:szCs w:val="22"/>
          <w:lang w:eastAsia="zh-CN"/>
        </w:rPr>
      </w:pPr>
      <w:r>
        <w:rPr>
          <w:rFonts w:hint="eastAsia" w:ascii="宋体" w:hAnsi="宋体" w:eastAsia="宋体" w:cs="宋体"/>
          <w:sz w:val="22"/>
          <w:szCs w:val="22"/>
        </w:rPr>
        <w:t>项目编号：LGCG202</w:t>
      </w:r>
      <w:r>
        <w:rPr>
          <w:rFonts w:hint="eastAsia" w:ascii="宋体" w:hAnsi="宋体" w:eastAsia="宋体" w:cs="宋体"/>
          <w:sz w:val="22"/>
          <w:szCs w:val="22"/>
          <w:lang w:val="en-US" w:eastAsia="zh-CN"/>
        </w:rPr>
        <w:t>1</w:t>
      </w:r>
    </w:p>
    <w:p>
      <w:pPr>
        <w:pStyle w:val="17"/>
        <w:spacing w:before="0" w:beforeAutospacing="0" w:after="0" w:afterAutospacing="0" w:line="360" w:lineRule="auto"/>
        <w:ind w:firstLine="330" w:firstLineChars="150"/>
        <w:rPr>
          <w:rFonts w:hint="eastAsia" w:ascii="宋体" w:hAnsi="宋体" w:eastAsia="宋体" w:cs="宋体"/>
          <w:color w:val="auto"/>
          <w:kern w:val="2"/>
          <w:sz w:val="22"/>
          <w:szCs w:val="22"/>
          <w:lang w:val="en-US" w:eastAsia="zh-CN" w:bidi="ar-SA"/>
        </w:rPr>
      </w:pPr>
      <w:r>
        <w:rPr>
          <w:rFonts w:hint="eastAsia" w:ascii="宋体" w:hAnsi="宋体" w:eastAsia="宋体" w:cs="宋体"/>
          <w:sz w:val="22"/>
          <w:szCs w:val="22"/>
        </w:rPr>
        <w:t>项目名称：</w:t>
      </w:r>
      <w:r>
        <w:rPr>
          <w:rFonts w:hint="eastAsia" w:ascii="宋体" w:hAnsi="宋体" w:eastAsia="宋体" w:cs="宋体"/>
          <w:color w:val="auto"/>
          <w:kern w:val="2"/>
          <w:sz w:val="22"/>
          <w:szCs w:val="22"/>
          <w:lang w:val="en-US" w:eastAsia="zh-CN" w:bidi="ar-SA"/>
        </w:rPr>
        <w:t>平苍引水北山泵站二次扩容改造工程设备采购及安装项目</w:t>
      </w:r>
    </w:p>
    <w:p>
      <w:pPr>
        <w:pStyle w:val="17"/>
        <w:spacing w:before="0" w:beforeAutospacing="0" w:after="0" w:afterAutospacing="0" w:line="360" w:lineRule="auto"/>
        <w:ind w:firstLine="330" w:firstLineChars="15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rPr>
        <w:t>预算金额（元）：</w:t>
      </w:r>
      <w:r>
        <w:rPr>
          <w:rFonts w:hint="eastAsia" w:ascii="宋体" w:hAnsi="宋体" w:eastAsia="宋体" w:cs="宋体"/>
          <w:color w:val="auto"/>
          <w:sz w:val="22"/>
          <w:szCs w:val="22"/>
          <w:lang w:val="en-US" w:eastAsia="zh-CN"/>
        </w:rPr>
        <w:t>7929554</w:t>
      </w:r>
    </w:p>
    <w:p>
      <w:pPr>
        <w:pStyle w:val="17"/>
        <w:spacing w:before="0" w:beforeAutospacing="0" w:after="0" w:afterAutospacing="0" w:line="360" w:lineRule="auto"/>
        <w:ind w:firstLine="330" w:firstLineChars="15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rPr>
        <w:t>最高限价（元）：</w:t>
      </w:r>
      <w:r>
        <w:rPr>
          <w:rFonts w:hint="eastAsia" w:ascii="宋体" w:hAnsi="宋体" w:eastAsia="宋体" w:cs="宋体"/>
          <w:color w:val="auto"/>
          <w:sz w:val="22"/>
          <w:szCs w:val="22"/>
          <w:lang w:val="en-US" w:eastAsia="zh-CN"/>
        </w:rPr>
        <w:t>7929554</w:t>
      </w:r>
    </w:p>
    <w:p>
      <w:pPr>
        <w:pStyle w:val="17"/>
        <w:spacing w:before="0" w:beforeAutospacing="0" w:after="0" w:afterAutospacing="0" w:line="360" w:lineRule="auto"/>
        <w:ind w:left="330" w:hanging="330" w:hangingChars="150"/>
        <w:rPr>
          <w:rFonts w:hint="default" w:ascii="宋体" w:hAnsi="宋体" w:eastAsia="宋体" w:cs="宋体"/>
          <w:sz w:val="22"/>
          <w:szCs w:val="22"/>
          <w:lang w:val="en-US" w:eastAsia="zh-CN"/>
        </w:rPr>
      </w:pPr>
      <w:r>
        <w:rPr>
          <w:rFonts w:hint="eastAsia" w:ascii="宋体" w:hAnsi="宋体" w:eastAsia="宋体" w:cs="宋体"/>
          <w:sz w:val="22"/>
          <w:szCs w:val="22"/>
        </w:rPr>
        <w:t>采购需求：</w:t>
      </w:r>
      <w:r>
        <w:rPr>
          <w:rFonts w:hint="eastAsia" w:ascii="宋体" w:hAnsi="宋体" w:eastAsia="宋体" w:cs="宋体"/>
          <w:color w:val="auto"/>
          <w:sz w:val="22"/>
          <w:szCs w:val="22"/>
        </w:rPr>
        <w:br w:type="textWrapping"/>
      </w:r>
      <w:r>
        <w:rPr>
          <w:rFonts w:hint="eastAsia" w:ascii="宋体" w:hAnsi="宋体" w:eastAsia="宋体" w:cs="宋体"/>
          <w:color w:val="auto"/>
          <w:sz w:val="22"/>
          <w:szCs w:val="22"/>
        </w:rPr>
        <w:t>标项名称:</w:t>
      </w:r>
      <w:r>
        <w:rPr>
          <w:rFonts w:hint="eastAsia" w:ascii="宋体" w:hAnsi="宋体" w:eastAsia="宋体" w:cs="宋体"/>
          <w:color w:val="auto"/>
          <w:kern w:val="2"/>
          <w:sz w:val="22"/>
          <w:szCs w:val="22"/>
          <w:lang w:val="en-US" w:eastAsia="zh-CN" w:bidi="ar-SA"/>
        </w:rPr>
        <w:t>平苍引水北山泵站二次扩容改造工程设备采购及安装项目 </w:t>
      </w:r>
      <w:r>
        <w:rPr>
          <w:rFonts w:hint="eastAsia" w:ascii="宋体" w:hAnsi="宋体" w:eastAsia="宋体" w:cs="宋体"/>
          <w:color w:val="auto"/>
          <w:kern w:val="2"/>
          <w:sz w:val="22"/>
          <w:szCs w:val="22"/>
          <w:lang w:val="en-US" w:eastAsia="zh-CN" w:bidi="ar-SA"/>
        </w:rPr>
        <w:br w:type="textWrapping"/>
      </w:r>
      <w:r>
        <w:rPr>
          <w:rFonts w:hint="eastAsia" w:ascii="宋体" w:hAnsi="宋体" w:eastAsia="宋体" w:cs="宋体"/>
          <w:color w:val="auto"/>
          <w:sz w:val="22"/>
          <w:szCs w:val="22"/>
        </w:rPr>
        <w:t>数量:不限</w:t>
      </w:r>
      <w:r>
        <w:rPr>
          <w:rFonts w:hint="eastAsia" w:ascii="宋体" w:hAnsi="宋体" w:eastAsia="宋体" w:cs="宋体"/>
          <w:sz w:val="22"/>
          <w:szCs w:val="22"/>
        </w:rPr>
        <w:br w:type="textWrapping"/>
      </w:r>
      <w:r>
        <w:rPr>
          <w:rFonts w:hint="eastAsia" w:ascii="宋体" w:hAnsi="宋体" w:eastAsia="宋体" w:cs="宋体"/>
          <w:sz w:val="22"/>
          <w:szCs w:val="22"/>
        </w:rPr>
        <w:t>预算金额（元）：</w:t>
      </w:r>
      <w:r>
        <w:rPr>
          <w:rFonts w:hint="eastAsia" w:ascii="宋体" w:hAnsi="宋体" w:eastAsia="宋体" w:cs="宋体"/>
          <w:color w:val="auto"/>
          <w:sz w:val="22"/>
          <w:szCs w:val="22"/>
          <w:lang w:val="en-US" w:eastAsia="zh-CN"/>
        </w:rPr>
        <w:t>7929554</w:t>
      </w:r>
    </w:p>
    <w:p>
      <w:pPr>
        <w:spacing w:line="360" w:lineRule="auto"/>
        <w:ind w:left="359" w:leftChars="171"/>
        <w:rPr>
          <w:rFonts w:hint="eastAsia" w:ascii="宋体" w:hAnsi="宋体" w:cs="宋体"/>
          <w:sz w:val="22"/>
          <w:szCs w:val="22"/>
        </w:rPr>
      </w:pPr>
      <w:r>
        <w:rPr>
          <w:rFonts w:hint="eastAsia" w:ascii="宋体" w:hAnsi="宋体" w:cs="宋体"/>
          <w:sz w:val="22"/>
          <w:szCs w:val="22"/>
        </w:rPr>
        <w:t>简要规格描述或项目基本概况介绍、用途：详见招标文件 </w:t>
      </w:r>
      <w:r>
        <w:rPr>
          <w:rFonts w:hint="eastAsia" w:ascii="宋体" w:hAnsi="宋体" w:cs="宋体"/>
          <w:sz w:val="22"/>
          <w:szCs w:val="22"/>
        </w:rPr>
        <w:br w:type="textWrapping"/>
      </w:r>
      <w:r>
        <w:rPr>
          <w:rFonts w:hint="eastAsia" w:ascii="宋体" w:hAnsi="宋体" w:cs="宋体"/>
          <w:sz w:val="22"/>
          <w:szCs w:val="22"/>
        </w:rPr>
        <w:t>备注：</w:t>
      </w:r>
    </w:p>
    <w:p>
      <w:pPr>
        <w:pStyle w:val="17"/>
        <w:spacing w:before="0" w:beforeAutospacing="0" w:after="0" w:afterAutospacing="0" w:line="360" w:lineRule="auto"/>
        <w:ind w:firstLine="330" w:firstLineChars="150"/>
        <w:rPr>
          <w:rFonts w:hint="eastAsia" w:ascii="宋体" w:hAnsi="宋体" w:eastAsia="宋体" w:cs="宋体"/>
          <w:sz w:val="22"/>
          <w:szCs w:val="22"/>
        </w:rPr>
      </w:pPr>
      <w:r>
        <w:rPr>
          <w:rFonts w:hint="eastAsia" w:ascii="宋体" w:hAnsi="宋体" w:eastAsia="宋体" w:cs="宋体"/>
          <w:sz w:val="22"/>
          <w:szCs w:val="22"/>
        </w:rPr>
        <w:t>合同履约期限：详见招标文件</w:t>
      </w:r>
    </w:p>
    <w:p>
      <w:pPr>
        <w:pStyle w:val="17"/>
        <w:spacing w:before="0" w:beforeAutospacing="0" w:after="0" w:afterAutospacing="0" w:line="360" w:lineRule="auto"/>
        <w:ind w:firstLine="330" w:firstLineChars="150"/>
        <w:rPr>
          <w:rFonts w:hint="eastAsia" w:ascii="宋体" w:hAnsi="宋体" w:eastAsia="宋体" w:cs="宋体"/>
          <w:sz w:val="22"/>
          <w:szCs w:val="22"/>
        </w:rPr>
      </w:pPr>
      <w:r>
        <w:rPr>
          <w:rFonts w:hint="eastAsia" w:ascii="宋体" w:hAnsi="宋体" w:eastAsia="宋体" w:cs="宋体"/>
          <w:sz w:val="22"/>
          <w:szCs w:val="22"/>
        </w:rPr>
        <w:t>本项目（否）接受联合体投标。</w:t>
      </w:r>
    </w:p>
    <w:p>
      <w:pPr>
        <w:pStyle w:val="17"/>
        <w:spacing w:before="0" w:beforeAutospacing="0" w:after="0" w:afterAutospacing="0" w:line="360" w:lineRule="auto"/>
        <w:rPr>
          <w:rFonts w:hint="eastAsia" w:ascii="宋体" w:hAnsi="宋体" w:eastAsia="宋体" w:cs="宋体"/>
          <w:sz w:val="22"/>
          <w:szCs w:val="22"/>
        </w:rPr>
      </w:pPr>
      <w:r>
        <w:rPr>
          <w:rStyle w:val="21"/>
          <w:rFonts w:hint="eastAsia" w:ascii="宋体" w:hAnsi="宋体" w:eastAsia="宋体" w:cs="宋体"/>
          <w:sz w:val="22"/>
          <w:szCs w:val="22"/>
        </w:rPr>
        <w:t>二、申请人的资格要求：</w:t>
      </w:r>
    </w:p>
    <w:p>
      <w:pPr>
        <w:spacing w:before="80" w:after="80" w:line="400" w:lineRule="exact"/>
        <w:ind w:right="80" w:firstLine="440" w:firstLineChars="200"/>
        <w:rPr>
          <w:rFonts w:ascii="宋体" w:hAnsi="宋体" w:cs="宋体"/>
          <w:sz w:val="22"/>
          <w:szCs w:val="22"/>
        </w:rPr>
      </w:pPr>
      <w:r>
        <w:rPr>
          <w:rFonts w:ascii="宋体" w:hAnsi="宋体" w:cs="宋体"/>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before="80" w:after="80" w:line="400" w:lineRule="exact"/>
        <w:ind w:right="80" w:firstLine="440" w:firstLineChars="200"/>
        <w:rPr>
          <w:rFonts w:hint="eastAsia" w:ascii="宋体" w:hAnsi="宋体" w:cs="宋体"/>
          <w:sz w:val="22"/>
          <w:szCs w:val="22"/>
        </w:rPr>
      </w:pPr>
      <w:r>
        <w:rPr>
          <w:rFonts w:ascii="宋体" w:hAnsi="宋体" w:cs="宋体"/>
          <w:sz w:val="22"/>
          <w:szCs w:val="22"/>
        </w:rPr>
        <w:t>2.落实政府采购政策需满足的资格要求：</w:t>
      </w:r>
      <w:r>
        <w:rPr>
          <w:rFonts w:hint="eastAsia" w:ascii="宋体" w:hAnsi="宋体" w:cs="宋体"/>
          <w:sz w:val="22"/>
          <w:szCs w:val="22"/>
        </w:rPr>
        <w:t>无</w:t>
      </w:r>
    </w:p>
    <w:p>
      <w:pPr>
        <w:spacing w:before="80" w:after="80" w:line="400" w:lineRule="exact"/>
        <w:ind w:right="80" w:firstLine="440" w:firstLineChars="200"/>
        <w:rPr>
          <w:rFonts w:hint="eastAsia" w:ascii="宋体" w:hAnsi="宋体" w:cs="宋体"/>
          <w:sz w:val="22"/>
          <w:szCs w:val="22"/>
        </w:rPr>
      </w:pPr>
      <w:r>
        <w:rPr>
          <w:rFonts w:ascii="宋体" w:hAnsi="宋体" w:cs="宋体"/>
          <w:sz w:val="22"/>
          <w:szCs w:val="22"/>
        </w:rPr>
        <w:t>3.本项目的特定资格要求：</w:t>
      </w:r>
      <w:r>
        <w:rPr>
          <w:rFonts w:hint="eastAsia" w:ascii="宋体" w:hAnsi="宋体" w:cs="宋体"/>
          <w:sz w:val="22"/>
          <w:szCs w:val="22"/>
        </w:rPr>
        <w:t>无</w:t>
      </w:r>
    </w:p>
    <w:p>
      <w:pPr>
        <w:pStyle w:val="17"/>
        <w:spacing w:before="0" w:beforeAutospacing="0" w:after="0" w:afterAutospacing="0" w:line="360" w:lineRule="auto"/>
        <w:jc w:val="both"/>
        <w:rPr>
          <w:rFonts w:hint="eastAsia" w:ascii="宋体" w:hAnsi="宋体" w:eastAsia="宋体" w:cs="宋体"/>
          <w:sz w:val="22"/>
          <w:szCs w:val="22"/>
        </w:rPr>
      </w:pPr>
      <w:r>
        <w:rPr>
          <w:rStyle w:val="21"/>
          <w:rFonts w:hint="eastAsia" w:ascii="宋体" w:hAnsi="宋体" w:eastAsia="宋体" w:cs="宋体"/>
          <w:sz w:val="22"/>
          <w:szCs w:val="22"/>
        </w:rPr>
        <w:t>三、获取招标文件</w:t>
      </w:r>
      <w:r>
        <w:rPr>
          <w:rFonts w:hint="eastAsia" w:ascii="宋体" w:hAnsi="宋体" w:eastAsia="宋体" w:cs="宋体"/>
          <w:sz w:val="22"/>
          <w:szCs w:val="22"/>
        </w:rPr>
        <w:t> </w:t>
      </w:r>
    </w:p>
    <w:p>
      <w:pPr>
        <w:spacing w:before="80" w:after="80" w:line="400" w:lineRule="exact"/>
        <w:ind w:right="80" w:firstLine="440" w:firstLineChars="200"/>
        <w:rPr>
          <w:rFonts w:hint="eastAsia" w:ascii="宋体" w:hAnsi="宋体" w:cs="宋体"/>
          <w:sz w:val="22"/>
          <w:szCs w:val="22"/>
        </w:rPr>
      </w:pPr>
      <w:r>
        <w:rPr>
          <w:rFonts w:hint="eastAsia" w:ascii="宋体" w:hAnsi="宋体" w:cs="宋体"/>
          <w:sz w:val="22"/>
          <w:szCs w:val="22"/>
        </w:rPr>
        <w:t>时间：/至2021年  月  日 ，每天上午00:00至12:00 ，下午12:00至23:59（北京时间，线上获取法定节假日均可，线下获取文件法定节假日除外）</w:t>
      </w:r>
    </w:p>
    <w:p>
      <w:pPr>
        <w:spacing w:before="80" w:after="80" w:line="400" w:lineRule="exact"/>
        <w:ind w:right="80" w:firstLine="440" w:firstLineChars="200"/>
        <w:rPr>
          <w:rFonts w:hint="eastAsia" w:ascii="宋体" w:hAnsi="宋体" w:cs="宋体"/>
          <w:sz w:val="22"/>
          <w:szCs w:val="22"/>
        </w:rPr>
      </w:pPr>
      <w:r>
        <w:rPr>
          <w:rFonts w:hint="eastAsia" w:ascii="宋体" w:hAnsi="宋体" w:cs="宋体"/>
          <w:sz w:val="22"/>
          <w:szCs w:val="22"/>
        </w:rPr>
        <w:t xml:space="preserve">地点（网址）：政采云平台（http://zfcg.czt.zj.gov.cn） </w:t>
      </w:r>
    </w:p>
    <w:p>
      <w:pPr>
        <w:spacing w:before="80" w:after="80" w:line="300" w:lineRule="exact"/>
        <w:ind w:right="80" w:firstLine="440" w:firstLineChars="200"/>
        <w:rPr>
          <w:rFonts w:hint="eastAsia" w:ascii="宋体" w:hAnsi="宋体"/>
          <w:sz w:val="22"/>
          <w:szCs w:val="22"/>
        </w:rPr>
      </w:pPr>
      <w:r>
        <w:rPr>
          <w:rFonts w:hint="eastAsia" w:ascii="宋体" w:hAnsi="宋体" w:cs="宋体"/>
          <w:bCs/>
          <w:sz w:val="22"/>
          <w:szCs w:val="22"/>
        </w:rPr>
        <w:t>方式：网上下载</w:t>
      </w:r>
      <w:r>
        <w:rPr>
          <w:rFonts w:hint="eastAsia" w:ascii="宋体" w:hAnsi="宋体"/>
          <w:sz w:val="22"/>
          <w:szCs w:val="22"/>
        </w:rPr>
        <w:t>（供应商需将报名资料扫描件发送至代理机构电子邮箱：</w:t>
      </w:r>
      <w:r>
        <w:rPr>
          <w:rFonts w:hint="eastAsia" w:ascii="宋体" w:hAnsi="宋体"/>
          <w:sz w:val="22"/>
          <w:szCs w:val="22"/>
        </w:rPr>
        <w:fldChar w:fldCharType="begin"/>
      </w:r>
      <w:r>
        <w:rPr>
          <w:rFonts w:hint="eastAsia" w:ascii="宋体" w:hAnsi="宋体"/>
          <w:sz w:val="22"/>
          <w:szCs w:val="22"/>
        </w:rPr>
        <w:instrText xml:space="preserve"> HYPERLINK "mailto:524613944@qq.com" </w:instrText>
      </w:r>
      <w:r>
        <w:rPr>
          <w:rFonts w:hint="eastAsia" w:ascii="宋体" w:hAnsi="宋体"/>
          <w:sz w:val="22"/>
          <w:szCs w:val="22"/>
        </w:rPr>
        <w:fldChar w:fldCharType="separate"/>
      </w:r>
      <w:r>
        <w:rPr>
          <w:rFonts w:hint="eastAsia" w:ascii="宋体" w:hAnsi="宋体"/>
          <w:sz w:val="22"/>
          <w:szCs w:val="22"/>
        </w:rPr>
        <w:t>524613944@qq.com</w:t>
      </w:r>
      <w:r>
        <w:rPr>
          <w:rFonts w:hint="eastAsia" w:ascii="宋体" w:hAnsi="宋体"/>
          <w:sz w:val="22"/>
          <w:szCs w:val="22"/>
        </w:rPr>
        <w:fldChar w:fldCharType="end"/>
      </w:r>
      <w:r>
        <w:rPr>
          <w:rFonts w:hint="eastAsia" w:ascii="宋体" w:hAnsi="宋体"/>
          <w:sz w:val="22"/>
          <w:szCs w:val="22"/>
        </w:rPr>
        <w:t>）</w:t>
      </w:r>
    </w:p>
    <w:p>
      <w:pPr>
        <w:spacing w:line="300" w:lineRule="exact"/>
        <w:rPr>
          <w:rFonts w:hint="eastAsia" w:ascii="宋体" w:hAnsi="宋体" w:cs="宋体"/>
          <w:sz w:val="22"/>
          <w:szCs w:val="22"/>
        </w:rPr>
      </w:pPr>
      <w:r>
        <w:rPr>
          <w:rFonts w:hint="eastAsia" w:ascii="宋体" w:hAnsi="宋体" w:cs="宋体"/>
          <w:sz w:val="22"/>
          <w:szCs w:val="22"/>
        </w:rPr>
        <w:t xml:space="preserve">    售价（元）：0  </w:t>
      </w:r>
    </w:p>
    <w:p>
      <w:pPr>
        <w:pStyle w:val="17"/>
        <w:spacing w:before="0" w:beforeAutospacing="0" w:after="0" w:afterAutospacing="0" w:line="360" w:lineRule="auto"/>
        <w:jc w:val="both"/>
        <w:rPr>
          <w:rFonts w:hint="eastAsia" w:ascii="宋体" w:hAnsi="宋体" w:eastAsia="宋体" w:cs="宋体"/>
          <w:sz w:val="22"/>
          <w:szCs w:val="22"/>
        </w:rPr>
      </w:pPr>
      <w:r>
        <w:rPr>
          <w:rStyle w:val="21"/>
          <w:rFonts w:hint="eastAsia" w:ascii="宋体" w:hAnsi="宋体" w:eastAsia="宋体" w:cs="宋体"/>
          <w:sz w:val="22"/>
          <w:szCs w:val="22"/>
        </w:rPr>
        <w:t>四、提交投标文件截止时间、开标时间和地点</w:t>
      </w:r>
    </w:p>
    <w:p>
      <w:pPr>
        <w:pStyle w:val="17"/>
        <w:spacing w:before="0" w:beforeAutospacing="0" w:after="0" w:afterAutospacing="0"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提交投标文件截止时间：2021年  月  日09:30（北京时间）</w:t>
      </w:r>
    </w:p>
    <w:p>
      <w:pPr>
        <w:pStyle w:val="17"/>
        <w:spacing w:before="0" w:beforeAutospacing="0" w:after="0" w:afterAutospacing="0"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投标地点：龙港市公共资源交易中心收标区（龙港市世纪大道4518号龙港市政务客厅4楼）</w:t>
      </w:r>
    </w:p>
    <w:p>
      <w:pPr>
        <w:pStyle w:val="17"/>
        <w:spacing w:before="0" w:beforeAutospacing="0" w:after="0" w:afterAutospacing="0"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开标时间：2021年  月  日09:30 </w:t>
      </w:r>
    </w:p>
    <w:p>
      <w:pPr>
        <w:pStyle w:val="17"/>
        <w:spacing w:before="0" w:beforeAutospacing="0" w:after="0" w:afterAutospacing="0"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开标地点：龙港市公共资源交易中心开标室（龙港市世纪大道4518号龙港市政务客厅4楼） </w:t>
      </w:r>
    </w:p>
    <w:p>
      <w:pPr>
        <w:pStyle w:val="17"/>
        <w:spacing w:before="0" w:beforeAutospacing="0" w:after="0" w:afterAutospacing="0" w:line="360" w:lineRule="auto"/>
        <w:jc w:val="both"/>
        <w:rPr>
          <w:rFonts w:hint="eastAsia" w:ascii="宋体" w:hAnsi="宋体" w:eastAsia="宋体" w:cs="宋体"/>
          <w:sz w:val="22"/>
          <w:szCs w:val="22"/>
        </w:rPr>
      </w:pPr>
      <w:r>
        <w:rPr>
          <w:rStyle w:val="21"/>
          <w:rFonts w:hint="eastAsia" w:ascii="宋体" w:hAnsi="宋体" w:eastAsia="宋体" w:cs="宋体"/>
          <w:sz w:val="22"/>
          <w:szCs w:val="22"/>
        </w:rPr>
        <w:t>五、公告期限</w:t>
      </w:r>
      <w:r>
        <w:rPr>
          <w:rFonts w:hint="eastAsia" w:ascii="宋体" w:hAnsi="宋体" w:eastAsia="宋体" w:cs="宋体"/>
          <w:sz w:val="22"/>
          <w:szCs w:val="22"/>
        </w:rPr>
        <w:t> </w:t>
      </w:r>
    </w:p>
    <w:p>
      <w:pPr>
        <w:pStyle w:val="17"/>
        <w:spacing w:before="0" w:beforeAutospacing="0" w:after="0" w:afterAutospacing="0"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自本公告发布之日起5个工作日。</w:t>
      </w:r>
    </w:p>
    <w:p>
      <w:pPr>
        <w:pStyle w:val="17"/>
        <w:spacing w:before="0" w:beforeAutospacing="0" w:after="0" w:afterAutospacing="0" w:line="360" w:lineRule="auto"/>
        <w:jc w:val="both"/>
        <w:rPr>
          <w:rFonts w:hint="eastAsia" w:ascii="宋体" w:hAnsi="宋体" w:eastAsia="宋体" w:cs="宋体"/>
          <w:sz w:val="22"/>
          <w:szCs w:val="22"/>
        </w:rPr>
      </w:pPr>
      <w:r>
        <w:rPr>
          <w:rStyle w:val="21"/>
          <w:rFonts w:hint="eastAsia" w:ascii="宋体" w:hAnsi="宋体" w:eastAsia="宋体" w:cs="宋体"/>
          <w:sz w:val="22"/>
          <w:szCs w:val="22"/>
        </w:rPr>
        <w:t>六、其他补充事宜</w:t>
      </w:r>
    </w:p>
    <w:p>
      <w:pPr>
        <w:pStyle w:val="17"/>
        <w:spacing w:before="0" w:beforeAutospacing="0" w:after="0" w:afterAutospacing="0" w:line="360" w:lineRule="auto"/>
        <w:ind w:firstLine="330" w:firstLineChars="150"/>
        <w:jc w:val="both"/>
        <w:rPr>
          <w:rFonts w:hint="eastAsia" w:ascii="宋体" w:hAnsi="宋体" w:eastAsia="宋体" w:cs="宋体"/>
          <w:sz w:val="22"/>
          <w:szCs w:val="22"/>
        </w:rPr>
      </w:pPr>
      <w:r>
        <w:rPr>
          <w:rFonts w:hint="eastAsia" w:ascii="宋体" w:hAnsi="Times New Roman" w:eastAsia="宋体"/>
          <w:color w:val="auto"/>
          <w:sz w:val="22"/>
          <w:szCs w:val="22"/>
        </w:rPr>
        <w:t>1.</w:t>
      </w:r>
      <w:r>
        <w:rPr>
          <w:rFonts w:hint="eastAsia" w:ascii="宋体" w:hAnsi="宋体" w:eastAsia="宋体" w:cs="宋体"/>
          <w:sz w:val="22"/>
          <w:szCs w:val="22"/>
        </w:rPr>
        <w:t>根据《政府采购质疑和投诉办法》（财政部令第94号）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供应商应在法定质疑期内一次性提出针对同一采购程序环节的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17"/>
        <w:spacing w:before="0" w:beforeAutospacing="0" w:after="0" w:afterAutospacing="0" w:line="360" w:lineRule="auto"/>
        <w:ind w:firstLine="330" w:firstLineChars="150"/>
        <w:jc w:val="both"/>
        <w:rPr>
          <w:rFonts w:hint="eastAsia" w:ascii="宋体" w:hAnsi="宋体" w:eastAsia="宋体" w:cs="宋体"/>
          <w:sz w:val="22"/>
          <w:szCs w:val="22"/>
        </w:rPr>
      </w:pPr>
      <w:r>
        <w:rPr>
          <w:rFonts w:hint="eastAsia" w:ascii="宋体" w:hAnsi="Times New Roman" w:eastAsia="宋体"/>
          <w:color w:val="auto"/>
          <w:sz w:val="22"/>
          <w:szCs w:val="22"/>
        </w:rPr>
        <w:t xml:space="preserve">   </w:t>
      </w:r>
      <w:r>
        <w:rPr>
          <w:rFonts w:ascii="宋体" w:hAnsi="Times New Roman" w:eastAsia="宋体"/>
          <w:color w:val="auto"/>
          <w:sz w:val="22"/>
          <w:szCs w:val="22"/>
        </w:rPr>
        <w:t xml:space="preserve"> </w:t>
      </w:r>
      <w:r>
        <w:rPr>
          <w:rFonts w:hint="eastAsia" w:ascii="宋体" w:hAnsi="Times New Roman" w:eastAsia="宋体"/>
          <w:color w:val="auto"/>
          <w:sz w:val="22"/>
          <w:szCs w:val="22"/>
        </w:rPr>
        <w:t>2、其他事项：①供应商获取招标文件时须提交的文件资料：1）报名登记表；2）有效的工商营业执照及税务登记证或三证合一营业执照；3）其它相关证明文件。供应商需将报名资料扫描件发送至代理机构电子邮箱：</w:t>
      </w:r>
      <w:r>
        <w:rPr>
          <w:rFonts w:ascii="宋体" w:hAnsi="Times New Roman" w:eastAsia="宋体"/>
          <w:color w:val="auto"/>
          <w:sz w:val="22"/>
          <w:szCs w:val="22"/>
        </w:rPr>
        <w:fldChar w:fldCharType="begin"/>
      </w:r>
      <w:r>
        <w:rPr>
          <w:rFonts w:ascii="宋体" w:hAnsi="Times New Roman" w:eastAsia="宋体"/>
          <w:color w:val="auto"/>
          <w:sz w:val="22"/>
          <w:szCs w:val="22"/>
        </w:rPr>
        <w:instrText xml:space="preserve"> HYPERLINK "mailto:249119727@qq.com。" </w:instrText>
      </w:r>
      <w:r>
        <w:rPr>
          <w:rFonts w:ascii="宋体" w:hAnsi="Times New Roman" w:eastAsia="宋体"/>
          <w:color w:val="auto"/>
          <w:sz w:val="22"/>
          <w:szCs w:val="22"/>
        </w:rPr>
        <w:fldChar w:fldCharType="separate"/>
      </w:r>
      <w:r>
        <w:rPr>
          <w:rFonts w:hint="eastAsia" w:ascii="宋体" w:hAnsi="Times New Roman" w:eastAsia="宋体"/>
          <w:color w:val="auto"/>
          <w:sz w:val="22"/>
          <w:szCs w:val="22"/>
        </w:rPr>
        <w:t>524613944@qq.com。</w:t>
      </w:r>
      <w:r>
        <w:rPr>
          <w:rFonts w:hint="eastAsia" w:ascii="宋体" w:hAnsi="Times New Roman" w:eastAsia="宋体"/>
          <w:color w:val="auto"/>
          <w:sz w:val="22"/>
          <w:szCs w:val="22"/>
        </w:rPr>
        <w:fldChar w:fldCharType="end"/>
      </w:r>
      <w:r>
        <w:rPr>
          <w:rFonts w:hint="eastAsia" w:ascii="宋体" w:hAnsi="Times New Roman" w:eastAsia="宋体"/>
          <w:color w:val="auto"/>
          <w:sz w:val="22"/>
          <w:szCs w:val="22"/>
        </w:rPr>
        <w:t>②招标公告附件内的招标文件（或采购需求）仅供阅览使用，供应商只有在“浙江省政府采购网（http://zfcg.czt.zj.gov.cn/）”下载了招标文件并按规定提交报名资料后才视作依法获取招标文件（法律法规所指的供应商获取招标文件时间以供应商提交报名资料的时间为准）。③供应商须在递交投标文件截止时间前提交报名资料并与代理机构电询确认，否则其投标均视为无效，并不得对招标文件提起质疑投诉。</w:t>
      </w:r>
    </w:p>
    <w:p>
      <w:pPr>
        <w:pStyle w:val="17"/>
        <w:spacing w:before="0" w:beforeAutospacing="0" w:after="0" w:afterAutospacing="0" w:line="360" w:lineRule="auto"/>
        <w:ind w:firstLine="330" w:firstLineChars="150"/>
        <w:jc w:val="both"/>
        <w:rPr>
          <w:rFonts w:hint="eastAsia" w:ascii="宋体" w:hAnsi="宋体" w:eastAsia="宋体" w:cs="宋体"/>
          <w:sz w:val="22"/>
          <w:szCs w:val="22"/>
        </w:rPr>
      </w:pPr>
      <w:r>
        <w:rPr>
          <w:rFonts w:hint="eastAsia" w:ascii="宋体" w:hAnsi="Times New Roman" w:eastAsia="宋体"/>
          <w:color w:val="auto"/>
          <w:sz w:val="22"/>
          <w:szCs w:val="22"/>
        </w:rPr>
        <w:t>3、落实的政府采购政策：</w:t>
      </w:r>
    </w:p>
    <w:p>
      <w:pPr>
        <w:pStyle w:val="17"/>
        <w:spacing w:before="0" w:beforeAutospacing="0" w:after="0" w:afterAutospacing="0" w:line="360" w:lineRule="auto"/>
        <w:ind w:firstLine="330" w:firstLineChars="150"/>
        <w:jc w:val="both"/>
        <w:rPr>
          <w:rFonts w:hint="eastAsia" w:ascii="宋体" w:hAnsi="宋体" w:eastAsia="宋体" w:cs="宋体"/>
          <w:sz w:val="22"/>
          <w:szCs w:val="22"/>
        </w:rPr>
      </w:pPr>
      <w:r>
        <w:rPr>
          <w:rFonts w:hint="eastAsia" w:ascii="宋体" w:hAnsi="Times New Roman" w:eastAsia="宋体"/>
          <w:color w:val="auto"/>
          <w:sz w:val="22"/>
          <w:szCs w:val="22"/>
        </w:rPr>
        <w:t>（1）小、微企业价格扣除扶持政策：本项目在报价分评审时依据《政府采购促进中小企业发展管理办法》（财库〔2020〕46 号）、《浙江省财政厅、浙江省中小企业局转发财政部工业和信息化部关于印发&lt;政府采购促进中小企业发展暂行办法&gt;的通知》（浙财采监〔2012〕11 号）相关规定，对小型和微型企业给予价格优惠扶持，用扣除后的价格参与评审，具体规定见“第六部分评标定标办法”。</w:t>
      </w:r>
    </w:p>
    <w:p>
      <w:pPr>
        <w:pStyle w:val="17"/>
        <w:spacing w:before="0" w:beforeAutospacing="0" w:after="0" w:afterAutospacing="0" w:line="360" w:lineRule="auto"/>
        <w:ind w:firstLine="330" w:firstLineChars="150"/>
        <w:jc w:val="both"/>
        <w:rPr>
          <w:rFonts w:hint="eastAsia" w:ascii="宋体" w:hAnsi="宋体" w:eastAsia="宋体" w:cs="宋体"/>
          <w:sz w:val="22"/>
          <w:szCs w:val="22"/>
        </w:rPr>
      </w:pPr>
      <w:r>
        <w:rPr>
          <w:rFonts w:hint="eastAsia" w:ascii="宋体" w:hAnsi="Times New Roman" w:eastAsia="宋体"/>
          <w:color w:val="auto"/>
          <w:sz w:val="22"/>
          <w:szCs w:val="22"/>
        </w:rPr>
        <w:t>（2）监狱企业、残疾人福利性单位价格扣除扶持政策：符合《财政部、司法部关于政府采购支持监狱企业发展有关问题的通知》（财库[2014]68 号）规定的“监狱企业”和符合《财政部、民政部、中国残疾人联合会关于促进残疾人就业政府采购政策的通知》（财库[2017]141 号）规定的“残疾人福利性单位”，参照小、微企业给予相同价格优惠扶持，用扣除后的价格参与评审，具体规定见“第六部分评标定标办法”。</w:t>
      </w:r>
    </w:p>
    <w:p>
      <w:pPr>
        <w:pStyle w:val="17"/>
        <w:spacing w:before="0" w:beforeAutospacing="0" w:after="0" w:afterAutospacing="0" w:line="360" w:lineRule="auto"/>
        <w:ind w:firstLine="330" w:firstLineChars="150"/>
        <w:jc w:val="both"/>
        <w:rPr>
          <w:rFonts w:hint="eastAsia" w:ascii="宋体" w:hAnsi="宋体" w:eastAsia="宋体" w:cs="宋体"/>
          <w:sz w:val="22"/>
          <w:szCs w:val="22"/>
        </w:rPr>
      </w:pPr>
      <w:r>
        <w:rPr>
          <w:rFonts w:hint="eastAsia" w:ascii="宋体" w:hAnsi="Times New Roman" w:eastAsia="宋体"/>
          <w:color w:val="auto"/>
          <w:sz w:val="22"/>
          <w:szCs w:val="22"/>
        </w:rPr>
        <w:t>4、潜在供应商可在浙江政府采购网进行免费注册，进入浙江省政府采购供应商库，具体详见浙江政府采购网供应商注册要求（网址：</w:t>
      </w:r>
      <w:r>
        <w:rPr>
          <w:rFonts w:hint="eastAsia" w:ascii="宋体" w:hAnsi="Times New Roman" w:eastAsia="宋体"/>
          <w:color w:val="auto"/>
          <w:sz w:val="22"/>
          <w:szCs w:val="22"/>
        </w:rPr>
        <w:fldChar w:fldCharType="begin"/>
      </w:r>
      <w:r>
        <w:rPr>
          <w:rFonts w:hint="eastAsia" w:ascii="宋体" w:hAnsi="Times New Roman" w:eastAsia="宋体"/>
          <w:color w:val="auto"/>
          <w:sz w:val="22"/>
          <w:szCs w:val="22"/>
        </w:rPr>
        <w:instrText xml:space="preserve"> HYPERLINK "http://zfcg.czt.zj.gov.cn" </w:instrText>
      </w:r>
      <w:r>
        <w:rPr>
          <w:rFonts w:hint="eastAsia" w:ascii="宋体" w:hAnsi="Times New Roman" w:eastAsia="宋体"/>
          <w:color w:val="auto"/>
          <w:sz w:val="22"/>
          <w:szCs w:val="22"/>
        </w:rPr>
        <w:fldChar w:fldCharType="separate"/>
      </w:r>
      <w:r>
        <w:rPr>
          <w:rFonts w:hint="eastAsia" w:ascii="宋体" w:hAnsi="Times New Roman" w:eastAsia="宋体"/>
          <w:color w:val="auto"/>
          <w:sz w:val="22"/>
          <w:szCs w:val="22"/>
        </w:rPr>
        <w:t>http://zfcg.czt.zj.gov.cn</w:t>
      </w:r>
      <w:r>
        <w:rPr>
          <w:rFonts w:hint="eastAsia" w:ascii="宋体" w:hAnsi="Times New Roman" w:eastAsia="宋体"/>
          <w:color w:val="auto"/>
          <w:sz w:val="22"/>
          <w:szCs w:val="22"/>
        </w:rPr>
        <w:fldChar w:fldCharType="end"/>
      </w:r>
      <w:r>
        <w:rPr>
          <w:rFonts w:hint="eastAsia" w:ascii="宋体" w:hAnsi="Times New Roman" w:eastAsia="宋体"/>
          <w:color w:val="auto"/>
          <w:sz w:val="22"/>
          <w:szCs w:val="22"/>
        </w:rPr>
        <w:t>）。</w:t>
      </w:r>
    </w:p>
    <w:p>
      <w:pPr>
        <w:pStyle w:val="17"/>
        <w:spacing w:before="0" w:beforeAutospacing="0" w:after="0" w:afterAutospacing="0" w:line="360" w:lineRule="auto"/>
        <w:ind w:firstLine="330" w:firstLineChars="150"/>
        <w:jc w:val="both"/>
        <w:rPr>
          <w:rFonts w:hint="eastAsia" w:ascii="宋体" w:hAnsi="宋体" w:eastAsia="宋体" w:cs="宋体"/>
          <w:sz w:val="22"/>
          <w:szCs w:val="22"/>
        </w:rPr>
      </w:pPr>
      <w:r>
        <w:rPr>
          <w:rFonts w:hint="eastAsia" w:ascii="宋体" w:hAnsi="Times New Roman" w:eastAsia="宋体"/>
          <w:color w:val="auto"/>
          <w:sz w:val="22"/>
          <w:szCs w:val="22"/>
        </w:rPr>
        <w:t xml:space="preserve">5、本次采购项目按《财政部关于在政府采购活动中查询及使用信用记录的通知》（财库【2016】125号）文件相关规定，对投标供应商进行信用甄别，详细规定见“投标通知(邀请)书”。 </w:t>
      </w:r>
    </w:p>
    <w:p>
      <w:pPr>
        <w:spacing w:line="360" w:lineRule="auto"/>
        <w:rPr>
          <w:rStyle w:val="21"/>
          <w:rFonts w:hint="eastAsia" w:ascii="宋体" w:hAnsi="宋体" w:cs="宋体"/>
          <w:color w:val="000000"/>
          <w:kern w:val="0"/>
          <w:sz w:val="22"/>
          <w:szCs w:val="22"/>
        </w:rPr>
      </w:pPr>
      <w:r>
        <w:rPr>
          <w:rStyle w:val="21"/>
          <w:rFonts w:hint="eastAsia" w:ascii="宋体" w:hAnsi="宋体" w:cs="宋体"/>
          <w:color w:val="000000"/>
          <w:kern w:val="0"/>
          <w:sz w:val="22"/>
          <w:szCs w:val="22"/>
        </w:rPr>
        <w:t>七．对本次采购提出询问、质疑、投诉，请按以下方式联系</w:t>
      </w:r>
    </w:p>
    <w:p>
      <w:pPr>
        <w:pStyle w:val="17"/>
        <w:spacing w:before="0" w:beforeAutospacing="0" w:after="0" w:afterAutospacing="0" w:line="360" w:lineRule="auto"/>
        <w:jc w:val="both"/>
        <w:rPr>
          <w:rFonts w:hint="eastAsia" w:ascii="宋体" w:hAnsi="宋体" w:eastAsia="宋体" w:cs="宋体"/>
          <w:sz w:val="22"/>
          <w:szCs w:val="22"/>
        </w:rPr>
      </w:pPr>
      <w:r>
        <w:rPr>
          <w:rFonts w:hint="eastAsia" w:ascii="宋体" w:hAnsi="宋体" w:eastAsia="宋体" w:cs="宋体"/>
          <w:sz w:val="22"/>
          <w:szCs w:val="22"/>
        </w:rPr>
        <w:t>1.采购人信息</w:t>
      </w:r>
    </w:p>
    <w:p>
      <w:pPr>
        <w:pStyle w:val="17"/>
        <w:spacing w:before="0" w:beforeAutospacing="0" w:after="0" w:afterAutospacing="0" w:line="360" w:lineRule="auto"/>
        <w:jc w:val="both"/>
        <w:rPr>
          <w:rFonts w:hint="eastAsia" w:ascii="宋体" w:hAnsi="宋体" w:eastAsia="宋体" w:cs="宋体"/>
          <w:color w:val="auto"/>
          <w:sz w:val="22"/>
          <w:szCs w:val="22"/>
        </w:rPr>
      </w:pPr>
      <w:r>
        <w:rPr>
          <w:rFonts w:hint="eastAsia" w:ascii="宋体" w:hAnsi="宋体" w:eastAsia="宋体" w:cs="宋体"/>
          <w:sz w:val="22"/>
          <w:szCs w:val="22"/>
        </w:rPr>
        <w:t>名   称：</w:t>
      </w:r>
      <w:r>
        <w:rPr>
          <w:rFonts w:hint="eastAsia" w:ascii="宋体" w:hAnsi="宋体" w:eastAsia="宋体" w:cs="宋体"/>
          <w:color w:val="auto"/>
          <w:sz w:val="22"/>
          <w:szCs w:val="22"/>
        </w:rPr>
        <w:t>温州市平苍引水有限公司 </w:t>
      </w:r>
    </w:p>
    <w:p>
      <w:pPr>
        <w:pStyle w:val="17"/>
        <w:spacing w:before="0" w:beforeAutospacing="0" w:after="0" w:afterAutospacing="0" w:line="360" w:lineRule="auto"/>
        <w:jc w:val="both"/>
        <w:rPr>
          <w:rFonts w:hint="eastAsia" w:ascii="宋体" w:hAnsi="宋体" w:eastAsia="宋体" w:cs="宋体"/>
          <w:color w:val="auto"/>
          <w:sz w:val="22"/>
          <w:szCs w:val="22"/>
        </w:rPr>
      </w:pPr>
      <w:r>
        <w:rPr>
          <w:rFonts w:hint="eastAsia" w:ascii="宋体" w:hAnsi="宋体" w:eastAsia="宋体" w:cs="宋体"/>
          <w:sz w:val="22"/>
          <w:szCs w:val="22"/>
        </w:rPr>
        <w:t>地   址：</w:t>
      </w:r>
      <w:r>
        <w:rPr>
          <w:rFonts w:hint="eastAsia" w:ascii="宋体" w:hAnsi="宋体" w:eastAsia="宋体" w:cs="宋体"/>
          <w:color w:val="auto"/>
          <w:sz w:val="22"/>
          <w:szCs w:val="22"/>
        </w:rPr>
        <w:t>龙港市世纪大道北侧第二水厂旁（第一、二层）</w:t>
      </w:r>
    </w:p>
    <w:p>
      <w:pPr>
        <w:pStyle w:val="17"/>
        <w:spacing w:before="0" w:beforeAutospacing="0" w:after="0" w:afterAutospacing="0" w:line="360" w:lineRule="auto"/>
        <w:jc w:val="both"/>
        <w:rPr>
          <w:rFonts w:hint="eastAsia" w:ascii="宋体" w:hAnsi="宋体" w:eastAsia="宋体" w:cs="宋体"/>
          <w:sz w:val="22"/>
          <w:szCs w:val="22"/>
        </w:rPr>
      </w:pPr>
      <w:r>
        <w:rPr>
          <w:rFonts w:hint="eastAsia" w:ascii="宋体" w:hAnsi="宋体" w:eastAsia="宋体" w:cs="宋体"/>
          <w:sz w:val="22"/>
          <w:szCs w:val="22"/>
        </w:rPr>
        <w:t>传    真：/  </w:t>
      </w:r>
    </w:p>
    <w:p>
      <w:pPr>
        <w:pStyle w:val="17"/>
        <w:spacing w:before="0" w:beforeAutospacing="0" w:after="0" w:afterAutospacing="0" w:line="360" w:lineRule="auto"/>
        <w:jc w:val="both"/>
        <w:rPr>
          <w:rFonts w:hint="eastAsia" w:ascii="宋体" w:hAnsi="宋体" w:eastAsia="宋体" w:cs="宋体"/>
          <w:color w:val="auto"/>
          <w:sz w:val="22"/>
          <w:szCs w:val="22"/>
        </w:rPr>
      </w:pPr>
      <w:r>
        <w:rPr>
          <w:rFonts w:hint="eastAsia" w:ascii="宋体" w:hAnsi="宋体" w:eastAsia="宋体" w:cs="宋体"/>
          <w:sz w:val="22"/>
          <w:szCs w:val="22"/>
        </w:rPr>
        <w:t>项目联系人（询问）、</w:t>
      </w:r>
      <w:r>
        <w:rPr>
          <w:rFonts w:hint="eastAsia" w:ascii="宋体" w:hAnsi="宋体" w:eastAsia="宋体" w:cs="宋体"/>
          <w:color w:val="auto"/>
          <w:sz w:val="22"/>
          <w:szCs w:val="22"/>
        </w:rPr>
        <w:t>质疑联系人</w:t>
      </w:r>
      <w:r>
        <w:rPr>
          <w:rFonts w:hint="eastAsia" w:ascii="宋体" w:hAnsi="宋体" w:eastAsia="宋体" w:cs="宋体"/>
          <w:sz w:val="22"/>
          <w:szCs w:val="22"/>
        </w:rPr>
        <w:t>：杨先生</w:t>
      </w:r>
      <w:r>
        <w:rPr>
          <w:rFonts w:hint="eastAsia" w:ascii="宋体" w:hAnsi="宋体" w:eastAsia="宋体" w:cs="宋体"/>
          <w:color w:val="auto"/>
          <w:sz w:val="22"/>
          <w:szCs w:val="22"/>
        </w:rPr>
        <w:t>  </w:t>
      </w:r>
    </w:p>
    <w:p>
      <w:pPr>
        <w:pStyle w:val="17"/>
        <w:spacing w:before="0" w:beforeAutospacing="0" w:after="0" w:afterAutospacing="0" w:line="360" w:lineRule="auto"/>
        <w:jc w:val="both"/>
        <w:rPr>
          <w:rFonts w:hint="eastAsia" w:ascii="宋体" w:hAnsi="宋体" w:eastAsia="宋体" w:cs="宋体"/>
          <w:sz w:val="22"/>
          <w:szCs w:val="22"/>
        </w:rPr>
      </w:pPr>
      <w:r>
        <w:rPr>
          <w:rFonts w:hint="eastAsia" w:ascii="宋体" w:hAnsi="宋体" w:eastAsia="宋体" w:cs="宋体"/>
          <w:color w:val="auto"/>
          <w:sz w:val="22"/>
          <w:szCs w:val="22"/>
        </w:rPr>
        <w:t>项目联系方式（询问）、质疑联系方式</w:t>
      </w:r>
      <w:r>
        <w:rPr>
          <w:rFonts w:hint="eastAsia" w:ascii="宋体" w:hAnsi="宋体" w:eastAsia="宋体" w:cs="宋体"/>
          <w:sz w:val="22"/>
          <w:szCs w:val="22"/>
        </w:rPr>
        <w:t>：0577-63758915</w:t>
      </w:r>
    </w:p>
    <w:p>
      <w:pPr>
        <w:numPr>
          <w:ilvl w:val="0"/>
          <w:numId w:val="2"/>
        </w:numPr>
        <w:spacing w:line="360" w:lineRule="auto"/>
        <w:rPr>
          <w:rFonts w:hint="eastAsia" w:ascii="宋体" w:hAnsi="宋体" w:cs="宋体"/>
          <w:color w:val="000000"/>
          <w:kern w:val="0"/>
          <w:sz w:val="22"/>
          <w:szCs w:val="22"/>
        </w:rPr>
      </w:pPr>
      <w:r>
        <w:rPr>
          <w:rFonts w:hint="eastAsia" w:ascii="宋体" w:hAnsi="宋体" w:cs="宋体"/>
          <w:color w:val="000000"/>
          <w:kern w:val="0"/>
          <w:sz w:val="22"/>
          <w:szCs w:val="22"/>
        </w:rPr>
        <w:t>采购代理机构信息</w:t>
      </w:r>
    </w:p>
    <w:p>
      <w:pPr>
        <w:spacing w:line="360" w:lineRule="auto"/>
        <w:rPr>
          <w:rFonts w:hint="eastAsia" w:ascii="宋体" w:hAnsi="宋体" w:cs="宋体"/>
          <w:color w:val="000000"/>
          <w:kern w:val="0"/>
          <w:sz w:val="22"/>
          <w:szCs w:val="22"/>
        </w:rPr>
      </w:pPr>
      <w:r>
        <w:rPr>
          <w:rFonts w:hint="eastAsia" w:ascii="宋体" w:hAnsi="宋体" w:cs="宋体"/>
          <w:sz w:val="22"/>
          <w:szCs w:val="22"/>
        </w:rPr>
        <w:t>名   称：</w:t>
      </w:r>
      <w:r>
        <w:rPr>
          <w:rFonts w:hint="eastAsia" w:ascii="宋体" w:hAnsi="宋体" w:cs="宋体"/>
          <w:color w:val="000000"/>
          <w:kern w:val="0"/>
          <w:sz w:val="22"/>
          <w:szCs w:val="22"/>
        </w:rPr>
        <w:t>浙江首信工程项目管理有限公司</w:t>
      </w:r>
    </w:p>
    <w:p>
      <w:pPr>
        <w:spacing w:line="360" w:lineRule="auto"/>
        <w:rPr>
          <w:rFonts w:hint="eastAsia" w:ascii="宋体" w:hAnsi="宋体" w:cs="宋体"/>
          <w:color w:val="000000"/>
          <w:kern w:val="0"/>
          <w:sz w:val="22"/>
          <w:szCs w:val="22"/>
        </w:rPr>
      </w:pPr>
      <w:r>
        <w:rPr>
          <w:rFonts w:hint="eastAsia" w:ascii="宋体" w:hAnsi="宋体" w:cs="宋体"/>
          <w:color w:val="000000"/>
          <w:kern w:val="0"/>
          <w:sz w:val="22"/>
          <w:szCs w:val="22"/>
        </w:rPr>
        <w:t>地      址：</w:t>
      </w:r>
      <w:r>
        <w:rPr>
          <w:rFonts w:hint="eastAsia" w:ascii="宋体" w:hAnsi="宋体" w:cs="宋体"/>
          <w:sz w:val="22"/>
          <w:szCs w:val="22"/>
        </w:rPr>
        <w:t>龙港市世纪大道2800号（五洲新能源汽车2幢4楼）</w:t>
      </w:r>
    </w:p>
    <w:p>
      <w:pPr>
        <w:pStyle w:val="17"/>
        <w:spacing w:before="0" w:beforeAutospacing="0" w:after="0" w:afterAutospacing="0" w:line="360" w:lineRule="auto"/>
        <w:jc w:val="both"/>
        <w:rPr>
          <w:rFonts w:hint="eastAsia" w:ascii="宋体" w:hAnsi="宋体" w:eastAsia="宋体" w:cs="宋体"/>
          <w:sz w:val="22"/>
          <w:szCs w:val="22"/>
        </w:rPr>
      </w:pPr>
      <w:r>
        <w:rPr>
          <w:rFonts w:hint="eastAsia" w:ascii="宋体" w:hAnsi="宋体" w:eastAsia="宋体" w:cs="宋体"/>
          <w:sz w:val="22"/>
          <w:szCs w:val="22"/>
        </w:rPr>
        <w:t>传    真：/             </w:t>
      </w:r>
    </w:p>
    <w:p>
      <w:pPr>
        <w:pStyle w:val="17"/>
        <w:spacing w:before="0" w:beforeAutospacing="0" w:after="0" w:afterAutospacing="0" w:line="360" w:lineRule="auto"/>
        <w:jc w:val="both"/>
        <w:rPr>
          <w:rFonts w:hint="eastAsia" w:ascii="宋体" w:hAnsi="宋体" w:eastAsia="宋体" w:cs="宋体"/>
          <w:sz w:val="22"/>
          <w:szCs w:val="22"/>
        </w:rPr>
      </w:pPr>
      <w:r>
        <w:rPr>
          <w:rFonts w:hint="eastAsia" w:ascii="宋体" w:hAnsi="宋体" w:eastAsia="宋体" w:cs="宋体"/>
          <w:sz w:val="22"/>
          <w:szCs w:val="22"/>
        </w:rPr>
        <w:t>项目联系人（询问）、质疑联系人：刘先生              </w:t>
      </w:r>
    </w:p>
    <w:p>
      <w:pPr>
        <w:pStyle w:val="17"/>
        <w:spacing w:before="0" w:beforeAutospacing="0" w:after="0" w:afterAutospacing="0" w:line="360" w:lineRule="auto"/>
        <w:jc w:val="both"/>
        <w:rPr>
          <w:rFonts w:hint="eastAsia" w:ascii="宋体" w:hAnsi="宋体" w:eastAsia="宋体" w:cs="宋体"/>
          <w:sz w:val="22"/>
          <w:szCs w:val="22"/>
        </w:rPr>
      </w:pPr>
      <w:r>
        <w:rPr>
          <w:rFonts w:hint="eastAsia" w:ascii="宋体" w:hAnsi="宋体" w:eastAsia="宋体" w:cs="宋体"/>
          <w:sz w:val="22"/>
          <w:szCs w:val="22"/>
        </w:rPr>
        <w:t>项目联系方式（询问）、质疑联系方式：0577-68877002/13958751828</w:t>
      </w:r>
    </w:p>
    <w:p>
      <w:pPr>
        <w:spacing w:line="360" w:lineRule="auto"/>
        <w:rPr>
          <w:rFonts w:hint="eastAsia" w:ascii="宋体" w:hAnsi="宋体" w:cs="宋体"/>
          <w:color w:val="000000"/>
          <w:kern w:val="0"/>
          <w:sz w:val="22"/>
          <w:szCs w:val="22"/>
        </w:rPr>
      </w:pPr>
      <w:r>
        <w:rPr>
          <w:rFonts w:hint="eastAsia" w:ascii="宋体" w:hAnsi="宋体" w:cs="宋体"/>
          <w:color w:val="000000"/>
          <w:kern w:val="0"/>
          <w:sz w:val="22"/>
          <w:szCs w:val="22"/>
        </w:rPr>
        <w:t>3、同级政府采购监督管理部门名称：</w:t>
      </w:r>
    </w:p>
    <w:p>
      <w:pPr>
        <w:pStyle w:val="17"/>
        <w:spacing w:before="0" w:beforeAutospacing="0" w:after="0" w:afterAutospacing="0" w:line="360" w:lineRule="auto"/>
        <w:jc w:val="both"/>
        <w:rPr>
          <w:rFonts w:hint="eastAsia" w:ascii="宋体" w:hAnsi="宋体" w:eastAsia="宋体" w:cs="宋体"/>
          <w:sz w:val="22"/>
          <w:szCs w:val="22"/>
        </w:rPr>
      </w:pPr>
      <w:r>
        <w:rPr>
          <w:rFonts w:hint="eastAsia" w:ascii="宋体" w:hAnsi="宋体" w:eastAsia="宋体" w:cs="宋体"/>
          <w:sz w:val="22"/>
          <w:szCs w:val="22"/>
        </w:rPr>
        <w:t>名   称：</w:t>
      </w:r>
      <w:r>
        <w:rPr>
          <w:rFonts w:hint="eastAsia" w:ascii="宋体" w:hAnsi="宋体" w:cs="宋体"/>
          <w:sz w:val="22"/>
          <w:szCs w:val="22"/>
        </w:rPr>
        <w:t>龙港市投融资审价服务中心</w:t>
      </w:r>
      <w:r>
        <w:rPr>
          <w:rFonts w:hint="eastAsia" w:ascii="宋体" w:hAnsi="宋体" w:eastAsia="宋体" w:cs="宋体"/>
          <w:sz w:val="22"/>
          <w:szCs w:val="22"/>
        </w:rPr>
        <w:t>             </w:t>
      </w:r>
    </w:p>
    <w:p>
      <w:pPr>
        <w:pStyle w:val="17"/>
        <w:spacing w:before="0" w:beforeAutospacing="0" w:after="0" w:afterAutospacing="0" w:line="360" w:lineRule="auto"/>
        <w:jc w:val="both"/>
        <w:rPr>
          <w:rFonts w:hint="eastAsia" w:ascii="宋体" w:hAnsi="宋体" w:eastAsia="宋体" w:cs="宋体"/>
          <w:sz w:val="22"/>
          <w:szCs w:val="22"/>
        </w:rPr>
      </w:pPr>
      <w:r>
        <w:rPr>
          <w:rFonts w:hint="eastAsia" w:ascii="宋体" w:hAnsi="宋体" w:eastAsia="宋体" w:cs="宋体"/>
          <w:sz w:val="22"/>
          <w:szCs w:val="22"/>
        </w:rPr>
        <w:t>地   址：龙港市龙港大道与西五街交叉路口             </w:t>
      </w:r>
    </w:p>
    <w:p>
      <w:pPr>
        <w:pStyle w:val="17"/>
        <w:spacing w:before="0" w:beforeAutospacing="0" w:after="0" w:afterAutospacing="0" w:line="360" w:lineRule="auto"/>
        <w:jc w:val="both"/>
        <w:rPr>
          <w:rFonts w:hint="eastAsia" w:ascii="宋体" w:hAnsi="宋体" w:eastAsia="宋体" w:cs="宋体"/>
          <w:sz w:val="22"/>
          <w:szCs w:val="22"/>
        </w:rPr>
      </w:pPr>
      <w:r>
        <w:rPr>
          <w:rFonts w:hint="eastAsia" w:ascii="宋体" w:hAnsi="宋体" w:eastAsia="宋体" w:cs="宋体"/>
          <w:sz w:val="22"/>
          <w:szCs w:val="22"/>
        </w:rPr>
        <w:t>传   真：0577-68080992              </w:t>
      </w:r>
    </w:p>
    <w:p>
      <w:pPr>
        <w:pStyle w:val="17"/>
        <w:spacing w:before="0" w:beforeAutospacing="0" w:after="0" w:afterAutospacing="0" w:line="360" w:lineRule="auto"/>
        <w:jc w:val="both"/>
        <w:rPr>
          <w:rFonts w:hint="eastAsia" w:ascii="宋体" w:hAnsi="宋体" w:eastAsia="宋体" w:cs="宋体"/>
          <w:sz w:val="22"/>
          <w:szCs w:val="22"/>
        </w:rPr>
      </w:pPr>
      <w:r>
        <w:rPr>
          <w:rFonts w:hint="eastAsia" w:ascii="宋体" w:hAnsi="宋体" w:eastAsia="宋体" w:cs="宋体"/>
          <w:sz w:val="22"/>
          <w:szCs w:val="22"/>
        </w:rPr>
        <w:t>联系人 ：章女士             </w:t>
      </w:r>
    </w:p>
    <w:p>
      <w:pPr>
        <w:pStyle w:val="17"/>
        <w:spacing w:before="0" w:beforeAutospacing="0" w:after="0" w:afterAutospacing="0" w:line="360" w:lineRule="auto"/>
        <w:jc w:val="both"/>
        <w:rPr>
          <w:rFonts w:hint="eastAsia" w:ascii="宋体" w:hAnsi="宋体"/>
        </w:rPr>
      </w:pPr>
      <w:r>
        <w:rPr>
          <w:rFonts w:hint="eastAsia" w:ascii="宋体" w:hAnsi="宋体" w:eastAsia="宋体" w:cs="宋体"/>
          <w:sz w:val="22"/>
          <w:szCs w:val="22"/>
        </w:rPr>
        <w:t>监督投诉电话：0577-68080992</w:t>
      </w:r>
      <w:bookmarkEnd w:id="1"/>
      <w:bookmarkEnd w:id="2"/>
    </w:p>
    <w:p>
      <w:pPr>
        <w:jc w:val="center"/>
        <w:rPr>
          <w:rFonts w:hint="eastAsia" w:ascii="宋体" w:hAnsi="宋体" w:cs="宋体"/>
          <w:sz w:val="28"/>
          <w:szCs w:val="28"/>
        </w:rPr>
      </w:pPr>
      <w:r>
        <w:rPr>
          <w:rFonts w:hint="eastAsia" w:ascii="宋体" w:hAnsi="宋体" w:cs="宋体"/>
          <w:sz w:val="28"/>
          <w:szCs w:val="28"/>
        </w:rPr>
        <w:t>供应商报名登记表</w:t>
      </w:r>
    </w:p>
    <w:p>
      <w:pPr>
        <w:jc w:val="center"/>
        <w:rPr>
          <w:rFonts w:hint="eastAsia" w:ascii="宋体" w:hAnsi="宋体" w:cs="宋体"/>
          <w:sz w:val="22"/>
          <w:szCs w:val="22"/>
        </w:rPr>
      </w:pPr>
    </w:p>
    <w:tbl>
      <w:tblPr>
        <w:tblStyle w:val="19"/>
        <w:tblW w:w="9113" w:type="dxa"/>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165"/>
        <w:gridCol w:w="3110"/>
        <w:gridCol w:w="1487"/>
        <w:gridCol w:w="26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blCellSpacing w:w="0" w:type="dxa"/>
          <w:jc w:val="center"/>
        </w:trPr>
        <w:tc>
          <w:tcPr>
            <w:tcW w:w="1850" w:type="dxa"/>
            <w:gridSpan w:val="2"/>
            <w:noWrap w:val="0"/>
            <w:vAlign w:val="center"/>
          </w:tcPr>
          <w:p>
            <w:pPr>
              <w:adjustRightInd w:val="0"/>
              <w:snapToGrid w:val="0"/>
              <w:spacing w:line="400" w:lineRule="atLeast"/>
              <w:jc w:val="center"/>
              <w:rPr>
                <w:rFonts w:hint="eastAsia" w:ascii="宋体" w:hAnsi="宋体" w:cs="宋体"/>
                <w:sz w:val="22"/>
                <w:szCs w:val="22"/>
              </w:rPr>
            </w:pPr>
            <w:r>
              <w:rPr>
                <w:rFonts w:hint="eastAsia" w:ascii="宋体" w:hAnsi="宋体" w:cs="宋体"/>
                <w:sz w:val="22"/>
                <w:szCs w:val="22"/>
              </w:rPr>
              <w:t>日 期</w:t>
            </w:r>
          </w:p>
        </w:tc>
        <w:tc>
          <w:tcPr>
            <w:tcW w:w="7263" w:type="dxa"/>
            <w:gridSpan w:val="3"/>
            <w:noWrap w:val="0"/>
            <w:vAlign w:val="center"/>
          </w:tcPr>
          <w:p>
            <w:pPr>
              <w:adjustRightInd w:val="0"/>
              <w:snapToGrid w:val="0"/>
              <w:spacing w:line="400" w:lineRule="atLeast"/>
              <w:jc w:val="center"/>
              <w:rPr>
                <w:rFonts w:hint="eastAsia" w:ascii="宋体" w:hAnsi="宋体" w:cs="宋体"/>
                <w:sz w:val="22"/>
                <w:szCs w:val="22"/>
              </w:rPr>
            </w:pPr>
            <w:r>
              <w:rPr>
                <w:rFonts w:hint="eastAsia" w:ascii="宋体" w:hAnsi="宋体" w:cs="宋体"/>
                <w:sz w:val="22"/>
                <w:szCs w:val="22"/>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blCellSpacing w:w="0" w:type="dxa"/>
          <w:jc w:val="center"/>
        </w:trPr>
        <w:tc>
          <w:tcPr>
            <w:tcW w:w="1850" w:type="dxa"/>
            <w:gridSpan w:val="2"/>
            <w:noWrap w:val="0"/>
            <w:vAlign w:val="center"/>
          </w:tcPr>
          <w:p>
            <w:pPr>
              <w:adjustRightInd w:val="0"/>
              <w:snapToGrid w:val="0"/>
              <w:spacing w:line="400" w:lineRule="atLeast"/>
              <w:jc w:val="center"/>
              <w:rPr>
                <w:rFonts w:hint="eastAsia" w:ascii="宋体" w:hAnsi="宋体" w:cs="宋体"/>
                <w:sz w:val="22"/>
                <w:szCs w:val="22"/>
              </w:rPr>
            </w:pPr>
            <w:r>
              <w:rPr>
                <w:rFonts w:hint="eastAsia" w:ascii="宋体" w:hAnsi="宋体" w:cs="宋体"/>
                <w:sz w:val="22"/>
                <w:szCs w:val="22"/>
              </w:rPr>
              <w:t>项目名称</w:t>
            </w:r>
          </w:p>
        </w:tc>
        <w:tc>
          <w:tcPr>
            <w:tcW w:w="7263" w:type="dxa"/>
            <w:gridSpan w:val="3"/>
            <w:noWrap w:val="0"/>
            <w:vAlign w:val="center"/>
          </w:tcPr>
          <w:p>
            <w:pPr>
              <w:adjustRightInd w:val="0"/>
              <w:snapToGrid w:val="0"/>
              <w:spacing w:line="400" w:lineRule="atLeast"/>
              <w:jc w:val="center"/>
              <w:rPr>
                <w:rFonts w:hint="eastAsia"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blCellSpacing w:w="0" w:type="dxa"/>
          <w:jc w:val="center"/>
        </w:trPr>
        <w:tc>
          <w:tcPr>
            <w:tcW w:w="1850" w:type="dxa"/>
            <w:gridSpan w:val="2"/>
            <w:noWrap w:val="0"/>
            <w:vAlign w:val="center"/>
          </w:tcPr>
          <w:p>
            <w:pPr>
              <w:adjustRightInd w:val="0"/>
              <w:snapToGrid w:val="0"/>
              <w:spacing w:line="400" w:lineRule="atLeast"/>
              <w:jc w:val="center"/>
              <w:rPr>
                <w:rFonts w:hint="eastAsia" w:ascii="宋体" w:hAnsi="宋体" w:cs="宋体"/>
                <w:sz w:val="22"/>
                <w:szCs w:val="22"/>
              </w:rPr>
            </w:pPr>
            <w:r>
              <w:rPr>
                <w:rFonts w:hint="eastAsia" w:ascii="宋体" w:hAnsi="宋体" w:cs="宋体"/>
                <w:sz w:val="22"/>
                <w:szCs w:val="22"/>
              </w:rPr>
              <w:t>招标编号</w:t>
            </w:r>
          </w:p>
        </w:tc>
        <w:tc>
          <w:tcPr>
            <w:tcW w:w="7263" w:type="dxa"/>
            <w:gridSpan w:val="3"/>
            <w:noWrap w:val="0"/>
            <w:vAlign w:val="center"/>
          </w:tcPr>
          <w:p>
            <w:pPr>
              <w:adjustRightInd w:val="0"/>
              <w:snapToGrid w:val="0"/>
              <w:spacing w:line="400" w:lineRule="atLeast"/>
              <w:jc w:val="center"/>
              <w:rPr>
                <w:rFonts w:hint="eastAsia"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blCellSpacing w:w="0" w:type="dxa"/>
          <w:jc w:val="center"/>
        </w:trPr>
        <w:tc>
          <w:tcPr>
            <w:tcW w:w="1850" w:type="dxa"/>
            <w:gridSpan w:val="2"/>
            <w:noWrap w:val="0"/>
            <w:vAlign w:val="center"/>
          </w:tcPr>
          <w:p>
            <w:pPr>
              <w:adjustRightInd w:val="0"/>
              <w:snapToGrid w:val="0"/>
              <w:spacing w:line="400" w:lineRule="atLeast"/>
              <w:jc w:val="center"/>
              <w:rPr>
                <w:rFonts w:hint="eastAsia" w:ascii="宋体" w:hAnsi="宋体" w:cs="宋体"/>
                <w:sz w:val="22"/>
                <w:szCs w:val="22"/>
              </w:rPr>
            </w:pPr>
            <w:r>
              <w:rPr>
                <w:rFonts w:hint="eastAsia" w:ascii="宋体" w:hAnsi="宋体" w:cs="宋体"/>
                <w:sz w:val="22"/>
                <w:szCs w:val="22"/>
              </w:rPr>
              <w:t>投标单位名称</w:t>
            </w:r>
          </w:p>
        </w:tc>
        <w:tc>
          <w:tcPr>
            <w:tcW w:w="7263" w:type="dxa"/>
            <w:gridSpan w:val="3"/>
            <w:noWrap w:val="0"/>
            <w:vAlign w:val="center"/>
          </w:tcPr>
          <w:p>
            <w:pPr>
              <w:adjustRightInd w:val="0"/>
              <w:snapToGrid w:val="0"/>
              <w:spacing w:line="400" w:lineRule="atLeast"/>
              <w:ind w:firstLine="3410" w:firstLineChars="1550"/>
              <w:rPr>
                <w:rFonts w:hint="eastAsia" w:ascii="宋体" w:hAnsi="宋体" w:cs="宋体"/>
                <w:sz w:val="22"/>
                <w:szCs w:val="22"/>
              </w:rPr>
            </w:pPr>
            <w:r>
              <w:rPr>
                <w:rFonts w:hint="eastAsia" w:ascii="宋体" w:hAnsi="宋体" w:cs="宋体"/>
                <w:sz w:val="22"/>
                <w:szCs w:val="22"/>
              </w:rPr>
              <w:t>（公章）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blCellSpacing w:w="0" w:type="dxa"/>
          <w:jc w:val="center"/>
        </w:trPr>
        <w:tc>
          <w:tcPr>
            <w:tcW w:w="1850" w:type="dxa"/>
            <w:gridSpan w:val="2"/>
            <w:noWrap w:val="0"/>
            <w:vAlign w:val="center"/>
          </w:tcPr>
          <w:p>
            <w:pPr>
              <w:adjustRightInd w:val="0"/>
              <w:snapToGrid w:val="0"/>
              <w:spacing w:line="400" w:lineRule="atLeast"/>
              <w:jc w:val="center"/>
              <w:rPr>
                <w:rFonts w:hint="eastAsia" w:ascii="宋体" w:hAnsi="宋体" w:cs="宋体"/>
                <w:sz w:val="22"/>
                <w:szCs w:val="22"/>
              </w:rPr>
            </w:pPr>
            <w:r>
              <w:rPr>
                <w:rFonts w:hint="eastAsia" w:ascii="宋体" w:hAnsi="宋体" w:cs="宋体"/>
                <w:sz w:val="22"/>
                <w:szCs w:val="22"/>
              </w:rPr>
              <w:t>项目联系人</w:t>
            </w:r>
          </w:p>
        </w:tc>
        <w:tc>
          <w:tcPr>
            <w:tcW w:w="3110" w:type="dxa"/>
            <w:noWrap w:val="0"/>
            <w:vAlign w:val="center"/>
          </w:tcPr>
          <w:p>
            <w:pPr>
              <w:adjustRightInd w:val="0"/>
              <w:snapToGrid w:val="0"/>
              <w:spacing w:line="400" w:lineRule="atLeast"/>
              <w:jc w:val="center"/>
              <w:rPr>
                <w:rFonts w:hint="eastAsia" w:ascii="宋体" w:hAnsi="宋体" w:cs="宋体"/>
                <w:sz w:val="22"/>
                <w:szCs w:val="22"/>
              </w:rPr>
            </w:pPr>
            <w:r>
              <w:rPr>
                <w:rFonts w:hint="eastAsia" w:ascii="宋体" w:hAnsi="宋体" w:cs="宋体"/>
                <w:sz w:val="22"/>
                <w:szCs w:val="22"/>
              </w:rPr>
              <w:t> </w:t>
            </w:r>
          </w:p>
        </w:tc>
        <w:tc>
          <w:tcPr>
            <w:tcW w:w="1487" w:type="dxa"/>
            <w:noWrap w:val="0"/>
            <w:vAlign w:val="center"/>
          </w:tcPr>
          <w:p>
            <w:pPr>
              <w:adjustRightInd w:val="0"/>
              <w:snapToGrid w:val="0"/>
              <w:spacing w:line="400" w:lineRule="atLeast"/>
              <w:jc w:val="center"/>
              <w:rPr>
                <w:rFonts w:hint="eastAsia" w:ascii="宋体" w:hAnsi="宋体" w:cs="宋体"/>
                <w:sz w:val="22"/>
                <w:szCs w:val="22"/>
              </w:rPr>
            </w:pPr>
            <w:r>
              <w:rPr>
                <w:rFonts w:hint="eastAsia" w:ascii="宋体" w:hAnsi="宋体" w:cs="宋体"/>
                <w:sz w:val="22"/>
                <w:szCs w:val="22"/>
              </w:rPr>
              <w:t xml:space="preserve">手 机 </w:t>
            </w:r>
          </w:p>
        </w:tc>
        <w:tc>
          <w:tcPr>
            <w:tcW w:w="2666" w:type="dxa"/>
            <w:noWrap w:val="0"/>
            <w:vAlign w:val="center"/>
          </w:tcPr>
          <w:p>
            <w:pPr>
              <w:adjustRightInd w:val="0"/>
              <w:snapToGrid w:val="0"/>
              <w:spacing w:line="400" w:lineRule="atLeast"/>
              <w:jc w:val="center"/>
              <w:rPr>
                <w:rFonts w:hint="eastAsia" w:ascii="宋体" w:hAnsi="宋体" w:cs="宋体"/>
                <w:sz w:val="22"/>
                <w:szCs w:val="22"/>
              </w:rPr>
            </w:pPr>
            <w:r>
              <w:rPr>
                <w:rFonts w:hint="eastAsia" w:ascii="宋体" w:hAnsi="宋体" w:cs="宋体"/>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blCellSpacing w:w="0" w:type="dxa"/>
          <w:jc w:val="center"/>
        </w:trPr>
        <w:tc>
          <w:tcPr>
            <w:tcW w:w="1850" w:type="dxa"/>
            <w:gridSpan w:val="2"/>
            <w:noWrap w:val="0"/>
            <w:vAlign w:val="center"/>
          </w:tcPr>
          <w:p>
            <w:pPr>
              <w:adjustRightInd w:val="0"/>
              <w:snapToGrid w:val="0"/>
              <w:spacing w:line="400" w:lineRule="atLeast"/>
              <w:jc w:val="center"/>
              <w:rPr>
                <w:rFonts w:hint="eastAsia" w:ascii="宋体" w:hAnsi="宋体" w:cs="宋体"/>
                <w:sz w:val="22"/>
                <w:szCs w:val="22"/>
              </w:rPr>
            </w:pPr>
            <w:r>
              <w:rPr>
                <w:rFonts w:hint="eastAsia" w:ascii="宋体" w:hAnsi="宋体" w:cs="宋体"/>
                <w:sz w:val="22"/>
                <w:szCs w:val="22"/>
              </w:rPr>
              <w:t>联系电话</w:t>
            </w:r>
          </w:p>
        </w:tc>
        <w:tc>
          <w:tcPr>
            <w:tcW w:w="3110" w:type="dxa"/>
            <w:noWrap w:val="0"/>
            <w:vAlign w:val="center"/>
          </w:tcPr>
          <w:p>
            <w:pPr>
              <w:adjustRightInd w:val="0"/>
              <w:snapToGrid w:val="0"/>
              <w:spacing w:line="400" w:lineRule="atLeast"/>
              <w:jc w:val="center"/>
              <w:rPr>
                <w:rFonts w:hint="eastAsia" w:ascii="宋体" w:hAnsi="宋体" w:cs="宋体"/>
                <w:sz w:val="22"/>
                <w:szCs w:val="22"/>
              </w:rPr>
            </w:pPr>
            <w:r>
              <w:rPr>
                <w:rFonts w:hint="eastAsia" w:ascii="宋体" w:hAnsi="宋体" w:cs="宋体"/>
                <w:sz w:val="22"/>
                <w:szCs w:val="22"/>
              </w:rPr>
              <w:t> </w:t>
            </w:r>
          </w:p>
        </w:tc>
        <w:tc>
          <w:tcPr>
            <w:tcW w:w="1487" w:type="dxa"/>
            <w:noWrap w:val="0"/>
            <w:vAlign w:val="center"/>
          </w:tcPr>
          <w:p>
            <w:pPr>
              <w:adjustRightInd w:val="0"/>
              <w:snapToGrid w:val="0"/>
              <w:spacing w:line="400" w:lineRule="atLeast"/>
              <w:jc w:val="center"/>
              <w:rPr>
                <w:rFonts w:hint="eastAsia" w:ascii="宋体" w:hAnsi="宋体" w:cs="宋体"/>
                <w:sz w:val="22"/>
                <w:szCs w:val="22"/>
              </w:rPr>
            </w:pPr>
            <w:r>
              <w:rPr>
                <w:rFonts w:hint="eastAsia" w:ascii="宋体" w:hAnsi="宋体" w:cs="宋体"/>
                <w:sz w:val="22"/>
                <w:szCs w:val="22"/>
              </w:rPr>
              <w:t>传 真</w:t>
            </w:r>
          </w:p>
        </w:tc>
        <w:tc>
          <w:tcPr>
            <w:tcW w:w="2666" w:type="dxa"/>
            <w:noWrap w:val="0"/>
            <w:vAlign w:val="center"/>
          </w:tcPr>
          <w:p>
            <w:pPr>
              <w:adjustRightInd w:val="0"/>
              <w:snapToGrid w:val="0"/>
              <w:spacing w:line="400" w:lineRule="atLeast"/>
              <w:jc w:val="center"/>
              <w:rPr>
                <w:rFonts w:hint="eastAsia" w:ascii="宋体" w:hAnsi="宋体" w:cs="宋体"/>
                <w:sz w:val="22"/>
                <w:szCs w:val="22"/>
              </w:rPr>
            </w:pPr>
            <w:r>
              <w:rPr>
                <w:rFonts w:hint="eastAsia" w:ascii="宋体" w:hAnsi="宋体" w:cs="宋体"/>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blCellSpacing w:w="0" w:type="dxa"/>
          <w:jc w:val="center"/>
        </w:trPr>
        <w:tc>
          <w:tcPr>
            <w:tcW w:w="1850" w:type="dxa"/>
            <w:gridSpan w:val="2"/>
            <w:noWrap w:val="0"/>
            <w:vAlign w:val="center"/>
          </w:tcPr>
          <w:p>
            <w:pPr>
              <w:adjustRightInd w:val="0"/>
              <w:snapToGrid w:val="0"/>
              <w:spacing w:line="400" w:lineRule="atLeast"/>
              <w:jc w:val="center"/>
              <w:rPr>
                <w:rFonts w:hint="eastAsia" w:ascii="宋体" w:hAnsi="宋体" w:cs="宋体"/>
                <w:sz w:val="22"/>
                <w:szCs w:val="22"/>
              </w:rPr>
            </w:pPr>
            <w:r>
              <w:rPr>
                <w:rFonts w:hint="eastAsia" w:ascii="宋体" w:hAnsi="宋体" w:cs="宋体"/>
                <w:sz w:val="22"/>
                <w:szCs w:val="22"/>
              </w:rPr>
              <w:t>E-mail</w:t>
            </w:r>
          </w:p>
        </w:tc>
        <w:tc>
          <w:tcPr>
            <w:tcW w:w="3110" w:type="dxa"/>
            <w:noWrap w:val="0"/>
            <w:vAlign w:val="center"/>
          </w:tcPr>
          <w:p>
            <w:pPr>
              <w:adjustRightInd w:val="0"/>
              <w:snapToGrid w:val="0"/>
              <w:spacing w:line="400" w:lineRule="atLeast"/>
              <w:jc w:val="center"/>
              <w:rPr>
                <w:rFonts w:hint="eastAsia" w:ascii="宋体" w:hAnsi="宋体" w:cs="宋体"/>
                <w:sz w:val="22"/>
                <w:szCs w:val="22"/>
              </w:rPr>
            </w:pPr>
            <w:r>
              <w:rPr>
                <w:rFonts w:hint="eastAsia" w:ascii="宋体" w:hAnsi="宋体" w:cs="宋体"/>
                <w:sz w:val="22"/>
                <w:szCs w:val="22"/>
              </w:rPr>
              <w:t> </w:t>
            </w:r>
          </w:p>
        </w:tc>
        <w:tc>
          <w:tcPr>
            <w:tcW w:w="1487" w:type="dxa"/>
            <w:noWrap w:val="0"/>
            <w:vAlign w:val="center"/>
          </w:tcPr>
          <w:p>
            <w:pPr>
              <w:adjustRightInd w:val="0"/>
              <w:snapToGrid w:val="0"/>
              <w:spacing w:line="400" w:lineRule="atLeast"/>
              <w:jc w:val="center"/>
              <w:rPr>
                <w:rFonts w:hint="eastAsia" w:ascii="宋体" w:hAnsi="宋体" w:cs="宋体"/>
                <w:sz w:val="22"/>
                <w:szCs w:val="22"/>
              </w:rPr>
            </w:pPr>
            <w:r>
              <w:rPr>
                <w:rFonts w:hint="eastAsia" w:ascii="宋体" w:hAnsi="宋体" w:cs="宋体"/>
                <w:sz w:val="22"/>
                <w:szCs w:val="22"/>
              </w:rPr>
              <w:t>邮政编码</w:t>
            </w:r>
          </w:p>
        </w:tc>
        <w:tc>
          <w:tcPr>
            <w:tcW w:w="2666" w:type="dxa"/>
            <w:noWrap w:val="0"/>
            <w:vAlign w:val="center"/>
          </w:tcPr>
          <w:p>
            <w:pPr>
              <w:adjustRightInd w:val="0"/>
              <w:snapToGrid w:val="0"/>
              <w:spacing w:line="400" w:lineRule="atLeast"/>
              <w:jc w:val="center"/>
              <w:rPr>
                <w:rFonts w:hint="eastAsia" w:ascii="宋体" w:hAnsi="宋体" w:cs="宋体"/>
                <w:sz w:val="22"/>
                <w:szCs w:val="22"/>
              </w:rPr>
            </w:pPr>
            <w:r>
              <w:rPr>
                <w:rFonts w:hint="eastAsia" w:ascii="宋体" w:hAnsi="宋体" w:cs="宋体"/>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blCellSpacing w:w="0" w:type="dxa"/>
          <w:jc w:val="center"/>
        </w:trPr>
        <w:tc>
          <w:tcPr>
            <w:tcW w:w="1850" w:type="dxa"/>
            <w:gridSpan w:val="2"/>
            <w:noWrap w:val="0"/>
            <w:vAlign w:val="center"/>
          </w:tcPr>
          <w:p>
            <w:pPr>
              <w:adjustRightInd w:val="0"/>
              <w:snapToGrid w:val="0"/>
              <w:spacing w:line="400" w:lineRule="atLeast"/>
              <w:jc w:val="center"/>
              <w:rPr>
                <w:rFonts w:hint="eastAsia" w:ascii="宋体" w:hAnsi="宋体" w:cs="宋体"/>
                <w:sz w:val="22"/>
                <w:szCs w:val="22"/>
              </w:rPr>
            </w:pPr>
            <w:r>
              <w:rPr>
                <w:rFonts w:hint="eastAsia" w:ascii="宋体" w:hAnsi="宋体" w:cs="宋体"/>
                <w:sz w:val="22"/>
                <w:szCs w:val="22"/>
              </w:rPr>
              <w:t>通信地址</w:t>
            </w:r>
          </w:p>
        </w:tc>
        <w:tc>
          <w:tcPr>
            <w:tcW w:w="7263" w:type="dxa"/>
            <w:gridSpan w:val="3"/>
            <w:noWrap w:val="0"/>
            <w:vAlign w:val="center"/>
          </w:tcPr>
          <w:p>
            <w:pPr>
              <w:adjustRightInd w:val="0"/>
              <w:snapToGrid w:val="0"/>
              <w:spacing w:line="400" w:lineRule="atLeast"/>
              <w:jc w:val="center"/>
              <w:rPr>
                <w:rFonts w:hint="eastAsia" w:ascii="宋体" w:hAnsi="宋体" w:cs="宋体"/>
                <w:sz w:val="22"/>
                <w:szCs w:val="22"/>
              </w:rPr>
            </w:pPr>
            <w:r>
              <w:rPr>
                <w:rFonts w:hint="eastAsia" w:ascii="宋体" w:hAnsi="宋体" w:cs="宋体"/>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blCellSpacing w:w="0" w:type="dxa"/>
          <w:jc w:val="center"/>
        </w:trPr>
        <w:tc>
          <w:tcPr>
            <w:tcW w:w="9113" w:type="dxa"/>
            <w:gridSpan w:val="5"/>
            <w:noWrap w:val="0"/>
            <w:vAlign w:val="center"/>
          </w:tcPr>
          <w:p>
            <w:pPr>
              <w:adjustRightInd w:val="0"/>
              <w:snapToGrid w:val="0"/>
              <w:spacing w:line="400" w:lineRule="atLeast"/>
              <w:jc w:val="center"/>
              <w:rPr>
                <w:rFonts w:hint="eastAsia" w:ascii="宋体" w:hAnsi="宋体" w:cs="宋体"/>
                <w:sz w:val="22"/>
                <w:szCs w:val="22"/>
              </w:rPr>
            </w:pPr>
            <w:r>
              <w:rPr>
                <w:rFonts w:hint="eastAsia" w:ascii="宋体" w:hAnsi="宋体" w:cs="宋体"/>
                <w:sz w:val="22"/>
                <w:szCs w:val="22"/>
              </w:rPr>
              <w:t>提交的报名文件资料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blCellSpacing w:w="0" w:type="dxa"/>
          <w:jc w:val="center"/>
        </w:trPr>
        <w:tc>
          <w:tcPr>
            <w:tcW w:w="685" w:type="dxa"/>
            <w:noWrap w:val="0"/>
            <w:vAlign w:val="center"/>
          </w:tcPr>
          <w:p>
            <w:pPr>
              <w:adjustRightInd w:val="0"/>
              <w:snapToGrid w:val="0"/>
              <w:spacing w:line="400" w:lineRule="atLeast"/>
              <w:jc w:val="center"/>
              <w:rPr>
                <w:rFonts w:hint="eastAsia" w:ascii="宋体" w:hAnsi="宋体" w:cs="宋体"/>
                <w:sz w:val="22"/>
                <w:szCs w:val="22"/>
              </w:rPr>
            </w:pPr>
            <w:r>
              <w:rPr>
                <w:rFonts w:hint="eastAsia" w:ascii="宋体" w:hAnsi="宋体" w:cs="宋体"/>
                <w:sz w:val="22"/>
                <w:szCs w:val="22"/>
              </w:rPr>
              <w:t>序号</w:t>
            </w:r>
          </w:p>
        </w:tc>
        <w:tc>
          <w:tcPr>
            <w:tcW w:w="4275" w:type="dxa"/>
            <w:gridSpan w:val="2"/>
            <w:noWrap w:val="0"/>
            <w:vAlign w:val="center"/>
          </w:tcPr>
          <w:p>
            <w:pPr>
              <w:adjustRightInd w:val="0"/>
              <w:snapToGrid w:val="0"/>
              <w:spacing w:line="400" w:lineRule="atLeast"/>
              <w:jc w:val="center"/>
              <w:rPr>
                <w:rFonts w:hint="eastAsia" w:ascii="宋体" w:hAnsi="宋体" w:cs="宋体"/>
                <w:sz w:val="22"/>
                <w:szCs w:val="22"/>
              </w:rPr>
            </w:pPr>
            <w:r>
              <w:rPr>
                <w:rFonts w:hint="eastAsia" w:ascii="宋体" w:hAnsi="宋体" w:cs="宋体"/>
                <w:sz w:val="22"/>
                <w:szCs w:val="22"/>
              </w:rPr>
              <w:t>报名资料</w:t>
            </w:r>
          </w:p>
        </w:tc>
        <w:tc>
          <w:tcPr>
            <w:tcW w:w="1487" w:type="dxa"/>
            <w:noWrap w:val="0"/>
            <w:vAlign w:val="center"/>
          </w:tcPr>
          <w:p>
            <w:pPr>
              <w:adjustRightInd w:val="0"/>
              <w:snapToGrid w:val="0"/>
              <w:spacing w:line="400" w:lineRule="atLeast"/>
              <w:jc w:val="center"/>
              <w:rPr>
                <w:rFonts w:hint="eastAsia" w:ascii="宋体" w:hAnsi="宋体" w:cs="宋体"/>
                <w:sz w:val="22"/>
                <w:szCs w:val="22"/>
              </w:rPr>
            </w:pPr>
            <w:r>
              <w:rPr>
                <w:rFonts w:hint="eastAsia" w:ascii="宋体" w:hAnsi="宋体" w:cs="宋体"/>
                <w:sz w:val="22"/>
                <w:szCs w:val="22"/>
              </w:rPr>
              <w:t>是否提交</w:t>
            </w:r>
          </w:p>
        </w:tc>
        <w:tc>
          <w:tcPr>
            <w:tcW w:w="2666" w:type="dxa"/>
            <w:noWrap w:val="0"/>
            <w:vAlign w:val="center"/>
          </w:tcPr>
          <w:p>
            <w:pPr>
              <w:adjustRightInd w:val="0"/>
              <w:snapToGrid w:val="0"/>
              <w:spacing w:line="400" w:lineRule="atLeast"/>
              <w:jc w:val="center"/>
              <w:rPr>
                <w:rFonts w:hint="eastAsia" w:ascii="宋体" w:hAnsi="宋体" w:cs="宋体"/>
                <w:sz w:val="22"/>
                <w:szCs w:val="22"/>
              </w:rPr>
            </w:pPr>
            <w:r>
              <w:rPr>
                <w:rFonts w:hint="eastAsia" w:ascii="宋体" w:hAnsi="宋体" w:cs="宋体"/>
                <w:sz w:val="22"/>
                <w:szCs w:val="22"/>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3" w:hRule="atLeast"/>
          <w:tblCellSpacing w:w="0" w:type="dxa"/>
          <w:jc w:val="center"/>
        </w:trPr>
        <w:tc>
          <w:tcPr>
            <w:tcW w:w="685" w:type="dxa"/>
            <w:noWrap w:val="0"/>
            <w:vAlign w:val="center"/>
          </w:tcPr>
          <w:p>
            <w:pPr>
              <w:adjustRightInd w:val="0"/>
              <w:snapToGrid w:val="0"/>
              <w:spacing w:line="400" w:lineRule="atLeast"/>
              <w:jc w:val="center"/>
              <w:rPr>
                <w:rFonts w:hint="eastAsia" w:ascii="宋体" w:hAnsi="宋体" w:cs="宋体"/>
                <w:sz w:val="22"/>
                <w:szCs w:val="22"/>
              </w:rPr>
            </w:pPr>
            <w:r>
              <w:rPr>
                <w:rFonts w:hint="eastAsia" w:ascii="宋体" w:hAnsi="宋体" w:cs="宋体"/>
                <w:sz w:val="22"/>
                <w:szCs w:val="22"/>
              </w:rPr>
              <w:t>1</w:t>
            </w:r>
          </w:p>
        </w:tc>
        <w:tc>
          <w:tcPr>
            <w:tcW w:w="4275" w:type="dxa"/>
            <w:gridSpan w:val="2"/>
            <w:noWrap w:val="0"/>
            <w:vAlign w:val="center"/>
          </w:tcPr>
          <w:p>
            <w:pPr>
              <w:adjustRightInd w:val="0"/>
              <w:snapToGrid w:val="0"/>
              <w:spacing w:line="400" w:lineRule="atLeast"/>
              <w:rPr>
                <w:rFonts w:hint="eastAsia" w:ascii="宋体" w:hAnsi="宋体" w:cs="宋体"/>
                <w:sz w:val="22"/>
                <w:szCs w:val="22"/>
              </w:rPr>
            </w:pPr>
            <w:r>
              <w:rPr>
                <w:rFonts w:hint="eastAsia" w:ascii="宋体" w:hAnsi="宋体" w:cs="宋体"/>
                <w:sz w:val="22"/>
                <w:szCs w:val="22"/>
              </w:rPr>
              <w:t>有效的工商营业执照（复印件并加盖公章）</w:t>
            </w:r>
          </w:p>
        </w:tc>
        <w:tc>
          <w:tcPr>
            <w:tcW w:w="1487" w:type="dxa"/>
            <w:noWrap w:val="0"/>
            <w:vAlign w:val="center"/>
          </w:tcPr>
          <w:p>
            <w:pPr>
              <w:adjustRightInd w:val="0"/>
              <w:snapToGrid w:val="0"/>
              <w:spacing w:line="400" w:lineRule="atLeast"/>
              <w:jc w:val="center"/>
              <w:rPr>
                <w:rFonts w:hint="eastAsia" w:ascii="宋体" w:hAnsi="宋体" w:cs="宋体"/>
                <w:sz w:val="22"/>
                <w:szCs w:val="22"/>
              </w:rPr>
            </w:pPr>
            <w:r>
              <w:rPr>
                <w:rFonts w:hint="eastAsia" w:ascii="宋体" w:hAnsi="宋体" w:cs="宋体"/>
                <w:sz w:val="22"/>
                <w:szCs w:val="22"/>
              </w:rPr>
              <w:t> </w:t>
            </w:r>
          </w:p>
        </w:tc>
        <w:tc>
          <w:tcPr>
            <w:tcW w:w="2666" w:type="dxa"/>
            <w:noWrap w:val="0"/>
            <w:vAlign w:val="center"/>
          </w:tcPr>
          <w:p>
            <w:pPr>
              <w:adjustRightInd w:val="0"/>
              <w:snapToGrid w:val="0"/>
              <w:spacing w:line="400" w:lineRule="atLeast"/>
              <w:rPr>
                <w:rFonts w:hint="eastAsia" w:ascii="宋体" w:hAnsi="宋体" w:cs="宋体"/>
                <w:sz w:val="22"/>
                <w:szCs w:val="22"/>
              </w:rPr>
            </w:pPr>
            <w:r>
              <w:rPr>
                <w:rFonts w:hint="eastAsia" w:ascii="宋体" w:hAnsi="宋体" w:cs="宋体"/>
                <w:sz w:val="22"/>
                <w:szCs w:val="22"/>
              </w:rPr>
              <w:t>注册资金：  万元</w:t>
            </w:r>
          </w:p>
          <w:p>
            <w:pPr>
              <w:adjustRightInd w:val="0"/>
              <w:snapToGrid w:val="0"/>
              <w:spacing w:line="400" w:lineRule="atLeast"/>
              <w:rPr>
                <w:rFonts w:hint="eastAsia" w:ascii="宋体" w:hAnsi="宋体" w:cs="宋体"/>
                <w:sz w:val="22"/>
                <w:szCs w:val="22"/>
              </w:rPr>
            </w:pPr>
            <w:r>
              <w:rPr>
                <w:rFonts w:hint="eastAsia" w:ascii="宋体" w:hAnsi="宋体" w:cs="宋体"/>
                <w:sz w:val="22"/>
                <w:szCs w:val="22"/>
              </w:rPr>
              <w:t>法人代表：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blCellSpacing w:w="0" w:type="dxa"/>
          <w:jc w:val="center"/>
        </w:trPr>
        <w:tc>
          <w:tcPr>
            <w:tcW w:w="685" w:type="dxa"/>
            <w:noWrap w:val="0"/>
            <w:vAlign w:val="center"/>
          </w:tcPr>
          <w:p>
            <w:pPr>
              <w:adjustRightInd w:val="0"/>
              <w:snapToGrid w:val="0"/>
              <w:spacing w:line="400" w:lineRule="atLeast"/>
              <w:jc w:val="center"/>
              <w:rPr>
                <w:rFonts w:hint="eastAsia" w:ascii="宋体" w:hAnsi="宋体" w:cs="宋体"/>
                <w:sz w:val="22"/>
                <w:szCs w:val="22"/>
              </w:rPr>
            </w:pPr>
            <w:r>
              <w:rPr>
                <w:rFonts w:hint="eastAsia" w:ascii="宋体" w:hAnsi="宋体" w:cs="宋体"/>
                <w:sz w:val="22"/>
                <w:szCs w:val="22"/>
              </w:rPr>
              <w:t>2</w:t>
            </w:r>
          </w:p>
        </w:tc>
        <w:tc>
          <w:tcPr>
            <w:tcW w:w="4275" w:type="dxa"/>
            <w:gridSpan w:val="2"/>
            <w:noWrap w:val="0"/>
            <w:vAlign w:val="center"/>
          </w:tcPr>
          <w:p>
            <w:pPr>
              <w:adjustRightInd w:val="0"/>
              <w:snapToGrid w:val="0"/>
              <w:spacing w:line="400" w:lineRule="atLeast"/>
              <w:rPr>
                <w:rFonts w:hint="eastAsia" w:ascii="宋体" w:hAnsi="宋体" w:cs="宋体"/>
                <w:sz w:val="22"/>
                <w:szCs w:val="22"/>
              </w:rPr>
            </w:pPr>
            <w:r>
              <w:rPr>
                <w:rFonts w:hint="eastAsia" w:ascii="宋体" w:hAnsi="宋体" w:cs="宋体"/>
                <w:sz w:val="22"/>
                <w:szCs w:val="22"/>
              </w:rPr>
              <w:t>法定代表人授权委托书、被授权人身份证（复印件）</w:t>
            </w:r>
          </w:p>
        </w:tc>
        <w:tc>
          <w:tcPr>
            <w:tcW w:w="1487" w:type="dxa"/>
            <w:noWrap w:val="0"/>
            <w:vAlign w:val="center"/>
          </w:tcPr>
          <w:p>
            <w:pPr>
              <w:adjustRightInd w:val="0"/>
              <w:snapToGrid w:val="0"/>
              <w:spacing w:line="400" w:lineRule="atLeast"/>
              <w:jc w:val="center"/>
              <w:rPr>
                <w:rFonts w:hint="eastAsia" w:ascii="宋体" w:hAnsi="宋体" w:cs="宋体"/>
                <w:sz w:val="22"/>
                <w:szCs w:val="22"/>
              </w:rPr>
            </w:pPr>
            <w:r>
              <w:rPr>
                <w:rFonts w:hint="eastAsia" w:ascii="宋体" w:hAnsi="宋体" w:cs="宋体"/>
                <w:sz w:val="22"/>
                <w:szCs w:val="22"/>
              </w:rPr>
              <w:t> </w:t>
            </w:r>
          </w:p>
        </w:tc>
        <w:tc>
          <w:tcPr>
            <w:tcW w:w="2666" w:type="dxa"/>
            <w:noWrap w:val="0"/>
            <w:vAlign w:val="center"/>
          </w:tcPr>
          <w:p>
            <w:pPr>
              <w:adjustRightInd w:val="0"/>
              <w:snapToGrid w:val="0"/>
              <w:spacing w:line="400" w:lineRule="atLeast"/>
              <w:rPr>
                <w:rFonts w:hint="eastAsia"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blCellSpacing w:w="0" w:type="dxa"/>
          <w:jc w:val="center"/>
        </w:trPr>
        <w:tc>
          <w:tcPr>
            <w:tcW w:w="685" w:type="dxa"/>
            <w:noWrap w:val="0"/>
            <w:vAlign w:val="center"/>
          </w:tcPr>
          <w:p>
            <w:pPr>
              <w:adjustRightInd w:val="0"/>
              <w:snapToGrid w:val="0"/>
              <w:spacing w:line="400" w:lineRule="atLeast"/>
              <w:jc w:val="center"/>
              <w:rPr>
                <w:rFonts w:hint="eastAsia" w:ascii="宋体" w:hAnsi="宋体" w:cs="宋体"/>
                <w:sz w:val="22"/>
                <w:szCs w:val="22"/>
              </w:rPr>
            </w:pPr>
          </w:p>
        </w:tc>
        <w:tc>
          <w:tcPr>
            <w:tcW w:w="4275" w:type="dxa"/>
            <w:gridSpan w:val="2"/>
            <w:noWrap w:val="0"/>
            <w:vAlign w:val="center"/>
          </w:tcPr>
          <w:p>
            <w:pPr>
              <w:adjustRightInd w:val="0"/>
              <w:snapToGrid w:val="0"/>
              <w:spacing w:line="400" w:lineRule="atLeast"/>
              <w:rPr>
                <w:rFonts w:hint="eastAsia" w:ascii="宋体" w:hAnsi="宋体" w:cs="宋体"/>
                <w:sz w:val="22"/>
                <w:szCs w:val="22"/>
              </w:rPr>
            </w:pPr>
          </w:p>
        </w:tc>
        <w:tc>
          <w:tcPr>
            <w:tcW w:w="1487" w:type="dxa"/>
            <w:noWrap w:val="0"/>
            <w:vAlign w:val="center"/>
          </w:tcPr>
          <w:p>
            <w:pPr>
              <w:adjustRightInd w:val="0"/>
              <w:snapToGrid w:val="0"/>
              <w:spacing w:line="400" w:lineRule="atLeast"/>
              <w:jc w:val="center"/>
              <w:rPr>
                <w:rFonts w:hint="eastAsia" w:ascii="宋体" w:hAnsi="宋体" w:cs="宋体"/>
                <w:sz w:val="22"/>
                <w:szCs w:val="22"/>
              </w:rPr>
            </w:pPr>
          </w:p>
        </w:tc>
        <w:tc>
          <w:tcPr>
            <w:tcW w:w="2666" w:type="dxa"/>
            <w:noWrap w:val="0"/>
            <w:vAlign w:val="center"/>
          </w:tcPr>
          <w:p>
            <w:pPr>
              <w:adjustRightInd w:val="0"/>
              <w:snapToGrid w:val="0"/>
              <w:spacing w:line="400" w:lineRule="atLeast"/>
              <w:rPr>
                <w:rFonts w:hint="eastAsia"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blCellSpacing w:w="0" w:type="dxa"/>
          <w:jc w:val="center"/>
        </w:trPr>
        <w:tc>
          <w:tcPr>
            <w:tcW w:w="685" w:type="dxa"/>
            <w:noWrap w:val="0"/>
            <w:vAlign w:val="center"/>
          </w:tcPr>
          <w:p>
            <w:pPr>
              <w:adjustRightInd w:val="0"/>
              <w:snapToGrid w:val="0"/>
              <w:spacing w:line="400" w:lineRule="atLeast"/>
              <w:jc w:val="center"/>
              <w:rPr>
                <w:rFonts w:hint="eastAsia" w:ascii="宋体" w:hAnsi="宋体" w:cs="宋体"/>
                <w:sz w:val="22"/>
                <w:szCs w:val="22"/>
              </w:rPr>
            </w:pPr>
          </w:p>
        </w:tc>
        <w:tc>
          <w:tcPr>
            <w:tcW w:w="4275" w:type="dxa"/>
            <w:gridSpan w:val="2"/>
            <w:noWrap w:val="0"/>
            <w:vAlign w:val="center"/>
          </w:tcPr>
          <w:p>
            <w:pPr>
              <w:adjustRightInd w:val="0"/>
              <w:snapToGrid w:val="0"/>
              <w:spacing w:line="400" w:lineRule="atLeast"/>
              <w:rPr>
                <w:rFonts w:hint="eastAsia" w:ascii="宋体" w:hAnsi="宋体" w:cs="宋体"/>
                <w:sz w:val="22"/>
                <w:szCs w:val="22"/>
              </w:rPr>
            </w:pPr>
          </w:p>
        </w:tc>
        <w:tc>
          <w:tcPr>
            <w:tcW w:w="1487" w:type="dxa"/>
            <w:noWrap w:val="0"/>
            <w:vAlign w:val="center"/>
          </w:tcPr>
          <w:p>
            <w:pPr>
              <w:adjustRightInd w:val="0"/>
              <w:snapToGrid w:val="0"/>
              <w:spacing w:line="400" w:lineRule="atLeast"/>
              <w:jc w:val="center"/>
              <w:rPr>
                <w:rFonts w:hint="eastAsia" w:ascii="宋体" w:hAnsi="宋体" w:cs="宋体"/>
                <w:sz w:val="22"/>
                <w:szCs w:val="22"/>
              </w:rPr>
            </w:pPr>
          </w:p>
        </w:tc>
        <w:tc>
          <w:tcPr>
            <w:tcW w:w="2666" w:type="dxa"/>
            <w:noWrap w:val="0"/>
            <w:vAlign w:val="center"/>
          </w:tcPr>
          <w:p>
            <w:pPr>
              <w:adjustRightInd w:val="0"/>
              <w:snapToGrid w:val="0"/>
              <w:spacing w:line="400" w:lineRule="atLeast"/>
              <w:rPr>
                <w:rFonts w:hint="eastAsia"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blCellSpacing w:w="0" w:type="dxa"/>
          <w:jc w:val="center"/>
        </w:trPr>
        <w:tc>
          <w:tcPr>
            <w:tcW w:w="685" w:type="dxa"/>
            <w:noWrap w:val="0"/>
            <w:vAlign w:val="center"/>
          </w:tcPr>
          <w:p>
            <w:pPr>
              <w:adjustRightInd w:val="0"/>
              <w:snapToGrid w:val="0"/>
              <w:spacing w:line="400" w:lineRule="atLeast"/>
              <w:jc w:val="center"/>
              <w:rPr>
                <w:rFonts w:hint="eastAsia" w:ascii="宋体" w:hAnsi="宋体" w:cs="宋体"/>
                <w:sz w:val="22"/>
                <w:szCs w:val="22"/>
              </w:rPr>
            </w:pPr>
          </w:p>
        </w:tc>
        <w:tc>
          <w:tcPr>
            <w:tcW w:w="4275" w:type="dxa"/>
            <w:gridSpan w:val="2"/>
            <w:noWrap w:val="0"/>
            <w:vAlign w:val="center"/>
          </w:tcPr>
          <w:p>
            <w:pPr>
              <w:adjustRightInd w:val="0"/>
              <w:snapToGrid w:val="0"/>
              <w:spacing w:line="400" w:lineRule="atLeast"/>
              <w:rPr>
                <w:rFonts w:hint="eastAsia" w:ascii="宋体" w:hAnsi="宋体" w:cs="宋体"/>
                <w:sz w:val="22"/>
                <w:szCs w:val="22"/>
              </w:rPr>
            </w:pPr>
          </w:p>
        </w:tc>
        <w:tc>
          <w:tcPr>
            <w:tcW w:w="1487" w:type="dxa"/>
            <w:noWrap w:val="0"/>
            <w:vAlign w:val="center"/>
          </w:tcPr>
          <w:p>
            <w:pPr>
              <w:adjustRightInd w:val="0"/>
              <w:snapToGrid w:val="0"/>
              <w:spacing w:line="400" w:lineRule="atLeast"/>
              <w:jc w:val="center"/>
              <w:rPr>
                <w:rFonts w:hint="eastAsia" w:ascii="宋体" w:hAnsi="宋体" w:cs="宋体"/>
                <w:sz w:val="22"/>
                <w:szCs w:val="22"/>
              </w:rPr>
            </w:pPr>
          </w:p>
        </w:tc>
        <w:tc>
          <w:tcPr>
            <w:tcW w:w="2666" w:type="dxa"/>
            <w:noWrap w:val="0"/>
            <w:vAlign w:val="center"/>
          </w:tcPr>
          <w:p>
            <w:pPr>
              <w:adjustRightInd w:val="0"/>
              <w:snapToGrid w:val="0"/>
              <w:spacing w:line="400" w:lineRule="atLeast"/>
              <w:rPr>
                <w:rFonts w:hint="eastAsia"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blCellSpacing w:w="0" w:type="dxa"/>
          <w:jc w:val="center"/>
        </w:trPr>
        <w:tc>
          <w:tcPr>
            <w:tcW w:w="685" w:type="dxa"/>
            <w:noWrap w:val="0"/>
            <w:vAlign w:val="center"/>
          </w:tcPr>
          <w:p>
            <w:pPr>
              <w:adjustRightInd w:val="0"/>
              <w:snapToGrid w:val="0"/>
              <w:spacing w:line="400" w:lineRule="atLeast"/>
              <w:jc w:val="center"/>
              <w:rPr>
                <w:rFonts w:hint="eastAsia" w:ascii="宋体" w:hAnsi="宋体" w:cs="宋体"/>
                <w:b/>
                <w:sz w:val="22"/>
                <w:szCs w:val="22"/>
              </w:rPr>
            </w:pPr>
          </w:p>
        </w:tc>
        <w:tc>
          <w:tcPr>
            <w:tcW w:w="4275" w:type="dxa"/>
            <w:gridSpan w:val="2"/>
            <w:noWrap w:val="0"/>
            <w:vAlign w:val="center"/>
          </w:tcPr>
          <w:p>
            <w:pPr>
              <w:adjustRightInd w:val="0"/>
              <w:snapToGrid w:val="0"/>
              <w:spacing w:line="400" w:lineRule="atLeast"/>
              <w:rPr>
                <w:rFonts w:hint="eastAsia" w:ascii="宋体" w:hAnsi="宋体" w:cs="宋体"/>
                <w:b/>
                <w:sz w:val="22"/>
                <w:szCs w:val="22"/>
              </w:rPr>
            </w:pPr>
          </w:p>
        </w:tc>
        <w:tc>
          <w:tcPr>
            <w:tcW w:w="1487" w:type="dxa"/>
            <w:noWrap w:val="0"/>
            <w:vAlign w:val="center"/>
          </w:tcPr>
          <w:p>
            <w:pPr>
              <w:adjustRightInd w:val="0"/>
              <w:snapToGrid w:val="0"/>
              <w:spacing w:line="400" w:lineRule="atLeast"/>
              <w:jc w:val="center"/>
              <w:rPr>
                <w:rFonts w:hint="eastAsia" w:ascii="宋体" w:hAnsi="宋体" w:cs="宋体"/>
                <w:b/>
                <w:sz w:val="22"/>
                <w:szCs w:val="22"/>
              </w:rPr>
            </w:pPr>
          </w:p>
        </w:tc>
        <w:tc>
          <w:tcPr>
            <w:tcW w:w="2666" w:type="dxa"/>
            <w:noWrap w:val="0"/>
            <w:vAlign w:val="center"/>
          </w:tcPr>
          <w:p>
            <w:pPr>
              <w:adjustRightInd w:val="0"/>
              <w:snapToGrid w:val="0"/>
              <w:spacing w:line="400" w:lineRule="atLeast"/>
              <w:rPr>
                <w:rFonts w:hint="eastAsia" w:ascii="宋体" w:hAnsi="宋体" w:cs="宋体"/>
                <w:b/>
                <w:sz w:val="22"/>
                <w:szCs w:val="22"/>
              </w:rPr>
            </w:pPr>
          </w:p>
        </w:tc>
      </w:tr>
    </w:tbl>
    <w:p>
      <w:pPr>
        <w:widowControl/>
        <w:jc w:val="left"/>
        <w:rPr>
          <w:rFonts w:hint="eastAsia" w:ascii="宋体"/>
          <w:b/>
          <w:sz w:val="24"/>
        </w:rPr>
      </w:pPr>
      <w:r>
        <w:rPr>
          <w:rFonts w:hint="eastAsia" w:ascii="宋体"/>
          <w:b/>
          <w:sz w:val="24"/>
        </w:rPr>
        <w:t>以上资料需整理后保存PDF格式，采购组织机构将根据报名投标人提交的文件资料进行核查。</w:t>
      </w:r>
    </w:p>
    <w:p>
      <w:pPr>
        <w:jc w:val="left"/>
        <w:rPr>
          <w:rFonts w:hint="eastAsia" w:ascii="宋体" w:hAnsi="宋体"/>
          <w:sz w:val="24"/>
        </w:rPr>
      </w:pPr>
      <w:r>
        <w:rPr>
          <w:rFonts w:hint="eastAsia" w:ascii="宋体"/>
          <w:b/>
          <w:sz w:val="24"/>
        </w:rPr>
        <w:t>注：供应商报名登记表递交要求：扫描件发送至524613944@qq.com如遇问题可致电并致电采购代理机构联系人：刘先生，联系方式0577-68877002。</w:t>
      </w:r>
    </w:p>
    <w:bookmarkEnd w:id="0"/>
    <w:p>
      <w:pPr>
        <w:pStyle w:val="3"/>
        <w:keepNext w:val="0"/>
        <w:keepLines w:val="0"/>
        <w:pageBreakBefore/>
        <w:spacing w:before="0" w:after="0" w:line="360" w:lineRule="auto"/>
        <w:jc w:val="center"/>
        <w:rPr>
          <w:rFonts w:hint="eastAsia" w:ascii="宋体" w:hAnsi="宋体" w:cs="宋体"/>
          <w:sz w:val="36"/>
          <w:szCs w:val="36"/>
        </w:rPr>
      </w:pPr>
      <w:r>
        <w:rPr>
          <w:rFonts w:hint="eastAsia" w:ascii="宋体" w:hAnsi="宋体" w:cs="宋体"/>
          <w:sz w:val="36"/>
          <w:szCs w:val="36"/>
        </w:rPr>
        <w:t>第二章  投标人须知及前附表</w:t>
      </w:r>
    </w:p>
    <w:p>
      <w:pPr>
        <w:spacing w:line="360" w:lineRule="auto"/>
        <w:jc w:val="center"/>
        <w:rPr>
          <w:rFonts w:hint="eastAsia" w:ascii="宋体" w:hAnsi="宋体" w:cs="宋体"/>
          <w:b/>
          <w:bCs/>
          <w:sz w:val="32"/>
        </w:rPr>
      </w:pPr>
      <w:r>
        <w:rPr>
          <w:rFonts w:hint="eastAsia" w:ascii="宋体" w:hAnsi="宋体" w:cs="宋体"/>
          <w:b/>
          <w:bCs/>
          <w:sz w:val="32"/>
        </w:rPr>
        <w:t>一、前附表</w:t>
      </w:r>
    </w:p>
    <w:p>
      <w:pPr>
        <w:adjustRightInd w:val="0"/>
        <w:snapToGrid w:val="0"/>
        <w:spacing w:line="360" w:lineRule="auto"/>
        <w:ind w:firstLine="480" w:firstLineChars="200"/>
        <w:rPr>
          <w:rFonts w:hint="eastAsia" w:ascii="宋体" w:hAnsi="宋体" w:cs="宋体"/>
          <w:bCs/>
          <w:szCs w:val="21"/>
        </w:rPr>
      </w:pPr>
      <w:r>
        <w:rPr>
          <w:rFonts w:hint="eastAsia" w:ascii="宋体" w:hAnsi="宋体" w:cs="宋体"/>
          <w:bCs/>
          <w:sz w:val="24"/>
        </w:rPr>
        <w:t>浙江首信工程项目管理有限公司受采购单位委托对</w:t>
      </w:r>
      <w:r>
        <w:rPr>
          <w:rFonts w:hint="eastAsia" w:ascii="宋体" w:hAnsi="宋体" w:cs="宋体"/>
          <w:bCs/>
          <w:sz w:val="24"/>
          <w:lang w:eastAsia="zh-CN"/>
        </w:rPr>
        <w:t>平苍引水北山泵站二次扩容改造工程设备采购及安装项目</w:t>
      </w:r>
      <w:r>
        <w:rPr>
          <w:rFonts w:hint="eastAsia" w:ascii="宋体" w:hAnsi="宋体" w:cs="宋体"/>
          <w:bCs/>
          <w:sz w:val="24"/>
        </w:rPr>
        <w:t>公开招标，我们现通知贵公司（企业）参加投标，并请按招标文件的要求认真准备好投标文件，按时前来投标。</w:t>
      </w:r>
    </w:p>
    <w:tbl>
      <w:tblPr>
        <w:tblStyle w:val="19"/>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6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trPr>
        <w:tc>
          <w:tcPr>
            <w:tcW w:w="2548" w:type="dxa"/>
            <w:tcBorders>
              <w:top w:val="double" w:color="auto" w:sz="4" w:space="0"/>
              <w:left w:val="double" w:color="auto" w:sz="4" w:space="0"/>
            </w:tcBorders>
            <w:noWrap w:val="0"/>
            <w:vAlign w:val="center"/>
          </w:tcPr>
          <w:p>
            <w:pPr>
              <w:adjustRightInd w:val="0"/>
              <w:snapToGrid w:val="0"/>
              <w:spacing w:line="240" w:lineRule="exact"/>
              <w:jc w:val="center"/>
              <w:rPr>
                <w:rFonts w:hint="eastAsia" w:ascii="宋体" w:hAnsi="宋体" w:cs="宋体"/>
                <w:bCs/>
                <w:sz w:val="22"/>
                <w:szCs w:val="22"/>
              </w:rPr>
            </w:pPr>
            <w:r>
              <w:rPr>
                <w:rFonts w:hint="eastAsia" w:ascii="宋体" w:hAnsi="宋体" w:cs="宋体"/>
                <w:bCs/>
                <w:sz w:val="22"/>
                <w:szCs w:val="22"/>
              </w:rPr>
              <w:t>招标编号</w:t>
            </w:r>
          </w:p>
        </w:tc>
        <w:tc>
          <w:tcPr>
            <w:tcW w:w="6851" w:type="dxa"/>
            <w:tcBorders>
              <w:top w:val="double" w:color="auto" w:sz="4" w:space="0"/>
              <w:right w:val="double" w:color="auto" w:sz="4" w:space="0"/>
            </w:tcBorders>
            <w:noWrap w:val="0"/>
            <w:vAlign w:val="center"/>
          </w:tcPr>
          <w:p>
            <w:pPr>
              <w:pStyle w:val="8"/>
              <w:adjustRightInd w:val="0"/>
              <w:snapToGrid w:val="0"/>
              <w:spacing w:before="0" w:line="24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LGCG2021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8" w:type="dxa"/>
            <w:tcBorders>
              <w:left w:val="double" w:color="auto" w:sz="4" w:space="0"/>
            </w:tcBorders>
            <w:noWrap w:val="0"/>
            <w:vAlign w:val="center"/>
          </w:tcPr>
          <w:p>
            <w:pPr>
              <w:adjustRightInd w:val="0"/>
              <w:snapToGrid w:val="0"/>
              <w:spacing w:line="240" w:lineRule="exact"/>
              <w:jc w:val="center"/>
              <w:rPr>
                <w:rFonts w:hint="eastAsia" w:ascii="宋体" w:hAnsi="宋体" w:cs="宋体"/>
                <w:sz w:val="22"/>
                <w:szCs w:val="22"/>
              </w:rPr>
            </w:pPr>
            <w:r>
              <w:rPr>
                <w:rFonts w:hint="eastAsia" w:ascii="宋体" w:hAnsi="宋体" w:cs="宋体"/>
                <w:sz w:val="22"/>
                <w:szCs w:val="22"/>
              </w:rPr>
              <w:t>招标内容</w:t>
            </w:r>
          </w:p>
        </w:tc>
        <w:tc>
          <w:tcPr>
            <w:tcW w:w="6851" w:type="dxa"/>
            <w:tcBorders>
              <w:right w:val="double" w:color="auto" w:sz="4" w:space="0"/>
            </w:tcBorders>
            <w:noWrap w:val="0"/>
            <w:vAlign w:val="center"/>
          </w:tcPr>
          <w:p>
            <w:pPr>
              <w:pStyle w:val="8"/>
              <w:adjustRightInd w:val="0"/>
              <w:snapToGrid w:val="0"/>
              <w:spacing w:before="0" w:line="240" w:lineRule="exact"/>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平苍引水北山泵站二次扩容改造工程设备采购及安装项目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8" w:type="dxa"/>
            <w:tcBorders>
              <w:left w:val="double" w:color="auto" w:sz="4" w:space="0"/>
            </w:tcBorders>
            <w:noWrap w:val="0"/>
            <w:vAlign w:val="center"/>
          </w:tcPr>
          <w:p>
            <w:pPr>
              <w:adjustRightInd w:val="0"/>
              <w:snapToGrid w:val="0"/>
              <w:spacing w:line="240" w:lineRule="exact"/>
              <w:jc w:val="center"/>
              <w:rPr>
                <w:rFonts w:hint="eastAsia" w:ascii="宋体" w:hAnsi="宋体" w:cs="宋体"/>
                <w:sz w:val="22"/>
                <w:szCs w:val="22"/>
              </w:rPr>
            </w:pPr>
            <w:r>
              <w:rPr>
                <w:rFonts w:hint="eastAsia" w:ascii="宋体" w:hAnsi="宋体" w:cs="宋体"/>
                <w:sz w:val="22"/>
                <w:szCs w:val="22"/>
              </w:rPr>
              <w:t>资金来源</w:t>
            </w:r>
          </w:p>
        </w:tc>
        <w:tc>
          <w:tcPr>
            <w:tcW w:w="6851" w:type="dxa"/>
            <w:tcBorders>
              <w:right w:val="double" w:color="auto" w:sz="4" w:space="0"/>
            </w:tcBorders>
            <w:noWrap w:val="0"/>
            <w:vAlign w:val="center"/>
          </w:tcPr>
          <w:p>
            <w:pPr>
              <w:pStyle w:val="8"/>
              <w:adjustRightInd w:val="0"/>
              <w:snapToGrid w:val="0"/>
              <w:spacing w:before="0" w:line="24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548" w:type="dxa"/>
            <w:tcBorders>
              <w:left w:val="double" w:color="auto" w:sz="4" w:space="0"/>
            </w:tcBorders>
            <w:noWrap w:val="0"/>
            <w:vAlign w:val="center"/>
          </w:tcPr>
          <w:p>
            <w:pPr>
              <w:adjustRightInd w:val="0"/>
              <w:snapToGrid w:val="0"/>
              <w:spacing w:line="240" w:lineRule="exact"/>
              <w:jc w:val="center"/>
              <w:rPr>
                <w:rFonts w:hint="eastAsia" w:ascii="宋体" w:hAnsi="宋体" w:cs="宋体"/>
                <w:sz w:val="22"/>
                <w:szCs w:val="22"/>
              </w:rPr>
            </w:pPr>
            <w:r>
              <w:rPr>
                <w:rFonts w:hint="eastAsia" w:ascii="宋体" w:hAnsi="宋体" w:cs="宋体"/>
                <w:sz w:val="22"/>
                <w:szCs w:val="22"/>
              </w:rPr>
              <w:t>招标方式</w:t>
            </w:r>
          </w:p>
        </w:tc>
        <w:tc>
          <w:tcPr>
            <w:tcW w:w="6851" w:type="dxa"/>
            <w:tcBorders>
              <w:right w:val="double" w:color="auto" w:sz="4" w:space="0"/>
            </w:tcBorders>
            <w:noWrap w:val="0"/>
            <w:vAlign w:val="center"/>
          </w:tcPr>
          <w:p>
            <w:pPr>
              <w:adjustRightInd w:val="0"/>
              <w:snapToGrid w:val="0"/>
              <w:spacing w:line="240" w:lineRule="exact"/>
              <w:rPr>
                <w:rFonts w:hint="eastAsia" w:ascii="宋体" w:hAnsi="宋体" w:cs="宋体"/>
                <w:bCs/>
                <w:sz w:val="22"/>
                <w:szCs w:val="22"/>
              </w:rPr>
            </w:pPr>
            <w:r>
              <w:rPr>
                <w:rFonts w:hint="eastAsia" w:ascii="宋体" w:hAnsi="宋体" w:cs="宋体"/>
                <w:sz w:val="22"/>
                <w:szCs w:val="22"/>
              </w:rPr>
              <w:t>公开</w:t>
            </w:r>
            <w:r>
              <w:rPr>
                <w:rFonts w:hint="eastAsia" w:ascii="宋体" w:hAnsi="宋体" w:cs="宋体"/>
                <w:bCs/>
                <w:sz w:val="22"/>
                <w:szCs w:val="22"/>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8" w:type="dxa"/>
            <w:tcBorders>
              <w:left w:val="double" w:color="auto" w:sz="4" w:space="0"/>
            </w:tcBorders>
            <w:noWrap w:val="0"/>
            <w:vAlign w:val="center"/>
          </w:tcPr>
          <w:p>
            <w:pPr>
              <w:adjustRightInd w:val="0"/>
              <w:snapToGrid w:val="0"/>
              <w:spacing w:line="240" w:lineRule="exact"/>
              <w:jc w:val="center"/>
              <w:rPr>
                <w:rFonts w:hint="eastAsia" w:ascii="宋体" w:hAnsi="宋体" w:cs="宋体"/>
                <w:sz w:val="22"/>
                <w:szCs w:val="22"/>
              </w:rPr>
            </w:pPr>
            <w:r>
              <w:rPr>
                <w:rFonts w:hint="eastAsia" w:ascii="宋体" w:hAnsi="宋体" w:cs="宋体"/>
                <w:sz w:val="22"/>
                <w:szCs w:val="22"/>
              </w:rPr>
              <w:t>评标办法</w:t>
            </w:r>
          </w:p>
        </w:tc>
        <w:tc>
          <w:tcPr>
            <w:tcW w:w="6851" w:type="dxa"/>
            <w:tcBorders>
              <w:right w:val="double" w:color="auto" w:sz="4" w:space="0"/>
            </w:tcBorders>
            <w:noWrap w:val="0"/>
            <w:vAlign w:val="center"/>
          </w:tcPr>
          <w:p>
            <w:pPr>
              <w:adjustRightInd w:val="0"/>
              <w:snapToGrid w:val="0"/>
              <w:spacing w:line="240" w:lineRule="exact"/>
              <w:rPr>
                <w:rFonts w:hint="eastAsia" w:ascii="宋体" w:hAnsi="宋体" w:cs="宋体"/>
                <w:bCs/>
                <w:sz w:val="22"/>
                <w:szCs w:val="22"/>
              </w:rPr>
            </w:pPr>
            <w:r>
              <w:rPr>
                <w:rFonts w:hint="eastAsia" w:ascii="宋体" w:hAnsi="宋体" w:cs="宋体"/>
                <w:bCs/>
                <w:sz w:val="22"/>
                <w:szCs w:val="22"/>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548" w:type="dxa"/>
            <w:tcBorders>
              <w:left w:val="double" w:color="auto" w:sz="4" w:space="0"/>
            </w:tcBorders>
            <w:noWrap w:val="0"/>
            <w:vAlign w:val="center"/>
          </w:tcPr>
          <w:p>
            <w:pPr>
              <w:adjustRightInd w:val="0"/>
              <w:snapToGrid w:val="0"/>
              <w:spacing w:line="240" w:lineRule="exact"/>
              <w:jc w:val="center"/>
              <w:rPr>
                <w:rFonts w:hint="eastAsia" w:ascii="宋体" w:hAnsi="宋体" w:cs="宋体"/>
                <w:sz w:val="22"/>
                <w:szCs w:val="22"/>
              </w:rPr>
            </w:pPr>
            <w:r>
              <w:rPr>
                <w:rFonts w:hint="eastAsia" w:ascii="宋体" w:hAnsi="宋体" w:cs="宋体"/>
                <w:sz w:val="22"/>
                <w:szCs w:val="22"/>
              </w:rPr>
              <w:t>投标有效期</w:t>
            </w:r>
          </w:p>
        </w:tc>
        <w:tc>
          <w:tcPr>
            <w:tcW w:w="6851" w:type="dxa"/>
            <w:tcBorders>
              <w:right w:val="double" w:color="auto" w:sz="4" w:space="0"/>
            </w:tcBorders>
            <w:noWrap w:val="0"/>
            <w:vAlign w:val="center"/>
          </w:tcPr>
          <w:p>
            <w:pPr>
              <w:adjustRightInd w:val="0"/>
              <w:snapToGrid w:val="0"/>
              <w:spacing w:line="240" w:lineRule="exact"/>
              <w:rPr>
                <w:rFonts w:hint="eastAsia" w:ascii="宋体" w:hAnsi="宋体" w:cs="宋体"/>
                <w:sz w:val="22"/>
                <w:szCs w:val="22"/>
              </w:rPr>
            </w:pPr>
            <w:r>
              <w:rPr>
                <w:rFonts w:hint="eastAsia" w:ascii="宋体" w:hAnsi="宋体" w:cs="宋体"/>
                <w:sz w:val="22"/>
                <w:szCs w:val="22"/>
              </w:rPr>
              <w:t>90日历天（自投标截止日起计算）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8" w:type="dxa"/>
            <w:tcBorders>
              <w:left w:val="double" w:color="auto" w:sz="4" w:space="0"/>
            </w:tcBorders>
            <w:noWrap w:val="0"/>
            <w:vAlign w:val="center"/>
          </w:tcPr>
          <w:p>
            <w:pPr>
              <w:adjustRightInd w:val="0"/>
              <w:snapToGrid w:val="0"/>
              <w:spacing w:line="240" w:lineRule="exact"/>
              <w:jc w:val="center"/>
              <w:rPr>
                <w:rFonts w:hint="eastAsia" w:ascii="宋体" w:hAnsi="宋体" w:cs="宋体"/>
                <w:bCs/>
                <w:sz w:val="22"/>
                <w:szCs w:val="22"/>
              </w:rPr>
            </w:pPr>
            <w:r>
              <w:rPr>
                <w:rFonts w:hint="eastAsia" w:ascii="宋体" w:hAnsi="宋体" w:cs="宋体"/>
                <w:bCs/>
                <w:sz w:val="22"/>
                <w:szCs w:val="22"/>
              </w:rPr>
              <w:t>投标文件份数</w:t>
            </w:r>
          </w:p>
        </w:tc>
        <w:tc>
          <w:tcPr>
            <w:tcW w:w="6851" w:type="dxa"/>
            <w:tcBorders>
              <w:right w:val="double" w:color="auto" w:sz="4" w:space="0"/>
            </w:tcBorders>
            <w:noWrap w:val="0"/>
            <w:vAlign w:val="center"/>
          </w:tcPr>
          <w:p>
            <w:pPr>
              <w:adjustRightInd w:val="0"/>
              <w:snapToGrid w:val="0"/>
              <w:spacing w:line="240" w:lineRule="exact"/>
              <w:rPr>
                <w:rFonts w:hint="eastAsia" w:ascii="宋体" w:hAnsi="宋体" w:cs="宋体"/>
                <w:bCs/>
                <w:sz w:val="22"/>
                <w:szCs w:val="22"/>
              </w:rPr>
            </w:pPr>
            <w:r>
              <w:rPr>
                <w:rFonts w:hint="eastAsia" w:ascii="宋体" w:hAnsi="宋体" w:cs="宋体"/>
                <w:bCs/>
                <w:sz w:val="22"/>
                <w:szCs w:val="22"/>
              </w:rPr>
              <w:t>正本1份，副本4份（建议采用双面打印）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trPr>
        <w:tc>
          <w:tcPr>
            <w:tcW w:w="2548" w:type="dxa"/>
            <w:tcBorders>
              <w:left w:val="double" w:color="auto" w:sz="4" w:space="0"/>
            </w:tcBorders>
            <w:noWrap w:val="0"/>
            <w:vAlign w:val="center"/>
          </w:tcPr>
          <w:p>
            <w:pPr>
              <w:snapToGrid w:val="0"/>
              <w:spacing w:line="240" w:lineRule="exact"/>
              <w:jc w:val="center"/>
              <w:rPr>
                <w:rFonts w:hint="eastAsia" w:ascii="宋体" w:hAnsi="宋体" w:cs="宋体"/>
                <w:sz w:val="22"/>
                <w:szCs w:val="22"/>
              </w:rPr>
            </w:pPr>
            <w:r>
              <w:rPr>
                <w:rFonts w:hint="eastAsia" w:ascii="宋体" w:hAnsi="宋体" w:cs="宋体"/>
                <w:sz w:val="22"/>
                <w:szCs w:val="22"/>
              </w:rPr>
              <w:t>投标文件递交及开标地点</w:t>
            </w:r>
          </w:p>
        </w:tc>
        <w:tc>
          <w:tcPr>
            <w:tcW w:w="6851" w:type="dxa"/>
            <w:tcBorders>
              <w:right w:val="double" w:color="auto" w:sz="4" w:space="0"/>
            </w:tcBorders>
            <w:noWrap w:val="0"/>
            <w:vAlign w:val="center"/>
          </w:tcPr>
          <w:p>
            <w:pPr>
              <w:adjustRightInd w:val="0"/>
              <w:snapToGrid w:val="0"/>
              <w:spacing w:line="240" w:lineRule="exact"/>
              <w:rPr>
                <w:rFonts w:hint="eastAsia" w:ascii="宋体" w:hAnsi="宋体" w:cs="宋体"/>
                <w:bCs/>
                <w:sz w:val="22"/>
                <w:szCs w:val="22"/>
              </w:rPr>
            </w:pPr>
            <w:r>
              <w:rPr>
                <w:rFonts w:hint="eastAsia" w:ascii="宋体" w:hAnsi="宋体"/>
                <w:bCs/>
                <w:sz w:val="22"/>
                <w:szCs w:val="22"/>
              </w:rPr>
              <w:t>龙港市公共资源交易中心收标区（龙港市世纪大道4518号龙港市政务客厅4楼）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548" w:type="dxa"/>
            <w:tcBorders>
              <w:left w:val="double" w:color="auto" w:sz="4" w:space="0"/>
            </w:tcBorders>
            <w:noWrap w:val="0"/>
            <w:vAlign w:val="center"/>
          </w:tcPr>
          <w:p>
            <w:pPr>
              <w:snapToGrid w:val="0"/>
              <w:spacing w:line="240" w:lineRule="exact"/>
              <w:jc w:val="center"/>
              <w:rPr>
                <w:rFonts w:hint="eastAsia" w:ascii="宋体" w:hAnsi="宋体" w:cs="宋体"/>
                <w:sz w:val="22"/>
                <w:szCs w:val="22"/>
              </w:rPr>
            </w:pPr>
            <w:r>
              <w:rPr>
                <w:rFonts w:hint="eastAsia" w:ascii="宋体" w:hAnsi="宋体" w:cs="宋体"/>
                <w:sz w:val="22"/>
                <w:szCs w:val="22"/>
              </w:rPr>
              <w:t>投标截止与开标时间</w:t>
            </w:r>
          </w:p>
        </w:tc>
        <w:tc>
          <w:tcPr>
            <w:tcW w:w="6851" w:type="dxa"/>
            <w:tcBorders>
              <w:right w:val="double" w:color="auto" w:sz="4" w:space="0"/>
            </w:tcBorders>
            <w:noWrap w:val="0"/>
            <w:vAlign w:val="center"/>
          </w:tcPr>
          <w:p>
            <w:pPr>
              <w:adjustRightInd w:val="0"/>
              <w:snapToGrid w:val="0"/>
              <w:spacing w:line="240" w:lineRule="exact"/>
              <w:rPr>
                <w:rFonts w:hint="eastAsia" w:ascii="宋体" w:hAnsi="宋体" w:cs="宋体"/>
                <w:bCs/>
                <w:color w:val="0000FF"/>
                <w:sz w:val="22"/>
                <w:szCs w:val="22"/>
              </w:rPr>
            </w:pPr>
            <w:r>
              <w:rPr>
                <w:rFonts w:hint="eastAsia" w:ascii="宋体" w:hAnsi="宋体" w:cs="宋体"/>
                <w:bCs/>
                <w:sz w:val="22"/>
                <w:szCs w:val="22"/>
              </w:rPr>
              <w:t>2021年  月   日上午09:30时正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1" w:hRule="atLeast"/>
        </w:trPr>
        <w:tc>
          <w:tcPr>
            <w:tcW w:w="2548" w:type="dxa"/>
            <w:tcBorders>
              <w:left w:val="double" w:color="auto" w:sz="4" w:space="0"/>
            </w:tcBorders>
            <w:noWrap w:val="0"/>
            <w:vAlign w:val="center"/>
          </w:tcPr>
          <w:p>
            <w:pPr>
              <w:pStyle w:val="8"/>
              <w:snapToGrid w:val="0"/>
              <w:spacing w:before="0" w:line="400" w:lineRule="atLeast"/>
              <w:jc w:val="center"/>
              <w:rPr>
                <w:rFonts w:hint="eastAsia" w:ascii="宋体" w:hAnsi="宋体" w:eastAsia="宋体" w:cs="Times New Roman"/>
                <w:b w:val="0"/>
                <w:color w:val="auto"/>
                <w:kern w:val="2"/>
                <w:sz w:val="22"/>
                <w:szCs w:val="22"/>
              </w:rPr>
            </w:pPr>
            <w:r>
              <w:rPr>
                <w:rFonts w:hint="eastAsia" w:ascii="宋体" w:hAnsi="宋体" w:eastAsia="宋体" w:cs="Times New Roman"/>
                <w:b w:val="0"/>
                <w:color w:val="auto"/>
                <w:kern w:val="2"/>
                <w:sz w:val="22"/>
                <w:szCs w:val="22"/>
              </w:rPr>
              <w:t>投标开标地点</w:t>
            </w:r>
          </w:p>
        </w:tc>
        <w:tc>
          <w:tcPr>
            <w:tcW w:w="6851" w:type="dxa"/>
            <w:tcBorders>
              <w:right w:val="double" w:color="auto" w:sz="4" w:space="0"/>
            </w:tcBorders>
            <w:noWrap w:val="0"/>
            <w:vAlign w:val="center"/>
          </w:tcPr>
          <w:p>
            <w:pPr>
              <w:spacing w:line="440" w:lineRule="exact"/>
              <w:rPr>
                <w:rFonts w:hint="eastAsia" w:ascii="宋体" w:hAnsi="宋体"/>
                <w:bCs/>
                <w:sz w:val="22"/>
                <w:szCs w:val="22"/>
              </w:rPr>
            </w:pPr>
            <w:r>
              <w:rPr>
                <w:rFonts w:hint="eastAsia" w:ascii="宋体" w:hAnsi="宋体"/>
                <w:bCs/>
                <w:sz w:val="22"/>
                <w:szCs w:val="22"/>
              </w:rPr>
              <w:t>龙港市公共资源交易中心开标区（龙港市世纪大道4518号龙港市政务客厅4楼）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5" w:hRule="atLeast"/>
        </w:trPr>
        <w:tc>
          <w:tcPr>
            <w:tcW w:w="2548" w:type="dxa"/>
            <w:tcBorders>
              <w:left w:val="double" w:color="auto" w:sz="4" w:space="0"/>
            </w:tcBorders>
            <w:noWrap w:val="0"/>
            <w:vAlign w:val="center"/>
          </w:tcPr>
          <w:p>
            <w:pPr>
              <w:snapToGrid w:val="0"/>
              <w:spacing w:line="240" w:lineRule="exact"/>
              <w:jc w:val="center"/>
              <w:rPr>
                <w:rFonts w:hint="eastAsia" w:ascii="宋体" w:hAnsi="宋体" w:cs="宋体"/>
                <w:sz w:val="22"/>
                <w:szCs w:val="22"/>
              </w:rPr>
            </w:pPr>
            <w:r>
              <w:rPr>
                <w:rFonts w:hint="eastAsia" w:ascii="宋体" w:hAnsi="宋体" w:cs="宋体"/>
                <w:sz w:val="22"/>
                <w:szCs w:val="22"/>
              </w:rPr>
              <w:t>质疑时间、地点及受理人</w:t>
            </w:r>
          </w:p>
        </w:tc>
        <w:tc>
          <w:tcPr>
            <w:tcW w:w="6851" w:type="dxa"/>
            <w:tcBorders>
              <w:right w:val="double" w:color="auto" w:sz="4" w:space="0"/>
            </w:tcBorders>
            <w:noWrap w:val="0"/>
            <w:vAlign w:val="center"/>
          </w:tcPr>
          <w:p>
            <w:pPr>
              <w:adjustRightInd w:val="0"/>
              <w:snapToGrid w:val="0"/>
              <w:spacing w:line="400" w:lineRule="atLeast"/>
              <w:rPr>
                <w:rFonts w:ascii="宋体" w:hAnsi="宋体" w:cs="宋体"/>
                <w:sz w:val="22"/>
                <w:szCs w:val="22"/>
              </w:rPr>
            </w:pPr>
            <w:r>
              <w:rPr>
                <w:rFonts w:hint="eastAsia" w:ascii="宋体" w:hAnsi="宋体" w:cs="宋体"/>
                <w:sz w:val="22"/>
                <w:szCs w:val="22"/>
              </w:rPr>
              <w:t>（</w:t>
            </w:r>
            <w:r>
              <w:rPr>
                <w:rFonts w:ascii="宋体" w:hAnsi="宋体" w:cs="宋体"/>
                <w:sz w:val="22"/>
                <w:szCs w:val="22"/>
              </w:rPr>
              <w:t>1）质疑时间：按公告规定时间执行。</w:t>
            </w:r>
          </w:p>
          <w:p>
            <w:pPr>
              <w:snapToGrid w:val="0"/>
              <w:spacing w:line="240" w:lineRule="exact"/>
              <w:rPr>
                <w:rFonts w:hint="eastAsia" w:ascii="宋体" w:hAnsi="宋体" w:cs="宋体"/>
                <w:sz w:val="22"/>
                <w:szCs w:val="22"/>
              </w:rPr>
            </w:pPr>
            <w:r>
              <w:rPr>
                <w:rFonts w:hint="eastAsia" w:ascii="宋体" w:hAnsi="宋体" w:cs="宋体"/>
                <w:sz w:val="22"/>
                <w:szCs w:val="22"/>
              </w:rPr>
              <w:t>（</w:t>
            </w:r>
            <w:r>
              <w:rPr>
                <w:rFonts w:ascii="宋体" w:hAnsi="宋体" w:cs="宋体"/>
                <w:sz w:val="22"/>
                <w:szCs w:val="22"/>
              </w:rPr>
              <w:t>2）质疑受理地点：</w:t>
            </w:r>
            <w:r>
              <w:rPr>
                <w:rFonts w:hint="eastAsia" w:ascii="宋体" w:hAnsi="宋体" w:cs="宋体"/>
                <w:sz w:val="22"/>
                <w:szCs w:val="22"/>
              </w:rPr>
              <w:t>浙江首信工程项目管理有限公司</w:t>
            </w:r>
            <w:r>
              <w:rPr>
                <w:rFonts w:ascii="宋体" w:hAnsi="宋体" w:cs="宋体"/>
                <w:sz w:val="22"/>
                <w:szCs w:val="22"/>
              </w:rPr>
              <w:t>（</w:t>
            </w:r>
            <w:r>
              <w:rPr>
                <w:rFonts w:hint="eastAsia" w:ascii="宋体" w:hAnsi="宋体" w:cs="宋体"/>
                <w:sz w:val="22"/>
                <w:szCs w:val="22"/>
              </w:rPr>
              <w:t>龙港市世纪大道2800号（五洲新能源汽车2幢4楼）</w:t>
            </w:r>
            <w:r>
              <w:rPr>
                <w:rFonts w:ascii="宋体" w:hAnsi="宋体" w:cs="宋体"/>
                <w:sz w:val="22"/>
                <w:szCs w:val="22"/>
              </w:rPr>
              <w:t>），必须以书面形式传真至招标代理机构。</w:t>
            </w:r>
          </w:p>
          <w:p>
            <w:pPr>
              <w:snapToGrid w:val="0"/>
              <w:spacing w:line="240" w:lineRule="exact"/>
              <w:rPr>
                <w:rFonts w:hint="eastAsia" w:ascii="宋体" w:hAnsi="宋体" w:cs="宋体"/>
                <w:sz w:val="22"/>
                <w:szCs w:val="22"/>
              </w:rPr>
            </w:pPr>
            <w:r>
              <w:rPr>
                <w:rFonts w:hint="eastAsia" w:ascii="宋体" w:hAnsi="宋体" w:cs="宋体"/>
                <w:sz w:val="22"/>
                <w:szCs w:val="22"/>
              </w:rPr>
              <w:t>（</w:t>
            </w:r>
            <w:r>
              <w:rPr>
                <w:rFonts w:ascii="宋体" w:hAnsi="宋体" w:cs="宋体"/>
                <w:sz w:val="22"/>
                <w:szCs w:val="22"/>
              </w:rPr>
              <w:t>3）质疑受理人：</w:t>
            </w:r>
            <w:r>
              <w:rPr>
                <w:rFonts w:hint="eastAsia" w:ascii="宋体" w:hAnsi="宋体" w:cs="宋体"/>
                <w:sz w:val="22"/>
                <w:szCs w:val="22"/>
              </w:rPr>
              <w:t>刘先生</w:t>
            </w:r>
            <w:r>
              <w:rPr>
                <w:rFonts w:ascii="宋体" w:hAnsi="宋体" w:cs="宋体"/>
                <w:sz w:val="22"/>
                <w:szCs w:val="22"/>
              </w:rPr>
              <w:t>，联系电话：</w:t>
            </w:r>
            <w:r>
              <w:rPr>
                <w:rFonts w:hint="eastAsia" w:ascii="宋体" w:hAnsi="宋体" w:cs="宋体"/>
                <w:sz w:val="22"/>
                <w:szCs w:val="22"/>
              </w:rPr>
              <w:t>0577-68877002</w:t>
            </w:r>
            <w:r>
              <w:rPr>
                <w:rFonts w:ascii="宋体" w:hAnsi="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548" w:type="dxa"/>
            <w:tcBorders>
              <w:left w:val="double" w:color="auto" w:sz="4" w:space="0"/>
            </w:tcBorders>
            <w:noWrap w:val="0"/>
            <w:vAlign w:val="center"/>
          </w:tcPr>
          <w:p>
            <w:pPr>
              <w:snapToGrid w:val="0"/>
              <w:spacing w:line="240" w:lineRule="exact"/>
              <w:jc w:val="center"/>
              <w:rPr>
                <w:rFonts w:hint="eastAsia" w:ascii="宋体" w:hAnsi="宋体" w:cs="宋体"/>
                <w:b/>
                <w:bCs/>
                <w:sz w:val="22"/>
                <w:szCs w:val="22"/>
              </w:rPr>
            </w:pPr>
            <w:r>
              <w:rPr>
                <w:rFonts w:hint="eastAsia" w:ascii="宋体" w:hAnsi="宋体" w:cs="宋体"/>
                <w:b/>
                <w:bCs/>
                <w:sz w:val="22"/>
                <w:szCs w:val="22"/>
                <w:lang w:val="en-US" w:eastAsia="zh-CN"/>
              </w:rPr>
              <w:t>完工日</w:t>
            </w:r>
            <w:r>
              <w:rPr>
                <w:rFonts w:hint="eastAsia" w:ascii="宋体" w:hAnsi="宋体" w:cs="宋体"/>
                <w:b/>
                <w:bCs/>
                <w:sz w:val="22"/>
                <w:szCs w:val="22"/>
              </w:rPr>
              <w:t>期</w:t>
            </w:r>
          </w:p>
        </w:tc>
        <w:tc>
          <w:tcPr>
            <w:tcW w:w="6851" w:type="dxa"/>
            <w:tcBorders>
              <w:right w:val="double" w:color="auto" w:sz="4" w:space="0"/>
            </w:tcBorders>
            <w:noWrap w:val="0"/>
            <w:vAlign w:val="center"/>
          </w:tcPr>
          <w:p>
            <w:pPr>
              <w:snapToGrid w:val="0"/>
              <w:spacing w:line="240" w:lineRule="exact"/>
              <w:rPr>
                <w:rFonts w:hint="eastAsia" w:ascii="宋体" w:hAnsi="宋体" w:cs="宋体"/>
                <w:b/>
                <w:bCs/>
                <w:sz w:val="22"/>
                <w:szCs w:val="22"/>
              </w:rPr>
            </w:pPr>
            <w:r>
              <w:rPr>
                <w:rFonts w:hint="eastAsia" w:ascii="宋体" w:hAnsi="宋体" w:cs="宋体"/>
                <w:b/>
                <w:bCs/>
                <w:sz w:val="22"/>
                <w:szCs w:val="22"/>
                <w:lang w:val="en-US" w:eastAsia="zh-CN"/>
              </w:rPr>
              <w:t>150</w:t>
            </w:r>
            <w:r>
              <w:rPr>
                <w:rFonts w:hint="eastAsia" w:ascii="宋体" w:hAnsi="宋体" w:cs="宋体"/>
                <w:b/>
                <w:bCs/>
                <w:sz w:val="22"/>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8" w:type="dxa"/>
            <w:tcBorders>
              <w:left w:val="double" w:color="auto" w:sz="4" w:space="0"/>
            </w:tcBorders>
            <w:noWrap w:val="0"/>
            <w:vAlign w:val="center"/>
          </w:tcPr>
          <w:p>
            <w:pPr>
              <w:snapToGrid w:val="0"/>
              <w:spacing w:line="240" w:lineRule="exact"/>
              <w:jc w:val="center"/>
              <w:rPr>
                <w:rFonts w:hint="eastAsia" w:ascii="宋体" w:hAnsi="宋体" w:cs="宋体"/>
                <w:sz w:val="22"/>
                <w:szCs w:val="22"/>
              </w:rPr>
            </w:pPr>
            <w:r>
              <w:rPr>
                <w:rFonts w:hint="eastAsia" w:ascii="宋体" w:hAnsi="宋体" w:cs="宋体"/>
                <w:sz w:val="22"/>
                <w:szCs w:val="22"/>
              </w:rPr>
              <w:t>质保期</w:t>
            </w:r>
          </w:p>
        </w:tc>
        <w:tc>
          <w:tcPr>
            <w:tcW w:w="6851" w:type="dxa"/>
            <w:tcBorders>
              <w:right w:val="double" w:color="auto" w:sz="4" w:space="0"/>
            </w:tcBorders>
            <w:noWrap w:val="0"/>
            <w:vAlign w:val="center"/>
          </w:tcPr>
          <w:p>
            <w:pPr>
              <w:snapToGrid w:val="0"/>
              <w:spacing w:line="240" w:lineRule="exact"/>
              <w:rPr>
                <w:rFonts w:hint="eastAsia" w:ascii="宋体" w:hAnsi="宋体" w:cs="宋体"/>
                <w:sz w:val="22"/>
                <w:szCs w:val="22"/>
              </w:rPr>
            </w:pPr>
            <w:r>
              <w:rPr>
                <w:rFonts w:hint="eastAsia" w:ascii="宋体" w:hAnsi="宋体" w:cs="宋体"/>
                <w:sz w:val="22"/>
                <w:szCs w:val="22"/>
                <w:lang w:val="en-US" w:eastAsia="zh-CN"/>
              </w:rPr>
              <w:t>2</w:t>
            </w:r>
            <w:r>
              <w:rPr>
                <w:rFonts w:hint="eastAsia" w:ascii="宋体" w:hAnsi="宋体" w:cs="宋体"/>
                <w:sz w:val="22"/>
                <w:szCs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trPr>
        <w:tc>
          <w:tcPr>
            <w:tcW w:w="2548" w:type="dxa"/>
            <w:tcBorders>
              <w:left w:val="double" w:color="auto" w:sz="4" w:space="0"/>
            </w:tcBorders>
            <w:noWrap w:val="0"/>
            <w:vAlign w:val="center"/>
          </w:tcPr>
          <w:p>
            <w:pPr>
              <w:pStyle w:val="8"/>
              <w:snapToGrid w:val="0"/>
              <w:spacing w:before="0" w:line="400" w:lineRule="atLeast"/>
              <w:jc w:val="center"/>
              <w:rPr>
                <w:rFonts w:hint="eastAsia" w:ascii="宋体" w:hAnsi="宋体" w:eastAsia="宋体" w:cs="Times New Roman"/>
                <w:bCs w:val="0"/>
                <w:color w:val="auto"/>
                <w:sz w:val="22"/>
                <w:szCs w:val="22"/>
              </w:rPr>
            </w:pPr>
            <w:r>
              <w:rPr>
                <w:rFonts w:hint="eastAsia" w:ascii="宋体" w:hAnsi="宋体" w:eastAsia="宋体" w:cs="Times New Roman"/>
                <w:bCs w:val="0"/>
                <w:color w:val="auto"/>
                <w:sz w:val="22"/>
                <w:szCs w:val="22"/>
              </w:rPr>
              <w:t>投标文件递交方式及注意事项</w:t>
            </w:r>
          </w:p>
        </w:tc>
        <w:tc>
          <w:tcPr>
            <w:tcW w:w="6851" w:type="dxa"/>
            <w:tcBorders>
              <w:right w:val="double" w:color="auto" w:sz="4" w:space="0"/>
            </w:tcBorders>
            <w:noWrap w:val="0"/>
            <w:vAlign w:val="center"/>
          </w:tcPr>
          <w:p>
            <w:pPr>
              <w:pStyle w:val="8"/>
              <w:snapToGrid w:val="0"/>
              <w:spacing w:before="0" w:line="400" w:lineRule="atLeast"/>
              <w:rPr>
                <w:rFonts w:hint="eastAsia" w:ascii="宋体" w:hAnsi="宋体" w:eastAsia="宋体" w:cs="宋体"/>
                <w:sz w:val="22"/>
                <w:szCs w:val="22"/>
              </w:rPr>
            </w:pPr>
            <w:r>
              <w:rPr>
                <w:rFonts w:hint="eastAsia" w:ascii="宋体" w:hAnsi="宋体" w:eastAsia="宋体" w:cs="宋体"/>
                <w:sz w:val="22"/>
                <w:szCs w:val="22"/>
              </w:rPr>
              <w:t>供应商可采用现场方式或邮寄方式递交投标文件：</w:t>
            </w:r>
          </w:p>
          <w:p>
            <w:pPr>
              <w:pStyle w:val="8"/>
              <w:snapToGrid w:val="0"/>
              <w:spacing w:before="0" w:line="400" w:lineRule="atLeast"/>
              <w:rPr>
                <w:rFonts w:hint="eastAsia" w:ascii="宋体" w:hAnsi="宋体" w:eastAsia="宋体" w:cs="宋体"/>
                <w:sz w:val="22"/>
                <w:szCs w:val="22"/>
              </w:rPr>
            </w:pPr>
            <w:r>
              <w:rPr>
                <w:rFonts w:hint="eastAsia" w:ascii="宋体" w:hAnsi="宋体" w:eastAsia="宋体" w:cs="宋体"/>
                <w:sz w:val="22"/>
                <w:szCs w:val="22"/>
              </w:rPr>
              <w:t>1、现场递交：请投标人代表（原则上最多派一名）全程佩戴口罩等防护工具。进入龙港市公共资源交易中心前，进行身份证实名登记，出示健康码，自觉接受体温检测、防疫询问，并如实报告情况，通过身份核验和体温检测正常方可入场递交投标文件。出现发热症状等可疑情况，将予以劝离并登记上报。</w:t>
            </w:r>
          </w:p>
          <w:p>
            <w:pPr>
              <w:pStyle w:val="8"/>
              <w:snapToGrid w:val="0"/>
              <w:spacing w:before="0" w:line="400" w:lineRule="atLeast"/>
              <w:rPr>
                <w:rFonts w:hint="eastAsia" w:ascii="宋体" w:hAnsi="宋体" w:eastAsia="宋体" w:cs="宋体"/>
                <w:sz w:val="22"/>
                <w:szCs w:val="22"/>
              </w:rPr>
            </w:pPr>
            <w:r>
              <w:rPr>
                <w:rFonts w:hint="eastAsia" w:ascii="宋体" w:hAnsi="宋体" w:eastAsia="宋体" w:cs="宋体"/>
                <w:sz w:val="22"/>
                <w:szCs w:val="22"/>
              </w:rPr>
              <w:t>2邮寄方式递交：依据《浙江省财政厅关于做好新型冠状病毒感染的肺炎疫情防控期间政府采购管理工作的通知》（浙财采监〔2020〕1 号）文件规定，本项目投标文件接受邮寄形式送达（以邮寄送达时间为准，投标人需自行考虑风险），投标文件必须按招标公告中规定的投标文件递交截止时间前送达，邮寄至龙港市公共资源交易中心（龙港市世纪大道4518号龙港市政务客厅4楼）（联系人：徐武，联系电话：18305776010），具体邮寄事宜可向代理机构咨询，接收邮寄投标文件时间为投标文件递交截止时间前5个工作日内。3、因疫情原因，投标供应商人员应严格遵守新冠肺炎疫情防控期间的相关规定，做好相应防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2548" w:type="dxa"/>
            <w:tcBorders>
              <w:left w:val="double" w:color="auto" w:sz="4" w:space="0"/>
              <w:bottom w:val="single" w:color="auto" w:sz="4" w:space="0"/>
            </w:tcBorders>
            <w:noWrap w:val="0"/>
            <w:vAlign w:val="center"/>
          </w:tcPr>
          <w:p>
            <w:pPr>
              <w:pStyle w:val="8"/>
              <w:snapToGrid w:val="0"/>
              <w:spacing w:line="400" w:lineRule="atLeast"/>
              <w:rPr>
                <w:rFonts w:hint="eastAsia" w:ascii="宋体" w:hAnsi="宋体" w:eastAsia="宋体" w:cs="宋体"/>
                <w:b w:val="0"/>
                <w:color w:val="auto"/>
                <w:kern w:val="2"/>
                <w:sz w:val="22"/>
                <w:szCs w:val="22"/>
              </w:rPr>
            </w:pPr>
            <w:r>
              <w:rPr>
                <w:rFonts w:hint="eastAsia" w:ascii="宋体" w:hAnsi="宋体" w:eastAsia="宋体" w:cs="宋体"/>
                <w:b w:val="0"/>
                <w:color w:val="auto"/>
                <w:kern w:val="2"/>
                <w:sz w:val="22"/>
                <w:szCs w:val="22"/>
              </w:rPr>
              <w:t>小型、</w:t>
            </w:r>
            <w:r>
              <w:rPr>
                <w:rFonts w:ascii="宋体" w:hAnsi="宋体" w:eastAsia="宋体" w:cs="宋体"/>
                <w:b w:val="0"/>
                <w:color w:val="auto"/>
                <w:kern w:val="2"/>
                <w:sz w:val="22"/>
                <w:szCs w:val="22"/>
              </w:rPr>
              <w:t>微型企业扶政</w:t>
            </w:r>
            <w:r>
              <w:rPr>
                <w:rFonts w:hint="eastAsia" w:ascii="宋体" w:hAnsi="宋体" w:eastAsia="宋体" w:cs="宋体"/>
                <w:b w:val="0"/>
                <w:color w:val="auto"/>
                <w:kern w:val="2"/>
                <w:sz w:val="22"/>
                <w:szCs w:val="22"/>
              </w:rPr>
              <w:t>策</w:t>
            </w:r>
          </w:p>
        </w:tc>
        <w:tc>
          <w:tcPr>
            <w:tcW w:w="6851" w:type="dxa"/>
            <w:tcBorders>
              <w:bottom w:val="single" w:color="auto" w:sz="4" w:space="0"/>
              <w:right w:val="double" w:color="auto" w:sz="4" w:space="0"/>
            </w:tcBorders>
            <w:noWrap w:val="0"/>
            <w:vAlign w:val="center"/>
          </w:tcPr>
          <w:p>
            <w:pPr>
              <w:pStyle w:val="8"/>
              <w:snapToGrid w:val="0"/>
              <w:spacing w:before="0" w:line="400" w:lineRule="atLeast"/>
              <w:rPr>
                <w:rFonts w:hint="eastAsia" w:ascii="宋体" w:hAnsi="宋体" w:eastAsia="宋体" w:cs="宋体"/>
                <w:b w:val="0"/>
                <w:sz w:val="22"/>
                <w:szCs w:val="22"/>
              </w:rPr>
            </w:pPr>
            <w:r>
              <w:rPr>
                <w:rFonts w:hint="eastAsia" w:ascii="宋体" w:hAnsi="宋体" w:eastAsia="宋体" w:cs="宋体"/>
                <w:b w:val="0"/>
                <w:sz w:val="22"/>
                <w:szCs w:val="22"/>
              </w:rPr>
              <w:t>本项目在报价评审时对已注册正式进入浙江省政府采购供应商库且符合中小企业划型标准规定（工信部联企业 [2011]300号）的小型和微型企业给予价格优惠扶持，用扣除后的价格参与评审，具体规定见“第六部分评标办法”。“监狱企业”视同为小型、微型企业，享受此项扶持政策。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3" w:hRule="atLeast"/>
        </w:trPr>
        <w:tc>
          <w:tcPr>
            <w:tcW w:w="2548" w:type="dxa"/>
            <w:tcBorders>
              <w:left w:val="double" w:color="auto" w:sz="4" w:space="0"/>
              <w:bottom w:val="single" w:color="auto" w:sz="4" w:space="0"/>
            </w:tcBorders>
            <w:noWrap w:val="0"/>
            <w:vAlign w:val="center"/>
          </w:tcPr>
          <w:p>
            <w:pPr>
              <w:pStyle w:val="8"/>
              <w:snapToGrid w:val="0"/>
              <w:spacing w:before="0" w:line="400" w:lineRule="atLeast"/>
              <w:jc w:val="center"/>
              <w:rPr>
                <w:rFonts w:hint="eastAsia" w:ascii="宋体" w:hAnsi="宋体" w:eastAsia="宋体" w:cs="Times New Roman"/>
                <w:b w:val="0"/>
                <w:color w:val="auto"/>
                <w:sz w:val="22"/>
                <w:szCs w:val="22"/>
              </w:rPr>
            </w:pPr>
            <w:r>
              <w:rPr>
                <w:rFonts w:ascii="宋体" w:hAnsi="宋体" w:eastAsia="宋体" w:cs="Times New Roman"/>
                <w:b w:val="0"/>
                <w:color w:val="auto"/>
                <w:sz w:val="22"/>
                <w:szCs w:val="22"/>
                <w:lang w:bidi="zh-CN"/>
              </w:rPr>
              <w:t>信用记录查询与使用</w:t>
            </w:r>
          </w:p>
        </w:tc>
        <w:tc>
          <w:tcPr>
            <w:tcW w:w="6851" w:type="dxa"/>
            <w:tcBorders>
              <w:bottom w:val="single" w:color="auto" w:sz="4" w:space="0"/>
              <w:right w:val="double" w:color="auto" w:sz="4" w:space="0"/>
            </w:tcBorders>
            <w:noWrap w:val="0"/>
            <w:vAlign w:val="center"/>
          </w:tcPr>
          <w:p>
            <w:pPr>
              <w:pStyle w:val="8"/>
              <w:snapToGrid w:val="0"/>
              <w:spacing w:before="0" w:line="400" w:lineRule="atLeast"/>
              <w:rPr>
                <w:rFonts w:hint="eastAsia" w:ascii="宋体" w:hAnsi="宋体" w:eastAsia="宋体" w:cs="Times New Roman"/>
                <w:b w:val="0"/>
                <w:color w:val="auto"/>
                <w:sz w:val="22"/>
                <w:szCs w:val="22"/>
              </w:rPr>
            </w:pPr>
            <w:r>
              <w:rPr>
                <w:rFonts w:ascii="宋体" w:hAnsi="宋体" w:eastAsia="宋体" w:cs="Times New Roman"/>
                <w:b w:val="0"/>
                <w:color w:val="auto"/>
                <w:sz w:val="22"/>
                <w:szCs w:val="22"/>
              </w:rPr>
              <w:t>根据《财政部关于在政府采购活动中查询及使用信用记录的通知》（财库〔2016〕125号）相关规定，</w:t>
            </w:r>
            <w:r>
              <w:rPr>
                <w:rFonts w:hint="eastAsia" w:ascii="宋体" w:hAnsi="宋体" w:eastAsia="宋体" w:cs="Times New Roman"/>
                <w:b w:val="0"/>
                <w:color w:val="auto"/>
                <w:sz w:val="22"/>
                <w:szCs w:val="22"/>
              </w:rPr>
              <w:t>评审时</w:t>
            </w:r>
            <w:r>
              <w:rPr>
                <w:rFonts w:ascii="宋体" w:hAnsi="宋体" w:eastAsia="宋体" w:cs="Times New Roman"/>
                <w:b w:val="0"/>
                <w:color w:val="auto"/>
                <w:sz w:val="22"/>
                <w:szCs w:val="22"/>
              </w:rPr>
              <w:t>采购组织机构将统一通过“信用中国”网站（www.creditchina.gov.cn）、中国政府采购网（www.ccgp.gov.cn）查询供应商信用记录，对供应商信用记录进行甄别。</w:t>
            </w:r>
            <w:r>
              <w:rPr>
                <w:rFonts w:ascii="宋体" w:hAnsi="宋体" w:eastAsia="宋体" w:cs="Times New Roman"/>
                <w:color w:val="auto"/>
                <w:sz w:val="22"/>
                <w:szCs w:val="22"/>
              </w:rPr>
              <w:t>凡是列入失信被执行人、重大税收违法案件当事人名单、政府采购严重违法失信行为记录名单及其他不符合《中华人民共和国政府采购法》第二十二条规定条件的供应商，</w:t>
            </w:r>
            <w:r>
              <w:rPr>
                <w:rFonts w:hint="eastAsia" w:ascii="宋体" w:hAnsi="宋体" w:eastAsia="宋体" w:cs="Times New Roman"/>
                <w:color w:val="auto"/>
                <w:sz w:val="22"/>
                <w:szCs w:val="22"/>
              </w:rPr>
              <w:t>将</w:t>
            </w:r>
            <w:r>
              <w:rPr>
                <w:rFonts w:ascii="宋体" w:hAnsi="宋体" w:eastAsia="宋体" w:cs="Times New Roman"/>
                <w:color w:val="auto"/>
                <w:sz w:val="22"/>
                <w:szCs w:val="22"/>
              </w:rPr>
              <w:t>拒绝其参加本次政府采购活动。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7" w:hRule="atLeast"/>
        </w:trPr>
        <w:tc>
          <w:tcPr>
            <w:tcW w:w="2548" w:type="dxa"/>
            <w:tcBorders>
              <w:left w:val="double" w:color="auto" w:sz="4" w:space="0"/>
              <w:bottom w:val="single" w:color="auto" w:sz="4" w:space="0"/>
            </w:tcBorders>
            <w:noWrap w:val="0"/>
            <w:vAlign w:val="center"/>
          </w:tcPr>
          <w:p>
            <w:pPr>
              <w:pStyle w:val="8"/>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其他政策说明</w:t>
            </w:r>
          </w:p>
        </w:tc>
        <w:tc>
          <w:tcPr>
            <w:tcW w:w="6851" w:type="dxa"/>
            <w:tcBorders>
              <w:bottom w:val="single" w:color="auto" w:sz="4" w:space="0"/>
              <w:right w:val="double" w:color="auto" w:sz="4" w:space="0"/>
            </w:tcBorders>
            <w:noWrap w:val="0"/>
            <w:vAlign w:val="center"/>
          </w:tcPr>
          <w:p>
            <w:pPr>
              <w:pStyle w:val="8"/>
              <w:snapToGrid w:val="0"/>
              <w:spacing w:before="0" w:line="400" w:lineRule="atLeast"/>
              <w:rPr>
                <w:rFonts w:ascii="宋体" w:hAnsi="宋体" w:eastAsia="宋体" w:cs="Times New Roman"/>
                <w:b w:val="0"/>
                <w:color w:val="auto"/>
                <w:sz w:val="22"/>
                <w:szCs w:val="22"/>
              </w:rPr>
            </w:pPr>
            <w:r>
              <w:rPr>
                <w:rFonts w:hint="eastAsia" w:ascii="宋体" w:hAnsi="宋体" w:eastAsia="宋体" w:cs="Times New Roman"/>
                <w:b w:val="0"/>
                <w:color w:val="auto"/>
                <w:sz w:val="22"/>
                <w:szCs w:val="22"/>
              </w:rPr>
              <w:t>本项相关金融政策按《浙江省财政厅关于坚决打赢疫情防控阻击战 进一步做好政府采购资金支持 企业发展工作的通知》浙财采监〔2020〕3 号文件以及《</w:t>
            </w:r>
            <w:r>
              <w:rPr>
                <w:rFonts w:ascii="宋体" w:hAnsi="宋体" w:eastAsia="宋体" w:cs="Times New Roman"/>
                <w:b w:val="0"/>
                <w:color w:val="auto"/>
                <w:sz w:val="22"/>
                <w:szCs w:val="22"/>
              </w:rPr>
              <w:t>温州市财政局关于温州市政府采购支持中小企业信用融资的通知</w:t>
            </w:r>
            <w:r>
              <w:rPr>
                <w:rFonts w:hint="eastAsia" w:ascii="宋体" w:hAnsi="宋体" w:eastAsia="宋体" w:cs="Times New Roman"/>
                <w:b w:val="0"/>
                <w:color w:val="auto"/>
                <w:sz w:val="22"/>
                <w:szCs w:val="22"/>
              </w:rPr>
              <w:t>》</w:t>
            </w:r>
            <w:r>
              <w:rPr>
                <w:rFonts w:ascii="宋体" w:hAnsi="宋体" w:eastAsia="宋体" w:cs="Times New Roman"/>
                <w:b w:val="0"/>
                <w:color w:val="auto"/>
                <w:sz w:val="22"/>
                <w:szCs w:val="22"/>
              </w:rPr>
              <w:t>温财采〔2020〕3号</w:t>
            </w:r>
            <w:r>
              <w:rPr>
                <w:rFonts w:hint="eastAsia" w:ascii="宋体" w:hAnsi="宋体" w:eastAsia="宋体" w:cs="Times New Roman"/>
                <w:b w:val="0"/>
                <w:color w:val="auto"/>
                <w:sz w:val="22"/>
                <w:szCs w:val="22"/>
              </w:rPr>
              <w:t>文件要求执行。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7" w:hRule="atLeast"/>
        </w:trPr>
        <w:tc>
          <w:tcPr>
            <w:tcW w:w="2548" w:type="dxa"/>
            <w:tcBorders>
              <w:left w:val="double" w:color="auto" w:sz="4" w:space="0"/>
              <w:bottom w:val="single" w:color="auto" w:sz="4" w:space="0"/>
            </w:tcBorders>
            <w:noWrap w:val="0"/>
            <w:vAlign w:val="center"/>
          </w:tcPr>
          <w:p>
            <w:pPr>
              <w:pStyle w:val="8"/>
              <w:snapToGrid w:val="0"/>
              <w:spacing w:before="0" w:line="400" w:lineRule="atLeast"/>
              <w:jc w:val="center"/>
              <w:rPr>
                <w:rFonts w:hint="default" w:ascii="宋体" w:hAnsi="宋体" w:eastAsia="宋体" w:cs="Times New Roman"/>
                <w:b/>
                <w:bCs w:val="0"/>
                <w:color w:val="FF0000"/>
                <w:sz w:val="22"/>
                <w:szCs w:val="22"/>
                <w:lang w:val="en-US" w:eastAsia="zh-CN"/>
              </w:rPr>
            </w:pPr>
            <w:r>
              <w:rPr>
                <w:rFonts w:hint="eastAsia" w:ascii="宋体" w:hAnsi="宋体" w:eastAsia="宋体" w:cs="Times New Roman"/>
                <w:b/>
                <w:bCs w:val="0"/>
                <w:color w:val="FF0000"/>
                <w:sz w:val="22"/>
                <w:szCs w:val="22"/>
                <w:lang w:val="en-US" w:eastAsia="zh-CN"/>
              </w:rPr>
              <w:t>其他说明</w:t>
            </w:r>
          </w:p>
        </w:tc>
        <w:tc>
          <w:tcPr>
            <w:tcW w:w="6851" w:type="dxa"/>
            <w:tcBorders>
              <w:bottom w:val="single" w:color="auto" w:sz="4" w:space="0"/>
              <w:right w:val="double" w:color="auto" w:sz="4" w:space="0"/>
            </w:tcBorders>
            <w:noWrap w:val="0"/>
            <w:vAlign w:val="center"/>
          </w:tcPr>
          <w:p>
            <w:pPr>
              <w:pStyle w:val="8"/>
              <w:snapToGrid w:val="0"/>
              <w:spacing w:before="0" w:line="400" w:lineRule="atLeast"/>
              <w:rPr>
                <w:rFonts w:hint="default" w:ascii="宋体" w:hAnsi="宋体" w:eastAsia="宋体" w:cs="Times New Roman"/>
                <w:b/>
                <w:bCs w:val="0"/>
                <w:color w:val="FF0000"/>
                <w:sz w:val="22"/>
                <w:szCs w:val="22"/>
                <w:lang w:val="en-US" w:eastAsia="zh-CN"/>
              </w:rPr>
            </w:pPr>
            <w:r>
              <w:rPr>
                <w:rFonts w:hint="eastAsia" w:ascii="宋体" w:hAnsi="宋体" w:eastAsia="宋体" w:cs="Times New Roman"/>
                <w:b/>
                <w:bCs w:val="0"/>
                <w:color w:val="FF0000"/>
                <w:sz w:val="22"/>
                <w:szCs w:val="22"/>
                <w:lang w:val="en-US" w:eastAsia="zh-CN"/>
              </w:rPr>
              <w:t>▲本项目配电部分施工由采购人委托平阳供电部门实施，金额包含在总价内，需综合考虑此部分费用，由中标方自行与平阳供电部门协商，自行考虑风险。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548" w:type="dxa"/>
            <w:tcBorders>
              <w:left w:val="double" w:color="auto" w:sz="4" w:space="0"/>
              <w:bottom w:val="single" w:color="auto" w:sz="4" w:space="0"/>
            </w:tcBorders>
            <w:noWrap w:val="0"/>
            <w:vAlign w:val="center"/>
          </w:tcPr>
          <w:p>
            <w:pPr>
              <w:jc w:val="center"/>
              <w:rPr>
                <w:rFonts w:hint="eastAsia" w:ascii="宋体" w:hAnsi="宋体"/>
                <w:b/>
                <w:sz w:val="22"/>
                <w:szCs w:val="22"/>
              </w:rPr>
            </w:pPr>
            <w:r>
              <w:rPr>
                <w:rFonts w:hint="eastAsia" w:ascii="宋体" w:hAnsi="宋体"/>
                <w:kern w:val="0"/>
                <w:sz w:val="22"/>
                <w:szCs w:val="22"/>
              </w:rPr>
              <w:t>重要提醒</w:t>
            </w:r>
          </w:p>
        </w:tc>
        <w:tc>
          <w:tcPr>
            <w:tcW w:w="6851" w:type="dxa"/>
            <w:tcBorders>
              <w:bottom w:val="single" w:color="auto" w:sz="4" w:space="0"/>
              <w:right w:val="double" w:color="auto" w:sz="4" w:space="0"/>
            </w:tcBorders>
            <w:noWrap w:val="0"/>
            <w:vAlign w:val="center"/>
          </w:tcPr>
          <w:p>
            <w:pPr>
              <w:wordWrap w:val="0"/>
              <w:jc w:val="left"/>
              <w:rPr>
                <w:rFonts w:hint="eastAsia" w:ascii="宋体" w:hAnsi="宋体"/>
                <w:b/>
                <w:sz w:val="22"/>
                <w:szCs w:val="22"/>
              </w:rPr>
            </w:pPr>
            <w:r>
              <w:rPr>
                <w:rFonts w:hint="eastAsia" w:ascii="宋体" w:hAnsi="宋体" w:cs="宋体"/>
                <w:b/>
                <w:bCs/>
                <w:sz w:val="22"/>
              </w:rPr>
              <w:t>招标文件中标注“*”、“▲”、“★”的的技术或商务条款均为实质性要求条款，不满足实质性要求条款的投标无效。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2548" w:type="dxa"/>
            <w:tcBorders>
              <w:left w:val="double" w:color="auto" w:sz="4" w:space="0"/>
              <w:bottom w:val="double" w:color="auto" w:sz="4" w:space="0"/>
            </w:tcBorders>
            <w:noWrap w:val="0"/>
            <w:vAlign w:val="center"/>
          </w:tcPr>
          <w:p>
            <w:pPr>
              <w:pStyle w:val="8"/>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备注</w:t>
            </w:r>
          </w:p>
        </w:tc>
        <w:tc>
          <w:tcPr>
            <w:tcW w:w="6851" w:type="dxa"/>
            <w:tcBorders>
              <w:bottom w:val="double" w:color="auto" w:sz="4" w:space="0"/>
              <w:right w:val="double" w:color="auto" w:sz="4" w:space="0"/>
            </w:tcBorders>
            <w:noWrap w:val="0"/>
            <w:vAlign w:val="center"/>
          </w:tcPr>
          <w:p>
            <w:pPr>
              <w:pStyle w:val="8"/>
              <w:snapToGrid w:val="0"/>
              <w:spacing w:before="0" w:line="400" w:lineRule="atLeast"/>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如发现招标文件及其评标办法中存在含糊不清、相互矛盾、多种含义以及歧视性不公正条款或违法违规等内容时，请在规定的招标质疑截止时间前向代理机构书面反映，逾期不得再对招标文件的条款提出质疑。招标文件解释权归招标代理机构与采购人所有。</w:t>
            </w:r>
          </w:p>
        </w:tc>
      </w:tr>
    </w:tbl>
    <w:p>
      <w:pPr>
        <w:spacing w:line="600" w:lineRule="exact"/>
        <w:jc w:val="center"/>
        <w:rPr>
          <w:rFonts w:hint="eastAsia" w:ascii="宋体" w:hAnsi="宋体"/>
          <w:b/>
          <w:sz w:val="36"/>
        </w:rPr>
      </w:pPr>
      <w:r>
        <w:rPr>
          <w:rFonts w:hint="eastAsia" w:ascii="宋体" w:hAnsi="宋体"/>
          <w:b/>
          <w:sz w:val="36"/>
        </w:rPr>
        <w:br w:type="page"/>
      </w:r>
      <w:r>
        <w:rPr>
          <w:rFonts w:hint="eastAsia" w:ascii="宋体" w:hAnsi="宋体"/>
          <w:b/>
          <w:sz w:val="36"/>
        </w:rPr>
        <w:t>二. 总则</w:t>
      </w:r>
    </w:p>
    <w:p>
      <w:pPr>
        <w:widowControl/>
        <w:numPr>
          <w:ilvl w:val="0"/>
          <w:numId w:val="3"/>
        </w:numPr>
        <w:tabs>
          <w:tab w:val="left" w:pos="618"/>
        </w:tabs>
        <w:snapToGrid w:val="0"/>
        <w:spacing w:line="360" w:lineRule="exact"/>
        <w:ind w:left="618" w:hanging="618"/>
        <w:rPr>
          <w:rFonts w:hint="eastAsia" w:ascii="宋体" w:hAnsi="宋体"/>
          <w:b/>
          <w:szCs w:val="21"/>
        </w:rPr>
      </w:pPr>
      <w:r>
        <w:rPr>
          <w:rFonts w:hint="eastAsia" w:ascii="宋体" w:hAnsi="宋体"/>
          <w:b/>
          <w:szCs w:val="21"/>
        </w:rPr>
        <w:t>说明</w:t>
      </w:r>
    </w:p>
    <w:p>
      <w:pPr>
        <w:widowControl/>
        <w:numPr>
          <w:ilvl w:val="1"/>
          <w:numId w:val="3"/>
        </w:numPr>
        <w:tabs>
          <w:tab w:val="left" w:pos="-180"/>
          <w:tab w:val="left" w:pos="540"/>
          <w:tab w:val="clear" w:pos="567"/>
        </w:tabs>
        <w:snapToGrid w:val="0"/>
        <w:spacing w:line="360" w:lineRule="exact"/>
        <w:ind w:left="0" w:firstLine="0"/>
        <w:jc w:val="left"/>
        <w:rPr>
          <w:rFonts w:hint="eastAsia" w:ascii="宋体" w:hAnsi="宋体"/>
          <w:szCs w:val="21"/>
        </w:rPr>
      </w:pPr>
      <w:r>
        <w:rPr>
          <w:rFonts w:hint="eastAsia" w:ascii="宋体" w:hAnsi="宋体"/>
          <w:szCs w:val="21"/>
        </w:rPr>
        <w:t>本次招标工作是按照《中华人民共和国政府采购法》、《政府采购货物和服务招标投标管理办法》和浙江省及项目所在地的有关招投标规定并结合本项目的实际组织和实施。</w:t>
      </w:r>
    </w:p>
    <w:p>
      <w:pPr>
        <w:widowControl/>
        <w:numPr>
          <w:ilvl w:val="1"/>
          <w:numId w:val="3"/>
        </w:numPr>
        <w:tabs>
          <w:tab w:val="left" w:pos="360"/>
          <w:tab w:val="left" w:pos="540"/>
          <w:tab w:val="clear" w:pos="567"/>
        </w:tabs>
        <w:snapToGrid w:val="0"/>
        <w:spacing w:line="360" w:lineRule="exact"/>
        <w:ind w:left="360" w:hanging="360"/>
        <w:jc w:val="left"/>
        <w:rPr>
          <w:rFonts w:hint="eastAsia" w:ascii="宋体" w:hAnsi="宋体"/>
          <w:szCs w:val="21"/>
        </w:rPr>
      </w:pPr>
      <w:r>
        <w:rPr>
          <w:rFonts w:hint="eastAsia" w:ascii="宋体" w:hAnsi="宋体"/>
          <w:szCs w:val="21"/>
        </w:rPr>
        <w:t>资金来源：自筹解决。</w:t>
      </w:r>
    </w:p>
    <w:p>
      <w:pPr>
        <w:widowControl/>
        <w:numPr>
          <w:ilvl w:val="1"/>
          <w:numId w:val="3"/>
        </w:numPr>
        <w:tabs>
          <w:tab w:val="left" w:pos="0"/>
          <w:tab w:val="left" w:pos="540"/>
          <w:tab w:val="clear" w:pos="567"/>
        </w:tabs>
        <w:snapToGrid w:val="0"/>
        <w:spacing w:line="360" w:lineRule="exact"/>
        <w:ind w:left="0" w:firstLine="0"/>
        <w:jc w:val="left"/>
        <w:rPr>
          <w:rFonts w:hint="eastAsia" w:ascii="宋体" w:hAnsi="宋体"/>
          <w:szCs w:val="21"/>
        </w:rPr>
      </w:pPr>
      <w:r>
        <w:rPr>
          <w:rFonts w:hint="eastAsia" w:ascii="宋体" w:hAnsi="宋体"/>
          <w:szCs w:val="21"/>
        </w:rPr>
        <w:t>招标文件中涉及的厂家品牌是为了具体描绘要求的产品档次与质量技术，供投标人参考，除采购文件明确的厂家品牌外，欢迎其他能满足本项目技术需求且性能与所明确厂家品牌相当的产品参加。</w:t>
      </w:r>
    </w:p>
    <w:p>
      <w:pPr>
        <w:widowControl/>
        <w:numPr>
          <w:ilvl w:val="1"/>
          <w:numId w:val="3"/>
        </w:numPr>
        <w:tabs>
          <w:tab w:val="left" w:pos="618"/>
        </w:tabs>
        <w:snapToGrid w:val="0"/>
        <w:spacing w:line="360" w:lineRule="exact"/>
        <w:ind w:left="618" w:hanging="618"/>
        <w:jc w:val="left"/>
        <w:rPr>
          <w:rFonts w:hint="eastAsia" w:ascii="宋体" w:hAnsi="宋体"/>
          <w:szCs w:val="21"/>
        </w:rPr>
      </w:pPr>
      <w:r>
        <w:rPr>
          <w:rFonts w:hint="eastAsia" w:ascii="宋体" w:hAnsi="宋体"/>
          <w:szCs w:val="21"/>
        </w:rPr>
        <w:t>投标人应独立投标，不得联合投标或借用资质。</w:t>
      </w:r>
    </w:p>
    <w:p>
      <w:pPr>
        <w:widowControl/>
        <w:tabs>
          <w:tab w:val="left" w:pos="567"/>
          <w:tab w:val="left" w:pos="618"/>
        </w:tabs>
        <w:snapToGrid w:val="0"/>
        <w:spacing w:line="360" w:lineRule="exact"/>
        <w:jc w:val="left"/>
        <w:rPr>
          <w:rFonts w:hint="eastAsia" w:ascii="宋体" w:hAnsi="宋体"/>
          <w:szCs w:val="21"/>
        </w:rPr>
      </w:pPr>
      <w:r>
        <w:rPr>
          <w:rFonts w:hint="eastAsia" w:ascii="宋体" w:hAnsi="宋体"/>
          <w:szCs w:val="21"/>
        </w:rPr>
        <w:t xml:space="preserve">1.5  </w:t>
      </w:r>
      <w:r>
        <w:rPr>
          <w:rFonts w:hint="eastAsia"/>
        </w:rPr>
        <w:t>本次招标标的为平苍引水北山泵站二次扩容改造工程设备采购及安装项目，主要招标范围、招标内容包括：</w:t>
      </w:r>
      <w:r>
        <w:rPr>
          <w:rFonts w:hint="eastAsia"/>
          <w:b/>
          <w:bCs/>
        </w:rPr>
        <w:t>设备表中项目制造、工厂试验、包装、运输、交货、保险、安装、现场试验、调试试运行、在现有系统远程试运行、验收、指导运行、培训、保修、售后服务及土建施工、配合协调、维护、运营等</w:t>
      </w:r>
      <w:r>
        <w:rPr>
          <w:rFonts w:hint="eastAsia"/>
        </w:rPr>
        <w:t xml:space="preserve">。   </w:t>
      </w:r>
    </w:p>
    <w:p>
      <w:pPr>
        <w:widowControl/>
        <w:numPr>
          <w:ilvl w:val="0"/>
          <w:numId w:val="3"/>
        </w:numPr>
        <w:tabs>
          <w:tab w:val="left" w:pos="618"/>
        </w:tabs>
        <w:snapToGrid w:val="0"/>
        <w:spacing w:line="360" w:lineRule="exact"/>
        <w:ind w:left="618" w:hanging="618"/>
        <w:rPr>
          <w:rFonts w:hint="eastAsia" w:ascii="宋体" w:hAnsi="宋体"/>
          <w:b/>
          <w:szCs w:val="21"/>
        </w:rPr>
      </w:pPr>
      <w:r>
        <w:rPr>
          <w:rFonts w:hint="eastAsia" w:ascii="宋体" w:hAnsi="宋体"/>
          <w:b/>
          <w:szCs w:val="21"/>
        </w:rPr>
        <w:t>定义及解释</w:t>
      </w:r>
    </w:p>
    <w:p>
      <w:pPr>
        <w:widowControl/>
        <w:numPr>
          <w:ilvl w:val="1"/>
          <w:numId w:val="3"/>
        </w:numPr>
        <w:tabs>
          <w:tab w:val="left" w:pos="618"/>
        </w:tabs>
        <w:snapToGrid w:val="0"/>
        <w:spacing w:line="360" w:lineRule="exact"/>
        <w:ind w:left="618" w:hanging="618"/>
        <w:rPr>
          <w:rFonts w:hint="eastAsia" w:ascii="宋体" w:hAnsi="宋体"/>
          <w:szCs w:val="21"/>
        </w:rPr>
      </w:pPr>
      <w:r>
        <w:rPr>
          <w:rFonts w:hint="eastAsia" w:ascii="宋体" w:hAnsi="宋体"/>
          <w:szCs w:val="21"/>
        </w:rPr>
        <w:t>采购人（招标人）：</w:t>
      </w:r>
      <w:r>
        <w:rPr>
          <w:rFonts w:ascii="宋体" w:hAnsi="宋体"/>
          <w:szCs w:val="21"/>
        </w:rPr>
        <w:t>系指按政府采购</w:t>
      </w:r>
      <w:r>
        <w:rPr>
          <w:rFonts w:hint="eastAsia" w:ascii="宋体" w:hAnsi="宋体"/>
          <w:szCs w:val="21"/>
        </w:rPr>
        <w:t>法</w:t>
      </w:r>
      <w:r>
        <w:rPr>
          <w:rFonts w:ascii="宋体" w:hAnsi="宋体"/>
          <w:szCs w:val="21"/>
        </w:rPr>
        <w:t>有关规定，</w:t>
      </w:r>
      <w:r>
        <w:rPr>
          <w:rFonts w:hint="eastAsia"/>
        </w:rPr>
        <w:t>提出招标项目、进行招标的温州市平苍引水有限公司</w:t>
      </w:r>
      <w:r>
        <w:rPr>
          <w:rFonts w:hint="eastAsia" w:ascii="宋体" w:hAnsi="宋体"/>
          <w:szCs w:val="21"/>
        </w:rPr>
        <w:t>。</w:t>
      </w:r>
    </w:p>
    <w:p>
      <w:pPr>
        <w:widowControl/>
        <w:numPr>
          <w:ilvl w:val="1"/>
          <w:numId w:val="3"/>
        </w:numPr>
        <w:tabs>
          <w:tab w:val="left" w:pos="618"/>
        </w:tabs>
        <w:snapToGrid w:val="0"/>
        <w:spacing w:line="360" w:lineRule="exact"/>
        <w:ind w:left="618" w:hanging="618"/>
        <w:rPr>
          <w:rFonts w:hint="eastAsia" w:ascii="宋体" w:hAnsi="宋体"/>
          <w:szCs w:val="21"/>
        </w:rPr>
      </w:pPr>
      <w:r>
        <w:rPr>
          <w:rFonts w:hint="eastAsia" w:ascii="宋体" w:hAnsi="宋体"/>
          <w:szCs w:val="21"/>
        </w:rPr>
        <w:t>采购机构：</w:t>
      </w:r>
      <w:r>
        <w:rPr>
          <w:rFonts w:ascii="宋体" w:hAnsi="宋体"/>
          <w:szCs w:val="21"/>
        </w:rPr>
        <w:t>系指</w:t>
      </w:r>
      <w:r>
        <w:rPr>
          <w:rFonts w:hint="eastAsia" w:ascii="宋体" w:hAnsi="宋体"/>
          <w:szCs w:val="21"/>
        </w:rPr>
        <w:t>依法</w:t>
      </w:r>
      <w:r>
        <w:rPr>
          <w:rFonts w:ascii="宋体" w:hAnsi="宋体"/>
          <w:szCs w:val="21"/>
        </w:rPr>
        <w:t>受</w:t>
      </w:r>
      <w:r>
        <w:rPr>
          <w:rFonts w:hint="eastAsia" w:ascii="宋体" w:hAnsi="宋体"/>
          <w:szCs w:val="21"/>
        </w:rPr>
        <w:t>采购人委</w:t>
      </w:r>
      <w:r>
        <w:rPr>
          <w:rFonts w:ascii="宋体" w:hAnsi="宋体"/>
          <w:szCs w:val="21"/>
        </w:rPr>
        <w:t>托，组织本次招标的</w:t>
      </w:r>
      <w:r>
        <w:rPr>
          <w:rFonts w:hint="eastAsia"/>
        </w:rPr>
        <w:t>浙江</w:t>
      </w:r>
      <w:r>
        <w:rPr>
          <w:rFonts w:hint="eastAsia"/>
          <w:lang w:val="en-US" w:eastAsia="zh-CN"/>
        </w:rPr>
        <w:t>首</w:t>
      </w:r>
      <w:r>
        <w:rPr>
          <w:rFonts w:hint="eastAsia"/>
        </w:rPr>
        <w:t>信工程项目管理有限公司。</w:t>
      </w:r>
    </w:p>
    <w:p>
      <w:pPr>
        <w:widowControl/>
        <w:numPr>
          <w:ilvl w:val="1"/>
          <w:numId w:val="3"/>
        </w:numPr>
        <w:tabs>
          <w:tab w:val="left" w:pos="618"/>
        </w:tabs>
        <w:snapToGrid w:val="0"/>
        <w:spacing w:line="360" w:lineRule="exact"/>
        <w:ind w:left="618" w:hanging="618"/>
        <w:rPr>
          <w:rFonts w:hint="eastAsia" w:ascii="宋体" w:hAnsi="宋体"/>
          <w:szCs w:val="21"/>
        </w:rPr>
      </w:pPr>
      <w:r>
        <w:rPr>
          <w:rFonts w:hint="eastAsia" w:ascii="宋体" w:hAnsi="宋体"/>
          <w:szCs w:val="21"/>
        </w:rPr>
        <w:t>投标人：投标人是响应采购、参加投标竞争的依法成立经销商。</w:t>
      </w:r>
    </w:p>
    <w:p>
      <w:pPr>
        <w:widowControl/>
        <w:numPr>
          <w:ilvl w:val="1"/>
          <w:numId w:val="3"/>
        </w:numPr>
        <w:tabs>
          <w:tab w:val="left" w:pos="618"/>
        </w:tabs>
        <w:snapToGrid w:val="0"/>
        <w:spacing w:line="360" w:lineRule="exact"/>
        <w:ind w:left="618" w:hanging="618"/>
        <w:rPr>
          <w:rFonts w:hint="eastAsia" w:ascii="宋体" w:hAnsi="宋体"/>
          <w:szCs w:val="21"/>
        </w:rPr>
      </w:pPr>
      <w:r>
        <w:rPr>
          <w:rFonts w:ascii="宋体" w:hAnsi="宋体"/>
          <w:szCs w:val="21"/>
        </w:rPr>
        <w:t>中标人</w:t>
      </w:r>
      <w:r>
        <w:rPr>
          <w:rFonts w:hint="eastAsia" w:ascii="宋体" w:hAnsi="宋体"/>
          <w:szCs w:val="21"/>
        </w:rPr>
        <w:t>：</w:t>
      </w:r>
      <w:r>
        <w:rPr>
          <w:rFonts w:ascii="宋体" w:hAnsi="宋体"/>
          <w:szCs w:val="21"/>
        </w:rPr>
        <w:t>系指在本次招标中中标的</w:t>
      </w:r>
      <w:r>
        <w:rPr>
          <w:rFonts w:hint="eastAsia" w:ascii="宋体" w:hAnsi="宋体"/>
          <w:szCs w:val="21"/>
        </w:rPr>
        <w:t>投标人。</w:t>
      </w:r>
    </w:p>
    <w:p>
      <w:pPr>
        <w:widowControl/>
        <w:numPr>
          <w:ilvl w:val="1"/>
          <w:numId w:val="3"/>
        </w:numPr>
        <w:tabs>
          <w:tab w:val="left" w:pos="618"/>
        </w:tabs>
        <w:snapToGrid w:val="0"/>
        <w:spacing w:line="360" w:lineRule="exact"/>
        <w:ind w:left="618" w:hanging="618"/>
        <w:rPr>
          <w:rFonts w:hint="eastAsia" w:ascii="宋体" w:hAnsi="宋体"/>
          <w:szCs w:val="21"/>
        </w:rPr>
      </w:pPr>
      <w:r>
        <w:rPr>
          <w:rFonts w:hint="eastAsia" w:ascii="宋体" w:hAnsi="宋体"/>
          <w:szCs w:val="21"/>
        </w:rPr>
        <w:t>评标委员会：</w:t>
      </w:r>
      <w:r>
        <w:rPr>
          <w:rFonts w:ascii="宋体" w:hAnsi="宋体"/>
          <w:szCs w:val="21"/>
        </w:rPr>
        <w:t>指</w:t>
      </w:r>
      <w:r>
        <w:rPr>
          <w:rFonts w:hint="eastAsia" w:ascii="宋体" w:hAnsi="宋体"/>
          <w:szCs w:val="21"/>
        </w:rPr>
        <w:t>依《政府采购法》组建的专门负责采购评审工作的临时性机构。</w:t>
      </w:r>
    </w:p>
    <w:p>
      <w:pPr>
        <w:widowControl/>
        <w:numPr>
          <w:ilvl w:val="1"/>
          <w:numId w:val="3"/>
        </w:numPr>
        <w:tabs>
          <w:tab w:val="left" w:pos="618"/>
        </w:tabs>
        <w:snapToGrid w:val="0"/>
        <w:spacing w:line="360" w:lineRule="exact"/>
        <w:ind w:left="618" w:hanging="618"/>
        <w:rPr>
          <w:rFonts w:hint="eastAsia" w:ascii="宋体" w:hAnsi="宋体"/>
          <w:szCs w:val="21"/>
        </w:rPr>
      </w:pPr>
      <w:r>
        <w:rPr>
          <w:rFonts w:hint="eastAsia" w:ascii="宋体" w:hAnsi="宋体"/>
          <w:szCs w:val="21"/>
        </w:rPr>
        <w:t>日期：指公历日；时间：指北京时间。</w:t>
      </w:r>
    </w:p>
    <w:p>
      <w:pPr>
        <w:widowControl/>
        <w:numPr>
          <w:ilvl w:val="1"/>
          <w:numId w:val="3"/>
        </w:numPr>
        <w:tabs>
          <w:tab w:val="left" w:pos="618"/>
        </w:tabs>
        <w:snapToGrid w:val="0"/>
        <w:spacing w:line="360" w:lineRule="exact"/>
        <w:ind w:left="618" w:hanging="618"/>
        <w:rPr>
          <w:rFonts w:hint="eastAsia" w:ascii="宋体" w:hAnsi="宋体"/>
          <w:szCs w:val="21"/>
        </w:rPr>
      </w:pPr>
      <w:r>
        <w:rPr>
          <w:rFonts w:hint="eastAsia" w:ascii="宋体" w:hAnsi="宋体"/>
          <w:szCs w:val="21"/>
        </w:rPr>
        <w:t>合同：指由采购所产生的合同或合约文件。</w:t>
      </w:r>
    </w:p>
    <w:p>
      <w:pPr>
        <w:widowControl/>
        <w:numPr>
          <w:ilvl w:val="1"/>
          <w:numId w:val="3"/>
        </w:numPr>
        <w:tabs>
          <w:tab w:val="left" w:pos="618"/>
        </w:tabs>
        <w:snapToGrid w:val="0"/>
        <w:spacing w:line="360" w:lineRule="exact"/>
        <w:ind w:left="618" w:hanging="618"/>
        <w:rPr>
          <w:rFonts w:hint="eastAsia" w:ascii="宋体" w:hAnsi="宋体"/>
          <w:szCs w:val="21"/>
        </w:rPr>
      </w:pPr>
      <w:r>
        <w:rPr>
          <w:rFonts w:hint="eastAsia" w:ascii="宋体" w:hAnsi="宋体"/>
          <w:szCs w:val="21"/>
        </w:rPr>
        <w:t>招标文件中的标题或题名仅起引导作用，而不应视为对招标文件内容的理解和解释。</w:t>
      </w:r>
    </w:p>
    <w:p>
      <w:pPr>
        <w:widowControl/>
        <w:numPr>
          <w:ilvl w:val="1"/>
          <w:numId w:val="3"/>
        </w:numPr>
        <w:tabs>
          <w:tab w:val="left" w:pos="618"/>
        </w:tabs>
        <w:snapToGrid w:val="0"/>
        <w:spacing w:line="360" w:lineRule="exact"/>
        <w:ind w:left="618" w:hanging="618"/>
        <w:rPr>
          <w:rFonts w:hint="eastAsia" w:ascii="宋体" w:hAnsi="宋体"/>
          <w:szCs w:val="21"/>
        </w:rPr>
      </w:pPr>
      <w:r>
        <w:rPr>
          <w:rFonts w:hint="eastAsia" w:ascii="宋体" w:hAnsi="宋体"/>
          <w:spacing w:val="-10"/>
          <w:szCs w:val="21"/>
        </w:rPr>
        <w:t>“书面形式”是指任何手写的、打印的或印刷的文件，包括电报和传真发送。</w:t>
      </w:r>
    </w:p>
    <w:p>
      <w:pPr>
        <w:widowControl/>
        <w:tabs>
          <w:tab w:val="left" w:pos="618"/>
        </w:tabs>
        <w:snapToGrid w:val="0"/>
        <w:spacing w:line="360" w:lineRule="exact"/>
        <w:rPr>
          <w:rFonts w:hint="eastAsia" w:ascii="宋体" w:hAnsi="宋体"/>
          <w:b/>
          <w:szCs w:val="21"/>
        </w:rPr>
      </w:pPr>
      <w:r>
        <w:rPr>
          <w:rFonts w:hint="eastAsia" w:ascii="宋体" w:hAnsi="宋体"/>
          <w:b/>
          <w:szCs w:val="21"/>
        </w:rPr>
        <w:t>3. 合格的投标人</w:t>
      </w:r>
    </w:p>
    <w:p>
      <w:pPr>
        <w:pStyle w:val="11"/>
        <w:snapToGrid w:val="0"/>
        <w:spacing w:line="440" w:lineRule="atLeast"/>
        <w:ind w:left="525" w:leftChars="200" w:hanging="105" w:hangingChars="50"/>
        <w:rPr>
          <w:rFonts w:hint="eastAsia"/>
        </w:rPr>
      </w:pPr>
      <w:r>
        <w:rPr>
          <w:rFonts w:hint="eastAsia"/>
        </w:rPr>
        <w:t>详见招标公告</w:t>
      </w:r>
    </w:p>
    <w:p>
      <w:pPr>
        <w:widowControl/>
        <w:tabs>
          <w:tab w:val="left" w:pos="618"/>
        </w:tabs>
        <w:snapToGrid w:val="0"/>
        <w:spacing w:line="360" w:lineRule="exact"/>
        <w:rPr>
          <w:rFonts w:hint="eastAsia" w:ascii="宋体" w:hAnsi="宋体"/>
          <w:b/>
          <w:szCs w:val="21"/>
        </w:rPr>
      </w:pPr>
      <w:r>
        <w:rPr>
          <w:rFonts w:hint="eastAsia" w:ascii="宋体" w:hAnsi="宋体"/>
          <w:b/>
          <w:szCs w:val="21"/>
        </w:rPr>
        <w:t>保密与披露事项</w:t>
      </w:r>
    </w:p>
    <w:p>
      <w:pPr>
        <w:widowControl/>
        <w:tabs>
          <w:tab w:val="left" w:pos="618"/>
        </w:tabs>
        <w:spacing w:line="360" w:lineRule="exact"/>
        <w:jc w:val="left"/>
        <w:rPr>
          <w:rFonts w:hint="eastAsia" w:ascii="宋体" w:hAnsi="宋体"/>
          <w:szCs w:val="21"/>
        </w:rPr>
      </w:pPr>
      <w:r>
        <w:rPr>
          <w:rFonts w:hint="eastAsia" w:ascii="宋体" w:hAnsi="宋体"/>
          <w:szCs w:val="21"/>
        </w:rPr>
        <w:t>投标人不得串通，以不正当的手段妨碍排挤其他投标人，扰乱市场，破坏公平竞争原则。</w:t>
      </w:r>
    </w:p>
    <w:p>
      <w:pPr>
        <w:widowControl/>
        <w:tabs>
          <w:tab w:val="left" w:pos="618"/>
        </w:tabs>
        <w:spacing w:line="360" w:lineRule="exact"/>
        <w:rPr>
          <w:rFonts w:hint="eastAsia" w:ascii="宋体" w:hAnsi="宋体"/>
          <w:szCs w:val="21"/>
        </w:rPr>
      </w:pPr>
      <w:r>
        <w:rPr>
          <w:rFonts w:ascii="宋体" w:hAnsi="宋体"/>
          <w:szCs w:val="21"/>
        </w:rPr>
        <w:t>投标人自购买招标文件之日起，须承诺承担本招标项目下保密义务，不得将因本次招标获得的信息向第三方外传。</w:t>
      </w:r>
    </w:p>
    <w:p>
      <w:pPr>
        <w:widowControl/>
        <w:tabs>
          <w:tab w:val="left" w:pos="618"/>
        </w:tabs>
        <w:spacing w:line="360" w:lineRule="exact"/>
        <w:rPr>
          <w:rFonts w:ascii="宋体" w:hAnsi="宋体"/>
          <w:szCs w:val="21"/>
        </w:rPr>
      </w:pPr>
      <w:r>
        <w:rPr>
          <w:rFonts w:hint="eastAsia" w:ascii="宋体" w:hAnsi="宋体"/>
          <w:szCs w:val="21"/>
        </w:rPr>
        <w:t>采购</w:t>
      </w:r>
      <w:r>
        <w:rPr>
          <w:rFonts w:ascii="宋体" w:hAnsi="宋体"/>
          <w:szCs w:val="21"/>
        </w:rPr>
        <w:t>人</w:t>
      </w:r>
      <w:r>
        <w:rPr>
          <w:rFonts w:hint="eastAsia" w:ascii="宋体" w:hAnsi="宋体"/>
          <w:szCs w:val="21"/>
        </w:rPr>
        <w:t>及采购机构</w:t>
      </w:r>
      <w:r>
        <w:rPr>
          <w:rFonts w:ascii="宋体" w:hAnsi="宋体"/>
          <w:szCs w:val="21"/>
        </w:rPr>
        <w:t>有权将投标人提供的所有资料向其他政府部门或有关的非政府机构负责评审标书的人员或与评标有关的人员披露。</w:t>
      </w:r>
    </w:p>
    <w:p>
      <w:pPr>
        <w:widowControl/>
        <w:tabs>
          <w:tab w:val="left" w:pos="618"/>
        </w:tabs>
        <w:spacing w:line="360" w:lineRule="exact"/>
        <w:rPr>
          <w:rFonts w:hint="eastAsia" w:ascii="宋体" w:hAnsi="宋体"/>
          <w:b/>
          <w:szCs w:val="21"/>
        </w:rPr>
      </w:pPr>
      <w:r>
        <w:rPr>
          <w:rFonts w:hint="eastAsia" w:ascii="宋体" w:hAnsi="宋体"/>
          <w:szCs w:val="21"/>
        </w:rPr>
        <w:t>采购</w:t>
      </w:r>
      <w:r>
        <w:rPr>
          <w:rFonts w:ascii="宋体" w:hAnsi="宋体"/>
          <w:szCs w:val="21"/>
        </w:rPr>
        <w:t>人</w:t>
      </w:r>
      <w:r>
        <w:rPr>
          <w:rFonts w:hint="eastAsia" w:ascii="宋体" w:hAnsi="宋体"/>
          <w:szCs w:val="21"/>
        </w:rPr>
        <w:t>及采购机构</w:t>
      </w:r>
      <w:r>
        <w:rPr>
          <w:rFonts w:ascii="宋体" w:hAnsi="宋体"/>
          <w:szCs w:val="21"/>
        </w:rPr>
        <w:t>有权在认为适当时，或在任何第三者提出要求（书面或其他方式）时，无须事先征求中标人同意而披露关于已订立合约的资料、中标人的名称及地址、中标服务的有关信息以及合约条款等。</w:t>
      </w:r>
    </w:p>
    <w:p>
      <w:pPr>
        <w:widowControl/>
        <w:numPr>
          <w:ilvl w:val="0"/>
          <w:numId w:val="3"/>
        </w:numPr>
        <w:tabs>
          <w:tab w:val="left" w:pos="618"/>
        </w:tabs>
        <w:spacing w:line="380" w:lineRule="exact"/>
        <w:jc w:val="left"/>
        <w:rPr>
          <w:rFonts w:hint="eastAsia" w:ascii="宋体" w:hAnsi="宋体"/>
          <w:b/>
          <w:szCs w:val="21"/>
        </w:rPr>
      </w:pPr>
      <w:r>
        <w:rPr>
          <w:rFonts w:hint="eastAsia" w:ascii="宋体" w:hAnsi="宋体"/>
          <w:b/>
          <w:szCs w:val="21"/>
        </w:rPr>
        <w:t>投标费用</w:t>
      </w:r>
    </w:p>
    <w:p>
      <w:pPr>
        <w:widowControl/>
        <w:numPr>
          <w:ilvl w:val="1"/>
          <w:numId w:val="3"/>
        </w:numPr>
        <w:tabs>
          <w:tab w:val="left" w:pos="618"/>
        </w:tabs>
        <w:spacing w:line="380" w:lineRule="exact"/>
        <w:ind w:left="618" w:hanging="618"/>
        <w:jc w:val="left"/>
        <w:rPr>
          <w:rFonts w:hint="eastAsia" w:ascii="宋体" w:hAnsi="宋体"/>
          <w:szCs w:val="21"/>
        </w:rPr>
      </w:pPr>
      <w:r>
        <w:rPr>
          <w:rFonts w:hint="eastAsia" w:ascii="宋体" w:hAnsi="宋体"/>
          <w:szCs w:val="21"/>
        </w:rPr>
        <w:t>投标人应承担所有与编写和提交投标文件有关的费用，不论投标的结果如何，采购人和采购机构在任何情况下均无义务和责任承担这些费用 。</w:t>
      </w:r>
    </w:p>
    <w:p>
      <w:pPr>
        <w:widowControl/>
        <w:numPr>
          <w:ilvl w:val="0"/>
          <w:numId w:val="3"/>
        </w:numPr>
        <w:tabs>
          <w:tab w:val="left" w:pos="618"/>
        </w:tabs>
        <w:spacing w:line="380" w:lineRule="exact"/>
        <w:ind w:left="618" w:hanging="618"/>
        <w:jc w:val="left"/>
        <w:rPr>
          <w:rFonts w:hint="eastAsia" w:ascii="宋体" w:hAnsi="宋体"/>
          <w:b/>
          <w:szCs w:val="21"/>
        </w:rPr>
      </w:pPr>
      <w:r>
        <w:rPr>
          <w:rFonts w:hint="eastAsia" w:ascii="宋体" w:hAnsi="宋体"/>
          <w:b/>
          <w:szCs w:val="21"/>
        </w:rPr>
        <w:t>投标委托</w:t>
      </w:r>
    </w:p>
    <w:p>
      <w:pPr>
        <w:ind w:firstLine="630" w:firstLineChars="300"/>
        <w:rPr>
          <w:rFonts w:hint="eastAsia" w:ascii="宋体" w:hAnsi="宋体"/>
          <w:szCs w:val="21"/>
        </w:rPr>
      </w:pPr>
      <w:r>
        <w:rPr>
          <w:rFonts w:hint="eastAsia" w:ascii="宋体" w:hAnsi="宋体"/>
          <w:szCs w:val="21"/>
        </w:rPr>
        <w:t>如投标人代表不是法定代表人，须持有《法定代表人授权委托书》。</w:t>
      </w:r>
    </w:p>
    <w:p>
      <w:pPr>
        <w:widowControl/>
        <w:numPr>
          <w:ilvl w:val="0"/>
          <w:numId w:val="3"/>
        </w:numPr>
        <w:tabs>
          <w:tab w:val="left" w:pos="618"/>
        </w:tabs>
        <w:spacing w:line="380" w:lineRule="exact"/>
        <w:ind w:left="618" w:hanging="618"/>
        <w:jc w:val="left"/>
        <w:rPr>
          <w:rFonts w:hint="eastAsia" w:ascii="宋体" w:hAnsi="宋体"/>
          <w:b/>
          <w:szCs w:val="21"/>
        </w:rPr>
      </w:pPr>
      <w:r>
        <w:rPr>
          <w:rFonts w:hint="eastAsia" w:ascii="宋体" w:hAnsi="宋体" w:cs="宋体"/>
          <w:b/>
          <w:bCs/>
          <w:kern w:val="0"/>
          <w:sz w:val="19"/>
        </w:rPr>
        <w:t>投标人资格的审查和认定</w:t>
      </w:r>
    </w:p>
    <w:p>
      <w:pPr>
        <w:spacing w:line="360" w:lineRule="exact"/>
        <w:ind w:firstLine="420" w:firstLineChars="200"/>
        <w:rPr>
          <w:rFonts w:hint="eastAsia" w:ascii="宋体" w:hAnsi="宋体"/>
          <w:szCs w:val="21"/>
        </w:rPr>
      </w:pPr>
      <w:r>
        <w:rPr>
          <w:rFonts w:hint="eastAsia" w:ascii="宋体" w:hAnsi="宋体"/>
          <w:szCs w:val="21"/>
        </w:rPr>
        <w:t>多家投标人参加采购响应，如其中两家或两家以上投标人的法定代表人为同一人或相互之间存在投资关系且达到控股的，同时提供的是同一品牌的产品（按</w:t>
      </w:r>
      <w:r>
        <w:rPr>
          <w:rFonts w:ascii="宋体" w:hAnsi="宋体"/>
          <w:szCs w:val="21"/>
        </w:rPr>
        <w:t>浙财采监[2013]24号</w:t>
      </w:r>
      <w:r>
        <w:rPr>
          <w:rFonts w:hint="eastAsia" w:ascii="宋体" w:hAnsi="宋体"/>
          <w:szCs w:val="21"/>
        </w:rPr>
        <w:t>规定：</w:t>
      </w:r>
      <w:r>
        <w:rPr>
          <w:rFonts w:ascii="宋体" w:hAnsi="宋体"/>
          <w:szCs w:val="21"/>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r>
        <w:rPr>
          <w:rFonts w:hint="eastAsia" w:ascii="宋体" w:hAnsi="宋体"/>
          <w:szCs w:val="21"/>
        </w:rPr>
        <w:t>）的，应当按一个投标人认定。评审时，取其中通过资格审查后的报价最低一家为有效投标人；当报价相同时，则以技术标最优一家为有效投标人；均相同时，由评标委员会（或谈判、询价小组，以下统称评审小组）集体决定。</w:t>
      </w:r>
    </w:p>
    <w:p>
      <w:pPr>
        <w:tabs>
          <w:tab w:val="left" w:pos="618"/>
        </w:tabs>
        <w:spacing w:line="600" w:lineRule="exact"/>
        <w:ind w:left="618" w:hanging="618"/>
        <w:jc w:val="center"/>
        <w:rPr>
          <w:rFonts w:hint="eastAsia" w:ascii="宋体" w:hAnsi="宋体"/>
          <w:b/>
          <w:sz w:val="36"/>
        </w:rPr>
      </w:pPr>
    </w:p>
    <w:p>
      <w:pPr>
        <w:tabs>
          <w:tab w:val="left" w:pos="618"/>
        </w:tabs>
        <w:spacing w:line="600" w:lineRule="exact"/>
        <w:ind w:left="618" w:hanging="618"/>
        <w:jc w:val="center"/>
        <w:rPr>
          <w:rFonts w:hint="eastAsia" w:ascii="宋体" w:hAnsi="宋体"/>
          <w:b/>
          <w:sz w:val="36"/>
        </w:rPr>
      </w:pPr>
      <w:r>
        <w:rPr>
          <w:rFonts w:hint="eastAsia" w:ascii="宋体" w:hAnsi="宋体"/>
          <w:b/>
          <w:sz w:val="36"/>
        </w:rPr>
        <w:t>三．招标文件说明</w:t>
      </w:r>
    </w:p>
    <w:p>
      <w:pPr>
        <w:widowControl/>
        <w:numPr>
          <w:ilvl w:val="0"/>
          <w:numId w:val="3"/>
        </w:numPr>
        <w:tabs>
          <w:tab w:val="left" w:pos="618"/>
        </w:tabs>
        <w:snapToGrid w:val="0"/>
        <w:spacing w:line="400" w:lineRule="atLeast"/>
        <w:ind w:left="618" w:hanging="618"/>
        <w:rPr>
          <w:rFonts w:hint="eastAsia" w:ascii="宋体" w:hAnsi="宋体"/>
          <w:b/>
          <w:szCs w:val="21"/>
        </w:rPr>
      </w:pPr>
      <w:r>
        <w:rPr>
          <w:rFonts w:hint="eastAsia" w:ascii="宋体" w:hAnsi="宋体"/>
          <w:b/>
          <w:szCs w:val="21"/>
        </w:rPr>
        <w:t>招标文件构成</w:t>
      </w:r>
      <w:bookmarkStart w:id="3" w:name="_Hlt509038174"/>
      <w:bookmarkEnd w:id="3"/>
    </w:p>
    <w:p>
      <w:pPr>
        <w:widowControl/>
        <w:numPr>
          <w:ilvl w:val="1"/>
          <w:numId w:val="3"/>
        </w:numPr>
        <w:tabs>
          <w:tab w:val="left" w:pos="618"/>
        </w:tabs>
        <w:snapToGrid w:val="0"/>
        <w:spacing w:line="400" w:lineRule="atLeast"/>
        <w:ind w:left="618" w:hanging="618"/>
        <w:rPr>
          <w:rFonts w:hint="eastAsia" w:ascii="宋体" w:hAnsi="宋体"/>
          <w:szCs w:val="21"/>
        </w:rPr>
      </w:pPr>
      <w:r>
        <w:rPr>
          <w:rFonts w:hint="eastAsia" w:ascii="宋体" w:hAnsi="宋体"/>
          <w:szCs w:val="21"/>
        </w:rPr>
        <w:t>招标文件是用以阐明本次招标所需设备及相关服务的情况，以及招标、投标程序和相应的合同条款。“招标文件”由下述部分组成：</w:t>
      </w:r>
    </w:p>
    <w:p>
      <w:pPr>
        <w:tabs>
          <w:tab w:val="left" w:pos="618"/>
        </w:tabs>
        <w:snapToGrid w:val="0"/>
        <w:spacing w:line="400" w:lineRule="atLeast"/>
        <w:ind w:left="618"/>
        <w:rPr>
          <w:rFonts w:hint="eastAsia" w:ascii="宋体" w:hAnsi="宋体"/>
          <w:szCs w:val="21"/>
        </w:rPr>
      </w:pPr>
      <w:r>
        <w:rPr>
          <w:rFonts w:hint="eastAsia" w:ascii="宋体" w:hAnsi="宋体"/>
          <w:szCs w:val="21"/>
        </w:rPr>
        <w:t>第一章   投标邀请书</w:t>
      </w:r>
    </w:p>
    <w:p>
      <w:pPr>
        <w:tabs>
          <w:tab w:val="left" w:pos="618"/>
        </w:tabs>
        <w:snapToGrid w:val="0"/>
        <w:spacing w:line="400" w:lineRule="atLeast"/>
        <w:ind w:left="618"/>
        <w:rPr>
          <w:rFonts w:hint="eastAsia" w:ascii="宋体" w:hAnsi="宋体"/>
          <w:szCs w:val="21"/>
        </w:rPr>
      </w:pPr>
      <w:r>
        <w:rPr>
          <w:rFonts w:hint="eastAsia" w:ascii="宋体" w:hAnsi="宋体"/>
          <w:szCs w:val="21"/>
        </w:rPr>
        <w:t>第二章   投标人须知及前附表</w:t>
      </w:r>
    </w:p>
    <w:p>
      <w:pPr>
        <w:tabs>
          <w:tab w:val="left" w:pos="618"/>
        </w:tabs>
        <w:snapToGrid w:val="0"/>
        <w:spacing w:line="400" w:lineRule="atLeast"/>
        <w:ind w:left="618"/>
        <w:rPr>
          <w:rFonts w:hint="eastAsia" w:ascii="宋体" w:hAnsi="宋体"/>
          <w:szCs w:val="21"/>
        </w:rPr>
      </w:pPr>
      <w:r>
        <w:rPr>
          <w:rFonts w:hint="eastAsia" w:ascii="宋体" w:hAnsi="宋体"/>
          <w:szCs w:val="21"/>
        </w:rPr>
        <w:t>第三章   招标内容及要求</w:t>
      </w:r>
    </w:p>
    <w:p>
      <w:pPr>
        <w:tabs>
          <w:tab w:val="left" w:pos="618"/>
        </w:tabs>
        <w:snapToGrid w:val="0"/>
        <w:spacing w:line="400" w:lineRule="atLeast"/>
        <w:ind w:left="618"/>
        <w:rPr>
          <w:rFonts w:hint="eastAsia" w:ascii="宋体" w:hAnsi="宋体"/>
          <w:szCs w:val="21"/>
        </w:rPr>
      </w:pPr>
      <w:r>
        <w:rPr>
          <w:rFonts w:hint="eastAsia" w:ascii="宋体" w:hAnsi="宋体"/>
          <w:szCs w:val="21"/>
        </w:rPr>
        <w:t>第四章   合同主要条款</w:t>
      </w:r>
    </w:p>
    <w:p>
      <w:pPr>
        <w:tabs>
          <w:tab w:val="left" w:pos="618"/>
        </w:tabs>
        <w:snapToGrid w:val="0"/>
        <w:spacing w:line="400" w:lineRule="atLeast"/>
        <w:ind w:left="618"/>
        <w:rPr>
          <w:rFonts w:ascii="宋体" w:hAnsi="宋体"/>
          <w:szCs w:val="21"/>
        </w:rPr>
      </w:pPr>
      <w:r>
        <w:rPr>
          <w:rFonts w:hint="eastAsia" w:ascii="宋体" w:hAnsi="宋体"/>
          <w:szCs w:val="21"/>
        </w:rPr>
        <w:t>第五章   投标文件格式</w:t>
      </w:r>
    </w:p>
    <w:p>
      <w:pPr>
        <w:tabs>
          <w:tab w:val="left" w:pos="618"/>
        </w:tabs>
        <w:snapToGrid w:val="0"/>
        <w:spacing w:line="400" w:lineRule="atLeast"/>
        <w:ind w:left="618"/>
        <w:rPr>
          <w:rFonts w:hint="eastAsia" w:ascii="宋体" w:hAnsi="宋体"/>
          <w:szCs w:val="21"/>
        </w:rPr>
      </w:pPr>
      <w:r>
        <w:rPr>
          <w:rFonts w:hint="eastAsia" w:ascii="宋体" w:hAnsi="宋体"/>
          <w:szCs w:val="21"/>
        </w:rPr>
        <w:t xml:space="preserve">第六章  </w:t>
      </w:r>
      <w:r>
        <w:rPr>
          <w:rFonts w:ascii="宋体" w:hAnsi="宋体"/>
          <w:szCs w:val="21"/>
        </w:rPr>
        <w:t xml:space="preserve"> </w:t>
      </w:r>
      <w:r>
        <w:rPr>
          <w:rFonts w:hint="eastAsia" w:ascii="宋体" w:hAnsi="宋体"/>
          <w:szCs w:val="21"/>
        </w:rPr>
        <w:t>评标原则及方法</w:t>
      </w:r>
    </w:p>
    <w:p>
      <w:pPr>
        <w:widowControl/>
        <w:numPr>
          <w:ilvl w:val="1"/>
          <w:numId w:val="3"/>
        </w:numPr>
        <w:tabs>
          <w:tab w:val="left" w:pos="618"/>
        </w:tabs>
        <w:snapToGrid w:val="0"/>
        <w:spacing w:line="400" w:lineRule="atLeast"/>
        <w:ind w:left="618" w:hanging="618"/>
        <w:rPr>
          <w:rFonts w:hint="eastAsia" w:ascii="宋体" w:hAnsi="宋体"/>
          <w:b/>
          <w:szCs w:val="21"/>
        </w:rPr>
      </w:pPr>
      <w:r>
        <w:rPr>
          <w:rFonts w:hint="eastAsia" w:ascii="宋体" w:hAnsi="宋体"/>
          <w:szCs w:val="21"/>
        </w:rPr>
        <w:t>▲</w:t>
      </w:r>
      <w:r>
        <w:rPr>
          <w:rFonts w:ascii="宋体" w:hAnsi="宋体"/>
          <w:szCs w:val="21"/>
        </w:rPr>
        <w:t>投标人应详细阅读招标文件的全部内容</w:t>
      </w:r>
      <w:r>
        <w:rPr>
          <w:rFonts w:hint="eastAsia" w:ascii="宋体" w:hAnsi="宋体"/>
          <w:szCs w:val="21"/>
        </w:rPr>
        <w:t>，</w:t>
      </w:r>
      <w:r>
        <w:rPr>
          <w:rFonts w:ascii="宋体" w:hAnsi="宋体"/>
          <w:szCs w:val="21"/>
        </w:rPr>
        <w:t>没有按照招标文件要求提交全部资料或者没有对招标文件在各方面的要求都做出实质性响应，是投标</w:t>
      </w:r>
      <w:r>
        <w:rPr>
          <w:rFonts w:hint="eastAsia" w:ascii="宋体" w:hAnsi="宋体"/>
          <w:szCs w:val="21"/>
        </w:rPr>
        <w:t>人</w:t>
      </w:r>
      <w:r>
        <w:rPr>
          <w:rFonts w:ascii="宋体" w:hAnsi="宋体"/>
          <w:szCs w:val="21"/>
        </w:rPr>
        <w:t>的风险。</w:t>
      </w:r>
      <w:r>
        <w:rPr>
          <w:rFonts w:ascii="宋体" w:hAnsi="宋体"/>
          <w:b/>
          <w:szCs w:val="21"/>
        </w:rPr>
        <w:t>没有实质上响应招标文件要求的投标</w:t>
      </w:r>
      <w:r>
        <w:rPr>
          <w:rFonts w:hint="eastAsia" w:ascii="宋体" w:hAnsi="宋体"/>
          <w:b/>
          <w:szCs w:val="21"/>
        </w:rPr>
        <w:t>将</w:t>
      </w:r>
      <w:r>
        <w:rPr>
          <w:rFonts w:ascii="宋体" w:hAnsi="宋体"/>
          <w:b/>
          <w:szCs w:val="21"/>
        </w:rPr>
        <w:t>被拒绝。</w:t>
      </w:r>
    </w:p>
    <w:p>
      <w:pPr>
        <w:widowControl/>
        <w:numPr>
          <w:ilvl w:val="0"/>
          <w:numId w:val="3"/>
        </w:numPr>
        <w:tabs>
          <w:tab w:val="left" w:pos="618"/>
        </w:tabs>
        <w:snapToGrid w:val="0"/>
        <w:spacing w:line="400" w:lineRule="atLeast"/>
        <w:ind w:left="618" w:hanging="618"/>
        <w:rPr>
          <w:rFonts w:hint="eastAsia" w:ascii="宋体" w:hAnsi="宋体"/>
          <w:b/>
          <w:szCs w:val="21"/>
        </w:rPr>
      </w:pPr>
      <w:r>
        <w:rPr>
          <w:rFonts w:hint="eastAsia" w:ascii="宋体" w:hAnsi="宋体"/>
          <w:b/>
          <w:szCs w:val="21"/>
        </w:rPr>
        <w:t>招标文件的澄清</w:t>
      </w:r>
    </w:p>
    <w:p>
      <w:pPr>
        <w:widowControl/>
        <w:numPr>
          <w:ilvl w:val="1"/>
          <w:numId w:val="3"/>
        </w:numPr>
        <w:tabs>
          <w:tab w:val="left" w:pos="0"/>
          <w:tab w:val="left" w:pos="180"/>
          <w:tab w:val="left" w:pos="360"/>
          <w:tab w:val="left" w:pos="540"/>
          <w:tab w:val="clear" w:pos="567"/>
        </w:tabs>
        <w:snapToGrid w:val="0"/>
        <w:spacing w:line="400" w:lineRule="atLeast"/>
        <w:ind w:left="0" w:firstLine="0"/>
        <w:rPr>
          <w:rFonts w:hint="eastAsia" w:ascii="宋体" w:hAnsi="宋体"/>
          <w:szCs w:val="21"/>
        </w:rPr>
      </w:pPr>
      <w:r>
        <w:rPr>
          <w:rFonts w:hint="eastAsia" w:ascii="宋体" w:hAnsi="宋体"/>
          <w:bCs/>
          <w:szCs w:val="21"/>
        </w:rPr>
        <w:t>投标人对本招标文件如有疑问，请于质疑时间截止前将问题以书面函件形式（信</w:t>
      </w:r>
      <w:r>
        <w:rPr>
          <w:rFonts w:hint="eastAsia" w:ascii="宋体" w:hAnsi="宋体"/>
          <w:szCs w:val="21"/>
        </w:rPr>
        <w:t>函、传真，</w:t>
      </w:r>
      <w:r>
        <w:rPr>
          <w:rFonts w:hint="eastAsia" w:ascii="宋体" w:hAnsi="宋体"/>
          <w:bCs/>
          <w:szCs w:val="21"/>
        </w:rPr>
        <w:t>加盖投标人法人公章）</w:t>
      </w:r>
      <w:r>
        <w:rPr>
          <w:rFonts w:hint="eastAsia" w:ascii="宋体" w:hAnsi="宋体"/>
          <w:szCs w:val="21"/>
        </w:rPr>
        <w:t>交至采购机构</w:t>
      </w:r>
      <w:r>
        <w:rPr>
          <w:rFonts w:hint="eastAsia" w:ascii="宋体" w:hAnsi="宋体"/>
          <w:bCs/>
          <w:szCs w:val="21"/>
        </w:rPr>
        <w:t>，超出上述截止时间提出的任何疑问，</w:t>
      </w:r>
      <w:r>
        <w:rPr>
          <w:rFonts w:hint="eastAsia" w:ascii="宋体" w:hAnsi="宋体"/>
          <w:szCs w:val="21"/>
        </w:rPr>
        <w:t>采购机构</w:t>
      </w:r>
      <w:r>
        <w:rPr>
          <w:rFonts w:hint="eastAsia" w:ascii="宋体" w:hAnsi="宋体"/>
          <w:bCs/>
          <w:szCs w:val="21"/>
        </w:rPr>
        <w:t>可不予答复。</w:t>
      </w:r>
      <w:r>
        <w:rPr>
          <w:rFonts w:hint="eastAsia" w:ascii="宋体" w:hAnsi="宋体"/>
          <w:szCs w:val="21"/>
        </w:rPr>
        <w:t>如有必要</w:t>
      </w:r>
      <w:r>
        <w:rPr>
          <w:rFonts w:hint="eastAsia" w:ascii="宋体" w:hAnsi="宋体"/>
          <w:bCs/>
          <w:szCs w:val="21"/>
        </w:rPr>
        <w:t>，</w:t>
      </w:r>
      <w:r>
        <w:rPr>
          <w:rFonts w:hint="eastAsia" w:ascii="宋体" w:hAnsi="宋体"/>
          <w:szCs w:val="21"/>
        </w:rPr>
        <w:t>采购机构</w:t>
      </w:r>
      <w:r>
        <w:rPr>
          <w:rFonts w:hint="eastAsia" w:ascii="宋体" w:hAnsi="宋体"/>
          <w:bCs/>
          <w:szCs w:val="21"/>
        </w:rPr>
        <w:t>可将不标明来源的书面答疑文件发至已购买招标文件的每一投标人，</w:t>
      </w:r>
      <w:r>
        <w:rPr>
          <w:rFonts w:hint="eastAsia" w:ascii="宋体" w:hAnsi="宋体"/>
          <w:szCs w:val="21"/>
        </w:rPr>
        <w:t>该答疑文件为招标文件的组成部分。如果答疑期内未收到有关疑问，视为投标人完全同意招标文件所有条款，且对于招标文件的内容表述以及未尽事宜如有争议，以采购机构解释为准。</w:t>
      </w:r>
    </w:p>
    <w:p>
      <w:pPr>
        <w:widowControl/>
        <w:numPr>
          <w:ilvl w:val="1"/>
          <w:numId w:val="3"/>
        </w:numPr>
        <w:tabs>
          <w:tab w:val="left" w:pos="0"/>
          <w:tab w:val="left" w:pos="360"/>
          <w:tab w:val="left" w:pos="540"/>
          <w:tab w:val="clear" w:pos="567"/>
        </w:tabs>
        <w:snapToGrid w:val="0"/>
        <w:spacing w:line="400" w:lineRule="atLeast"/>
        <w:ind w:left="0" w:firstLine="0"/>
        <w:rPr>
          <w:rFonts w:hint="eastAsia" w:ascii="宋体" w:hAnsi="宋体"/>
          <w:szCs w:val="21"/>
        </w:rPr>
      </w:pPr>
      <w:r>
        <w:rPr>
          <w:rFonts w:hint="eastAsia" w:ascii="宋体" w:hAnsi="宋体"/>
          <w:szCs w:val="21"/>
        </w:rPr>
        <w:t>采购机构</w:t>
      </w:r>
      <w:r>
        <w:rPr>
          <w:rFonts w:ascii="宋体" w:hAnsi="宋体"/>
          <w:szCs w:val="21"/>
        </w:rPr>
        <w:t>将视情况确定是否有必要召开标前会，如</w:t>
      </w:r>
      <w:r>
        <w:rPr>
          <w:rFonts w:hint="eastAsia" w:ascii="宋体" w:hAnsi="宋体"/>
          <w:szCs w:val="21"/>
        </w:rPr>
        <w:t>需</w:t>
      </w:r>
      <w:r>
        <w:rPr>
          <w:rFonts w:ascii="宋体" w:hAnsi="宋体"/>
          <w:szCs w:val="21"/>
        </w:rPr>
        <w:t>召开将</w:t>
      </w:r>
      <w:r>
        <w:rPr>
          <w:rFonts w:hint="eastAsia" w:ascii="宋体" w:hAnsi="宋体"/>
          <w:szCs w:val="21"/>
        </w:rPr>
        <w:t>会以书面形式</w:t>
      </w:r>
      <w:r>
        <w:rPr>
          <w:rFonts w:ascii="宋体" w:hAnsi="宋体"/>
          <w:szCs w:val="21"/>
        </w:rPr>
        <w:t>通知所有</w:t>
      </w:r>
      <w:r>
        <w:rPr>
          <w:rFonts w:hint="eastAsia" w:ascii="宋体" w:hAnsi="宋体"/>
          <w:szCs w:val="21"/>
        </w:rPr>
        <w:t>的</w:t>
      </w:r>
      <w:r>
        <w:rPr>
          <w:rFonts w:ascii="宋体" w:hAnsi="宋体"/>
          <w:szCs w:val="21"/>
        </w:rPr>
        <w:t>投标</w:t>
      </w:r>
      <w:r>
        <w:rPr>
          <w:rFonts w:hint="eastAsia" w:ascii="宋体" w:hAnsi="宋体"/>
          <w:szCs w:val="21"/>
        </w:rPr>
        <w:t>人</w:t>
      </w:r>
      <w:r>
        <w:rPr>
          <w:rFonts w:ascii="宋体" w:hAnsi="宋体"/>
          <w:szCs w:val="21"/>
        </w:rPr>
        <w:t>。</w:t>
      </w:r>
    </w:p>
    <w:p>
      <w:pPr>
        <w:widowControl/>
        <w:numPr>
          <w:ilvl w:val="0"/>
          <w:numId w:val="3"/>
        </w:numPr>
        <w:tabs>
          <w:tab w:val="left" w:pos="618"/>
        </w:tabs>
        <w:snapToGrid w:val="0"/>
        <w:spacing w:line="400" w:lineRule="atLeast"/>
        <w:ind w:left="618" w:hanging="618"/>
        <w:rPr>
          <w:rFonts w:hint="eastAsia" w:ascii="新宋体" w:hAnsi="新宋体" w:eastAsia="新宋体"/>
          <w:b/>
          <w:sz w:val="22"/>
          <w:szCs w:val="22"/>
        </w:rPr>
      </w:pPr>
      <w:r>
        <w:rPr>
          <w:rFonts w:hint="eastAsia" w:ascii="新宋体" w:hAnsi="新宋体" w:eastAsia="新宋体"/>
          <w:b/>
          <w:sz w:val="22"/>
          <w:szCs w:val="22"/>
        </w:rPr>
        <w:t>招标文件的修改</w:t>
      </w:r>
    </w:p>
    <w:p>
      <w:pPr>
        <w:widowControl/>
        <w:numPr>
          <w:ilvl w:val="1"/>
          <w:numId w:val="3"/>
        </w:numPr>
        <w:tabs>
          <w:tab w:val="left" w:pos="618"/>
        </w:tabs>
        <w:snapToGrid w:val="0"/>
        <w:spacing w:line="400" w:lineRule="atLeast"/>
        <w:ind w:left="618" w:hanging="618"/>
        <w:rPr>
          <w:rFonts w:hint="eastAsia" w:ascii="宋体" w:hAnsi="宋体"/>
          <w:szCs w:val="21"/>
        </w:rPr>
      </w:pPr>
      <w:bookmarkStart w:id="4" w:name="_Toc495977856"/>
      <w:r>
        <w:rPr>
          <w:rFonts w:ascii="宋体" w:hAnsi="宋体"/>
          <w:szCs w:val="21"/>
        </w:rPr>
        <w:t>在投标截止期前任何时候，</w:t>
      </w:r>
      <w:r>
        <w:rPr>
          <w:rFonts w:hint="eastAsia" w:ascii="宋体" w:hAnsi="宋体"/>
          <w:szCs w:val="21"/>
        </w:rPr>
        <w:t>采购机构</w:t>
      </w:r>
      <w:r>
        <w:rPr>
          <w:rFonts w:ascii="宋体" w:hAnsi="宋体"/>
          <w:szCs w:val="21"/>
        </w:rPr>
        <w:t>无论是出于何种原因，均可对招标文件用补充文件的方式进行修改。</w:t>
      </w:r>
    </w:p>
    <w:p>
      <w:pPr>
        <w:widowControl/>
        <w:numPr>
          <w:ilvl w:val="1"/>
          <w:numId w:val="3"/>
        </w:numPr>
        <w:tabs>
          <w:tab w:val="left" w:pos="618"/>
        </w:tabs>
        <w:snapToGrid w:val="0"/>
        <w:spacing w:line="400" w:lineRule="atLeast"/>
        <w:ind w:left="618" w:hanging="618"/>
        <w:rPr>
          <w:rFonts w:hint="eastAsia" w:ascii="宋体" w:hAnsi="宋体"/>
          <w:szCs w:val="21"/>
        </w:rPr>
      </w:pPr>
      <w:r>
        <w:rPr>
          <w:rFonts w:ascii="宋体" w:hAnsi="宋体"/>
          <w:szCs w:val="21"/>
        </w:rPr>
        <w:t>对招标文件的修改，将</w:t>
      </w:r>
      <w:r>
        <w:rPr>
          <w:rFonts w:hint="eastAsia" w:ascii="宋体" w:hAnsi="宋体"/>
          <w:szCs w:val="21"/>
        </w:rPr>
        <w:t>由采购机构</w:t>
      </w:r>
      <w:r>
        <w:rPr>
          <w:rFonts w:ascii="宋体" w:hAnsi="宋体"/>
          <w:szCs w:val="21"/>
        </w:rPr>
        <w:t>以书面、电子邮件或传真的形式</w:t>
      </w:r>
      <w:r>
        <w:rPr>
          <w:rFonts w:hint="eastAsia" w:ascii="宋体" w:hAnsi="宋体"/>
          <w:szCs w:val="21"/>
        </w:rPr>
        <w:t>统一</w:t>
      </w:r>
      <w:r>
        <w:rPr>
          <w:rFonts w:ascii="宋体" w:hAnsi="宋体"/>
          <w:szCs w:val="21"/>
        </w:rPr>
        <w:t>通知已领取招标文件的每一投标人。投标人应立即以书面形式回复确认已收到修改文件。</w:t>
      </w:r>
    </w:p>
    <w:p>
      <w:pPr>
        <w:widowControl/>
        <w:numPr>
          <w:ilvl w:val="1"/>
          <w:numId w:val="3"/>
        </w:numPr>
        <w:tabs>
          <w:tab w:val="left" w:pos="618"/>
        </w:tabs>
        <w:snapToGrid w:val="0"/>
        <w:spacing w:line="400" w:lineRule="atLeast"/>
        <w:ind w:left="618" w:hanging="618"/>
        <w:rPr>
          <w:rFonts w:hint="eastAsia" w:ascii="宋体" w:hAnsi="宋体"/>
          <w:szCs w:val="21"/>
        </w:rPr>
      </w:pPr>
      <w:r>
        <w:rPr>
          <w:rFonts w:ascii="宋体" w:hAnsi="宋体"/>
          <w:szCs w:val="21"/>
        </w:rPr>
        <w:t>为使投标人有足够的时间按招标文件的修改要求修正投标文件，</w:t>
      </w:r>
      <w:r>
        <w:rPr>
          <w:rFonts w:hint="eastAsia" w:ascii="宋体" w:hAnsi="宋体"/>
          <w:szCs w:val="21"/>
        </w:rPr>
        <w:t>采购人</w:t>
      </w:r>
      <w:r>
        <w:rPr>
          <w:rFonts w:ascii="宋体" w:hAnsi="宋体"/>
          <w:szCs w:val="21"/>
        </w:rPr>
        <w:t>可酌情推迟投标的截止日期和开标日期，并将具体变更情况通知上述每一投标</w:t>
      </w:r>
      <w:r>
        <w:rPr>
          <w:rFonts w:hint="eastAsia" w:ascii="宋体" w:hAnsi="宋体"/>
          <w:szCs w:val="21"/>
        </w:rPr>
        <w:t>人</w:t>
      </w:r>
      <w:r>
        <w:rPr>
          <w:rFonts w:ascii="宋体" w:hAnsi="宋体"/>
          <w:szCs w:val="21"/>
        </w:rPr>
        <w:t>。</w:t>
      </w:r>
    </w:p>
    <w:p>
      <w:pPr>
        <w:widowControl/>
        <w:numPr>
          <w:ilvl w:val="1"/>
          <w:numId w:val="3"/>
        </w:numPr>
        <w:tabs>
          <w:tab w:val="left" w:pos="618"/>
        </w:tabs>
        <w:snapToGrid w:val="0"/>
        <w:spacing w:line="400" w:lineRule="atLeast"/>
        <w:rPr>
          <w:rFonts w:hint="eastAsia" w:ascii="宋体" w:hAnsi="宋体"/>
          <w:szCs w:val="21"/>
        </w:rPr>
      </w:pPr>
      <w:r>
        <w:rPr>
          <w:rFonts w:ascii="宋体" w:hAnsi="宋体"/>
          <w:szCs w:val="21"/>
        </w:rPr>
        <w:t>补充文件将作为招标文件的组成部分，对所有投标人有约束力。</w:t>
      </w:r>
    </w:p>
    <w:p>
      <w:pPr>
        <w:widowControl/>
        <w:snapToGrid w:val="0"/>
        <w:spacing w:line="400" w:lineRule="atLeast"/>
        <w:rPr>
          <w:rFonts w:hint="eastAsia" w:ascii="宋体" w:hAnsi="宋体"/>
          <w:szCs w:val="21"/>
        </w:rPr>
      </w:pPr>
    </w:p>
    <w:p>
      <w:pPr>
        <w:tabs>
          <w:tab w:val="left" w:pos="618"/>
        </w:tabs>
        <w:snapToGrid w:val="0"/>
        <w:spacing w:line="400" w:lineRule="atLeast"/>
        <w:jc w:val="center"/>
        <w:rPr>
          <w:rFonts w:hint="eastAsia" w:ascii="宋体" w:hAnsi="宋体"/>
          <w:b/>
          <w:sz w:val="36"/>
          <w:szCs w:val="21"/>
        </w:rPr>
      </w:pPr>
      <w:r>
        <w:rPr>
          <w:rFonts w:hint="eastAsia" w:ascii="宋体" w:hAnsi="宋体"/>
          <w:b/>
          <w:sz w:val="36"/>
          <w:szCs w:val="21"/>
        </w:rPr>
        <w:t>四．投标文件的编制</w:t>
      </w:r>
    </w:p>
    <w:bookmarkEnd w:id="4"/>
    <w:p>
      <w:pPr>
        <w:widowControl/>
        <w:numPr>
          <w:ilvl w:val="0"/>
          <w:numId w:val="3"/>
        </w:numPr>
        <w:tabs>
          <w:tab w:val="left" w:pos="618"/>
        </w:tabs>
        <w:snapToGrid w:val="0"/>
        <w:spacing w:line="380" w:lineRule="exact"/>
        <w:ind w:left="618" w:hanging="618"/>
        <w:rPr>
          <w:rFonts w:hint="eastAsia" w:ascii="新宋体" w:hAnsi="新宋体" w:eastAsia="新宋体"/>
          <w:b/>
          <w:bCs/>
          <w:sz w:val="22"/>
          <w:szCs w:val="22"/>
        </w:rPr>
      </w:pPr>
      <w:r>
        <w:rPr>
          <w:rFonts w:ascii="新宋体" w:hAnsi="新宋体" w:eastAsia="新宋体"/>
          <w:b/>
          <w:bCs/>
          <w:sz w:val="22"/>
          <w:szCs w:val="22"/>
        </w:rPr>
        <w:t>投标文件的</w:t>
      </w:r>
      <w:r>
        <w:rPr>
          <w:rFonts w:hint="eastAsia" w:ascii="新宋体" w:hAnsi="新宋体" w:eastAsia="新宋体"/>
          <w:b/>
          <w:bCs/>
          <w:sz w:val="22"/>
          <w:szCs w:val="22"/>
        </w:rPr>
        <w:t>说明</w:t>
      </w:r>
    </w:p>
    <w:p>
      <w:pPr>
        <w:widowControl/>
        <w:numPr>
          <w:ilvl w:val="1"/>
          <w:numId w:val="3"/>
        </w:numPr>
        <w:tabs>
          <w:tab w:val="left" w:pos="618"/>
        </w:tabs>
        <w:snapToGrid w:val="0"/>
        <w:spacing w:line="380" w:lineRule="exact"/>
        <w:ind w:left="618" w:hanging="618"/>
        <w:rPr>
          <w:rFonts w:ascii="宋体" w:hAnsi="宋体"/>
          <w:szCs w:val="21"/>
        </w:rPr>
      </w:pPr>
      <w:r>
        <w:rPr>
          <w:rFonts w:hint="eastAsia" w:ascii="宋体" w:hAnsi="宋体"/>
          <w:bCs/>
          <w:szCs w:val="21"/>
        </w:rPr>
        <w:t>投标人的投标文件以及投标人与采购机构就有关投标的所有往来函电均应使用中文，度量衡单位采用中华人民共和国法定计量单位。</w:t>
      </w:r>
    </w:p>
    <w:p>
      <w:pPr>
        <w:widowControl/>
        <w:numPr>
          <w:ilvl w:val="1"/>
          <w:numId w:val="3"/>
        </w:numPr>
        <w:tabs>
          <w:tab w:val="left" w:pos="618"/>
        </w:tabs>
        <w:snapToGrid w:val="0"/>
        <w:spacing w:line="380" w:lineRule="exact"/>
        <w:ind w:left="618" w:hanging="618"/>
        <w:rPr>
          <w:rFonts w:hint="eastAsia" w:ascii="宋体" w:hAnsi="宋体"/>
          <w:szCs w:val="21"/>
        </w:rPr>
      </w:pPr>
      <w:r>
        <w:rPr>
          <w:rFonts w:ascii="宋体" w:hAnsi="宋体"/>
          <w:szCs w:val="21"/>
        </w:rPr>
        <w:t>投标人所提供的技术文件和资料</w:t>
      </w:r>
      <w:r>
        <w:rPr>
          <w:rFonts w:hint="eastAsia" w:ascii="宋体" w:hAnsi="宋体"/>
          <w:szCs w:val="21"/>
        </w:rPr>
        <w:t>（</w:t>
      </w:r>
      <w:r>
        <w:rPr>
          <w:rFonts w:ascii="宋体" w:hAnsi="宋体"/>
          <w:szCs w:val="21"/>
        </w:rPr>
        <w:t>包括图</w:t>
      </w:r>
      <w:r>
        <w:rPr>
          <w:rFonts w:hint="eastAsia" w:ascii="宋体" w:hAnsi="宋体"/>
          <w:szCs w:val="21"/>
        </w:rPr>
        <w:t>片资料）</w:t>
      </w:r>
      <w:r>
        <w:rPr>
          <w:rFonts w:ascii="宋体" w:hAnsi="宋体"/>
          <w:szCs w:val="21"/>
        </w:rPr>
        <w:t>应使用中文简化字。</w:t>
      </w:r>
    </w:p>
    <w:p>
      <w:pPr>
        <w:widowControl/>
        <w:numPr>
          <w:ilvl w:val="1"/>
          <w:numId w:val="3"/>
        </w:numPr>
        <w:tabs>
          <w:tab w:val="left" w:pos="618"/>
        </w:tabs>
        <w:snapToGrid w:val="0"/>
        <w:spacing w:line="380" w:lineRule="exact"/>
        <w:ind w:left="618" w:hanging="618"/>
        <w:rPr>
          <w:rFonts w:ascii="宋体" w:hAnsi="宋体"/>
          <w:szCs w:val="21"/>
          <w:u w:val="single"/>
        </w:rPr>
      </w:pPr>
      <w:r>
        <w:rPr>
          <w:rFonts w:hint="eastAsia" w:ascii="宋体" w:hAnsi="宋体"/>
          <w:szCs w:val="21"/>
        </w:rPr>
        <w:t>投标人必须按招标文件的要求提供相关技术参数、资料，包括采用的计量单位，并保证投标文件的正确性和真实性，否则评标委员会将作出不利于其投标的评定。技术和商务如有偏离均应填写偏离表。</w:t>
      </w:r>
      <w:r>
        <w:rPr>
          <w:rFonts w:hint="eastAsia" w:ascii="宋体" w:hAnsi="宋体"/>
          <w:b/>
          <w:bCs/>
          <w:szCs w:val="21"/>
        </w:rPr>
        <w:t>不按招标文件要求提供的投标文件可能导致被拒绝。</w:t>
      </w:r>
    </w:p>
    <w:p>
      <w:pPr>
        <w:widowControl/>
        <w:numPr>
          <w:ilvl w:val="0"/>
          <w:numId w:val="3"/>
        </w:numPr>
        <w:tabs>
          <w:tab w:val="left" w:pos="618"/>
        </w:tabs>
        <w:snapToGrid w:val="0"/>
        <w:spacing w:line="380" w:lineRule="exact"/>
        <w:ind w:left="618" w:hanging="618"/>
        <w:rPr>
          <w:rFonts w:hint="eastAsia" w:ascii="新宋体" w:hAnsi="新宋体" w:eastAsia="新宋体"/>
          <w:b/>
          <w:sz w:val="22"/>
          <w:szCs w:val="22"/>
        </w:rPr>
      </w:pPr>
      <w:r>
        <w:rPr>
          <w:rFonts w:hint="eastAsia" w:ascii="新宋体" w:hAnsi="新宋体" w:eastAsia="新宋体"/>
          <w:b/>
          <w:sz w:val="22"/>
          <w:szCs w:val="22"/>
        </w:rPr>
        <w:t>投标文件的组成</w:t>
      </w:r>
    </w:p>
    <w:p>
      <w:pPr>
        <w:widowControl/>
        <w:numPr>
          <w:ilvl w:val="1"/>
          <w:numId w:val="3"/>
        </w:numPr>
        <w:tabs>
          <w:tab w:val="left" w:pos="0"/>
          <w:tab w:val="left" w:pos="540"/>
          <w:tab w:val="clear" w:pos="567"/>
        </w:tabs>
        <w:snapToGrid w:val="0"/>
        <w:spacing w:line="380" w:lineRule="exact"/>
        <w:ind w:left="0" w:firstLine="0"/>
        <w:rPr>
          <w:rFonts w:hint="eastAsia" w:ascii="宋体" w:hAnsi="宋体"/>
          <w:b/>
          <w:bCs/>
          <w:szCs w:val="21"/>
          <w:u w:val="single"/>
        </w:rPr>
      </w:pPr>
      <w:r>
        <w:rPr>
          <w:rFonts w:hint="eastAsia" w:ascii="宋体" w:hAnsi="宋体"/>
          <w:b/>
          <w:bCs/>
          <w:szCs w:val="21"/>
          <w:u w:val="single"/>
        </w:rPr>
        <w:t>投标文件由商务报价和资信技术二部分组成，须分别装订成册(商务报价部分投标文件与资信技术部分投标文件分开装订)，</w:t>
      </w:r>
      <w:r>
        <w:rPr>
          <w:rFonts w:hint="eastAsia" w:ascii="宋体" w:cs="Arial"/>
          <w:b/>
          <w:bCs/>
          <w:szCs w:val="21"/>
          <w:u w:val="single"/>
        </w:rPr>
        <w:t>技术资信部分（含资信与服务）不得含报价，否则投标将被拒绝</w:t>
      </w:r>
      <w:r>
        <w:rPr>
          <w:rFonts w:hint="eastAsia" w:ascii="宋体" w:hAnsi="宋体"/>
          <w:b/>
          <w:bCs/>
          <w:szCs w:val="21"/>
          <w:u w:val="single"/>
        </w:rPr>
        <w:t>。</w:t>
      </w:r>
    </w:p>
    <w:p>
      <w:pPr>
        <w:widowControl/>
        <w:numPr>
          <w:ilvl w:val="1"/>
          <w:numId w:val="3"/>
        </w:numPr>
        <w:tabs>
          <w:tab w:val="left" w:pos="618"/>
        </w:tabs>
        <w:snapToGrid w:val="0"/>
        <w:spacing w:line="380" w:lineRule="exact"/>
        <w:ind w:left="618" w:hanging="618"/>
        <w:rPr>
          <w:rFonts w:hint="eastAsia" w:ascii="宋体" w:hAnsi="宋体"/>
          <w:szCs w:val="21"/>
        </w:rPr>
      </w:pPr>
      <w:r>
        <w:rPr>
          <w:rFonts w:hint="eastAsia" w:ascii="宋体" w:hAnsi="宋体"/>
          <w:szCs w:val="21"/>
        </w:rPr>
        <w:t xml:space="preserve"> 第一部分：商务标：</w:t>
      </w:r>
    </w:p>
    <w:p>
      <w:pPr>
        <w:widowControl/>
        <w:tabs>
          <w:tab w:val="left" w:pos="927"/>
        </w:tabs>
        <w:snapToGrid w:val="0"/>
        <w:spacing w:line="380" w:lineRule="exact"/>
        <w:ind w:left="309" w:leftChars="147" w:firstLine="105" w:firstLineChars="50"/>
        <w:rPr>
          <w:rFonts w:hint="eastAsia" w:ascii="宋体" w:hAnsi="宋体"/>
          <w:szCs w:val="21"/>
        </w:rPr>
      </w:pPr>
      <w:r>
        <w:rPr>
          <w:rFonts w:hint="eastAsia" w:ascii="宋体" w:hAnsi="宋体"/>
          <w:szCs w:val="21"/>
        </w:rPr>
        <w:t xml:space="preserve">1）开标一览表（报价表）（统一格式，用于唱标）   （见附件一）； </w:t>
      </w:r>
    </w:p>
    <w:p>
      <w:pPr>
        <w:widowControl/>
        <w:tabs>
          <w:tab w:val="left" w:pos="927"/>
        </w:tabs>
        <w:snapToGrid w:val="0"/>
        <w:spacing w:line="380" w:lineRule="exact"/>
        <w:ind w:left="309" w:leftChars="147" w:firstLine="105" w:firstLineChars="50"/>
        <w:rPr>
          <w:rFonts w:hint="eastAsia" w:ascii="宋体" w:hAnsi="宋体"/>
          <w:szCs w:val="21"/>
        </w:rPr>
      </w:pPr>
      <w:r>
        <w:rPr>
          <w:rFonts w:hint="eastAsia" w:ascii="宋体" w:hAnsi="宋体"/>
          <w:szCs w:val="21"/>
        </w:rPr>
        <w:t>2）投标报价明细表                              （见附件二）；</w:t>
      </w:r>
    </w:p>
    <w:p>
      <w:pPr>
        <w:widowControl/>
        <w:tabs>
          <w:tab w:val="left" w:pos="567"/>
          <w:tab w:val="left" w:pos="618"/>
        </w:tabs>
        <w:snapToGrid w:val="0"/>
        <w:spacing w:line="380" w:lineRule="exact"/>
        <w:ind w:left="420"/>
        <w:rPr>
          <w:rFonts w:hint="eastAsia" w:ascii="宋体" w:hAnsi="宋体"/>
          <w:szCs w:val="21"/>
        </w:rPr>
      </w:pPr>
      <w:r>
        <w:rPr>
          <w:rFonts w:hint="eastAsia" w:ascii="宋体" w:hAnsi="宋体"/>
          <w:szCs w:val="21"/>
        </w:rPr>
        <w:t>3）其他需要说明的商务（报价）内容</w:t>
      </w:r>
    </w:p>
    <w:p>
      <w:pPr>
        <w:widowControl/>
        <w:numPr>
          <w:ilvl w:val="1"/>
          <w:numId w:val="3"/>
        </w:numPr>
        <w:tabs>
          <w:tab w:val="left" w:pos="618"/>
        </w:tabs>
        <w:snapToGrid w:val="0"/>
        <w:spacing w:line="380" w:lineRule="exact"/>
        <w:ind w:left="618" w:hanging="618"/>
        <w:rPr>
          <w:rFonts w:hint="eastAsia" w:ascii="宋体" w:hAnsi="宋体"/>
          <w:szCs w:val="21"/>
        </w:rPr>
      </w:pPr>
      <w:r>
        <w:rPr>
          <w:rFonts w:hint="eastAsia" w:ascii="宋体" w:hAnsi="宋体"/>
          <w:szCs w:val="21"/>
        </w:rPr>
        <w:t xml:space="preserve"> 第二部分：资信技术标：</w:t>
      </w:r>
    </w:p>
    <w:p>
      <w:pPr>
        <w:widowControl/>
        <w:tabs>
          <w:tab w:val="left" w:pos="618"/>
        </w:tabs>
        <w:snapToGrid w:val="0"/>
        <w:spacing w:line="380" w:lineRule="exact"/>
        <w:ind w:firstLine="420" w:firstLineChars="200"/>
        <w:rPr>
          <w:rFonts w:hint="eastAsia" w:ascii="宋体" w:hAnsi="宋体"/>
          <w:szCs w:val="21"/>
        </w:rPr>
      </w:pPr>
      <w:r>
        <w:rPr>
          <w:rFonts w:hint="eastAsia" w:ascii="宋体" w:hAnsi="宋体"/>
          <w:szCs w:val="21"/>
        </w:rPr>
        <w:t>1）投标函（附件三）；</w:t>
      </w:r>
    </w:p>
    <w:p>
      <w:pPr>
        <w:widowControl/>
        <w:tabs>
          <w:tab w:val="left" w:pos="618"/>
        </w:tabs>
        <w:snapToGrid w:val="0"/>
        <w:spacing w:line="380" w:lineRule="exact"/>
        <w:ind w:firstLine="420" w:firstLineChars="200"/>
        <w:rPr>
          <w:rFonts w:hint="eastAsia" w:ascii="宋体" w:hAnsi="宋体"/>
          <w:szCs w:val="21"/>
        </w:rPr>
      </w:pPr>
      <w:r>
        <w:rPr>
          <w:rFonts w:hint="eastAsia" w:ascii="宋体" w:hAnsi="宋体"/>
          <w:szCs w:val="21"/>
        </w:rPr>
        <w:t>2）</w:t>
      </w:r>
      <w:r>
        <w:rPr>
          <w:rFonts w:hint="eastAsia" w:ascii="宋体" w:hAnsi="Courier New"/>
        </w:rPr>
        <w:t>投标人状况</w:t>
      </w:r>
      <w:r>
        <w:rPr>
          <w:rFonts w:hint="eastAsia" w:ascii="宋体" w:hAnsi="宋体"/>
          <w:szCs w:val="21"/>
        </w:rPr>
        <w:t>；（营业执照、税务登记证）</w:t>
      </w:r>
    </w:p>
    <w:p>
      <w:pPr>
        <w:widowControl/>
        <w:tabs>
          <w:tab w:val="left" w:pos="618"/>
        </w:tabs>
        <w:snapToGrid w:val="0"/>
        <w:spacing w:line="380" w:lineRule="exact"/>
        <w:ind w:firstLine="420" w:firstLineChars="200"/>
        <w:rPr>
          <w:rFonts w:hint="eastAsia" w:ascii="宋体" w:hAnsi="宋体"/>
          <w:szCs w:val="21"/>
        </w:rPr>
      </w:pPr>
      <w:r>
        <w:rPr>
          <w:rFonts w:hint="eastAsia" w:ascii="宋体" w:hAnsi="宋体"/>
          <w:szCs w:val="21"/>
        </w:rPr>
        <w:t>3）法定代表人授权书（附件九）；</w:t>
      </w:r>
    </w:p>
    <w:p>
      <w:pPr>
        <w:widowControl/>
        <w:tabs>
          <w:tab w:val="left" w:pos="618"/>
        </w:tabs>
        <w:snapToGrid w:val="0"/>
        <w:spacing w:line="380" w:lineRule="exact"/>
        <w:ind w:firstLine="420" w:firstLineChars="200"/>
        <w:rPr>
          <w:rFonts w:hint="eastAsia" w:ascii="宋体" w:hAnsi="宋体"/>
          <w:szCs w:val="21"/>
        </w:rPr>
      </w:pPr>
      <w:r>
        <w:rPr>
          <w:rFonts w:hint="eastAsia" w:ascii="宋体" w:hAnsi="宋体"/>
          <w:szCs w:val="21"/>
        </w:rPr>
        <w:t>4）知名品牌证明证书（如有）；</w:t>
      </w:r>
    </w:p>
    <w:p>
      <w:pPr>
        <w:widowControl/>
        <w:tabs>
          <w:tab w:val="left" w:pos="618"/>
        </w:tabs>
        <w:snapToGrid w:val="0"/>
        <w:spacing w:line="380" w:lineRule="exact"/>
        <w:ind w:firstLine="420" w:firstLineChars="200"/>
        <w:rPr>
          <w:rFonts w:hint="eastAsia" w:ascii="宋体" w:hAnsi="宋体"/>
          <w:szCs w:val="21"/>
        </w:rPr>
      </w:pPr>
      <w:r>
        <w:rPr>
          <w:rFonts w:hint="eastAsia" w:ascii="宋体" w:hAnsi="宋体"/>
          <w:szCs w:val="21"/>
        </w:rPr>
        <w:t>5）</w:t>
      </w:r>
      <w:r>
        <w:rPr>
          <w:rFonts w:hint="eastAsia" w:ascii="宋体" w:hAnsi="Courier New"/>
        </w:rPr>
        <w:t>相关专利证明证书（如有）</w:t>
      </w:r>
      <w:r>
        <w:rPr>
          <w:rFonts w:hint="eastAsia" w:ascii="宋体" w:hAnsi="宋体"/>
          <w:szCs w:val="21"/>
        </w:rPr>
        <w:t>；</w:t>
      </w:r>
    </w:p>
    <w:p>
      <w:pPr>
        <w:widowControl/>
        <w:tabs>
          <w:tab w:val="left" w:pos="618"/>
        </w:tabs>
        <w:snapToGrid w:val="0"/>
        <w:spacing w:line="380" w:lineRule="exact"/>
        <w:ind w:firstLine="420" w:firstLineChars="200"/>
        <w:rPr>
          <w:rFonts w:hint="eastAsia" w:ascii="宋体" w:hAnsi="宋体"/>
          <w:szCs w:val="21"/>
        </w:rPr>
      </w:pPr>
      <w:r>
        <w:rPr>
          <w:rFonts w:hint="eastAsia" w:ascii="宋体" w:hAnsi="宋体"/>
          <w:szCs w:val="21"/>
        </w:rPr>
        <w:t>6）制造商生产规模、能力；</w:t>
      </w:r>
    </w:p>
    <w:p>
      <w:pPr>
        <w:widowControl/>
        <w:tabs>
          <w:tab w:val="left" w:pos="618"/>
        </w:tabs>
        <w:snapToGrid w:val="0"/>
        <w:spacing w:line="380" w:lineRule="exact"/>
        <w:ind w:firstLine="420" w:firstLineChars="200"/>
        <w:rPr>
          <w:rFonts w:hint="eastAsia" w:ascii="宋体" w:hAnsi="宋体"/>
          <w:szCs w:val="21"/>
        </w:rPr>
      </w:pPr>
      <w:r>
        <w:rPr>
          <w:rFonts w:hint="eastAsia" w:ascii="宋体" w:hAnsi="宋体"/>
          <w:szCs w:val="21"/>
        </w:rPr>
        <w:t>7) 相关信用等级</w:t>
      </w:r>
      <w:r>
        <w:rPr>
          <w:rFonts w:hint="eastAsia" w:ascii="宋体" w:hAnsi="Courier New"/>
        </w:rPr>
        <w:t>（如有）</w:t>
      </w:r>
      <w:r>
        <w:rPr>
          <w:rFonts w:hint="eastAsia" w:ascii="宋体" w:hAnsi="宋体"/>
          <w:szCs w:val="21"/>
        </w:rPr>
        <w:t>；</w:t>
      </w:r>
    </w:p>
    <w:p>
      <w:pPr>
        <w:widowControl/>
        <w:tabs>
          <w:tab w:val="left" w:pos="618"/>
        </w:tabs>
        <w:snapToGrid w:val="0"/>
        <w:spacing w:line="380" w:lineRule="exact"/>
        <w:ind w:firstLine="420" w:firstLineChars="200"/>
        <w:rPr>
          <w:rFonts w:hint="eastAsia" w:ascii="宋体" w:hAnsi="宋体"/>
          <w:szCs w:val="21"/>
        </w:rPr>
      </w:pPr>
      <w:r>
        <w:rPr>
          <w:rFonts w:hint="eastAsia" w:ascii="宋体" w:hAnsi="宋体"/>
          <w:szCs w:val="21"/>
        </w:rPr>
        <w:t>8) 业绩、认证证书、成功案例；</w:t>
      </w:r>
    </w:p>
    <w:p>
      <w:pPr>
        <w:widowControl/>
        <w:tabs>
          <w:tab w:val="left" w:pos="618"/>
        </w:tabs>
        <w:snapToGrid w:val="0"/>
        <w:spacing w:line="380" w:lineRule="exact"/>
        <w:ind w:firstLine="420" w:firstLineChars="200"/>
        <w:rPr>
          <w:rFonts w:hint="eastAsia" w:ascii="宋体" w:hAnsi="宋体"/>
          <w:szCs w:val="21"/>
        </w:rPr>
      </w:pPr>
      <w:r>
        <w:rPr>
          <w:rFonts w:hint="eastAsia" w:ascii="宋体" w:hAnsi="宋体"/>
          <w:szCs w:val="21"/>
        </w:rPr>
        <w:t>9) 售后服务与承诺；</w:t>
      </w:r>
    </w:p>
    <w:p>
      <w:pPr>
        <w:widowControl/>
        <w:tabs>
          <w:tab w:val="left" w:pos="618"/>
        </w:tabs>
        <w:snapToGrid w:val="0"/>
        <w:spacing w:line="380" w:lineRule="exact"/>
        <w:ind w:firstLine="420" w:firstLineChars="200"/>
        <w:rPr>
          <w:rFonts w:hint="eastAsia" w:ascii="宋体" w:hAnsi="宋体"/>
          <w:color w:val="FF0000"/>
          <w:szCs w:val="21"/>
        </w:rPr>
      </w:pPr>
      <w:r>
        <w:rPr>
          <w:rFonts w:hint="eastAsia" w:ascii="宋体" w:hAnsi="宋体"/>
          <w:szCs w:val="21"/>
        </w:rPr>
        <w:t>10）2018年以来其中一个月企业依法缴纳税收和</w:t>
      </w:r>
      <w:r>
        <w:rPr>
          <w:rFonts w:hint="eastAsia" w:ascii="宋体" w:hAnsi="宋体"/>
          <w:szCs w:val="21"/>
        </w:rPr>
        <w:fldChar w:fldCharType="begin"/>
      </w:r>
      <w:r>
        <w:rPr>
          <w:rFonts w:hint="eastAsia" w:ascii="宋体" w:hAnsi="宋体"/>
          <w:szCs w:val="21"/>
        </w:rPr>
        <w:instrText xml:space="preserve"> HYPERLINK "http://baike.sogou.com/lemma/ShowInnerLink.htm?lemmaId=65969667&amp;ss_c=ssc.citiao.link" \t "_blank" </w:instrText>
      </w:r>
      <w:r>
        <w:rPr>
          <w:rFonts w:hint="eastAsia" w:ascii="宋体" w:hAnsi="宋体"/>
          <w:szCs w:val="21"/>
        </w:rPr>
        <w:fldChar w:fldCharType="separate"/>
      </w:r>
      <w:r>
        <w:rPr>
          <w:rFonts w:hint="eastAsia" w:ascii="宋体" w:hAnsi="宋体"/>
          <w:szCs w:val="21"/>
        </w:rPr>
        <w:t>社会保障资金</w:t>
      </w:r>
      <w:r>
        <w:rPr>
          <w:rFonts w:hint="eastAsia" w:ascii="宋体" w:hAnsi="宋体"/>
          <w:szCs w:val="21"/>
        </w:rPr>
        <w:fldChar w:fldCharType="end"/>
      </w:r>
      <w:r>
        <w:rPr>
          <w:rFonts w:hint="eastAsia" w:ascii="宋体" w:hAnsi="宋体"/>
          <w:szCs w:val="21"/>
        </w:rPr>
        <w:t>的相关材料。</w:t>
      </w:r>
    </w:p>
    <w:p>
      <w:pPr>
        <w:widowControl/>
        <w:tabs>
          <w:tab w:val="left" w:pos="618"/>
        </w:tabs>
        <w:snapToGrid w:val="0"/>
        <w:spacing w:line="380" w:lineRule="exact"/>
        <w:ind w:firstLine="420" w:firstLineChars="200"/>
        <w:rPr>
          <w:rFonts w:hint="eastAsia" w:ascii="宋体" w:hAnsi="宋体"/>
          <w:szCs w:val="21"/>
        </w:rPr>
      </w:pPr>
      <w:r>
        <w:rPr>
          <w:rFonts w:hint="eastAsia" w:ascii="宋体" w:hAnsi="宋体"/>
          <w:szCs w:val="21"/>
        </w:rPr>
        <w:t>11）</w:t>
      </w:r>
      <w:r>
        <w:rPr>
          <w:rFonts w:hint="eastAsia" w:ascii="宋体"/>
        </w:rPr>
        <w:t>项目交货、完工时间等；</w:t>
      </w:r>
    </w:p>
    <w:p>
      <w:pPr>
        <w:widowControl/>
        <w:tabs>
          <w:tab w:val="left" w:pos="618"/>
        </w:tabs>
        <w:snapToGrid w:val="0"/>
        <w:spacing w:line="380" w:lineRule="exact"/>
        <w:ind w:firstLine="420" w:firstLineChars="200"/>
        <w:rPr>
          <w:rFonts w:hint="eastAsia" w:ascii="宋体"/>
        </w:rPr>
      </w:pPr>
      <w:r>
        <w:rPr>
          <w:rFonts w:hint="eastAsia" w:ascii="宋体" w:hAnsi="宋体"/>
          <w:szCs w:val="21"/>
        </w:rPr>
        <w:t>12)</w:t>
      </w:r>
      <w:r>
        <w:rPr>
          <w:rFonts w:hint="eastAsia" w:ascii="宋体"/>
        </w:rPr>
        <w:t xml:space="preserve"> 货物的技术参数、性能指标、设计能力、曲线效率、汽蚀余量等相关资料；</w:t>
      </w:r>
    </w:p>
    <w:p>
      <w:pPr>
        <w:widowControl/>
        <w:snapToGrid w:val="0"/>
        <w:spacing w:line="400" w:lineRule="exact"/>
        <w:ind w:right="68" w:firstLine="420" w:firstLineChars="200"/>
        <w:jc w:val="left"/>
        <w:rPr>
          <w:rFonts w:hint="eastAsia" w:ascii="宋体"/>
        </w:rPr>
      </w:pPr>
      <w:r>
        <w:rPr>
          <w:rFonts w:hint="eastAsia" w:ascii="宋体"/>
        </w:rPr>
        <w:t>13）技术规格表（</w:t>
      </w:r>
      <w:r>
        <w:rPr>
          <w:rFonts w:hint="eastAsia" w:ascii="宋体" w:hAnsi="宋体"/>
          <w:szCs w:val="21"/>
        </w:rPr>
        <w:t>附件四</w:t>
      </w:r>
      <w:r>
        <w:rPr>
          <w:rFonts w:hint="eastAsia" w:ascii="宋体"/>
        </w:rPr>
        <w:t>）；提供检察机关出具的行贿犯罪档案查询结果证明（复印件并加盖公章）；</w:t>
      </w:r>
    </w:p>
    <w:p>
      <w:pPr>
        <w:widowControl/>
        <w:tabs>
          <w:tab w:val="left" w:pos="618"/>
        </w:tabs>
        <w:snapToGrid w:val="0"/>
        <w:spacing w:line="380" w:lineRule="exact"/>
        <w:ind w:firstLine="420" w:firstLineChars="200"/>
        <w:rPr>
          <w:rFonts w:hint="eastAsia" w:ascii="宋体" w:hAnsi="宋体"/>
          <w:szCs w:val="21"/>
        </w:rPr>
      </w:pPr>
      <w:r>
        <w:rPr>
          <w:rFonts w:hint="eastAsia" w:ascii="宋体" w:hAnsi="宋体"/>
          <w:szCs w:val="21"/>
        </w:rPr>
        <w:t>14）技术、商务偏离表（附件五）；</w:t>
      </w:r>
    </w:p>
    <w:p>
      <w:pPr>
        <w:widowControl/>
        <w:tabs>
          <w:tab w:val="left" w:pos="618"/>
        </w:tabs>
        <w:snapToGrid w:val="0"/>
        <w:spacing w:line="380" w:lineRule="exact"/>
        <w:ind w:firstLine="420" w:firstLineChars="200"/>
        <w:rPr>
          <w:rFonts w:hint="eastAsia" w:ascii="宋体" w:hAnsi="宋体"/>
          <w:szCs w:val="21"/>
        </w:rPr>
      </w:pPr>
      <w:r>
        <w:rPr>
          <w:rFonts w:hint="eastAsia" w:ascii="宋体" w:hAnsi="宋体"/>
          <w:szCs w:val="21"/>
        </w:rPr>
        <w:t>15）设备详细说明一览表（附件六）；</w:t>
      </w:r>
    </w:p>
    <w:p>
      <w:pPr>
        <w:widowControl/>
        <w:tabs>
          <w:tab w:val="left" w:pos="618"/>
        </w:tabs>
        <w:snapToGrid w:val="0"/>
        <w:spacing w:line="380" w:lineRule="exact"/>
        <w:ind w:firstLine="420" w:firstLineChars="200"/>
        <w:rPr>
          <w:rFonts w:hint="eastAsia" w:ascii="宋体" w:hAnsi="宋体"/>
          <w:szCs w:val="21"/>
        </w:rPr>
      </w:pPr>
      <w:r>
        <w:rPr>
          <w:rFonts w:hint="eastAsia" w:ascii="宋体" w:hAnsi="宋体"/>
          <w:szCs w:val="21"/>
        </w:rPr>
        <w:t>16）随机备品备件、专用工具清单（如有）（附件七）；</w:t>
      </w:r>
    </w:p>
    <w:p>
      <w:pPr>
        <w:widowControl/>
        <w:tabs>
          <w:tab w:val="left" w:pos="618"/>
        </w:tabs>
        <w:snapToGrid w:val="0"/>
        <w:spacing w:line="380" w:lineRule="exact"/>
        <w:ind w:firstLine="420" w:firstLineChars="200"/>
        <w:rPr>
          <w:rFonts w:hint="eastAsia" w:ascii="宋体" w:hAnsi="宋体"/>
          <w:szCs w:val="21"/>
        </w:rPr>
      </w:pPr>
      <w:r>
        <w:rPr>
          <w:rFonts w:hint="eastAsia" w:ascii="宋体" w:hAnsi="宋体"/>
          <w:szCs w:val="21"/>
        </w:rPr>
        <w:t>17）中小企业声明函（如有）(附件十)；</w:t>
      </w:r>
    </w:p>
    <w:p>
      <w:pPr>
        <w:widowControl/>
        <w:tabs>
          <w:tab w:val="left" w:pos="618"/>
        </w:tabs>
        <w:snapToGrid w:val="0"/>
        <w:spacing w:line="380" w:lineRule="exact"/>
        <w:ind w:firstLine="420" w:firstLineChars="200"/>
        <w:rPr>
          <w:rFonts w:hint="eastAsia" w:ascii="宋体" w:hAnsi="宋体"/>
          <w:szCs w:val="21"/>
        </w:rPr>
      </w:pPr>
      <w:r>
        <w:rPr>
          <w:rFonts w:hint="eastAsia" w:ascii="宋体" w:hAnsi="宋体"/>
          <w:szCs w:val="21"/>
        </w:rPr>
        <w:t>18）监狱企业证明文件（如有）（由相关部门出具）、残疾人福利性单位声明函（如是）；</w:t>
      </w:r>
    </w:p>
    <w:p>
      <w:pPr>
        <w:widowControl/>
        <w:tabs>
          <w:tab w:val="left" w:pos="618"/>
        </w:tabs>
        <w:snapToGrid w:val="0"/>
        <w:spacing w:line="380" w:lineRule="exact"/>
        <w:ind w:firstLine="420" w:firstLineChars="200"/>
        <w:rPr>
          <w:rFonts w:hint="eastAsia" w:ascii="宋体" w:hAnsi="宋体"/>
          <w:szCs w:val="21"/>
        </w:rPr>
      </w:pPr>
      <w:r>
        <w:rPr>
          <w:rFonts w:hint="eastAsia" w:ascii="宋体" w:hAnsi="宋体"/>
          <w:szCs w:val="21"/>
        </w:rPr>
        <w:t>19）资格审查须提供的资料（复印件加盖公章）；</w:t>
      </w:r>
    </w:p>
    <w:p>
      <w:pPr>
        <w:widowControl/>
        <w:tabs>
          <w:tab w:val="left" w:pos="618"/>
        </w:tabs>
        <w:snapToGrid w:val="0"/>
        <w:spacing w:line="380" w:lineRule="exact"/>
        <w:ind w:firstLine="420" w:firstLineChars="200"/>
        <w:rPr>
          <w:rFonts w:hint="eastAsia" w:ascii="宋体" w:hAnsi="宋体"/>
          <w:szCs w:val="21"/>
        </w:rPr>
      </w:pPr>
      <w:r>
        <w:rPr>
          <w:rFonts w:hint="eastAsia" w:ascii="宋体" w:hAnsi="宋体"/>
          <w:szCs w:val="21"/>
        </w:rPr>
        <w:t>20）投标人认为需要提供的文件和资料。</w:t>
      </w:r>
    </w:p>
    <w:p>
      <w:pPr>
        <w:widowControl/>
        <w:tabs>
          <w:tab w:val="left" w:pos="824"/>
        </w:tabs>
        <w:spacing w:line="380" w:lineRule="exact"/>
        <w:ind w:firstLine="420" w:firstLineChars="200"/>
        <w:jc w:val="left"/>
        <w:rPr>
          <w:rFonts w:hint="eastAsia" w:ascii="宋体" w:hAnsi="宋体"/>
          <w:szCs w:val="21"/>
        </w:rPr>
      </w:pPr>
      <w:r>
        <w:rPr>
          <w:rFonts w:hint="eastAsia" w:ascii="宋体" w:hAnsi="宋体"/>
          <w:szCs w:val="21"/>
        </w:rPr>
        <w:t>21）技术资信评分项索引表 (根据评分项自行编制相对页码)</w:t>
      </w:r>
    </w:p>
    <w:p>
      <w:pPr>
        <w:widowControl/>
        <w:numPr>
          <w:ilvl w:val="0"/>
          <w:numId w:val="3"/>
        </w:numPr>
        <w:tabs>
          <w:tab w:val="left" w:pos="721"/>
        </w:tabs>
        <w:snapToGrid w:val="0"/>
        <w:spacing w:line="380" w:lineRule="exact"/>
        <w:ind w:left="721" w:hanging="721"/>
        <w:rPr>
          <w:rFonts w:hint="eastAsia" w:ascii="新宋体" w:hAnsi="新宋体" w:eastAsia="新宋体"/>
          <w:b/>
          <w:sz w:val="22"/>
          <w:szCs w:val="22"/>
        </w:rPr>
      </w:pPr>
      <w:r>
        <w:rPr>
          <w:rFonts w:hint="eastAsia" w:ascii="新宋体" w:hAnsi="新宋体" w:eastAsia="新宋体"/>
          <w:b/>
          <w:sz w:val="22"/>
          <w:szCs w:val="22"/>
        </w:rPr>
        <w:t>投标文件格式填写说明</w:t>
      </w:r>
    </w:p>
    <w:p>
      <w:pPr>
        <w:widowControl/>
        <w:numPr>
          <w:ilvl w:val="1"/>
          <w:numId w:val="3"/>
        </w:numPr>
        <w:tabs>
          <w:tab w:val="left" w:pos="0"/>
          <w:tab w:val="left" w:pos="540"/>
          <w:tab w:val="clear" w:pos="567"/>
        </w:tabs>
        <w:snapToGrid w:val="0"/>
        <w:spacing w:line="380" w:lineRule="exact"/>
        <w:ind w:left="0" w:firstLine="0"/>
        <w:rPr>
          <w:rFonts w:hint="eastAsia" w:ascii="宋体" w:hAnsi="宋体"/>
          <w:szCs w:val="21"/>
        </w:rPr>
      </w:pPr>
      <w:r>
        <w:rPr>
          <w:rFonts w:ascii="宋体" w:hAnsi="宋体"/>
          <w:szCs w:val="21"/>
        </w:rPr>
        <w:t>投标人应认真阅读招标文件的所有内容，</w:t>
      </w:r>
      <w:r>
        <w:rPr>
          <w:rFonts w:hint="eastAsia" w:ascii="宋体" w:hAnsi="宋体"/>
          <w:szCs w:val="21"/>
        </w:rPr>
        <w:t>并</w:t>
      </w:r>
      <w:r>
        <w:rPr>
          <w:rFonts w:ascii="宋体" w:hAnsi="宋体"/>
          <w:szCs w:val="21"/>
        </w:rPr>
        <w:t>严格按照</w:t>
      </w:r>
      <w:r>
        <w:rPr>
          <w:rFonts w:hint="eastAsia" w:ascii="宋体" w:hAnsi="宋体"/>
          <w:szCs w:val="21"/>
        </w:rPr>
        <w:t>招标文件</w:t>
      </w:r>
      <w:r>
        <w:rPr>
          <w:rFonts w:ascii="宋体" w:hAnsi="宋体"/>
          <w:szCs w:val="21"/>
        </w:rPr>
        <w:t>规定的统一格式</w:t>
      </w:r>
      <w:r>
        <w:rPr>
          <w:rFonts w:hint="eastAsia" w:ascii="宋体" w:hAnsi="宋体"/>
          <w:szCs w:val="21"/>
        </w:rPr>
        <w:t>、</w:t>
      </w:r>
      <w:r>
        <w:rPr>
          <w:rFonts w:ascii="宋体" w:hAnsi="宋体"/>
          <w:szCs w:val="21"/>
        </w:rPr>
        <w:t>顺序</w:t>
      </w:r>
      <w:r>
        <w:rPr>
          <w:rFonts w:hint="eastAsia" w:ascii="宋体" w:hAnsi="宋体"/>
          <w:szCs w:val="21"/>
        </w:rPr>
        <w:t>（按第11条顺序）及</w:t>
      </w:r>
      <w:r>
        <w:rPr>
          <w:rFonts w:ascii="宋体" w:hAnsi="宋体"/>
          <w:szCs w:val="21"/>
        </w:rPr>
        <w:t>要求编制</w:t>
      </w:r>
      <w:r>
        <w:rPr>
          <w:rFonts w:hint="eastAsia" w:ascii="宋体" w:hAnsi="宋体"/>
          <w:szCs w:val="21"/>
        </w:rPr>
        <w:t>、</w:t>
      </w:r>
      <w:r>
        <w:rPr>
          <w:rFonts w:ascii="宋体" w:hAnsi="宋体"/>
          <w:szCs w:val="21"/>
        </w:rPr>
        <w:t>填写完整的投标文件</w:t>
      </w:r>
      <w:r>
        <w:rPr>
          <w:rFonts w:hint="eastAsia" w:ascii="宋体" w:hAnsi="宋体"/>
          <w:szCs w:val="21"/>
        </w:rPr>
        <w:t>，</w:t>
      </w:r>
      <w:r>
        <w:rPr>
          <w:rFonts w:ascii="宋体" w:hAnsi="宋体"/>
          <w:szCs w:val="21"/>
        </w:rPr>
        <w:t>编制目录并装订成册。</w:t>
      </w:r>
      <w:r>
        <w:rPr>
          <w:rFonts w:hint="eastAsia" w:ascii="宋体" w:hAnsi="宋体"/>
          <w:szCs w:val="21"/>
        </w:rPr>
        <w:t>投标人不按上述要求制作和</w:t>
      </w:r>
      <w:r>
        <w:rPr>
          <w:rFonts w:ascii="宋体" w:hAnsi="宋体"/>
          <w:szCs w:val="21"/>
        </w:rPr>
        <w:t>编排</w:t>
      </w:r>
      <w:r>
        <w:rPr>
          <w:rFonts w:hint="eastAsia" w:ascii="宋体" w:hAnsi="宋体"/>
          <w:szCs w:val="21"/>
        </w:rPr>
        <w:t>而</w:t>
      </w:r>
      <w:r>
        <w:rPr>
          <w:rFonts w:ascii="宋体" w:hAnsi="宋体"/>
          <w:szCs w:val="21"/>
        </w:rPr>
        <w:t>导致</w:t>
      </w:r>
      <w:r>
        <w:rPr>
          <w:rFonts w:hint="eastAsia" w:ascii="宋体" w:hAnsi="宋体"/>
          <w:szCs w:val="21"/>
        </w:rPr>
        <w:t>投标</w:t>
      </w:r>
      <w:r>
        <w:rPr>
          <w:rFonts w:ascii="宋体" w:hAnsi="宋体"/>
          <w:szCs w:val="21"/>
        </w:rPr>
        <w:t>文件被误读或查找不到有效文件是</w:t>
      </w:r>
      <w:r>
        <w:rPr>
          <w:rFonts w:hint="eastAsia" w:ascii="宋体" w:hAnsi="宋体"/>
          <w:szCs w:val="21"/>
        </w:rPr>
        <w:t>投标</w:t>
      </w:r>
      <w:r>
        <w:rPr>
          <w:rFonts w:ascii="宋体" w:hAnsi="宋体"/>
          <w:szCs w:val="21"/>
        </w:rPr>
        <w:t>人的风险</w:t>
      </w:r>
      <w:r>
        <w:rPr>
          <w:rFonts w:hint="eastAsia" w:ascii="宋体" w:hAnsi="宋体"/>
          <w:szCs w:val="21"/>
        </w:rPr>
        <w:t>。</w:t>
      </w:r>
    </w:p>
    <w:p>
      <w:pPr>
        <w:widowControl/>
        <w:numPr>
          <w:ilvl w:val="1"/>
          <w:numId w:val="3"/>
        </w:numPr>
        <w:tabs>
          <w:tab w:val="left" w:pos="0"/>
        </w:tabs>
        <w:snapToGrid w:val="0"/>
        <w:spacing w:line="380" w:lineRule="exact"/>
        <w:ind w:left="0" w:firstLine="0"/>
        <w:rPr>
          <w:rFonts w:hint="eastAsia" w:ascii="宋体" w:hAnsi="宋体"/>
          <w:b/>
          <w:szCs w:val="21"/>
        </w:rPr>
      </w:pPr>
      <w:r>
        <w:rPr>
          <w:rFonts w:hint="eastAsia" w:ascii="宋体" w:hAnsi="宋体"/>
          <w:szCs w:val="21"/>
        </w:rPr>
        <w:t>投标人对</w:t>
      </w:r>
      <w:r>
        <w:rPr>
          <w:rFonts w:ascii="宋体" w:hAnsi="宋体"/>
          <w:szCs w:val="21"/>
        </w:rPr>
        <w:t>招标文件</w:t>
      </w:r>
      <w:r>
        <w:rPr>
          <w:rFonts w:hint="eastAsia" w:ascii="宋体" w:hAnsi="宋体"/>
          <w:szCs w:val="21"/>
        </w:rPr>
        <w:t>中</w:t>
      </w:r>
      <w:r>
        <w:rPr>
          <w:rFonts w:ascii="宋体" w:hAnsi="宋体"/>
          <w:szCs w:val="21"/>
        </w:rPr>
        <w:t>有</w:t>
      </w:r>
      <w:r>
        <w:rPr>
          <w:rFonts w:hint="eastAsia" w:ascii="宋体" w:hAnsi="宋体"/>
          <w:szCs w:val="21"/>
        </w:rPr>
        <w:t>特定</w:t>
      </w:r>
      <w:r>
        <w:rPr>
          <w:rFonts w:ascii="宋体" w:hAnsi="宋体"/>
          <w:szCs w:val="21"/>
        </w:rPr>
        <w:t>格式要求的内容应按</w:t>
      </w:r>
      <w:r>
        <w:rPr>
          <w:rFonts w:hint="eastAsia" w:ascii="宋体" w:hAnsi="宋体"/>
          <w:szCs w:val="21"/>
        </w:rPr>
        <w:t>规定</w:t>
      </w:r>
      <w:r>
        <w:rPr>
          <w:rFonts w:ascii="宋体" w:hAnsi="宋体"/>
          <w:szCs w:val="21"/>
        </w:rPr>
        <w:t>格式逐项填写，</w:t>
      </w:r>
      <w:r>
        <w:rPr>
          <w:rFonts w:hint="eastAsia" w:ascii="宋体" w:hAnsi="宋体"/>
          <w:szCs w:val="21"/>
        </w:rPr>
        <w:t>若</w:t>
      </w:r>
      <w:r>
        <w:rPr>
          <w:rFonts w:ascii="宋体" w:hAnsi="宋体"/>
          <w:szCs w:val="21"/>
        </w:rPr>
        <w:t>无相应内容</w:t>
      </w:r>
      <w:r>
        <w:rPr>
          <w:rFonts w:hint="eastAsia" w:ascii="宋体" w:hAnsi="宋体"/>
          <w:szCs w:val="21"/>
        </w:rPr>
        <w:t>可</w:t>
      </w:r>
      <w:r>
        <w:rPr>
          <w:rFonts w:ascii="宋体" w:hAnsi="宋体"/>
          <w:szCs w:val="21"/>
        </w:rPr>
        <w:t>填写“无”、“未测试”、“没有相应指标”等明确的回答文字</w:t>
      </w:r>
      <w:r>
        <w:rPr>
          <w:rFonts w:hint="eastAsia" w:ascii="宋体" w:hAnsi="宋体"/>
          <w:szCs w:val="21"/>
        </w:rPr>
        <w:t>，</w:t>
      </w:r>
      <w:r>
        <w:rPr>
          <w:rFonts w:ascii="宋体" w:hAnsi="宋体"/>
          <w:szCs w:val="21"/>
        </w:rPr>
        <w:t>不准有空项。</w:t>
      </w:r>
      <w:r>
        <w:rPr>
          <w:rFonts w:ascii="宋体" w:hAnsi="宋体"/>
          <w:b/>
          <w:szCs w:val="21"/>
        </w:rPr>
        <w:t>留有空项的投标</w:t>
      </w:r>
      <w:r>
        <w:rPr>
          <w:rFonts w:hint="eastAsia" w:ascii="宋体" w:hAnsi="宋体"/>
          <w:b/>
          <w:szCs w:val="21"/>
        </w:rPr>
        <w:t>文件</w:t>
      </w:r>
      <w:r>
        <w:rPr>
          <w:rFonts w:ascii="宋体" w:hAnsi="宋体"/>
          <w:b/>
          <w:szCs w:val="21"/>
        </w:rPr>
        <w:t>，将有可能被视为</w:t>
      </w:r>
      <w:r>
        <w:rPr>
          <w:rFonts w:hint="eastAsia" w:ascii="宋体" w:hAnsi="宋体"/>
          <w:b/>
          <w:szCs w:val="21"/>
        </w:rPr>
        <w:t>非</w:t>
      </w:r>
      <w:r>
        <w:rPr>
          <w:rFonts w:ascii="宋体" w:hAnsi="宋体"/>
          <w:b/>
          <w:szCs w:val="21"/>
        </w:rPr>
        <w:t>响应</w:t>
      </w:r>
      <w:r>
        <w:rPr>
          <w:rFonts w:hint="eastAsia" w:ascii="宋体" w:hAnsi="宋体"/>
          <w:b/>
          <w:szCs w:val="21"/>
        </w:rPr>
        <w:t>性</w:t>
      </w:r>
      <w:r>
        <w:rPr>
          <w:rFonts w:ascii="宋体" w:hAnsi="宋体"/>
          <w:b/>
          <w:szCs w:val="21"/>
        </w:rPr>
        <w:t>投标</w:t>
      </w:r>
      <w:r>
        <w:rPr>
          <w:rFonts w:hint="eastAsia" w:ascii="宋体" w:hAnsi="宋体"/>
          <w:b/>
          <w:szCs w:val="21"/>
        </w:rPr>
        <w:t>而</w:t>
      </w:r>
      <w:r>
        <w:rPr>
          <w:rFonts w:ascii="宋体" w:hAnsi="宋体"/>
          <w:b/>
          <w:szCs w:val="21"/>
        </w:rPr>
        <w:t>被拒绝</w:t>
      </w:r>
      <w:r>
        <w:rPr>
          <w:rFonts w:hint="eastAsia" w:ascii="宋体" w:hAnsi="宋体"/>
          <w:b/>
          <w:szCs w:val="21"/>
        </w:rPr>
        <w:t>。具体格式见招标文件第五部分附件。</w:t>
      </w:r>
    </w:p>
    <w:p>
      <w:pPr>
        <w:widowControl/>
        <w:numPr>
          <w:ilvl w:val="1"/>
          <w:numId w:val="3"/>
        </w:numPr>
        <w:tabs>
          <w:tab w:val="left" w:pos="0"/>
        </w:tabs>
        <w:snapToGrid w:val="0"/>
        <w:spacing w:line="380" w:lineRule="exact"/>
        <w:ind w:left="0" w:firstLine="0"/>
        <w:rPr>
          <w:rFonts w:hint="eastAsia" w:ascii="宋体" w:hAnsi="宋体"/>
          <w:szCs w:val="21"/>
        </w:rPr>
      </w:pPr>
      <w:r>
        <w:rPr>
          <w:rFonts w:ascii="宋体" w:hAnsi="宋体"/>
          <w:szCs w:val="21"/>
        </w:rPr>
        <w:t>投标人必须保证投标文件所提供的全部资料真实可靠，并接受</w:t>
      </w:r>
      <w:r>
        <w:rPr>
          <w:rFonts w:hint="eastAsia" w:ascii="宋体" w:hAnsi="宋体"/>
          <w:szCs w:val="21"/>
        </w:rPr>
        <w:t>采购机构</w:t>
      </w:r>
      <w:r>
        <w:rPr>
          <w:rFonts w:ascii="宋体" w:hAnsi="宋体"/>
          <w:szCs w:val="21"/>
        </w:rPr>
        <w:t>对其中任何资料进一步审查的要求。</w:t>
      </w:r>
      <w:r>
        <w:rPr>
          <w:rFonts w:hint="eastAsia" w:ascii="宋体" w:hAnsi="宋体"/>
          <w:szCs w:val="21"/>
        </w:rPr>
        <w:t>提供虚假证明的投标人将被取消政府采购投标人资格，并在政府采购宣传媒体上予以公告。</w:t>
      </w:r>
    </w:p>
    <w:p>
      <w:pPr>
        <w:widowControl/>
        <w:numPr>
          <w:ilvl w:val="1"/>
          <w:numId w:val="3"/>
        </w:numPr>
        <w:snapToGrid w:val="0"/>
        <w:spacing w:line="380" w:lineRule="exact"/>
        <w:ind w:left="0" w:firstLine="0"/>
        <w:rPr>
          <w:rFonts w:hint="eastAsia" w:ascii="宋体" w:hAnsi="宋体"/>
          <w:szCs w:val="21"/>
          <w:u w:val="single"/>
        </w:rPr>
      </w:pPr>
      <w:r>
        <w:rPr>
          <w:rFonts w:ascii="宋体" w:hAnsi="宋体"/>
          <w:szCs w:val="21"/>
          <w:u w:val="single"/>
        </w:rPr>
        <w:t>《</w:t>
      </w:r>
      <w:r>
        <w:rPr>
          <w:rFonts w:hint="eastAsia" w:ascii="宋体" w:hAnsi="宋体"/>
          <w:szCs w:val="21"/>
          <w:u w:val="single"/>
        </w:rPr>
        <w:t>投</w:t>
      </w:r>
      <w:r>
        <w:rPr>
          <w:rFonts w:ascii="宋体" w:hAnsi="宋体"/>
          <w:szCs w:val="21"/>
          <w:u w:val="single"/>
        </w:rPr>
        <w:t>标一览表》为在开标仪式上唱标的内容，要求按统一格式填写，不得自行增减内容。</w:t>
      </w:r>
    </w:p>
    <w:p>
      <w:pPr>
        <w:widowControl/>
        <w:numPr>
          <w:ilvl w:val="1"/>
          <w:numId w:val="3"/>
        </w:numPr>
        <w:snapToGrid w:val="0"/>
        <w:spacing w:line="380" w:lineRule="exact"/>
        <w:ind w:left="0" w:firstLine="0"/>
        <w:rPr>
          <w:rFonts w:hint="eastAsia" w:ascii="宋体" w:hAnsi="宋体"/>
          <w:b/>
          <w:szCs w:val="21"/>
        </w:rPr>
      </w:pPr>
      <w:r>
        <w:rPr>
          <w:rFonts w:ascii="宋体" w:hAnsi="宋体"/>
          <w:b/>
          <w:szCs w:val="21"/>
        </w:rPr>
        <w:t>投标文件须对招标文件中的内容做出实质性和完整的响应，否则其投标将被拒绝。如果投标书填报的内容资料不详，或没有提供招标文件中所要求的全部资料及数据，</w:t>
      </w:r>
      <w:r>
        <w:rPr>
          <w:rFonts w:hint="eastAsia" w:ascii="宋体" w:hAnsi="宋体"/>
          <w:b/>
          <w:szCs w:val="21"/>
        </w:rPr>
        <w:t>将可能会导致投标被拒绝。</w:t>
      </w:r>
    </w:p>
    <w:p>
      <w:pPr>
        <w:widowControl/>
        <w:numPr>
          <w:ilvl w:val="0"/>
          <w:numId w:val="3"/>
        </w:numPr>
        <w:tabs>
          <w:tab w:val="left" w:pos="721"/>
          <w:tab w:val="left" w:pos="1145"/>
        </w:tabs>
        <w:snapToGrid w:val="0"/>
        <w:spacing w:line="380" w:lineRule="exact"/>
        <w:ind w:left="721" w:hanging="721"/>
        <w:rPr>
          <w:rFonts w:hint="eastAsia" w:ascii="新宋体" w:hAnsi="新宋体" w:eastAsia="新宋体"/>
          <w:b/>
          <w:sz w:val="22"/>
          <w:szCs w:val="22"/>
        </w:rPr>
      </w:pPr>
      <w:r>
        <w:rPr>
          <w:rFonts w:hint="eastAsia" w:ascii="新宋体" w:hAnsi="新宋体" w:eastAsia="新宋体"/>
          <w:b/>
          <w:sz w:val="22"/>
          <w:szCs w:val="22"/>
        </w:rPr>
        <w:t>优惠条件</w:t>
      </w:r>
    </w:p>
    <w:p>
      <w:pPr>
        <w:tabs>
          <w:tab w:val="left" w:pos="0"/>
        </w:tabs>
        <w:snapToGrid w:val="0"/>
        <w:spacing w:line="380" w:lineRule="exact"/>
        <w:ind w:firstLine="420" w:firstLineChars="200"/>
        <w:rPr>
          <w:rFonts w:hint="eastAsia" w:ascii="宋体" w:hAnsi="宋体"/>
          <w:szCs w:val="21"/>
        </w:rPr>
      </w:pPr>
      <w:r>
        <w:rPr>
          <w:rFonts w:hint="eastAsia" w:ascii="宋体" w:hAnsi="宋体"/>
          <w:szCs w:val="21"/>
        </w:rPr>
        <w:t>投标人承诺给予采购人提供的各种优惠条件，包括货物、运输、保险、安装调试、各种费率、付款条件、技术服务、售后服务、质量保证等。</w:t>
      </w:r>
      <w:r>
        <w:rPr>
          <w:rFonts w:hint="eastAsia" w:ascii="宋体" w:hAnsi="宋体"/>
          <w:b/>
          <w:szCs w:val="21"/>
          <w:u w:val="single"/>
        </w:rPr>
        <w:t>上述优惠条件投标人应在技术标中注明（是否接受由采购人决定）。</w:t>
      </w:r>
    </w:p>
    <w:p>
      <w:pPr>
        <w:widowControl/>
        <w:numPr>
          <w:ilvl w:val="0"/>
          <w:numId w:val="3"/>
        </w:numPr>
        <w:tabs>
          <w:tab w:val="left" w:pos="721"/>
          <w:tab w:val="left" w:pos="1145"/>
        </w:tabs>
        <w:snapToGrid w:val="0"/>
        <w:spacing w:line="380" w:lineRule="exact"/>
        <w:ind w:left="721" w:hanging="721"/>
        <w:rPr>
          <w:rFonts w:hint="eastAsia" w:ascii="新宋体" w:hAnsi="新宋体" w:eastAsia="新宋体"/>
          <w:sz w:val="22"/>
          <w:szCs w:val="22"/>
        </w:rPr>
      </w:pPr>
      <w:r>
        <w:rPr>
          <w:rFonts w:hint="eastAsia" w:ascii="新宋体" w:hAnsi="新宋体" w:eastAsia="新宋体"/>
          <w:b/>
          <w:sz w:val="22"/>
          <w:szCs w:val="22"/>
        </w:rPr>
        <w:t>投标报价</w:t>
      </w:r>
    </w:p>
    <w:p>
      <w:pPr>
        <w:widowControl/>
        <w:numPr>
          <w:ilvl w:val="1"/>
          <w:numId w:val="3"/>
        </w:numPr>
        <w:tabs>
          <w:tab w:val="left" w:pos="0"/>
          <w:tab w:val="left" w:pos="1470"/>
        </w:tabs>
        <w:snapToGrid w:val="0"/>
        <w:spacing w:line="380" w:lineRule="exact"/>
        <w:ind w:left="0" w:firstLine="0"/>
        <w:rPr>
          <w:rFonts w:hint="eastAsia" w:ascii="宋体" w:hAnsi="宋体"/>
          <w:szCs w:val="21"/>
        </w:rPr>
      </w:pPr>
      <w:r>
        <w:rPr>
          <w:rFonts w:hint="eastAsia" w:ascii="宋体" w:hAnsi="宋体"/>
          <w:bCs/>
          <w:szCs w:val="21"/>
        </w:rPr>
        <w:t>投标人必须按第五部分附件中的开标一览表、投标报价明细表（均统一格式）内容填写</w:t>
      </w:r>
      <w:r>
        <w:rPr>
          <w:rFonts w:hint="eastAsia" w:ascii="宋体" w:hAnsi="宋体"/>
          <w:szCs w:val="21"/>
        </w:rPr>
        <w:t>货物的单价、合价和总价，</w:t>
      </w:r>
      <w:r>
        <w:rPr>
          <w:rFonts w:hint="eastAsia" w:ascii="宋体" w:hAnsi="宋体"/>
          <w:bCs/>
          <w:szCs w:val="21"/>
        </w:rPr>
        <w:t>并由法定代表人或授权代表签字或盖章。</w:t>
      </w:r>
    </w:p>
    <w:p>
      <w:pPr>
        <w:widowControl/>
        <w:numPr>
          <w:ilvl w:val="1"/>
          <w:numId w:val="3"/>
        </w:numPr>
        <w:tabs>
          <w:tab w:val="left" w:pos="1470"/>
        </w:tabs>
        <w:snapToGrid w:val="0"/>
        <w:spacing w:line="380" w:lineRule="exact"/>
        <w:ind w:left="0" w:firstLine="0"/>
        <w:rPr>
          <w:rFonts w:hint="eastAsia" w:ascii="宋体" w:hAnsi="宋体"/>
          <w:b/>
          <w:szCs w:val="21"/>
        </w:rPr>
      </w:pPr>
      <w:r>
        <w:rPr>
          <w:rFonts w:hint="eastAsia" w:ascii="宋体" w:hAnsi="宋体"/>
          <w:szCs w:val="21"/>
        </w:rPr>
        <w:t>▲投标报价应包括：货物及其附件的采购、制造、运输、安装、保险、税费（含进口关税、增值税等）以及验收、技术服务（包括技术资料和技术培训）、质保期保障等相关服务的全部费用，</w:t>
      </w:r>
      <w:r>
        <w:rPr>
          <w:rFonts w:hint="eastAsia" w:ascii="宋体" w:hAnsi="宋体"/>
          <w:bCs/>
          <w:szCs w:val="21"/>
        </w:rPr>
        <w:t>并</w:t>
      </w:r>
      <w:r>
        <w:rPr>
          <w:rFonts w:ascii="宋体" w:hAnsi="宋体"/>
          <w:szCs w:val="21"/>
        </w:rPr>
        <w:t>已扣除所有</w:t>
      </w:r>
      <w:r>
        <w:rPr>
          <w:rFonts w:hint="eastAsia" w:ascii="宋体" w:hAnsi="宋体"/>
          <w:szCs w:val="21"/>
        </w:rPr>
        <w:t>商业</w:t>
      </w:r>
      <w:r>
        <w:rPr>
          <w:rFonts w:ascii="宋体" w:hAnsi="宋体"/>
          <w:szCs w:val="21"/>
        </w:rPr>
        <w:t>折扣以及现金折扣</w:t>
      </w:r>
      <w:r>
        <w:rPr>
          <w:rFonts w:hint="eastAsia" w:ascii="宋体" w:hAnsi="宋体"/>
          <w:szCs w:val="21"/>
        </w:rPr>
        <w:t>。</w:t>
      </w:r>
      <w:r>
        <w:rPr>
          <w:rFonts w:ascii="宋体" w:hAnsi="宋体"/>
          <w:b/>
          <w:szCs w:val="21"/>
          <w:u w:val="single"/>
        </w:rPr>
        <w:t>投标价格</w:t>
      </w:r>
      <w:r>
        <w:rPr>
          <w:rFonts w:hint="eastAsia" w:ascii="宋体" w:hAnsi="宋体"/>
          <w:b/>
          <w:bCs/>
          <w:szCs w:val="21"/>
          <w:u w:val="single"/>
        </w:rPr>
        <w:t>须以人民币报价，以其它货币报价的投标将不予接受。</w:t>
      </w:r>
    </w:p>
    <w:p>
      <w:pPr>
        <w:widowControl/>
        <w:numPr>
          <w:ilvl w:val="1"/>
          <w:numId w:val="3"/>
        </w:numPr>
        <w:tabs>
          <w:tab w:val="left" w:pos="0"/>
          <w:tab w:val="left" w:pos="1470"/>
        </w:tabs>
        <w:snapToGrid w:val="0"/>
        <w:spacing w:line="380" w:lineRule="exact"/>
        <w:ind w:left="0" w:firstLine="0"/>
        <w:rPr>
          <w:rFonts w:hint="eastAsia" w:ascii="宋体" w:hAnsi="宋体"/>
          <w:szCs w:val="21"/>
        </w:rPr>
      </w:pPr>
      <w:r>
        <w:rPr>
          <w:rFonts w:hint="eastAsia" w:ascii="宋体" w:hAnsi="宋体"/>
          <w:szCs w:val="21"/>
        </w:rPr>
        <w:t>采购机构不接受任何选择报价，对每一种货物只允许一个报价。投标人应在各自技术和商务占优势的基础上并充分考虑本次采购的重要性，提供对采购人及买方最优惠的投标报价。</w:t>
      </w:r>
    </w:p>
    <w:p>
      <w:pPr>
        <w:widowControl/>
        <w:numPr>
          <w:ilvl w:val="1"/>
          <w:numId w:val="3"/>
        </w:numPr>
        <w:tabs>
          <w:tab w:val="left" w:pos="-180"/>
          <w:tab w:val="left" w:pos="540"/>
          <w:tab w:val="clear" w:pos="567"/>
        </w:tabs>
        <w:snapToGrid w:val="0"/>
        <w:spacing w:line="380" w:lineRule="exact"/>
        <w:ind w:left="0" w:firstLine="0"/>
        <w:rPr>
          <w:rFonts w:hint="eastAsia" w:ascii="新宋体" w:hAnsi="新宋体" w:eastAsia="新宋体"/>
          <w:b/>
          <w:bCs/>
          <w:sz w:val="22"/>
          <w:szCs w:val="22"/>
        </w:rPr>
      </w:pPr>
      <w:r>
        <w:rPr>
          <w:rFonts w:ascii="宋体" w:hAnsi="宋体"/>
          <w:b/>
          <w:szCs w:val="21"/>
        </w:rPr>
        <w:t>最低报价不能作为中标的</w:t>
      </w:r>
      <w:r>
        <w:rPr>
          <w:rFonts w:hint="eastAsia" w:ascii="宋体" w:hAnsi="宋体"/>
          <w:b/>
          <w:szCs w:val="21"/>
        </w:rPr>
        <w:t>唯一</w:t>
      </w:r>
      <w:r>
        <w:rPr>
          <w:rFonts w:ascii="宋体" w:hAnsi="宋体"/>
          <w:b/>
          <w:szCs w:val="21"/>
        </w:rPr>
        <w:t>保证</w:t>
      </w:r>
      <w:r>
        <w:rPr>
          <w:rFonts w:hint="eastAsia" w:ascii="宋体" w:hAnsi="宋体"/>
          <w:szCs w:val="21"/>
        </w:rPr>
        <w:t>。</w:t>
      </w:r>
      <w:r>
        <w:rPr>
          <w:rFonts w:ascii="宋体" w:hAnsi="宋体"/>
          <w:b/>
          <w:szCs w:val="21"/>
        </w:rPr>
        <w:t>在同一地方，中标供货商应保证投标报价低于</w:t>
      </w:r>
      <w:r>
        <w:rPr>
          <w:rFonts w:hint="eastAsia" w:ascii="宋体" w:hAnsi="宋体"/>
          <w:b/>
          <w:szCs w:val="21"/>
        </w:rPr>
        <w:t>当时</w:t>
      </w:r>
      <w:r>
        <w:rPr>
          <w:rFonts w:ascii="宋体" w:hAnsi="宋体"/>
          <w:b/>
          <w:szCs w:val="21"/>
        </w:rPr>
        <w:t>其他任何非政府采购价或市场平均的价格，否则可能导致废标</w:t>
      </w:r>
      <w:r>
        <w:rPr>
          <w:rFonts w:hint="eastAsia" w:ascii="宋体" w:hAnsi="宋体"/>
          <w:b/>
          <w:szCs w:val="21"/>
        </w:rPr>
        <w:t>。</w:t>
      </w:r>
    </w:p>
    <w:p>
      <w:pPr>
        <w:widowControl/>
        <w:numPr>
          <w:ilvl w:val="1"/>
          <w:numId w:val="3"/>
        </w:numPr>
        <w:tabs>
          <w:tab w:val="left" w:pos="1470"/>
        </w:tabs>
        <w:snapToGrid w:val="0"/>
        <w:spacing w:line="380" w:lineRule="exact"/>
        <w:ind w:left="0" w:firstLine="0"/>
        <w:rPr>
          <w:rFonts w:hint="eastAsia" w:ascii="宋体" w:hAnsi="宋体"/>
          <w:szCs w:val="21"/>
        </w:rPr>
      </w:pPr>
      <w:r>
        <w:rPr>
          <w:rFonts w:ascii="宋体" w:hAnsi="宋体"/>
          <w:szCs w:val="21"/>
        </w:rPr>
        <w:t>投标人若有方案和报价未被唱标</w:t>
      </w:r>
      <w:r>
        <w:rPr>
          <w:rFonts w:hint="eastAsia" w:ascii="宋体" w:hAnsi="宋体"/>
          <w:szCs w:val="21"/>
        </w:rPr>
        <w:t>，</w:t>
      </w:r>
      <w:r>
        <w:rPr>
          <w:rFonts w:ascii="宋体" w:hAnsi="宋体"/>
          <w:szCs w:val="21"/>
        </w:rPr>
        <w:t>应在开标</w:t>
      </w:r>
      <w:r>
        <w:rPr>
          <w:rFonts w:hint="eastAsia" w:ascii="宋体" w:hAnsi="宋体"/>
          <w:szCs w:val="21"/>
        </w:rPr>
        <w:t>大会上</w:t>
      </w:r>
      <w:r>
        <w:rPr>
          <w:rFonts w:ascii="宋体" w:hAnsi="宋体"/>
          <w:szCs w:val="21"/>
        </w:rPr>
        <w:t>及时声明</w:t>
      </w:r>
      <w:r>
        <w:rPr>
          <w:rFonts w:hint="eastAsia" w:ascii="宋体" w:hAnsi="宋体"/>
          <w:szCs w:val="21"/>
        </w:rPr>
        <w:t>并</w:t>
      </w:r>
      <w:r>
        <w:rPr>
          <w:rFonts w:ascii="宋体" w:hAnsi="宋体"/>
          <w:szCs w:val="21"/>
        </w:rPr>
        <w:t>提请</w:t>
      </w:r>
      <w:r>
        <w:rPr>
          <w:rFonts w:hint="eastAsia" w:ascii="宋体" w:hAnsi="宋体"/>
          <w:szCs w:val="21"/>
        </w:rPr>
        <w:t>采购机构</w:t>
      </w:r>
      <w:r>
        <w:rPr>
          <w:rFonts w:ascii="宋体" w:hAnsi="宋体"/>
          <w:szCs w:val="21"/>
        </w:rPr>
        <w:t>注意，否则是投标人自己的风险，</w:t>
      </w:r>
      <w:r>
        <w:rPr>
          <w:rFonts w:hint="eastAsia" w:ascii="宋体" w:hAnsi="宋体"/>
          <w:szCs w:val="21"/>
        </w:rPr>
        <w:t>采购机构</w:t>
      </w:r>
      <w:r>
        <w:rPr>
          <w:rFonts w:ascii="宋体" w:hAnsi="宋体"/>
          <w:szCs w:val="21"/>
        </w:rPr>
        <w:t>对此不承担任何责任。</w:t>
      </w:r>
    </w:p>
    <w:p>
      <w:pPr>
        <w:widowControl/>
        <w:numPr>
          <w:ilvl w:val="0"/>
          <w:numId w:val="3"/>
        </w:numPr>
        <w:tabs>
          <w:tab w:val="left" w:pos="721"/>
        </w:tabs>
        <w:snapToGrid w:val="0"/>
        <w:spacing w:line="380" w:lineRule="exact"/>
        <w:ind w:left="721" w:hanging="721"/>
        <w:rPr>
          <w:rFonts w:hint="eastAsia" w:ascii="新宋体" w:hAnsi="新宋体" w:eastAsia="新宋体"/>
          <w:b/>
          <w:sz w:val="22"/>
          <w:szCs w:val="22"/>
        </w:rPr>
      </w:pPr>
      <w:r>
        <w:rPr>
          <w:rFonts w:hint="eastAsia" w:ascii="新宋体" w:hAnsi="新宋体" w:eastAsia="新宋体"/>
          <w:b/>
          <w:sz w:val="22"/>
          <w:szCs w:val="22"/>
        </w:rPr>
        <w:t>投标有效期</w:t>
      </w:r>
    </w:p>
    <w:p>
      <w:pPr>
        <w:widowControl/>
        <w:numPr>
          <w:ilvl w:val="1"/>
          <w:numId w:val="3"/>
        </w:numPr>
        <w:snapToGrid w:val="0"/>
        <w:spacing w:line="380" w:lineRule="exact"/>
        <w:ind w:left="0" w:firstLine="0"/>
        <w:rPr>
          <w:rFonts w:hint="eastAsia" w:ascii="宋体" w:hAnsi="宋体"/>
          <w:b/>
          <w:szCs w:val="21"/>
        </w:rPr>
      </w:pPr>
      <w:r>
        <w:rPr>
          <w:rFonts w:hint="eastAsia" w:ascii="宋体" w:hAnsi="宋体"/>
          <w:b/>
          <w:szCs w:val="21"/>
        </w:rPr>
        <w:t>提交投标文件截止日起60天内，投标书应保持有效。投标有效期短于规定期限的将被视为非响应投标而予以拒绝。</w:t>
      </w:r>
    </w:p>
    <w:p>
      <w:pPr>
        <w:widowControl/>
        <w:numPr>
          <w:ilvl w:val="1"/>
          <w:numId w:val="3"/>
        </w:numPr>
        <w:snapToGrid w:val="0"/>
        <w:spacing w:line="380" w:lineRule="exact"/>
        <w:ind w:left="0" w:firstLine="0"/>
        <w:rPr>
          <w:rFonts w:hint="eastAsia" w:ascii="宋体" w:hAnsi="宋体"/>
          <w:szCs w:val="21"/>
        </w:rPr>
      </w:pPr>
      <w:r>
        <w:rPr>
          <w:rFonts w:hint="eastAsia" w:ascii="宋体" w:hAnsi="宋体"/>
          <w:szCs w:val="21"/>
        </w:rPr>
        <w:t>特殊情况下，采购机构可于投标有效期满之前要求投标人同意延长有效期，要求与答复均应为书面形式。投标人可拒绝前述要求，对于同意该要求的投标人，既不要求也不允许其修改投标文件。</w:t>
      </w:r>
    </w:p>
    <w:p>
      <w:pPr>
        <w:widowControl/>
        <w:numPr>
          <w:ilvl w:val="0"/>
          <w:numId w:val="3"/>
        </w:numPr>
        <w:tabs>
          <w:tab w:val="left" w:pos="721"/>
        </w:tabs>
        <w:snapToGrid w:val="0"/>
        <w:spacing w:line="380" w:lineRule="exact"/>
        <w:ind w:left="721" w:hanging="721"/>
        <w:rPr>
          <w:rFonts w:hint="eastAsia" w:ascii="宋体" w:hAnsi="宋体"/>
          <w:sz w:val="22"/>
          <w:szCs w:val="21"/>
        </w:rPr>
      </w:pPr>
      <w:r>
        <w:rPr>
          <w:rFonts w:hint="eastAsia" w:ascii="宋体" w:hAnsi="宋体"/>
          <w:b/>
          <w:sz w:val="22"/>
          <w:szCs w:val="21"/>
        </w:rPr>
        <w:t>投标文件的式样和签署</w:t>
      </w:r>
    </w:p>
    <w:p>
      <w:pPr>
        <w:widowControl/>
        <w:numPr>
          <w:ilvl w:val="1"/>
          <w:numId w:val="3"/>
        </w:numPr>
        <w:snapToGrid w:val="0"/>
        <w:spacing w:line="380" w:lineRule="exact"/>
        <w:ind w:left="0" w:firstLine="0"/>
        <w:rPr>
          <w:rFonts w:hint="eastAsia" w:ascii="宋体" w:hAnsi="宋体"/>
          <w:szCs w:val="21"/>
        </w:rPr>
      </w:pPr>
      <w:r>
        <w:rPr>
          <w:rFonts w:hint="eastAsia" w:ascii="宋体" w:hAnsi="宋体"/>
          <w:szCs w:val="21"/>
        </w:rPr>
        <w:t>投标人应提供技术标、商务标投标文件各一式五份，其中“正本”一份、“副本”四份，分别装订成册，若“正本”与“副本”不符，以“正本”为准。</w:t>
      </w:r>
    </w:p>
    <w:p>
      <w:pPr>
        <w:widowControl/>
        <w:numPr>
          <w:ilvl w:val="1"/>
          <w:numId w:val="3"/>
        </w:numPr>
        <w:tabs>
          <w:tab w:val="left" w:pos="0"/>
        </w:tabs>
        <w:snapToGrid w:val="0"/>
        <w:spacing w:line="380" w:lineRule="exact"/>
        <w:ind w:left="0" w:firstLine="0"/>
        <w:rPr>
          <w:rFonts w:hint="eastAsia" w:ascii="宋体" w:hAnsi="宋体"/>
          <w:szCs w:val="21"/>
        </w:rPr>
      </w:pPr>
      <w:r>
        <w:rPr>
          <w:rFonts w:hint="eastAsia" w:ascii="宋体" w:hAnsi="宋体"/>
          <w:szCs w:val="21"/>
        </w:rPr>
        <w:t>投标文件的“正本”必须打印或用不褪色的墨水书写，并按照招标文件格式要求顺序合成本装订，在“投标文件格式”规定处由投标人的法定代表人或其授权代表签字或盖章并加盖投标人法人公章。“副本”可用“正本”复印。</w:t>
      </w:r>
    </w:p>
    <w:p>
      <w:pPr>
        <w:widowControl/>
        <w:numPr>
          <w:ilvl w:val="1"/>
          <w:numId w:val="3"/>
        </w:numPr>
        <w:tabs>
          <w:tab w:val="left" w:pos="0"/>
        </w:tabs>
        <w:snapToGrid w:val="0"/>
        <w:spacing w:line="380" w:lineRule="exact"/>
        <w:ind w:left="0" w:firstLine="0"/>
        <w:rPr>
          <w:rFonts w:hint="eastAsia" w:ascii="宋体" w:hAnsi="宋体"/>
          <w:b/>
          <w:szCs w:val="21"/>
        </w:rPr>
      </w:pPr>
      <w:r>
        <w:rPr>
          <w:rFonts w:hint="eastAsia" w:ascii="宋体" w:hAnsi="宋体"/>
          <w:b/>
          <w:szCs w:val="21"/>
          <w:u w:val="single"/>
        </w:rPr>
        <w:t>每份投标文件的封面应清楚标明“正本”或“副本”字样,并应注明“招标项目名称、招标编号、投标人名称等</w:t>
      </w:r>
      <w:r>
        <w:rPr>
          <w:rFonts w:ascii="宋体" w:hAnsi="宋体"/>
          <w:b/>
          <w:szCs w:val="21"/>
          <w:u w:val="single"/>
        </w:rPr>
        <w:t>”</w:t>
      </w:r>
      <w:r>
        <w:rPr>
          <w:rFonts w:hint="eastAsia" w:ascii="宋体" w:hAnsi="宋体"/>
          <w:b/>
          <w:szCs w:val="21"/>
          <w:u w:val="single"/>
        </w:rPr>
        <w:t>和加盖投标人法人公章</w:t>
      </w:r>
      <w:r>
        <w:rPr>
          <w:rFonts w:hint="eastAsia" w:ascii="宋体" w:hAnsi="宋体"/>
          <w:b/>
          <w:szCs w:val="21"/>
        </w:rPr>
        <w:t>。</w:t>
      </w:r>
    </w:p>
    <w:p>
      <w:pPr>
        <w:widowControl/>
        <w:numPr>
          <w:ilvl w:val="1"/>
          <w:numId w:val="3"/>
        </w:numPr>
        <w:tabs>
          <w:tab w:val="left" w:pos="618"/>
        </w:tabs>
        <w:snapToGrid w:val="0"/>
        <w:spacing w:line="380" w:lineRule="exact"/>
        <w:ind w:left="721" w:hanging="721"/>
        <w:rPr>
          <w:rFonts w:hint="eastAsia" w:ascii="宋体" w:hAnsi="宋体"/>
          <w:szCs w:val="21"/>
        </w:rPr>
      </w:pPr>
      <w:r>
        <w:rPr>
          <w:rFonts w:hint="eastAsia" w:ascii="宋体" w:hAnsi="宋体"/>
          <w:szCs w:val="21"/>
        </w:rPr>
        <w:t xml:space="preserve"> </w:t>
      </w:r>
      <w:r>
        <w:rPr>
          <w:rFonts w:ascii="宋体" w:hAnsi="宋体"/>
          <w:szCs w:val="21"/>
        </w:rPr>
        <w:t>投标文件不得涂改和增删，</w:t>
      </w:r>
      <w:r>
        <w:rPr>
          <w:rFonts w:hint="eastAsia" w:ascii="宋体" w:hAnsi="宋体"/>
          <w:szCs w:val="21"/>
        </w:rPr>
        <w:t>如有修改必须由投标文件签字人在修改处旁签字或盖章。</w:t>
      </w:r>
    </w:p>
    <w:p>
      <w:pPr>
        <w:widowControl/>
        <w:numPr>
          <w:ilvl w:val="1"/>
          <w:numId w:val="3"/>
        </w:numPr>
        <w:tabs>
          <w:tab w:val="left" w:pos="0"/>
        </w:tabs>
        <w:snapToGrid w:val="0"/>
        <w:spacing w:line="380" w:lineRule="exact"/>
        <w:ind w:left="0" w:firstLine="0"/>
        <w:rPr>
          <w:rFonts w:hint="eastAsia" w:ascii="宋体" w:hAnsi="宋体"/>
          <w:szCs w:val="21"/>
        </w:rPr>
      </w:pPr>
      <w:r>
        <w:rPr>
          <w:rFonts w:hint="eastAsia" w:ascii="宋体" w:hAnsi="宋体"/>
          <w:szCs w:val="21"/>
        </w:rPr>
        <w:t>投标文件因字迹模糊或在关键的技术、商务条款上表述不清楚，将可能导致其投标被拒绝。</w:t>
      </w:r>
    </w:p>
    <w:p>
      <w:pPr>
        <w:widowControl/>
        <w:numPr>
          <w:ilvl w:val="0"/>
          <w:numId w:val="3"/>
        </w:numPr>
        <w:tabs>
          <w:tab w:val="left" w:pos="721"/>
        </w:tabs>
        <w:snapToGrid w:val="0"/>
        <w:spacing w:line="380" w:lineRule="exact"/>
        <w:ind w:left="721" w:hanging="721"/>
        <w:rPr>
          <w:rFonts w:hint="eastAsia" w:ascii="宋体" w:hAnsi="宋体"/>
          <w:b/>
          <w:szCs w:val="21"/>
        </w:rPr>
      </w:pPr>
      <w:r>
        <w:rPr>
          <w:rFonts w:hint="eastAsia" w:ascii="宋体" w:hAnsi="宋体"/>
          <w:b/>
          <w:szCs w:val="21"/>
        </w:rPr>
        <w:t>知识产权</w:t>
      </w:r>
    </w:p>
    <w:p>
      <w:pPr>
        <w:widowControl/>
        <w:numPr>
          <w:ilvl w:val="1"/>
          <w:numId w:val="3"/>
        </w:numPr>
        <w:snapToGrid w:val="0"/>
        <w:spacing w:line="380" w:lineRule="exact"/>
        <w:ind w:left="0" w:firstLine="0"/>
        <w:rPr>
          <w:rFonts w:hint="eastAsia" w:ascii="宋体" w:hAnsi="宋体"/>
          <w:b/>
          <w:szCs w:val="21"/>
        </w:rPr>
      </w:pPr>
      <w:r>
        <w:rPr>
          <w:rFonts w:hint="eastAsia" w:ascii="宋体" w:hAnsi="宋体"/>
          <w:szCs w:val="21"/>
        </w:rPr>
        <w:t>投标人应保证，采购人在中华人民共和国使用货物的任何一部分时，采购人免受第三方提出侵犯其专利权、商标权或其它知识产权的起诉；采购人免受有关行业监督机构和同行自律组织提出的起诉和投诉。</w:t>
      </w:r>
    </w:p>
    <w:p>
      <w:pPr>
        <w:widowControl/>
        <w:numPr>
          <w:ilvl w:val="1"/>
          <w:numId w:val="3"/>
        </w:numPr>
        <w:snapToGrid w:val="0"/>
        <w:spacing w:line="380" w:lineRule="exact"/>
        <w:ind w:left="0" w:firstLine="0"/>
        <w:rPr>
          <w:rFonts w:hint="eastAsia" w:ascii="宋体" w:hAnsi="宋体"/>
          <w:b/>
          <w:szCs w:val="21"/>
        </w:rPr>
      </w:pPr>
      <w:r>
        <w:rPr>
          <w:rFonts w:hint="eastAsia" w:ascii="宋体" w:hAnsi="宋体"/>
          <w:szCs w:val="21"/>
        </w:rPr>
        <w:t>投标报价应包括所有应支付的对专利权和</w:t>
      </w:r>
      <w:r>
        <w:rPr>
          <w:rFonts w:hint="eastAsia" w:ascii="宋体" w:hAnsi="宋体"/>
          <w:spacing w:val="-10"/>
          <w:szCs w:val="21"/>
        </w:rPr>
        <w:t>版权、设计或其他知识产权而需要向其他方支付的版税。</w:t>
      </w:r>
    </w:p>
    <w:p>
      <w:pPr>
        <w:widowControl/>
        <w:numPr>
          <w:ilvl w:val="0"/>
          <w:numId w:val="3"/>
        </w:numPr>
        <w:tabs>
          <w:tab w:val="left" w:pos="721"/>
        </w:tabs>
        <w:snapToGrid w:val="0"/>
        <w:spacing w:line="380" w:lineRule="exact"/>
        <w:ind w:left="721" w:hanging="721"/>
        <w:rPr>
          <w:rFonts w:hint="eastAsia" w:ascii="宋体" w:hAnsi="宋体"/>
          <w:b/>
          <w:bCs/>
          <w:szCs w:val="21"/>
        </w:rPr>
      </w:pPr>
      <w:r>
        <w:rPr>
          <w:rFonts w:ascii="宋体" w:hAnsi="宋体"/>
          <w:b/>
          <w:bCs/>
          <w:szCs w:val="21"/>
        </w:rPr>
        <w:t>履约保证金</w:t>
      </w:r>
    </w:p>
    <w:p>
      <w:pPr>
        <w:widowControl/>
        <w:numPr>
          <w:ilvl w:val="1"/>
          <w:numId w:val="3"/>
        </w:numPr>
        <w:snapToGrid w:val="0"/>
        <w:spacing w:line="380" w:lineRule="exact"/>
        <w:ind w:left="0" w:firstLine="0"/>
        <w:rPr>
          <w:rFonts w:hint="eastAsia" w:ascii="新宋体" w:hAnsi="新宋体" w:eastAsia="新宋体"/>
          <w:b/>
          <w:bCs/>
          <w:szCs w:val="21"/>
        </w:rPr>
      </w:pPr>
      <w:r>
        <w:rPr>
          <w:rFonts w:hint="eastAsia" w:ascii="新宋体" w:hAnsi="新宋体" w:eastAsia="新宋体"/>
          <w:b/>
          <w:bCs/>
          <w:szCs w:val="21"/>
        </w:rPr>
        <w:t>中标人在收到中标通知书后，需向</w:t>
      </w:r>
      <w:r>
        <w:rPr>
          <w:rFonts w:hint="eastAsia" w:ascii="宋体" w:hAnsi="宋体"/>
          <w:b/>
          <w:bCs/>
          <w:szCs w:val="21"/>
        </w:rPr>
        <w:t>采购</w:t>
      </w:r>
      <w:r>
        <w:rPr>
          <w:rFonts w:hint="eastAsia" w:ascii="新宋体" w:hAnsi="新宋体" w:eastAsia="新宋体"/>
          <w:b/>
          <w:bCs/>
          <w:szCs w:val="21"/>
        </w:rPr>
        <w:t>人提交合同总价5%的履约保证金，并在签订合同前提交。履约保证金用于补偿</w:t>
      </w:r>
      <w:r>
        <w:rPr>
          <w:rFonts w:hint="eastAsia" w:ascii="宋体" w:hAnsi="宋体"/>
          <w:b/>
          <w:bCs/>
          <w:szCs w:val="21"/>
        </w:rPr>
        <w:t>采购</w:t>
      </w:r>
      <w:r>
        <w:rPr>
          <w:rFonts w:hint="eastAsia" w:ascii="新宋体" w:hAnsi="新宋体" w:eastAsia="新宋体"/>
          <w:b/>
          <w:bCs/>
          <w:szCs w:val="21"/>
        </w:rPr>
        <w:t>人因中标人不能完成其合同义务而蒙受的损失。</w:t>
      </w:r>
    </w:p>
    <w:p>
      <w:pPr>
        <w:widowControl/>
        <w:numPr>
          <w:ilvl w:val="1"/>
          <w:numId w:val="3"/>
        </w:numPr>
        <w:tabs>
          <w:tab w:val="left" w:pos="0"/>
        </w:tabs>
        <w:snapToGrid w:val="0"/>
        <w:spacing w:line="380" w:lineRule="exact"/>
        <w:ind w:left="0" w:firstLine="0"/>
        <w:rPr>
          <w:rFonts w:hint="eastAsia" w:ascii="新宋体" w:hAnsi="新宋体" w:eastAsia="新宋体"/>
          <w:szCs w:val="21"/>
        </w:rPr>
      </w:pPr>
      <w:r>
        <w:rPr>
          <w:rFonts w:hint="eastAsia" w:ascii="新宋体" w:hAnsi="新宋体" w:eastAsia="新宋体"/>
          <w:szCs w:val="21"/>
        </w:rPr>
        <w:t>履约保证金自合同签订之日起至供货、安装完成并通过最终验收之日止有效。有效期满后，</w:t>
      </w:r>
      <w:r>
        <w:rPr>
          <w:rFonts w:hint="eastAsia" w:ascii="宋体" w:hAnsi="宋体"/>
          <w:szCs w:val="21"/>
        </w:rPr>
        <w:t>采购</w:t>
      </w:r>
      <w:r>
        <w:rPr>
          <w:rFonts w:hint="eastAsia" w:ascii="新宋体" w:hAnsi="新宋体" w:eastAsia="新宋体"/>
          <w:szCs w:val="21"/>
        </w:rPr>
        <w:t>人应在5个工作日内将履约保证金无息退还。</w:t>
      </w:r>
    </w:p>
    <w:p>
      <w:pPr>
        <w:snapToGrid w:val="0"/>
        <w:spacing w:line="400" w:lineRule="atLeast"/>
        <w:jc w:val="center"/>
        <w:rPr>
          <w:rFonts w:hint="eastAsia" w:ascii="新宋体" w:hAnsi="新宋体" w:eastAsia="新宋体"/>
          <w:b/>
          <w:sz w:val="36"/>
          <w:szCs w:val="21"/>
        </w:rPr>
      </w:pPr>
      <w:bookmarkStart w:id="5" w:name="_Toc495977857"/>
    </w:p>
    <w:p>
      <w:pPr>
        <w:snapToGrid w:val="0"/>
        <w:spacing w:line="400" w:lineRule="atLeast"/>
        <w:jc w:val="center"/>
        <w:rPr>
          <w:rFonts w:hint="eastAsia" w:ascii="新宋体" w:hAnsi="新宋体" w:eastAsia="新宋体"/>
          <w:b/>
          <w:sz w:val="36"/>
          <w:szCs w:val="21"/>
        </w:rPr>
      </w:pPr>
      <w:r>
        <w:rPr>
          <w:rFonts w:hint="eastAsia" w:ascii="新宋体" w:hAnsi="新宋体" w:eastAsia="新宋体"/>
          <w:b/>
          <w:sz w:val="36"/>
          <w:szCs w:val="21"/>
        </w:rPr>
        <w:t>五.  投标文件的递交</w:t>
      </w:r>
      <w:bookmarkEnd w:id="5"/>
    </w:p>
    <w:p>
      <w:pPr>
        <w:widowControl/>
        <w:numPr>
          <w:ilvl w:val="0"/>
          <w:numId w:val="3"/>
        </w:numPr>
        <w:tabs>
          <w:tab w:val="left" w:pos="721"/>
        </w:tabs>
        <w:snapToGrid w:val="0"/>
        <w:spacing w:line="400" w:lineRule="exact"/>
        <w:ind w:left="721" w:hanging="721"/>
        <w:rPr>
          <w:rFonts w:hint="eastAsia" w:ascii="新宋体" w:hAnsi="新宋体" w:eastAsia="新宋体"/>
          <w:szCs w:val="21"/>
        </w:rPr>
      </w:pPr>
      <w:r>
        <w:rPr>
          <w:rFonts w:hint="eastAsia" w:ascii="新宋体" w:hAnsi="新宋体" w:eastAsia="新宋体"/>
          <w:b/>
          <w:szCs w:val="21"/>
        </w:rPr>
        <w:t>投标文件的密封和标记</w:t>
      </w:r>
    </w:p>
    <w:p>
      <w:pPr>
        <w:numPr>
          <w:ilvl w:val="1"/>
          <w:numId w:val="3"/>
        </w:numPr>
        <w:tabs>
          <w:tab w:val="left" w:pos="0"/>
        </w:tabs>
        <w:snapToGrid w:val="0"/>
        <w:spacing w:line="400" w:lineRule="exact"/>
        <w:ind w:left="0" w:firstLine="0"/>
        <w:rPr>
          <w:rFonts w:hint="eastAsia" w:ascii="新宋体" w:hAnsi="新宋体" w:eastAsia="新宋体"/>
          <w:b/>
          <w:szCs w:val="21"/>
        </w:rPr>
      </w:pPr>
      <w:r>
        <w:rPr>
          <w:rFonts w:hint="eastAsia" w:ascii="宋体" w:hAnsi="宋体"/>
          <w:szCs w:val="21"/>
        </w:rPr>
        <w:t>▲</w:t>
      </w:r>
      <w:r>
        <w:rPr>
          <w:rFonts w:hint="eastAsia" w:ascii="新宋体" w:hAnsi="新宋体" w:eastAsia="新宋体"/>
          <w:b/>
          <w:szCs w:val="21"/>
          <w:u w:val="single"/>
        </w:rPr>
        <w:t>投标人必须将投标文件的“技术资信标”和“商务标”、“原件资料”分别单独密封装袋，且在各自的密封袋上标明“技术资信标”和“商务标” 、“原件资料”字样。</w:t>
      </w:r>
      <w:r>
        <w:rPr>
          <w:rFonts w:hint="eastAsia" w:ascii="新宋体" w:hAnsi="新宋体" w:eastAsia="新宋体"/>
          <w:szCs w:val="21"/>
        </w:rPr>
        <w:t>封口处贴上封条，启封处加盖投标单位公章并由法定代表人或其授权代表</w:t>
      </w:r>
      <w:r>
        <w:rPr>
          <w:rFonts w:hint="eastAsia"/>
          <w:szCs w:val="21"/>
        </w:rPr>
        <w:t>签字或盖章</w:t>
      </w:r>
      <w:r>
        <w:rPr>
          <w:rFonts w:hint="eastAsia" w:ascii="新宋体" w:hAnsi="新宋体" w:eastAsia="新宋体"/>
          <w:szCs w:val="21"/>
        </w:rPr>
        <w:t>。封皮上写明投标项目名称、编号、投标人名称、地址、邮政编码、电话、联系人，并注明“开标时启封”字样。</w:t>
      </w:r>
      <w:r>
        <w:rPr>
          <w:rFonts w:hint="eastAsia" w:ascii="新宋体" w:hAnsi="新宋体" w:eastAsia="新宋体"/>
          <w:b/>
          <w:szCs w:val="21"/>
        </w:rPr>
        <w:t>如投标书商务标与资信、技术标未分开制作与包装或未密封，将被视作无效标处理 。</w:t>
      </w:r>
    </w:p>
    <w:p>
      <w:pPr>
        <w:widowControl/>
        <w:numPr>
          <w:ilvl w:val="1"/>
          <w:numId w:val="3"/>
        </w:numPr>
        <w:tabs>
          <w:tab w:val="left" w:pos="0"/>
        </w:tabs>
        <w:snapToGrid w:val="0"/>
        <w:spacing w:line="400" w:lineRule="exact"/>
        <w:ind w:left="0" w:firstLine="0"/>
        <w:rPr>
          <w:rFonts w:hint="eastAsia" w:ascii="新宋体" w:hAnsi="新宋体" w:eastAsia="新宋体"/>
          <w:szCs w:val="21"/>
        </w:rPr>
      </w:pPr>
      <w:r>
        <w:rPr>
          <w:rFonts w:hint="eastAsia" w:ascii="新宋体" w:hAnsi="新宋体" w:eastAsia="新宋体"/>
          <w:b/>
          <w:szCs w:val="21"/>
        </w:rPr>
        <w:t>投标文件建议采用较为正式的密封封套，并按要求填写。</w:t>
      </w:r>
      <w:r>
        <w:rPr>
          <w:rFonts w:hint="eastAsia" w:ascii="宋体" w:hAnsi="宋体"/>
          <w:b/>
          <w:spacing w:val="-2"/>
          <w:sz w:val="22"/>
          <w:szCs w:val="22"/>
        </w:rPr>
        <w:t>如果投标人未按上述要求密封及加写标记，招标人对投标文件的误投和提前启封不负责任。</w:t>
      </w:r>
    </w:p>
    <w:p>
      <w:pPr>
        <w:widowControl/>
        <w:numPr>
          <w:ilvl w:val="0"/>
          <w:numId w:val="3"/>
        </w:numPr>
        <w:tabs>
          <w:tab w:val="left" w:pos="721"/>
        </w:tabs>
        <w:snapToGrid w:val="0"/>
        <w:spacing w:line="400" w:lineRule="exact"/>
        <w:ind w:left="721" w:hanging="721"/>
        <w:rPr>
          <w:rFonts w:hint="eastAsia" w:ascii="新宋体" w:hAnsi="新宋体" w:eastAsia="新宋体"/>
          <w:b/>
          <w:szCs w:val="21"/>
        </w:rPr>
      </w:pPr>
      <w:r>
        <w:rPr>
          <w:rFonts w:hint="eastAsia" w:ascii="新宋体" w:hAnsi="新宋体" w:eastAsia="新宋体"/>
          <w:b/>
          <w:szCs w:val="21"/>
        </w:rPr>
        <w:t>投标文件的递交</w:t>
      </w:r>
    </w:p>
    <w:p>
      <w:pPr>
        <w:snapToGrid w:val="0"/>
        <w:spacing w:line="400" w:lineRule="exact"/>
        <w:rPr>
          <w:rFonts w:hint="eastAsia" w:ascii="新宋体" w:hAnsi="新宋体" w:eastAsia="新宋体"/>
          <w:b/>
          <w:bCs/>
          <w:szCs w:val="21"/>
        </w:rPr>
      </w:pPr>
      <w:r>
        <w:rPr>
          <w:rFonts w:hint="eastAsia" w:ascii="新宋体" w:hAnsi="新宋体" w:eastAsia="新宋体"/>
          <w:b/>
          <w:szCs w:val="21"/>
        </w:rPr>
        <w:t xml:space="preserve">    </w:t>
      </w:r>
      <w:r>
        <w:rPr>
          <w:rFonts w:hint="eastAsia" w:ascii="新宋体" w:hAnsi="新宋体" w:eastAsia="新宋体"/>
          <w:bCs/>
          <w:sz w:val="22"/>
          <w:szCs w:val="22"/>
        </w:rPr>
        <w:t>投标</w:t>
      </w:r>
      <w:r>
        <w:rPr>
          <w:rFonts w:hint="eastAsia" w:ascii="新宋体" w:hAnsi="新宋体" w:eastAsia="新宋体"/>
          <w:sz w:val="22"/>
          <w:szCs w:val="22"/>
        </w:rPr>
        <w:t>文件必须在规定的</w:t>
      </w:r>
      <w:r>
        <w:rPr>
          <w:rFonts w:hint="eastAsia" w:ascii="新宋体" w:hAnsi="新宋体" w:eastAsia="新宋体"/>
          <w:bCs/>
          <w:sz w:val="22"/>
          <w:szCs w:val="22"/>
        </w:rPr>
        <w:t>投标</w:t>
      </w:r>
      <w:r>
        <w:rPr>
          <w:rFonts w:hint="eastAsia" w:ascii="新宋体" w:hAnsi="新宋体" w:eastAsia="新宋体"/>
          <w:sz w:val="22"/>
          <w:szCs w:val="22"/>
        </w:rPr>
        <w:t>截止时间前送达到指定的投标地点，并出示</w:t>
      </w:r>
      <w:r>
        <w:rPr>
          <w:rFonts w:hint="eastAsia" w:hAnsi="宋体"/>
          <w:b/>
          <w:sz w:val="22"/>
          <w:szCs w:val="22"/>
          <w:u w:val="single"/>
        </w:rPr>
        <w:t>供应商法定代表人或授权代表出席采购会议的须出示合法有效的身份证明原件（密封在技术资信部分投标文件中也为有效）、参加政府采购活动前三年不得有行贿犯罪档案记录原件（密封在技术资信部分投标文件中也为有效），所提供证明原件由评审委员会进行核对。未提供以上证明</w:t>
      </w:r>
      <w:r>
        <w:rPr>
          <w:rFonts w:hint="eastAsia" w:ascii="宋体" w:hAnsi="宋体"/>
          <w:b/>
          <w:bCs/>
          <w:sz w:val="22"/>
          <w:szCs w:val="22"/>
          <w:u w:val="single"/>
        </w:rPr>
        <w:t>的投标文件将拒收。</w:t>
      </w:r>
    </w:p>
    <w:p>
      <w:pPr>
        <w:widowControl/>
        <w:numPr>
          <w:ilvl w:val="0"/>
          <w:numId w:val="3"/>
        </w:numPr>
        <w:tabs>
          <w:tab w:val="left" w:pos="721"/>
        </w:tabs>
        <w:snapToGrid w:val="0"/>
        <w:spacing w:line="400" w:lineRule="exact"/>
        <w:ind w:left="721" w:hanging="721"/>
        <w:rPr>
          <w:rFonts w:hint="eastAsia" w:ascii="新宋体" w:hAnsi="新宋体" w:eastAsia="新宋体"/>
          <w:b/>
          <w:szCs w:val="21"/>
        </w:rPr>
      </w:pPr>
      <w:r>
        <w:rPr>
          <w:rFonts w:hint="eastAsia" w:ascii="新宋体" w:hAnsi="新宋体" w:eastAsia="新宋体"/>
          <w:b/>
          <w:szCs w:val="21"/>
        </w:rPr>
        <w:t>投标文件的修改与撤回</w:t>
      </w:r>
    </w:p>
    <w:p>
      <w:pPr>
        <w:widowControl/>
        <w:numPr>
          <w:ilvl w:val="1"/>
          <w:numId w:val="3"/>
        </w:numPr>
        <w:tabs>
          <w:tab w:val="left" w:pos="0"/>
          <w:tab w:val="left" w:pos="540"/>
          <w:tab w:val="clear" w:pos="567"/>
        </w:tabs>
        <w:snapToGrid w:val="0"/>
        <w:spacing w:line="380" w:lineRule="exact"/>
        <w:ind w:left="0" w:firstLine="0"/>
        <w:rPr>
          <w:rFonts w:hint="eastAsia" w:ascii="新宋体" w:hAnsi="新宋体" w:eastAsia="新宋体"/>
          <w:szCs w:val="21"/>
        </w:rPr>
      </w:pPr>
      <w:r>
        <w:rPr>
          <w:rFonts w:hint="eastAsia" w:ascii="新宋体" w:hAnsi="新宋体" w:eastAsia="新宋体"/>
          <w:szCs w:val="21"/>
        </w:rPr>
        <w:t>投标人在递交投标文件后，可以修改或撤回其投标文件，但采购人必须在规定的投标截止时间之前收到修改包括替代或撤回的书面通知。该通知须有经正式授权的投标人代表签字。</w:t>
      </w:r>
    </w:p>
    <w:p>
      <w:pPr>
        <w:widowControl/>
        <w:numPr>
          <w:ilvl w:val="1"/>
          <w:numId w:val="3"/>
        </w:numPr>
        <w:tabs>
          <w:tab w:val="left" w:pos="0"/>
          <w:tab w:val="left" w:pos="540"/>
          <w:tab w:val="clear" w:pos="567"/>
        </w:tabs>
        <w:snapToGrid w:val="0"/>
        <w:spacing w:line="380" w:lineRule="exact"/>
        <w:ind w:left="0" w:firstLine="0"/>
        <w:rPr>
          <w:rFonts w:hint="eastAsia" w:ascii="新宋体" w:hAnsi="新宋体" w:eastAsia="新宋体"/>
          <w:szCs w:val="21"/>
        </w:rPr>
      </w:pPr>
      <w:r>
        <w:rPr>
          <w:rFonts w:hint="eastAsia" w:ascii="新宋体" w:hAnsi="新宋体" w:eastAsia="新宋体"/>
          <w:szCs w:val="21"/>
        </w:rPr>
        <w:t>投标人对投标文件修改的书面材料或撤销的通知应按规定进行编写、密封、标注和递送，并注明“修改投标文件”或“撤销投标”字样。</w:t>
      </w:r>
    </w:p>
    <w:p>
      <w:pPr>
        <w:widowControl/>
        <w:numPr>
          <w:ilvl w:val="1"/>
          <w:numId w:val="3"/>
        </w:numPr>
        <w:tabs>
          <w:tab w:val="left" w:pos="0"/>
          <w:tab w:val="left" w:pos="540"/>
          <w:tab w:val="left" w:pos="720"/>
          <w:tab w:val="clear" w:pos="567"/>
        </w:tabs>
        <w:snapToGrid w:val="0"/>
        <w:spacing w:line="380" w:lineRule="exact"/>
        <w:ind w:left="0" w:firstLine="0"/>
        <w:rPr>
          <w:rFonts w:hint="eastAsia" w:ascii="新宋体" w:hAnsi="新宋体" w:eastAsia="新宋体"/>
          <w:szCs w:val="21"/>
        </w:rPr>
      </w:pPr>
      <w:r>
        <w:rPr>
          <w:rFonts w:hint="eastAsia" w:ascii="新宋体" w:hAnsi="新宋体" w:eastAsia="新宋体"/>
          <w:szCs w:val="21"/>
        </w:rPr>
        <w:t>在投标截止时间之后至投标有效期满止，投标人不得对其投标文件做任何修改，亦不得撤回其投标。</w:t>
      </w:r>
    </w:p>
    <w:p>
      <w:pPr>
        <w:widowControl/>
        <w:numPr>
          <w:ilvl w:val="0"/>
          <w:numId w:val="3"/>
        </w:numPr>
        <w:tabs>
          <w:tab w:val="left" w:pos="721"/>
        </w:tabs>
        <w:snapToGrid w:val="0"/>
        <w:spacing w:line="400" w:lineRule="exact"/>
        <w:ind w:left="721" w:hanging="721"/>
        <w:rPr>
          <w:rFonts w:hint="eastAsia" w:ascii="新宋体" w:hAnsi="新宋体" w:eastAsia="新宋体"/>
          <w:b/>
          <w:szCs w:val="21"/>
        </w:rPr>
      </w:pPr>
      <w:r>
        <w:rPr>
          <w:rFonts w:hint="eastAsia" w:ascii="宋体" w:hAnsi="宋体"/>
          <w:b/>
          <w:bCs/>
          <w:sz w:val="22"/>
          <w:szCs w:val="22"/>
        </w:rPr>
        <w:t>发生下列情况之一的投标文件将拒收:</w:t>
      </w:r>
    </w:p>
    <w:p>
      <w:pPr>
        <w:widowControl/>
        <w:numPr>
          <w:ilvl w:val="1"/>
          <w:numId w:val="3"/>
        </w:numPr>
        <w:tabs>
          <w:tab w:val="left" w:pos="721"/>
        </w:tabs>
        <w:snapToGrid w:val="0"/>
        <w:spacing w:line="380" w:lineRule="exact"/>
        <w:ind w:left="721" w:hanging="721"/>
        <w:rPr>
          <w:rFonts w:hint="eastAsia" w:ascii="新宋体" w:hAnsi="新宋体" w:eastAsia="新宋体"/>
          <w:szCs w:val="21"/>
        </w:rPr>
      </w:pPr>
      <w:r>
        <w:rPr>
          <w:rFonts w:hint="eastAsia" w:ascii="宋体" w:hAnsi="宋体"/>
          <w:b/>
          <w:sz w:val="22"/>
          <w:szCs w:val="22"/>
        </w:rPr>
        <w:t>在投标截止时间以后送达的投标文件；</w:t>
      </w:r>
    </w:p>
    <w:p>
      <w:pPr>
        <w:widowControl/>
        <w:numPr>
          <w:ilvl w:val="1"/>
          <w:numId w:val="3"/>
        </w:numPr>
        <w:tabs>
          <w:tab w:val="left" w:pos="0"/>
        </w:tabs>
        <w:snapToGrid w:val="0"/>
        <w:spacing w:line="380" w:lineRule="exact"/>
        <w:ind w:left="0" w:firstLine="0"/>
        <w:rPr>
          <w:rFonts w:hint="eastAsia" w:ascii="新宋体" w:hAnsi="新宋体" w:eastAsia="新宋体"/>
          <w:szCs w:val="21"/>
        </w:rPr>
      </w:pPr>
      <w:r>
        <w:rPr>
          <w:rFonts w:hint="eastAsia" w:ascii="宋体" w:hAnsi="宋体"/>
          <w:b/>
          <w:sz w:val="22"/>
          <w:szCs w:val="22"/>
        </w:rPr>
        <w:t>未密封或未装订的投标文件或由于包装不妥在送达途中严重破损或失散的投标文件；</w:t>
      </w:r>
    </w:p>
    <w:p>
      <w:pPr>
        <w:widowControl/>
        <w:numPr>
          <w:ilvl w:val="1"/>
          <w:numId w:val="3"/>
        </w:numPr>
        <w:tabs>
          <w:tab w:val="left" w:pos="721"/>
        </w:tabs>
        <w:snapToGrid w:val="0"/>
        <w:spacing w:line="380" w:lineRule="exact"/>
        <w:ind w:left="721" w:hanging="721"/>
        <w:rPr>
          <w:rFonts w:hint="eastAsia" w:ascii="新宋体" w:hAnsi="新宋体" w:eastAsia="新宋体"/>
          <w:szCs w:val="21"/>
        </w:rPr>
      </w:pPr>
      <w:r>
        <w:rPr>
          <w:rFonts w:hint="eastAsia" w:ascii="宋体" w:hAnsi="宋体"/>
          <w:b/>
          <w:sz w:val="22"/>
          <w:szCs w:val="22"/>
        </w:rPr>
        <w:t>以电讯形式递交的投标文件；</w:t>
      </w:r>
    </w:p>
    <w:p>
      <w:pPr>
        <w:widowControl/>
        <w:numPr>
          <w:ilvl w:val="1"/>
          <w:numId w:val="3"/>
        </w:numPr>
        <w:tabs>
          <w:tab w:val="left" w:pos="721"/>
        </w:tabs>
        <w:snapToGrid w:val="0"/>
        <w:spacing w:line="380" w:lineRule="exact"/>
        <w:ind w:left="721" w:hanging="721"/>
        <w:rPr>
          <w:rFonts w:hint="eastAsia" w:ascii="新宋体" w:hAnsi="新宋体" w:eastAsia="新宋体"/>
          <w:szCs w:val="21"/>
        </w:rPr>
      </w:pPr>
      <w:r>
        <w:rPr>
          <w:rFonts w:ascii="宋体" w:hAnsi="宋体"/>
          <w:b/>
          <w:sz w:val="22"/>
          <w:szCs w:val="22"/>
        </w:rPr>
        <w:t>未购买</w:t>
      </w:r>
      <w:r>
        <w:rPr>
          <w:rFonts w:hint="eastAsia" w:ascii="宋体" w:hAnsi="宋体"/>
          <w:b/>
          <w:sz w:val="22"/>
          <w:szCs w:val="22"/>
        </w:rPr>
        <w:t>招标</w:t>
      </w:r>
      <w:r>
        <w:rPr>
          <w:rFonts w:ascii="宋体" w:hAnsi="宋体"/>
          <w:b/>
          <w:sz w:val="22"/>
          <w:szCs w:val="22"/>
        </w:rPr>
        <w:t>文件的拒绝参加投标</w:t>
      </w:r>
      <w:r>
        <w:rPr>
          <w:rFonts w:hint="eastAsia" w:ascii="宋体" w:hAnsi="宋体"/>
          <w:b/>
          <w:sz w:val="22"/>
          <w:szCs w:val="22"/>
        </w:rPr>
        <w:t>。</w:t>
      </w:r>
    </w:p>
    <w:p>
      <w:pPr>
        <w:snapToGrid w:val="0"/>
        <w:spacing w:line="400" w:lineRule="atLeast"/>
        <w:jc w:val="center"/>
        <w:rPr>
          <w:rFonts w:hint="eastAsia" w:ascii="新宋体" w:hAnsi="新宋体" w:eastAsia="新宋体"/>
          <w:b/>
          <w:sz w:val="36"/>
          <w:szCs w:val="21"/>
        </w:rPr>
      </w:pPr>
      <w:bookmarkStart w:id="6" w:name="_Toc495977858"/>
    </w:p>
    <w:p>
      <w:pPr>
        <w:snapToGrid w:val="0"/>
        <w:spacing w:line="400" w:lineRule="atLeast"/>
        <w:jc w:val="center"/>
        <w:rPr>
          <w:rFonts w:hint="eastAsia" w:ascii="新宋体" w:hAnsi="新宋体" w:eastAsia="新宋体"/>
          <w:b/>
          <w:sz w:val="36"/>
          <w:szCs w:val="21"/>
        </w:rPr>
      </w:pPr>
      <w:r>
        <w:rPr>
          <w:rFonts w:hint="eastAsia" w:ascii="新宋体" w:hAnsi="新宋体" w:eastAsia="新宋体"/>
          <w:b/>
          <w:sz w:val="36"/>
          <w:szCs w:val="21"/>
        </w:rPr>
        <w:t>六. 开标与评审</w:t>
      </w:r>
      <w:bookmarkEnd w:id="6"/>
    </w:p>
    <w:p>
      <w:pPr>
        <w:widowControl/>
        <w:numPr>
          <w:ilvl w:val="0"/>
          <w:numId w:val="3"/>
        </w:numPr>
        <w:tabs>
          <w:tab w:val="left" w:pos="618"/>
        </w:tabs>
        <w:snapToGrid w:val="0"/>
        <w:spacing w:line="380" w:lineRule="exact"/>
        <w:rPr>
          <w:rFonts w:hint="eastAsia" w:ascii="新宋体" w:hAnsi="新宋体" w:eastAsia="新宋体"/>
          <w:b/>
          <w:szCs w:val="21"/>
        </w:rPr>
      </w:pPr>
      <w:r>
        <w:rPr>
          <w:rFonts w:hint="eastAsia" w:ascii="新宋体" w:hAnsi="新宋体" w:eastAsia="新宋体"/>
          <w:b/>
          <w:szCs w:val="21"/>
        </w:rPr>
        <w:t>评标委员会</w:t>
      </w:r>
    </w:p>
    <w:p>
      <w:pPr>
        <w:snapToGrid w:val="0"/>
        <w:spacing w:line="380" w:lineRule="exact"/>
        <w:ind w:firstLine="539" w:firstLineChars="257"/>
        <w:rPr>
          <w:rFonts w:hint="eastAsia" w:ascii="新宋体" w:hAnsi="新宋体" w:eastAsia="新宋体"/>
          <w:szCs w:val="21"/>
        </w:rPr>
      </w:pPr>
      <w:r>
        <w:rPr>
          <w:rFonts w:hint="eastAsia" w:ascii="新宋体" w:hAnsi="新宋体" w:eastAsia="新宋体"/>
          <w:szCs w:val="21"/>
        </w:rPr>
        <w:t>采购机构依法组建评标委员会，评标委员会的成员在评标过程中必须严格遵守《政府采购法》等有关法律法规的规定。</w:t>
      </w:r>
    </w:p>
    <w:p>
      <w:pPr>
        <w:widowControl/>
        <w:numPr>
          <w:ilvl w:val="0"/>
          <w:numId w:val="3"/>
        </w:numPr>
        <w:tabs>
          <w:tab w:val="left" w:pos="618"/>
        </w:tabs>
        <w:snapToGrid w:val="0"/>
        <w:spacing w:line="380" w:lineRule="exact"/>
        <w:rPr>
          <w:rFonts w:hint="eastAsia" w:ascii="新宋体" w:hAnsi="新宋体" w:eastAsia="新宋体"/>
          <w:szCs w:val="21"/>
        </w:rPr>
      </w:pPr>
      <w:r>
        <w:rPr>
          <w:rFonts w:hint="eastAsia" w:ascii="新宋体" w:hAnsi="新宋体" w:eastAsia="新宋体"/>
          <w:szCs w:val="21"/>
        </w:rPr>
        <w:t>评标过程的保密性</w:t>
      </w:r>
    </w:p>
    <w:p>
      <w:pPr>
        <w:snapToGrid w:val="0"/>
        <w:spacing w:line="380" w:lineRule="exact"/>
        <w:ind w:leftChars="-100" w:hanging="210" w:hangingChars="100"/>
        <w:rPr>
          <w:rFonts w:hint="eastAsia" w:ascii="新宋体" w:hAnsi="新宋体" w:eastAsia="新宋体"/>
          <w:szCs w:val="21"/>
        </w:rPr>
      </w:pPr>
      <w:r>
        <w:rPr>
          <w:rFonts w:hint="eastAsia" w:ascii="新宋体" w:hAnsi="新宋体" w:eastAsia="新宋体"/>
          <w:szCs w:val="21"/>
        </w:rPr>
        <w:t xml:space="preserve">      开标后，直至向中标人授予合同时止，凡与评审有关的资料均不得向投标人及与评标无关人员透露。如果投标人在评标过程试图向</w:t>
      </w:r>
      <w:r>
        <w:rPr>
          <w:rFonts w:hint="eastAsia" w:ascii="宋体" w:hAnsi="宋体"/>
          <w:szCs w:val="21"/>
        </w:rPr>
        <w:t>采购</w:t>
      </w:r>
      <w:r>
        <w:rPr>
          <w:rFonts w:hint="eastAsia" w:ascii="新宋体" w:hAnsi="新宋体" w:eastAsia="新宋体"/>
          <w:szCs w:val="21"/>
        </w:rPr>
        <w:t>人或采购机构施加影响，其投标文件将被拒绝。</w:t>
      </w:r>
    </w:p>
    <w:p>
      <w:pPr>
        <w:widowControl/>
        <w:numPr>
          <w:ilvl w:val="0"/>
          <w:numId w:val="3"/>
        </w:numPr>
        <w:tabs>
          <w:tab w:val="left" w:pos="618"/>
        </w:tabs>
        <w:snapToGrid w:val="0"/>
        <w:spacing w:line="380" w:lineRule="exact"/>
        <w:ind w:left="618" w:hanging="618"/>
        <w:rPr>
          <w:rFonts w:hint="eastAsia" w:ascii="新宋体" w:hAnsi="新宋体" w:eastAsia="新宋体"/>
          <w:szCs w:val="21"/>
        </w:rPr>
      </w:pPr>
      <w:r>
        <w:rPr>
          <w:rFonts w:hint="eastAsia" w:ascii="新宋体" w:hAnsi="新宋体" w:eastAsia="新宋体"/>
          <w:szCs w:val="21"/>
        </w:rPr>
        <w:t>开标</w:t>
      </w:r>
    </w:p>
    <w:p>
      <w:pPr>
        <w:widowControl/>
        <w:numPr>
          <w:ilvl w:val="1"/>
          <w:numId w:val="3"/>
        </w:numPr>
        <w:tabs>
          <w:tab w:val="left" w:pos="0"/>
          <w:tab w:val="left" w:pos="540"/>
          <w:tab w:val="left" w:pos="900"/>
          <w:tab w:val="clear" w:pos="567"/>
        </w:tabs>
        <w:snapToGrid w:val="0"/>
        <w:spacing w:line="380" w:lineRule="exact"/>
        <w:ind w:left="0" w:firstLine="0"/>
        <w:rPr>
          <w:rFonts w:hint="eastAsia" w:ascii="新宋体" w:hAnsi="新宋体" w:eastAsia="新宋体"/>
          <w:szCs w:val="21"/>
        </w:rPr>
      </w:pPr>
      <w:r>
        <w:rPr>
          <w:rFonts w:hint="eastAsia" w:ascii="新宋体" w:hAnsi="新宋体" w:eastAsia="新宋体"/>
          <w:szCs w:val="21"/>
        </w:rPr>
        <w:t>采购机构按招标文件规定的时间、地点先开启</w:t>
      </w:r>
      <w:r>
        <w:rPr>
          <w:rFonts w:hint="eastAsia" w:ascii="宋体" w:hAnsi="宋体"/>
          <w:bCs/>
          <w:sz w:val="22"/>
          <w:szCs w:val="22"/>
        </w:rPr>
        <w:t>“技术、资信”</w:t>
      </w:r>
      <w:r>
        <w:rPr>
          <w:rFonts w:hint="eastAsia" w:ascii="新宋体" w:hAnsi="新宋体" w:eastAsia="新宋体"/>
          <w:szCs w:val="21"/>
        </w:rPr>
        <w:t>标并进行评审，</w:t>
      </w:r>
      <w:r>
        <w:rPr>
          <w:rFonts w:hint="eastAsia" w:ascii="宋体" w:hAnsi="宋体"/>
          <w:bCs/>
          <w:sz w:val="22"/>
          <w:szCs w:val="22"/>
        </w:rPr>
        <w:t>“技术、资信”</w:t>
      </w:r>
      <w:r>
        <w:rPr>
          <w:rFonts w:hint="eastAsia" w:ascii="新宋体" w:hAnsi="新宋体" w:eastAsia="新宋体"/>
          <w:szCs w:val="21"/>
        </w:rPr>
        <w:t>标评审结束后在开标室当众宣布各投标人的</w:t>
      </w:r>
      <w:r>
        <w:rPr>
          <w:rFonts w:hint="eastAsia" w:ascii="宋体" w:hAnsi="宋体"/>
          <w:bCs/>
          <w:sz w:val="22"/>
          <w:szCs w:val="22"/>
        </w:rPr>
        <w:t>“技术、资信”</w:t>
      </w:r>
      <w:r>
        <w:rPr>
          <w:rFonts w:hint="eastAsia" w:ascii="新宋体" w:hAnsi="新宋体" w:eastAsia="新宋体"/>
          <w:szCs w:val="21"/>
        </w:rPr>
        <w:t>标得分情况，然后再当众开启商务标</w:t>
      </w:r>
      <w:r>
        <w:rPr>
          <w:rFonts w:ascii="新宋体" w:hAnsi="新宋体" w:eastAsia="新宋体"/>
          <w:szCs w:val="21"/>
        </w:rPr>
        <w:t>宣读投标人名称、投标价格，以及</w:t>
      </w:r>
      <w:r>
        <w:rPr>
          <w:rFonts w:hint="eastAsia" w:ascii="新宋体" w:hAnsi="新宋体" w:eastAsia="新宋体"/>
          <w:szCs w:val="21"/>
        </w:rPr>
        <w:t>采购机构</w:t>
      </w:r>
      <w:r>
        <w:rPr>
          <w:rFonts w:ascii="新宋体" w:hAnsi="新宋体" w:eastAsia="新宋体"/>
          <w:szCs w:val="21"/>
        </w:rPr>
        <w:t>认为合适的其他内容</w:t>
      </w:r>
      <w:r>
        <w:rPr>
          <w:rFonts w:hint="eastAsia" w:ascii="新宋体" w:hAnsi="新宋体" w:eastAsia="新宋体"/>
          <w:szCs w:val="21"/>
        </w:rPr>
        <w:t>，采购机构工作人员将记录开标过程的有关内容，并由投标人代表签字确认，存档备查，</w:t>
      </w:r>
      <w:r>
        <w:rPr>
          <w:rFonts w:hint="eastAsia" w:ascii="宋体" w:hAnsi="宋体"/>
          <w:bCs/>
          <w:sz w:val="22"/>
          <w:szCs w:val="22"/>
        </w:rPr>
        <w:t>如有异议应当场提出，否则视为默许同意。</w:t>
      </w:r>
      <w:r>
        <w:rPr>
          <w:rFonts w:hint="eastAsia" w:ascii="新宋体" w:hAnsi="新宋体" w:eastAsia="新宋体"/>
          <w:szCs w:val="21"/>
        </w:rPr>
        <w:t>最后进入商务评审阶段，如</w:t>
      </w:r>
      <w:r>
        <w:rPr>
          <w:rFonts w:hint="eastAsia" w:ascii="宋体" w:hAnsi="宋体"/>
          <w:bCs/>
          <w:sz w:val="22"/>
          <w:szCs w:val="22"/>
        </w:rPr>
        <w:t>“技术、资信”</w:t>
      </w:r>
      <w:r>
        <w:rPr>
          <w:rFonts w:hint="eastAsia" w:ascii="新宋体" w:hAnsi="新宋体" w:eastAsia="新宋体"/>
          <w:szCs w:val="21"/>
        </w:rPr>
        <w:t>标资格性、符合性审查未通过的投标人，将完封退还其商务标不进入下一步商务评审阶段。</w:t>
      </w:r>
    </w:p>
    <w:p>
      <w:pPr>
        <w:spacing w:line="380" w:lineRule="exact"/>
        <w:ind w:left="2"/>
        <w:rPr>
          <w:rFonts w:hint="eastAsia" w:ascii="新宋体" w:hAnsi="新宋体" w:eastAsia="新宋体"/>
          <w:szCs w:val="21"/>
        </w:rPr>
      </w:pPr>
      <w:r>
        <w:rPr>
          <w:rFonts w:hint="eastAsia" w:ascii="新宋体" w:hAnsi="新宋体" w:eastAsia="新宋体"/>
          <w:szCs w:val="21"/>
        </w:rPr>
        <w:t>1）开标时邀请所有投标人代表参加，参加开标的代表应携带本人身份证</w:t>
      </w:r>
      <w:r>
        <w:rPr>
          <w:rFonts w:hint="eastAsia" w:ascii="宋体" w:hAnsi="宋体"/>
          <w:szCs w:val="21"/>
        </w:rPr>
        <w:t>、法定代表人委托书（法定代表人带营业执照复印件加盖公章）</w:t>
      </w:r>
      <w:r>
        <w:rPr>
          <w:rFonts w:hint="eastAsia" w:ascii="新宋体" w:hAnsi="新宋体" w:eastAsia="新宋体"/>
          <w:szCs w:val="21"/>
        </w:rPr>
        <w:t>准时到会并签名以证明其出席，未参加开标会的将视为自动弃权。</w:t>
      </w:r>
    </w:p>
    <w:p>
      <w:pPr>
        <w:spacing w:line="380" w:lineRule="exact"/>
        <w:ind w:left="36" w:leftChars="17"/>
        <w:rPr>
          <w:rFonts w:hint="eastAsia" w:ascii="宋体" w:hAnsi="宋体"/>
          <w:szCs w:val="21"/>
        </w:rPr>
      </w:pPr>
      <w:r>
        <w:rPr>
          <w:rFonts w:hint="eastAsia" w:ascii="新宋体" w:hAnsi="新宋体" w:eastAsia="新宋体"/>
          <w:szCs w:val="21"/>
        </w:rPr>
        <w:t>2）</w:t>
      </w:r>
      <w:r>
        <w:rPr>
          <w:rFonts w:hint="eastAsia" w:ascii="宋体" w:hAnsi="宋体"/>
          <w:szCs w:val="21"/>
        </w:rPr>
        <w:t>开标时采购监督人员查验投标人代表身份证、法定代表人委托书或营业执照复印件（委托书和营业执照复印件封在标书中也有效），同时采购机构工作人员作好记录确认无误后开启标书。</w:t>
      </w:r>
    </w:p>
    <w:p>
      <w:pPr>
        <w:spacing w:line="380" w:lineRule="exact"/>
        <w:ind w:left="36" w:leftChars="17"/>
        <w:rPr>
          <w:rFonts w:hint="eastAsia" w:ascii="新宋体" w:hAnsi="新宋体" w:eastAsia="新宋体"/>
          <w:szCs w:val="21"/>
          <w:u w:val="single"/>
        </w:rPr>
      </w:pPr>
      <w:r>
        <w:rPr>
          <w:rFonts w:hint="eastAsia" w:ascii="新宋体" w:hAnsi="新宋体" w:eastAsia="新宋体"/>
          <w:szCs w:val="21"/>
        </w:rPr>
        <w:t>3）</w:t>
      </w:r>
      <w:r>
        <w:rPr>
          <w:rFonts w:ascii="Arial" w:hAnsi="Arial"/>
          <w:szCs w:val="21"/>
        </w:rPr>
        <w:t>开</w:t>
      </w:r>
      <w:r>
        <w:rPr>
          <w:rFonts w:hint="eastAsia" w:ascii="Arial" w:hAnsi="Arial"/>
          <w:szCs w:val="21"/>
        </w:rPr>
        <w:t>标</w:t>
      </w:r>
      <w:r>
        <w:rPr>
          <w:rFonts w:ascii="Arial" w:hAnsi="Arial"/>
          <w:szCs w:val="21"/>
        </w:rPr>
        <w:t>时</w:t>
      </w:r>
      <w:r>
        <w:rPr>
          <w:rFonts w:hint="eastAsia" w:ascii="Arial" w:hAnsi="Arial"/>
          <w:szCs w:val="21"/>
        </w:rPr>
        <w:t>，</w:t>
      </w:r>
      <w:r>
        <w:rPr>
          <w:rFonts w:hint="eastAsia" w:ascii="_x000B__x000C_" w:hAnsi="_x000B__x000C_"/>
        </w:rPr>
        <w:t>应当由投标人或者其推选的代表检查投标文件（包括技术、资信标和商务标）的密封情况，也可以由采购监督人员代替查验，同时记录人员对所有投标文件密封情况做好记录</w:t>
      </w:r>
      <w:r>
        <w:rPr>
          <w:rFonts w:hint="eastAsia" w:ascii="新宋体" w:hAnsi="新宋体" w:eastAsia="新宋体"/>
          <w:szCs w:val="21"/>
        </w:rPr>
        <w:t>。</w:t>
      </w:r>
    </w:p>
    <w:p>
      <w:pPr>
        <w:spacing w:line="380" w:lineRule="exact"/>
        <w:rPr>
          <w:rFonts w:hint="eastAsia" w:ascii="新宋体" w:hAnsi="新宋体" w:eastAsia="新宋体"/>
          <w:szCs w:val="21"/>
        </w:rPr>
      </w:pPr>
      <w:r>
        <w:rPr>
          <w:rFonts w:hint="eastAsia" w:ascii="新宋体" w:hAnsi="新宋体" w:eastAsia="新宋体"/>
          <w:szCs w:val="21"/>
        </w:rPr>
        <w:t>4)开标时没有启封和宣读的投标文件不予评审并原封退回。</w:t>
      </w:r>
    </w:p>
    <w:p>
      <w:pPr>
        <w:widowControl/>
        <w:numPr>
          <w:ilvl w:val="0"/>
          <w:numId w:val="3"/>
        </w:numPr>
        <w:tabs>
          <w:tab w:val="left" w:pos="618"/>
        </w:tabs>
        <w:spacing w:line="380" w:lineRule="exact"/>
        <w:ind w:left="618" w:hanging="618"/>
        <w:jc w:val="left"/>
        <w:rPr>
          <w:rFonts w:hint="eastAsia" w:ascii="新宋体" w:hAnsi="新宋体" w:eastAsia="新宋体"/>
          <w:b/>
          <w:szCs w:val="21"/>
        </w:rPr>
      </w:pPr>
      <w:r>
        <w:rPr>
          <w:rFonts w:hint="eastAsia" w:ascii="新宋体" w:hAnsi="新宋体" w:eastAsia="新宋体"/>
          <w:b/>
          <w:szCs w:val="21"/>
        </w:rPr>
        <w:t>投标文件的评审</w:t>
      </w:r>
    </w:p>
    <w:p>
      <w:pPr>
        <w:spacing w:line="380" w:lineRule="exact"/>
        <w:rPr>
          <w:rFonts w:hint="eastAsia" w:ascii="新宋体" w:hAnsi="新宋体" w:eastAsia="新宋体"/>
          <w:b/>
          <w:szCs w:val="21"/>
        </w:rPr>
      </w:pPr>
      <w:r>
        <w:rPr>
          <w:rFonts w:ascii="Arial" w:hAnsi="Arial" w:eastAsia="新宋体" w:cs="Arial"/>
          <w:szCs w:val="21"/>
        </w:rPr>
        <w:t>2</w:t>
      </w:r>
      <w:r>
        <w:rPr>
          <w:rFonts w:hint="eastAsia" w:ascii="Arial" w:hAnsi="Arial" w:eastAsia="新宋体" w:cs="Arial"/>
          <w:szCs w:val="21"/>
        </w:rPr>
        <w:t>7</w:t>
      </w:r>
      <w:r>
        <w:rPr>
          <w:rFonts w:ascii="Arial" w:hAnsi="Arial" w:eastAsia="新宋体" w:cs="Arial"/>
          <w:szCs w:val="21"/>
        </w:rPr>
        <w:t>.1</w:t>
      </w:r>
      <w:r>
        <w:rPr>
          <w:rFonts w:hint="eastAsia" w:ascii="新宋体" w:hAnsi="新宋体" w:eastAsia="新宋体"/>
          <w:szCs w:val="21"/>
        </w:rPr>
        <w:t>开标后，评标委员会对投标文件进行初审，初审内容为：</w:t>
      </w:r>
    </w:p>
    <w:p>
      <w:pPr>
        <w:spacing w:line="380" w:lineRule="exact"/>
        <w:rPr>
          <w:rFonts w:hint="eastAsia" w:ascii="新宋体" w:hAnsi="新宋体" w:eastAsia="新宋体"/>
          <w:szCs w:val="21"/>
        </w:rPr>
      </w:pPr>
      <w:r>
        <w:rPr>
          <w:rFonts w:hint="eastAsia" w:ascii="新宋体" w:hAnsi="新宋体" w:eastAsia="新宋体"/>
          <w:szCs w:val="21"/>
        </w:rPr>
        <w:t>（1）</w:t>
      </w:r>
      <w:r>
        <w:rPr>
          <w:rFonts w:hint="eastAsia" w:ascii="_x000B__x000C_" w:hAnsi="_x000B__x000C_"/>
        </w:rPr>
        <w:t>资格性检查。依据法律法规和招标文件的规定，对投标文件中的资格证明等进行审查，以确定投标人是否具备投标资格。</w:t>
      </w:r>
    </w:p>
    <w:p>
      <w:pPr>
        <w:spacing w:line="380" w:lineRule="exact"/>
        <w:rPr>
          <w:rFonts w:hint="eastAsia" w:ascii="新宋体" w:hAnsi="新宋体" w:eastAsia="新宋体"/>
          <w:szCs w:val="21"/>
        </w:rPr>
      </w:pPr>
      <w:r>
        <w:rPr>
          <w:rFonts w:hint="eastAsia" w:ascii="新宋体" w:hAnsi="新宋体" w:eastAsia="新宋体"/>
          <w:szCs w:val="21"/>
        </w:rPr>
        <w:t>（2）符合性检查。依据招标文件的规定，从投标文件的有效性、完整性和对招标文件的响应程度进行审查，以确定是否对招标文件的实质性要求作出响应。</w:t>
      </w:r>
    </w:p>
    <w:p>
      <w:pPr>
        <w:spacing w:line="380" w:lineRule="exact"/>
        <w:rPr>
          <w:rFonts w:hint="eastAsia" w:ascii="新宋体" w:hAnsi="新宋体" w:eastAsia="新宋体"/>
          <w:szCs w:val="21"/>
        </w:rPr>
      </w:pPr>
      <w:r>
        <w:rPr>
          <w:rFonts w:ascii="Arial" w:hAnsi="Arial" w:eastAsia="新宋体" w:cs="Arial"/>
          <w:szCs w:val="21"/>
        </w:rPr>
        <w:t>2</w:t>
      </w:r>
      <w:r>
        <w:rPr>
          <w:rFonts w:hint="eastAsia" w:ascii="Arial" w:hAnsi="Arial" w:eastAsia="新宋体" w:cs="Arial"/>
          <w:szCs w:val="21"/>
        </w:rPr>
        <w:t>7</w:t>
      </w:r>
      <w:r>
        <w:rPr>
          <w:rFonts w:ascii="Arial" w:hAnsi="Arial" w:eastAsia="新宋体" w:cs="Arial"/>
          <w:szCs w:val="21"/>
        </w:rPr>
        <w:t>.</w:t>
      </w:r>
      <w:r>
        <w:rPr>
          <w:rFonts w:hint="eastAsia" w:ascii="Arial" w:hAnsi="Arial" w:eastAsia="新宋体" w:cs="Arial"/>
          <w:szCs w:val="21"/>
        </w:rPr>
        <w:t>2</w:t>
      </w:r>
      <w:r>
        <w:rPr>
          <w:rFonts w:hint="eastAsia" w:ascii="新宋体" w:hAnsi="新宋体" w:eastAsia="新宋体"/>
          <w:szCs w:val="21"/>
        </w:rPr>
        <w:t xml:space="preserve"> </w:t>
      </w:r>
      <w:r>
        <w:rPr>
          <w:rFonts w:hint="eastAsia" w:ascii="新宋体" w:hAnsi="新宋体" w:eastAsia="新宋体"/>
          <w:b/>
          <w:szCs w:val="21"/>
        </w:rPr>
        <w:t>初审时若发现投标货物与招标货物在型号规格、技术性能、质量、保质保修期等有重大偏离，或缺少招标文件要求必须提供的投标内容条款，其投标将被拒绝。</w:t>
      </w:r>
      <w:r>
        <w:rPr>
          <w:rFonts w:hint="eastAsia" w:ascii="新宋体" w:hAnsi="新宋体" w:eastAsia="新宋体"/>
          <w:szCs w:val="21"/>
        </w:rPr>
        <w:t>但允许投标文件中有不构成实质性偏差的微小差异。</w:t>
      </w:r>
    </w:p>
    <w:p>
      <w:pPr>
        <w:spacing w:line="380" w:lineRule="exact"/>
        <w:ind w:left="2"/>
        <w:rPr>
          <w:rFonts w:hint="eastAsia" w:ascii="新宋体" w:hAnsi="新宋体" w:eastAsia="新宋体"/>
          <w:szCs w:val="21"/>
        </w:rPr>
      </w:pPr>
      <w:r>
        <w:rPr>
          <w:rFonts w:ascii="Arial" w:hAnsi="Arial" w:eastAsia="新宋体" w:cs="Arial"/>
          <w:szCs w:val="21"/>
        </w:rPr>
        <w:t>2</w:t>
      </w:r>
      <w:r>
        <w:rPr>
          <w:rFonts w:hint="eastAsia" w:ascii="Arial" w:hAnsi="Arial" w:eastAsia="新宋体" w:cs="Arial"/>
          <w:szCs w:val="21"/>
        </w:rPr>
        <w:t>7</w:t>
      </w:r>
      <w:r>
        <w:rPr>
          <w:rFonts w:ascii="Arial" w:hAnsi="Arial" w:eastAsia="新宋体" w:cs="Arial"/>
          <w:szCs w:val="21"/>
        </w:rPr>
        <w:t>.</w:t>
      </w:r>
      <w:r>
        <w:rPr>
          <w:rFonts w:hint="eastAsia" w:ascii="Arial" w:hAnsi="Arial" w:eastAsia="新宋体" w:cs="Arial"/>
          <w:szCs w:val="21"/>
        </w:rPr>
        <w:t>3</w:t>
      </w:r>
      <w:r>
        <w:rPr>
          <w:rFonts w:hint="eastAsia" w:ascii="新宋体" w:hAnsi="新宋体" w:eastAsia="新宋体"/>
          <w:szCs w:val="21"/>
        </w:rPr>
        <w:t xml:space="preserve"> 在详细评标之前，评标委员会要审查每份投标文件是否实质上响应了招标文件的要求。实质上响应的投标应该是与招标文件要求的全部条款、条件和规格相符，没有重大偏离的投标。评标委员会决定投标的响应性只根据投标文件本身的内容，而不寻求外部的证据。</w:t>
      </w:r>
    </w:p>
    <w:p>
      <w:pPr>
        <w:spacing w:line="380" w:lineRule="exact"/>
        <w:ind w:left="-4" w:leftChars="-2"/>
        <w:rPr>
          <w:rFonts w:hint="eastAsia" w:ascii="新宋体" w:hAnsi="新宋体" w:eastAsia="新宋体"/>
          <w:b/>
          <w:szCs w:val="21"/>
        </w:rPr>
      </w:pPr>
      <w:r>
        <w:rPr>
          <w:rFonts w:ascii="Arial" w:hAnsi="Arial" w:eastAsia="新宋体" w:cs="Arial"/>
          <w:szCs w:val="21"/>
        </w:rPr>
        <w:t>2</w:t>
      </w:r>
      <w:r>
        <w:rPr>
          <w:rFonts w:hint="eastAsia" w:ascii="Arial" w:hAnsi="Arial" w:eastAsia="新宋体" w:cs="Arial"/>
          <w:szCs w:val="21"/>
        </w:rPr>
        <w:t>7</w:t>
      </w:r>
      <w:r>
        <w:rPr>
          <w:rFonts w:ascii="Arial" w:hAnsi="Arial" w:eastAsia="新宋体" w:cs="Arial"/>
          <w:szCs w:val="21"/>
        </w:rPr>
        <w:t>.</w:t>
      </w:r>
      <w:r>
        <w:rPr>
          <w:rFonts w:hint="eastAsia" w:ascii="Arial" w:hAnsi="Arial" w:eastAsia="新宋体" w:cs="Arial"/>
          <w:szCs w:val="21"/>
        </w:rPr>
        <w:t>4</w:t>
      </w:r>
      <w:r>
        <w:rPr>
          <w:rFonts w:hint="eastAsia" w:ascii="新宋体" w:hAnsi="新宋体" w:eastAsia="新宋体"/>
          <w:b/>
          <w:szCs w:val="21"/>
        </w:rPr>
        <w:t>实质上没有响应招标文件要求的投标将被拒绝，投标人不得通过修正或撤销不合要求的偏离或保留从而使其投标成为实质上响应的投标。</w:t>
      </w:r>
    </w:p>
    <w:p>
      <w:pPr>
        <w:spacing w:line="380" w:lineRule="exact"/>
        <w:rPr>
          <w:rFonts w:hint="eastAsia" w:ascii="新宋体" w:hAnsi="新宋体" w:eastAsia="新宋体"/>
          <w:szCs w:val="21"/>
        </w:rPr>
      </w:pPr>
      <w:r>
        <w:rPr>
          <w:rFonts w:ascii="Arial" w:hAnsi="Arial" w:eastAsia="新宋体" w:cs="Arial"/>
          <w:szCs w:val="21"/>
        </w:rPr>
        <w:t>2</w:t>
      </w:r>
      <w:r>
        <w:rPr>
          <w:rFonts w:hint="eastAsia" w:ascii="Arial" w:hAnsi="Arial" w:eastAsia="新宋体" w:cs="Arial"/>
          <w:szCs w:val="21"/>
        </w:rPr>
        <w:t>7</w:t>
      </w:r>
      <w:r>
        <w:rPr>
          <w:rFonts w:ascii="Arial" w:hAnsi="Arial" w:eastAsia="新宋体" w:cs="Arial"/>
          <w:szCs w:val="21"/>
        </w:rPr>
        <w:t>.</w:t>
      </w:r>
      <w:r>
        <w:rPr>
          <w:rFonts w:hint="eastAsia" w:ascii="Arial" w:hAnsi="Arial" w:eastAsia="新宋体" w:cs="Arial"/>
          <w:szCs w:val="21"/>
        </w:rPr>
        <w:t>5</w:t>
      </w:r>
      <w:r>
        <w:rPr>
          <w:rFonts w:hint="eastAsia" w:ascii="新宋体" w:hAnsi="新宋体" w:eastAsia="新宋体"/>
          <w:szCs w:val="21"/>
        </w:rPr>
        <w:t xml:space="preserve"> 评标委员会成员对资格性、符合性检查合格的投标文件按照招标文件中制订的评分办法进行综合评定打分。</w:t>
      </w:r>
    </w:p>
    <w:p>
      <w:pPr>
        <w:spacing w:line="380" w:lineRule="exact"/>
        <w:ind w:left="-2" w:leftChars="-1"/>
        <w:rPr>
          <w:rFonts w:hint="eastAsia" w:ascii="新宋体" w:hAnsi="新宋体" w:eastAsia="新宋体"/>
          <w:szCs w:val="21"/>
        </w:rPr>
      </w:pPr>
      <w:r>
        <w:rPr>
          <w:rFonts w:ascii="Arial" w:hAnsi="Arial" w:eastAsia="新宋体" w:cs="Arial"/>
          <w:szCs w:val="21"/>
        </w:rPr>
        <w:t>2</w:t>
      </w:r>
      <w:r>
        <w:rPr>
          <w:rFonts w:hint="eastAsia" w:ascii="Arial" w:hAnsi="Arial" w:eastAsia="新宋体" w:cs="Arial"/>
          <w:szCs w:val="21"/>
        </w:rPr>
        <w:t>7</w:t>
      </w:r>
      <w:r>
        <w:rPr>
          <w:rFonts w:ascii="Arial" w:hAnsi="Arial" w:eastAsia="新宋体" w:cs="Arial"/>
          <w:szCs w:val="21"/>
        </w:rPr>
        <w:t>.</w:t>
      </w:r>
      <w:r>
        <w:rPr>
          <w:rFonts w:hint="eastAsia" w:ascii="Arial" w:hAnsi="Arial" w:eastAsia="新宋体" w:cs="Arial"/>
          <w:szCs w:val="21"/>
        </w:rPr>
        <w:t>6</w:t>
      </w:r>
      <w:r>
        <w:rPr>
          <w:rFonts w:hint="eastAsia" w:ascii="新宋体" w:hAnsi="新宋体" w:eastAsia="新宋体" w:cs="宋体"/>
          <w:szCs w:val="21"/>
        </w:rPr>
        <w:t>评标过程中遇到特殊情况，由评标委员会遵循公平、公正原则，采取记名投票方式按照少数服从多数原则决定。</w:t>
      </w:r>
    </w:p>
    <w:p>
      <w:pPr>
        <w:spacing w:line="380" w:lineRule="exact"/>
        <w:ind w:left="485" w:leftChars="-49" w:hanging="588" w:hangingChars="280"/>
        <w:rPr>
          <w:rFonts w:hint="eastAsia" w:ascii="新宋体" w:hAnsi="新宋体" w:eastAsia="新宋体"/>
          <w:b/>
          <w:szCs w:val="21"/>
        </w:rPr>
      </w:pPr>
      <w:r>
        <w:rPr>
          <w:rFonts w:ascii="Arial" w:hAnsi="Arial" w:eastAsia="新宋体" w:cs="Arial"/>
          <w:szCs w:val="21"/>
        </w:rPr>
        <w:t>2</w:t>
      </w:r>
      <w:r>
        <w:rPr>
          <w:rFonts w:hint="eastAsia" w:ascii="Arial" w:hAnsi="Arial" w:eastAsia="新宋体" w:cs="Arial"/>
          <w:szCs w:val="21"/>
        </w:rPr>
        <w:t>7</w:t>
      </w:r>
      <w:r>
        <w:rPr>
          <w:rFonts w:ascii="Arial" w:hAnsi="Arial" w:eastAsia="新宋体" w:cs="Arial"/>
          <w:szCs w:val="21"/>
        </w:rPr>
        <w:t>.</w:t>
      </w:r>
      <w:r>
        <w:rPr>
          <w:rFonts w:hint="eastAsia" w:ascii="Arial" w:hAnsi="Arial" w:eastAsia="新宋体" w:cs="Arial"/>
          <w:szCs w:val="21"/>
        </w:rPr>
        <w:t>7</w:t>
      </w:r>
      <w:r>
        <w:rPr>
          <w:rFonts w:hint="eastAsia" w:ascii="新宋体" w:hAnsi="新宋体" w:eastAsia="新宋体" w:cs="Arial"/>
          <w:szCs w:val="21"/>
        </w:rPr>
        <w:t xml:space="preserve"> ▲</w:t>
      </w:r>
      <w:r>
        <w:rPr>
          <w:rFonts w:hint="eastAsia" w:ascii="Arial" w:hAnsi="Arial" w:eastAsia="新宋体" w:cs="Arial"/>
          <w:b/>
          <w:szCs w:val="21"/>
        </w:rPr>
        <w:t xml:space="preserve"> </w:t>
      </w:r>
      <w:r>
        <w:rPr>
          <w:rFonts w:hint="eastAsia" w:ascii="新宋体" w:hAnsi="新宋体" w:eastAsia="新宋体"/>
          <w:b/>
          <w:szCs w:val="21"/>
        </w:rPr>
        <w:t>属于下列情况按</w:t>
      </w:r>
      <w:r>
        <w:rPr>
          <w:rFonts w:hint="eastAsia" w:ascii="新宋体" w:hAnsi="新宋体" w:eastAsia="新宋体"/>
          <w:b/>
          <w:bCs/>
          <w:szCs w:val="21"/>
        </w:rPr>
        <w:t>无效标</w:t>
      </w:r>
      <w:r>
        <w:rPr>
          <w:rFonts w:hint="eastAsia" w:ascii="新宋体" w:hAnsi="新宋体" w:eastAsia="新宋体"/>
          <w:b/>
          <w:szCs w:val="21"/>
        </w:rPr>
        <w:t>处理</w:t>
      </w:r>
      <w:r>
        <w:rPr>
          <w:rFonts w:hint="eastAsia" w:ascii="新宋体" w:hAnsi="新宋体" w:eastAsia="新宋体"/>
          <w:b/>
          <w:bCs/>
          <w:szCs w:val="21"/>
        </w:rPr>
        <w:t>：</w:t>
      </w:r>
    </w:p>
    <w:p>
      <w:pPr>
        <w:widowControl/>
        <w:numPr>
          <w:ilvl w:val="0"/>
          <w:numId w:val="4"/>
        </w:numPr>
        <w:tabs>
          <w:tab w:val="left" w:pos="206"/>
          <w:tab w:val="clear" w:pos="832"/>
        </w:tabs>
        <w:spacing w:line="380" w:lineRule="exact"/>
        <w:ind w:left="515" w:hanging="515"/>
        <w:jc w:val="left"/>
        <w:rPr>
          <w:rFonts w:hint="eastAsia" w:ascii="新宋体" w:hAnsi="新宋体" w:eastAsia="新宋体"/>
          <w:b/>
          <w:bCs/>
          <w:szCs w:val="21"/>
        </w:rPr>
      </w:pPr>
      <w:r>
        <w:rPr>
          <w:rFonts w:hint="eastAsia" w:ascii="新宋体" w:hAnsi="新宋体" w:eastAsia="新宋体"/>
          <w:b/>
          <w:bCs/>
          <w:szCs w:val="21"/>
        </w:rPr>
        <w:t>在投标截止时间以后送达的投标文件；</w:t>
      </w:r>
    </w:p>
    <w:p>
      <w:pPr>
        <w:widowControl/>
        <w:numPr>
          <w:ilvl w:val="0"/>
          <w:numId w:val="4"/>
        </w:numPr>
        <w:tabs>
          <w:tab w:val="left" w:pos="206"/>
          <w:tab w:val="clear" w:pos="832"/>
        </w:tabs>
        <w:spacing w:line="380" w:lineRule="exact"/>
        <w:ind w:left="515" w:hanging="515"/>
        <w:jc w:val="left"/>
        <w:rPr>
          <w:rFonts w:hint="eastAsia" w:ascii="新宋体" w:hAnsi="新宋体" w:eastAsia="新宋体"/>
          <w:b/>
          <w:bCs/>
          <w:szCs w:val="21"/>
        </w:rPr>
      </w:pPr>
      <w:r>
        <w:rPr>
          <w:rFonts w:hint="eastAsia" w:ascii="新宋体" w:hAnsi="新宋体" w:eastAsia="新宋体"/>
          <w:b/>
          <w:bCs/>
          <w:szCs w:val="21"/>
        </w:rPr>
        <w:t>由于包装不妥在送达途中严重破损或失散的投标文件；</w:t>
      </w:r>
    </w:p>
    <w:p>
      <w:pPr>
        <w:widowControl/>
        <w:numPr>
          <w:ilvl w:val="0"/>
          <w:numId w:val="4"/>
        </w:numPr>
        <w:tabs>
          <w:tab w:val="left" w:pos="206"/>
          <w:tab w:val="clear" w:pos="832"/>
        </w:tabs>
        <w:spacing w:line="380" w:lineRule="exact"/>
        <w:ind w:left="515" w:hanging="515"/>
        <w:jc w:val="left"/>
        <w:rPr>
          <w:rFonts w:hint="eastAsia" w:ascii="新宋体" w:hAnsi="新宋体" w:eastAsia="新宋体"/>
          <w:b/>
          <w:bCs/>
          <w:szCs w:val="21"/>
        </w:rPr>
      </w:pPr>
      <w:r>
        <w:rPr>
          <w:rFonts w:hint="eastAsia" w:ascii="新宋体" w:hAnsi="新宋体" w:eastAsia="新宋体"/>
          <w:b/>
          <w:bCs/>
          <w:szCs w:val="21"/>
        </w:rPr>
        <w:t>技术资信标中出现商务报价的；</w:t>
      </w:r>
    </w:p>
    <w:p>
      <w:pPr>
        <w:widowControl/>
        <w:numPr>
          <w:ilvl w:val="0"/>
          <w:numId w:val="4"/>
        </w:numPr>
        <w:tabs>
          <w:tab w:val="left" w:pos="206"/>
          <w:tab w:val="clear" w:pos="832"/>
        </w:tabs>
        <w:spacing w:line="380" w:lineRule="exact"/>
        <w:ind w:left="515" w:hanging="515"/>
        <w:jc w:val="left"/>
        <w:rPr>
          <w:rFonts w:hint="eastAsia" w:ascii="新宋体" w:hAnsi="新宋体" w:eastAsia="新宋体"/>
          <w:b/>
          <w:bCs/>
          <w:szCs w:val="21"/>
        </w:rPr>
      </w:pPr>
      <w:r>
        <w:rPr>
          <w:rFonts w:hint="eastAsia" w:ascii="新宋体" w:hAnsi="新宋体" w:eastAsia="新宋体"/>
          <w:b/>
          <w:bCs/>
          <w:szCs w:val="21"/>
        </w:rPr>
        <w:t>未按招标文件要求编制或字迹模糊、辨认不清的投标文件；</w:t>
      </w:r>
    </w:p>
    <w:p>
      <w:pPr>
        <w:widowControl/>
        <w:numPr>
          <w:ilvl w:val="0"/>
          <w:numId w:val="4"/>
        </w:numPr>
        <w:tabs>
          <w:tab w:val="left" w:pos="206"/>
          <w:tab w:val="clear" w:pos="832"/>
        </w:tabs>
        <w:spacing w:line="380" w:lineRule="exact"/>
        <w:ind w:left="515" w:hanging="515"/>
        <w:jc w:val="left"/>
        <w:rPr>
          <w:rFonts w:hint="eastAsia" w:ascii="新宋体" w:hAnsi="新宋体" w:eastAsia="新宋体"/>
          <w:b/>
          <w:bCs/>
          <w:szCs w:val="21"/>
        </w:rPr>
      </w:pPr>
      <w:r>
        <w:rPr>
          <w:rFonts w:hint="eastAsia" w:ascii="新宋体" w:hAnsi="新宋体" w:eastAsia="新宋体"/>
          <w:b/>
          <w:bCs/>
          <w:szCs w:val="21"/>
        </w:rPr>
        <w:t>投标报价不是固定价的；</w:t>
      </w:r>
    </w:p>
    <w:p>
      <w:pPr>
        <w:widowControl/>
        <w:numPr>
          <w:ilvl w:val="0"/>
          <w:numId w:val="4"/>
        </w:numPr>
        <w:tabs>
          <w:tab w:val="left" w:pos="206"/>
          <w:tab w:val="clear" w:pos="832"/>
        </w:tabs>
        <w:spacing w:line="380" w:lineRule="exact"/>
        <w:ind w:left="515" w:hanging="515"/>
        <w:jc w:val="left"/>
        <w:rPr>
          <w:rFonts w:hint="eastAsia" w:ascii="新宋体" w:hAnsi="新宋体" w:eastAsia="新宋体"/>
          <w:b/>
          <w:szCs w:val="21"/>
        </w:rPr>
      </w:pPr>
      <w:r>
        <w:rPr>
          <w:rFonts w:hint="eastAsia" w:ascii="新宋体" w:hAnsi="新宋体" w:eastAsia="新宋体"/>
          <w:b/>
          <w:szCs w:val="21"/>
        </w:rPr>
        <w:t>投标人递交两份或两份以上内容不同的投标文件，未声明其中一份为有效的；或同一投标文件中出现有选择性的报价，未声明以其中一个报价为准的；</w:t>
      </w:r>
    </w:p>
    <w:p>
      <w:pPr>
        <w:widowControl/>
        <w:numPr>
          <w:ilvl w:val="0"/>
          <w:numId w:val="4"/>
        </w:numPr>
        <w:tabs>
          <w:tab w:val="left" w:pos="206"/>
          <w:tab w:val="clear" w:pos="832"/>
        </w:tabs>
        <w:spacing w:line="380" w:lineRule="exact"/>
        <w:ind w:left="515" w:hanging="515"/>
        <w:jc w:val="left"/>
        <w:rPr>
          <w:rFonts w:hint="eastAsia" w:ascii="新宋体" w:hAnsi="新宋体" w:eastAsia="新宋体"/>
          <w:b/>
          <w:bCs/>
          <w:szCs w:val="21"/>
        </w:rPr>
      </w:pPr>
      <w:r>
        <w:rPr>
          <w:rFonts w:hint="eastAsia" w:ascii="新宋体" w:hAnsi="新宋体" w:eastAsia="新宋体"/>
          <w:b/>
          <w:bCs/>
          <w:szCs w:val="21"/>
        </w:rPr>
        <w:t>投标人未按招标文件规定“提供技术标、商务标投标文件各一式五份，其中‘正本’一份、‘副本’四份，分别装订成册” 的。</w:t>
      </w:r>
    </w:p>
    <w:p>
      <w:pPr>
        <w:widowControl/>
        <w:numPr>
          <w:ilvl w:val="0"/>
          <w:numId w:val="4"/>
        </w:numPr>
        <w:tabs>
          <w:tab w:val="left" w:pos="206"/>
          <w:tab w:val="clear" w:pos="832"/>
        </w:tabs>
        <w:spacing w:line="380" w:lineRule="exact"/>
        <w:ind w:left="515" w:hanging="515"/>
        <w:jc w:val="left"/>
        <w:rPr>
          <w:rFonts w:hint="eastAsia" w:ascii="新宋体" w:hAnsi="新宋体" w:eastAsia="新宋体"/>
          <w:b/>
          <w:bCs/>
          <w:szCs w:val="21"/>
        </w:rPr>
      </w:pPr>
      <w:r>
        <w:rPr>
          <w:rFonts w:hint="eastAsia" w:ascii="新宋体" w:hAnsi="新宋体" w:eastAsia="新宋体"/>
          <w:b/>
          <w:bCs/>
          <w:szCs w:val="21"/>
        </w:rPr>
        <w:t>主要货物的技术规格和参数不满足招标内容及技术要求以及商务有重大偏离或保留的；</w:t>
      </w:r>
    </w:p>
    <w:p>
      <w:pPr>
        <w:widowControl/>
        <w:numPr>
          <w:ilvl w:val="0"/>
          <w:numId w:val="4"/>
        </w:numPr>
        <w:tabs>
          <w:tab w:val="left" w:pos="206"/>
          <w:tab w:val="clear" w:pos="832"/>
        </w:tabs>
        <w:spacing w:line="380" w:lineRule="exact"/>
        <w:ind w:left="515" w:hanging="515"/>
        <w:jc w:val="left"/>
        <w:rPr>
          <w:rFonts w:hint="eastAsia" w:ascii="新宋体" w:hAnsi="新宋体" w:eastAsia="新宋体"/>
          <w:b/>
          <w:szCs w:val="21"/>
        </w:rPr>
      </w:pPr>
      <w:r>
        <w:rPr>
          <w:rFonts w:hint="eastAsia" w:ascii="新宋体" w:hAnsi="新宋体" w:eastAsia="新宋体"/>
          <w:b/>
          <w:szCs w:val="21"/>
        </w:rPr>
        <w:t>投标文件中投标函、法人授权委托书、开标一览表等无法定代表人或无授权代表签字或印章的；</w:t>
      </w:r>
    </w:p>
    <w:p>
      <w:pPr>
        <w:widowControl/>
        <w:numPr>
          <w:ilvl w:val="0"/>
          <w:numId w:val="4"/>
        </w:numPr>
        <w:tabs>
          <w:tab w:val="left" w:pos="206"/>
          <w:tab w:val="clear" w:pos="832"/>
        </w:tabs>
        <w:spacing w:line="380" w:lineRule="exact"/>
        <w:ind w:left="515" w:hanging="515"/>
        <w:jc w:val="left"/>
        <w:rPr>
          <w:rFonts w:hint="eastAsia" w:ascii="新宋体" w:hAnsi="新宋体" w:eastAsia="新宋体"/>
          <w:b/>
          <w:szCs w:val="21"/>
        </w:rPr>
      </w:pPr>
      <w:r>
        <w:rPr>
          <w:rFonts w:hint="eastAsia" w:ascii="新宋体" w:hAnsi="新宋体" w:eastAsia="新宋体"/>
          <w:b/>
          <w:spacing w:val="-2"/>
          <w:szCs w:val="21"/>
        </w:rPr>
        <w:t>法人代表或授权代表未参加开标大会（</w:t>
      </w:r>
      <w:r>
        <w:rPr>
          <w:rFonts w:hint="eastAsia" w:ascii="新宋体" w:hAnsi="新宋体" w:eastAsia="新宋体"/>
          <w:b/>
          <w:szCs w:val="21"/>
        </w:rPr>
        <w:t>或未带本人有效</w:t>
      </w:r>
      <w:r>
        <w:rPr>
          <w:rFonts w:hint="eastAsia" w:ascii="新宋体" w:hAnsi="新宋体" w:eastAsia="新宋体"/>
          <w:b/>
          <w:spacing w:val="-2"/>
          <w:szCs w:val="21"/>
        </w:rPr>
        <w:t>身份证）的</w:t>
      </w:r>
      <w:r>
        <w:rPr>
          <w:rFonts w:hint="eastAsia" w:ascii="新宋体" w:hAnsi="新宋体" w:eastAsia="新宋体"/>
          <w:b/>
          <w:szCs w:val="21"/>
        </w:rPr>
        <w:t>；</w:t>
      </w:r>
    </w:p>
    <w:p>
      <w:pPr>
        <w:widowControl/>
        <w:numPr>
          <w:ilvl w:val="0"/>
          <w:numId w:val="4"/>
        </w:numPr>
        <w:tabs>
          <w:tab w:val="left" w:pos="206"/>
          <w:tab w:val="clear" w:pos="832"/>
        </w:tabs>
        <w:spacing w:line="380" w:lineRule="exact"/>
        <w:ind w:left="515" w:hanging="515"/>
        <w:jc w:val="left"/>
        <w:rPr>
          <w:rFonts w:hint="eastAsia" w:ascii="新宋体" w:hAnsi="新宋体" w:eastAsia="新宋体"/>
          <w:b/>
          <w:szCs w:val="21"/>
        </w:rPr>
      </w:pPr>
      <w:r>
        <w:rPr>
          <w:rFonts w:hint="eastAsia" w:ascii="新宋体" w:hAnsi="新宋体" w:eastAsia="新宋体"/>
          <w:b/>
          <w:szCs w:val="21"/>
        </w:rPr>
        <w:t>投标人代表为授权代表而无法定代表人授权书(原件)的；</w:t>
      </w:r>
    </w:p>
    <w:p>
      <w:pPr>
        <w:widowControl/>
        <w:numPr>
          <w:ilvl w:val="0"/>
          <w:numId w:val="4"/>
        </w:numPr>
        <w:tabs>
          <w:tab w:val="left" w:pos="206"/>
          <w:tab w:val="clear" w:pos="832"/>
        </w:tabs>
        <w:spacing w:line="380" w:lineRule="exact"/>
        <w:ind w:left="515" w:hanging="515"/>
        <w:jc w:val="left"/>
        <w:rPr>
          <w:rFonts w:hint="eastAsia" w:ascii="新宋体" w:hAnsi="新宋体" w:eastAsia="新宋体"/>
          <w:b/>
          <w:szCs w:val="21"/>
        </w:rPr>
      </w:pPr>
      <w:r>
        <w:rPr>
          <w:rFonts w:hint="eastAsia" w:ascii="新宋体" w:hAnsi="新宋体" w:eastAsia="新宋体"/>
          <w:b/>
          <w:bCs/>
          <w:szCs w:val="21"/>
        </w:rPr>
        <w:t>评标委员会认为投标文件未实质性响应招标文件的要求的；</w:t>
      </w:r>
    </w:p>
    <w:p>
      <w:pPr>
        <w:widowControl/>
        <w:numPr>
          <w:ilvl w:val="0"/>
          <w:numId w:val="4"/>
        </w:numPr>
        <w:tabs>
          <w:tab w:val="left" w:pos="206"/>
          <w:tab w:val="clear" w:pos="832"/>
        </w:tabs>
        <w:spacing w:line="380" w:lineRule="exact"/>
        <w:ind w:left="515" w:hanging="515"/>
        <w:jc w:val="left"/>
        <w:rPr>
          <w:rFonts w:hint="eastAsia" w:ascii="新宋体" w:hAnsi="新宋体" w:eastAsia="新宋体"/>
          <w:b/>
          <w:szCs w:val="21"/>
        </w:rPr>
      </w:pPr>
      <w:r>
        <w:rPr>
          <w:rFonts w:hint="eastAsia" w:ascii="新宋体" w:hAnsi="新宋体" w:eastAsia="新宋体"/>
          <w:b/>
          <w:bCs/>
          <w:szCs w:val="21"/>
        </w:rPr>
        <w:t>投标报价高于上限控制价的；</w:t>
      </w:r>
    </w:p>
    <w:p>
      <w:pPr>
        <w:widowControl/>
        <w:numPr>
          <w:ilvl w:val="0"/>
          <w:numId w:val="4"/>
        </w:numPr>
        <w:tabs>
          <w:tab w:val="left" w:pos="206"/>
          <w:tab w:val="clear" w:pos="832"/>
        </w:tabs>
        <w:spacing w:line="380" w:lineRule="exact"/>
        <w:ind w:left="515" w:hanging="515"/>
        <w:jc w:val="left"/>
        <w:rPr>
          <w:rFonts w:hint="eastAsia" w:ascii="新宋体" w:hAnsi="新宋体" w:eastAsia="新宋体"/>
          <w:b/>
          <w:szCs w:val="21"/>
        </w:rPr>
      </w:pPr>
      <w:r>
        <w:rPr>
          <w:rFonts w:hint="eastAsia" w:ascii="新宋体" w:hAnsi="新宋体" w:eastAsia="新宋体"/>
          <w:b/>
          <w:szCs w:val="21"/>
        </w:rPr>
        <w:t>不符合法律、法规和招标文件中规定的其他实质性要求的。</w:t>
      </w:r>
    </w:p>
    <w:p>
      <w:pPr>
        <w:spacing w:line="380" w:lineRule="exact"/>
        <w:rPr>
          <w:rFonts w:hint="eastAsia" w:ascii="新宋体" w:hAnsi="新宋体" w:eastAsia="新宋体"/>
          <w:b/>
          <w:bCs/>
          <w:szCs w:val="21"/>
        </w:rPr>
      </w:pPr>
      <w:r>
        <w:rPr>
          <w:rFonts w:hint="eastAsia" w:ascii="宋体" w:hAnsi="宋体"/>
          <w:b/>
        </w:rPr>
        <w:t>27.8、</w:t>
      </w:r>
      <w:r>
        <w:rPr>
          <w:rFonts w:hint="eastAsia" w:ascii="新宋体" w:hAnsi="新宋体" w:eastAsia="新宋体"/>
          <w:b/>
          <w:bCs/>
          <w:szCs w:val="21"/>
        </w:rPr>
        <w:t>投标文件的澄清</w:t>
      </w:r>
    </w:p>
    <w:p>
      <w:pPr>
        <w:spacing w:line="380" w:lineRule="exact"/>
        <w:rPr>
          <w:rFonts w:hint="eastAsia" w:ascii="新宋体" w:hAnsi="新宋体" w:eastAsia="新宋体" w:cs="宋体"/>
          <w:szCs w:val="21"/>
        </w:rPr>
      </w:pPr>
      <w:r>
        <w:rPr>
          <w:rFonts w:hint="eastAsia" w:ascii="新宋体" w:hAnsi="新宋体" w:eastAsia="新宋体"/>
          <w:szCs w:val="21"/>
        </w:rPr>
        <w:t>(1)在评标期间，评标委员会</w:t>
      </w:r>
      <w:r>
        <w:rPr>
          <w:rFonts w:hint="eastAsia" w:ascii="新宋体" w:hAnsi="新宋体" w:eastAsia="新宋体" w:cs="宋体"/>
          <w:szCs w:val="21"/>
        </w:rPr>
        <w:t>可以书面方式要求投标人对投标文件中含义不明确、对同类问题表述不一致或者有明显文字和计算错误的内容作必要的澄清、说明或补正。澄清、说</w:t>
      </w:r>
      <w:r>
        <w:rPr>
          <w:rFonts w:hint="eastAsia" w:ascii="新宋体" w:hAnsi="新宋体" w:eastAsia="新宋体" w:cs="宋体"/>
          <w:spacing w:val="6"/>
          <w:szCs w:val="21"/>
        </w:rPr>
        <w:t>明或补正应以书面形式进行并不得超出投标文件的范围或者改变投标文件的实质性内</w:t>
      </w:r>
      <w:r>
        <w:rPr>
          <w:rFonts w:hint="eastAsia" w:ascii="新宋体" w:hAnsi="新宋体" w:eastAsia="新宋体" w:cs="宋体"/>
          <w:szCs w:val="21"/>
        </w:rPr>
        <w:t>容。拒不按照要求对其投标文件进行澄清、说明或者补正的投标人，评标委员会可以否决其投标。</w:t>
      </w:r>
    </w:p>
    <w:p>
      <w:pPr>
        <w:spacing w:line="380" w:lineRule="exact"/>
        <w:ind w:left="2"/>
        <w:rPr>
          <w:rFonts w:hint="eastAsia" w:ascii="新宋体" w:hAnsi="新宋体" w:eastAsia="新宋体" w:cs="宋体"/>
          <w:b/>
          <w:szCs w:val="21"/>
        </w:rPr>
      </w:pPr>
      <w:r>
        <w:rPr>
          <w:rFonts w:hint="eastAsia" w:ascii="新宋体" w:hAnsi="新宋体" w:eastAsia="新宋体" w:cs="宋体"/>
          <w:b/>
          <w:szCs w:val="21"/>
        </w:rPr>
        <w:t>（2）经澄清后，若重大（实质性）偏差仍存在，且不可接受，投标人则被认为是“不响应招标文件要求的投标人”，不再进入下一步评审。</w:t>
      </w:r>
    </w:p>
    <w:p>
      <w:pPr>
        <w:snapToGrid w:val="0"/>
        <w:spacing w:line="380" w:lineRule="exact"/>
        <w:rPr>
          <w:rFonts w:hint="eastAsia" w:ascii="新宋体" w:hAnsi="新宋体" w:eastAsia="新宋体"/>
          <w:b/>
          <w:szCs w:val="21"/>
        </w:rPr>
      </w:pPr>
      <w:r>
        <w:rPr>
          <w:rFonts w:hint="eastAsia" w:ascii="新宋体" w:hAnsi="新宋体" w:eastAsia="新宋体"/>
          <w:b/>
          <w:szCs w:val="21"/>
        </w:rPr>
        <w:t>27.9、评标委员会对报价计算错误按以下原则修正：</w:t>
      </w:r>
    </w:p>
    <w:p>
      <w:pPr>
        <w:widowControl/>
        <w:tabs>
          <w:tab w:val="left" w:pos="721"/>
        </w:tabs>
        <w:snapToGrid w:val="0"/>
        <w:spacing w:line="380" w:lineRule="exact"/>
        <w:ind w:firstLine="420" w:firstLineChars="200"/>
        <w:rPr>
          <w:rFonts w:hint="eastAsia" w:ascii="宋体" w:hAnsi="宋体"/>
          <w:szCs w:val="21"/>
        </w:rPr>
      </w:pPr>
      <w:r>
        <w:rPr>
          <w:rFonts w:hint="eastAsia" w:ascii="宋体" w:hAnsi="宋体"/>
          <w:szCs w:val="21"/>
        </w:rPr>
        <w:t>开标时，投标文件中开标一览表（报价表）</w:t>
      </w:r>
      <w:r>
        <w:rPr>
          <w:rFonts w:ascii="宋体" w:hAnsi="宋体"/>
          <w:szCs w:val="21"/>
        </w:rPr>
        <w:t>内容与投标文件中</w:t>
      </w:r>
      <w:r>
        <w:rPr>
          <w:rFonts w:hint="eastAsia" w:ascii="宋体" w:hAnsi="宋体"/>
          <w:szCs w:val="21"/>
        </w:rPr>
        <w:t>报价</w:t>
      </w:r>
      <w:r>
        <w:rPr>
          <w:rFonts w:ascii="宋体" w:hAnsi="宋体"/>
          <w:szCs w:val="21"/>
        </w:rPr>
        <w:t>明细表内容不一致的，以开标一览表</w:t>
      </w:r>
      <w:r>
        <w:rPr>
          <w:rFonts w:hint="eastAsia" w:ascii="宋体" w:hAnsi="宋体"/>
          <w:szCs w:val="21"/>
        </w:rPr>
        <w:t>（报价表）</w:t>
      </w:r>
      <w:r>
        <w:rPr>
          <w:rFonts w:ascii="宋体" w:hAnsi="宋体"/>
          <w:szCs w:val="21"/>
        </w:rPr>
        <w:t>为准。</w:t>
      </w:r>
    </w:p>
    <w:p>
      <w:pPr>
        <w:widowControl/>
        <w:tabs>
          <w:tab w:val="left" w:pos="721"/>
        </w:tabs>
        <w:snapToGrid w:val="0"/>
        <w:spacing w:line="380" w:lineRule="exact"/>
        <w:ind w:firstLine="420" w:firstLineChars="200"/>
        <w:rPr>
          <w:rFonts w:hint="eastAsia" w:ascii="宋体" w:hAnsi="宋体"/>
          <w:szCs w:val="21"/>
        </w:rPr>
      </w:pPr>
      <w:r>
        <w:rPr>
          <w:rFonts w:ascii="宋体" w:hAnsi="宋体"/>
          <w:szCs w:val="21"/>
        </w:rPr>
        <w:t>开标一览表</w:t>
      </w:r>
      <w:r>
        <w:rPr>
          <w:rFonts w:hint="eastAsia" w:ascii="宋体" w:hAnsi="宋体"/>
          <w:szCs w:val="21"/>
        </w:rPr>
        <w:t>（报价表）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widowControl/>
        <w:tabs>
          <w:tab w:val="left" w:pos="721"/>
        </w:tabs>
        <w:snapToGrid w:val="0"/>
        <w:spacing w:line="380" w:lineRule="exact"/>
        <w:ind w:firstLine="420" w:firstLineChars="200"/>
        <w:rPr>
          <w:rFonts w:hint="eastAsia" w:ascii="宋体" w:hAnsi="宋体"/>
          <w:szCs w:val="21"/>
        </w:rPr>
      </w:pPr>
      <w:r>
        <w:rPr>
          <w:rFonts w:hint="eastAsia" w:ascii="宋体" w:hAnsi="宋体"/>
          <w:szCs w:val="21"/>
        </w:rPr>
        <w:t>27.10非推荐品牌也可以参与本项目投标，国产产品也可参与本项目投标。</w:t>
      </w:r>
    </w:p>
    <w:p>
      <w:pPr>
        <w:widowControl/>
        <w:tabs>
          <w:tab w:val="left" w:pos="721"/>
        </w:tabs>
        <w:snapToGrid w:val="0"/>
        <w:spacing w:line="380" w:lineRule="exact"/>
        <w:ind w:firstLine="420" w:firstLineChars="200"/>
        <w:rPr>
          <w:rFonts w:hint="eastAsia" w:ascii="宋体" w:hAnsi="宋体"/>
          <w:szCs w:val="21"/>
        </w:rPr>
      </w:pPr>
      <w:r>
        <w:rPr>
          <w:rFonts w:hint="eastAsia" w:ascii="宋体" w:hAnsi="宋体"/>
          <w:szCs w:val="21"/>
        </w:rPr>
        <w:t>2</w:t>
      </w:r>
      <w:r>
        <w:rPr>
          <w:rFonts w:ascii="宋体" w:hAnsi="宋体"/>
          <w:szCs w:val="21"/>
        </w:rPr>
        <w:t>7.</w:t>
      </w:r>
      <w:r>
        <w:rPr>
          <w:rFonts w:hint="eastAsia" w:ascii="宋体" w:hAnsi="宋体"/>
          <w:szCs w:val="21"/>
        </w:rPr>
        <w:t>11如多家供应商提供相同品牌相同型号的产品（按</w:t>
      </w:r>
      <w:r>
        <w:rPr>
          <w:rFonts w:ascii="宋体" w:hAnsi="宋体"/>
          <w:szCs w:val="21"/>
        </w:rPr>
        <w:t>浙财采监[2013]24号</w:t>
      </w:r>
      <w:r>
        <w:rPr>
          <w:rFonts w:hint="eastAsia" w:ascii="宋体" w:hAnsi="宋体"/>
          <w:szCs w:val="21"/>
        </w:rPr>
        <w:t>规定：</w:t>
      </w:r>
      <w:r>
        <w:rPr>
          <w:rFonts w:ascii="宋体" w:hAnsi="宋体"/>
          <w:szCs w:val="21"/>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r>
        <w:rPr>
          <w:rFonts w:hint="eastAsia" w:ascii="宋体" w:hAnsi="宋体"/>
          <w:szCs w:val="21"/>
        </w:rPr>
        <w:t>）参加同一政府采购项目竞争的，应当按一家供应商认定。评审时，应取其中通过资格审查后报价最低一家为有效供应商；报价相同时，取技术分最高者；均相同时，由评标小组集体决定。</w:t>
      </w:r>
    </w:p>
    <w:p>
      <w:pPr>
        <w:widowControl/>
        <w:tabs>
          <w:tab w:val="left" w:pos="721"/>
        </w:tabs>
        <w:snapToGrid w:val="0"/>
        <w:spacing w:line="380" w:lineRule="exact"/>
        <w:ind w:firstLine="420" w:firstLineChars="200"/>
        <w:rPr>
          <w:rFonts w:hint="eastAsia" w:ascii="宋体" w:hAnsi="宋体"/>
          <w:szCs w:val="21"/>
        </w:rPr>
      </w:pPr>
      <w:r>
        <w:rPr>
          <w:rFonts w:hint="eastAsia" w:ascii="宋体" w:hAnsi="宋体"/>
          <w:szCs w:val="21"/>
        </w:rPr>
        <w:t>2</w:t>
      </w:r>
      <w:r>
        <w:rPr>
          <w:rFonts w:ascii="宋体" w:hAnsi="宋体"/>
          <w:szCs w:val="21"/>
        </w:rPr>
        <w:t>7.</w:t>
      </w:r>
      <w:r>
        <w:rPr>
          <w:rFonts w:hint="eastAsia" w:ascii="宋体" w:hAnsi="宋体"/>
          <w:szCs w:val="21"/>
        </w:rPr>
        <w:t>12</w:t>
      </w:r>
      <w:r>
        <w:rPr>
          <w:rFonts w:ascii="宋体" w:hAnsi="宋体"/>
          <w:szCs w:val="21"/>
        </w:rPr>
        <w:t>多家代理商或经销商参加采购活动，如其中两家或两家以上供应商存在分级代理或代销关系，且提供的是其所代理品牌的产品</w:t>
      </w:r>
      <w:r>
        <w:rPr>
          <w:rFonts w:hint="eastAsia" w:ascii="宋体" w:hAnsi="宋体"/>
          <w:szCs w:val="21"/>
        </w:rPr>
        <w:t>（按</w:t>
      </w:r>
      <w:r>
        <w:rPr>
          <w:rFonts w:ascii="宋体" w:hAnsi="宋体"/>
          <w:szCs w:val="21"/>
        </w:rPr>
        <w:t>浙财采监[2013]24号</w:t>
      </w:r>
      <w:r>
        <w:rPr>
          <w:rFonts w:hint="eastAsia" w:ascii="宋体" w:hAnsi="宋体"/>
          <w:szCs w:val="21"/>
        </w:rPr>
        <w:t>规定：</w:t>
      </w:r>
      <w:r>
        <w:rPr>
          <w:rFonts w:ascii="宋体" w:hAnsi="宋体"/>
          <w:szCs w:val="21"/>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r>
        <w:rPr>
          <w:rFonts w:hint="eastAsia" w:ascii="宋体" w:hAnsi="宋体"/>
          <w:szCs w:val="21"/>
        </w:rPr>
        <w:t>）</w:t>
      </w:r>
      <w:r>
        <w:rPr>
          <w:rFonts w:ascii="宋体" w:hAnsi="宋体"/>
          <w:szCs w:val="21"/>
        </w:rPr>
        <w:t>的，评审时，应当按第</w:t>
      </w:r>
      <w:r>
        <w:rPr>
          <w:rFonts w:hint="eastAsia" w:ascii="宋体" w:hAnsi="宋体"/>
          <w:szCs w:val="21"/>
        </w:rPr>
        <w:t>2</w:t>
      </w:r>
      <w:r>
        <w:rPr>
          <w:rFonts w:ascii="宋体" w:hAnsi="宋体"/>
          <w:szCs w:val="21"/>
        </w:rPr>
        <w:t>7.1</w:t>
      </w:r>
      <w:r>
        <w:rPr>
          <w:rFonts w:hint="eastAsia" w:ascii="宋体" w:hAnsi="宋体"/>
          <w:szCs w:val="21"/>
        </w:rPr>
        <w:t>1</w:t>
      </w:r>
      <w:r>
        <w:rPr>
          <w:rFonts w:ascii="宋体" w:hAnsi="宋体"/>
          <w:szCs w:val="21"/>
        </w:rPr>
        <w:t>条规定确定其中一家为有效供应商。</w:t>
      </w:r>
      <w:r>
        <w:rPr>
          <w:rFonts w:ascii="宋体" w:hAnsi="宋体"/>
          <w:szCs w:val="21"/>
        </w:rPr>
        <w:br w:type="textWrapping"/>
      </w:r>
      <w:r>
        <w:rPr>
          <w:rFonts w:hint="eastAsia" w:ascii="宋体" w:hAnsi="宋体"/>
          <w:szCs w:val="21"/>
        </w:rPr>
        <w:t xml:space="preserve">    2</w:t>
      </w:r>
      <w:r>
        <w:rPr>
          <w:rFonts w:ascii="宋体" w:hAnsi="宋体"/>
          <w:szCs w:val="21"/>
        </w:rPr>
        <w:t>7.</w:t>
      </w:r>
      <w:r>
        <w:rPr>
          <w:rFonts w:hint="eastAsia" w:ascii="宋体" w:hAnsi="宋体"/>
          <w:szCs w:val="21"/>
        </w:rPr>
        <w:t>14</w:t>
      </w:r>
      <w:r>
        <w:rPr>
          <w:rFonts w:ascii="宋体" w:hAnsi="宋体"/>
          <w:szCs w:val="21"/>
        </w:rPr>
        <w:t xml:space="preserve"> 原生产厂商因特殊原因不直接参加采购活动的，可以授权</w:t>
      </w:r>
      <w:r>
        <w:rPr>
          <w:rFonts w:hint="eastAsia" w:ascii="宋体" w:hAnsi="宋体"/>
          <w:szCs w:val="21"/>
        </w:rPr>
        <w:t>一</w:t>
      </w:r>
      <w:r>
        <w:rPr>
          <w:rFonts w:ascii="宋体" w:hAnsi="宋体"/>
          <w:szCs w:val="21"/>
        </w:rPr>
        <w:t>家供应商代表其参加采购活动。若授权多家代理商参加的，评审时，应当按第</w:t>
      </w:r>
      <w:r>
        <w:rPr>
          <w:rFonts w:hint="eastAsia" w:ascii="宋体" w:hAnsi="宋体"/>
          <w:szCs w:val="21"/>
        </w:rPr>
        <w:t>2</w:t>
      </w:r>
      <w:r>
        <w:rPr>
          <w:rFonts w:ascii="宋体" w:hAnsi="宋体"/>
          <w:szCs w:val="21"/>
        </w:rPr>
        <w:t>7.1</w:t>
      </w:r>
      <w:r>
        <w:rPr>
          <w:rFonts w:hint="eastAsia" w:ascii="宋体" w:hAnsi="宋体"/>
          <w:szCs w:val="21"/>
        </w:rPr>
        <w:t>1</w:t>
      </w:r>
      <w:r>
        <w:rPr>
          <w:rFonts w:ascii="宋体" w:hAnsi="宋体"/>
          <w:szCs w:val="21"/>
        </w:rPr>
        <w:t>条规定确定其中一家为有效供应商。</w:t>
      </w:r>
      <w:r>
        <w:rPr>
          <w:rFonts w:ascii="宋体" w:hAnsi="宋体"/>
          <w:szCs w:val="21"/>
        </w:rPr>
        <w:br w:type="textWrapping"/>
      </w:r>
      <w:r>
        <w:rPr>
          <w:rFonts w:hint="eastAsia" w:ascii="宋体" w:hAnsi="宋体"/>
          <w:szCs w:val="21"/>
        </w:rPr>
        <w:t xml:space="preserve">   28.中标人的确定</w:t>
      </w:r>
    </w:p>
    <w:p>
      <w:pPr>
        <w:widowControl/>
        <w:tabs>
          <w:tab w:val="left" w:pos="721"/>
        </w:tabs>
        <w:snapToGrid w:val="0"/>
        <w:spacing w:line="380" w:lineRule="exact"/>
        <w:rPr>
          <w:rFonts w:hint="eastAsia" w:ascii="新宋体" w:hAnsi="新宋体" w:eastAsia="新宋体"/>
          <w:szCs w:val="21"/>
        </w:rPr>
      </w:pPr>
      <w:r>
        <w:rPr>
          <w:rFonts w:hint="eastAsia" w:ascii="新宋体" w:hAnsi="新宋体" w:eastAsia="新宋体"/>
          <w:b/>
          <w:bCs/>
          <w:szCs w:val="21"/>
        </w:rPr>
        <w:t xml:space="preserve">28.1、  </w:t>
      </w:r>
      <w:r>
        <w:rPr>
          <w:rFonts w:hint="eastAsia" w:ascii="宋体" w:hAnsi="宋体"/>
          <w:szCs w:val="21"/>
        </w:rPr>
        <w:t>评标委员会依据法律、法规及招标文件有关规定在有效标中按各投标人的最终得分（即技术、资信分与商务分之和）由高到低进行排序，综合得分最高的投标人确定为第一中标候选人（</w:t>
      </w:r>
      <w:r>
        <w:rPr>
          <w:rFonts w:hint="eastAsia" w:ascii="_x000B__x000C_" w:hAnsi="_x000B__x000C_"/>
          <w:szCs w:val="21"/>
        </w:rPr>
        <w:t>得分相同的，按投标报价由低到高顺序排列。得分且投标报价相同的，按技术指标优劣顺序排列。技术资信分和商务报价得分相同的，按抽取决定。</w:t>
      </w:r>
      <w:r>
        <w:rPr>
          <w:rFonts w:hint="eastAsia" w:ascii="宋体" w:hAnsi="宋体"/>
          <w:szCs w:val="21"/>
        </w:rPr>
        <w:t>）</w:t>
      </w:r>
      <w:r>
        <w:rPr>
          <w:rFonts w:hint="eastAsia"/>
          <w:szCs w:val="21"/>
        </w:rPr>
        <w:t>。</w:t>
      </w:r>
    </w:p>
    <w:p>
      <w:pPr>
        <w:widowControl/>
        <w:numPr>
          <w:ilvl w:val="1"/>
          <w:numId w:val="5"/>
        </w:numPr>
        <w:tabs>
          <w:tab w:val="left" w:pos="0"/>
        </w:tabs>
        <w:snapToGrid w:val="0"/>
        <w:spacing w:line="380" w:lineRule="exact"/>
        <w:ind w:left="0" w:firstLine="0"/>
        <w:rPr>
          <w:rFonts w:hint="eastAsia" w:ascii="新宋体" w:hAnsi="新宋体" w:eastAsia="新宋体"/>
          <w:szCs w:val="21"/>
        </w:rPr>
      </w:pPr>
      <w:r>
        <w:rPr>
          <w:rFonts w:hint="eastAsia" w:ascii="宋体" w:hAnsi="宋体" w:cs="宋体"/>
          <w:szCs w:val="21"/>
        </w:rPr>
        <w:t>排名第一的中标候选人放弃中标；因不可抗力提出不能履行合同；或者招标文件规定应当提交履约保证金而在规定的期限内未能提交的；或未能在规定时间内与采购单位签订合同的；或者经质疑，招标人审查后，确因排名第一的候选人在本次采购活动中存在违法违规行为或其他原因使质疑成立的，采购人可以报主管部门同意后，可依法组织重新招标</w:t>
      </w:r>
      <w:r>
        <w:rPr>
          <w:rFonts w:hint="eastAsia" w:ascii="宋体" w:hAnsi="宋体"/>
          <w:szCs w:val="21"/>
        </w:rPr>
        <w:t>。</w:t>
      </w:r>
    </w:p>
    <w:p>
      <w:pPr>
        <w:widowControl/>
        <w:numPr>
          <w:ilvl w:val="1"/>
          <w:numId w:val="5"/>
        </w:numPr>
        <w:tabs>
          <w:tab w:val="left" w:pos="0"/>
        </w:tabs>
        <w:snapToGrid w:val="0"/>
        <w:spacing w:line="380" w:lineRule="exact"/>
        <w:ind w:left="0" w:firstLine="0"/>
        <w:rPr>
          <w:rFonts w:hint="eastAsia" w:ascii="宋体" w:hAnsi="宋体"/>
          <w:szCs w:val="21"/>
        </w:rPr>
      </w:pPr>
      <w:r>
        <w:rPr>
          <w:rFonts w:hint="eastAsia" w:ascii="宋体" w:hAnsi="宋体"/>
          <w:szCs w:val="21"/>
        </w:rPr>
        <w:t xml:space="preserve">评标委员会推荐的预中标候选人名单在 </w:t>
      </w:r>
      <w:r>
        <w:rPr>
          <w:rFonts w:hint="eastAsia" w:ascii="宋体" w:hAnsi="宋体"/>
          <w:b/>
          <w:bCs/>
          <w:szCs w:val="21"/>
        </w:rPr>
        <w:t>“龙港市公共资源交易中心网”及“浙江政府采购网”</w:t>
      </w:r>
      <w:r>
        <w:rPr>
          <w:rFonts w:hint="eastAsia" w:ascii="宋体" w:hAnsi="宋体"/>
          <w:szCs w:val="21"/>
        </w:rPr>
        <w:t>公布，《预中标公告》公示期1个工作日后无异议采购机构发放中标通知书。</w:t>
      </w:r>
      <w:r>
        <w:rPr>
          <w:rFonts w:hint="eastAsia" w:ascii="宋体" w:hAnsi="宋体"/>
          <w:bCs/>
          <w:szCs w:val="21"/>
        </w:rPr>
        <w:t>各投标人对评标结果如有异议，可在规定时间内以书面形式向招标人进行署名投诉或提出质疑，但需对投诉或质疑内容的真实性承担法律责任。</w:t>
      </w:r>
    </w:p>
    <w:p>
      <w:pPr>
        <w:widowControl/>
        <w:numPr>
          <w:ilvl w:val="0"/>
          <w:numId w:val="6"/>
        </w:numPr>
        <w:tabs>
          <w:tab w:val="left" w:pos="360"/>
        </w:tabs>
        <w:spacing w:line="380" w:lineRule="exact"/>
        <w:rPr>
          <w:rFonts w:hint="eastAsia" w:ascii="新宋体" w:hAnsi="新宋体" w:eastAsia="新宋体"/>
          <w:b/>
          <w:szCs w:val="21"/>
        </w:rPr>
      </w:pPr>
      <w:r>
        <w:rPr>
          <w:rFonts w:hint="eastAsia" w:ascii="新宋体" w:hAnsi="新宋体" w:eastAsia="新宋体"/>
          <w:b/>
          <w:szCs w:val="21"/>
        </w:rPr>
        <w:t>拒绝任何或所有投标的权利</w:t>
      </w:r>
    </w:p>
    <w:p>
      <w:pPr>
        <w:widowControl/>
        <w:numPr>
          <w:ilvl w:val="1"/>
          <w:numId w:val="7"/>
        </w:numPr>
        <w:tabs>
          <w:tab w:val="left" w:pos="180"/>
          <w:tab w:val="left" w:pos="360"/>
          <w:tab w:val="left" w:pos="540"/>
          <w:tab w:val="left" w:pos="720"/>
        </w:tabs>
        <w:snapToGrid w:val="0"/>
        <w:spacing w:line="380" w:lineRule="exact"/>
        <w:ind w:left="540" w:hanging="540"/>
        <w:rPr>
          <w:rFonts w:hint="eastAsia" w:ascii="新宋体" w:hAnsi="新宋体" w:eastAsia="新宋体"/>
          <w:szCs w:val="21"/>
        </w:rPr>
      </w:pPr>
      <w:r>
        <w:rPr>
          <w:rFonts w:hint="eastAsia" w:ascii="新宋体" w:hAnsi="新宋体" w:eastAsia="新宋体"/>
          <w:szCs w:val="21"/>
        </w:rPr>
        <w:t>评标委员会经评审，认为所有投标都不符合招标文件要求的，可以否决所有投标。</w:t>
      </w:r>
    </w:p>
    <w:p>
      <w:pPr>
        <w:widowControl/>
        <w:tabs>
          <w:tab w:val="left" w:pos="721"/>
        </w:tabs>
        <w:snapToGrid w:val="0"/>
        <w:spacing w:line="380" w:lineRule="exact"/>
        <w:rPr>
          <w:rFonts w:hint="eastAsia" w:ascii="新宋体" w:hAnsi="新宋体" w:eastAsia="新宋体"/>
          <w:b/>
          <w:color w:val="FF0000"/>
          <w:szCs w:val="21"/>
        </w:rPr>
      </w:pPr>
      <w:r>
        <w:rPr>
          <w:rFonts w:hint="eastAsia" w:ascii="新宋体" w:hAnsi="新宋体" w:eastAsia="新宋体"/>
          <w:b/>
          <w:color w:val="FF0000"/>
          <w:szCs w:val="21"/>
        </w:rPr>
        <w:t>29.2、</w:t>
      </w:r>
      <w:r>
        <w:rPr>
          <w:rFonts w:ascii="新宋体" w:hAnsi="新宋体" w:eastAsia="新宋体"/>
          <w:b/>
          <w:color w:val="FF0000"/>
          <w:szCs w:val="21"/>
        </w:rPr>
        <w:t>如评</w:t>
      </w:r>
      <w:r>
        <w:rPr>
          <w:rFonts w:hint="eastAsia" w:ascii="新宋体" w:hAnsi="新宋体" w:eastAsia="新宋体"/>
          <w:b/>
          <w:color w:val="FF0000"/>
          <w:szCs w:val="21"/>
        </w:rPr>
        <w:t>标</w:t>
      </w:r>
      <w:r>
        <w:rPr>
          <w:rFonts w:ascii="新宋体" w:hAnsi="新宋体" w:eastAsia="新宋体"/>
          <w:b/>
          <w:color w:val="FF0000"/>
          <w:szCs w:val="21"/>
        </w:rPr>
        <w:t>委</w:t>
      </w:r>
      <w:r>
        <w:rPr>
          <w:rFonts w:hint="eastAsia" w:ascii="新宋体" w:hAnsi="新宋体" w:eastAsia="新宋体"/>
          <w:b/>
          <w:color w:val="FF0000"/>
          <w:szCs w:val="21"/>
        </w:rPr>
        <w:t>员</w:t>
      </w:r>
      <w:r>
        <w:rPr>
          <w:rFonts w:ascii="新宋体" w:hAnsi="新宋体" w:eastAsia="新宋体"/>
          <w:b/>
          <w:color w:val="FF0000"/>
          <w:szCs w:val="21"/>
        </w:rPr>
        <w:t>会认为</w:t>
      </w:r>
      <w:r>
        <w:rPr>
          <w:rFonts w:hint="eastAsia" w:ascii="_x000B__x000C_" w:hAnsi="_x000B__x000C_"/>
          <w:b/>
          <w:color w:val="FF0000"/>
        </w:rPr>
        <w:t>排在前面的中标候选</w:t>
      </w:r>
      <w:r>
        <w:rPr>
          <w:rFonts w:ascii="新宋体" w:hAnsi="新宋体" w:eastAsia="新宋体"/>
          <w:b/>
          <w:color w:val="FF0000"/>
          <w:szCs w:val="21"/>
        </w:rPr>
        <w:t>人的报价明显不合理</w:t>
      </w:r>
      <w:r>
        <w:rPr>
          <w:rFonts w:hint="eastAsia" w:ascii="新宋体" w:hAnsi="新宋体" w:eastAsia="新宋体"/>
          <w:b/>
          <w:color w:val="FF0000"/>
          <w:szCs w:val="21"/>
        </w:rPr>
        <w:t>或低于成本</w:t>
      </w:r>
      <w:r>
        <w:rPr>
          <w:rFonts w:ascii="新宋体" w:hAnsi="新宋体" w:eastAsia="新宋体"/>
          <w:b/>
          <w:color w:val="FF0000"/>
          <w:szCs w:val="21"/>
        </w:rPr>
        <w:t>，有</w:t>
      </w:r>
      <w:r>
        <w:rPr>
          <w:rFonts w:hint="eastAsia" w:ascii="新宋体" w:hAnsi="新宋体" w:eastAsia="新宋体"/>
          <w:b/>
          <w:color w:val="FF0000"/>
          <w:szCs w:val="21"/>
        </w:rPr>
        <w:t>可能影响商品服务</w:t>
      </w:r>
      <w:r>
        <w:rPr>
          <w:rFonts w:ascii="新宋体" w:hAnsi="新宋体" w:eastAsia="新宋体"/>
          <w:b/>
          <w:color w:val="FF0000"/>
          <w:szCs w:val="21"/>
        </w:rPr>
        <w:t>质量</w:t>
      </w:r>
      <w:r>
        <w:rPr>
          <w:rFonts w:hint="eastAsia" w:ascii="新宋体" w:hAnsi="新宋体" w:eastAsia="新宋体"/>
          <w:b/>
          <w:color w:val="FF0000"/>
          <w:szCs w:val="21"/>
        </w:rPr>
        <w:t>和</w:t>
      </w:r>
      <w:r>
        <w:rPr>
          <w:rFonts w:ascii="新宋体" w:hAnsi="新宋体" w:eastAsia="新宋体"/>
          <w:b/>
          <w:color w:val="FF0000"/>
          <w:szCs w:val="21"/>
        </w:rPr>
        <w:t>不能诚信履</w:t>
      </w:r>
      <w:r>
        <w:rPr>
          <w:rFonts w:hint="eastAsia" w:ascii="新宋体" w:hAnsi="新宋体" w:eastAsia="新宋体"/>
          <w:b/>
          <w:color w:val="FF0000"/>
          <w:szCs w:val="21"/>
        </w:rPr>
        <w:t>约的</w:t>
      </w:r>
      <w:r>
        <w:rPr>
          <w:rFonts w:ascii="新宋体" w:hAnsi="新宋体" w:eastAsia="新宋体"/>
          <w:b/>
          <w:color w:val="FF0000"/>
          <w:szCs w:val="21"/>
        </w:rPr>
        <w:t>，有权</w:t>
      </w:r>
      <w:r>
        <w:rPr>
          <w:rFonts w:hint="eastAsia" w:ascii="_x000B__x000C_" w:hAnsi="_x000B__x000C_"/>
          <w:b/>
          <w:color w:val="FF0000"/>
        </w:rPr>
        <w:t>要求其在规定的期限内提供书面文件予以解释说明，并提交相关证明材料；</w:t>
      </w:r>
      <w:r>
        <w:rPr>
          <w:rFonts w:ascii="新宋体" w:hAnsi="新宋体" w:eastAsia="新宋体"/>
          <w:b/>
          <w:color w:val="FF0000"/>
          <w:szCs w:val="21"/>
        </w:rPr>
        <w:t>若该投标人未在规定期限内做出解释，或做出的解释不合理，</w:t>
      </w:r>
      <w:r>
        <w:rPr>
          <w:rFonts w:hint="eastAsia" w:ascii="_x000B__x000C_" w:hAnsi="_x000B__x000C_"/>
          <w:b/>
          <w:color w:val="FF0000"/>
        </w:rPr>
        <w:t>评标委员会可以取消该投标人的中标候选资格，按顺序由排在后面的中标候选投标人递补</w:t>
      </w:r>
      <w:r>
        <w:rPr>
          <w:rFonts w:hint="eastAsia" w:ascii="宋体" w:hAnsi="宋体"/>
          <w:b/>
          <w:color w:val="FF0000"/>
          <w:sz w:val="22"/>
          <w:szCs w:val="22"/>
        </w:rPr>
        <w:t>或重新组织招标</w:t>
      </w:r>
      <w:r>
        <w:rPr>
          <w:rFonts w:hint="eastAsia" w:ascii="_x000B__x000C_" w:hAnsi="_x000B__x000C_"/>
          <w:b/>
          <w:color w:val="FF0000"/>
        </w:rPr>
        <w:t>。</w:t>
      </w:r>
    </w:p>
    <w:p>
      <w:pPr>
        <w:widowControl/>
        <w:numPr>
          <w:ilvl w:val="1"/>
          <w:numId w:val="8"/>
        </w:numPr>
        <w:tabs>
          <w:tab w:val="left" w:pos="0"/>
          <w:tab w:val="left" w:pos="540"/>
          <w:tab w:val="left" w:pos="720"/>
        </w:tabs>
        <w:snapToGrid w:val="0"/>
        <w:spacing w:line="380" w:lineRule="exact"/>
        <w:ind w:left="0" w:firstLine="0"/>
        <w:rPr>
          <w:rFonts w:hint="eastAsia" w:ascii="新宋体" w:hAnsi="新宋体" w:eastAsia="新宋体"/>
          <w:szCs w:val="21"/>
        </w:rPr>
      </w:pPr>
      <w:r>
        <w:rPr>
          <w:rFonts w:hint="eastAsia"/>
        </w:rPr>
        <w:t>如果第一候选人不能按照招标文件要求及其投标文件的承诺签订合同或其投标文件与事实不符，影响采购的公平公开及合同的实施，或无法签订合同，采购人将依法接受或拒绝任何投标，并宣布采购无效，对受影响的投标人不承担任何责任，也无义务向受影响的投标人解释采取这一行动的理由。</w:t>
      </w:r>
    </w:p>
    <w:p>
      <w:pPr>
        <w:widowControl/>
        <w:numPr>
          <w:ilvl w:val="0"/>
          <w:numId w:val="6"/>
        </w:numPr>
        <w:tabs>
          <w:tab w:val="left" w:pos="360"/>
        </w:tabs>
        <w:spacing w:line="380" w:lineRule="exact"/>
        <w:rPr>
          <w:rFonts w:hint="eastAsia" w:ascii="新宋体" w:hAnsi="新宋体" w:eastAsia="新宋体"/>
          <w:b/>
          <w:szCs w:val="21"/>
        </w:rPr>
      </w:pPr>
      <w:r>
        <w:rPr>
          <w:rFonts w:hint="eastAsia" w:ascii="新宋体" w:hAnsi="新宋体" w:eastAsia="新宋体"/>
          <w:b/>
          <w:szCs w:val="21"/>
        </w:rPr>
        <w:t>评审结果质疑</w:t>
      </w:r>
    </w:p>
    <w:p>
      <w:pPr>
        <w:widowControl/>
        <w:tabs>
          <w:tab w:val="left" w:pos="721"/>
        </w:tabs>
        <w:snapToGrid w:val="0"/>
        <w:spacing w:line="380" w:lineRule="exact"/>
        <w:ind w:firstLine="315" w:firstLineChars="150"/>
        <w:rPr>
          <w:rFonts w:hint="eastAsia" w:ascii="新宋体" w:hAnsi="新宋体" w:eastAsia="新宋体"/>
          <w:szCs w:val="21"/>
        </w:rPr>
      </w:pPr>
      <w:r>
        <w:rPr>
          <w:rFonts w:hint="eastAsia" w:ascii="新宋体" w:hAnsi="新宋体" w:eastAsia="新宋体"/>
          <w:szCs w:val="21"/>
        </w:rPr>
        <w:t>如投标人对评审结果有异议，可向浙江首信工程项目管理有限公司提出质疑，联系方式如下：</w:t>
      </w:r>
    </w:p>
    <w:p>
      <w:pPr>
        <w:tabs>
          <w:tab w:val="left" w:pos="721"/>
        </w:tabs>
        <w:snapToGrid w:val="0"/>
        <w:spacing w:line="380" w:lineRule="exact"/>
        <w:ind w:left="315" w:leftChars="150"/>
        <w:rPr>
          <w:rFonts w:hint="eastAsia" w:ascii="新宋体" w:hAnsi="新宋体" w:eastAsia="新宋体"/>
          <w:szCs w:val="21"/>
        </w:rPr>
      </w:pPr>
      <w:r>
        <w:rPr>
          <w:rFonts w:hint="eastAsia" w:ascii="新宋体" w:hAnsi="新宋体" w:eastAsia="新宋体"/>
          <w:szCs w:val="21"/>
        </w:rPr>
        <w:t>受理机构：</w:t>
      </w:r>
      <w:r>
        <w:rPr>
          <w:rFonts w:hint="eastAsia" w:ascii="宋体" w:hAnsi="宋体" w:cs="宋体"/>
          <w:szCs w:val="21"/>
        </w:rPr>
        <w:t xml:space="preserve">浙江首信工程项目管理有限公司 </w:t>
      </w:r>
      <w:r>
        <w:rPr>
          <w:rFonts w:hint="eastAsia" w:ascii="新宋体" w:hAnsi="新宋体" w:eastAsia="新宋体"/>
          <w:szCs w:val="21"/>
        </w:rPr>
        <w:t xml:space="preserve">   </w:t>
      </w:r>
    </w:p>
    <w:p>
      <w:pPr>
        <w:tabs>
          <w:tab w:val="left" w:pos="721"/>
        </w:tabs>
        <w:snapToGrid w:val="0"/>
        <w:spacing w:line="380" w:lineRule="exact"/>
        <w:ind w:left="315" w:leftChars="150"/>
        <w:rPr>
          <w:rFonts w:hint="eastAsia" w:ascii="新宋体" w:hAnsi="新宋体" w:eastAsia="新宋体"/>
          <w:szCs w:val="21"/>
        </w:rPr>
      </w:pPr>
      <w:r>
        <w:rPr>
          <w:rFonts w:hint="eastAsia" w:ascii="新宋体" w:hAnsi="新宋体" w:eastAsia="新宋体"/>
          <w:szCs w:val="21"/>
        </w:rPr>
        <w:t>地址：</w:t>
      </w:r>
      <w:r>
        <w:rPr>
          <w:rFonts w:hint="eastAsia" w:ascii="宋体" w:hAnsi="宋体" w:cs="宋体"/>
          <w:szCs w:val="21"/>
        </w:rPr>
        <w:t>龙港市世纪大道2800号（五洲新能源汽车厂区内后栋4楼）</w:t>
      </w:r>
    </w:p>
    <w:p>
      <w:pPr>
        <w:tabs>
          <w:tab w:val="left" w:pos="721"/>
        </w:tabs>
        <w:snapToGrid w:val="0"/>
        <w:spacing w:line="380" w:lineRule="exact"/>
        <w:ind w:firstLine="315" w:firstLineChars="150"/>
        <w:rPr>
          <w:rFonts w:hint="eastAsia" w:ascii="新宋体" w:hAnsi="新宋体" w:eastAsia="新宋体"/>
          <w:szCs w:val="21"/>
        </w:rPr>
      </w:pPr>
      <w:r>
        <w:rPr>
          <w:rFonts w:hint="eastAsia" w:ascii="新宋体" w:hAnsi="新宋体" w:eastAsia="新宋体"/>
          <w:szCs w:val="21"/>
        </w:rPr>
        <w:t xml:space="preserve">质疑电话：0577-68877002     </w:t>
      </w:r>
      <w:bookmarkStart w:id="7" w:name="_Toc495977859"/>
    </w:p>
    <w:p>
      <w:pPr>
        <w:tabs>
          <w:tab w:val="left" w:pos="721"/>
        </w:tabs>
        <w:snapToGrid w:val="0"/>
        <w:spacing w:line="380" w:lineRule="exact"/>
        <w:rPr>
          <w:rFonts w:hint="eastAsia" w:ascii="新宋体" w:hAnsi="新宋体" w:eastAsia="新宋体"/>
          <w:szCs w:val="21"/>
        </w:rPr>
      </w:pPr>
    </w:p>
    <w:p>
      <w:pPr>
        <w:tabs>
          <w:tab w:val="left" w:pos="721"/>
        </w:tabs>
        <w:snapToGrid w:val="0"/>
        <w:spacing w:line="380" w:lineRule="exact"/>
        <w:rPr>
          <w:rFonts w:hint="eastAsia" w:ascii="新宋体" w:hAnsi="新宋体" w:eastAsia="新宋体"/>
          <w:szCs w:val="21"/>
        </w:rPr>
      </w:pPr>
    </w:p>
    <w:p>
      <w:pPr>
        <w:tabs>
          <w:tab w:val="left" w:pos="721"/>
        </w:tabs>
        <w:snapToGrid w:val="0"/>
        <w:spacing w:line="380" w:lineRule="exact"/>
        <w:jc w:val="center"/>
        <w:rPr>
          <w:rFonts w:hint="eastAsia" w:ascii="新宋体" w:hAnsi="新宋体" w:eastAsia="新宋体"/>
          <w:szCs w:val="21"/>
        </w:rPr>
      </w:pPr>
      <w:r>
        <w:rPr>
          <w:rFonts w:hint="eastAsia" w:ascii="新宋体" w:hAnsi="新宋体" w:eastAsia="新宋体"/>
          <w:b/>
          <w:sz w:val="40"/>
          <w:szCs w:val="22"/>
        </w:rPr>
        <w:t>七．授予合同</w:t>
      </w:r>
      <w:bookmarkEnd w:id="7"/>
    </w:p>
    <w:p>
      <w:pPr>
        <w:widowControl/>
        <w:numPr>
          <w:ilvl w:val="0"/>
          <w:numId w:val="6"/>
        </w:numPr>
        <w:spacing w:line="380" w:lineRule="exact"/>
        <w:rPr>
          <w:rFonts w:ascii="新宋体" w:hAnsi="新宋体" w:eastAsia="新宋体"/>
          <w:b/>
          <w:szCs w:val="21"/>
        </w:rPr>
      </w:pPr>
      <w:r>
        <w:rPr>
          <w:rFonts w:hint="eastAsia" w:ascii="新宋体" w:hAnsi="新宋体" w:eastAsia="新宋体"/>
          <w:b/>
          <w:szCs w:val="21"/>
        </w:rPr>
        <w:t>合同授予标准</w:t>
      </w:r>
    </w:p>
    <w:p>
      <w:pPr>
        <w:widowControl/>
        <w:numPr>
          <w:ilvl w:val="1"/>
          <w:numId w:val="9"/>
        </w:numPr>
        <w:snapToGrid w:val="0"/>
        <w:spacing w:line="380" w:lineRule="exact"/>
        <w:rPr>
          <w:rFonts w:hint="eastAsia" w:ascii="新宋体" w:hAnsi="新宋体" w:eastAsia="新宋体"/>
          <w:szCs w:val="21"/>
        </w:rPr>
      </w:pPr>
      <w:r>
        <w:rPr>
          <w:rFonts w:hint="eastAsia" w:ascii="新宋体" w:hAnsi="新宋体" w:eastAsia="新宋体"/>
          <w:szCs w:val="21"/>
        </w:rPr>
        <w:t>最终审查</w:t>
      </w:r>
    </w:p>
    <w:p>
      <w:pPr>
        <w:snapToGrid w:val="0"/>
        <w:spacing w:line="380" w:lineRule="exact"/>
        <w:ind w:firstLine="420" w:firstLineChars="200"/>
        <w:rPr>
          <w:rFonts w:hint="eastAsia" w:ascii="新宋体" w:hAnsi="新宋体" w:eastAsia="新宋体"/>
          <w:szCs w:val="21"/>
        </w:rPr>
      </w:pPr>
      <w:r>
        <w:rPr>
          <w:rFonts w:hint="eastAsia" w:ascii="新宋体" w:hAnsi="新宋体" w:eastAsia="新宋体"/>
          <w:szCs w:val="21"/>
        </w:rPr>
        <w:t>评标结束后，</w:t>
      </w:r>
      <w:r>
        <w:rPr>
          <w:rFonts w:hint="eastAsia" w:ascii="宋体" w:hAnsi="宋体"/>
          <w:szCs w:val="21"/>
        </w:rPr>
        <w:t>采购</w:t>
      </w:r>
      <w:r>
        <w:rPr>
          <w:rFonts w:hint="eastAsia" w:ascii="新宋体" w:hAnsi="新宋体" w:eastAsia="新宋体"/>
          <w:szCs w:val="21"/>
        </w:rPr>
        <w:t>人将对投标人进行最终审查。最终审查的主要内容是：投标人的资质、业务能力、信誉、以往政府采购活动中的业绩和表现及以往完成合同和服务的记录；最终审查工作如需投标人配合，投标人必须接受。</w:t>
      </w:r>
    </w:p>
    <w:p>
      <w:pPr>
        <w:widowControl/>
        <w:numPr>
          <w:ilvl w:val="1"/>
          <w:numId w:val="9"/>
        </w:numPr>
        <w:snapToGrid w:val="0"/>
        <w:spacing w:line="380" w:lineRule="exact"/>
        <w:rPr>
          <w:rFonts w:hint="eastAsia" w:ascii="新宋体" w:hAnsi="新宋体" w:eastAsia="新宋体"/>
          <w:szCs w:val="21"/>
        </w:rPr>
      </w:pPr>
      <w:r>
        <w:rPr>
          <w:rFonts w:hint="eastAsia" w:ascii="新宋体" w:hAnsi="新宋体" w:eastAsia="新宋体"/>
          <w:szCs w:val="21"/>
        </w:rPr>
        <w:t>中标人如未能通过最终审查，</w:t>
      </w:r>
      <w:r>
        <w:rPr>
          <w:rFonts w:hint="eastAsia" w:ascii="宋体" w:hAnsi="宋体"/>
          <w:szCs w:val="21"/>
        </w:rPr>
        <w:t>采购</w:t>
      </w:r>
      <w:r>
        <w:rPr>
          <w:rFonts w:hint="eastAsia" w:ascii="新宋体" w:hAnsi="新宋体" w:eastAsia="新宋体"/>
          <w:szCs w:val="21"/>
        </w:rPr>
        <w:t>人将视具体情况，提出具体限时整改要求，中标人如未能达到整改要求，其中标资格将被取消。</w:t>
      </w:r>
    </w:p>
    <w:p>
      <w:pPr>
        <w:widowControl/>
        <w:numPr>
          <w:ilvl w:val="1"/>
          <w:numId w:val="9"/>
        </w:numPr>
        <w:snapToGrid w:val="0"/>
        <w:spacing w:line="380" w:lineRule="exact"/>
        <w:rPr>
          <w:rFonts w:hint="eastAsia" w:ascii="新宋体" w:hAnsi="新宋体" w:eastAsia="新宋体"/>
          <w:szCs w:val="21"/>
        </w:rPr>
      </w:pPr>
      <w:r>
        <w:rPr>
          <w:rFonts w:hint="eastAsia" w:ascii="宋体" w:hAnsi="宋体"/>
          <w:szCs w:val="21"/>
        </w:rPr>
        <w:t>采购</w:t>
      </w:r>
      <w:r>
        <w:rPr>
          <w:rFonts w:hint="eastAsia" w:ascii="新宋体" w:hAnsi="新宋体" w:eastAsia="新宋体"/>
          <w:szCs w:val="21"/>
        </w:rPr>
        <w:t>机构将中标通知书授予最佳投标人。</w:t>
      </w:r>
    </w:p>
    <w:p>
      <w:pPr>
        <w:widowControl/>
        <w:numPr>
          <w:ilvl w:val="0"/>
          <w:numId w:val="9"/>
        </w:numPr>
        <w:spacing w:line="380" w:lineRule="exact"/>
        <w:rPr>
          <w:rFonts w:hint="eastAsia" w:ascii="新宋体" w:hAnsi="新宋体" w:eastAsia="新宋体"/>
          <w:b/>
          <w:szCs w:val="21"/>
        </w:rPr>
      </w:pPr>
      <w:r>
        <w:rPr>
          <w:rFonts w:hint="eastAsia" w:ascii="新宋体" w:hAnsi="新宋体" w:eastAsia="新宋体"/>
          <w:b/>
          <w:szCs w:val="21"/>
        </w:rPr>
        <w:t>中标通知</w:t>
      </w:r>
    </w:p>
    <w:p>
      <w:pPr>
        <w:widowControl/>
        <w:numPr>
          <w:ilvl w:val="1"/>
          <w:numId w:val="9"/>
        </w:numPr>
        <w:snapToGrid w:val="0"/>
        <w:spacing w:line="380" w:lineRule="exact"/>
        <w:rPr>
          <w:rFonts w:hint="eastAsia" w:ascii="新宋体" w:hAnsi="新宋体" w:eastAsia="新宋体"/>
          <w:szCs w:val="21"/>
        </w:rPr>
      </w:pPr>
      <w:r>
        <w:rPr>
          <w:rFonts w:hint="eastAsia" w:ascii="新宋体" w:hAnsi="新宋体" w:eastAsia="新宋体"/>
          <w:szCs w:val="21"/>
        </w:rPr>
        <w:t>中标人确定后，采购机构将向中标人发出中标通知书。</w:t>
      </w:r>
    </w:p>
    <w:p>
      <w:pPr>
        <w:widowControl/>
        <w:numPr>
          <w:ilvl w:val="1"/>
          <w:numId w:val="9"/>
        </w:numPr>
        <w:snapToGrid w:val="0"/>
        <w:spacing w:line="380" w:lineRule="exact"/>
        <w:rPr>
          <w:rFonts w:hint="eastAsia" w:ascii="新宋体" w:hAnsi="新宋体" w:eastAsia="新宋体"/>
          <w:szCs w:val="21"/>
        </w:rPr>
      </w:pPr>
      <w:r>
        <w:rPr>
          <w:rFonts w:hint="eastAsia" w:ascii="新宋体" w:hAnsi="新宋体" w:eastAsia="新宋体"/>
          <w:szCs w:val="21"/>
        </w:rPr>
        <w:t>中标通知书将是合同的一个组成部分，对</w:t>
      </w:r>
      <w:r>
        <w:rPr>
          <w:rFonts w:hint="eastAsia" w:ascii="宋体" w:hAnsi="宋体"/>
          <w:szCs w:val="21"/>
        </w:rPr>
        <w:t>采购</w:t>
      </w:r>
      <w:r>
        <w:rPr>
          <w:rFonts w:hint="eastAsia" w:ascii="新宋体" w:hAnsi="新宋体" w:eastAsia="新宋体"/>
          <w:szCs w:val="21"/>
        </w:rPr>
        <w:t>人和中标人均具有法律效力。</w:t>
      </w:r>
    </w:p>
    <w:p>
      <w:pPr>
        <w:widowControl/>
        <w:numPr>
          <w:ilvl w:val="0"/>
          <w:numId w:val="9"/>
        </w:numPr>
        <w:spacing w:line="380" w:lineRule="exact"/>
        <w:rPr>
          <w:rFonts w:hint="eastAsia" w:ascii="新宋体" w:hAnsi="新宋体" w:eastAsia="新宋体"/>
          <w:b/>
          <w:szCs w:val="21"/>
        </w:rPr>
      </w:pPr>
      <w:r>
        <w:rPr>
          <w:rFonts w:hint="eastAsia" w:ascii="宋体" w:hAnsi="宋体"/>
          <w:b/>
          <w:bCs/>
          <w:szCs w:val="21"/>
        </w:rPr>
        <w:t>授标时更改采购货物数量的权</w:t>
      </w:r>
      <w:r>
        <w:rPr>
          <w:rFonts w:hint="eastAsia" w:ascii="新宋体" w:hAnsi="新宋体" w:eastAsia="新宋体"/>
          <w:b/>
          <w:szCs w:val="21"/>
        </w:rPr>
        <w:t>力</w:t>
      </w:r>
    </w:p>
    <w:p>
      <w:pPr>
        <w:widowControl/>
        <w:numPr>
          <w:ilvl w:val="1"/>
          <w:numId w:val="9"/>
        </w:numPr>
        <w:snapToGrid w:val="0"/>
        <w:spacing w:line="380" w:lineRule="exact"/>
        <w:rPr>
          <w:rFonts w:hint="eastAsia" w:ascii="宋体" w:hAnsi="宋体"/>
          <w:szCs w:val="21"/>
        </w:rPr>
      </w:pPr>
      <w:r>
        <w:rPr>
          <w:rFonts w:hint="eastAsia" w:ascii="宋体" w:hAnsi="宋体"/>
          <w:szCs w:val="21"/>
        </w:rPr>
        <w:t>招标人在授予合同时有权对招标货物的数量和服务在一定幅度范围内予以增加或减少,但不得对单价和其他的条款和条件作任何改变。</w:t>
      </w:r>
    </w:p>
    <w:p>
      <w:pPr>
        <w:widowControl/>
        <w:numPr>
          <w:ilvl w:val="0"/>
          <w:numId w:val="9"/>
        </w:numPr>
        <w:snapToGrid w:val="0"/>
        <w:spacing w:line="380" w:lineRule="exact"/>
        <w:rPr>
          <w:rFonts w:hint="eastAsia" w:ascii="宋体" w:hAnsi="宋体"/>
          <w:b/>
          <w:szCs w:val="21"/>
        </w:rPr>
      </w:pPr>
      <w:r>
        <w:rPr>
          <w:rFonts w:hint="eastAsia" w:ascii="宋体" w:hAnsi="宋体"/>
          <w:b/>
          <w:szCs w:val="21"/>
        </w:rPr>
        <w:t>签订合同</w:t>
      </w:r>
    </w:p>
    <w:p>
      <w:pPr>
        <w:widowControl/>
        <w:numPr>
          <w:ilvl w:val="1"/>
          <w:numId w:val="9"/>
        </w:numPr>
        <w:snapToGrid w:val="0"/>
        <w:spacing w:line="380" w:lineRule="exact"/>
        <w:rPr>
          <w:rFonts w:hint="eastAsia" w:ascii="宋体" w:hAnsi="宋体"/>
          <w:szCs w:val="21"/>
        </w:rPr>
      </w:pPr>
      <w:r>
        <w:rPr>
          <w:rFonts w:hint="eastAsia" w:ascii="宋体" w:hAnsi="宋体"/>
          <w:b/>
          <w:szCs w:val="21"/>
        </w:rPr>
        <w:t>中标人应按中标通知书规定的时间、地点与采购人签订合同，同时提交履约保证金。</w:t>
      </w:r>
    </w:p>
    <w:p>
      <w:pPr>
        <w:widowControl/>
        <w:numPr>
          <w:ilvl w:val="1"/>
          <w:numId w:val="9"/>
        </w:numPr>
        <w:snapToGrid w:val="0"/>
        <w:spacing w:line="380" w:lineRule="exact"/>
        <w:rPr>
          <w:rFonts w:hint="eastAsia" w:ascii="宋体" w:hAnsi="宋体"/>
          <w:szCs w:val="21"/>
        </w:rPr>
      </w:pPr>
      <w:r>
        <w:rPr>
          <w:rFonts w:hint="eastAsia" w:ascii="宋体" w:hAnsi="宋体"/>
          <w:szCs w:val="21"/>
        </w:rPr>
        <w:t>招标文件、中标人的投标文件及其澄清文件等，均为签订经济合同的依据。</w:t>
      </w:r>
    </w:p>
    <w:p>
      <w:pPr>
        <w:widowControl/>
        <w:numPr>
          <w:ilvl w:val="1"/>
          <w:numId w:val="9"/>
        </w:numPr>
        <w:snapToGrid w:val="0"/>
        <w:spacing w:line="380" w:lineRule="exact"/>
        <w:rPr>
          <w:rFonts w:hint="eastAsia" w:ascii="宋体" w:hAnsi="宋体"/>
          <w:szCs w:val="21"/>
        </w:rPr>
      </w:pPr>
      <w:r>
        <w:rPr>
          <w:rFonts w:hint="eastAsia" w:ascii="宋体" w:hAnsi="宋体"/>
          <w:b/>
          <w:spacing w:val="6"/>
          <w:szCs w:val="21"/>
        </w:rPr>
        <w:t>在签订合同前，采购人有权在中标总价不变的前提下要求中标投标人对商务报价中的不平衡报价和缺漏项进行调整，如果中标投标人无合理理由拒绝调整，其中标资格将被取消，且将导致其它进一步的赔偿和处罚。中标投标人因不可抗力或自身原因不能履行采购合同的，采购人可以与排位在中标投标人之后的第一位的中标候选投标人签订政府采购合同。</w:t>
      </w:r>
    </w:p>
    <w:p>
      <w:pPr>
        <w:widowControl/>
        <w:numPr>
          <w:ilvl w:val="1"/>
          <w:numId w:val="9"/>
        </w:numPr>
        <w:snapToGrid w:val="0"/>
        <w:spacing w:line="380" w:lineRule="exact"/>
        <w:rPr>
          <w:rFonts w:hint="eastAsia" w:ascii="宋体" w:hAnsi="宋体"/>
          <w:szCs w:val="21"/>
        </w:rPr>
      </w:pPr>
      <w:r>
        <w:rPr>
          <w:rFonts w:hint="eastAsia" w:ascii="宋体" w:hAnsi="宋体"/>
          <w:spacing w:val="6"/>
          <w:szCs w:val="21"/>
        </w:rPr>
        <w:t>在签订合同前，采购人需对中标人资质进行复查，中标人应配合，如果中标人拒绝，其中标资格将被取消，且将导致其它进一步的赔偿和处罚。</w:t>
      </w:r>
    </w:p>
    <w:p>
      <w:pPr>
        <w:widowControl/>
        <w:numPr>
          <w:ilvl w:val="1"/>
          <w:numId w:val="9"/>
        </w:numPr>
        <w:snapToGrid w:val="0"/>
        <w:spacing w:line="380" w:lineRule="exact"/>
        <w:rPr>
          <w:rFonts w:hint="eastAsia" w:ascii="宋体" w:hAnsi="宋体"/>
          <w:szCs w:val="21"/>
        </w:rPr>
      </w:pPr>
      <w:r>
        <w:rPr>
          <w:rFonts w:hint="eastAsia" w:ascii="宋体" w:hAnsi="宋体"/>
          <w:szCs w:val="21"/>
        </w:rPr>
        <w:t>中标人接到中标通知书后，在规定的时间内借故否认已经承诺的条件而拒签合同或拒交履约保证金，则以违约处理，采购人将取消该单位的中标资格，同时另行确定中标人。</w:t>
      </w:r>
    </w:p>
    <w:p>
      <w:pPr>
        <w:widowControl/>
        <w:numPr>
          <w:ilvl w:val="0"/>
          <w:numId w:val="9"/>
        </w:numPr>
        <w:snapToGrid w:val="0"/>
        <w:spacing w:line="380" w:lineRule="exact"/>
        <w:rPr>
          <w:rFonts w:ascii="宋体" w:hAnsi="宋体"/>
          <w:b/>
          <w:szCs w:val="21"/>
        </w:rPr>
      </w:pPr>
      <w:r>
        <w:rPr>
          <w:rFonts w:hint="eastAsia" w:ascii="宋体" w:hAnsi="宋体"/>
          <w:b/>
          <w:szCs w:val="21"/>
        </w:rPr>
        <w:t>中标结果通知</w:t>
      </w:r>
    </w:p>
    <w:p>
      <w:pPr>
        <w:snapToGrid w:val="0"/>
        <w:spacing w:line="380" w:lineRule="exact"/>
        <w:ind w:firstLine="420" w:firstLineChars="200"/>
        <w:rPr>
          <w:rFonts w:hint="eastAsia" w:ascii="宋体" w:hAnsi="宋体"/>
          <w:szCs w:val="21"/>
        </w:rPr>
      </w:pPr>
      <w:r>
        <w:rPr>
          <w:rFonts w:hint="eastAsia" w:ascii="宋体" w:hAnsi="宋体"/>
          <w:bCs/>
          <w:szCs w:val="21"/>
        </w:rPr>
        <w:t>评标委员会确定的中标候选人经招标人审查合格后在浙江省政府采购网、龙港市公共资源交易中心网上公示1个工作日并</w:t>
      </w:r>
      <w:r>
        <w:rPr>
          <w:rFonts w:hint="eastAsia" w:ascii="宋体" w:hAnsi="宋体"/>
          <w:szCs w:val="21"/>
        </w:rPr>
        <w:t>将发出《中标通知书》并在10个工作日内签订经济合同。</w:t>
      </w:r>
    </w:p>
    <w:p>
      <w:pPr>
        <w:widowControl/>
        <w:numPr>
          <w:ilvl w:val="0"/>
          <w:numId w:val="9"/>
        </w:numPr>
        <w:snapToGrid w:val="0"/>
        <w:spacing w:line="380" w:lineRule="exact"/>
        <w:rPr>
          <w:rFonts w:ascii="宋体" w:hAnsi="宋体"/>
          <w:b/>
          <w:szCs w:val="21"/>
        </w:rPr>
      </w:pPr>
      <w:r>
        <w:rPr>
          <w:rFonts w:hint="eastAsia" w:ascii="宋体" w:hAnsi="宋体"/>
          <w:b/>
          <w:szCs w:val="21"/>
        </w:rPr>
        <w:t>招标代理费</w:t>
      </w:r>
    </w:p>
    <w:p>
      <w:pPr>
        <w:widowControl/>
        <w:snapToGrid w:val="0"/>
        <w:spacing w:line="380" w:lineRule="exact"/>
        <w:rPr>
          <w:rFonts w:hint="eastAsia" w:ascii="宋体" w:hAnsi="宋体"/>
          <w:spacing w:val="6"/>
          <w:szCs w:val="21"/>
        </w:rPr>
      </w:pPr>
      <w:r>
        <w:rPr>
          <w:rFonts w:hint="eastAsia" w:ascii="宋体" w:hAnsi="宋体"/>
          <w:szCs w:val="21"/>
        </w:rPr>
        <w:t>36.1、</w:t>
      </w:r>
      <w:r>
        <w:rPr>
          <w:rFonts w:hint="eastAsia" w:ascii="宋体" w:hAnsi="宋体"/>
          <w:bCs/>
          <w:szCs w:val="21"/>
        </w:rPr>
        <w:t>中标人在领取中标通知书同时向招标代理机构支付招标代理服务费</w:t>
      </w:r>
      <w:r>
        <w:rPr>
          <w:rFonts w:hint="eastAsia" w:ascii="宋体" w:hAnsi="宋体"/>
          <w:bCs/>
          <w:szCs w:val="21"/>
          <w:u w:val="single"/>
        </w:rPr>
        <w:t xml:space="preserve">     </w:t>
      </w:r>
      <w:r>
        <w:rPr>
          <w:rFonts w:hint="eastAsia" w:ascii="宋体" w:hAnsi="宋体"/>
          <w:bCs/>
          <w:szCs w:val="21"/>
        </w:rPr>
        <w:t>元（代理服务费根据国家计委《招标代理服务收费管理暂行办法》（[2002]1980号）的货物类收费标准计取），招标代理服务费包</w:t>
      </w:r>
      <w:r>
        <w:rPr>
          <w:rFonts w:hint="eastAsia" w:ascii="宋体" w:hAnsi="宋体"/>
          <w:spacing w:val="6"/>
          <w:szCs w:val="21"/>
        </w:rPr>
        <w:t>含在投标总价中。</w:t>
      </w:r>
    </w:p>
    <w:p>
      <w:pPr>
        <w:widowControl/>
        <w:snapToGrid w:val="0"/>
        <w:spacing w:line="380" w:lineRule="exact"/>
        <w:ind w:firstLine="668" w:firstLineChars="300"/>
        <w:rPr>
          <w:rFonts w:hint="eastAsia" w:ascii="宋体" w:hAnsi="宋体"/>
          <w:b/>
          <w:bCs/>
          <w:spacing w:val="6"/>
          <w:szCs w:val="21"/>
        </w:rPr>
      </w:pPr>
      <w:r>
        <w:rPr>
          <w:rFonts w:hint="eastAsia" w:ascii="宋体" w:hAnsi="宋体"/>
          <w:b/>
          <w:bCs/>
          <w:spacing w:val="6"/>
          <w:szCs w:val="21"/>
        </w:rPr>
        <w:t xml:space="preserve">招标代理服务费汇入以下帐号： </w:t>
      </w:r>
    </w:p>
    <w:p>
      <w:pPr>
        <w:widowControl/>
        <w:snapToGrid w:val="0"/>
        <w:spacing w:line="380" w:lineRule="exact"/>
        <w:ind w:firstLine="668" w:firstLineChars="300"/>
        <w:rPr>
          <w:rFonts w:hint="eastAsia" w:ascii="宋体" w:hAnsi="宋体"/>
          <w:b/>
          <w:bCs/>
          <w:spacing w:val="6"/>
          <w:szCs w:val="21"/>
        </w:rPr>
      </w:pPr>
      <w:r>
        <w:rPr>
          <w:rFonts w:hint="eastAsia" w:ascii="宋体" w:hAnsi="宋体"/>
          <w:b/>
          <w:bCs/>
          <w:spacing w:val="6"/>
          <w:szCs w:val="21"/>
        </w:rPr>
        <w:t>开户银行：201000230192402</w:t>
      </w:r>
    </w:p>
    <w:p>
      <w:pPr>
        <w:widowControl/>
        <w:snapToGrid w:val="0"/>
        <w:spacing w:line="380" w:lineRule="exact"/>
        <w:ind w:firstLine="668" w:firstLineChars="300"/>
        <w:rPr>
          <w:rFonts w:hint="eastAsia" w:ascii="宋体" w:hAnsi="宋体"/>
          <w:b/>
          <w:bCs/>
          <w:spacing w:val="6"/>
          <w:szCs w:val="21"/>
        </w:rPr>
      </w:pPr>
      <w:r>
        <w:rPr>
          <w:rFonts w:hint="eastAsia" w:ascii="宋体" w:hAnsi="宋体"/>
          <w:b/>
          <w:bCs/>
          <w:spacing w:val="6"/>
          <w:szCs w:val="21"/>
        </w:rPr>
        <w:t>开户名称：浙江首信工程项目管理有限公司龙港分公司</w:t>
      </w:r>
    </w:p>
    <w:p>
      <w:pPr>
        <w:widowControl/>
        <w:snapToGrid w:val="0"/>
        <w:spacing w:line="380" w:lineRule="exact"/>
        <w:ind w:firstLine="668" w:firstLineChars="300"/>
        <w:rPr>
          <w:rFonts w:hint="eastAsia" w:ascii="宋体" w:hAnsi="宋体"/>
          <w:b/>
          <w:bCs/>
          <w:spacing w:val="6"/>
          <w:szCs w:val="21"/>
        </w:rPr>
      </w:pPr>
      <w:r>
        <w:rPr>
          <w:rFonts w:hint="eastAsia" w:ascii="宋体" w:hAnsi="宋体"/>
          <w:b/>
          <w:bCs/>
          <w:spacing w:val="6"/>
          <w:szCs w:val="21"/>
        </w:rPr>
        <w:t>开户帐号： 苍南农商银行龙港支行城西分理处</w:t>
      </w:r>
    </w:p>
    <w:p>
      <w:pPr>
        <w:jc w:val="center"/>
        <w:rPr>
          <w:rFonts w:hint="eastAsia"/>
          <w:sz w:val="44"/>
          <w:szCs w:val="44"/>
        </w:rPr>
      </w:pPr>
    </w:p>
    <w:p>
      <w:pPr>
        <w:jc w:val="center"/>
        <w:rPr>
          <w:rFonts w:hint="eastAsia"/>
          <w:sz w:val="44"/>
          <w:szCs w:val="44"/>
        </w:rPr>
      </w:pPr>
    </w:p>
    <w:p>
      <w:pPr>
        <w:jc w:val="center"/>
        <w:rPr>
          <w:rFonts w:hint="eastAsia"/>
          <w:sz w:val="44"/>
          <w:szCs w:val="44"/>
        </w:rPr>
      </w:pPr>
    </w:p>
    <w:p>
      <w:pPr>
        <w:pStyle w:val="3"/>
        <w:keepNext w:val="0"/>
        <w:keepLines w:val="0"/>
        <w:pageBreakBefore/>
        <w:spacing w:line="360" w:lineRule="exact"/>
        <w:jc w:val="center"/>
        <w:rPr>
          <w:rFonts w:hint="eastAsia" w:ascii="宋体" w:hAnsi="宋体"/>
          <w:szCs w:val="21"/>
        </w:rPr>
      </w:pPr>
      <w:r>
        <w:rPr>
          <w:rFonts w:hint="eastAsia" w:ascii="新宋体" w:hAnsi="新宋体" w:eastAsia="新宋体"/>
          <w:sz w:val="32"/>
          <w:szCs w:val="32"/>
        </w:rPr>
        <w:t>第三章、招标内容及技术要求</w:t>
      </w:r>
    </w:p>
    <w:p>
      <w:pPr>
        <w:spacing w:line="400" w:lineRule="exact"/>
        <w:ind w:left="6" w:firstLine="431"/>
        <w:rPr>
          <w:b/>
          <w:szCs w:val="21"/>
        </w:rPr>
      </w:pPr>
      <w:r>
        <w:rPr>
          <w:b/>
          <w:szCs w:val="21"/>
        </w:rPr>
        <w:t>1、本一览表中的品牌型号</w:t>
      </w:r>
      <w:r>
        <w:rPr>
          <w:rFonts w:hint="eastAsia"/>
          <w:b/>
          <w:szCs w:val="21"/>
        </w:rPr>
        <w:t>、</w:t>
      </w:r>
      <w:r>
        <w:rPr>
          <w:b/>
          <w:szCs w:val="21"/>
        </w:rPr>
        <w:t>技术参数及其性能（配置）仅起参考作用，投标人可选用其他品牌型号替代，但这些替代的品牌型号要实质上相当于或优于参考品牌型号及其技术参数性能（配置）要求。</w:t>
      </w:r>
    </w:p>
    <w:p>
      <w:pPr>
        <w:spacing w:line="400" w:lineRule="exact"/>
        <w:ind w:left="6" w:firstLine="431"/>
        <w:rPr>
          <w:rFonts w:hint="eastAsia"/>
          <w:b/>
          <w:szCs w:val="21"/>
        </w:rPr>
      </w:pPr>
      <w:r>
        <w:rPr>
          <w:b/>
          <w:szCs w:val="21"/>
        </w:rPr>
        <w:t>2、本一览表中参考品牌型号及技术参数性能（配置）不明确或有误的，或投标人选用其他品牌型号替代的，请以详细、正确的品牌型号、技术参数性能（配置）同时填写投标报价表和技术规格偏离表</w:t>
      </w:r>
      <w:r>
        <w:rPr>
          <w:rFonts w:hint="eastAsia"/>
          <w:b/>
          <w:szCs w:val="21"/>
        </w:rPr>
        <w:t>。</w:t>
      </w:r>
    </w:p>
    <w:p>
      <w:pPr>
        <w:spacing w:line="400" w:lineRule="exact"/>
        <w:ind w:left="6" w:firstLine="431"/>
        <w:rPr>
          <w:b/>
          <w:szCs w:val="21"/>
        </w:rPr>
      </w:pPr>
      <w:r>
        <w:rPr>
          <w:b/>
          <w:szCs w:val="21"/>
        </w:rPr>
        <w:t>3、凡在“技术参数及性能（配置）要求”中表述为“标配”或“标准配置”的设备，投标人应在投标报价表中将其标配参数详细列明，否则该投标无效。</w:t>
      </w:r>
    </w:p>
    <w:p>
      <w:pPr>
        <w:spacing w:line="400" w:lineRule="exact"/>
        <w:ind w:left="6" w:firstLine="431"/>
        <w:rPr>
          <w:b/>
          <w:szCs w:val="21"/>
        </w:rPr>
      </w:pPr>
      <w:r>
        <w:rPr>
          <w:b/>
          <w:szCs w:val="21"/>
        </w:rPr>
        <w:t>4、带“</w:t>
      </w:r>
      <w:r>
        <w:rPr>
          <w:rFonts w:hint="eastAsia"/>
          <w:b/>
          <w:szCs w:val="21"/>
        </w:rPr>
        <w:t>“</w:t>
      </w:r>
      <w:r>
        <w:rPr>
          <w:b/>
          <w:szCs w:val="21"/>
        </w:rPr>
        <w:t>▲</w:t>
      </w:r>
      <w:r>
        <w:rPr>
          <w:rFonts w:hint="eastAsia"/>
          <w:b/>
          <w:szCs w:val="21"/>
        </w:rPr>
        <w:t>”</w:t>
      </w:r>
      <w:r>
        <w:rPr>
          <w:b/>
          <w:szCs w:val="21"/>
        </w:rPr>
        <w:t>号</w:t>
      </w:r>
      <w:r>
        <w:rPr>
          <w:rFonts w:hint="eastAsia"/>
          <w:b/>
          <w:szCs w:val="21"/>
        </w:rPr>
        <w:t>及表述为“须”或“必须”的</w:t>
      </w:r>
      <w:r>
        <w:rPr>
          <w:b/>
          <w:szCs w:val="21"/>
        </w:rPr>
        <w:t>参数为重要技术指标，投标人不满足则有可能投标被拒绝。</w:t>
      </w:r>
    </w:p>
    <w:p>
      <w:pPr>
        <w:rPr>
          <w:rFonts w:hint="eastAsia"/>
          <w:color w:val="000000"/>
          <w:szCs w:val="21"/>
        </w:rPr>
      </w:pPr>
      <w:bookmarkStart w:id="8" w:name="_Toc290628268"/>
      <w:bookmarkStart w:id="9" w:name="_Toc517392292"/>
      <w:bookmarkStart w:id="10" w:name="_Toc291605295"/>
      <w:bookmarkStart w:id="11" w:name="_Toc16034"/>
      <w:bookmarkStart w:id="12" w:name="_Toc364988303"/>
      <w:bookmarkStart w:id="13" w:name="_Toc291769071"/>
      <w:r>
        <w:rPr>
          <w:rFonts w:hint="eastAsia"/>
          <w:color w:val="000000"/>
          <w:szCs w:val="21"/>
        </w:rPr>
        <w:t>一、工艺设备</w:t>
      </w:r>
    </w:p>
    <w:tbl>
      <w:tblPr>
        <w:tblStyle w:val="19"/>
        <w:tblW w:w="9837"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393"/>
        <w:gridCol w:w="3265"/>
        <w:gridCol w:w="717"/>
        <w:gridCol w:w="744"/>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4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序号</w:t>
            </w:r>
          </w:p>
        </w:tc>
        <w:tc>
          <w:tcPr>
            <w:tcW w:w="2393"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名称</w:t>
            </w:r>
          </w:p>
        </w:tc>
        <w:tc>
          <w:tcPr>
            <w:tcW w:w="326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型号及规格</w:t>
            </w:r>
          </w:p>
        </w:tc>
        <w:tc>
          <w:tcPr>
            <w:tcW w:w="7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单位</w:t>
            </w:r>
          </w:p>
        </w:tc>
        <w:tc>
          <w:tcPr>
            <w:tcW w:w="74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数量</w:t>
            </w:r>
          </w:p>
        </w:tc>
        <w:tc>
          <w:tcPr>
            <w:tcW w:w="197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74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2393"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更换卧式离心泵</w:t>
            </w:r>
          </w:p>
        </w:tc>
        <w:tc>
          <w:tcPr>
            <w:tcW w:w="3265"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流量 4000m</w:t>
            </w:r>
            <w:r>
              <w:rPr>
                <w:rFonts w:hint="eastAsia" w:ascii="宋体" w:hAnsi="宋体" w:cs="宋体"/>
                <w:color w:val="000000"/>
                <w:kern w:val="0"/>
                <w:szCs w:val="21"/>
                <w:vertAlign w:val="superscript"/>
              </w:rPr>
              <w:t>3</w:t>
            </w:r>
            <w:r>
              <w:rPr>
                <w:rFonts w:hint="eastAsia" w:ascii="宋体" w:hAnsi="宋体" w:cs="宋体"/>
                <w:color w:val="000000"/>
                <w:kern w:val="0"/>
                <w:szCs w:val="21"/>
              </w:rPr>
              <w:t>/h，扬程22米，转速740rpm, NPSHr≤4m，效率≥85%</w:t>
            </w:r>
          </w:p>
        </w:tc>
        <w:tc>
          <w:tcPr>
            <w:tcW w:w="7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74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970" w:type="dxa"/>
            <w:noWrap w:val="0"/>
            <w:vAlign w:val="center"/>
          </w:tcPr>
          <w:p>
            <w:pPr>
              <w:jc w:val="center"/>
              <w:rPr>
                <w:rFonts w:hint="eastAsia" w:ascii="宋体" w:hAnsi="宋体" w:cs="宋体"/>
                <w:color w:val="000000"/>
                <w:kern w:val="0"/>
                <w:szCs w:val="21"/>
              </w:rPr>
            </w:pPr>
            <w:r>
              <w:rPr>
                <w:rFonts w:hint="eastAsia" w:ascii="宋体" w:hAnsi="宋体"/>
                <w:color w:val="FF0000"/>
                <w:szCs w:val="21"/>
              </w:rPr>
              <w:t>推荐品牌：佛山安德里茨、</w:t>
            </w:r>
            <w:r>
              <w:rPr>
                <w:rFonts w:hint="eastAsia" w:ascii="宋体" w:hAnsi="宋体"/>
                <w:color w:val="FF0000"/>
                <w:szCs w:val="21"/>
                <w:lang w:val="en-US" w:eastAsia="zh-CN"/>
              </w:rPr>
              <w:t>格兰富</w:t>
            </w:r>
            <w:r>
              <w:rPr>
                <w:rFonts w:hint="eastAsia" w:ascii="宋体" w:hAnsi="宋体"/>
                <w:color w:val="FF0000"/>
                <w:szCs w:val="21"/>
              </w:rPr>
              <w:t>、上海凯士比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4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2393"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lang w:eastAsia="zh-CN"/>
              </w:rPr>
              <w:t>配套</w:t>
            </w:r>
            <w:r>
              <w:rPr>
                <w:rFonts w:hint="eastAsia" w:ascii="宋体" w:hAnsi="宋体" w:cs="宋体"/>
                <w:color w:val="000000"/>
                <w:kern w:val="0"/>
                <w:szCs w:val="21"/>
              </w:rPr>
              <w:t>电机</w:t>
            </w:r>
          </w:p>
        </w:tc>
        <w:tc>
          <w:tcPr>
            <w:tcW w:w="3265"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xml:space="preserve">电压 10kV，功率315KW </w:t>
            </w:r>
          </w:p>
        </w:tc>
        <w:tc>
          <w:tcPr>
            <w:tcW w:w="7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74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970" w:type="dxa"/>
            <w:noWrap w:val="0"/>
            <w:vAlign w:val="center"/>
          </w:tcPr>
          <w:p>
            <w:pPr>
              <w:jc w:val="center"/>
              <w:rPr>
                <w:rFonts w:hint="eastAsia" w:ascii="宋体" w:hAnsi="宋体" w:cs="宋体"/>
                <w:color w:val="000000"/>
                <w:kern w:val="0"/>
                <w:szCs w:val="21"/>
              </w:rPr>
            </w:pPr>
            <w:r>
              <w:rPr>
                <w:rFonts w:hint="eastAsia" w:ascii="宋体" w:hAnsi="宋体"/>
                <w:color w:val="FF0000"/>
                <w:szCs w:val="21"/>
                <w:lang w:val="en-US" w:eastAsia="zh-CN"/>
              </w:rPr>
              <w:t>配套</w:t>
            </w:r>
            <w:r>
              <w:rPr>
                <w:rFonts w:hint="eastAsia" w:ascii="宋体" w:hAnsi="宋体"/>
                <w:color w:val="FF0000"/>
                <w:szCs w:val="21"/>
              </w:rPr>
              <w:t>品牌：西门子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4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393"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偏心异径管</w:t>
            </w:r>
          </w:p>
        </w:tc>
        <w:tc>
          <w:tcPr>
            <w:tcW w:w="3265"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DN800x700 PN1.0MPa 材质：钢</w:t>
            </w:r>
          </w:p>
        </w:tc>
        <w:tc>
          <w:tcPr>
            <w:tcW w:w="7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只</w:t>
            </w:r>
          </w:p>
        </w:tc>
        <w:tc>
          <w:tcPr>
            <w:tcW w:w="74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970" w:type="dxa"/>
            <w:noWrap w:val="0"/>
            <w:vAlign w:val="center"/>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4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2393"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异径管</w:t>
            </w:r>
          </w:p>
        </w:tc>
        <w:tc>
          <w:tcPr>
            <w:tcW w:w="3265"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DN800x600 PN1.0MPa 材质：钢</w:t>
            </w:r>
          </w:p>
        </w:tc>
        <w:tc>
          <w:tcPr>
            <w:tcW w:w="7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只</w:t>
            </w:r>
          </w:p>
        </w:tc>
        <w:tc>
          <w:tcPr>
            <w:tcW w:w="74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970" w:type="dxa"/>
            <w:noWrap w:val="0"/>
            <w:vAlign w:val="center"/>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4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2393"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单法短管</w:t>
            </w:r>
          </w:p>
        </w:tc>
        <w:tc>
          <w:tcPr>
            <w:tcW w:w="3265"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DN800,L=1250 材质：钢</w:t>
            </w:r>
          </w:p>
        </w:tc>
        <w:tc>
          <w:tcPr>
            <w:tcW w:w="7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根</w:t>
            </w:r>
          </w:p>
        </w:tc>
        <w:tc>
          <w:tcPr>
            <w:tcW w:w="74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970" w:type="dxa"/>
            <w:noWrap w:val="0"/>
            <w:vAlign w:val="center"/>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4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2393"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单法短管</w:t>
            </w:r>
          </w:p>
        </w:tc>
        <w:tc>
          <w:tcPr>
            <w:tcW w:w="3265"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DN800,L=650 材质：钢</w:t>
            </w:r>
          </w:p>
        </w:tc>
        <w:tc>
          <w:tcPr>
            <w:tcW w:w="7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根</w:t>
            </w:r>
          </w:p>
        </w:tc>
        <w:tc>
          <w:tcPr>
            <w:tcW w:w="74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970" w:type="dxa"/>
            <w:noWrap w:val="0"/>
            <w:vAlign w:val="center"/>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4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w:t>
            </w:r>
          </w:p>
        </w:tc>
        <w:tc>
          <w:tcPr>
            <w:tcW w:w="2393"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其他安装辅材</w:t>
            </w:r>
          </w:p>
        </w:tc>
        <w:tc>
          <w:tcPr>
            <w:tcW w:w="3265"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71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项</w:t>
            </w:r>
          </w:p>
        </w:tc>
        <w:tc>
          <w:tcPr>
            <w:tcW w:w="74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970"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bl>
    <w:p>
      <w:pPr>
        <w:rPr>
          <w:rFonts w:hint="eastAsia" w:ascii="宋体" w:hAnsi="宋体" w:cs="宋体"/>
          <w:color w:val="000000"/>
          <w:szCs w:val="21"/>
        </w:rPr>
      </w:pPr>
      <w:bookmarkStart w:id="14" w:name="_Toc19742"/>
      <w:bookmarkStart w:id="15" w:name="_Toc392605662"/>
      <w:bookmarkStart w:id="16" w:name="_Toc9073"/>
      <w:bookmarkStart w:id="17" w:name="_Toc21313"/>
      <w:bookmarkStart w:id="18" w:name="_Toc14537"/>
      <w:bookmarkStart w:id="19" w:name="_Toc22662"/>
      <w:bookmarkStart w:id="20" w:name="_Toc258933640"/>
      <w:bookmarkStart w:id="21" w:name="_Toc29485"/>
      <w:r>
        <w:rPr>
          <w:rFonts w:hint="eastAsia" w:ascii="宋体" w:hAnsi="宋体" w:cs="宋体"/>
          <w:color w:val="000000"/>
          <w:szCs w:val="21"/>
        </w:rPr>
        <w:t>二、电气设备</w:t>
      </w:r>
    </w:p>
    <w:tbl>
      <w:tblPr>
        <w:tblStyle w:val="19"/>
        <w:tblW w:w="50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1671"/>
        <w:gridCol w:w="1770"/>
        <w:gridCol w:w="3496"/>
        <w:gridCol w:w="521"/>
        <w:gridCol w:w="494"/>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gridSpan w:val="7"/>
            <w:noWrap w:val="0"/>
            <w:vAlign w:val="top"/>
          </w:tcPr>
          <w:p>
            <w:pPr>
              <w:widowControl/>
              <w:jc w:val="center"/>
              <w:rPr>
                <w:rFonts w:hint="eastAsia" w:ascii="宋体" w:hAnsi="宋体" w:cs="宋体"/>
                <w:color w:val="000000"/>
                <w:kern w:val="0"/>
                <w:szCs w:val="21"/>
              </w:rPr>
            </w:pPr>
            <w:r>
              <w:rPr>
                <w:rFonts w:hint="eastAsia" w:ascii="宋体" w:hAnsi="宋体" w:cs="宋体"/>
                <w:color w:val="000000"/>
                <w:kern w:val="0"/>
                <w:szCs w:val="21"/>
              </w:rPr>
              <w:t>二 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4"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序号</w:t>
            </w:r>
          </w:p>
        </w:tc>
        <w:tc>
          <w:tcPr>
            <w:tcW w:w="857"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符号</w:t>
            </w:r>
          </w:p>
        </w:tc>
        <w:tc>
          <w:tcPr>
            <w:tcW w:w="90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名称</w:t>
            </w:r>
          </w:p>
        </w:tc>
        <w:tc>
          <w:tcPr>
            <w:tcW w:w="1794"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型号及规格</w:t>
            </w:r>
          </w:p>
        </w:tc>
        <w:tc>
          <w:tcPr>
            <w:tcW w:w="267"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单位</w:t>
            </w:r>
          </w:p>
        </w:tc>
        <w:tc>
          <w:tcPr>
            <w:tcW w:w="253"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数量</w:t>
            </w:r>
          </w:p>
        </w:tc>
        <w:tc>
          <w:tcPr>
            <w:tcW w:w="693"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4" w:type="pct"/>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1</w:t>
            </w:r>
          </w:p>
        </w:tc>
        <w:tc>
          <w:tcPr>
            <w:tcW w:w="857"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DCP1,DCP2</w:t>
            </w:r>
          </w:p>
        </w:tc>
        <w:tc>
          <w:tcPr>
            <w:tcW w:w="90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直流屏</w:t>
            </w:r>
          </w:p>
        </w:tc>
        <w:tc>
          <w:tcPr>
            <w:tcW w:w="1794"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20Ah/DC110V,成套柜,IP41:GK柜型，W800×D600×H2260mm/单台</w:t>
            </w:r>
          </w:p>
        </w:tc>
        <w:tc>
          <w:tcPr>
            <w:tcW w:w="267"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套</w:t>
            </w:r>
          </w:p>
        </w:tc>
        <w:tc>
          <w:tcPr>
            <w:tcW w:w="253"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693" w:type="pct"/>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24" w:type="pct"/>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2</w:t>
            </w:r>
          </w:p>
        </w:tc>
        <w:tc>
          <w:tcPr>
            <w:tcW w:w="857"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MP</w:t>
            </w:r>
          </w:p>
        </w:tc>
        <w:tc>
          <w:tcPr>
            <w:tcW w:w="90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静态模拟操作屏</w:t>
            </w:r>
          </w:p>
        </w:tc>
        <w:tc>
          <w:tcPr>
            <w:tcW w:w="1794"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马赛克,带LED灯关显示和报警，W2000×H1500,壁挂式</w:t>
            </w:r>
          </w:p>
        </w:tc>
        <w:tc>
          <w:tcPr>
            <w:tcW w:w="267"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套</w:t>
            </w:r>
          </w:p>
        </w:tc>
        <w:tc>
          <w:tcPr>
            <w:tcW w:w="253"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693" w:type="pct"/>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4" w:type="pct"/>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3</w:t>
            </w:r>
          </w:p>
        </w:tc>
        <w:tc>
          <w:tcPr>
            <w:tcW w:w="857" w:type="pct"/>
            <w:noWrap w:val="0"/>
            <w:vAlign w:val="center"/>
          </w:tcPr>
          <w:p>
            <w:pPr>
              <w:widowControl/>
              <w:jc w:val="center"/>
              <w:rPr>
                <w:rFonts w:hint="eastAsia" w:ascii="宋体" w:hAnsi="宋体" w:cs="宋体"/>
                <w:color w:val="000000"/>
                <w:kern w:val="0"/>
                <w:szCs w:val="21"/>
              </w:rPr>
            </w:pPr>
          </w:p>
        </w:tc>
        <w:tc>
          <w:tcPr>
            <w:tcW w:w="90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3#馈线柜改造</w:t>
            </w:r>
          </w:p>
        </w:tc>
        <w:tc>
          <w:tcPr>
            <w:tcW w:w="1794"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新增出线开关 MCCB 25A/3P</w:t>
            </w:r>
          </w:p>
        </w:tc>
        <w:tc>
          <w:tcPr>
            <w:tcW w:w="267"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套</w:t>
            </w:r>
          </w:p>
        </w:tc>
        <w:tc>
          <w:tcPr>
            <w:tcW w:w="253"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693" w:type="pct"/>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24" w:type="pct"/>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4</w:t>
            </w:r>
          </w:p>
        </w:tc>
        <w:tc>
          <w:tcPr>
            <w:tcW w:w="857"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1CP~3CP</w:t>
            </w:r>
          </w:p>
        </w:tc>
        <w:tc>
          <w:tcPr>
            <w:tcW w:w="90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电容补偿柜</w:t>
            </w:r>
          </w:p>
        </w:tc>
        <w:tc>
          <w:tcPr>
            <w:tcW w:w="1794"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HVCR-12-200-AP（电抗器 RRDE-10-12/6,电容器 3*SKE5-064-067I，放电PT、避雷器和带电显示器等成套），W1200×D1500×H2200mm。</w:t>
            </w:r>
          </w:p>
        </w:tc>
        <w:tc>
          <w:tcPr>
            <w:tcW w:w="267" w:type="pct"/>
            <w:noWrap w:val="0"/>
            <w:vAlign w:val="center"/>
          </w:tcPr>
          <w:p>
            <w:pPr>
              <w:jc w:val="center"/>
              <w:rPr>
                <w:rFonts w:hint="eastAsia" w:ascii="宋体" w:hAnsi="宋体" w:cs="宋体"/>
                <w:color w:val="000000"/>
                <w:szCs w:val="21"/>
              </w:rPr>
            </w:pPr>
            <w:r>
              <w:rPr>
                <w:rFonts w:hint="eastAsia" w:ascii="宋体" w:hAnsi="宋体" w:cs="宋体"/>
                <w:color w:val="000000"/>
                <w:kern w:val="0"/>
                <w:szCs w:val="21"/>
              </w:rPr>
              <w:t>套</w:t>
            </w:r>
          </w:p>
        </w:tc>
        <w:tc>
          <w:tcPr>
            <w:tcW w:w="253" w:type="pct"/>
            <w:noWrap w:val="0"/>
            <w:vAlign w:val="center"/>
          </w:tcPr>
          <w:p>
            <w:pPr>
              <w:jc w:val="center"/>
              <w:rPr>
                <w:rFonts w:hint="eastAsia" w:ascii="宋体" w:hAnsi="宋体" w:cs="宋体"/>
                <w:color w:val="000000"/>
                <w:szCs w:val="21"/>
              </w:rPr>
            </w:pPr>
            <w:r>
              <w:rPr>
                <w:rFonts w:hint="eastAsia" w:ascii="宋体" w:hAnsi="宋体" w:cs="宋体"/>
                <w:color w:val="000000"/>
                <w:kern w:val="0"/>
                <w:szCs w:val="21"/>
              </w:rPr>
              <w:t>3</w:t>
            </w:r>
          </w:p>
        </w:tc>
        <w:tc>
          <w:tcPr>
            <w:tcW w:w="693"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电缆上进下出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4" w:type="pct"/>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857"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1JC~3JC</w:t>
            </w:r>
          </w:p>
        </w:tc>
        <w:tc>
          <w:tcPr>
            <w:tcW w:w="90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水泵机旁控制箱</w:t>
            </w:r>
          </w:p>
        </w:tc>
        <w:tc>
          <w:tcPr>
            <w:tcW w:w="1794"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非标 W450xH600xD250，IP41</w:t>
            </w:r>
          </w:p>
        </w:tc>
        <w:tc>
          <w:tcPr>
            <w:tcW w:w="267" w:type="pct"/>
            <w:noWrap w:val="0"/>
            <w:vAlign w:val="center"/>
          </w:tcPr>
          <w:p>
            <w:pPr>
              <w:jc w:val="center"/>
              <w:rPr>
                <w:rFonts w:hint="eastAsia" w:ascii="宋体" w:hAnsi="宋体" w:cs="宋体"/>
                <w:color w:val="000000"/>
                <w:szCs w:val="21"/>
              </w:rPr>
            </w:pPr>
            <w:r>
              <w:rPr>
                <w:rFonts w:hint="eastAsia" w:ascii="宋体" w:hAnsi="宋体" w:cs="宋体"/>
                <w:color w:val="000000"/>
                <w:kern w:val="0"/>
                <w:szCs w:val="21"/>
              </w:rPr>
              <w:t>只</w:t>
            </w:r>
          </w:p>
        </w:tc>
        <w:tc>
          <w:tcPr>
            <w:tcW w:w="253" w:type="pct"/>
            <w:noWrap w:val="0"/>
            <w:vAlign w:val="center"/>
          </w:tcPr>
          <w:p>
            <w:pPr>
              <w:jc w:val="center"/>
              <w:rPr>
                <w:rFonts w:hint="eastAsia" w:ascii="宋体" w:hAnsi="宋体" w:cs="宋体"/>
                <w:color w:val="000000"/>
                <w:szCs w:val="21"/>
              </w:rPr>
            </w:pPr>
            <w:r>
              <w:rPr>
                <w:rFonts w:hint="eastAsia" w:ascii="宋体" w:hAnsi="宋体" w:cs="宋体"/>
                <w:color w:val="000000"/>
                <w:kern w:val="0"/>
                <w:szCs w:val="21"/>
              </w:rPr>
              <w:t>3</w:t>
            </w:r>
          </w:p>
        </w:tc>
        <w:tc>
          <w:tcPr>
            <w:tcW w:w="693" w:type="pct"/>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4" w:type="pct"/>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6</w:t>
            </w:r>
          </w:p>
        </w:tc>
        <w:tc>
          <w:tcPr>
            <w:tcW w:w="857" w:type="pct"/>
            <w:noWrap w:val="0"/>
            <w:vAlign w:val="top"/>
          </w:tcPr>
          <w:p>
            <w:pPr>
              <w:widowControl/>
              <w:jc w:val="center"/>
              <w:rPr>
                <w:rFonts w:hint="eastAsia" w:ascii="宋体" w:hAnsi="宋体" w:cs="宋体"/>
                <w:color w:val="000000"/>
                <w:kern w:val="0"/>
                <w:szCs w:val="21"/>
              </w:rPr>
            </w:pPr>
          </w:p>
        </w:tc>
        <w:tc>
          <w:tcPr>
            <w:tcW w:w="90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电容补偿柜基础</w:t>
            </w:r>
          </w:p>
        </w:tc>
        <w:tc>
          <w:tcPr>
            <w:tcW w:w="1794"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型钢焊制,涂两层防锈漆</w:t>
            </w:r>
          </w:p>
        </w:tc>
        <w:tc>
          <w:tcPr>
            <w:tcW w:w="267" w:type="pct"/>
            <w:noWrap w:val="0"/>
            <w:vAlign w:val="center"/>
          </w:tcPr>
          <w:p>
            <w:pPr>
              <w:jc w:val="center"/>
              <w:rPr>
                <w:rFonts w:hint="eastAsia" w:ascii="宋体" w:hAnsi="宋体" w:cs="宋体"/>
                <w:color w:val="000000"/>
                <w:szCs w:val="21"/>
              </w:rPr>
            </w:pPr>
            <w:r>
              <w:rPr>
                <w:rFonts w:hint="eastAsia" w:ascii="宋体" w:hAnsi="宋体" w:cs="宋体"/>
                <w:color w:val="000000"/>
                <w:kern w:val="0"/>
                <w:szCs w:val="21"/>
              </w:rPr>
              <w:t>组</w:t>
            </w:r>
          </w:p>
        </w:tc>
        <w:tc>
          <w:tcPr>
            <w:tcW w:w="253" w:type="pct"/>
            <w:noWrap w:val="0"/>
            <w:vAlign w:val="center"/>
          </w:tcPr>
          <w:p>
            <w:pPr>
              <w:jc w:val="center"/>
              <w:rPr>
                <w:rFonts w:hint="eastAsia" w:ascii="宋体" w:hAnsi="宋体" w:cs="宋体"/>
                <w:color w:val="000000"/>
                <w:szCs w:val="21"/>
              </w:rPr>
            </w:pPr>
            <w:r>
              <w:rPr>
                <w:rFonts w:hint="eastAsia" w:ascii="宋体" w:hAnsi="宋体" w:cs="宋体"/>
                <w:color w:val="000000"/>
                <w:kern w:val="0"/>
                <w:szCs w:val="21"/>
              </w:rPr>
              <w:t>3</w:t>
            </w:r>
          </w:p>
        </w:tc>
        <w:tc>
          <w:tcPr>
            <w:tcW w:w="693" w:type="pct"/>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4" w:type="pct"/>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7</w:t>
            </w:r>
          </w:p>
        </w:tc>
        <w:tc>
          <w:tcPr>
            <w:tcW w:w="857" w:type="pct"/>
            <w:noWrap w:val="0"/>
            <w:vAlign w:val="top"/>
          </w:tcPr>
          <w:p>
            <w:pPr>
              <w:widowControl/>
              <w:jc w:val="center"/>
              <w:rPr>
                <w:rFonts w:hint="eastAsia" w:ascii="宋体" w:hAnsi="宋体" w:cs="宋体"/>
                <w:color w:val="000000"/>
                <w:kern w:val="0"/>
                <w:szCs w:val="21"/>
              </w:rPr>
            </w:pPr>
          </w:p>
        </w:tc>
        <w:tc>
          <w:tcPr>
            <w:tcW w:w="90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托盘式金属线槽</w:t>
            </w:r>
          </w:p>
        </w:tc>
        <w:tc>
          <w:tcPr>
            <w:tcW w:w="1794"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W300×B100mm,热镀锌防腐,带盖板</w:t>
            </w:r>
          </w:p>
        </w:tc>
        <w:tc>
          <w:tcPr>
            <w:tcW w:w="267" w:type="pct"/>
            <w:noWrap w:val="0"/>
            <w:vAlign w:val="center"/>
          </w:tcPr>
          <w:p>
            <w:pPr>
              <w:jc w:val="center"/>
              <w:rPr>
                <w:rFonts w:hint="eastAsia" w:ascii="宋体" w:hAnsi="宋体" w:cs="宋体"/>
                <w:color w:val="000000"/>
                <w:szCs w:val="21"/>
              </w:rPr>
            </w:pPr>
            <w:r>
              <w:rPr>
                <w:rFonts w:hint="eastAsia" w:ascii="宋体" w:hAnsi="宋体" w:cs="宋体"/>
                <w:color w:val="000000"/>
                <w:kern w:val="0"/>
                <w:szCs w:val="21"/>
              </w:rPr>
              <w:t>米</w:t>
            </w:r>
          </w:p>
        </w:tc>
        <w:tc>
          <w:tcPr>
            <w:tcW w:w="253" w:type="pct"/>
            <w:noWrap w:val="0"/>
            <w:vAlign w:val="center"/>
          </w:tcPr>
          <w:p>
            <w:pPr>
              <w:jc w:val="center"/>
              <w:rPr>
                <w:rFonts w:hint="eastAsia" w:ascii="宋体" w:hAnsi="宋体" w:cs="宋体"/>
                <w:color w:val="000000"/>
                <w:szCs w:val="21"/>
              </w:rPr>
            </w:pPr>
            <w:r>
              <w:rPr>
                <w:rFonts w:hint="eastAsia" w:ascii="宋体" w:hAnsi="宋体" w:cs="宋体"/>
                <w:color w:val="000000"/>
                <w:kern w:val="0"/>
                <w:szCs w:val="21"/>
              </w:rPr>
              <w:t>60</w:t>
            </w:r>
          </w:p>
        </w:tc>
        <w:tc>
          <w:tcPr>
            <w:tcW w:w="693"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安装托臂、弯通等所有附件配套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4" w:type="pct"/>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8</w:t>
            </w:r>
          </w:p>
        </w:tc>
        <w:tc>
          <w:tcPr>
            <w:tcW w:w="857" w:type="pct"/>
            <w:noWrap w:val="0"/>
            <w:vAlign w:val="top"/>
          </w:tcPr>
          <w:p>
            <w:pPr>
              <w:widowControl/>
              <w:jc w:val="center"/>
              <w:rPr>
                <w:rFonts w:hint="eastAsia" w:ascii="宋体" w:hAnsi="宋体" w:cs="宋体"/>
                <w:color w:val="000000"/>
                <w:kern w:val="0"/>
                <w:szCs w:val="21"/>
              </w:rPr>
            </w:pPr>
          </w:p>
        </w:tc>
        <w:tc>
          <w:tcPr>
            <w:tcW w:w="90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电缆管</w:t>
            </w:r>
          </w:p>
        </w:tc>
        <w:tc>
          <w:tcPr>
            <w:tcW w:w="1794"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热浸镀锌焊接钢管 G100</w:t>
            </w:r>
          </w:p>
        </w:tc>
        <w:tc>
          <w:tcPr>
            <w:tcW w:w="267" w:type="pct"/>
            <w:noWrap w:val="0"/>
            <w:vAlign w:val="center"/>
          </w:tcPr>
          <w:p>
            <w:pPr>
              <w:jc w:val="center"/>
              <w:rPr>
                <w:rFonts w:hint="eastAsia" w:ascii="宋体" w:hAnsi="宋体" w:cs="宋体"/>
                <w:color w:val="000000"/>
                <w:szCs w:val="21"/>
              </w:rPr>
            </w:pPr>
            <w:r>
              <w:rPr>
                <w:rFonts w:hint="eastAsia" w:ascii="宋体" w:hAnsi="宋体" w:cs="宋体"/>
                <w:color w:val="000000"/>
                <w:kern w:val="0"/>
                <w:szCs w:val="21"/>
              </w:rPr>
              <w:t>米</w:t>
            </w:r>
          </w:p>
        </w:tc>
        <w:tc>
          <w:tcPr>
            <w:tcW w:w="253" w:type="pct"/>
            <w:noWrap w:val="0"/>
            <w:vAlign w:val="center"/>
          </w:tcPr>
          <w:p>
            <w:pPr>
              <w:jc w:val="center"/>
              <w:rPr>
                <w:rFonts w:hint="eastAsia" w:ascii="宋体" w:hAnsi="宋体" w:cs="宋体"/>
                <w:color w:val="000000"/>
                <w:szCs w:val="21"/>
              </w:rPr>
            </w:pPr>
            <w:r>
              <w:rPr>
                <w:rFonts w:hint="eastAsia" w:ascii="宋体" w:hAnsi="宋体" w:cs="宋体"/>
                <w:color w:val="000000"/>
                <w:kern w:val="0"/>
                <w:szCs w:val="21"/>
              </w:rPr>
              <w:t>200</w:t>
            </w:r>
          </w:p>
        </w:tc>
        <w:tc>
          <w:tcPr>
            <w:tcW w:w="693" w:type="pct"/>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4" w:type="pct"/>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w:t>
            </w:r>
          </w:p>
        </w:tc>
        <w:tc>
          <w:tcPr>
            <w:tcW w:w="857" w:type="pct"/>
            <w:noWrap w:val="0"/>
            <w:vAlign w:val="top"/>
          </w:tcPr>
          <w:p>
            <w:pPr>
              <w:widowControl/>
              <w:jc w:val="center"/>
              <w:rPr>
                <w:rFonts w:hint="eastAsia" w:ascii="宋体" w:hAnsi="宋体" w:cs="宋体"/>
                <w:color w:val="000000"/>
                <w:kern w:val="0"/>
                <w:szCs w:val="21"/>
              </w:rPr>
            </w:pPr>
          </w:p>
        </w:tc>
        <w:tc>
          <w:tcPr>
            <w:tcW w:w="90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电缆管</w:t>
            </w:r>
          </w:p>
        </w:tc>
        <w:tc>
          <w:tcPr>
            <w:tcW w:w="1794"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热浸镀锌焊接钢管 G40</w:t>
            </w:r>
          </w:p>
        </w:tc>
        <w:tc>
          <w:tcPr>
            <w:tcW w:w="267" w:type="pct"/>
            <w:noWrap w:val="0"/>
            <w:vAlign w:val="center"/>
          </w:tcPr>
          <w:p>
            <w:pPr>
              <w:jc w:val="center"/>
              <w:rPr>
                <w:rFonts w:hint="eastAsia" w:ascii="宋体" w:hAnsi="宋体" w:cs="宋体"/>
                <w:color w:val="000000"/>
                <w:szCs w:val="21"/>
              </w:rPr>
            </w:pPr>
            <w:r>
              <w:rPr>
                <w:rFonts w:hint="eastAsia" w:ascii="宋体" w:hAnsi="宋体" w:cs="宋体"/>
                <w:color w:val="000000"/>
                <w:kern w:val="0"/>
                <w:szCs w:val="21"/>
              </w:rPr>
              <w:t>米</w:t>
            </w:r>
          </w:p>
        </w:tc>
        <w:tc>
          <w:tcPr>
            <w:tcW w:w="253" w:type="pct"/>
            <w:noWrap w:val="0"/>
            <w:vAlign w:val="center"/>
          </w:tcPr>
          <w:p>
            <w:pPr>
              <w:jc w:val="center"/>
              <w:rPr>
                <w:rFonts w:hint="eastAsia" w:ascii="宋体" w:hAnsi="宋体" w:cs="宋体"/>
                <w:color w:val="000000"/>
                <w:szCs w:val="21"/>
              </w:rPr>
            </w:pPr>
            <w:r>
              <w:rPr>
                <w:rFonts w:hint="eastAsia" w:ascii="宋体" w:hAnsi="宋体" w:cs="宋体"/>
                <w:color w:val="000000"/>
                <w:kern w:val="0"/>
                <w:szCs w:val="21"/>
              </w:rPr>
              <w:t>100</w:t>
            </w:r>
          </w:p>
        </w:tc>
        <w:tc>
          <w:tcPr>
            <w:tcW w:w="693" w:type="pct"/>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4" w:type="pct"/>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1</w:t>
            </w:r>
            <w:r>
              <w:rPr>
                <w:rFonts w:hint="eastAsia" w:ascii="宋体" w:hAnsi="宋体" w:cs="宋体"/>
                <w:color w:val="000000"/>
                <w:kern w:val="0"/>
                <w:szCs w:val="21"/>
                <w:lang w:val="en-US" w:eastAsia="zh-CN"/>
              </w:rPr>
              <w:t>0</w:t>
            </w:r>
          </w:p>
        </w:tc>
        <w:tc>
          <w:tcPr>
            <w:tcW w:w="857" w:type="pct"/>
            <w:noWrap w:val="0"/>
            <w:vAlign w:val="top"/>
          </w:tcPr>
          <w:p>
            <w:pPr>
              <w:widowControl/>
              <w:jc w:val="center"/>
              <w:rPr>
                <w:rFonts w:hint="eastAsia" w:ascii="宋体" w:hAnsi="宋体" w:cs="宋体"/>
                <w:color w:val="000000"/>
                <w:kern w:val="0"/>
                <w:szCs w:val="21"/>
              </w:rPr>
            </w:pPr>
          </w:p>
        </w:tc>
        <w:tc>
          <w:tcPr>
            <w:tcW w:w="90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电缆管</w:t>
            </w:r>
          </w:p>
        </w:tc>
        <w:tc>
          <w:tcPr>
            <w:tcW w:w="1794"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热浸镀锌焊接钢管 G25</w:t>
            </w:r>
          </w:p>
        </w:tc>
        <w:tc>
          <w:tcPr>
            <w:tcW w:w="267" w:type="pct"/>
            <w:noWrap w:val="0"/>
            <w:vAlign w:val="center"/>
          </w:tcPr>
          <w:p>
            <w:pPr>
              <w:jc w:val="center"/>
              <w:rPr>
                <w:rFonts w:hint="eastAsia" w:ascii="宋体" w:hAnsi="宋体" w:cs="宋体"/>
                <w:color w:val="000000"/>
                <w:szCs w:val="21"/>
              </w:rPr>
            </w:pPr>
            <w:r>
              <w:rPr>
                <w:rFonts w:hint="eastAsia" w:ascii="宋体" w:hAnsi="宋体" w:cs="宋体"/>
                <w:color w:val="000000"/>
                <w:kern w:val="0"/>
                <w:szCs w:val="21"/>
              </w:rPr>
              <w:t>米</w:t>
            </w:r>
          </w:p>
        </w:tc>
        <w:tc>
          <w:tcPr>
            <w:tcW w:w="253" w:type="pct"/>
            <w:noWrap w:val="0"/>
            <w:vAlign w:val="center"/>
          </w:tcPr>
          <w:p>
            <w:pPr>
              <w:jc w:val="center"/>
              <w:rPr>
                <w:rFonts w:hint="eastAsia" w:ascii="宋体" w:hAnsi="宋体" w:cs="宋体"/>
                <w:color w:val="000000"/>
                <w:szCs w:val="21"/>
              </w:rPr>
            </w:pPr>
            <w:r>
              <w:rPr>
                <w:rFonts w:hint="eastAsia" w:ascii="宋体" w:hAnsi="宋体" w:cs="宋体"/>
                <w:color w:val="000000"/>
                <w:kern w:val="0"/>
                <w:szCs w:val="21"/>
              </w:rPr>
              <w:t>100</w:t>
            </w:r>
          </w:p>
        </w:tc>
        <w:tc>
          <w:tcPr>
            <w:tcW w:w="693" w:type="pct"/>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4" w:type="pct"/>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1</w:t>
            </w:r>
            <w:r>
              <w:rPr>
                <w:rFonts w:hint="eastAsia" w:ascii="宋体" w:hAnsi="宋体" w:cs="宋体"/>
                <w:color w:val="000000"/>
                <w:kern w:val="0"/>
                <w:szCs w:val="21"/>
                <w:lang w:val="en-US" w:eastAsia="zh-CN"/>
              </w:rPr>
              <w:t>1</w:t>
            </w:r>
          </w:p>
        </w:tc>
        <w:tc>
          <w:tcPr>
            <w:tcW w:w="857" w:type="pct"/>
            <w:noWrap w:val="0"/>
            <w:vAlign w:val="top"/>
          </w:tcPr>
          <w:p>
            <w:pPr>
              <w:widowControl/>
              <w:jc w:val="center"/>
              <w:rPr>
                <w:rFonts w:hint="eastAsia" w:ascii="宋体" w:hAnsi="宋体" w:cs="宋体"/>
                <w:color w:val="000000"/>
                <w:kern w:val="0"/>
                <w:szCs w:val="21"/>
              </w:rPr>
            </w:pPr>
          </w:p>
        </w:tc>
        <w:tc>
          <w:tcPr>
            <w:tcW w:w="90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电缆管</w:t>
            </w:r>
          </w:p>
        </w:tc>
        <w:tc>
          <w:tcPr>
            <w:tcW w:w="1794"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金属软管Φ100</w:t>
            </w:r>
          </w:p>
        </w:tc>
        <w:tc>
          <w:tcPr>
            <w:tcW w:w="267" w:type="pct"/>
            <w:noWrap w:val="0"/>
            <w:vAlign w:val="center"/>
          </w:tcPr>
          <w:p>
            <w:pPr>
              <w:jc w:val="center"/>
              <w:rPr>
                <w:rFonts w:hint="eastAsia" w:ascii="宋体" w:hAnsi="宋体" w:cs="宋体"/>
                <w:color w:val="000000"/>
                <w:szCs w:val="21"/>
              </w:rPr>
            </w:pPr>
            <w:r>
              <w:rPr>
                <w:rFonts w:hint="eastAsia" w:ascii="宋体" w:hAnsi="宋体" w:cs="宋体"/>
                <w:color w:val="000000"/>
                <w:kern w:val="0"/>
                <w:szCs w:val="21"/>
              </w:rPr>
              <w:t>米</w:t>
            </w:r>
          </w:p>
        </w:tc>
        <w:tc>
          <w:tcPr>
            <w:tcW w:w="253" w:type="pct"/>
            <w:noWrap w:val="0"/>
            <w:vAlign w:val="center"/>
          </w:tcPr>
          <w:p>
            <w:pPr>
              <w:jc w:val="center"/>
              <w:rPr>
                <w:rFonts w:hint="eastAsia" w:ascii="宋体" w:hAnsi="宋体" w:cs="宋体"/>
                <w:color w:val="000000"/>
                <w:szCs w:val="21"/>
              </w:rPr>
            </w:pPr>
            <w:r>
              <w:rPr>
                <w:rFonts w:hint="eastAsia" w:ascii="宋体" w:hAnsi="宋体" w:cs="宋体"/>
                <w:color w:val="000000"/>
                <w:kern w:val="0"/>
                <w:szCs w:val="21"/>
              </w:rPr>
              <w:t>30</w:t>
            </w:r>
          </w:p>
        </w:tc>
        <w:tc>
          <w:tcPr>
            <w:tcW w:w="693"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用于电缆连接水泵时保护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4" w:type="pct"/>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1</w:t>
            </w:r>
            <w:r>
              <w:rPr>
                <w:rFonts w:hint="eastAsia" w:ascii="宋体" w:hAnsi="宋体" w:cs="宋体"/>
                <w:color w:val="000000"/>
                <w:kern w:val="0"/>
                <w:szCs w:val="21"/>
                <w:lang w:val="en-US" w:eastAsia="zh-CN"/>
              </w:rPr>
              <w:t>2</w:t>
            </w:r>
          </w:p>
        </w:tc>
        <w:tc>
          <w:tcPr>
            <w:tcW w:w="857" w:type="pct"/>
            <w:noWrap w:val="0"/>
            <w:vAlign w:val="top"/>
          </w:tcPr>
          <w:p>
            <w:pPr>
              <w:widowControl/>
              <w:jc w:val="center"/>
              <w:rPr>
                <w:rFonts w:hint="eastAsia" w:ascii="宋体" w:hAnsi="宋体" w:cs="宋体"/>
                <w:color w:val="000000"/>
                <w:kern w:val="0"/>
                <w:szCs w:val="21"/>
              </w:rPr>
            </w:pPr>
          </w:p>
        </w:tc>
        <w:tc>
          <w:tcPr>
            <w:tcW w:w="90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电力电缆</w:t>
            </w:r>
          </w:p>
        </w:tc>
        <w:tc>
          <w:tcPr>
            <w:tcW w:w="1794"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各种规格，详见电缆表</w:t>
            </w:r>
          </w:p>
        </w:tc>
        <w:tc>
          <w:tcPr>
            <w:tcW w:w="267" w:type="pct"/>
            <w:noWrap w:val="0"/>
            <w:vAlign w:val="center"/>
          </w:tcPr>
          <w:p>
            <w:pPr>
              <w:jc w:val="center"/>
              <w:rPr>
                <w:rFonts w:hint="eastAsia" w:ascii="宋体" w:hAnsi="宋体" w:cs="宋体"/>
                <w:color w:val="000000"/>
                <w:szCs w:val="21"/>
              </w:rPr>
            </w:pPr>
            <w:r>
              <w:rPr>
                <w:rFonts w:hint="eastAsia" w:ascii="宋体" w:hAnsi="宋体" w:cs="宋体"/>
                <w:color w:val="000000"/>
                <w:kern w:val="0"/>
                <w:szCs w:val="21"/>
              </w:rPr>
              <w:t>米</w:t>
            </w:r>
          </w:p>
        </w:tc>
        <w:tc>
          <w:tcPr>
            <w:tcW w:w="253" w:type="pct"/>
            <w:noWrap w:val="0"/>
            <w:vAlign w:val="center"/>
          </w:tcPr>
          <w:p>
            <w:pPr>
              <w:jc w:val="center"/>
              <w:rPr>
                <w:rFonts w:hint="eastAsia" w:ascii="宋体" w:hAnsi="宋体" w:cs="宋体"/>
                <w:color w:val="000000"/>
                <w:szCs w:val="21"/>
              </w:rPr>
            </w:pPr>
          </w:p>
        </w:tc>
        <w:tc>
          <w:tcPr>
            <w:tcW w:w="693" w:type="pct"/>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4" w:type="pct"/>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1</w:t>
            </w:r>
            <w:r>
              <w:rPr>
                <w:rFonts w:hint="eastAsia" w:ascii="宋体" w:hAnsi="宋体" w:cs="宋体"/>
                <w:color w:val="000000"/>
                <w:kern w:val="0"/>
                <w:szCs w:val="21"/>
                <w:lang w:val="en-US" w:eastAsia="zh-CN"/>
              </w:rPr>
              <w:t>3</w:t>
            </w:r>
          </w:p>
        </w:tc>
        <w:tc>
          <w:tcPr>
            <w:tcW w:w="857" w:type="pct"/>
            <w:noWrap w:val="0"/>
            <w:vAlign w:val="top"/>
          </w:tcPr>
          <w:p>
            <w:pPr>
              <w:widowControl/>
              <w:jc w:val="center"/>
              <w:rPr>
                <w:rFonts w:hint="eastAsia" w:ascii="宋体" w:hAnsi="宋体" w:cs="宋体"/>
                <w:color w:val="000000"/>
                <w:kern w:val="0"/>
                <w:szCs w:val="21"/>
              </w:rPr>
            </w:pPr>
          </w:p>
        </w:tc>
        <w:tc>
          <w:tcPr>
            <w:tcW w:w="90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现状电气柜拆除</w:t>
            </w:r>
          </w:p>
        </w:tc>
        <w:tc>
          <w:tcPr>
            <w:tcW w:w="1794" w:type="pct"/>
            <w:noWrap w:val="0"/>
            <w:vAlign w:val="center"/>
          </w:tcPr>
          <w:p>
            <w:pPr>
              <w:widowControl/>
              <w:jc w:val="center"/>
              <w:rPr>
                <w:rFonts w:hint="eastAsia" w:ascii="宋体" w:hAnsi="宋体" w:cs="宋体"/>
                <w:color w:val="000000"/>
                <w:kern w:val="0"/>
                <w:szCs w:val="21"/>
              </w:rPr>
            </w:pPr>
          </w:p>
        </w:tc>
        <w:tc>
          <w:tcPr>
            <w:tcW w:w="267" w:type="pct"/>
            <w:noWrap w:val="0"/>
            <w:vAlign w:val="center"/>
          </w:tcPr>
          <w:p>
            <w:pPr>
              <w:jc w:val="center"/>
              <w:rPr>
                <w:rFonts w:hint="eastAsia" w:ascii="宋体" w:hAnsi="宋体" w:cs="宋体"/>
                <w:color w:val="000000"/>
                <w:szCs w:val="21"/>
              </w:rPr>
            </w:pPr>
            <w:r>
              <w:rPr>
                <w:rFonts w:hint="eastAsia" w:ascii="宋体" w:hAnsi="宋体" w:cs="宋体"/>
                <w:color w:val="000000"/>
                <w:kern w:val="0"/>
                <w:szCs w:val="21"/>
              </w:rPr>
              <w:t>批</w:t>
            </w:r>
          </w:p>
        </w:tc>
        <w:tc>
          <w:tcPr>
            <w:tcW w:w="253" w:type="pct"/>
            <w:noWrap w:val="0"/>
            <w:vAlign w:val="center"/>
          </w:tcPr>
          <w:p>
            <w:pPr>
              <w:jc w:val="center"/>
              <w:rPr>
                <w:rFonts w:hint="eastAsia" w:ascii="宋体" w:hAnsi="宋体" w:cs="宋体"/>
                <w:color w:val="000000"/>
                <w:szCs w:val="21"/>
              </w:rPr>
            </w:pPr>
            <w:r>
              <w:rPr>
                <w:rFonts w:hint="eastAsia" w:ascii="宋体" w:hAnsi="宋体" w:cs="宋体"/>
                <w:color w:val="000000"/>
                <w:kern w:val="0"/>
                <w:szCs w:val="21"/>
              </w:rPr>
              <w:t>1</w:t>
            </w:r>
          </w:p>
        </w:tc>
        <w:tc>
          <w:tcPr>
            <w:tcW w:w="693" w:type="pct"/>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4" w:type="pct"/>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1</w:t>
            </w:r>
            <w:r>
              <w:rPr>
                <w:rFonts w:hint="eastAsia" w:ascii="宋体" w:hAnsi="宋体" w:cs="宋体"/>
                <w:color w:val="000000"/>
                <w:kern w:val="0"/>
                <w:szCs w:val="21"/>
                <w:lang w:val="en-US" w:eastAsia="zh-CN"/>
              </w:rPr>
              <w:t>4</w:t>
            </w:r>
          </w:p>
        </w:tc>
        <w:tc>
          <w:tcPr>
            <w:tcW w:w="857" w:type="pct"/>
            <w:noWrap w:val="0"/>
            <w:vAlign w:val="top"/>
          </w:tcPr>
          <w:p>
            <w:pPr>
              <w:widowControl/>
              <w:jc w:val="center"/>
              <w:rPr>
                <w:rFonts w:hint="eastAsia" w:ascii="宋体" w:hAnsi="宋体" w:cs="宋体"/>
                <w:color w:val="000000"/>
                <w:kern w:val="0"/>
                <w:szCs w:val="21"/>
              </w:rPr>
            </w:pPr>
          </w:p>
        </w:tc>
        <w:tc>
          <w:tcPr>
            <w:tcW w:w="90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现状电缆拆除</w:t>
            </w:r>
          </w:p>
        </w:tc>
        <w:tc>
          <w:tcPr>
            <w:tcW w:w="1794"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含电力电缆、控制电缆，各种规格</w:t>
            </w:r>
          </w:p>
        </w:tc>
        <w:tc>
          <w:tcPr>
            <w:tcW w:w="267" w:type="pct"/>
            <w:noWrap w:val="0"/>
            <w:vAlign w:val="center"/>
          </w:tcPr>
          <w:p>
            <w:pPr>
              <w:jc w:val="center"/>
              <w:rPr>
                <w:rFonts w:hint="eastAsia" w:ascii="宋体" w:hAnsi="宋体" w:cs="宋体"/>
                <w:color w:val="000000"/>
                <w:szCs w:val="21"/>
              </w:rPr>
            </w:pPr>
            <w:r>
              <w:rPr>
                <w:rFonts w:hint="eastAsia" w:ascii="宋体" w:hAnsi="宋体" w:cs="宋体"/>
                <w:color w:val="000000"/>
                <w:kern w:val="0"/>
                <w:szCs w:val="21"/>
              </w:rPr>
              <w:t>米</w:t>
            </w:r>
          </w:p>
        </w:tc>
        <w:tc>
          <w:tcPr>
            <w:tcW w:w="253" w:type="pct"/>
            <w:noWrap w:val="0"/>
            <w:vAlign w:val="center"/>
          </w:tcPr>
          <w:p>
            <w:pPr>
              <w:jc w:val="center"/>
              <w:rPr>
                <w:rFonts w:hint="eastAsia" w:ascii="宋体" w:hAnsi="宋体" w:cs="宋体"/>
                <w:color w:val="000000"/>
                <w:szCs w:val="21"/>
              </w:rPr>
            </w:pPr>
            <w:r>
              <w:rPr>
                <w:rFonts w:hint="eastAsia" w:ascii="宋体" w:hAnsi="宋体" w:cs="宋体"/>
                <w:color w:val="000000"/>
                <w:kern w:val="0"/>
                <w:szCs w:val="21"/>
              </w:rPr>
              <w:t>300</w:t>
            </w:r>
          </w:p>
        </w:tc>
        <w:tc>
          <w:tcPr>
            <w:tcW w:w="693" w:type="pct"/>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4" w:type="pct"/>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1</w:t>
            </w:r>
            <w:r>
              <w:rPr>
                <w:rFonts w:hint="eastAsia" w:ascii="宋体" w:hAnsi="宋体" w:cs="宋体"/>
                <w:color w:val="000000"/>
                <w:kern w:val="0"/>
                <w:szCs w:val="21"/>
                <w:lang w:val="en-US" w:eastAsia="zh-CN"/>
              </w:rPr>
              <w:t>5</w:t>
            </w:r>
          </w:p>
        </w:tc>
        <w:tc>
          <w:tcPr>
            <w:tcW w:w="857" w:type="pct"/>
            <w:noWrap w:val="0"/>
            <w:vAlign w:val="top"/>
          </w:tcPr>
          <w:p>
            <w:pPr>
              <w:widowControl/>
              <w:jc w:val="center"/>
              <w:rPr>
                <w:rFonts w:hint="eastAsia" w:ascii="宋体" w:hAnsi="宋体" w:cs="宋体"/>
                <w:color w:val="000000"/>
                <w:kern w:val="0"/>
                <w:szCs w:val="21"/>
              </w:rPr>
            </w:pPr>
          </w:p>
        </w:tc>
        <w:tc>
          <w:tcPr>
            <w:tcW w:w="90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接地线</w:t>
            </w:r>
          </w:p>
        </w:tc>
        <w:tc>
          <w:tcPr>
            <w:tcW w:w="1794"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-40x4热镀锌扁钢</w:t>
            </w:r>
          </w:p>
        </w:tc>
        <w:tc>
          <w:tcPr>
            <w:tcW w:w="267" w:type="pct"/>
            <w:noWrap w:val="0"/>
            <w:vAlign w:val="center"/>
          </w:tcPr>
          <w:p>
            <w:pPr>
              <w:jc w:val="center"/>
              <w:rPr>
                <w:rFonts w:hint="eastAsia" w:ascii="宋体" w:hAnsi="宋体" w:cs="宋体"/>
                <w:color w:val="000000"/>
                <w:szCs w:val="21"/>
              </w:rPr>
            </w:pPr>
            <w:r>
              <w:rPr>
                <w:rFonts w:hint="eastAsia" w:ascii="宋体" w:hAnsi="宋体" w:cs="宋体"/>
                <w:color w:val="000000"/>
                <w:kern w:val="0"/>
                <w:szCs w:val="21"/>
              </w:rPr>
              <w:t>米</w:t>
            </w:r>
          </w:p>
        </w:tc>
        <w:tc>
          <w:tcPr>
            <w:tcW w:w="253" w:type="pct"/>
            <w:noWrap w:val="0"/>
            <w:vAlign w:val="center"/>
          </w:tcPr>
          <w:p>
            <w:pPr>
              <w:jc w:val="center"/>
              <w:rPr>
                <w:rFonts w:hint="eastAsia" w:ascii="宋体" w:hAnsi="宋体" w:cs="宋体"/>
                <w:color w:val="000000"/>
                <w:szCs w:val="21"/>
              </w:rPr>
            </w:pPr>
            <w:r>
              <w:rPr>
                <w:rFonts w:hint="eastAsia" w:ascii="宋体" w:hAnsi="宋体" w:cs="宋体"/>
                <w:color w:val="000000"/>
                <w:kern w:val="0"/>
                <w:szCs w:val="21"/>
              </w:rPr>
              <w:t>100</w:t>
            </w:r>
          </w:p>
        </w:tc>
        <w:tc>
          <w:tcPr>
            <w:tcW w:w="693"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与现状接地系统可靠焊接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4" w:type="pct"/>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1</w:t>
            </w:r>
            <w:r>
              <w:rPr>
                <w:rFonts w:hint="eastAsia" w:ascii="宋体" w:hAnsi="宋体" w:cs="宋体"/>
                <w:color w:val="000000"/>
                <w:kern w:val="0"/>
                <w:szCs w:val="21"/>
                <w:lang w:val="en-US" w:eastAsia="zh-CN"/>
              </w:rPr>
              <w:t>6</w:t>
            </w:r>
          </w:p>
        </w:tc>
        <w:tc>
          <w:tcPr>
            <w:tcW w:w="857" w:type="pct"/>
            <w:noWrap w:val="0"/>
            <w:vAlign w:val="top"/>
          </w:tcPr>
          <w:p>
            <w:pPr>
              <w:widowControl/>
              <w:jc w:val="center"/>
              <w:rPr>
                <w:rFonts w:hint="eastAsia" w:ascii="宋体" w:hAnsi="宋体" w:cs="宋体"/>
                <w:color w:val="000000"/>
                <w:szCs w:val="21"/>
              </w:rPr>
            </w:pPr>
          </w:p>
        </w:tc>
        <w:tc>
          <w:tcPr>
            <w:tcW w:w="90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防火密封堵料</w:t>
            </w:r>
          </w:p>
        </w:tc>
        <w:tc>
          <w:tcPr>
            <w:tcW w:w="1794" w:type="pct"/>
            <w:noWrap w:val="0"/>
            <w:vAlign w:val="center"/>
          </w:tcPr>
          <w:p>
            <w:pPr>
              <w:widowControl/>
              <w:jc w:val="center"/>
              <w:rPr>
                <w:rFonts w:hint="eastAsia" w:ascii="宋体" w:hAnsi="宋体" w:cs="宋体"/>
                <w:color w:val="000000"/>
                <w:kern w:val="0"/>
                <w:szCs w:val="21"/>
              </w:rPr>
            </w:pPr>
          </w:p>
        </w:tc>
        <w:tc>
          <w:tcPr>
            <w:tcW w:w="267" w:type="pct"/>
            <w:noWrap w:val="0"/>
            <w:vAlign w:val="center"/>
          </w:tcPr>
          <w:p>
            <w:pPr>
              <w:jc w:val="center"/>
              <w:rPr>
                <w:rFonts w:hint="eastAsia" w:ascii="宋体" w:hAnsi="宋体" w:cs="宋体"/>
                <w:color w:val="000000"/>
                <w:szCs w:val="21"/>
              </w:rPr>
            </w:pPr>
            <w:r>
              <w:rPr>
                <w:rFonts w:hint="eastAsia" w:ascii="宋体" w:hAnsi="宋体" w:cs="宋体"/>
                <w:color w:val="000000"/>
                <w:szCs w:val="21"/>
              </w:rPr>
              <w:t>项</w:t>
            </w:r>
          </w:p>
        </w:tc>
        <w:tc>
          <w:tcPr>
            <w:tcW w:w="253" w:type="pct"/>
            <w:noWrap w:val="0"/>
            <w:vAlign w:val="center"/>
          </w:tcPr>
          <w:p>
            <w:pPr>
              <w:jc w:val="center"/>
              <w:rPr>
                <w:rFonts w:hint="eastAsia" w:ascii="宋体" w:hAnsi="宋体" w:cs="宋体"/>
                <w:color w:val="000000"/>
                <w:szCs w:val="21"/>
              </w:rPr>
            </w:pPr>
            <w:r>
              <w:rPr>
                <w:rFonts w:hint="eastAsia" w:ascii="宋体" w:hAnsi="宋体" w:cs="宋体"/>
                <w:color w:val="000000"/>
                <w:szCs w:val="21"/>
              </w:rPr>
              <w:t>1</w:t>
            </w:r>
          </w:p>
        </w:tc>
        <w:tc>
          <w:tcPr>
            <w:tcW w:w="693" w:type="pct"/>
            <w:noWrap w:val="0"/>
            <w:vAlign w:val="center"/>
          </w:tcPr>
          <w:p>
            <w:pPr>
              <w:widowControl/>
              <w:jc w:val="center"/>
              <w:rPr>
                <w:rFonts w:hint="eastAsia" w:ascii="宋体" w:hAnsi="宋体" w:cs="宋体"/>
                <w:color w:val="000000"/>
                <w:kern w:val="0"/>
                <w:szCs w:val="21"/>
              </w:rPr>
            </w:pPr>
          </w:p>
        </w:tc>
      </w:tr>
    </w:tbl>
    <w:p>
      <w:pPr>
        <w:numPr>
          <w:ilvl w:val="0"/>
          <w:numId w:val="10"/>
        </w:numPr>
        <w:rPr>
          <w:rFonts w:hint="eastAsia" w:ascii="宋体" w:hAnsi="宋体" w:cs="宋体"/>
          <w:color w:val="000000"/>
          <w:szCs w:val="21"/>
        </w:rPr>
      </w:pPr>
      <w:r>
        <w:rPr>
          <w:rFonts w:hint="eastAsia" w:ascii="宋体" w:hAnsi="宋体" w:cs="宋体"/>
          <w:color w:val="000000"/>
          <w:szCs w:val="21"/>
        </w:rPr>
        <w:t>自控设备</w:t>
      </w:r>
    </w:p>
    <w:p>
      <w:pPr>
        <w:numPr>
          <w:ilvl w:val="0"/>
          <w:numId w:val="0"/>
        </w:numPr>
        <w:rPr>
          <w:rFonts w:hint="eastAsia" w:ascii="Calibri" w:hAnsi="Calibri" w:eastAsia="宋体" w:cs="Times New Roman"/>
          <w:b/>
          <w:bCs w:val="0"/>
          <w:color w:val="FF0000"/>
          <w:kern w:val="2"/>
          <w:sz w:val="21"/>
          <w:szCs w:val="24"/>
          <w:lang w:val="en-US" w:eastAsia="zh-CN" w:bidi="ar-SA"/>
        </w:rPr>
      </w:pPr>
      <w:r>
        <w:rPr>
          <w:rFonts w:hint="eastAsia" w:ascii="Calibri" w:hAnsi="Calibri" w:cs="Times New Roman"/>
          <w:b/>
          <w:bCs w:val="0"/>
          <w:color w:val="FF0000"/>
          <w:kern w:val="2"/>
          <w:sz w:val="21"/>
          <w:szCs w:val="24"/>
          <w:lang w:val="en-US" w:eastAsia="zh-CN" w:bidi="ar-SA"/>
        </w:rPr>
        <w:t>1、</w:t>
      </w:r>
      <w:r>
        <w:rPr>
          <w:rFonts w:hint="eastAsia" w:ascii="Calibri" w:hAnsi="Calibri" w:eastAsia="宋体" w:cs="Times New Roman"/>
          <w:b/>
          <w:bCs w:val="0"/>
          <w:color w:val="FF0000"/>
          <w:kern w:val="2"/>
          <w:sz w:val="21"/>
          <w:szCs w:val="24"/>
          <w:lang w:val="en-US" w:eastAsia="zh-CN" w:bidi="ar-SA"/>
        </w:rPr>
        <w:t>在线仪表推荐品牌：哈希、E+H、SWAN；</w:t>
      </w:r>
    </w:p>
    <w:p>
      <w:pPr>
        <w:rPr>
          <w:rFonts w:hint="eastAsia" w:ascii="宋体" w:hAnsi="宋体" w:cs="宋体"/>
          <w:color w:val="000000"/>
          <w:szCs w:val="21"/>
        </w:rPr>
      </w:pPr>
      <w:r>
        <w:rPr>
          <w:rFonts w:hint="eastAsia" w:ascii="宋体" w:hAnsi="宋体" w:cs="宋体"/>
          <w:color w:val="000000"/>
          <w:szCs w:val="21"/>
        </w:rPr>
        <w:t>（一）上位系统材料表</w:t>
      </w:r>
    </w:p>
    <w:tbl>
      <w:tblPr>
        <w:tblStyle w:val="19"/>
        <w:tblW w:w="50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16"/>
        <w:gridCol w:w="1581"/>
        <w:gridCol w:w="3891"/>
        <w:gridCol w:w="479"/>
        <w:gridCol w:w="51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8" w:type="pct"/>
            <w:noWrap w:val="0"/>
            <w:vAlign w:val="top"/>
          </w:tcPr>
          <w:p>
            <w:pPr>
              <w:widowControl/>
              <w:jc w:val="center"/>
              <w:rPr>
                <w:rFonts w:hint="eastAsia" w:ascii="宋体" w:hAnsi="宋体" w:cs="宋体"/>
                <w:color w:val="000000"/>
                <w:kern w:val="0"/>
                <w:szCs w:val="21"/>
              </w:rPr>
            </w:pPr>
            <w:r>
              <w:rPr>
                <w:rFonts w:hint="eastAsia" w:ascii="宋体" w:hAnsi="宋体" w:cs="宋体"/>
                <w:color w:val="000000"/>
                <w:kern w:val="0"/>
                <w:szCs w:val="21"/>
              </w:rPr>
              <w:t>序号</w:t>
            </w:r>
          </w:p>
        </w:tc>
        <w:tc>
          <w:tcPr>
            <w:tcW w:w="3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设备编号</w:t>
            </w:r>
          </w:p>
        </w:tc>
        <w:tc>
          <w:tcPr>
            <w:tcW w:w="81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名   称</w:t>
            </w:r>
          </w:p>
        </w:tc>
        <w:tc>
          <w:tcPr>
            <w:tcW w:w="20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型 号 及 规 格</w:t>
            </w:r>
          </w:p>
        </w:tc>
        <w:tc>
          <w:tcPr>
            <w:tcW w:w="2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单位</w:t>
            </w:r>
          </w:p>
        </w:tc>
        <w:tc>
          <w:tcPr>
            <w:tcW w:w="262"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数量</w:t>
            </w:r>
          </w:p>
        </w:tc>
        <w:tc>
          <w:tcPr>
            <w:tcW w:w="102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1</w:t>
            </w:r>
          </w:p>
        </w:tc>
        <w:tc>
          <w:tcPr>
            <w:tcW w:w="3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SER</w:t>
            </w:r>
          </w:p>
        </w:tc>
        <w:tc>
          <w:tcPr>
            <w:tcW w:w="81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平台/数据库服务器</w:t>
            </w:r>
          </w:p>
        </w:tc>
        <w:tc>
          <w:tcPr>
            <w:tcW w:w="2006" w:type="pct"/>
            <w:noWrap/>
            <w:vAlign w:val="center"/>
          </w:tcPr>
          <w:p>
            <w:pPr>
              <w:widowControl/>
              <w:jc w:val="center"/>
              <w:rPr>
                <w:rFonts w:hint="eastAsia" w:ascii="宋体" w:hAnsi="宋体" w:cs="宋体"/>
                <w:color w:val="000000"/>
                <w:kern w:val="0"/>
                <w:szCs w:val="21"/>
              </w:rPr>
            </w:pPr>
          </w:p>
        </w:tc>
        <w:tc>
          <w:tcPr>
            <w:tcW w:w="2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套</w:t>
            </w:r>
          </w:p>
        </w:tc>
        <w:tc>
          <w:tcPr>
            <w:tcW w:w="262"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1020"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2</w:t>
            </w:r>
          </w:p>
        </w:tc>
        <w:tc>
          <w:tcPr>
            <w:tcW w:w="369" w:type="pct"/>
            <w:noWrap/>
            <w:vAlign w:val="center"/>
          </w:tcPr>
          <w:p>
            <w:pPr>
              <w:widowControl/>
              <w:jc w:val="center"/>
              <w:rPr>
                <w:rFonts w:hint="eastAsia" w:ascii="宋体" w:hAnsi="宋体" w:cs="宋体"/>
                <w:color w:val="000000"/>
                <w:kern w:val="0"/>
                <w:szCs w:val="21"/>
              </w:rPr>
            </w:pPr>
          </w:p>
        </w:tc>
        <w:tc>
          <w:tcPr>
            <w:tcW w:w="81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服务器</w:t>
            </w:r>
          </w:p>
        </w:tc>
        <w:tc>
          <w:tcPr>
            <w:tcW w:w="20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双路Intel 至强 E3-2224以上，内存：≥ 1G，硬盘：≥ 2TB*2</w:t>
            </w:r>
          </w:p>
        </w:tc>
        <w:tc>
          <w:tcPr>
            <w:tcW w:w="246" w:type="pct"/>
            <w:noWrap/>
            <w:vAlign w:val="center"/>
          </w:tcPr>
          <w:p>
            <w:pPr>
              <w:widowControl/>
              <w:jc w:val="center"/>
              <w:rPr>
                <w:rFonts w:hint="eastAsia" w:ascii="宋体" w:hAnsi="宋体" w:cs="宋体"/>
                <w:color w:val="000000"/>
                <w:kern w:val="0"/>
                <w:szCs w:val="21"/>
              </w:rPr>
            </w:pPr>
          </w:p>
        </w:tc>
        <w:tc>
          <w:tcPr>
            <w:tcW w:w="262" w:type="pct"/>
            <w:noWrap/>
            <w:vAlign w:val="center"/>
          </w:tcPr>
          <w:p>
            <w:pPr>
              <w:widowControl/>
              <w:jc w:val="center"/>
              <w:rPr>
                <w:rFonts w:hint="eastAsia" w:ascii="宋体" w:hAnsi="宋体" w:cs="宋体"/>
                <w:color w:val="000000"/>
                <w:kern w:val="0"/>
                <w:szCs w:val="21"/>
              </w:rPr>
            </w:pPr>
          </w:p>
        </w:tc>
        <w:tc>
          <w:tcPr>
            <w:tcW w:w="1020"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3</w:t>
            </w:r>
          </w:p>
        </w:tc>
        <w:tc>
          <w:tcPr>
            <w:tcW w:w="369" w:type="pct"/>
            <w:noWrap/>
            <w:vAlign w:val="center"/>
          </w:tcPr>
          <w:p>
            <w:pPr>
              <w:widowControl/>
              <w:jc w:val="center"/>
              <w:rPr>
                <w:rFonts w:hint="eastAsia" w:ascii="宋体" w:hAnsi="宋体" w:cs="宋体"/>
                <w:color w:val="000000"/>
                <w:kern w:val="0"/>
                <w:szCs w:val="21"/>
              </w:rPr>
            </w:pPr>
          </w:p>
        </w:tc>
        <w:tc>
          <w:tcPr>
            <w:tcW w:w="81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服务器操作系统</w:t>
            </w:r>
          </w:p>
        </w:tc>
        <w:tc>
          <w:tcPr>
            <w:tcW w:w="20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WINDOWS 2019 SERVER 级以上</w:t>
            </w:r>
          </w:p>
        </w:tc>
        <w:tc>
          <w:tcPr>
            <w:tcW w:w="246" w:type="pct"/>
            <w:noWrap/>
            <w:vAlign w:val="center"/>
          </w:tcPr>
          <w:p>
            <w:pPr>
              <w:widowControl/>
              <w:jc w:val="center"/>
              <w:rPr>
                <w:rFonts w:hint="eastAsia" w:ascii="宋体" w:hAnsi="宋体" w:cs="宋体"/>
                <w:color w:val="000000"/>
                <w:kern w:val="0"/>
                <w:szCs w:val="21"/>
              </w:rPr>
            </w:pPr>
          </w:p>
        </w:tc>
        <w:tc>
          <w:tcPr>
            <w:tcW w:w="262" w:type="pct"/>
            <w:noWrap/>
            <w:vAlign w:val="center"/>
          </w:tcPr>
          <w:p>
            <w:pPr>
              <w:widowControl/>
              <w:jc w:val="center"/>
              <w:rPr>
                <w:rFonts w:hint="eastAsia" w:ascii="宋体" w:hAnsi="宋体" w:cs="宋体"/>
                <w:color w:val="000000"/>
                <w:kern w:val="0"/>
                <w:szCs w:val="21"/>
              </w:rPr>
            </w:pPr>
          </w:p>
        </w:tc>
        <w:tc>
          <w:tcPr>
            <w:tcW w:w="1020"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4</w:t>
            </w:r>
          </w:p>
        </w:tc>
        <w:tc>
          <w:tcPr>
            <w:tcW w:w="369" w:type="pct"/>
            <w:noWrap/>
            <w:vAlign w:val="center"/>
          </w:tcPr>
          <w:p>
            <w:pPr>
              <w:widowControl/>
              <w:jc w:val="center"/>
              <w:rPr>
                <w:rFonts w:hint="eastAsia" w:ascii="宋体" w:hAnsi="宋体" w:cs="宋体"/>
                <w:color w:val="000000"/>
                <w:kern w:val="0"/>
                <w:szCs w:val="21"/>
              </w:rPr>
            </w:pPr>
          </w:p>
        </w:tc>
        <w:tc>
          <w:tcPr>
            <w:tcW w:w="81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服务器数据库软件</w:t>
            </w:r>
          </w:p>
        </w:tc>
        <w:tc>
          <w:tcPr>
            <w:tcW w:w="20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IndustrialSQL Server， Standard， 5，000 Tag， 最新中文版</w:t>
            </w:r>
          </w:p>
        </w:tc>
        <w:tc>
          <w:tcPr>
            <w:tcW w:w="246" w:type="pct"/>
            <w:noWrap/>
            <w:vAlign w:val="center"/>
          </w:tcPr>
          <w:p>
            <w:pPr>
              <w:widowControl/>
              <w:jc w:val="center"/>
              <w:rPr>
                <w:rFonts w:hint="eastAsia" w:ascii="宋体" w:hAnsi="宋体" w:cs="宋体"/>
                <w:color w:val="000000"/>
                <w:kern w:val="0"/>
                <w:szCs w:val="21"/>
              </w:rPr>
            </w:pPr>
          </w:p>
        </w:tc>
        <w:tc>
          <w:tcPr>
            <w:tcW w:w="262" w:type="pct"/>
            <w:noWrap/>
            <w:vAlign w:val="center"/>
          </w:tcPr>
          <w:p>
            <w:pPr>
              <w:widowControl/>
              <w:jc w:val="center"/>
              <w:rPr>
                <w:rFonts w:hint="eastAsia" w:ascii="宋体" w:hAnsi="宋体" w:cs="宋体"/>
                <w:color w:val="000000"/>
                <w:kern w:val="0"/>
                <w:szCs w:val="21"/>
              </w:rPr>
            </w:pPr>
          </w:p>
        </w:tc>
        <w:tc>
          <w:tcPr>
            <w:tcW w:w="1020"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5</w:t>
            </w:r>
          </w:p>
        </w:tc>
        <w:tc>
          <w:tcPr>
            <w:tcW w:w="369" w:type="pct"/>
            <w:noWrap/>
            <w:vAlign w:val="center"/>
          </w:tcPr>
          <w:p>
            <w:pPr>
              <w:widowControl/>
              <w:jc w:val="center"/>
              <w:rPr>
                <w:rFonts w:hint="eastAsia" w:ascii="宋体" w:hAnsi="宋体" w:cs="宋体"/>
                <w:color w:val="000000"/>
                <w:kern w:val="0"/>
                <w:szCs w:val="21"/>
              </w:rPr>
            </w:pPr>
          </w:p>
        </w:tc>
        <w:tc>
          <w:tcPr>
            <w:tcW w:w="81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接口软件</w:t>
            </w:r>
          </w:p>
        </w:tc>
        <w:tc>
          <w:tcPr>
            <w:tcW w:w="20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PLC数据读取接口软件</w:t>
            </w:r>
          </w:p>
        </w:tc>
        <w:tc>
          <w:tcPr>
            <w:tcW w:w="246" w:type="pct"/>
            <w:noWrap/>
            <w:vAlign w:val="center"/>
          </w:tcPr>
          <w:p>
            <w:pPr>
              <w:widowControl/>
              <w:jc w:val="center"/>
              <w:rPr>
                <w:rFonts w:hint="eastAsia" w:ascii="宋体" w:hAnsi="宋体" w:cs="宋体"/>
                <w:color w:val="000000"/>
                <w:kern w:val="0"/>
                <w:szCs w:val="21"/>
              </w:rPr>
            </w:pPr>
          </w:p>
        </w:tc>
        <w:tc>
          <w:tcPr>
            <w:tcW w:w="262" w:type="pct"/>
            <w:noWrap/>
            <w:vAlign w:val="center"/>
          </w:tcPr>
          <w:p>
            <w:pPr>
              <w:widowControl/>
              <w:jc w:val="center"/>
              <w:rPr>
                <w:rFonts w:hint="eastAsia" w:ascii="宋体" w:hAnsi="宋体" w:cs="宋体"/>
                <w:color w:val="000000"/>
                <w:kern w:val="0"/>
                <w:szCs w:val="21"/>
              </w:rPr>
            </w:pPr>
          </w:p>
        </w:tc>
        <w:tc>
          <w:tcPr>
            <w:tcW w:w="1020"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6</w:t>
            </w:r>
          </w:p>
        </w:tc>
        <w:tc>
          <w:tcPr>
            <w:tcW w:w="369" w:type="pct"/>
            <w:noWrap/>
            <w:vAlign w:val="center"/>
          </w:tcPr>
          <w:p>
            <w:pPr>
              <w:widowControl/>
              <w:jc w:val="center"/>
              <w:rPr>
                <w:rFonts w:hint="eastAsia" w:ascii="宋体" w:hAnsi="宋体" w:cs="宋体"/>
                <w:color w:val="000000"/>
                <w:kern w:val="0"/>
                <w:szCs w:val="21"/>
              </w:rPr>
            </w:pPr>
          </w:p>
        </w:tc>
        <w:tc>
          <w:tcPr>
            <w:tcW w:w="81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KVM切换器</w:t>
            </w:r>
          </w:p>
        </w:tc>
        <w:tc>
          <w:tcPr>
            <w:tcW w:w="20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8口KVM</w:t>
            </w:r>
          </w:p>
        </w:tc>
        <w:tc>
          <w:tcPr>
            <w:tcW w:w="246" w:type="pct"/>
            <w:noWrap/>
            <w:vAlign w:val="center"/>
          </w:tcPr>
          <w:p>
            <w:pPr>
              <w:widowControl/>
              <w:jc w:val="center"/>
              <w:rPr>
                <w:rFonts w:hint="eastAsia" w:ascii="宋体" w:hAnsi="宋体" w:cs="宋体"/>
                <w:color w:val="000000"/>
                <w:kern w:val="0"/>
                <w:szCs w:val="21"/>
              </w:rPr>
            </w:pPr>
          </w:p>
        </w:tc>
        <w:tc>
          <w:tcPr>
            <w:tcW w:w="262" w:type="pct"/>
            <w:noWrap/>
            <w:vAlign w:val="center"/>
          </w:tcPr>
          <w:p>
            <w:pPr>
              <w:widowControl/>
              <w:jc w:val="center"/>
              <w:rPr>
                <w:rFonts w:hint="eastAsia" w:ascii="宋体" w:hAnsi="宋体" w:cs="宋体"/>
                <w:color w:val="000000"/>
                <w:kern w:val="0"/>
                <w:szCs w:val="21"/>
              </w:rPr>
            </w:pPr>
          </w:p>
        </w:tc>
        <w:tc>
          <w:tcPr>
            <w:tcW w:w="1020"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7</w:t>
            </w:r>
          </w:p>
        </w:tc>
        <w:tc>
          <w:tcPr>
            <w:tcW w:w="369" w:type="pct"/>
            <w:noWrap/>
            <w:vAlign w:val="center"/>
          </w:tcPr>
          <w:p>
            <w:pPr>
              <w:widowControl/>
              <w:jc w:val="center"/>
              <w:rPr>
                <w:rFonts w:hint="eastAsia" w:ascii="宋体" w:hAnsi="宋体" w:cs="宋体"/>
                <w:color w:val="000000"/>
                <w:kern w:val="0"/>
                <w:szCs w:val="21"/>
              </w:rPr>
            </w:pPr>
          </w:p>
        </w:tc>
        <w:tc>
          <w:tcPr>
            <w:tcW w:w="815" w:type="pct"/>
            <w:noWrap/>
            <w:vAlign w:val="center"/>
          </w:tcPr>
          <w:p>
            <w:pPr>
              <w:widowControl/>
              <w:jc w:val="center"/>
              <w:rPr>
                <w:rFonts w:hint="eastAsia" w:ascii="宋体" w:hAnsi="宋体" w:cs="宋体"/>
                <w:color w:val="000000"/>
                <w:kern w:val="0"/>
                <w:szCs w:val="21"/>
              </w:rPr>
            </w:pPr>
          </w:p>
        </w:tc>
        <w:tc>
          <w:tcPr>
            <w:tcW w:w="20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KVM线 x2</w:t>
            </w:r>
          </w:p>
        </w:tc>
        <w:tc>
          <w:tcPr>
            <w:tcW w:w="246" w:type="pct"/>
            <w:noWrap/>
            <w:vAlign w:val="center"/>
          </w:tcPr>
          <w:p>
            <w:pPr>
              <w:widowControl/>
              <w:jc w:val="center"/>
              <w:rPr>
                <w:rFonts w:hint="eastAsia" w:ascii="宋体" w:hAnsi="宋体" w:cs="宋体"/>
                <w:color w:val="000000"/>
                <w:kern w:val="0"/>
                <w:szCs w:val="21"/>
              </w:rPr>
            </w:pPr>
          </w:p>
        </w:tc>
        <w:tc>
          <w:tcPr>
            <w:tcW w:w="262" w:type="pct"/>
            <w:noWrap/>
            <w:vAlign w:val="center"/>
          </w:tcPr>
          <w:p>
            <w:pPr>
              <w:widowControl/>
              <w:jc w:val="center"/>
              <w:rPr>
                <w:rFonts w:hint="eastAsia" w:ascii="宋体" w:hAnsi="宋体" w:cs="宋体"/>
                <w:color w:val="000000"/>
                <w:kern w:val="0"/>
                <w:szCs w:val="21"/>
              </w:rPr>
            </w:pPr>
          </w:p>
        </w:tc>
        <w:tc>
          <w:tcPr>
            <w:tcW w:w="1020"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8</w:t>
            </w:r>
          </w:p>
        </w:tc>
        <w:tc>
          <w:tcPr>
            <w:tcW w:w="369" w:type="pct"/>
            <w:noWrap/>
            <w:vAlign w:val="center"/>
          </w:tcPr>
          <w:p>
            <w:pPr>
              <w:widowControl/>
              <w:jc w:val="center"/>
              <w:rPr>
                <w:rFonts w:hint="eastAsia" w:ascii="宋体" w:hAnsi="宋体" w:cs="宋体"/>
                <w:color w:val="000000"/>
                <w:kern w:val="0"/>
                <w:szCs w:val="21"/>
              </w:rPr>
            </w:pPr>
          </w:p>
        </w:tc>
        <w:tc>
          <w:tcPr>
            <w:tcW w:w="815" w:type="pct"/>
            <w:noWrap/>
            <w:vAlign w:val="center"/>
          </w:tcPr>
          <w:p>
            <w:pPr>
              <w:widowControl/>
              <w:jc w:val="center"/>
              <w:rPr>
                <w:rFonts w:hint="eastAsia" w:ascii="宋体" w:hAnsi="宋体" w:cs="宋体"/>
                <w:color w:val="000000"/>
                <w:kern w:val="0"/>
                <w:szCs w:val="21"/>
              </w:rPr>
            </w:pPr>
          </w:p>
        </w:tc>
        <w:tc>
          <w:tcPr>
            <w:tcW w:w="20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15"液晶显示器套件</w:t>
            </w:r>
          </w:p>
        </w:tc>
        <w:tc>
          <w:tcPr>
            <w:tcW w:w="246" w:type="pct"/>
            <w:noWrap/>
            <w:vAlign w:val="center"/>
          </w:tcPr>
          <w:p>
            <w:pPr>
              <w:widowControl/>
              <w:jc w:val="center"/>
              <w:rPr>
                <w:rFonts w:hint="eastAsia" w:ascii="宋体" w:hAnsi="宋体" w:cs="宋体"/>
                <w:color w:val="000000"/>
                <w:kern w:val="0"/>
                <w:szCs w:val="21"/>
              </w:rPr>
            </w:pPr>
          </w:p>
        </w:tc>
        <w:tc>
          <w:tcPr>
            <w:tcW w:w="262" w:type="pct"/>
            <w:noWrap/>
            <w:vAlign w:val="center"/>
          </w:tcPr>
          <w:p>
            <w:pPr>
              <w:widowControl/>
              <w:jc w:val="center"/>
              <w:rPr>
                <w:rFonts w:hint="eastAsia" w:ascii="宋体" w:hAnsi="宋体" w:cs="宋体"/>
                <w:color w:val="000000"/>
                <w:kern w:val="0"/>
                <w:szCs w:val="21"/>
              </w:rPr>
            </w:pPr>
          </w:p>
        </w:tc>
        <w:tc>
          <w:tcPr>
            <w:tcW w:w="1020"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9</w:t>
            </w:r>
          </w:p>
        </w:tc>
        <w:tc>
          <w:tcPr>
            <w:tcW w:w="369" w:type="pct"/>
            <w:noWrap/>
            <w:vAlign w:val="center"/>
          </w:tcPr>
          <w:p>
            <w:pPr>
              <w:widowControl/>
              <w:jc w:val="center"/>
              <w:rPr>
                <w:rFonts w:hint="eastAsia" w:ascii="宋体" w:hAnsi="宋体" w:cs="宋体"/>
                <w:color w:val="000000"/>
                <w:kern w:val="0"/>
                <w:szCs w:val="21"/>
              </w:rPr>
            </w:pPr>
          </w:p>
        </w:tc>
        <w:tc>
          <w:tcPr>
            <w:tcW w:w="815" w:type="pct"/>
            <w:noWrap/>
            <w:vAlign w:val="center"/>
          </w:tcPr>
          <w:p>
            <w:pPr>
              <w:widowControl/>
              <w:jc w:val="center"/>
              <w:rPr>
                <w:rFonts w:hint="eastAsia" w:ascii="宋体" w:hAnsi="宋体" w:cs="宋体"/>
                <w:color w:val="000000"/>
                <w:kern w:val="0"/>
                <w:szCs w:val="21"/>
              </w:rPr>
            </w:pPr>
          </w:p>
        </w:tc>
        <w:tc>
          <w:tcPr>
            <w:tcW w:w="20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机柜室键盘</w:t>
            </w:r>
          </w:p>
        </w:tc>
        <w:tc>
          <w:tcPr>
            <w:tcW w:w="246" w:type="pct"/>
            <w:noWrap/>
            <w:vAlign w:val="center"/>
          </w:tcPr>
          <w:p>
            <w:pPr>
              <w:widowControl/>
              <w:jc w:val="center"/>
              <w:rPr>
                <w:rFonts w:hint="eastAsia" w:ascii="宋体" w:hAnsi="宋体" w:cs="宋体"/>
                <w:color w:val="000000"/>
                <w:kern w:val="0"/>
                <w:szCs w:val="21"/>
              </w:rPr>
            </w:pPr>
          </w:p>
        </w:tc>
        <w:tc>
          <w:tcPr>
            <w:tcW w:w="262" w:type="pct"/>
            <w:noWrap/>
            <w:vAlign w:val="center"/>
          </w:tcPr>
          <w:p>
            <w:pPr>
              <w:widowControl/>
              <w:jc w:val="center"/>
              <w:rPr>
                <w:rFonts w:hint="eastAsia" w:ascii="宋体" w:hAnsi="宋体" w:cs="宋体"/>
                <w:color w:val="000000"/>
                <w:kern w:val="0"/>
                <w:szCs w:val="21"/>
              </w:rPr>
            </w:pPr>
          </w:p>
        </w:tc>
        <w:tc>
          <w:tcPr>
            <w:tcW w:w="1020"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10</w:t>
            </w:r>
          </w:p>
        </w:tc>
        <w:tc>
          <w:tcPr>
            <w:tcW w:w="369" w:type="pct"/>
            <w:noWrap/>
            <w:vAlign w:val="center"/>
          </w:tcPr>
          <w:p>
            <w:pPr>
              <w:widowControl/>
              <w:jc w:val="center"/>
              <w:rPr>
                <w:rFonts w:hint="eastAsia" w:ascii="宋体" w:hAnsi="宋体" w:cs="宋体"/>
                <w:color w:val="000000"/>
                <w:kern w:val="0"/>
                <w:szCs w:val="21"/>
              </w:rPr>
            </w:pPr>
          </w:p>
        </w:tc>
        <w:tc>
          <w:tcPr>
            <w:tcW w:w="81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机柜</w:t>
            </w:r>
          </w:p>
        </w:tc>
        <w:tc>
          <w:tcPr>
            <w:tcW w:w="20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W800*D600*H2200(mm)  *1</w:t>
            </w:r>
          </w:p>
        </w:tc>
        <w:tc>
          <w:tcPr>
            <w:tcW w:w="246" w:type="pct"/>
            <w:noWrap/>
            <w:vAlign w:val="center"/>
          </w:tcPr>
          <w:p>
            <w:pPr>
              <w:widowControl/>
              <w:jc w:val="center"/>
              <w:rPr>
                <w:rFonts w:hint="eastAsia" w:ascii="宋体" w:hAnsi="宋体" w:cs="宋体"/>
                <w:color w:val="000000"/>
                <w:kern w:val="0"/>
                <w:szCs w:val="21"/>
              </w:rPr>
            </w:pPr>
          </w:p>
        </w:tc>
        <w:tc>
          <w:tcPr>
            <w:tcW w:w="262" w:type="pct"/>
            <w:noWrap/>
            <w:vAlign w:val="center"/>
          </w:tcPr>
          <w:p>
            <w:pPr>
              <w:widowControl/>
              <w:jc w:val="center"/>
              <w:rPr>
                <w:rFonts w:hint="eastAsia" w:ascii="宋体" w:hAnsi="宋体" w:cs="宋体"/>
                <w:color w:val="000000"/>
                <w:kern w:val="0"/>
                <w:szCs w:val="21"/>
              </w:rPr>
            </w:pPr>
          </w:p>
        </w:tc>
        <w:tc>
          <w:tcPr>
            <w:tcW w:w="1020"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11</w:t>
            </w:r>
          </w:p>
        </w:tc>
        <w:tc>
          <w:tcPr>
            <w:tcW w:w="3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COM</w:t>
            </w:r>
          </w:p>
        </w:tc>
        <w:tc>
          <w:tcPr>
            <w:tcW w:w="81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计算机服务器柜</w:t>
            </w:r>
          </w:p>
        </w:tc>
        <w:tc>
          <w:tcPr>
            <w:tcW w:w="20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W800*D600*H2200(mm)  *1</w:t>
            </w:r>
          </w:p>
        </w:tc>
        <w:tc>
          <w:tcPr>
            <w:tcW w:w="2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套</w:t>
            </w:r>
          </w:p>
        </w:tc>
        <w:tc>
          <w:tcPr>
            <w:tcW w:w="262"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020"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12</w:t>
            </w:r>
          </w:p>
        </w:tc>
        <w:tc>
          <w:tcPr>
            <w:tcW w:w="369" w:type="pct"/>
            <w:noWrap/>
            <w:vAlign w:val="center"/>
          </w:tcPr>
          <w:p>
            <w:pPr>
              <w:widowControl/>
              <w:jc w:val="center"/>
              <w:rPr>
                <w:rFonts w:hint="eastAsia" w:ascii="宋体" w:hAnsi="宋体" w:cs="宋体"/>
                <w:color w:val="000000"/>
                <w:kern w:val="0"/>
                <w:szCs w:val="21"/>
              </w:rPr>
            </w:pPr>
          </w:p>
        </w:tc>
        <w:tc>
          <w:tcPr>
            <w:tcW w:w="81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KVM延长器</w:t>
            </w:r>
          </w:p>
        </w:tc>
        <w:tc>
          <w:tcPr>
            <w:tcW w:w="2006" w:type="pct"/>
            <w:noWrap/>
            <w:vAlign w:val="center"/>
          </w:tcPr>
          <w:p>
            <w:pPr>
              <w:widowControl/>
              <w:jc w:val="center"/>
              <w:rPr>
                <w:rFonts w:hint="eastAsia" w:ascii="宋体" w:hAnsi="宋体" w:cs="宋体"/>
                <w:color w:val="000000"/>
                <w:kern w:val="0"/>
                <w:szCs w:val="21"/>
              </w:rPr>
            </w:pPr>
          </w:p>
        </w:tc>
        <w:tc>
          <w:tcPr>
            <w:tcW w:w="2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套</w:t>
            </w:r>
          </w:p>
        </w:tc>
        <w:tc>
          <w:tcPr>
            <w:tcW w:w="262"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102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工程师站/操作员站/安防工作站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13</w:t>
            </w:r>
          </w:p>
        </w:tc>
        <w:tc>
          <w:tcPr>
            <w:tcW w:w="369" w:type="pct"/>
            <w:noWrap/>
            <w:vAlign w:val="center"/>
          </w:tcPr>
          <w:p>
            <w:pPr>
              <w:widowControl/>
              <w:jc w:val="center"/>
              <w:rPr>
                <w:rFonts w:hint="eastAsia" w:ascii="宋体" w:hAnsi="宋体" w:cs="宋体"/>
                <w:color w:val="000000"/>
                <w:kern w:val="0"/>
                <w:szCs w:val="21"/>
              </w:rPr>
            </w:pPr>
          </w:p>
        </w:tc>
        <w:tc>
          <w:tcPr>
            <w:tcW w:w="815" w:type="pct"/>
            <w:noWrap/>
            <w:vAlign w:val="center"/>
          </w:tcPr>
          <w:p>
            <w:pPr>
              <w:widowControl/>
              <w:jc w:val="center"/>
              <w:rPr>
                <w:rFonts w:hint="eastAsia" w:ascii="宋体" w:hAnsi="宋体" w:cs="宋体"/>
                <w:color w:val="000000"/>
                <w:kern w:val="0"/>
                <w:szCs w:val="21"/>
              </w:rPr>
            </w:pPr>
          </w:p>
        </w:tc>
        <w:tc>
          <w:tcPr>
            <w:tcW w:w="2006" w:type="pct"/>
            <w:noWrap/>
            <w:vAlign w:val="center"/>
          </w:tcPr>
          <w:p>
            <w:pPr>
              <w:widowControl/>
              <w:jc w:val="center"/>
              <w:rPr>
                <w:rFonts w:hint="eastAsia" w:ascii="宋体" w:hAnsi="宋体" w:cs="宋体"/>
                <w:color w:val="000000"/>
                <w:kern w:val="0"/>
                <w:szCs w:val="21"/>
              </w:rPr>
            </w:pPr>
          </w:p>
        </w:tc>
        <w:tc>
          <w:tcPr>
            <w:tcW w:w="246" w:type="pct"/>
            <w:noWrap/>
            <w:vAlign w:val="center"/>
          </w:tcPr>
          <w:p>
            <w:pPr>
              <w:widowControl/>
              <w:jc w:val="center"/>
              <w:rPr>
                <w:rFonts w:hint="eastAsia" w:ascii="宋体" w:hAnsi="宋体" w:cs="宋体"/>
                <w:color w:val="000000"/>
                <w:kern w:val="0"/>
                <w:szCs w:val="21"/>
              </w:rPr>
            </w:pPr>
          </w:p>
        </w:tc>
        <w:tc>
          <w:tcPr>
            <w:tcW w:w="262" w:type="pct"/>
            <w:noWrap/>
            <w:vAlign w:val="center"/>
          </w:tcPr>
          <w:p>
            <w:pPr>
              <w:widowControl/>
              <w:jc w:val="center"/>
              <w:rPr>
                <w:rFonts w:hint="eastAsia" w:ascii="宋体" w:hAnsi="宋体" w:cs="宋体"/>
                <w:color w:val="000000"/>
                <w:kern w:val="0"/>
                <w:szCs w:val="21"/>
              </w:rPr>
            </w:pPr>
          </w:p>
        </w:tc>
        <w:tc>
          <w:tcPr>
            <w:tcW w:w="1020"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14</w:t>
            </w:r>
          </w:p>
        </w:tc>
        <w:tc>
          <w:tcPr>
            <w:tcW w:w="3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OPE</w:t>
            </w:r>
          </w:p>
        </w:tc>
        <w:tc>
          <w:tcPr>
            <w:tcW w:w="81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操作员站</w:t>
            </w:r>
          </w:p>
        </w:tc>
        <w:tc>
          <w:tcPr>
            <w:tcW w:w="2006" w:type="pct"/>
            <w:noWrap/>
            <w:vAlign w:val="center"/>
          </w:tcPr>
          <w:p>
            <w:pPr>
              <w:widowControl/>
              <w:jc w:val="center"/>
              <w:rPr>
                <w:rFonts w:hint="eastAsia" w:ascii="宋体" w:hAnsi="宋体" w:cs="宋体"/>
                <w:color w:val="000000"/>
                <w:kern w:val="0"/>
                <w:szCs w:val="21"/>
              </w:rPr>
            </w:pPr>
          </w:p>
        </w:tc>
        <w:tc>
          <w:tcPr>
            <w:tcW w:w="2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套</w:t>
            </w:r>
          </w:p>
        </w:tc>
        <w:tc>
          <w:tcPr>
            <w:tcW w:w="262"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020"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15</w:t>
            </w:r>
          </w:p>
        </w:tc>
        <w:tc>
          <w:tcPr>
            <w:tcW w:w="369" w:type="pct"/>
            <w:noWrap/>
            <w:vAlign w:val="center"/>
          </w:tcPr>
          <w:p>
            <w:pPr>
              <w:widowControl/>
              <w:jc w:val="center"/>
              <w:rPr>
                <w:rFonts w:hint="eastAsia" w:ascii="宋体" w:hAnsi="宋体" w:cs="宋体"/>
                <w:color w:val="000000"/>
                <w:kern w:val="0"/>
                <w:szCs w:val="21"/>
              </w:rPr>
            </w:pPr>
          </w:p>
        </w:tc>
        <w:tc>
          <w:tcPr>
            <w:tcW w:w="81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计算机</w:t>
            </w:r>
          </w:p>
        </w:tc>
        <w:tc>
          <w:tcPr>
            <w:tcW w:w="20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机架式,CPU： I7-9700以上  硬盘 &gt;1T 内存：&gt;16G以上 显示器：24"</w:t>
            </w:r>
          </w:p>
        </w:tc>
        <w:tc>
          <w:tcPr>
            <w:tcW w:w="246" w:type="pct"/>
            <w:noWrap/>
            <w:vAlign w:val="center"/>
          </w:tcPr>
          <w:p>
            <w:pPr>
              <w:widowControl/>
              <w:jc w:val="center"/>
              <w:rPr>
                <w:rFonts w:hint="eastAsia" w:ascii="宋体" w:hAnsi="宋体" w:cs="宋体"/>
                <w:color w:val="000000"/>
                <w:kern w:val="0"/>
                <w:szCs w:val="21"/>
              </w:rPr>
            </w:pPr>
          </w:p>
        </w:tc>
        <w:tc>
          <w:tcPr>
            <w:tcW w:w="262" w:type="pct"/>
            <w:noWrap/>
            <w:vAlign w:val="center"/>
          </w:tcPr>
          <w:p>
            <w:pPr>
              <w:widowControl/>
              <w:jc w:val="center"/>
              <w:rPr>
                <w:rFonts w:hint="eastAsia" w:ascii="宋体" w:hAnsi="宋体" w:cs="宋体"/>
                <w:color w:val="000000"/>
                <w:kern w:val="0"/>
                <w:szCs w:val="21"/>
              </w:rPr>
            </w:pPr>
          </w:p>
        </w:tc>
        <w:tc>
          <w:tcPr>
            <w:tcW w:w="102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主机放置在计算机服务器柜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16</w:t>
            </w:r>
          </w:p>
        </w:tc>
        <w:tc>
          <w:tcPr>
            <w:tcW w:w="369" w:type="pct"/>
            <w:noWrap/>
            <w:vAlign w:val="center"/>
          </w:tcPr>
          <w:p>
            <w:pPr>
              <w:widowControl/>
              <w:jc w:val="center"/>
              <w:rPr>
                <w:rFonts w:hint="eastAsia" w:ascii="宋体" w:hAnsi="宋体" w:cs="宋体"/>
                <w:color w:val="000000"/>
                <w:kern w:val="0"/>
                <w:szCs w:val="21"/>
              </w:rPr>
            </w:pPr>
          </w:p>
        </w:tc>
        <w:tc>
          <w:tcPr>
            <w:tcW w:w="81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系统软件</w:t>
            </w:r>
          </w:p>
        </w:tc>
        <w:tc>
          <w:tcPr>
            <w:tcW w:w="20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WINDOWS 10</w:t>
            </w:r>
          </w:p>
        </w:tc>
        <w:tc>
          <w:tcPr>
            <w:tcW w:w="246" w:type="pct"/>
            <w:noWrap/>
            <w:vAlign w:val="center"/>
          </w:tcPr>
          <w:p>
            <w:pPr>
              <w:widowControl/>
              <w:jc w:val="center"/>
              <w:rPr>
                <w:rFonts w:hint="eastAsia" w:ascii="宋体" w:hAnsi="宋体" w:cs="宋体"/>
                <w:color w:val="000000"/>
                <w:kern w:val="0"/>
                <w:szCs w:val="21"/>
              </w:rPr>
            </w:pPr>
          </w:p>
        </w:tc>
        <w:tc>
          <w:tcPr>
            <w:tcW w:w="262" w:type="pct"/>
            <w:noWrap/>
            <w:vAlign w:val="center"/>
          </w:tcPr>
          <w:p>
            <w:pPr>
              <w:widowControl/>
              <w:jc w:val="center"/>
              <w:rPr>
                <w:rFonts w:hint="eastAsia" w:ascii="宋体" w:hAnsi="宋体" w:cs="宋体"/>
                <w:color w:val="000000"/>
                <w:kern w:val="0"/>
                <w:szCs w:val="21"/>
              </w:rPr>
            </w:pPr>
          </w:p>
        </w:tc>
        <w:tc>
          <w:tcPr>
            <w:tcW w:w="1020"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17</w:t>
            </w:r>
          </w:p>
        </w:tc>
        <w:tc>
          <w:tcPr>
            <w:tcW w:w="369" w:type="pct"/>
            <w:noWrap/>
            <w:vAlign w:val="center"/>
          </w:tcPr>
          <w:p>
            <w:pPr>
              <w:widowControl/>
              <w:jc w:val="center"/>
              <w:rPr>
                <w:rFonts w:hint="eastAsia" w:ascii="宋体" w:hAnsi="宋体" w:cs="宋体"/>
                <w:color w:val="000000"/>
                <w:kern w:val="0"/>
                <w:szCs w:val="21"/>
              </w:rPr>
            </w:pPr>
          </w:p>
        </w:tc>
        <w:tc>
          <w:tcPr>
            <w:tcW w:w="81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人机界面平台软件</w:t>
            </w:r>
          </w:p>
        </w:tc>
        <w:tc>
          <w:tcPr>
            <w:tcW w:w="20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IFIX,运行版，无限点</w:t>
            </w:r>
          </w:p>
        </w:tc>
        <w:tc>
          <w:tcPr>
            <w:tcW w:w="246" w:type="pct"/>
            <w:noWrap/>
            <w:vAlign w:val="center"/>
          </w:tcPr>
          <w:p>
            <w:pPr>
              <w:widowControl/>
              <w:jc w:val="center"/>
              <w:rPr>
                <w:rFonts w:hint="eastAsia" w:ascii="宋体" w:hAnsi="宋体" w:cs="宋体"/>
                <w:color w:val="000000"/>
                <w:kern w:val="0"/>
                <w:szCs w:val="21"/>
              </w:rPr>
            </w:pPr>
          </w:p>
        </w:tc>
        <w:tc>
          <w:tcPr>
            <w:tcW w:w="262" w:type="pct"/>
            <w:noWrap/>
            <w:vAlign w:val="center"/>
          </w:tcPr>
          <w:p>
            <w:pPr>
              <w:widowControl/>
              <w:jc w:val="center"/>
              <w:rPr>
                <w:rFonts w:hint="eastAsia" w:ascii="宋体" w:hAnsi="宋体" w:cs="宋体"/>
                <w:color w:val="000000"/>
                <w:kern w:val="0"/>
                <w:szCs w:val="21"/>
              </w:rPr>
            </w:pPr>
          </w:p>
        </w:tc>
        <w:tc>
          <w:tcPr>
            <w:tcW w:w="1020"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18</w:t>
            </w:r>
          </w:p>
        </w:tc>
        <w:tc>
          <w:tcPr>
            <w:tcW w:w="369" w:type="pct"/>
            <w:noWrap/>
            <w:vAlign w:val="center"/>
          </w:tcPr>
          <w:p>
            <w:pPr>
              <w:widowControl/>
              <w:jc w:val="center"/>
              <w:rPr>
                <w:rFonts w:hint="eastAsia" w:ascii="宋体" w:hAnsi="宋体" w:cs="宋体"/>
                <w:color w:val="000000"/>
                <w:kern w:val="0"/>
                <w:szCs w:val="21"/>
              </w:rPr>
            </w:pPr>
          </w:p>
        </w:tc>
        <w:tc>
          <w:tcPr>
            <w:tcW w:w="81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数据库客户端软件</w:t>
            </w:r>
          </w:p>
        </w:tc>
        <w:tc>
          <w:tcPr>
            <w:tcW w:w="2006" w:type="pct"/>
            <w:noWrap/>
            <w:vAlign w:val="center"/>
          </w:tcPr>
          <w:p>
            <w:pPr>
              <w:widowControl/>
              <w:jc w:val="center"/>
              <w:rPr>
                <w:rFonts w:hint="eastAsia" w:ascii="宋体" w:hAnsi="宋体" w:cs="宋体"/>
                <w:color w:val="000000"/>
                <w:kern w:val="0"/>
                <w:szCs w:val="21"/>
              </w:rPr>
            </w:pPr>
          </w:p>
        </w:tc>
        <w:tc>
          <w:tcPr>
            <w:tcW w:w="246" w:type="pct"/>
            <w:noWrap/>
            <w:vAlign w:val="center"/>
          </w:tcPr>
          <w:p>
            <w:pPr>
              <w:widowControl/>
              <w:jc w:val="center"/>
              <w:rPr>
                <w:rFonts w:hint="eastAsia" w:ascii="宋体" w:hAnsi="宋体" w:cs="宋体"/>
                <w:color w:val="000000"/>
                <w:kern w:val="0"/>
                <w:szCs w:val="21"/>
              </w:rPr>
            </w:pPr>
          </w:p>
        </w:tc>
        <w:tc>
          <w:tcPr>
            <w:tcW w:w="262" w:type="pct"/>
            <w:noWrap/>
            <w:vAlign w:val="center"/>
          </w:tcPr>
          <w:p>
            <w:pPr>
              <w:widowControl/>
              <w:jc w:val="center"/>
              <w:rPr>
                <w:rFonts w:hint="eastAsia" w:ascii="宋体" w:hAnsi="宋体" w:cs="宋体"/>
                <w:color w:val="000000"/>
                <w:kern w:val="0"/>
                <w:szCs w:val="21"/>
              </w:rPr>
            </w:pPr>
          </w:p>
        </w:tc>
        <w:tc>
          <w:tcPr>
            <w:tcW w:w="1020"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19</w:t>
            </w:r>
          </w:p>
        </w:tc>
        <w:tc>
          <w:tcPr>
            <w:tcW w:w="3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ENG</w:t>
            </w:r>
          </w:p>
        </w:tc>
        <w:tc>
          <w:tcPr>
            <w:tcW w:w="81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工程师站</w:t>
            </w:r>
          </w:p>
        </w:tc>
        <w:tc>
          <w:tcPr>
            <w:tcW w:w="2006" w:type="pct"/>
            <w:noWrap/>
            <w:vAlign w:val="center"/>
          </w:tcPr>
          <w:p>
            <w:pPr>
              <w:widowControl/>
              <w:jc w:val="center"/>
              <w:rPr>
                <w:rFonts w:hint="eastAsia" w:ascii="宋体" w:hAnsi="宋体" w:cs="宋体"/>
                <w:color w:val="000000"/>
                <w:kern w:val="0"/>
                <w:szCs w:val="21"/>
              </w:rPr>
            </w:pPr>
          </w:p>
        </w:tc>
        <w:tc>
          <w:tcPr>
            <w:tcW w:w="2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套</w:t>
            </w:r>
          </w:p>
        </w:tc>
        <w:tc>
          <w:tcPr>
            <w:tcW w:w="262"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020"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20</w:t>
            </w:r>
          </w:p>
        </w:tc>
        <w:tc>
          <w:tcPr>
            <w:tcW w:w="369" w:type="pct"/>
            <w:noWrap/>
            <w:vAlign w:val="center"/>
          </w:tcPr>
          <w:p>
            <w:pPr>
              <w:widowControl/>
              <w:jc w:val="center"/>
              <w:rPr>
                <w:rFonts w:hint="eastAsia" w:ascii="宋体" w:hAnsi="宋体" w:cs="宋体"/>
                <w:color w:val="000000"/>
                <w:kern w:val="0"/>
                <w:szCs w:val="21"/>
              </w:rPr>
            </w:pPr>
          </w:p>
        </w:tc>
        <w:tc>
          <w:tcPr>
            <w:tcW w:w="81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计算机</w:t>
            </w:r>
          </w:p>
        </w:tc>
        <w:tc>
          <w:tcPr>
            <w:tcW w:w="20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机架式,CPU： I7-9700以上  硬盘 &gt;1T 内存：&gt;16G以上 显示器：24"</w:t>
            </w:r>
          </w:p>
        </w:tc>
        <w:tc>
          <w:tcPr>
            <w:tcW w:w="246" w:type="pct"/>
            <w:noWrap/>
            <w:vAlign w:val="center"/>
          </w:tcPr>
          <w:p>
            <w:pPr>
              <w:widowControl/>
              <w:jc w:val="center"/>
              <w:rPr>
                <w:rFonts w:hint="eastAsia" w:ascii="宋体" w:hAnsi="宋体" w:cs="宋体"/>
                <w:color w:val="000000"/>
                <w:kern w:val="0"/>
                <w:szCs w:val="21"/>
              </w:rPr>
            </w:pPr>
          </w:p>
        </w:tc>
        <w:tc>
          <w:tcPr>
            <w:tcW w:w="262" w:type="pct"/>
            <w:noWrap/>
            <w:vAlign w:val="center"/>
          </w:tcPr>
          <w:p>
            <w:pPr>
              <w:widowControl/>
              <w:jc w:val="center"/>
              <w:rPr>
                <w:rFonts w:hint="eastAsia" w:ascii="宋体" w:hAnsi="宋体" w:cs="宋体"/>
                <w:color w:val="000000"/>
                <w:kern w:val="0"/>
                <w:szCs w:val="21"/>
              </w:rPr>
            </w:pPr>
          </w:p>
        </w:tc>
        <w:tc>
          <w:tcPr>
            <w:tcW w:w="102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主机放置在计算机服务器柜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21</w:t>
            </w:r>
          </w:p>
        </w:tc>
        <w:tc>
          <w:tcPr>
            <w:tcW w:w="369" w:type="pct"/>
            <w:noWrap/>
            <w:vAlign w:val="center"/>
          </w:tcPr>
          <w:p>
            <w:pPr>
              <w:widowControl/>
              <w:jc w:val="center"/>
              <w:rPr>
                <w:rFonts w:hint="eastAsia" w:ascii="宋体" w:hAnsi="宋体" w:cs="宋体"/>
                <w:color w:val="000000"/>
                <w:kern w:val="0"/>
                <w:szCs w:val="21"/>
              </w:rPr>
            </w:pPr>
          </w:p>
        </w:tc>
        <w:tc>
          <w:tcPr>
            <w:tcW w:w="81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系统软件</w:t>
            </w:r>
          </w:p>
        </w:tc>
        <w:tc>
          <w:tcPr>
            <w:tcW w:w="20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WINDOWS 10</w:t>
            </w:r>
          </w:p>
        </w:tc>
        <w:tc>
          <w:tcPr>
            <w:tcW w:w="246" w:type="pct"/>
            <w:noWrap/>
            <w:vAlign w:val="center"/>
          </w:tcPr>
          <w:p>
            <w:pPr>
              <w:widowControl/>
              <w:jc w:val="center"/>
              <w:rPr>
                <w:rFonts w:hint="eastAsia" w:ascii="宋体" w:hAnsi="宋体" w:cs="宋体"/>
                <w:color w:val="000000"/>
                <w:kern w:val="0"/>
                <w:szCs w:val="21"/>
              </w:rPr>
            </w:pPr>
          </w:p>
        </w:tc>
        <w:tc>
          <w:tcPr>
            <w:tcW w:w="262" w:type="pct"/>
            <w:noWrap/>
            <w:vAlign w:val="center"/>
          </w:tcPr>
          <w:p>
            <w:pPr>
              <w:widowControl/>
              <w:jc w:val="center"/>
              <w:rPr>
                <w:rFonts w:hint="eastAsia" w:ascii="宋体" w:hAnsi="宋体" w:cs="宋体"/>
                <w:color w:val="000000"/>
                <w:kern w:val="0"/>
                <w:szCs w:val="21"/>
              </w:rPr>
            </w:pPr>
          </w:p>
        </w:tc>
        <w:tc>
          <w:tcPr>
            <w:tcW w:w="1020"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22</w:t>
            </w:r>
          </w:p>
        </w:tc>
        <w:tc>
          <w:tcPr>
            <w:tcW w:w="369" w:type="pct"/>
            <w:noWrap/>
            <w:vAlign w:val="center"/>
          </w:tcPr>
          <w:p>
            <w:pPr>
              <w:widowControl/>
              <w:jc w:val="center"/>
              <w:rPr>
                <w:rFonts w:hint="eastAsia" w:ascii="宋体" w:hAnsi="宋体" w:cs="宋体"/>
                <w:color w:val="000000"/>
                <w:kern w:val="0"/>
                <w:szCs w:val="21"/>
              </w:rPr>
            </w:pPr>
          </w:p>
        </w:tc>
        <w:tc>
          <w:tcPr>
            <w:tcW w:w="81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人机界面平台软件</w:t>
            </w:r>
          </w:p>
        </w:tc>
        <w:tc>
          <w:tcPr>
            <w:tcW w:w="20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IFIX,开发版，无限点</w:t>
            </w:r>
          </w:p>
        </w:tc>
        <w:tc>
          <w:tcPr>
            <w:tcW w:w="246" w:type="pct"/>
            <w:noWrap/>
            <w:vAlign w:val="center"/>
          </w:tcPr>
          <w:p>
            <w:pPr>
              <w:widowControl/>
              <w:jc w:val="center"/>
              <w:rPr>
                <w:rFonts w:hint="eastAsia" w:ascii="宋体" w:hAnsi="宋体" w:cs="宋体"/>
                <w:color w:val="000000"/>
                <w:kern w:val="0"/>
                <w:szCs w:val="21"/>
              </w:rPr>
            </w:pPr>
          </w:p>
        </w:tc>
        <w:tc>
          <w:tcPr>
            <w:tcW w:w="262" w:type="pct"/>
            <w:noWrap/>
            <w:vAlign w:val="center"/>
          </w:tcPr>
          <w:p>
            <w:pPr>
              <w:widowControl/>
              <w:jc w:val="center"/>
              <w:rPr>
                <w:rFonts w:hint="eastAsia" w:ascii="宋体" w:hAnsi="宋体" w:cs="宋体"/>
                <w:color w:val="000000"/>
                <w:kern w:val="0"/>
                <w:szCs w:val="21"/>
              </w:rPr>
            </w:pPr>
          </w:p>
        </w:tc>
        <w:tc>
          <w:tcPr>
            <w:tcW w:w="1020"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23</w:t>
            </w:r>
          </w:p>
        </w:tc>
        <w:tc>
          <w:tcPr>
            <w:tcW w:w="369" w:type="pct"/>
            <w:noWrap/>
            <w:vAlign w:val="center"/>
          </w:tcPr>
          <w:p>
            <w:pPr>
              <w:widowControl/>
              <w:jc w:val="center"/>
              <w:rPr>
                <w:rFonts w:hint="eastAsia" w:ascii="宋体" w:hAnsi="宋体" w:cs="宋体"/>
                <w:color w:val="000000"/>
                <w:kern w:val="0"/>
                <w:szCs w:val="21"/>
              </w:rPr>
            </w:pPr>
          </w:p>
        </w:tc>
        <w:tc>
          <w:tcPr>
            <w:tcW w:w="81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数据库客户端软件</w:t>
            </w:r>
          </w:p>
        </w:tc>
        <w:tc>
          <w:tcPr>
            <w:tcW w:w="2006" w:type="pct"/>
            <w:noWrap/>
            <w:vAlign w:val="center"/>
          </w:tcPr>
          <w:p>
            <w:pPr>
              <w:widowControl/>
              <w:jc w:val="center"/>
              <w:rPr>
                <w:rFonts w:hint="eastAsia" w:ascii="宋体" w:hAnsi="宋体" w:cs="宋体"/>
                <w:color w:val="000000"/>
                <w:kern w:val="0"/>
                <w:szCs w:val="21"/>
              </w:rPr>
            </w:pPr>
          </w:p>
        </w:tc>
        <w:tc>
          <w:tcPr>
            <w:tcW w:w="246" w:type="pct"/>
            <w:noWrap/>
            <w:vAlign w:val="center"/>
          </w:tcPr>
          <w:p>
            <w:pPr>
              <w:widowControl/>
              <w:jc w:val="center"/>
              <w:rPr>
                <w:rFonts w:hint="eastAsia" w:ascii="宋体" w:hAnsi="宋体" w:cs="宋体"/>
                <w:color w:val="000000"/>
                <w:kern w:val="0"/>
                <w:szCs w:val="21"/>
              </w:rPr>
            </w:pPr>
          </w:p>
        </w:tc>
        <w:tc>
          <w:tcPr>
            <w:tcW w:w="262" w:type="pct"/>
            <w:noWrap/>
            <w:vAlign w:val="center"/>
          </w:tcPr>
          <w:p>
            <w:pPr>
              <w:widowControl/>
              <w:jc w:val="center"/>
              <w:rPr>
                <w:rFonts w:hint="eastAsia" w:ascii="宋体" w:hAnsi="宋体" w:cs="宋体"/>
                <w:color w:val="000000"/>
                <w:kern w:val="0"/>
                <w:szCs w:val="21"/>
              </w:rPr>
            </w:pPr>
          </w:p>
        </w:tc>
        <w:tc>
          <w:tcPr>
            <w:tcW w:w="1020"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24</w:t>
            </w:r>
          </w:p>
        </w:tc>
        <w:tc>
          <w:tcPr>
            <w:tcW w:w="3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UPS</w:t>
            </w:r>
          </w:p>
        </w:tc>
        <w:tc>
          <w:tcPr>
            <w:tcW w:w="81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UPS柜</w:t>
            </w:r>
          </w:p>
        </w:tc>
        <w:tc>
          <w:tcPr>
            <w:tcW w:w="2006" w:type="pct"/>
            <w:noWrap/>
            <w:vAlign w:val="center"/>
          </w:tcPr>
          <w:p>
            <w:pPr>
              <w:widowControl/>
              <w:jc w:val="center"/>
              <w:rPr>
                <w:rFonts w:hint="eastAsia" w:ascii="宋体" w:hAnsi="宋体" w:cs="宋体"/>
                <w:color w:val="000000"/>
                <w:kern w:val="0"/>
                <w:szCs w:val="21"/>
              </w:rPr>
            </w:pPr>
          </w:p>
        </w:tc>
        <w:tc>
          <w:tcPr>
            <w:tcW w:w="2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套</w:t>
            </w:r>
          </w:p>
        </w:tc>
        <w:tc>
          <w:tcPr>
            <w:tcW w:w="262"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02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含进出线断路器等所有附件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25</w:t>
            </w:r>
          </w:p>
        </w:tc>
        <w:tc>
          <w:tcPr>
            <w:tcW w:w="369" w:type="pct"/>
            <w:noWrap/>
            <w:vAlign w:val="center"/>
          </w:tcPr>
          <w:p>
            <w:pPr>
              <w:widowControl/>
              <w:jc w:val="center"/>
              <w:rPr>
                <w:rFonts w:hint="eastAsia" w:ascii="宋体" w:hAnsi="宋体" w:cs="宋体"/>
                <w:color w:val="000000"/>
                <w:kern w:val="0"/>
                <w:szCs w:val="21"/>
              </w:rPr>
            </w:pPr>
          </w:p>
        </w:tc>
        <w:tc>
          <w:tcPr>
            <w:tcW w:w="81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UPS及电池</w:t>
            </w:r>
          </w:p>
        </w:tc>
        <w:tc>
          <w:tcPr>
            <w:tcW w:w="20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~A380V/AC380V 20KVA 90min</w:t>
            </w:r>
          </w:p>
        </w:tc>
        <w:tc>
          <w:tcPr>
            <w:tcW w:w="246" w:type="pct"/>
            <w:noWrap/>
            <w:vAlign w:val="center"/>
          </w:tcPr>
          <w:p>
            <w:pPr>
              <w:widowControl/>
              <w:jc w:val="center"/>
              <w:rPr>
                <w:rFonts w:hint="eastAsia" w:ascii="宋体" w:hAnsi="宋体" w:cs="宋体"/>
                <w:color w:val="000000"/>
                <w:kern w:val="0"/>
                <w:szCs w:val="21"/>
              </w:rPr>
            </w:pPr>
          </w:p>
        </w:tc>
        <w:tc>
          <w:tcPr>
            <w:tcW w:w="262" w:type="pct"/>
            <w:noWrap/>
            <w:vAlign w:val="center"/>
          </w:tcPr>
          <w:p>
            <w:pPr>
              <w:widowControl/>
              <w:jc w:val="center"/>
              <w:rPr>
                <w:rFonts w:hint="eastAsia" w:ascii="宋体" w:hAnsi="宋体" w:cs="宋体"/>
                <w:color w:val="000000"/>
                <w:kern w:val="0"/>
                <w:szCs w:val="21"/>
              </w:rPr>
            </w:pPr>
          </w:p>
        </w:tc>
        <w:tc>
          <w:tcPr>
            <w:tcW w:w="1020"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26</w:t>
            </w:r>
          </w:p>
        </w:tc>
        <w:tc>
          <w:tcPr>
            <w:tcW w:w="369" w:type="pct"/>
            <w:noWrap/>
            <w:vAlign w:val="center"/>
          </w:tcPr>
          <w:p>
            <w:pPr>
              <w:widowControl/>
              <w:jc w:val="center"/>
              <w:rPr>
                <w:rFonts w:hint="eastAsia" w:ascii="宋体" w:hAnsi="宋体" w:cs="宋体"/>
                <w:color w:val="000000"/>
                <w:kern w:val="0"/>
                <w:szCs w:val="21"/>
              </w:rPr>
            </w:pPr>
          </w:p>
        </w:tc>
        <w:tc>
          <w:tcPr>
            <w:tcW w:w="81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机柜</w:t>
            </w:r>
          </w:p>
        </w:tc>
        <w:tc>
          <w:tcPr>
            <w:tcW w:w="20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W800*D600*H2200(mm)  *2</w:t>
            </w:r>
          </w:p>
        </w:tc>
        <w:tc>
          <w:tcPr>
            <w:tcW w:w="246" w:type="pct"/>
            <w:noWrap/>
            <w:vAlign w:val="center"/>
          </w:tcPr>
          <w:p>
            <w:pPr>
              <w:widowControl/>
              <w:jc w:val="center"/>
              <w:rPr>
                <w:rFonts w:hint="eastAsia" w:ascii="宋体" w:hAnsi="宋体" w:cs="宋体"/>
                <w:color w:val="000000"/>
                <w:kern w:val="0"/>
                <w:szCs w:val="21"/>
              </w:rPr>
            </w:pPr>
          </w:p>
        </w:tc>
        <w:tc>
          <w:tcPr>
            <w:tcW w:w="262" w:type="pct"/>
            <w:noWrap/>
            <w:vAlign w:val="center"/>
          </w:tcPr>
          <w:p>
            <w:pPr>
              <w:widowControl/>
              <w:jc w:val="center"/>
              <w:rPr>
                <w:rFonts w:hint="eastAsia" w:ascii="宋体" w:hAnsi="宋体" w:cs="宋体"/>
                <w:color w:val="000000"/>
                <w:kern w:val="0"/>
                <w:szCs w:val="21"/>
              </w:rPr>
            </w:pPr>
          </w:p>
        </w:tc>
        <w:tc>
          <w:tcPr>
            <w:tcW w:w="1020"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27</w:t>
            </w:r>
          </w:p>
        </w:tc>
        <w:tc>
          <w:tcPr>
            <w:tcW w:w="369" w:type="pct"/>
            <w:noWrap/>
            <w:vAlign w:val="center"/>
          </w:tcPr>
          <w:p>
            <w:pPr>
              <w:widowControl/>
              <w:jc w:val="center"/>
              <w:rPr>
                <w:rFonts w:hint="eastAsia" w:ascii="宋体" w:hAnsi="宋体" w:cs="宋体"/>
                <w:color w:val="000000"/>
                <w:kern w:val="0"/>
                <w:szCs w:val="21"/>
              </w:rPr>
            </w:pPr>
          </w:p>
        </w:tc>
        <w:tc>
          <w:tcPr>
            <w:tcW w:w="815" w:type="pct"/>
            <w:noWrap/>
            <w:vAlign w:val="center"/>
          </w:tcPr>
          <w:p>
            <w:pPr>
              <w:widowControl/>
              <w:jc w:val="center"/>
              <w:rPr>
                <w:rFonts w:hint="eastAsia" w:ascii="宋体" w:hAnsi="宋体" w:cs="宋体"/>
                <w:color w:val="000000"/>
                <w:kern w:val="0"/>
                <w:szCs w:val="21"/>
              </w:rPr>
            </w:pPr>
          </w:p>
        </w:tc>
        <w:tc>
          <w:tcPr>
            <w:tcW w:w="20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小型断路器：C65H-C/3P 50A *1</w:t>
            </w:r>
          </w:p>
        </w:tc>
        <w:tc>
          <w:tcPr>
            <w:tcW w:w="246" w:type="pct"/>
            <w:noWrap/>
            <w:vAlign w:val="center"/>
          </w:tcPr>
          <w:p>
            <w:pPr>
              <w:widowControl/>
              <w:jc w:val="center"/>
              <w:rPr>
                <w:rFonts w:hint="eastAsia" w:ascii="宋体" w:hAnsi="宋体" w:cs="宋体"/>
                <w:color w:val="000000"/>
                <w:kern w:val="0"/>
                <w:szCs w:val="21"/>
              </w:rPr>
            </w:pPr>
          </w:p>
        </w:tc>
        <w:tc>
          <w:tcPr>
            <w:tcW w:w="262" w:type="pct"/>
            <w:noWrap/>
            <w:vAlign w:val="center"/>
          </w:tcPr>
          <w:p>
            <w:pPr>
              <w:widowControl/>
              <w:jc w:val="center"/>
              <w:rPr>
                <w:rFonts w:hint="eastAsia" w:ascii="宋体" w:hAnsi="宋体" w:cs="宋体"/>
                <w:color w:val="000000"/>
                <w:kern w:val="0"/>
                <w:szCs w:val="21"/>
              </w:rPr>
            </w:pPr>
          </w:p>
        </w:tc>
        <w:tc>
          <w:tcPr>
            <w:tcW w:w="1020"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28</w:t>
            </w:r>
          </w:p>
        </w:tc>
        <w:tc>
          <w:tcPr>
            <w:tcW w:w="369" w:type="pct"/>
            <w:noWrap/>
            <w:vAlign w:val="center"/>
          </w:tcPr>
          <w:p>
            <w:pPr>
              <w:widowControl/>
              <w:jc w:val="center"/>
              <w:rPr>
                <w:rFonts w:hint="eastAsia" w:ascii="宋体" w:hAnsi="宋体" w:cs="宋体"/>
                <w:color w:val="000000"/>
                <w:kern w:val="0"/>
                <w:szCs w:val="21"/>
              </w:rPr>
            </w:pPr>
          </w:p>
        </w:tc>
        <w:tc>
          <w:tcPr>
            <w:tcW w:w="815" w:type="pct"/>
            <w:noWrap/>
            <w:vAlign w:val="center"/>
          </w:tcPr>
          <w:p>
            <w:pPr>
              <w:widowControl/>
              <w:jc w:val="center"/>
              <w:rPr>
                <w:rFonts w:hint="eastAsia" w:ascii="宋体" w:hAnsi="宋体" w:cs="宋体"/>
                <w:color w:val="000000"/>
                <w:kern w:val="0"/>
                <w:szCs w:val="21"/>
              </w:rPr>
            </w:pPr>
          </w:p>
        </w:tc>
        <w:tc>
          <w:tcPr>
            <w:tcW w:w="20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小型断路器：C65H-C/1P 32A *2</w:t>
            </w:r>
          </w:p>
        </w:tc>
        <w:tc>
          <w:tcPr>
            <w:tcW w:w="246" w:type="pct"/>
            <w:noWrap/>
            <w:vAlign w:val="center"/>
          </w:tcPr>
          <w:p>
            <w:pPr>
              <w:widowControl/>
              <w:jc w:val="center"/>
              <w:rPr>
                <w:rFonts w:hint="eastAsia" w:ascii="宋体" w:hAnsi="宋体" w:cs="宋体"/>
                <w:color w:val="000000"/>
                <w:kern w:val="0"/>
                <w:szCs w:val="21"/>
              </w:rPr>
            </w:pPr>
          </w:p>
        </w:tc>
        <w:tc>
          <w:tcPr>
            <w:tcW w:w="262" w:type="pct"/>
            <w:noWrap/>
            <w:vAlign w:val="center"/>
          </w:tcPr>
          <w:p>
            <w:pPr>
              <w:widowControl/>
              <w:jc w:val="center"/>
              <w:rPr>
                <w:rFonts w:hint="eastAsia" w:ascii="宋体" w:hAnsi="宋体" w:cs="宋体"/>
                <w:color w:val="000000"/>
                <w:kern w:val="0"/>
                <w:szCs w:val="21"/>
              </w:rPr>
            </w:pPr>
          </w:p>
        </w:tc>
        <w:tc>
          <w:tcPr>
            <w:tcW w:w="1020"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29</w:t>
            </w:r>
          </w:p>
        </w:tc>
        <w:tc>
          <w:tcPr>
            <w:tcW w:w="369" w:type="pct"/>
            <w:noWrap/>
            <w:vAlign w:val="center"/>
          </w:tcPr>
          <w:p>
            <w:pPr>
              <w:widowControl/>
              <w:jc w:val="center"/>
              <w:rPr>
                <w:rFonts w:hint="eastAsia" w:ascii="宋体" w:hAnsi="宋体" w:cs="宋体"/>
                <w:color w:val="000000"/>
                <w:kern w:val="0"/>
                <w:szCs w:val="21"/>
              </w:rPr>
            </w:pPr>
          </w:p>
        </w:tc>
        <w:tc>
          <w:tcPr>
            <w:tcW w:w="815" w:type="pct"/>
            <w:noWrap/>
            <w:vAlign w:val="center"/>
          </w:tcPr>
          <w:p>
            <w:pPr>
              <w:widowControl/>
              <w:jc w:val="center"/>
              <w:rPr>
                <w:rFonts w:hint="eastAsia" w:ascii="宋体" w:hAnsi="宋体" w:cs="宋体"/>
                <w:color w:val="000000"/>
                <w:kern w:val="0"/>
                <w:szCs w:val="21"/>
              </w:rPr>
            </w:pPr>
          </w:p>
        </w:tc>
        <w:tc>
          <w:tcPr>
            <w:tcW w:w="20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小型断路器：C65H-C/1P 20A *5</w:t>
            </w:r>
          </w:p>
        </w:tc>
        <w:tc>
          <w:tcPr>
            <w:tcW w:w="246" w:type="pct"/>
            <w:noWrap/>
            <w:vAlign w:val="center"/>
          </w:tcPr>
          <w:p>
            <w:pPr>
              <w:widowControl/>
              <w:jc w:val="center"/>
              <w:rPr>
                <w:rFonts w:hint="eastAsia" w:ascii="宋体" w:hAnsi="宋体" w:cs="宋体"/>
                <w:color w:val="000000"/>
                <w:kern w:val="0"/>
                <w:szCs w:val="21"/>
              </w:rPr>
            </w:pPr>
          </w:p>
        </w:tc>
        <w:tc>
          <w:tcPr>
            <w:tcW w:w="262" w:type="pct"/>
            <w:noWrap/>
            <w:vAlign w:val="center"/>
          </w:tcPr>
          <w:p>
            <w:pPr>
              <w:widowControl/>
              <w:jc w:val="center"/>
              <w:rPr>
                <w:rFonts w:hint="eastAsia" w:ascii="宋体" w:hAnsi="宋体" w:cs="宋体"/>
                <w:color w:val="000000"/>
                <w:kern w:val="0"/>
                <w:szCs w:val="21"/>
              </w:rPr>
            </w:pPr>
          </w:p>
        </w:tc>
        <w:tc>
          <w:tcPr>
            <w:tcW w:w="1020"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30</w:t>
            </w:r>
          </w:p>
        </w:tc>
        <w:tc>
          <w:tcPr>
            <w:tcW w:w="369" w:type="pct"/>
            <w:noWrap/>
            <w:vAlign w:val="center"/>
          </w:tcPr>
          <w:p>
            <w:pPr>
              <w:widowControl/>
              <w:jc w:val="center"/>
              <w:rPr>
                <w:rFonts w:hint="eastAsia" w:ascii="宋体" w:hAnsi="宋体" w:cs="宋体"/>
                <w:color w:val="000000"/>
                <w:kern w:val="0"/>
                <w:szCs w:val="21"/>
              </w:rPr>
            </w:pPr>
          </w:p>
        </w:tc>
        <w:tc>
          <w:tcPr>
            <w:tcW w:w="815" w:type="pct"/>
            <w:noWrap/>
            <w:vAlign w:val="center"/>
          </w:tcPr>
          <w:p>
            <w:pPr>
              <w:widowControl/>
              <w:jc w:val="center"/>
              <w:rPr>
                <w:rFonts w:hint="eastAsia" w:ascii="宋体" w:hAnsi="宋体" w:cs="宋体"/>
                <w:color w:val="000000"/>
                <w:kern w:val="0"/>
                <w:szCs w:val="21"/>
              </w:rPr>
            </w:pPr>
          </w:p>
        </w:tc>
        <w:tc>
          <w:tcPr>
            <w:tcW w:w="20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小型断路器：C65H-C/1P 6A *3</w:t>
            </w:r>
          </w:p>
        </w:tc>
        <w:tc>
          <w:tcPr>
            <w:tcW w:w="246" w:type="pct"/>
            <w:noWrap/>
            <w:vAlign w:val="center"/>
          </w:tcPr>
          <w:p>
            <w:pPr>
              <w:widowControl/>
              <w:jc w:val="center"/>
              <w:rPr>
                <w:rFonts w:hint="eastAsia" w:ascii="宋体" w:hAnsi="宋体" w:cs="宋体"/>
                <w:color w:val="000000"/>
                <w:kern w:val="0"/>
                <w:szCs w:val="21"/>
              </w:rPr>
            </w:pPr>
          </w:p>
        </w:tc>
        <w:tc>
          <w:tcPr>
            <w:tcW w:w="262" w:type="pct"/>
            <w:noWrap/>
            <w:vAlign w:val="center"/>
          </w:tcPr>
          <w:p>
            <w:pPr>
              <w:widowControl/>
              <w:jc w:val="center"/>
              <w:rPr>
                <w:rFonts w:hint="eastAsia" w:ascii="宋体" w:hAnsi="宋体" w:cs="宋体"/>
                <w:color w:val="000000"/>
                <w:kern w:val="0"/>
                <w:szCs w:val="21"/>
              </w:rPr>
            </w:pPr>
          </w:p>
        </w:tc>
        <w:tc>
          <w:tcPr>
            <w:tcW w:w="1020"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31</w:t>
            </w:r>
          </w:p>
        </w:tc>
        <w:tc>
          <w:tcPr>
            <w:tcW w:w="369" w:type="pct"/>
            <w:noWrap/>
            <w:vAlign w:val="center"/>
          </w:tcPr>
          <w:p>
            <w:pPr>
              <w:widowControl/>
              <w:jc w:val="center"/>
              <w:rPr>
                <w:rFonts w:hint="eastAsia" w:ascii="宋体" w:hAnsi="宋体" w:cs="宋体"/>
                <w:color w:val="000000"/>
                <w:kern w:val="0"/>
                <w:szCs w:val="21"/>
              </w:rPr>
            </w:pPr>
          </w:p>
        </w:tc>
        <w:tc>
          <w:tcPr>
            <w:tcW w:w="81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组合大屏</w:t>
            </w:r>
          </w:p>
        </w:tc>
        <w:tc>
          <w:tcPr>
            <w:tcW w:w="20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65"窄边液晶拼接屏 4x3，含控制器</w:t>
            </w:r>
          </w:p>
        </w:tc>
        <w:tc>
          <w:tcPr>
            <w:tcW w:w="2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套</w:t>
            </w:r>
          </w:p>
        </w:tc>
        <w:tc>
          <w:tcPr>
            <w:tcW w:w="262"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020"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32</w:t>
            </w:r>
          </w:p>
        </w:tc>
        <w:tc>
          <w:tcPr>
            <w:tcW w:w="3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PDX</w:t>
            </w:r>
          </w:p>
        </w:tc>
        <w:tc>
          <w:tcPr>
            <w:tcW w:w="81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配电箱</w:t>
            </w:r>
          </w:p>
        </w:tc>
        <w:tc>
          <w:tcPr>
            <w:tcW w:w="20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PZ30(R)-20</w:t>
            </w:r>
          </w:p>
        </w:tc>
        <w:tc>
          <w:tcPr>
            <w:tcW w:w="2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套</w:t>
            </w:r>
          </w:p>
        </w:tc>
        <w:tc>
          <w:tcPr>
            <w:tcW w:w="262"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020"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33</w:t>
            </w:r>
          </w:p>
        </w:tc>
        <w:tc>
          <w:tcPr>
            <w:tcW w:w="369" w:type="pct"/>
            <w:noWrap/>
            <w:vAlign w:val="center"/>
          </w:tcPr>
          <w:p>
            <w:pPr>
              <w:widowControl/>
              <w:jc w:val="center"/>
              <w:rPr>
                <w:rFonts w:hint="eastAsia" w:ascii="宋体" w:hAnsi="宋体" w:cs="宋体"/>
                <w:color w:val="000000"/>
                <w:kern w:val="0"/>
                <w:szCs w:val="21"/>
              </w:rPr>
            </w:pPr>
          </w:p>
        </w:tc>
        <w:tc>
          <w:tcPr>
            <w:tcW w:w="815" w:type="pct"/>
            <w:noWrap/>
            <w:vAlign w:val="center"/>
          </w:tcPr>
          <w:p>
            <w:pPr>
              <w:widowControl/>
              <w:jc w:val="center"/>
              <w:rPr>
                <w:rFonts w:hint="eastAsia" w:ascii="宋体" w:hAnsi="宋体" w:cs="宋体"/>
                <w:color w:val="000000"/>
                <w:kern w:val="0"/>
                <w:szCs w:val="21"/>
              </w:rPr>
            </w:pPr>
          </w:p>
        </w:tc>
        <w:tc>
          <w:tcPr>
            <w:tcW w:w="20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小型断路器：C65H-C/1P 32A *1</w:t>
            </w:r>
          </w:p>
        </w:tc>
        <w:tc>
          <w:tcPr>
            <w:tcW w:w="246" w:type="pct"/>
            <w:noWrap/>
            <w:vAlign w:val="center"/>
          </w:tcPr>
          <w:p>
            <w:pPr>
              <w:widowControl/>
              <w:jc w:val="center"/>
              <w:rPr>
                <w:rFonts w:hint="eastAsia" w:ascii="宋体" w:hAnsi="宋体" w:cs="宋体"/>
                <w:color w:val="000000"/>
                <w:kern w:val="0"/>
                <w:szCs w:val="21"/>
              </w:rPr>
            </w:pPr>
          </w:p>
        </w:tc>
        <w:tc>
          <w:tcPr>
            <w:tcW w:w="262" w:type="pct"/>
            <w:noWrap/>
            <w:vAlign w:val="center"/>
          </w:tcPr>
          <w:p>
            <w:pPr>
              <w:widowControl/>
              <w:jc w:val="center"/>
              <w:rPr>
                <w:rFonts w:hint="eastAsia" w:ascii="宋体" w:hAnsi="宋体" w:cs="宋体"/>
                <w:color w:val="000000"/>
                <w:kern w:val="0"/>
                <w:szCs w:val="21"/>
              </w:rPr>
            </w:pPr>
          </w:p>
        </w:tc>
        <w:tc>
          <w:tcPr>
            <w:tcW w:w="1020"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34</w:t>
            </w:r>
          </w:p>
        </w:tc>
        <w:tc>
          <w:tcPr>
            <w:tcW w:w="369" w:type="pct"/>
            <w:noWrap/>
            <w:vAlign w:val="center"/>
          </w:tcPr>
          <w:p>
            <w:pPr>
              <w:widowControl/>
              <w:jc w:val="center"/>
              <w:rPr>
                <w:rFonts w:hint="eastAsia" w:ascii="宋体" w:hAnsi="宋体" w:cs="宋体"/>
                <w:color w:val="000000"/>
                <w:kern w:val="0"/>
                <w:szCs w:val="21"/>
              </w:rPr>
            </w:pPr>
          </w:p>
        </w:tc>
        <w:tc>
          <w:tcPr>
            <w:tcW w:w="815" w:type="pct"/>
            <w:noWrap/>
            <w:vAlign w:val="center"/>
          </w:tcPr>
          <w:p>
            <w:pPr>
              <w:widowControl/>
              <w:jc w:val="center"/>
              <w:rPr>
                <w:rFonts w:hint="eastAsia" w:ascii="宋体" w:hAnsi="宋体" w:cs="宋体"/>
                <w:color w:val="000000"/>
                <w:kern w:val="0"/>
                <w:szCs w:val="21"/>
              </w:rPr>
            </w:pPr>
          </w:p>
        </w:tc>
        <w:tc>
          <w:tcPr>
            <w:tcW w:w="20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小型断路器：C65N6A/2P/VE30mA x10</w:t>
            </w:r>
          </w:p>
        </w:tc>
        <w:tc>
          <w:tcPr>
            <w:tcW w:w="246" w:type="pct"/>
            <w:noWrap/>
            <w:vAlign w:val="center"/>
          </w:tcPr>
          <w:p>
            <w:pPr>
              <w:widowControl/>
              <w:jc w:val="center"/>
              <w:rPr>
                <w:rFonts w:hint="eastAsia" w:ascii="宋体" w:hAnsi="宋体" w:cs="宋体"/>
                <w:color w:val="000000"/>
                <w:kern w:val="0"/>
                <w:szCs w:val="21"/>
              </w:rPr>
            </w:pPr>
          </w:p>
        </w:tc>
        <w:tc>
          <w:tcPr>
            <w:tcW w:w="262" w:type="pct"/>
            <w:noWrap/>
            <w:vAlign w:val="center"/>
          </w:tcPr>
          <w:p>
            <w:pPr>
              <w:widowControl/>
              <w:jc w:val="center"/>
              <w:rPr>
                <w:rFonts w:hint="eastAsia" w:ascii="宋体" w:hAnsi="宋体" w:cs="宋体"/>
                <w:color w:val="000000"/>
                <w:kern w:val="0"/>
                <w:szCs w:val="21"/>
              </w:rPr>
            </w:pPr>
          </w:p>
        </w:tc>
        <w:tc>
          <w:tcPr>
            <w:tcW w:w="1020"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35</w:t>
            </w:r>
          </w:p>
        </w:tc>
        <w:tc>
          <w:tcPr>
            <w:tcW w:w="369" w:type="pct"/>
            <w:noWrap/>
            <w:vAlign w:val="center"/>
          </w:tcPr>
          <w:p>
            <w:pPr>
              <w:widowControl/>
              <w:jc w:val="center"/>
              <w:rPr>
                <w:rFonts w:hint="eastAsia" w:ascii="宋体" w:hAnsi="宋体" w:cs="宋体"/>
                <w:color w:val="000000"/>
                <w:kern w:val="0"/>
                <w:szCs w:val="21"/>
              </w:rPr>
            </w:pPr>
          </w:p>
        </w:tc>
        <w:tc>
          <w:tcPr>
            <w:tcW w:w="81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PLC编程软件</w:t>
            </w:r>
          </w:p>
        </w:tc>
        <w:tc>
          <w:tcPr>
            <w:tcW w:w="2006" w:type="pct"/>
            <w:noWrap/>
            <w:vAlign w:val="center"/>
          </w:tcPr>
          <w:p>
            <w:pPr>
              <w:widowControl/>
              <w:jc w:val="center"/>
              <w:rPr>
                <w:rFonts w:hint="eastAsia" w:ascii="宋体" w:hAnsi="宋体" w:cs="宋体"/>
                <w:color w:val="000000"/>
                <w:kern w:val="0"/>
                <w:szCs w:val="21"/>
              </w:rPr>
            </w:pPr>
          </w:p>
        </w:tc>
        <w:tc>
          <w:tcPr>
            <w:tcW w:w="2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套</w:t>
            </w:r>
          </w:p>
        </w:tc>
        <w:tc>
          <w:tcPr>
            <w:tcW w:w="262"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w:t>
            </w:r>
          </w:p>
        </w:tc>
        <w:tc>
          <w:tcPr>
            <w:tcW w:w="1020"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36</w:t>
            </w:r>
          </w:p>
        </w:tc>
        <w:tc>
          <w:tcPr>
            <w:tcW w:w="369" w:type="pct"/>
            <w:noWrap/>
            <w:vAlign w:val="center"/>
          </w:tcPr>
          <w:p>
            <w:pPr>
              <w:widowControl/>
              <w:jc w:val="center"/>
              <w:rPr>
                <w:rFonts w:hint="eastAsia" w:ascii="宋体" w:hAnsi="宋体" w:cs="宋体"/>
                <w:color w:val="000000"/>
                <w:kern w:val="0"/>
                <w:szCs w:val="21"/>
              </w:rPr>
            </w:pPr>
          </w:p>
        </w:tc>
        <w:tc>
          <w:tcPr>
            <w:tcW w:w="81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激光打印机</w:t>
            </w:r>
          </w:p>
        </w:tc>
        <w:tc>
          <w:tcPr>
            <w:tcW w:w="20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A3/A4</w:t>
            </w:r>
          </w:p>
        </w:tc>
        <w:tc>
          <w:tcPr>
            <w:tcW w:w="2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套</w:t>
            </w:r>
          </w:p>
        </w:tc>
        <w:tc>
          <w:tcPr>
            <w:tcW w:w="262"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1020"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37</w:t>
            </w:r>
          </w:p>
        </w:tc>
        <w:tc>
          <w:tcPr>
            <w:tcW w:w="369" w:type="pct"/>
            <w:noWrap/>
            <w:vAlign w:val="center"/>
          </w:tcPr>
          <w:p>
            <w:pPr>
              <w:widowControl/>
              <w:jc w:val="center"/>
              <w:rPr>
                <w:rFonts w:hint="eastAsia" w:ascii="宋体" w:hAnsi="宋体" w:cs="宋体"/>
                <w:color w:val="000000"/>
                <w:kern w:val="0"/>
                <w:szCs w:val="21"/>
              </w:rPr>
            </w:pPr>
          </w:p>
        </w:tc>
        <w:tc>
          <w:tcPr>
            <w:tcW w:w="81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以太网电缆</w:t>
            </w:r>
          </w:p>
        </w:tc>
        <w:tc>
          <w:tcPr>
            <w:tcW w:w="20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超五类线</w:t>
            </w:r>
          </w:p>
        </w:tc>
        <w:tc>
          <w:tcPr>
            <w:tcW w:w="2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米</w:t>
            </w:r>
          </w:p>
        </w:tc>
        <w:tc>
          <w:tcPr>
            <w:tcW w:w="262"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150</w:t>
            </w:r>
          </w:p>
        </w:tc>
        <w:tc>
          <w:tcPr>
            <w:tcW w:w="1020" w:type="pct"/>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38</w:t>
            </w:r>
          </w:p>
        </w:tc>
        <w:tc>
          <w:tcPr>
            <w:tcW w:w="369" w:type="pct"/>
            <w:noWrap/>
            <w:vAlign w:val="center"/>
          </w:tcPr>
          <w:p>
            <w:pPr>
              <w:widowControl/>
              <w:jc w:val="center"/>
              <w:rPr>
                <w:rFonts w:hint="eastAsia" w:ascii="宋体" w:hAnsi="宋体" w:cs="宋体"/>
                <w:color w:val="000000"/>
                <w:kern w:val="0"/>
                <w:szCs w:val="21"/>
              </w:rPr>
            </w:pPr>
          </w:p>
        </w:tc>
        <w:tc>
          <w:tcPr>
            <w:tcW w:w="81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计算机操作台/椅</w:t>
            </w:r>
          </w:p>
        </w:tc>
        <w:tc>
          <w:tcPr>
            <w:tcW w:w="20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根据业主需求制作</w:t>
            </w:r>
          </w:p>
        </w:tc>
        <w:tc>
          <w:tcPr>
            <w:tcW w:w="2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套</w:t>
            </w:r>
          </w:p>
        </w:tc>
        <w:tc>
          <w:tcPr>
            <w:tcW w:w="262"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020"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39</w:t>
            </w:r>
          </w:p>
        </w:tc>
        <w:tc>
          <w:tcPr>
            <w:tcW w:w="369" w:type="pct"/>
            <w:noWrap/>
            <w:vAlign w:val="center"/>
          </w:tcPr>
          <w:p>
            <w:pPr>
              <w:widowControl/>
              <w:jc w:val="center"/>
              <w:rPr>
                <w:rFonts w:hint="eastAsia" w:ascii="宋体" w:hAnsi="宋体" w:cs="宋体"/>
                <w:color w:val="000000"/>
                <w:kern w:val="0"/>
                <w:szCs w:val="21"/>
              </w:rPr>
            </w:pPr>
          </w:p>
        </w:tc>
        <w:tc>
          <w:tcPr>
            <w:tcW w:w="81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便携式计算机</w:t>
            </w:r>
          </w:p>
        </w:tc>
        <w:tc>
          <w:tcPr>
            <w:tcW w:w="2006" w:type="pct"/>
            <w:noWrap/>
            <w:vAlign w:val="center"/>
          </w:tcPr>
          <w:p>
            <w:pPr>
              <w:widowControl/>
              <w:jc w:val="center"/>
              <w:rPr>
                <w:rFonts w:hint="eastAsia" w:ascii="宋体" w:hAnsi="宋体" w:cs="宋体"/>
                <w:color w:val="000000"/>
                <w:kern w:val="0"/>
                <w:szCs w:val="21"/>
              </w:rPr>
            </w:pPr>
          </w:p>
        </w:tc>
        <w:tc>
          <w:tcPr>
            <w:tcW w:w="2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262"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02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用于中控室计算机等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40</w:t>
            </w:r>
          </w:p>
        </w:tc>
        <w:tc>
          <w:tcPr>
            <w:tcW w:w="369" w:type="pct"/>
            <w:noWrap/>
            <w:vAlign w:val="center"/>
          </w:tcPr>
          <w:p>
            <w:pPr>
              <w:widowControl/>
              <w:jc w:val="center"/>
              <w:rPr>
                <w:rFonts w:hint="eastAsia" w:ascii="宋体" w:hAnsi="宋体" w:cs="宋体"/>
                <w:color w:val="000000"/>
                <w:kern w:val="0"/>
                <w:szCs w:val="21"/>
              </w:rPr>
            </w:pPr>
          </w:p>
        </w:tc>
        <w:tc>
          <w:tcPr>
            <w:tcW w:w="81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金属线槽</w:t>
            </w:r>
          </w:p>
        </w:tc>
        <w:tc>
          <w:tcPr>
            <w:tcW w:w="20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热镀锌 W200xH100</w:t>
            </w:r>
          </w:p>
        </w:tc>
        <w:tc>
          <w:tcPr>
            <w:tcW w:w="2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米</w:t>
            </w:r>
          </w:p>
        </w:tc>
        <w:tc>
          <w:tcPr>
            <w:tcW w:w="262"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30</w:t>
            </w:r>
          </w:p>
        </w:tc>
        <w:tc>
          <w:tcPr>
            <w:tcW w:w="1020"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41</w:t>
            </w:r>
          </w:p>
        </w:tc>
        <w:tc>
          <w:tcPr>
            <w:tcW w:w="369" w:type="pct"/>
            <w:noWrap/>
            <w:vAlign w:val="center"/>
          </w:tcPr>
          <w:p>
            <w:pPr>
              <w:widowControl/>
              <w:jc w:val="center"/>
              <w:rPr>
                <w:rFonts w:hint="eastAsia" w:ascii="宋体" w:hAnsi="宋体" w:cs="宋体"/>
                <w:color w:val="000000"/>
                <w:kern w:val="0"/>
                <w:szCs w:val="21"/>
              </w:rPr>
            </w:pPr>
          </w:p>
        </w:tc>
        <w:tc>
          <w:tcPr>
            <w:tcW w:w="81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计算机插座</w:t>
            </w:r>
          </w:p>
        </w:tc>
        <w:tc>
          <w:tcPr>
            <w:tcW w:w="20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250V,10A</w:t>
            </w:r>
          </w:p>
        </w:tc>
        <w:tc>
          <w:tcPr>
            <w:tcW w:w="2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批</w:t>
            </w:r>
          </w:p>
        </w:tc>
        <w:tc>
          <w:tcPr>
            <w:tcW w:w="262"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02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用于中控室计算机等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8" w:type="pct"/>
            <w:noWrap w:val="0"/>
            <w:vAlign w:val="center"/>
          </w:tcPr>
          <w:p>
            <w:pPr>
              <w:widowControl/>
              <w:jc w:val="center"/>
              <w:rPr>
                <w:rFonts w:hint="eastAsia" w:ascii="宋体" w:hAnsi="宋体" w:cs="宋体"/>
                <w:color w:val="000000"/>
                <w:kern w:val="0"/>
                <w:szCs w:val="21"/>
              </w:rPr>
            </w:pPr>
            <w:r>
              <w:rPr>
                <w:rFonts w:hint="eastAsia" w:ascii="宋体" w:hAnsi="宋体" w:cs="宋体"/>
                <w:color w:val="000000"/>
                <w:szCs w:val="21"/>
              </w:rPr>
              <w:t>42</w:t>
            </w:r>
          </w:p>
        </w:tc>
        <w:tc>
          <w:tcPr>
            <w:tcW w:w="369" w:type="pct"/>
            <w:noWrap/>
            <w:vAlign w:val="center"/>
          </w:tcPr>
          <w:p>
            <w:pPr>
              <w:widowControl/>
              <w:jc w:val="center"/>
              <w:rPr>
                <w:rFonts w:hint="eastAsia" w:ascii="宋体" w:hAnsi="宋体" w:cs="宋体"/>
                <w:color w:val="000000"/>
                <w:kern w:val="0"/>
                <w:szCs w:val="21"/>
              </w:rPr>
            </w:pPr>
          </w:p>
        </w:tc>
        <w:tc>
          <w:tcPr>
            <w:tcW w:w="81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塑料铜芯线</w:t>
            </w:r>
          </w:p>
        </w:tc>
        <w:tc>
          <w:tcPr>
            <w:tcW w:w="20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BV-450/750, 2.5mm</w:t>
            </w:r>
          </w:p>
        </w:tc>
        <w:tc>
          <w:tcPr>
            <w:tcW w:w="2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批</w:t>
            </w:r>
          </w:p>
        </w:tc>
        <w:tc>
          <w:tcPr>
            <w:tcW w:w="262"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020" w:type="pct"/>
            <w:noWrap/>
            <w:vAlign w:val="center"/>
          </w:tcPr>
          <w:p>
            <w:pPr>
              <w:widowControl/>
              <w:jc w:val="center"/>
              <w:rPr>
                <w:rFonts w:hint="eastAsia" w:ascii="宋体" w:hAnsi="宋体" w:cs="宋体"/>
                <w:color w:val="000000"/>
                <w:kern w:val="0"/>
                <w:szCs w:val="21"/>
              </w:rPr>
            </w:pPr>
          </w:p>
        </w:tc>
      </w:tr>
    </w:tbl>
    <w:p>
      <w:pPr>
        <w:rPr>
          <w:rFonts w:hint="eastAsia" w:ascii="宋体" w:hAnsi="宋体" w:cs="宋体"/>
          <w:color w:val="000000"/>
          <w:szCs w:val="21"/>
        </w:rPr>
      </w:pPr>
      <w:r>
        <w:rPr>
          <w:rFonts w:hint="eastAsia" w:ascii="宋体" w:hAnsi="宋体" w:cs="宋体"/>
          <w:color w:val="000000"/>
          <w:szCs w:val="21"/>
        </w:rPr>
        <w:t>（二）监控系统材料表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
        <w:gridCol w:w="666"/>
        <w:gridCol w:w="1256"/>
        <w:gridCol w:w="3981"/>
        <w:gridCol w:w="441"/>
        <w:gridCol w:w="441"/>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序号</w:t>
            </w:r>
          </w:p>
        </w:tc>
        <w:tc>
          <w:tcPr>
            <w:tcW w:w="3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符号</w:t>
            </w:r>
          </w:p>
        </w:tc>
        <w:tc>
          <w:tcPr>
            <w:tcW w:w="6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名称</w:t>
            </w:r>
          </w:p>
        </w:tc>
        <w:tc>
          <w:tcPr>
            <w:tcW w:w="2033"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型号    规格</w:t>
            </w:r>
          </w:p>
        </w:tc>
        <w:tc>
          <w:tcPr>
            <w:tcW w:w="23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单位</w:t>
            </w:r>
          </w:p>
        </w:tc>
        <w:tc>
          <w:tcPr>
            <w:tcW w:w="23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数量</w:t>
            </w:r>
          </w:p>
        </w:tc>
        <w:tc>
          <w:tcPr>
            <w:tcW w:w="12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一</w:t>
            </w:r>
          </w:p>
        </w:tc>
        <w:tc>
          <w:tcPr>
            <w:tcW w:w="3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监控系统</w:t>
            </w:r>
          </w:p>
        </w:tc>
        <w:tc>
          <w:tcPr>
            <w:tcW w:w="661" w:type="pct"/>
            <w:noWrap/>
            <w:vAlign w:val="center"/>
          </w:tcPr>
          <w:p>
            <w:pPr>
              <w:widowControl/>
              <w:jc w:val="center"/>
              <w:rPr>
                <w:rFonts w:hint="eastAsia" w:ascii="宋体" w:hAnsi="宋体" w:cs="宋体"/>
                <w:color w:val="000000"/>
                <w:kern w:val="0"/>
                <w:szCs w:val="21"/>
              </w:rPr>
            </w:pPr>
          </w:p>
        </w:tc>
        <w:tc>
          <w:tcPr>
            <w:tcW w:w="2033" w:type="pct"/>
            <w:noWrap/>
            <w:vAlign w:val="center"/>
          </w:tcPr>
          <w:p>
            <w:pPr>
              <w:widowControl/>
              <w:jc w:val="center"/>
              <w:rPr>
                <w:rFonts w:hint="eastAsia" w:ascii="宋体" w:hAnsi="宋体" w:cs="宋体"/>
                <w:color w:val="000000"/>
                <w:kern w:val="0"/>
                <w:szCs w:val="21"/>
              </w:rPr>
            </w:pPr>
          </w:p>
        </w:tc>
        <w:tc>
          <w:tcPr>
            <w:tcW w:w="230" w:type="pct"/>
            <w:noWrap/>
            <w:vAlign w:val="center"/>
          </w:tcPr>
          <w:p>
            <w:pPr>
              <w:widowControl/>
              <w:jc w:val="center"/>
              <w:rPr>
                <w:rFonts w:hint="eastAsia" w:ascii="宋体" w:hAnsi="宋体" w:cs="宋体"/>
                <w:color w:val="000000"/>
                <w:kern w:val="0"/>
                <w:szCs w:val="21"/>
              </w:rPr>
            </w:pPr>
          </w:p>
        </w:tc>
        <w:tc>
          <w:tcPr>
            <w:tcW w:w="230" w:type="pct"/>
            <w:noWrap/>
            <w:vAlign w:val="center"/>
          </w:tcPr>
          <w:p>
            <w:pPr>
              <w:widowControl/>
              <w:jc w:val="center"/>
              <w:rPr>
                <w:rFonts w:hint="eastAsia" w:ascii="宋体" w:hAnsi="宋体" w:cs="宋体"/>
                <w:color w:val="000000"/>
                <w:kern w:val="0"/>
                <w:szCs w:val="21"/>
              </w:rPr>
            </w:pPr>
          </w:p>
        </w:tc>
        <w:tc>
          <w:tcPr>
            <w:tcW w:w="127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3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二级泵房 PLC控制柜</w:t>
            </w:r>
          </w:p>
        </w:tc>
        <w:tc>
          <w:tcPr>
            <w:tcW w:w="2033"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2200x800x600 (HxWxD) IP41</w:t>
            </w:r>
          </w:p>
        </w:tc>
        <w:tc>
          <w:tcPr>
            <w:tcW w:w="23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套</w:t>
            </w:r>
          </w:p>
        </w:tc>
        <w:tc>
          <w:tcPr>
            <w:tcW w:w="23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27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0" w:type="pct"/>
            <w:noWrap/>
            <w:vAlign w:val="center"/>
          </w:tcPr>
          <w:p>
            <w:pPr>
              <w:widowControl/>
              <w:jc w:val="center"/>
              <w:rPr>
                <w:rFonts w:hint="eastAsia" w:ascii="宋体" w:hAnsi="宋体" w:cs="宋体"/>
                <w:color w:val="000000"/>
                <w:kern w:val="0"/>
                <w:szCs w:val="21"/>
              </w:rPr>
            </w:pPr>
          </w:p>
        </w:tc>
        <w:tc>
          <w:tcPr>
            <w:tcW w:w="346" w:type="pct"/>
            <w:noWrap/>
            <w:vAlign w:val="center"/>
          </w:tcPr>
          <w:p>
            <w:pPr>
              <w:widowControl/>
              <w:jc w:val="center"/>
              <w:rPr>
                <w:rFonts w:hint="eastAsia" w:ascii="宋体" w:hAnsi="宋体" w:cs="宋体"/>
                <w:color w:val="000000"/>
                <w:kern w:val="0"/>
                <w:szCs w:val="21"/>
              </w:rPr>
            </w:pPr>
          </w:p>
        </w:tc>
        <w:tc>
          <w:tcPr>
            <w:tcW w:w="6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主要包括</w:t>
            </w:r>
          </w:p>
        </w:tc>
        <w:tc>
          <w:tcPr>
            <w:tcW w:w="2033"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主机架：（CPU：</w:t>
            </w:r>
            <w:r>
              <w:rPr>
                <w:rFonts w:hint="eastAsia" w:ascii="宋体" w:hAnsi="宋体" w:cs="宋体"/>
                <w:color w:val="000000"/>
                <w:kern w:val="0"/>
                <w:szCs w:val="21"/>
                <w:lang w:val="en-US" w:eastAsia="zh-CN"/>
              </w:rPr>
              <w:t>BMEH582040</w:t>
            </w:r>
            <w:r>
              <w:rPr>
                <w:rFonts w:hint="eastAsia" w:ascii="宋体" w:hAnsi="宋体" w:cs="宋体"/>
                <w:color w:val="000000"/>
                <w:kern w:val="0"/>
                <w:szCs w:val="21"/>
              </w:rPr>
              <w:t>（双机热备冗余）、电源模块、以太网模块）*2</w:t>
            </w:r>
          </w:p>
        </w:tc>
        <w:tc>
          <w:tcPr>
            <w:tcW w:w="230" w:type="pct"/>
            <w:noWrap/>
            <w:vAlign w:val="center"/>
          </w:tcPr>
          <w:p>
            <w:pPr>
              <w:widowControl/>
              <w:jc w:val="center"/>
              <w:rPr>
                <w:rFonts w:hint="eastAsia" w:ascii="宋体" w:hAnsi="宋体" w:cs="宋体"/>
                <w:color w:val="000000"/>
                <w:kern w:val="0"/>
                <w:szCs w:val="21"/>
              </w:rPr>
            </w:pPr>
          </w:p>
        </w:tc>
        <w:tc>
          <w:tcPr>
            <w:tcW w:w="230" w:type="pct"/>
            <w:noWrap/>
            <w:vAlign w:val="center"/>
          </w:tcPr>
          <w:p>
            <w:pPr>
              <w:widowControl/>
              <w:jc w:val="center"/>
              <w:rPr>
                <w:rFonts w:hint="eastAsia" w:ascii="宋体" w:hAnsi="宋体" w:cs="宋体"/>
                <w:color w:val="000000"/>
                <w:kern w:val="0"/>
                <w:szCs w:val="21"/>
              </w:rPr>
            </w:pPr>
          </w:p>
        </w:tc>
        <w:tc>
          <w:tcPr>
            <w:tcW w:w="127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0" w:type="pct"/>
            <w:noWrap/>
            <w:vAlign w:val="center"/>
          </w:tcPr>
          <w:p>
            <w:pPr>
              <w:widowControl/>
              <w:jc w:val="center"/>
              <w:rPr>
                <w:rFonts w:hint="eastAsia" w:ascii="宋体" w:hAnsi="宋体" w:cs="宋体"/>
                <w:color w:val="000000"/>
                <w:kern w:val="0"/>
                <w:szCs w:val="21"/>
              </w:rPr>
            </w:pPr>
          </w:p>
        </w:tc>
        <w:tc>
          <w:tcPr>
            <w:tcW w:w="346" w:type="pct"/>
            <w:noWrap/>
            <w:vAlign w:val="center"/>
          </w:tcPr>
          <w:p>
            <w:pPr>
              <w:widowControl/>
              <w:jc w:val="center"/>
              <w:rPr>
                <w:rFonts w:hint="eastAsia" w:ascii="宋体" w:hAnsi="宋体" w:cs="宋体"/>
                <w:color w:val="000000"/>
                <w:kern w:val="0"/>
                <w:szCs w:val="21"/>
              </w:rPr>
            </w:pPr>
          </w:p>
        </w:tc>
        <w:tc>
          <w:tcPr>
            <w:tcW w:w="661" w:type="pct"/>
            <w:noWrap/>
            <w:vAlign w:val="center"/>
          </w:tcPr>
          <w:p>
            <w:pPr>
              <w:widowControl/>
              <w:jc w:val="center"/>
              <w:rPr>
                <w:rFonts w:hint="eastAsia" w:ascii="宋体" w:hAnsi="宋体" w:cs="宋体"/>
                <w:color w:val="000000"/>
                <w:kern w:val="0"/>
                <w:szCs w:val="21"/>
              </w:rPr>
            </w:pPr>
          </w:p>
        </w:tc>
        <w:tc>
          <w:tcPr>
            <w:tcW w:w="2033"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AI：24、AO：8、DI：96、DO：48</w:t>
            </w:r>
          </w:p>
        </w:tc>
        <w:tc>
          <w:tcPr>
            <w:tcW w:w="230" w:type="pct"/>
            <w:noWrap/>
            <w:vAlign w:val="center"/>
          </w:tcPr>
          <w:p>
            <w:pPr>
              <w:widowControl/>
              <w:jc w:val="center"/>
              <w:rPr>
                <w:rFonts w:hint="eastAsia" w:ascii="宋体" w:hAnsi="宋体" w:cs="宋体"/>
                <w:color w:val="000000"/>
                <w:kern w:val="0"/>
                <w:szCs w:val="21"/>
              </w:rPr>
            </w:pPr>
          </w:p>
        </w:tc>
        <w:tc>
          <w:tcPr>
            <w:tcW w:w="230" w:type="pct"/>
            <w:noWrap/>
            <w:vAlign w:val="center"/>
          </w:tcPr>
          <w:p>
            <w:pPr>
              <w:widowControl/>
              <w:jc w:val="center"/>
              <w:rPr>
                <w:rFonts w:hint="eastAsia" w:ascii="宋体" w:hAnsi="宋体" w:cs="宋体"/>
                <w:color w:val="000000"/>
                <w:kern w:val="0"/>
                <w:szCs w:val="21"/>
              </w:rPr>
            </w:pPr>
          </w:p>
        </w:tc>
        <w:tc>
          <w:tcPr>
            <w:tcW w:w="12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实用点数 AI：19、AO：3、DI：67、DO：35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0" w:type="pct"/>
            <w:noWrap/>
            <w:vAlign w:val="center"/>
          </w:tcPr>
          <w:p>
            <w:pPr>
              <w:widowControl/>
              <w:jc w:val="center"/>
              <w:rPr>
                <w:rFonts w:hint="eastAsia" w:ascii="宋体" w:hAnsi="宋体" w:cs="宋体"/>
                <w:color w:val="000000"/>
                <w:kern w:val="0"/>
                <w:szCs w:val="21"/>
              </w:rPr>
            </w:pPr>
          </w:p>
        </w:tc>
        <w:tc>
          <w:tcPr>
            <w:tcW w:w="346" w:type="pct"/>
            <w:noWrap/>
            <w:vAlign w:val="center"/>
          </w:tcPr>
          <w:p>
            <w:pPr>
              <w:widowControl/>
              <w:jc w:val="center"/>
              <w:rPr>
                <w:rFonts w:hint="eastAsia" w:ascii="宋体" w:hAnsi="宋体" w:cs="宋体"/>
                <w:color w:val="000000"/>
                <w:kern w:val="0"/>
                <w:szCs w:val="21"/>
              </w:rPr>
            </w:pPr>
          </w:p>
        </w:tc>
        <w:tc>
          <w:tcPr>
            <w:tcW w:w="661" w:type="pct"/>
            <w:noWrap/>
            <w:vAlign w:val="center"/>
          </w:tcPr>
          <w:p>
            <w:pPr>
              <w:widowControl/>
              <w:jc w:val="center"/>
              <w:rPr>
                <w:rFonts w:hint="eastAsia" w:ascii="宋体" w:hAnsi="宋体" w:cs="宋体"/>
                <w:color w:val="000000"/>
                <w:kern w:val="0"/>
                <w:szCs w:val="21"/>
              </w:rPr>
            </w:pPr>
          </w:p>
        </w:tc>
        <w:tc>
          <w:tcPr>
            <w:tcW w:w="2033"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以太网口x1</w:t>
            </w:r>
          </w:p>
        </w:tc>
        <w:tc>
          <w:tcPr>
            <w:tcW w:w="230" w:type="pct"/>
            <w:noWrap/>
            <w:vAlign w:val="center"/>
          </w:tcPr>
          <w:p>
            <w:pPr>
              <w:widowControl/>
              <w:jc w:val="center"/>
              <w:rPr>
                <w:rFonts w:hint="eastAsia" w:ascii="宋体" w:hAnsi="宋体" w:cs="宋体"/>
                <w:color w:val="000000"/>
                <w:kern w:val="0"/>
                <w:szCs w:val="21"/>
              </w:rPr>
            </w:pPr>
          </w:p>
        </w:tc>
        <w:tc>
          <w:tcPr>
            <w:tcW w:w="230" w:type="pct"/>
            <w:noWrap/>
            <w:vAlign w:val="center"/>
          </w:tcPr>
          <w:p>
            <w:pPr>
              <w:widowControl/>
              <w:jc w:val="center"/>
              <w:rPr>
                <w:rFonts w:hint="eastAsia" w:ascii="宋体" w:hAnsi="宋体" w:cs="宋体"/>
                <w:color w:val="000000"/>
                <w:kern w:val="0"/>
                <w:szCs w:val="21"/>
              </w:rPr>
            </w:pPr>
          </w:p>
        </w:tc>
        <w:tc>
          <w:tcPr>
            <w:tcW w:w="127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0" w:type="pct"/>
            <w:noWrap/>
            <w:vAlign w:val="center"/>
          </w:tcPr>
          <w:p>
            <w:pPr>
              <w:widowControl/>
              <w:jc w:val="center"/>
              <w:rPr>
                <w:rFonts w:hint="eastAsia" w:ascii="宋体" w:hAnsi="宋体" w:cs="宋体"/>
                <w:color w:val="000000"/>
                <w:kern w:val="0"/>
                <w:szCs w:val="21"/>
              </w:rPr>
            </w:pPr>
          </w:p>
        </w:tc>
        <w:tc>
          <w:tcPr>
            <w:tcW w:w="346" w:type="pct"/>
            <w:noWrap/>
            <w:vAlign w:val="center"/>
          </w:tcPr>
          <w:p>
            <w:pPr>
              <w:widowControl/>
              <w:jc w:val="center"/>
              <w:rPr>
                <w:rFonts w:hint="eastAsia" w:ascii="宋体" w:hAnsi="宋体" w:cs="宋体"/>
                <w:color w:val="000000"/>
                <w:kern w:val="0"/>
                <w:szCs w:val="21"/>
              </w:rPr>
            </w:pPr>
          </w:p>
        </w:tc>
        <w:tc>
          <w:tcPr>
            <w:tcW w:w="661" w:type="pct"/>
            <w:noWrap/>
            <w:vAlign w:val="center"/>
          </w:tcPr>
          <w:p>
            <w:pPr>
              <w:widowControl/>
              <w:jc w:val="center"/>
              <w:rPr>
                <w:rFonts w:hint="eastAsia" w:ascii="宋体" w:hAnsi="宋体" w:cs="宋体"/>
                <w:color w:val="000000"/>
                <w:kern w:val="0"/>
                <w:szCs w:val="21"/>
              </w:rPr>
            </w:pPr>
          </w:p>
        </w:tc>
        <w:tc>
          <w:tcPr>
            <w:tcW w:w="2033"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千兆工业以太网交换机 千兆单模光口x2，百兆RJ45口x16</w:t>
            </w:r>
          </w:p>
        </w:tc>
        <w:tc>
          <w:tcPr>
            <w:tcW w:w="230" w:type="pct"/>
            <w:noWrap/>
            <w:vAlign w:val="center"/>
          </w:tcPr>
          <w:p>
            <w:pPr>
              <w:widowControl/>
              <w:jc w:val="center"/>
              <w:rPr>
                <w:rFonts w:hint="eastAsia" w:ascii="宋体" w:hAnsi="宋体" w:cs="宋体"/>
                <w:color w:val="000000"/>
                <w:kern w:val="0"/>
                <w:szCs w:val="21"/>
              </w:rPr>
            </w:pPr>
          </w:p>
        </w:tc>
        <w:tc>
          <w:tcPr>
            <w:tcW w:w="230" w:type="pct"/>
            <w:noWrap/>
            <w:vAlign w:val="center"/>
          </w:tcPr>
          <w:p>
            <w:pPr>
              <w:widowControl/>
              <w:jc w:val="center"/>
              <w:rPr>
                <w:rFonts w:hint="eastAsia" w:ascii="宋体" w:hAnsi="宋体" w:cs="宋体"/>
                <w:color w:val="000000"/>
                <w:kern w:val="0"/>
                <w:szCs w:val="21"/>
              </w:rPr>
            </w:pPr>
          </w:p>
        </w:tc>
        <w:tc>
          <w:tcPr>
            <w:tcW w:w="127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0" w:type="pct"/>
            <w:noWrap/>
            <w:vAlign w:val="center"/>
          </w:tcPr>
          <w:p>
            <w:pPr>
              <w:widowControl/>
              <w:jc w:val="center"/>
              <w:rPr>
                <w:rFonts w:hint="eastAsia" w:ascii="宋体" w:hAnsi="宋体" w:cs="宋体"/>
                <w:color w:val="000000"/>
                <w:kern w:val="0"/>
                <w:szCs w:val="21"/>
              </w:rPr>
            </w:pPr>
          </w:p>
        </w:tc>
        <w:tc>
          <w:tcPr>
            <w:tcW w:w="346" w:type="pct"/>
            <w:noWrap/>
            <w:vAlign w:val="center"/>
          </w:tcPr>
          <w:p>
            <w:pPr>
              <w:widowControl/>
              <w:jc w:val="center"/>
              <w:rPr>
                <w:rFonts w:hint="eastAsia" w:ascii="宋体" w:hAnsi="宋体" w:cs="宋体"/>
                <w:color w:val="000000"/>
                <w:kern w:val="0"/>
                <w:szCs w:val="21"/>
              </w:rPr>
            </w:pPr>
          </w:p>
        </w:tc>
        <w:tc>
          <w:tcPr>
            <w:tcW w:w="661" w:type="pct"/>
            <w:noWrap/>
            <w:vAlign w:val="center"/>
          </w:tcPr>
          <w:p>
            <w:pPr>
              <w:widowControl/>
              <w:jc w:val="center"/>
              <w:rPr>
                <w:rFonts w:hint="eastAsia" w:ascii="宋体" w:hAnsi="宋体" w:cs="宋体"/>
                <w:color w:val="000000"/>
                <w:kern w:val="0"/>
                <w:szCs w:val="21"/>
              </w:rPr>
            </w:pPr>
          </w:p>
        </w:tc>
        <w:tc>
          <w:tcPr>
            <w:tcW w:w="2033"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MODBUS/TCP IP网关x3</w:t>
            </w:r>
          </w:p>
        </w:tc>
        <w:tc>
          <w:tcPr>
            <w:tcW w:w="230" w:type="pct"/>
            <w:noWrap/>
            <w:vAlign w:val="center"/>
          </w:tcPr>
          <w:p>
            <w:pPr>
              <w:widowControl/>
              <w:jc w:val="center"/>
              <w:rPr>
                <w:rFonts w:hint="eastAsia" w:ascii="宋体" w:hAnsi="宋体" w:cs="宋体"/>
                <w:color w:val="000000"/>
                <w:kern w:val="0"/>
                <w:szCs w:val="21"/>
              </w:rPr>
            </w:pPr>
          </w:p>
        </w:tc>
        <w:tc>
          <w:tcPr>
            <w:tcW w:w="230" w:type="pct"/>
            <w:noWrap/>
            <w:vAlign w:val="center"/>
          </w:tcPr>
          <w:p>
            <w:pPr>
              <w:widowControl/>
              <w:jc w:val="center"/>
              <w:rPr>
                <w:rFonts w:hint="eastAsia" w:ascii="宋体" w:hAnsi="宋体" w:cs="宋体"/>
                <w:color w:val="000000"/>
                <w:kern w:val="0"/>
                <w:szCs w:val="21"/>
              </w:rPr>
            </w:pPr>
          </w:p>
        </w:tc>
        <w:tc>
          <w:tcPr>
            <w:tcW w:w="127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0" w:type="pct"/>
            <w:noWrap/>
            <w:vAlign w:val="center"/>
          </w:tcPr>
          <w:p>
            <w:pPr>
              <w:widowControl/>
              <w:jc w:val="center"/>
              <w:rPr>
                <w:rFonts w:hint="eastAsia" w:ascii="宋体" w:hAnsi="宋体" w:cs="宋体"/>
                <w:color w:val="000000"/>
                <w:kern w:val="0"/>
                <w:szCs w:val="21"/>
              </w:rPr>
            </w:pPr>
          </w:p>
        </w:tc>
        <w:tc>
          <w:tcPr>
            <w:tcW w:w="346" w:type="pct"/>
            <w:noWrap/>
            <w:vAlign w:val="center"/>
          </w:tcPr>
          <w:p>
            <w:pPr>
              <w:widowControl/>
              <w:jc w:val="center"/>
              <w:rPr>
                <w:rFonts w:hint="eastAsia" w:ascii="宋体" w:hAnsi="宋体" w:cs="宋体"/>
                <w:color w:val="000000"/>
                <w:kern w:val="0"/>
                <w:szCs w:val="21"/>
              </w:rPr>
            </w:pPr>
          </w:p>
        </w:tc>
        <w:tc>
          <w:tcPr>
            <w:tcW w:w="661" w:type="pct"/>
            <w:noWrap/>
            <w:vAlign w:val="center"/>
          </w:tcPr>
          <w:p>
            <w:pPr>
              <w:widowControl/>
              <w:jc w:val="center"/>
              <w:rPr>
                <w:rFonts w:hint="eastAsia" w:ascii="宋体" w:hAnsi="宋体" w:cs="宋体"/>
                <w:color w:val="000000"/>
                <w:kern w:val="0"/>
                <w:szCs w:val="21"/>
              </w:rPr>
            </w:pPr>
          </w:p>
        </w:tc>
        <w:tc>
          <w:tcPr>
            <w:tcW w:w="2033"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24V开关电源：CP SNT 250W 24V 10A *1</w:t>
            </w:r>
          </w:p>
        </w:tc>
        <w:tc>
          <w:tcPr>
            <w:tcW w:w="230" w:type="pct"/>
            <w:noWrap/>
            <w:vAlign w:val="center"/>
          </w:tcPr>
          <w:p>
            <w:pPr>
              <w:widowControl/>
              <w:jc w:val="center"/>
              <w:rPr>
                <w:rFonts w:hint="eastAsia" w:ascii="宋体" w:hAnsi="宋体" w:cs="宋体"/>
                <w:color w:val="000000"/>
                <w:kern w:val="0"/>
                <w:szCs w:val="21"/>
              </w:rPr>
            </w:pPr>
          </w:p>
        </w:tc>
        <w:tc>
          <w:tcPr>
            <w:tcW w:w="230" w:type="pct"/>
            <w:noWrap/>
            <w:vAlign w:val="center"/>
          </w:tcPr>
          <w:p>
            <w:pPr>
              <w:widowControl/>
              <w:jc w:val="center"/>
              <w:rPr>
                <w:rFonts w:hint="eastAsia" w:ascii="宋体" w:hAnsi="宋体" w:cs="宋体"/>
                <w:color w:val="000000"/>
                <w:kern w:val="0"/>
                <w:szCs w:val="21"/>
              </w:rPr>
            </w:pPr>
          </w:p>
        </w:tc>
        <w:tc>
          <w:tcPr>
            <w:tcW w:w="127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0" w:type="pct"/>
            <w:noWrap/>
            <w:vAlign w:val="center"/>
          </w:tcPr>
          <w:p>
            <w:pPr>
              <w:widowControl/>
              <w:jc w:val="center"/>
              <w:rPr>
                <w:rFonts w:hint="eastAsia" w:ascii="宋体" w:hAnsi="宋体" w:cs="宋体"/>
                <w:color w:val="000000"/>
                <w:kern w:val="0"/>
                <w:szCs w:val="21"/>
              </w:rPr>
            </w:pPr>
          </w:p>
        </w:tc>
        <w:tc>
          <w:tcPr>
            <w:tcW w:w="346" w:type="pct"/>
            <w:noWrap/>
            <w:vAlign w:val="center"/>
          </w:tcPr>
          <w:p>
            <w:pPr>
              <w:widowControl/>
              <w:jc w:val="center"/>
              <w:rPr>
                <w:rFonts w:hint="eastAsia" w:ascii="宋体" w:hAnsi="宋体" w:cs="宋体"/>
                <w:color w:val="000000"/>
                <w:kern w:val="0"/>
                <w:szCs w:val="21"/>
              </w:rPr>
            </w:pPr>
          </w:p>
        </w:tc>
        <w:tc>
          <w:tcPr>
            <w:tcW w:w="661" w:type="pct"/>
            <w:noWrap/>
            <w:vAlign w:val="center"/>
          </w:tcPr>
          <w:p>
            <w:pPr>
              <w:widowControl/>
              <w:jc w:val="center"/>
              <w:rPr>
                <w:rFonts w:hint="eastAsia" w:ascii="宋体" w:hAnsi="宋体" w:cs="宋体"/>
                <w:color w:val="000000"/>
                <w:kern w:val="0"/>
                <w:szCs w:val="21"/>
              </w:rPr>
            </w:pPr>
          </w:p>
        </w:tc>
        <w:tc>
          <w:tcPr>
            <w:tcW w:w="2033"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电源防雷器：PBAV-385+PBAV-255</w:t>
            </w:r>
          </w:p>
        </w:tc>
        <w:tc>
          <w:tcPr>
            <w:tcW w:w="230" w:type="pct"/>
            <w:noWrap/>
            <w:vAlign w:val="center"/>
          </w:tcPr>
          <w:p>
            <w:pPr>
              <w:widowControl/>
              <w:jc w:val="center"/>
              <w:rPr>
                <w:rFonts w:hint="eastAsia" w:ascii="宋体" w:hAnsi="宋体" w:cs="宋体"/>
                <w:color w:val="000000"/>
                <w:kern w:val="0"/>
                <w:szCs w:val="21"/>
              </w:rPr>
            </w:pPr>
          </w:p>
        </w:tc>
        <w:tc>
          <w:tcPr>
            <w:tcW w:w="230" w:type="pct"/>
            <w:noWrap/>
            <w:vAlign w:val="center"/>
          </w:tcPr>
          <w:p>
            <w:pPr>
              <w:widowControl/>
              <w:jc w:val="center"/>
              <w:rPr>
                <w:rFonts w:hint="eastAsia" w:ascii="宋体" w:hAnsi="宋体" w:cs="宋体"/>
                <w:color w:val="000000"/>
                <w:kern w:val="0"/>
                <w:szCs w:val="21"/>
              </w:rPr>
            </w:pPr>
          </w:p>
        </w:tc>
        <w:tc>
          <w:tcPr>
            <w:tcW w:w="127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0" w:type="pct"/>
            <w:noWrap/>
            <w:vAlign w:val="center"/>
          </w:tcPr>
          <w:p>
            <w:pPr>
              <w:widowControl/>
              <w:jc w:val="center"/>
              <w:rPr>
                <w:rFonts w:hint="eastAsia" w:ascii="宋体" w:hAnsi="宋体" w:cs="宋体"/>
                <w:color w:val="000000"/>
                <w:kern w:val="0"/>
                <w:szCs w:val="21"/>
              </w:rPr>
            </w:pPr>
          </w:p>
        </w:tc>
        <w:tc>
          <w:tcPr>
            <w:tcW w:w="346" w:type="pct"/>
            <w:noWrap/>
            <w:vAlign w:val="center"/>
          </w:tcPr>
          <w:p>
            <w:pPr>
              <w:widowControl/>
              <w:jc w:val="center"/>
              <w:rPr>
                <w:rFonts w:hint="eastAsia" w:ascii="宋体" w:hAnsi="宋体" w:cs="宋体"/>
                <w:color w:val="000000"/>
                <w:kern w:val="0"/>
                <w:szCs w:val="21"/>
              </w:rPr>
            </w:pPr>
          </w:p>
        </w:tc>
        <w:tc>
          <w:tcPr>
            <w:tcW w:w="661" w:type="pct"/>
            <w:noWrap/>
            <w:vAlign w:val="center"/>
          </w:tcPr>
          <w:p>
            <w:pPr>
              <w:widowControl/>
              <w:jc w:val="center"/>
              <w:rPr>
                <w:rFonts w:hint="eastAsia" w:ascii="宋体" w:hAnsi="宋体" w:cs="宋体"/>
                <w:color w:val="000000"/>
                <w:kern w:val="0"/>
                <w:szCs w:val="21"/>
              </w:rPr>
            </w:pPr>
          </w:p>
        </w:tc>
        <w:tc>
          <w:tcPr>
            <w:tcW w:w="2033"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继电器：RIF-0-RPT-24DC/1 *48</w:t>
            </w:r>
          </w:p>
        </w:tc>
        <w:tc>
          <w:tcPr>
            <w:tcW w:w="230" w:type="pct"/>
            <w:noWrap/>
            <w:vAlign w:val="center"/>
          </w:tcPr>
          <w:p>
            <w:pPr>
              <w:widowControl/>
              <w:jc w:val="center"/>
              <w:rPr>
                <w:rFonts w:hint="eastAsia" w:ascii="宋体" w:hAnsi="宋体" w:cs="宋体"/>
                <w:color w:val="000000"/>
                <w:kern w:val="0"/>
                <w:szCs w:val="21"/>
              </w:rPr>
            </w:pPr>
          </w:p>
        </w:tc>
        <w:tc>
          <w:tcPr>
            <w:tcW w:w="230" w:type="pct"/>
            <w:noWrap/>
            <w:vAlign w:val="center"/>
          </w:tcPr>
          <w:p>
            <w:pPr>
              <w:widowControl/>
              <w:jc w:val="center"/>
              <w:rPr>
                <w:rFonts w:hint="eastAsia" w:ascii="宋体" w:hAnsi="宋体" w:cs="宋体"/>
                <w:color w:val="000000"/>
                <w:kern w:val="0"/>
                <w:szCs w:val="21"/>
              </w:rPr>
            </w:pPr>
          </w:p>
        </w:tc>
        <w:tc>
          <w:tcPr>
            <w:tcW w:w="127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0" w:type="pct"/>
            <w:noWrap/>
            <w:vAlign w:val="center"/>
          </w:tcPr>
          <w:p>
            <w:pPr>
              <w:widowControl/>
              <w:jc w:val="center"/>
              <w:rPr>
                <w:rFonts w:hint="eastAsia" w:ascii="宋体" w:hAnsi="宋体" w:cs="宋体"/>
                <w:color w:val="000000"/>
                <w:kern w:val="0"/>
                <w:szCs w:val="21"/>
              </w:rPr>
            </w:pPr>
          </w:p>
        </w:tc>
        <w:tc>
          <w:tcPr>
            <w:tcW w:w="346" w:type="pct"/>
            <w:noWrap/>
            <w:vAlign w:val="center"/>
          </w:tcPr>
          <w:p>
            <w:pPr>
              <w:widowControl/>
              <w:jc w:val="center"/>
              <w:rPr>
                <w:rFonts w:hint="eastAsia" w:ascii="宋体" w:hAnsi="宋体" w:cs="宋体"/>
                <w:color w:val="000000"/>
                <w:kern w:val="0"/>
                <w:szCs w:val="21"/>
              </w:rPr>
            </w:pPr>
          </w:p>
        </w:tc>
        <w:tc>
          <w:tcPr>
            <w:tcW w:w="661" w:type="pct"/>
            <w:noWrap/>
            <w:vAlign w:val="center"/>
          </w:tcPr>
          <w:p>
            <w:pPr>
              <w:widowControl/>
              <w:jc w:val="center"/>
              <w:rPr>
                <w:rFonts w:hint="eastAsia" w:ascii="宋体" w:hAnsi="宋体" w:cs="宋体"/>
                <w:color w:val="000000"/>
                <w:kern w:val="0"/>
                <w:szCs w:val="21"/>
              </w:rPr>
            </w:pPr>
          </w:p>
        </w:tc>
        <w:tc>
          <w:tcPr>
            <w:tcW w:w="2033"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信号隔离器：WASS CCD 10PT *72</w:t>
            </w:r>
          </w:p>
        </w:tc>
        <w:tc>
          <w:tcPr>
            <w:tcW w:w="230" w:type="pct"/>
            <w:noWrap/>
            <w:vAlign w:val="center"/>
          </w:tcPr>
          <w:p>
            <w:pPr>
              <w:widowControl/>
              <w:jc w:val="center"/>
              <w:rPr>
                <w:rFonts w:hint="eastAsia" w:ascii="宋体" w:hAnsi="宋体" w:cs="宋体"/>
                <w:color w:val="000000"/>
                <w:kern w:val="0"/>
                <w:szCs w:val="21"/>
              </w:rPr>
            </w:pPr>
          </w:p>
        </w:tc>
        <w:tc>
          <w:tcPr>
            <w:tcW w:w="230" w:type="pct"/>
            <w:noWrap/>
            <w:vAlign w:val="center"/>
          </w:tcPr>
          <w:p>
            <w:pPr>
              <w:widowControl/>
              <w:jc w:val="center"/>
              <w:rPr>
                <w:rFonts w:hint="eastAsia" w:ascii="宋体" w:hAnsi="宋体" w:cs="宋体"/>
                <w:color w:val="000000"/>
                <w:kern w:val="0"/>
                <w:szCs w:val="21"/>
              </w:rPr>
            </w:pPr>
          </w:p>
        </w:tc>
        <w:tc>
          <w:tcPr>
            <w:tcW w:w="127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0" w:type="pct"/>
            <w:noWrap/>
            <w:vAlign w:val="center"/>
          </w:tcPr>
          <w:p>
            <w:pPr>
              <w:widowControl/>
              <w:jc w:val="center"/>
              <w:rPr>
                <w:rFonts w:hint="eastAsia" w:ascii="宋体" w:hAnsi="宋体" w:cs="宋体"/>
                <w:color w:val="000000"/>
                <w:kern w:val="0"/>
                <w:szCs w:val="21"/>
              </w:rPr>
            </w:pPr>
          </w:p>
        </w:tc>
        <w:tc>
          <w:tcPr>
            <w:tcW w:w="346" w:type="pct"/>
            <w:noWrap/>
            <w:vAlign w:val="center"/>
          </w:tcPr>
          <w:p>
            <w:pPr>
              <w:widowControl/>
              <w:jc w:val="center"/>
              <w:rPr>
                <w:rFonts w:hint="eastAsia" w:ascii="宋体" w:hAnsi="宋体" w:cs="宋体"/>
                <w:color w:val="000000"/>
                <w:kern w:val="0"/>
                <w:szCs w:val="21"/>
              </w:rPr>
            </w:pPr>
          </w:p>
        </w:tc>
        <w:tc>
          <w:tcPr>
            <w:tcW w:w="661" w:type="pct"/>
            <w:noWrap/>
            <w:vAlign w:val="center"/>
          </w:tcPr>
          <w:p>
            <w:pPr>
              <w:widowControl/>
              <w:jc w:val="center"/>
              <w:rPr>
                <w:rFonts w:hint="eastAsia" w:ascii="宋体" w:hAnsi="宋体" w:cs="宋体"/>
                <w:color w:val="000000"/>
                <w:kern w:val="0"/>
                <w:szCs w:val="21"/>
              </w:rPr>
            </w:pPr>
          </w:p>
        </w:tc>
        <w:tc>
          <w:tcPr>
            <w:tcW w:w="2033"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信号防雷器: SAC-24/L2 *2</w:t>
            </w:r>
          </w:p>
        </w:tc>
        <w:tc>
          <w:tcPr>
            <w:tcW w:w="230" w:type="pct"/>
            <w:noWrap/>
            <w:vAlign w:val="center"/>
          </w:tcPr>
          <w:p>
            <w:pPr>
              <w:widowControl/>
              <w:jc w:val="center"/>
              <w:rPr>
                <w:rFonts w:hint="eastAsia" w:ascii="宋体" w:hAnsi="宋体" w:cs="宋体"/>
                <w:color w:val="000000"/>
                <w:kern w:val="0"/>
                <w:szCs w:val="21"/>
              </w:rPr>
            </w:pPr>
          </w:p>
        </w:tc>
        <w:tc>
          <w:tcPr>
            <w:tcW w:w="230" w:type="pct"/>
            <w:noWrap/>
            <w:vAlign w:val="center"/>
          </w:tcPr>
          <w:p>
            <w:pPr>
              <w:widowControl/>
              <w:jc w:val="center"/>
              <w:rPr>
                <w:rFonts w:hint="eastAsia" w:ascii="宋体" w:hAnsi="宋体" w:cs="宋体"/>
                <w:color w:val="000000"/>
                <w:kern w:val="0"/>
                <w:szCs w:val="21"/>
              </w:rPr>
            </w:pPr>
          </w:p>
        </w:tc>
        <w:tc>
          <w:tcPr>
            <w:tcW w:w="12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用于LT30401、30402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0" w:type="pct"/>
            <w:noWrap/>
            <w:vAlign w:val="center"/>
          </w:tcPr>
          <w:p>
            <w:pPr>
              <w:widowControl/>
              <w:jc w:val="center"/>
              <w:rPr>
                <w:rFonts w:hint="eastAsia" w:ascii="宋体" w:hAnsi="宋体" w:cs="宋体"/>
                <w:color w:val="000000"/>
                <w:kern w:val="0"/>
                <w:szCs w:val="21"/>
              </w:rPr>
            </w:pPr>
          </w:p>
        </w:tc>
        <w:tc>
          <w:tcPr>
            <w:tcW w:w="346" w:type="pct"/>
            <w:noWrap/>
            <w:vAlign w:val="center"/>
          </w:tcPr>
          <w:p>
            <w:pPr>
              <w:widowControl/>
              <w:jc w:val="center"/>
              <w:rPr>
                <w:rFonts w:hint="eastAsia" w:ascii="宋体" w:hAnsi="宋体" w:cs="宋体"/>
                <w:color w:val="000000"/>
                <w:kern w:val="0"/>
                <w:szCs w:val="21"/>
              </w:rPr>
            </w:pPr>
          </w:p>
        </w:tc>
        <w:tc>
          <w:tcPr>
            <w:tcW w:w="661" w:type="pct"/>
            <w:noWrap/>
            <w:vAlign w:val="center"/>
          </w:tcPr>
          <w:p>
            <w:pPr>
              <w:widowControl/>
              <w:jc w:val="center"/>
              <w:rPr>
                <w:rFonts w:hint="eastAsia" w:ascii="宋体" w:hAnsi="宋体" w:cs="宋体"/>
                <w:color w:val="000000"/>
                <w:kern w:val="0"/>
                <w:szCs w:val="21"/>
              </w:rPr>
            </w:pPr>
          </w:p>
        </w:tc>
        <w:tc>
          <w:tcPr>
            <w:tcW w:w="2033"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微型断路器C65H-C/1P 32A *1</w:t>
            </w:r>
          </w:p>
        </w:tc>
        <w:tc>
          <w:tcPr>
            <w:tcW w:w="230" w:type="pct"/>
            <w:noWrap/>
            <w:vAlign w:val="center"/>
          </w:tcPr>
          <w:p>
            <w:pPr>
              <w:widowControl/>
              <w:jc w:val="center"/>
              <w:rPr>
                <w:rFonts w:hint="eastAsia" w:ascii="宋体" w:hAnsi="宋体" w:cs="宋体"/>
                <w:color w:val="000000"/>
                <w:kern w:val="0"/>
                <w:szCs w:val="21"/>
              </w:rPr>
            </w:pPr>
          </w:p>
        </w:tc>
        <w:tc>
          <w:tcPr>
            <w:tcW w:w="230" w:type="pct"/>
            <w:noWrap/>
            <w:vAlign w:val="center"/>
          </w:tcPr>
          <w:p>
            <w:pPr>
              <w:widowControl/>
              <w:jc w:val="center"/>
              <w:rPr>
                <w:rFonts w:hint="eastAsia" w:ascii="宋体" w:hAnsi="宋体" w:cs="宋体"/>
                <w:color w:val="000000"/>
                <w:kern w:val="0"/>
                <w:szCs w:val="21"/>
              </w:rPr>
            </w:pPr>
          </w:p>
        </w:tc>
        <w:tc>
          <w:tcPr>
            <w:tcW w:w="127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0" w:type="pct"/>
            <w:noWrap/>
            <w:vAlign w:val="center"/>
          </w:tcPr>
          <w:p>
            <w:pPr>
              <w:widowControl/>
              <w:jc w:val="center"/>
              <w:rPr>
                <w:rFonts w:hint="eastAsia" w:ascii="宋体" w:hAnsi="宋体" w:cs="宋体"/>
                <w:color w:val="000000"/>
                <w:kern w:val="0"/>
                <w:szCs w:val="21"/>
              </w:rPr>
            </w:pPr>
          </w:p>
        </w:tc>
        <w:tc>
          <w:tcPr>
            <w:tcW w:w="346" w:type="pct"/>
            <w:noWrap/>
            <w:vAlign w:val="center"/>
          </w:tcPr>
          <w:p>
            <w:pPr>
              <w:widowControl/>
              <w:jc w:val="center"/>
              <w:rPr>
                <w:rFonts w:hint="eastAsia" w:ascii="宋体" w:hAnsi="宋体" w:cs="宋体"/>
                <w:color w:val="000000"/>
                <w:kern w:val="0"/>
                <w:szCs w:val="21"/>
              </w:rPr>
            </w:pPr>
          </w:p>
        </w:tc>
        <w:tc>
          <w:tcPr>
            <w:tcW w:w="661" w:type="pct"/>
            <w:noWrap/>
            <w:vAlign w:val="center"/>
          </w:tcPr>
          <w:p>
            <w:pPr>
              <w:widowControl/>
              <w:jc w:val="center"/>
              <w:rPr>
                <w:rFonts w:hint="eastAsia" w:ascii="宋体" w:hAnsi="宋体" w:cs="宋体"/>
                <w:color w:val="000000"/>
                <w:kern w:val="0"/>
                <w:szCs w:val="21"/>
              </w:rPr>
            </w:pPr>
          </w:p>
        </w:tc>
        <w:tc>
          <w:tcPr>
            <w:tcW w:w="2033"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微型断路器C65H-C/1P 6A *5</w:t>
            </w:r>
          </w:p>
        </w:tc>
        <w:tc>
          <w:tcPr>
            <w:tcW w:w="230" w:type="pct"/>
            <w:noWrap/>
            <w:vAlign w:val="center"/>
          </w:tcPr>
          <w:p>
            <w:pPr>
              <w:widowControl/>
              <w:jc w:val="center"/>
              <w:rPr>
                <w:rFonts w:hint="eastAsia" w:ascii="宋体" w:hAnsi="宋体" w:cs="宋体"/>
                <w:color w:val="000000"/>
                <w:kern w:val="0"/>
                <w:szCs w:val="21"/>
              </w:rPr>
            </w:pPr>
          </w:p>
        </w:tc>
        <w:tc>
          <w:tcPr>
            <w:tcW w:w="230" w:type="pct"/>
            <w:noWrap/>
            <w:vAlign w:val="center"/>
          </w:tcPr>
          <w:p>
            <w:pPr>
              <w:widowControl/>
              <w:jc w:val="center"/>
              <w:rPr>
                <w:rFonts w:hint="eastAsia" w:ascii="宋体" w:hAnsi="宋体" w:cs="宋体"/>
                <w:color w:val="000000"/>
                <w:kern w:val="0"/>
                <w:szCs w:val="21"/>
              </w:rPr>
            </w:pPr>
          </w:p>
        </w:tc>
        <w:tc>
          <w:tcPr>
            <w:tcW w:w="127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0" w:type="pct"/>
            <w:noWrap/>
            <w:vAlign w:val="center"/>
          </w:tcPr>
          <w:p>
            <w:pPr>
              <w:widowControl/>
              <w:jc w:val="center"/>
              <w:rPr>
                <w:rFonts w:hint="eastAsia" w:ascii="宋体" w:hAnsi="宋体" w:cs="宋体"/>
                <w:color w:val="000000"/>
                <w:kern w:val="0"/>
                <w:szCs w:val="21"/>
              </w:rPr>
            </w:pPr>
          </w:p>
        </w:tc>
        <w:tc>
          <w:tcPr>
            <w:tcW w:w="346" w:type="pct"/>
            <w:noWrap/>
            <w:vAlign w:val="center"/>
          </w:tcPr>
          <w:p>
            <w:pPr>
              <w:widowControl/>
              <w:jc w:val="center"/>
              <w:rPr>
                <w:rFonts w:hint="eastAsia" w:ascii="宋体" w:hAnsi="宋体" w:cs="宋体"/>
                <w:color w:val="000000"/>
                <w:kern w:val="0"/>
                <w:szCs w:val="21"/>
              </w:rPr>
            </w:pPr>
          </w:p>
        </w:tc>
        <w:tc>
          <w:tcPr>
            <w:tcW w:w="661" w:type="pct"/>
            <w:noWrap/>
            <w:vAlign w:val="center"/>
          </w:tcPr>
          <w:p>
            <w:pPr>
              <w:widowControl/>
              <w:jc w:val="center"/>
              <w:rPr>
                <w:rFonts w:hint="eastAsia" w:ascii="宋体" w:hAnsi="宋体" w:cs="宋体"/>
                <w:color w:val="000000"/>
                <w:kern w:val="0"/>
                <w:szCs w:val="21"/>
              </w:rPr>
            </w:pPr>
          </w:p>
        </w:tc>
        <w:tc>
          <w:tcPr>
            <w:tcW w:w="2033"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微型断路器C65H-C/1P 4A *2</w:t>
            </w:r>
          </w:p>
        </w:tc>
        <w:tc>
          <w:tcPr>
            <w:tcW w:w="230" w:type="pct"/>
            <w:noWrap/>
            <w:vAlign w:val="center"/>
          </w:tcPr>
          <w:p>
            <w:pPr>
              <w:widowControl/>
              <w:jc w:val="center"/>
              <w:rPr>
                <w:rFonts w:hint="eastAsia" w:ascii="宋体" w:hAnsi="宋体" w:cs="宋体"/>
                <w:color w:val="000000"/>
                <w:kern w:val="0"/>
                <w:szCs w:val="21"/>
              </w:rPr>
            </w:pPr>
          </w:p>
        </w:tc>
        <w:tc>
          <w:tcPr>
            <w:tcW w:w="230" w:type="pct"/>
            <w:noWrap/>
            <w:vAlign w:val="center"/>
          </w:tcPr>
          <w:p>
            <w:pPr>
              <w:widowControl/>
              <w:jc w:val="center"/>
              <w:rPr>
                <w:rFonts w:hint="eastAsia" w:ascii="宋体" w:hAnsi="宋体" w:cs="宋体"/>
                <w:color w:val="000000"/>
                <w:kern w:val="0"/>
                <w:szCs w:val="21"/>
              </w:rPr>
            </w:pPr>
          </w:p>
        </w:tc>
        <w:tc>
          <w:tcPr>
            <w:tcW w:w="127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0" w:type="pct"/>
            <w:noWrap/>
            <w:vAlign w:val="center"/>
          </w:tcPr>
          <w:p>
            <w:pPr>
              <w:widowControl/>
              <w:jc w:val="center"/>
              <w:rPr>
                <w:rFonts w:hint="eastAsia" w:ascii="宋体" w:hAnsi="宋体" w:cs="宋体"/>
                <w:color w:val="000000"/>
                <w:kern w:val="0"/>
                <w:szCs w:val="21"/>
              </w:rPr>
            </w:pPr>
          </w:p>
        </w:tc>
        <w:tc>
          <w:tcPr>
            <w:tcW w:w="346" w:type="pct"/>
            <w:noWrap/>
            <w:vAlign w:val="center"/>
          </w:tcPr>
          <w:p>
            <w:pPr>
              <w:widowControl/>
              <w:jc w:val="center"/>
              <w:rPr>
                <w:rFonts w:hint="eastAsia" w:ascii="宋体" w:hAnsi="宋体" w:cs="宋体"/>
                <w:color w:val="000000"/>
                <w:kern w:val="0"/>
                <w:szCs w:val="21"/>
              </w:rPr>
            </w:pPr>
          </w:p>
        </w:tc>
        <w:tc>
          <w:tcPr>
            <w:tcW w:w="661" w:type="pct"/>
            <w:noWrap/>
            <w:vAlign w:val="center"/>
          </w:tcPr>
          <w:p>
            <w:pPr>
              <w:widowControl/>
              <w:jc w:val="center"/>
              <w:rPr>
                <w:rFonts w:hint="eastAsia" w:ascii="宋体" w:hAnsi="宋体" w:cs="宋体"/>
                <w:color w:val="000000"/>
                <w:kern w:val="0"/>
                <w:szCs w:val="21"/>
              </w:rPr>
            </w:pPr>
          </w:p>
        </w:tc>
        <w:tc>
          <w:tcPr>
            <w:tcW w:w="2033"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微型断路器C65H-C/1P 2A *7</w:t>
            </w:r>
          </w:p>
        </w:tc>
        <w:tc>
          <w:tcPr>
            <w:tcW w:w="230" w:type="pct"/>
            <w:noWrap/>
            <w:vAlign w:val="center"/>
          </w:tcPr>
          <w:p>
            <w:pPr>
              <w:widowControl/>
              <w:jc w:val="center"/>
              <w:rPr>
                <w:rFonts w:hint="eastAsia" w:ascii="宋体" w:hAnsi="宋体" w:cs="宋体"/>
                <w:color w:val="000000"/>
                <w:kern w:val="0"/>
                <w:szCs w:val="21"/>
              </w:rPr>
            </w:pPr>
          </w:p>
        </w:tc>
        <w:tc>
          <w:tcPr>
            <w:tcW w:w="230" w:type="pct"/>
            <w:noWrap/>
            <w:vAlign w:val="center"/>
          </w:tcPr>
          <w:p>
            <w:pPr>
              <w:widowControl/>
              <w:jc w:val="center"/>
              <w:rPr>
                <w:rFonts w:hint="eastAsia" w:ascii="宋体" w:hAnsi="宋体" w:cs="宋体"/>
                <w:color w:val="000000"/>
                <w:kern w:val="0"/>
                <w:szCs w:val="21"/>
              </w:rPr>
            </w:pPr>
          </w:p>
        </w:tc>
        <w:tc>
          <w:tcPr>
            <w:tcW w:w="127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0" w:type="pct"/>
            <w:noWrap/>
            <w:vAlign w:val="center"/>
          </w:tcPr>
          <w:p>
            <w:pPr>
              <w:widowControl/>
              <w:jc w:val="center"/>
              <w:rPr>
                <w:rFonts w:hint="eastAsia" w:ascii="宋体" w:hAnsi="宋体" w:cs="宋体"/>
                <w:color w:val="000000"/>
                <w:kern w:val="0"/>
                <w:szCs w:val="21"/>
              </w:rPr>
            </w:pPr>
          </w:p>
        </w:tc>
        <w:tc>
          <w:tcPr>
            <w:tcW w:w="346" w:type="pct"/>
            <w:noWrap/>
            <w:vAlign w:val="center"/>
          </w:tcPr>
          <w:p>
            <w:pPr>
              <w:widowControl/>
              <w:jc w:val="center"/>
              <w:rPr>
                <w:rFonts w:hint="eastAsia" w:ascii="宋体" w:hAnsi="宋体" w:cs="宋体"/>
                <w:color w:val="000000"/>
                <w:kern w:val="0"/>
                <w:szCs w:val="21"/>
              </w:rPr>
            </w:pPr>
          </w:p>
        </w:tc>
        <w:tc>
          <w:tcPr>
            <w:tcW w:w="661" w:type="pct"/>
            <w:noWrap/>
            <w:vAlign w:val="center"/>
          </w:tcPr>
          <w:p>
            <w:pPr>
              <w:widowControl/>
              <w:jc w:val="center"/>
              <w:rPr>
                <w:rFonts w:hint="eastAsia" w:ascii="宋体" w:hAnsi="宋体" w:cs="宋体"/>
                <w:color w:val="000000"/>
                <w:kern w:val="0"/>
                <w:szCs w:val="21"/>
              </w:rPr>
            </w:pPr>
          </w:p>
        </w:tc>
        <w:tc>
          <w:tcPr>
            <w:tcW w:w="2033"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柜内包括端子排、理线槽、散热风扇、灯等所有柜内附件</w:t>
            </w:r>
          </w:p>
        </w:tc>
        <w:tc>
          <w:tcPr>
            <w:tcW w:w="230" w:type="pct"/>
            <w:noWrap/>
            <w:vAlign w:val="center"/>
          </w:tcPr>
          <w:p>
            <w:pPr>
              <w:widowControl/>
              <w:jc w:val="center"/>
              <w:rPr>
                <w:rFonts w:hint="eastAsia" w:ascii="宋体" w:hAnsi="宋体" w:cs="宋体"/>
                <w:color w:val="000000"/>
                <w:kern w:val="0"/>
                <w:szCs w:val="21"/>
              </w:rPr>
            </w:pPr>
          </w:p>
        </w:tc>
        <w:tc>
          <w:tcPr>
            <w:tcW w:w="230" w:type="pct"/>
            <w:noWrap/>
            <w:vAlign w:val="center"/>
          </w:tcPr>
          <w:p>
            <w:pPr>
              <w:widowControl/>
              <w:jc w:val="center"/>
              <w:rPr>
                <w:rFonts w:hint="eastAsia" w:ascii="宋体" w:hAnsi="宋体" w:cs="宋体"/>
                <w:color w:val="000000"/>
                <w:kern w:val="0"/>
                <w:szCs w:val="21"/>
              </w:rPr>
            </w:pPr>
          </w:p>
        </w:tc>
        <w:tc>
          <w:tcPr>
            <w:tcW w:w="1271" w:type="pct"/>
            <w:noWrap/>
            <w:vAlign w:val="center"/>
          </w:tcPr>
          <w:p>
            <w:pPr>
              <w:widowControl/>
              <w:jc w:val="center"/>
              <w:rPr>
                <w:rFonts w:hint="eastAsia" w:ascii="宋体" w:hAnsi="宋体" w:cs="宋体"/>
                <w:color w:val="000000"/>
                <w:kern w:val="0"/>
                <w:szCs w:val="21"/>
              </w:rPr>
            </w:pPr>
          </w:p>
        </w:tc>
      </w:tr>
    </w:tbl>
    <w:p>
      <w:pPr>
        <w:rPr>
          <w:rFonts w:hint="eastAsia" w:ascii="宋体" w:hAnsi="宋体" w:cs="宋体"/>
          <w:color w:val="000000"/>
          <w:szCs w:val="21"/>
        </w:rPr>
      </w:pPr>
      <w:r>
        <w:rPr>
          <w:rFonts w:hint="eastAsia" w:ascii="宋体" w:hAnsi="宋体" w:cs="宋体"/>
          <w:color w:val="000000"/>
          <w:szCs w:val="21"/>
        </w:rPr>
        <w:t>（三）泵房信号一览表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1397"/>
        <w:gridCol w:w="1545"/>
        <w:gridCol w:w="770"/>
        <w:gridCol w:w="1545"/>
        <w:gridCol w:w="364"/>
        <w:gridCol w:w="364"/>
        <w:gridCol w:w="364"/>
        <w:gridCol w:w="364"/>
        <w:gridCol w:w="364"/>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序号</w:t>
            </w:r>
          </w:p>
        </w:tc>
        <w:tc>
          <w:tcPr>
            <w:tcW w:w="70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设备位号</w:t>
            </w:r>
          </w:p>
        </w:tc>
        <w:tc>
          <w:tcPr>
            <w:tcW w:w="7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设备描述</w:t>
            </w:r>
          </w:p>
        </w:tc>
        <w:tc>
          <w:tcPr>
            <w:tcW w:w="39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PLC站点</w:t>
            </w: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信号名称</w:t>
            </w:r>
          </w:p>
        </w:tc>
        <w:tc>
          <w:tcPr>
            <w:tcW w:w="17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AI</w:t>
            </w:r>
          </w:p>
        </w:tc>
        <w:tc>
          <w:tcPr>
            <w:tcW w:w="21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AO</w:t>
            </w:r>
          </w:p>
        </w:tc>
        <w:tc>
          <w:tcPr>
            <w:tcW w:w="182"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DI</w:t>
            </w:r>
          </w:p>
        </w:tc>
        <w:tc>
          <w:tcPr>
            <w:tcW w:w="21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DO</w:t>
            </w:r>
          </w:p>
        </w:tc>
        <w:tc>
          <w:tcPr>
            <w:tcW w:w="21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MB</w:t>
            </w:r>
          </w:p>
        </w:tc>
        <w:tc>
          <w:tcPr>
            <w:tcW w:w="105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70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FT0001</w:t>
            </w:r>
          </w:p>
        </w:tc>
        <w:tc>
          <w:tcPr>
            <w:tcW w:w="7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泵房出水流量仪</w:t>
            </w:r>
          </w:p>
        </w:tc>
        <w:tc>
          <w:tcPr>
            <w:tcW w:w="39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检测值</w:t>
            </w:r>
          </w:p>
        </w:tc>
        <w:tc>
          <w:tcPr>
            <w:tcW w:w="17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p>
        </w:tc>
        <w:tc>
          <w:tcPr>
            <w:tcW w:w="219" w:type="pct"/>
            <w:noWrap/>
            <w:vAlign w:val="center"/>
          </w:tcPr>
          <w:p>
            <w:pPr>
              <w:widowControl/>
              <w:jc w:val="center"/>
              <w:rPr>
                <w:rFonts w:hint="eastAsia" w:ascii="宋体" w:hAnsi="宋体" w:cs="宋体"/>
                <w:color w:val="000000"/>
                <w:kern w:val="0"/>
                <w:szCs w:val="21"/>
              </w:rPr>
            </w:pP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四线制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707" w:type="pct"/>
            <w:noWrap/>
            <w:vAlign w:val="center"/>
          </w:tcPr>
          <w:p>
            <w:pPr>
              <w:widowControl/>
              <w:jc w:val="center"/>
              <w:rPr>
                <w:rFonts w:hint="eastAsia" w:ascii="宋体" w:hAnsi="宋体" w:cs="宋体"/>
                <w:color w:val="000000"/>
                <w:kern w:val="0"/>
                <w:szCs w:val="21"/>
              </w:rPr>
            </w:pPr>
          </w:p>
        </w:tc>
        <w:tc>
          <w:tcPr>
            <w:tcW w:w="776" w:type="pct"/>
            <w:noWrap/>
            <w:vAlign w:val="center"/>
          </w:tcPr>
          <w:p>
            <w:pPr>
              <w:widowControl/>
              <w:jc w:val="center"/>
              <w:rPr>
                <w:rFonts w:hint="eastAsia" w:ascii="宋体" w:hAnsi="宋体" w:cs="宋体"/>
                <w:color w:val="000000"/>
                <w:kern w:val="0"/>
                <w:szCs w:val="21"/>
              </w:rPr>
            </w:pPr>
          </w:p>
        </w:tc>
        <w:tc>
          <w:tcPr>
            <w:tcW w:w="399" w:type="pct"/>
            <w:noWrap/>
            <w:vAlign w:val="center"/>
          </w:tcPr>
          <w:p>
            <w:pPr>
              <w:widowControl/>
              <w:jc w:val="center"/>
              <w:rPr>
                <w:rFonts w:hint="eastAsia" w:ascii="宋体" w:hAnsi="宋体" w:cs="宋体"/>
                <w:color w:val="000000"/>
                <w:kern w:val="0"/>
                <w:szCs w:val="21"/>
              </w:rPr>
            </w:pP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累计量</w:t>
            </w:r>
          </w:p>
        </w:tc>
        <w:tc>
          <w:tcPr>
            <w:tcW w:w="178" w:type="pct"/>
            <w:noWrap/>
            <w:vAlign w:val="center"/>
          </w:tcPr>
          <w:p>
            <w:pPr>
              <w:widowControl/>
              <w:jc w:val="center"/>
              <w:rPr>
                <w:rFonts w:hint="eastAsia" w:ascii="宋体" w:hAnsi="宋体" w:cs="宋体"/>
                <w:color w:val="000000"/>
                <w:kern w:val="0"/>
                <w:szCs w:val="21"/>
              </w:rPr>
            </w:pP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p>
        </w:tc>
        <w:tc>
          <w:tcPr>
            <w:tcW w:w="219" w:type="pct"/>
            <w:noWrap/>
            <w:vAlign w:val="center"/>
          </w:tcPr>
          <w:p>
            <w:pPr>
              <w:widowControl/>
              <w:jc w:val="center"/>
              <w:rPr>
                <w:rFonts w:hint="eastAsia" w:ascii="宋体" w:hAnsi="宋体" w:cs="宋体"/>
                <w:color w:val="000000"/>
                <w:kern w:val="0"/>
                <w:szCs w:val="21"/>
              </w:rPr>
            </w:pP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0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TuT0001</w:t>
            </w:r>
          </w:p>
        </w:tc>
        <w:tc>
          <w:tcPr>
            <w:tcW w:w="7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进水浊度仪</w:t>
            </w:r>
          </w:p>
        </w:tc>
        <w:tc>
          <w:tcPr>
            <w:tcW w:w="39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检测值</w:t>
            </w:r>
          </w:p>
        </w:tc>
        <w:tc>
          <w:tcPr>
            <w:tcW w:w="17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p>
        </w:tc>
        <w:tc>
          <w:tcPr>
            <w:tcW w:w="219" w:type="pct"/>
            <w:noWrap/>
            <w:vAlign w:val="center"/>
          </w:tcPr>
          <w:p>
            <w:pPr>
              <w:widowControl/>
              <w:jc w:val="center"/>
              <w:rPr>
                <w:rFonts w:hint="eastAsia" w:ascii="宋体" w:hAnsi="宋体" w:cs="宋体"/>
                <w:color w:val="000000"/>
                <w:kern w:val="0"/>
                <w:szCs w:val="21"/>
              </w:rPr>
            </w:pP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四线制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70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CT0001</w:t>
            </w:r>
          </w:p>
        </w:tc>
        <w:tc>
          <w:tcPr>
            <w:tcW w:w="7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进水电导仪</w:t>
            </w:r>
          </w:p>
        </w:tc>
        <w:tc>
          <w:tcPr>
            <w:tcW w:w="39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检测值</w:t>
            </w:r>
          </w:p>
        </w:tc>
        <w:tc>
          <w:tcPr>
            <w:tcW w:w="17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p>
        </w:tc>
        <w:tc>
          <w:tcPr>
            <w:tcW w:w="219" w:type="pct"/>
            <w:noWrap/>
            <w:vAlign w:val="center"/>
          </w:tcPr>
          <w:p>
            <w:pPr>
              <w:widowControl/>
              <w:jc w:val="center"/>
              <w:rPr>
                <w:rFonts w:hint="eastAsia" w:ascii="宋体" w:hAnsi="宋体" w:cs="宋体"/>
                <w:color w:val="000000"/>
                <w:kern w:val="0"/>
                <w:szCs w:val="21"/>
              </w:rPr>
            </w:pP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四线制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70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AT0001</w:t>
            </w:r>
          </w:p>
        </w:tc>
        <w:tc>
          <w:tcPr>
            <w:tcW w:w="7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进水PH/T仪</w:t>
            </w:r>
          </w:p>
        </w:tc>
        <w:tc>
          <w:tcPr>
            <w:tcW w:w="39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检测值</w:t>
            </w:r>
          </w:p>
        </w:tc>
        <w:tc>
          <w:tcPr>
            <w:tcW w:w="17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p>
        </w:tc>
        <w:tc>
          <w:tcPr>
            <w:tcW w:w="219" w:type="pct"/>
            <w:noWrap/>
            <w:vAlign w:val="center"/>
          </w:tcPr>
          <w:p>
            <w:pPr>
              <w:widowControl/>
              <w:jc w:val="center"/>
              <w:rPr>
                <w:rFonts w:hint="eastAsia" w:ascii="宋体" w:hAnsi="宋体" w:cs="宋体"/>
                <w:color w:val="000000"/>
                <w:kern w:val="0"/>
                <w:szCs w:val="21"/>
              </w:rPr>
            </w:pP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四线制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70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AT0002</w:t>
            </w:r>
          </w:p>
        </w:tc>
        <w:tc>
          <w:tcPr>
            <w:tcW w:w="7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进水溶解氧仪</w:t>
            </w:r>
          </w:p>
        </w:tc>
        <w:tc>
          <w:tcPr>
            <w:tcW w:w="39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检测值</w:t>
            </w:r>
          </w:p>
        </w:tc>
        <w:tc>
          <w:tcPr>
            <w:tcW w:w="17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p>
        </w:tc>
        <w:tc>
          <w:tcPr>
            <w:tcW w:w="219" w:type="pct"/>
            <w:noWrap/>
            <w:vAlign w:val="center"/>
          </w:tcPr>
          <w:p>
            <w:pPr>
              <w:widowControl/>
              <w:jc w:val="center"/>
              <w:rPr>
                <w:rFonts w:hint="eastAsia" w:ascii="宋体" w:hAnsi="宋体" w:cs="宋体"/>
                <w:color w:val="000000"/>
                <w:kern w:val="0"/>
                <w:szCs w:val="21"/>
              </w:rPr>
            </w:pP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四线制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w:t>
            </w:r>
          </w:p>
        </w:tc>
        <w:tc>
          <w:tcPr>
            <w:tcW w:w="70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AT0003</w:t>
            </w:r>
          </w:p>
        </w:tc>
        <w:tc>
          <w:tcPr>
            <w:tcW w:w="7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进水氨氮仪</w:t>
            </w:r>
          </w:p>
        </w:tc>
        <w:tc>
          <w:tcPr>
            <w:tcW w:w="39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检测值</w:t>
            </w:r>
          </w:p>
        </w:tc>
        <w:tc>
          <w:tcPr>
            <w:tcW w:w="17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p>
        </w:tc>
        <w:tc>
          <w:tcPr>
            <w:tcW w:w="219" w:type="pct"/>
            <w:noWrap/>
            <w:vAlign w:val="center"/>
          </w:tcPr>
          <w:p>
            <w:pPr>
              <w:widowControl/>
              <w:jc w:val="center"/>
              <w:rPr>
                <w:rFonts w:hint="eastAsia" w:ascii="宋体" w:hAnsi="宋体" w:cs="宋体"/>
                <w:color w:val="000000"/>
                <w:kern w:val="0"/>
                <w:szCs w:val="21"/>
              </w:rPr>
            </w:pP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四线制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w:t>
            </w:r>
          </w:p>
        </w:tc>
        <w:tc>
          <w:tcPr>
            <w:tcW w:w="70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LT0001</w:t>
            </w:r>
          </w:p>
        </w:tc>
        <w:tc>
          <w:tcPr>
            <w:tcW w:w="7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吸水井液位变送器</w:t>
            </w:r>
          </w:p>
        </w:tc>
        <w:tc>
          <w:tcPr>
            <w:tcW w:w="39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检测值</w:t>
            </w:r>
          </w:p>
        </w:tc>
        <w:tc>
          <w:tcPr>
            <w:tcW w:w="17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p>
        </w:tc>
        <w:tc>
          <w:tcPr>
            <w:tcW w:w="219" w:type="pct"/>
            <w:noWrap/>
            <w:vAlign w:val="center"/>
          </w:tcPr>
          <w:p>
            <w:pPr>
              <w:widowControl/>
              <w:jc w:val="center"/>
              <w:rPr>
                <w:rFonts w:hint="eastAsia" w:ascii="宋体" w:hAnsi="宋体" w:cs="宋体"/>
                <w:color w:val="000000"/>
                <w:kern w:val="0"/>
                <w:szCs w:val="21"/>
              </w:rPr>
            </w:pP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二线制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9</w:t>
            </w:r>
          </w:p>
        </w:tc>
        <w:tc>
          <w:tcPr>
            <w:tcW w:w="70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PT0001</w:t>
            </w:r>
          </w:p>
        </w:tc>
        <w:tc>
          <w:tcPr>
            <w:tcW w:w="7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泵房出水压力变送器</w:t>
            </w:r>
          </w:p>
        </w:tc>
        <w:tc>
          <w:tcPr>
            <w:tcW w:w="39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检测值</w:t>
            </w:r>
          </w:p>
        </w:tc>
        <w:tc>
          <w:tcPr>
            <w:tcW w:w="17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p>
        </w:tc>
        <w:tc>
          <w:tcPr>
            <w:tcW w:w="219" w:type="pct"/>
            <w:noWrap/>
            <w:vAlign w:val="center"/>
          </w:tcPr>
          <w:p>
            <w:pPr>
              <w:widowControl/>
              <w:jc w:val="center"/>
              <w:rPr>
                <w:rFonts w:hint="eastAsia" w:ascii="宋体" w:hAnsi="宋体" w:cs="宋体"/>
                <w:color w:val="000000"/>
                <w:kern w:val="0"/>
                <w:szCs w:val="21"/>
              </w:rPr>
            </w:pP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二线制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70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PT0101~PT0106</w:t>
            </w:r>
          </w:p>
        </w:tc>
        <w:tc>
          <w:tcPr>
            <w:tcW w:w="7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水泵出口压力变送器</w:t>
            </w:r>
          </w:p>
        </w:tc>
        <w:tc>
          <w:tcPr>
            <w:tcW w:w="39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检测值</w:t>
            </w:r>
          </w:p>
        </w:tc>
        <w:tc>
          <w:tcPr>
            <w:tcW w:w="17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p>
        </w:tc>
        <w:tc>
          <w:tcPr>
            <w:tcW w:w="219" w:type="pct"/>
            <w:noWrap/>
            <w:vAlign w:val="center"/>
          </w:tcPr>
          <w:p>
            <w:pPr>
              <w:widowControl/>
              <w:jc w:val="center"/>
              <w:rPr>
                <w:rFonts w:hint="eastAsia" w:ascii="宋体" w:hAnsi="宋体" w:cs="宋体"/>
                <w:color w:val="000000"/>
                <w:kern w:val="0"/>
                <w:szCs w:val="21"/>
              </w:rPr>
            </w:pP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二线制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11</w:t>
            </w:r>
          </w:p>
        </w:tc>
        <w:tc>
          <w:tcPr>
            <w:tcW w:w="70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B0101/MV0101</w:t>
            </w:r>
          </w:p>
        </w:tc>
        <w:tc>
          <w:tcPr>
            <w:tcW w:w="7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定速水泵机组</w:t>
            </w:r>
          </w:p>
        </w:tc>
        <w:tc>
          <w:tcPr>
            <w:tcW w:w="39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遥控信号</w:t>
            </w:r>
          </w:p>
        </w:tc>
        <w:tc>
          <w:tcPr>
            <w:tcW w:w="178" w:type="pct"/>
            <w:noWrap/>
            <w:vAlign w:val="center"/>
          </w:tcPr>
          <w:p>
            <w:pPr>
              <w:widowControl/>
              <w:jc w:val="center"/>
              <w:rPr>
                <w:rFonts w:hint="eastAsia" w:ascii="宋体" w:hAnsi="宋体" w:cs="宋体"/>
                <w:color w:val="000000"/>
                <w:kern w:val="0"/>
                <w:szCs w:val="21"/>
              </w:rPr>
            </w:pP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19" w:type="pct"/>
            <w:noWrap/>
            <w:vAlign w:val="center"/>
          </w:tcPr>
          <w:p>
            <w:pPr>
              <w:widowControl/>
              <w:jc w:val="center"/>
              <w:rPr>
                <w:rFonts w:hint="eastAsia" w:ascii="宋体" w:hAnsi="宋体" w:cs="宋体"/>
                <w:color w:val="000000"/>
                <w:kern w:val="0"/>
                <w:szCs w:val="21"/>
              </w:rPr>
            </w:pP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引自机旁控制箱 1JC~3JC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w:t>
            </w:r>
          </w:p>
        </w:tc>
        <w:tc>
          <w:tcPr>
            <w:tcW w:w="70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B0102/MV0102</w:t>
            </w:r>
          </w:p>
        </w:tc>
        <w:tc>
          <w:tcPr>
            <w:tcW w:w="776" w:type="pct"/>
            <w:noWrap/>
            <w:vAlign w:val="center"/>
          </w:tcPr>
          <w:p>
            <w:pPr>
              <w:widowControl/>
              <w:jc w:val="center"/>
              <w:rPr>
                <w:rFonts w:hint="eastAsia" w:ascii="宋体" w:hAnsi="宋体" w:cs="宋体"/>
                <w:color w:val="000000"/>
                <w:kern w:val="0"/>
                <w:szCs w:val="21"/>
              </w:rPr>
            </w:pPr>
          </w:p>
        </w:tc>
        <w:tc>
          <w:tcPr>
            <w:tcW w:w="399" w:type="pct"/>
            <w:noWrap/>
            <w:vAlign w:val="center"/>
          </w:tcPr>
          <w:p>
            <w:pPr>
              <w:widowControl/>
              <w:jc w:val="center"/>
              <w:rPr>
                <w:rFonts w:hint="eastAsia" w:ascii="宋体" w:hAnsi="宋体" w:cs="宋体"/>
                <w:color w:val="000000"/>
                <w:kern w:val="0"/>
                <w:szCs w:val="21"/>
              </w:rPr>
            </w:pP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阀门开足</w:t>
            </w:r>
          </w:p>
        </w:tc>
        <w:tc>
          <w:tcPr>
            <w:tcW w:w="178" w:type="pct"/>
            <w:noWrap/>
            <w:vAlign w:val="center"/>
          </w:tcPr>
          <w:p>
            <w:pPr>
              <w:widowControl/>
              <w:jc w:val="center"/>
              <w:rPr>
                <w:rFonts w:hint="eastAsia" w:ascii="宋体" w:hAnsi="宋体" w:cs="宋体"/>
                <w:color w:val="000000"/>
                <w:kern w:val="0"/>
                <w:szCs w:val="21"/>
              </w:rPr>
            </w:pP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19" w:type="pct"/>
            <w:noWrap/>
            <w:vAlign w:val="center"/>
          </w:tcPr>
          <w:p>
            <w:pPr>
              <w:widowControl/>
              <w:jc w:val="center"/>
              <w:rPr>
                <w:rFonts w:hint="eastAsia" w:ascii="宋体" w:hAnsi="宋体" w:cs="宋体"/>
                <w:color w:val="000000"/>
                <w:kern w:val="0"/>
                <w:szCs w:val="21"/>
              </w:rPr>
            </w:pP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13</w:t>
            </w:r>
          </w:p>
        </w:tc>
        <w:tc>
          <w:tcPr>
            <w:tcW w:w="70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B0103/MV0103</w:t>
            </w:r>
          </w:p>
        </w:tc>
        <w:tc>
          <w:tcPr>
            <w:tcW w:w="776" w:type="pct"/>
            <w:noWrap/>
            <w:vAlign w:val="center"/>
          </w:tcPr>
          <w:p>
            <w:pPr>
              <w:widowControl/>
              <w:jc w:val="center"/>
              <w:rPr>
                <w:rFonts w:hint="eastAsia" w:ascii="宋体" w:hAnsi="宋体" w:cs="宋体"/>
                <w:color w:val="000000"/>
                <w:kern w:val="0"/>
                <w:szCs w:val="21"/>
              </w:rPr>
            </w:pPr>
          </w:p>
        </w:tc>
        <w:tc>
          <w:tcPr>
            <w:tcW w:w="399" w:type="pct"/>
            <w:noWrap/>
            <w:vAlign w:val="center"/>
          </w:tcPr>
          <w:p>
            <w:pPr>
              <w:widowControl/>
              <w:jc w:val="center"/>
              <w:rPr>
                <w:rFonts w:hint="eastAsia" w:ascii="宋体" w:hAnsi="宋体" w:cs="宋体"/>
                <w:color w:val="000000"/>
                <w:kern w:val="0"/>
                <w:szCs w:val="21"/>
              </w:rPr>
            </w:pP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阀门关足</w:t>
            </w:r>
          </w:p>
        </w:tc>
        <w:tc>
          <w:tcPr>
            <w:tcW w:w="178" w:type="pct"/>
            <w:noWrap/>
            <w:vAlign w:val="center"/>
          </w:tcPr>
          <w:p>
            <w:pPr>
              <w:widowControl/>
              <w:jc w:val="center"/>
              <w:rPr>
                <w:rFonts w:hint="eastAsia" w:ascii="宋体" w:hAnsi="宋体" w:cs="宋体"/>
                <w:color w:val="000000"/>
                <w:kern w:val="0"/>
                <w:szCs w:val="21"/>
              </w:rPr>
            </w:pP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19" w:type="pct"/>
            <w:noWrap/>
            <w:vAlign w:val="center"/>
          </w:tcPr>
          <w:p>
            <w:pPr>
              <w:widowControl/>
              <w:jc w:val="center"/>
              <w:rPr>
                <w:rFonts w:hint="eastAsia" w:ascii="宋体" w:hAnsi="宋体" w:cs="宋体"/>
                <w:color w:val="000000"/>
                <w:kern w:val="0"/>
                <w:szCs w:val="21"/>
              </w:rPr>
            </w:pP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14</w:t>
            </w:r>
          </w:p>
        </w:tc>
        <w:tc>
          <w:tcPr>
            <w:tcW w:w="707" w:type="pct"/>
            <w:noWrap/>
            <w:vAlign w:val="center"/>
          </w:tcPr>
          <w:p>
            <w:pPr>
              <w:widowControl/>
              <w:jc w:val="center"/>
              <w:rPr>
                <w:rFonts w:hint="eastAsia" w:ascii="宋体" w:hAnsi="宋体" w:cs="宋体"/>
                <w:color w:val="000000"/>
                <w:kern w:val="0"/>
                <w:szCs w:val="21"/>
              </w:rPr>
            </w:pPr>
          </w:p>
        </w:tc>
        <w:tc>
          <w:tcPr>
            <w:tcW w:w="776" w:type="pct"/>
            <w:noWrap/>
            <w:vAlign w:val="center"/>
          </w:tcPr>
          <w:p>
            <w:pPr>
              <w:widowControl/>
              <w:jc w:val="center"/>
              <w:rPr>
                <w:rFonts w:hint="eastAsia" w:ascii="宋体" w:hAnsi="宋体" w:cs="宋体"/>
                <w:color w:val="000000"/>
                <w:kern w:val="0"/>
                <w:szCs w:val="21"/>
              </w:rPr>
            </w:pPr>
          </w:p>
        </w:tc>
        <w:tc>
          <w:tcPr>
            <w:tcW w:w="399" w:type="pct"/>
            <w:noWrap/>
            <w:vAlign w:val="center"/>
          </w:tcPr>
          <w:p>
            <w:pPr>
              <w:widowControl/>
              <w:jc w:val="center"/>
              <w:rPr>
                <w:rFonts w:hint="eastAsia" w:ascii="宋体" w:hAnsi="宋体" w:cs="宋体"/>
                <w:color w:val="000000"/>
                <w:kern w:val="0"/>
                <w:szCs w:val="21"/>
              </w:rPr>
            </w:pP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阀门过载</w:t>
            </w:r>
          </w:p>
        </w:tc>
        <w:tc>
          <w:tcPr>
            <w:tcW w:w="178" w:type="pct"/>
            <w:noWrap/>
            <w:vAlign w:val="center"/>
          </w:tcPr>
          <w:p>
            <w:pPr>
              <w:widowControl/>
              <w:jc w:val="center"/>
              <w:rPr>
                <w:rFonts w:hint="eastAsia" w:ascii="宋体" w:hAnsi="宋体" w:cs="宋体"/>
                <w:color w:val="000000"/>
                <w:kern w:val="0"/>
                <w:szCs w:val="21"/>
              </w:rPr>
            </w:pP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19" w:type="pct"/>
            <w:noWrap/>
            <w:vAlign w:val="center"/>
          </w:tcPr>
          <w:p>
            <w:pPr>
              <w:widowControl/>
              <w:jc w:val="center"/>
              <w:rPr>
                <w:rFonts w:hint="eastAsia" w:ascii="宋体" w:hAnsi="宋体" w:cs="宋体"/>
                <w:color w:val="000000"/>
                <w:kern w:val="0"/>
                <w:szCs w:val="21"/>
              </w:rPr>
            </w:pP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15</w:t>
            </w:r>
          </w:p>
        </w:tc>
        <w:tc>
          <w:tcPr>
            <w:tcW w:w="707" w:type="pct"/>
            <w:noWrap/>
            <w:vAlign w:val="center"/>
          </w:tcPr>
          <w:p>
            <w:pPr>
              <w:widowControl/>
              <w:jc w:val="center"/>
              <w:rPr>
                <w:rFonts w:hint="eastAsia" w:ascii="宋体" w:hAnsi="宋体" w:cs="宋体"/>
                <w:color w:val="000000"/>
                <w:kern w:val="0"/>
                <w:szCs w:val="21"/>
              </w:rPr>
            </w:pPr>
          </w:p>
        </w:tc>
        <w:tc>
          <w:tcPr>
            <w:tcW w:w="776" w:type="pct"/>
            <w:noWrap/>
            <w:vAlign w:val="center"/>
          </w:tcPr>
          <w:p>
            <w:pPr>
              <w:widowControl/>
              <w:jc w:val="center"/>
              <w:rPr>
                <w:rFonts w:hint="eastAsia" w:ascii="宋体" w:hAnsi="宋体" w:cs="宋体"/>
                <w:color w:val="000000"/>
                <w:kern w:val="0"/>
                <w:szCs w:val="21"/>
              </w:rPr>
            </w:pPr>
          </w:p>
        </w:tc>
        <w:tc>
          <w:tcPr>
            <w:tcW w:w="399" w:type="pct"/>
            <w:noWrap/>
            <w:vAlign w:val="center"/>
          </w:tcPr>
          <w:p>
            <w:pPr>
              <w:widowControl/>
              <w:jc w:val="center"/>
              <w:rPr>
                <w:rFonts w:hint="eastAsia" w:ascii="宋体" w:hAnsi="宋体" w:cs="宋体"/>
                <w:color w:val="000000"/>
                <w:kern w:val="0"/>
                <w:szCs w:val="21"/>
              </w:rPr>
            </w:pP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PLC开阀</w:t>
            </w:r>
          </w:p>
        </w:tc>
        <w:tc>
          <w:tcPr>
            <w:tcW w:w="178" w:type="pct"/>
            <w:noWrap/>
            <w:vAlign w:val="center"/>
          </w:tcPr>
          <w:p>
            <w:pPr>
              <w:widowControl/>
              <w:jc w:val="center"/>
              <w:rPr>
                <w:rFonts w:hint="eastAsia" w:ascii="宋体" w:hAnsi="宋体" w:cs="宋体"/>
                <w:color w:val="000000"/>
                <w:kern w:val="0"/>
                <w:szCs w:val="21"/>
              </w:rPr>
            </w:pP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p>
        </w:tc>
        <w:tc>
          <w:tcPr>
            <w:tcW w:w="21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16</w:t>
            </w:r>
          </w:p>
        </w:tc>
        <w:tc>
          <w:tcPr>
            <w:tcW w:w="707" w:type="pct"/>
            <w:noWrap/>
            <w:vAlign w:val="center"/>
          </w:tcPr>
          <w:p>
            <w:pPr>
              <w:widowControl/>
              <w:jc w:val="center"/>
              <w:rPr>
                <w:rFonts w:hint="eastAsia" w:ascii="宋体" w:hAnsi="宋体" w:cs="宋体"/>
                <w:color w:val="000000"/>
                <w:kern w:val="0"/>
                <w:szCs w:val="21"/>
              </w:rPr>
            </w:pPr>
          </w:p>
        </w:tc>
        <w:tc>
          <w:tcPr>
            <w:tcW w:w="776" w:type="pct"/>
            <w:noWrap/>
            <w:vAlign w:val="center"/>
          </w:tcPr>
          <w:p>
            <w:pPr>
              <w:widowControl/>
              <w:jc w:val="center"/>
              <w:rPr>
                <w:rFonts w:hint="eastAsia" w:ascii="宋体" w:hAnsi="宋体" w:cs="宋体"/>
                <w:color w:val="000000"/>
                <w:kern w:val="0"/>
                <w:szCs w:val="21"/>
              </w:rPr>
            </w:pPr>
          </w:p>
        </w:tc>
        <w:tc>
          <w:tcPr>
            <w:tcW w:w="399" w:type="pct"/>
            <w:noWrap/>
            <w:vAlign w:val="center"/>
          </w:tcPr>
          <w:p>
            <w:pPr>
              <w:widowControl/>
              <w:jc w:val="center"/>
              <w:rPr>
                <w:rFonts w:hint="eastAsia" w:ascii="宋体" w:hAnsi="宋体" w:cs="宋体"/>
                <w:color w:val="000000"/>
                <w:kern w:val="0"/>
                <w:szCs w:val="21"/>
              </w:rPr>
            </w:pP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PLC关阀</w:t>
            </w:r>
          </w:p>
        </w:tc>
        <w:tc>
          <w:tcPr>
            <w:tcW w:w="178" w:type="pct"/>
            <w:noWrap/>
            <w:vAlign w:val="center"/>
          </w:tcPr>
          <w:p>
            <w:pPr>
              <w:widowControl/>
              <w:jc w:val="center"/>
              <w:rPr>
                <w:rFonts w:hint="eastAsia" w:ascii="宋体" w:hAnsi="宋体" w:cs="宋体"/>
                <w:color w:val="000000"/>
                <w:kern w:val="0"/>
                <w:szCs w:val="21"/>
              </w:rPr>
            </w:pP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p>
        </w:tc>
        <w:tc>
          <w:tcPr>
            <w:tcW w:w="21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17</w:t>
            </w:r>
          </w:p>
        </w:tc>
        <w:tc>
          <w:tcPr>
            <w:tcW w:w="707" w:type="pct"/>
            <w:noWrap/>
            <w:vAlign w:val="center"/>
          </w:tcPr>
          <w:p>
            <w:pPr>
              <w:widowControl/>
              <w:jc w:val="center"/>
              <w:rPr>
                <w:rFonts w:hint="eastAsia" w:ascii="宋体" w:hAnsi="宋体" w:cs="宋体"/>
                <w:color w:val="000000"/>
                <w:kern w:val="0"/>
                <w:szCs w:val="21"/>
              </w:rPr>
            </w:pPr>
          </w:p>
        </w:tc>
        <w:tc>
          <w:tcPr>
            <w:tcW w:w="776" w:type="pct"/>
            <w:noWrap/>
            <w:vAlign w:val="center"/>
          </w:tcPr>
          <w:p>
            <w:pPr>
              <w:widowControl/>
              <w:jc w:val="center"/>
              <w:rPr>
                <w:rFonts w:hint="eastAsia" w:ascii="宋体" w:hAnsi="宋体" w:cs="宋体"/>
                <w:color w:val="000000"/>
                <w:kern w:val="0"/>
                <w:szCs w:val="21"/>
              </w:rPr>
            </w:pPr>
          </w:p>
        </w:tc>
        <w:tc>
          <w:tcPr>
            <w:tcW w:w="399" w:type="pct"/>
            <w:noWrap/>
            <w:vAlign w:val="center"/>
          </w:tcPr>
          <w:p>
            <w:pPr>
              <w:widowControl/>
              <w:jc w:val="center"/>
              <w:rPr>
                <w:rFonts w:hint="eastAsia" w:ascii="宋体" w:hAnsi="宋体" w:cs="宋体"/>
                <w:color w:val="000000"/>
                <w:kern w:val="0"/>
                <w:szCs w:val="21"/>
              </w:rPr>
            </w:pP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运  行</w:t>
            </w:r>
          </w:p>
        </w:tc>
        <w:tc>
          <w:tcPr>
            <w:tcW w:w="178" w:type="pct"/>
            <w:noWrap/>
            <w:vAlign w:val="center"/>
          </w:tcPr>
          <w:p>
            <w:pPr>
              <w:widowControl/>
              <w:jc w:val="center"/>
              <w:rPr>
                <w:rFonts w:hint="eastAsia" w:ascii="宋体" w:hAnsi="宋体" w:cs="宋体"/>
                <w:color w:val="000000"/>
                <w:kern w:val="0"/>
                <w:szCs w:val="21"/>
              </w:rPr>
            </w:pP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19" w:type="pct"/>
            <w:noWrap/>
            <w:vAlign w:val="center"/>
          </w:tcPr>
          <w:p>
            <w:pPr>
              <w:widowControl/>
              <w:jc w:val="center"/>
              <w:rPr>
                <w:rFonts w:hint="eastAsia" w:ascii="宋体" w:hAnsi="宋体" w:cs="宋体"/>
                <w:color w:val="000000"/>
                <w:kern w:val="0"/>
                <w:szCs w:val="21"/>
              </w:rPr>
            </w:pP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18</w:t>
            </w:r>
          </w:p>
        </w:tc>
        <w:tc>
          <w:tcPr>
            <w:tcW w:w="707" w:type="pct"/>
            <w:noWrap/>
            <w:vAlign w:val="center"/>
          </w:tcPr>
          <w:p>
            <w:pPr>
              <w:widowControl/>
              <w:jc w:val="center"/>
              <w:rPr>
                <w:rFonts w:hint="eastAsia" w:ascii="宋体" w:hAnsi="宋体" w:cs="宋体"/>
                <w:color w:val="000000"/>
                <w:kern w:val="0"/>
                <w:szCs w:val="21"/>
              </w:rPr>
            </w:pPr>
          </w:p>
        </w:tc>
        <w:tc>
          <w:tcPr>
            <w:tcW w:w="776" w:type="pct"/>
            <w:noWrap/>
            <w:vAlign w:val="center"/>
          </w:tcPr>
          <w:p>
            <w:pPr>
              <w:widowControl/>
              <w:jc w:val="center"/>
              <w:rPr>
                <w:rFonts w:hint="eastAsia" w:ascii="宋体" w:hAnsi="宋体" w:cs="宋体"/>
                <w:color w:val="000000"/>
                <w:kern w:val="0"/>
                <w:szCs w:val="21"/>
              </w:rPr>
            </w:pPr>
          </w:p>
        </w:tc>
        <w:tc>
          <w:tcPr>
            <w:tcW w:w="399" w:type="pct"/>
            <w:noWrap/>
            <w:vAlign w:val="center"/>
          </w:tcPr>
          <w:p>
            <w:pPr>
              <w:widowControl/>
              <w:jc w:val="center"/>
              <w:rPr>
                <w:rFonts w:hint="eastAsia" w:ascii="宋体" w:hAnsi="宋体" w:cs="宋体"/>
                <w:color w:val="000000"/>
                <w:kern w:val="0"/>
                <w:szCs w:val="21"/>
              </w:rPr>
            </w:pP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停  止</w:t>
            </w:r>
          </w:p>
        </w:tc>
        <w:tc>
          <w:tcPr>
            <w:tcW w:w="178" w:type="pct"/>
            <w:noWrap/>
            <w:vAlign w:val="center"/>
          </w:tcPr>
          <w:p>
            <w:pPr>
              <w:widowControl/>
              <w:jc w:val="center"/>
              <w:rPr>
                <w:rFonts w:hint="eastAsia" w:ascii="宋体" w:hAnsi="宋体" w:cs="宋体"/>
                <w:color w:val="000000"/>
                <w:kern w:val="0"/>
                <w:szCs w:val="21"/>
              </w:rPr>
            </w:pP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19" w:type="pct"/>
            <w:noWrap/>
            <w:vAlign w:val="center"/>
          </w:tcPr>
          <w:p>
            <w:pPr>
              <w:widowControl/>
              <w:jc w:val="center"/>
              <w:rPr>
                <w:rFonts w:hint="eastAsia" w:ascii="宋体" w:hAnsi="宋体" w:cs="宋体"/>
                <w:color w:val="000000"/>
                <w:kern w:val="0"/>
                <w:szCs w:val="21"/>
              </w:rPr>
            </w:pP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19</w:t>
            </w:r>
          </w:p>
        </w:tc>
        <w:tc>
          <w:tcPr>
            <w:tcW w:w="707" w:type="pct"/>
            <w:noWrap/>
            <w:vAlign w:val="center"/>
          </w:tcPr>
          <w:p>
            <w:pPr>
              <w:widowControl/>
              <w:jc w:val="center"/>
              <w:rPr>
                <w:rFonts w:hint="eastAsia" w:ascii="宋体" w:hAnsi="宋体" w:cs="宋体"/>
                <w:color w:val="000000"/>
                <w:kern w:val="0"/>
                <w:szCs w:val="21"/>
              </w:rPr>
            </w:pPr>
          </w:p>
        </w:tc>
        <w:tc>
          <w:tcPr>
            <w:tcW w:w="776" w:type="pct"/>
            <w:noWrap/>
            <w:vAlign w:val="center"/>
          </w:tcPr>
          <w:p>
            <w:pPr>
              <w:widowControl/>
              <w:jc w:val="center"/>
              <w:rPr>
                <w:rFonts w:hint="eastAsia" w:ascii="宋体" w:hAnsi="宋体" w:cs="宋体"/>
                <w:color w:val="000000"/>
                <w:kern w:val="0"/>
                <w:szCs w:val="21"/>
              </w:rPr>
            </w:pPr>
          </w:p>
        </w:tc>
        <w:tc>
          <w:tcPr>
            <w:tcW w:w="399" w:type="pct"/>
            <w:noWrap/>
            <w:vAlign w:val="center"/>
          </w:tcPr>
          <w:p>
            <w:pPr>
              <w:widowControl/>
              <w:jc w:val="center"/>
              <w:rPr>
                <w:rFonts w:hint="eastAsia" w:ascii="宋体" w:hAnsi="宋体" w:cs="宋体"/>
                <w:color w:val="000000"/>
                <w:kern w:val="0"/>
                <w:szCs w:val="21"/>
              </w:rPr>
            </w:pP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故  障</w:t>
            </w:r>
          </w:p>
        </w:tc>
        <w:tc>
          <w:tcPr>
            <w:tcW w:w="178" w:type="pct"/>
            <w:noWrap/>
            <w:vAlign w:val="center"/>
          </w:tcPr>
          <w:p>
            <w:pPr>
              <w:widowControl/>
              <w:jc w:val="center"/>
              <w:rPr>
                <w:rFonts w:hint="eastAsia" w:ascii="宋体" w:hAnsi="宋体" w:cs="宋体"/>
                <w:color w:val="000000"/>
                <w:kern w:val="0"/>
                <w:szCs w:val="21"/>
              </w:rPr>
            </w:pP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19" w:type="pct"/>
            <w:noWrap/>
            <w:vAlign w:val="center"/>
          </w:tcPr>
          <w:p>
            <w:pPr>
              <w:widowControl/>
              <w:jc w:val="center"/>
              <w:rPr>
                <w:rFonts w:hint="eastAsia" w:ascii="宋体" w:hAnsi="宋体" w:cs="宋体"/>
                <w:color w:val="000000"/>
                <w:kern w:val="0"/>
                <w:szCs w:val="21"/>
              </w:rPr>
            </w:pP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707" w:type="pct"/>
            <w:noWrap/>
            <w:vAlign w:val="center"/>
          </w:tcPr>
          <w:p>
            <w:pPr>
              <w:widowControl/>
              <w:jc w:val="center"/>
              <w:rPr>
                <w:rFonts w:hint="eastAsia" w:ascii="宋体" w:hAnsi="宋体" w:cs="宋体"/>
                <w:color w:val="000000"/>
                <w:kern w:val="0"/>
                <w:szCs w:val="21"/>
              </w:rPr>
            </w:pPr>
          </w:p>
        </w:tc>
        <w:tc>
          <w:tcPr>
            <w:tcW w:w="776" w:type="pct"/>
            <w:noWrap/>
            <w:vAlign w:val="center"/>
          </w:tcPr>
          <w:p>
            <w:pPr>
              <w:widowControl/>
              <w:jc w:val="center"/>
              <w:rPr>
                <w:rFonts w:hint="eastAsia" w:ascii="宋体" w:hAnsi="宋体" w:cs="宋体"/>
                <w:color w:val="000000"/>
                <w:kern w:val="0"/>
                <w:szCs w:val="21"/>
              </w:rPr>
            </w:pPr>
          </w:p>
        </w:tc>
        <w:tc>
          <w:tcPr>
            <w:tcW w:w="399" w:type="pct"/>
            <w:noWrap/>
            <w:vAlign w:val="center"/>
          </w:tcPr>
          <w:p>
            <w:pPr>
              <w:widowControl/>
              <w:jc w:val="center"/>
              <w:rPr>
                <w:rFonts w:hint="eastAsia" w:ascii="宋体" w:hAnsi="宋体" w:cs="宋体"/>
                <w:color w:val="000000"/>
                <w:kern w:val="0"/>
                <w:szCs w:val="21"/>
              </w:rPr>
            </w:pP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远  控</w:t>
            </w:r>
          </w:p>
        </w:tc>
        <w:tc>
          <w:tcPr>
            <w:tcW w:w="178" w:type="pct"/>
            <w:noWrap/>
            <w:vAlign w:val="center"/>
          </w:tcPr>
          <w:p>
            <w:pPr>
              <w:widowControl/>
              <w:jc w:val="center"/>
              <w:rPr>
                <w:rFonts w:hint="eastAsia" w:ascii="宋体" w:hAnsi="宋体" w:cs="宋体"/>
                <w:color w:val="000000"/>
                <w:kern w:val="0"/>
                <w:szCs w:val="21"/>
              </w:rPr>
            </w:pP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19" w:type="pct"/>
            <w:noWrap/>
            <w:vAlign w:val="center"/>
          </w:tcPr>
          <w:p>
            <w:pPr>
              <w:widowControl/>
              <w:jc w:val="center"/>
              <w:rPr>
                <w:rFonts w:hint="eastAsia" w:ascii="宋体" w:hAnsi="宋体" w:cs="宋体"/>
                <w:color w:val="000000"/>
                <w:kern w:val="0"/>
                <w:szCs w:val="21"/>
              </w:rPr>
            </w:pP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21</w:t>
            </w:r>
          </w:p>
        </w:tc>
        <w:tc>
          <w:tcPr>
            <w:tcW w:w="707" w:type="pct"/>
            <w:noWrap/>
            <w:vAlign w:val="center"/>
          </w:tcPr>
          <w:p>
            <w:pPr>
              <w:widowControl/>
              <w:jc w:val="center"/>
              <w:rPr>
                <w:rFonts w:hint="eastAsia" w:ascii="宋体" w:hAnsi="宋体" w:cs="宋体"/>
                <w:color w:val="000000"/>
                <w:kern w:val="0"/>
                <w:szCs w:val="21"/>
              </w:rPr>
            </w:pPr>
          </w:p>
        </w:tc>
        <w:tc>
          <w:tcPr>
            <w:tcW w:w="776" w:type="pct"/>
            <w:noWrap/>
            <w:vAlign w:val="center"/>
          </w:tcPr>
          <w:p>
            <w:pPr>
              <w:widowControl/>
              <w:jc w:val="center"/>
              <w:rPr>
                <w:rFonts w:hint="eastAsia" w:ascii="宋体" w:hAnsi="宋体" w:cs="宋体"/>
                <w:color w:val="000000"/>
                <w:kern w:val="0"/>
                <w:szCs w:val="21"/>
              </w:rPr>
            </w:pPr>
          </w:p>
        </w:tc>
        <w:tc>
          <w:tcPr>
            <w:tcW w:w="399" w:type="pct"/>
            <w:noWrap/>
            <w:vAlign w:val="center"/>
          </w:tcPr>
          <w:p>
            <w:pPr>
              <w:widowControl/>
              <w:jc w:val="center"/>
              <w:rPr>
                <w:rFonts w:hint="eastAsia" w:ascii="宋体" w:hAnsi="宋体" w:cs="宋体"/>
                <w:color w:val="000000"/>
                <w:kern w:val="0"/>
                <w:szCs w:val="21"/>
              </w:rPr>
            </w:pP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开  泵</w:t>
            </w:r>
          </w:p>
        </w:tc>
        <w:tc>
          <w:tcPr>
            <w:tcW w:w="178" w:type="pct"/>
            <w:noWrap/>
            <w:vAlign w:val="center"/>
          </w:tcPr>
          <w:p>
            <w:pPr>
              <w:widowControl/>
              <w:jc w:val="center"/>
              <w:rPr>
                <w:rFonts w:hint="eastAsia" w:ascii="宋体" w:hAnsi="宋体" w:cs="宋体"/>
                <w:color w:val="000000"/>
                <w:kern w:val="0"/>
                <w:szCs w:val="21"/>
              </w:rPr>
            </w:pP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p>
        </w:tc>
        <w:tc>
          <w:tcPr>
            <w:tcW w:w="21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22</w:t>
            </w:r>
          </w:p>
        </w:tc>
        <w:tc>
          <w:tcPr>
            <w:tcW w:w="707" w:type="pct"/>
            <w:noWrap/>
            <w:vAlign w:val="center"/>
          </w:tcPr>
          <w:p>
            <w:pPr>
              <w:widowControl/>
              <w:jc w:val="center"/>
              <w:rPr>
                <w:rFonts w:hint="eastAsia" w:ascii="宋体" w:hAnsi="宋体" w:cs="宋体"/>
                <w:color w:val="000000"/>
                <w:kern w:val="0"/>
                <w:szCs w:val="21"/>
              </w:rPr>
            </w:pPr>
          </w:p>
        </w:tc>
        <w:tc>
          <w:tcPr>
            <w:tcW w:w="776" w:type="pct"/>
            <w:noWrap/>
            <w:vAlign w:val="center"/>
          </w:tcPr>
          <w:p>
            <w:pPr>
              <w:widowControl/>
              <w:jc w:val="center"/>
              <w:rPr>
                <w:rFonts w:hint="eastAsia" w:ascii="宋体" w:hAnsi="宋体" w:cs="宋体"/>
                <w:color w:val="000000"/>
                <w:kern w:val="0"/>
                <w:szCs w:val="21"/>
              </w:rPr>
            </w:pPr>
          </w:p>
        </w:tc>
        <w:tc>
          <w:tcPr>
            <w:tcW w:w="399" w:type="pct"/>
            <w:noWrap/>
            <w:vAlign w:val="center"/>
          </w:tcPr>
          <w:p>
            <w:pPr>
              <w:widowControl/>
              <w:jc w:val="center"/>
              <w:rPr>
                <w:rFonts w:hint="eastAsia" w:ascii="宋体" w:hAnsi="宋体" w:cs="宋体"/>
                <w:color w:val="000000"/>
                <w:kern w:val="0"/>
                <w:szCs w:val="21"/>
              </w:rPr>
            </w:pP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停  泵</w:t>
            </w:r>
          </w:p>
        </w:tc>
        <w:tc>
          <w:tcPr>
            <w:tcW w:w="178" w:type="pct"/>
            <w:noWrap/>
            <w:vAlign w:val="center"/>
          </w:tcPr>
          <w:p>
            <w:pPr>
              <w:widowControl/>
              <w:jc w:val="center"/>
              <w:rPr>
                <w:rFonts w:hint="eastAsia" w:ascii="宋体" w:hAnsi="宋体" w:cs="宋体"/>
                <w:color w:val="000000"/>
                <w:kern w:val="0"/>
                <w:szCs w:val="21"/>
              </w:rPr>
            </w:pP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p>
        </w:tc>
        <w:tc>
          <w:tcPr>
            <w:tcW w:w="21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23</w:t>
            </w:r>
          </w:p>
        </w:tc>
        <w:tc>
          <w:tcPr>
            <w:tcW w:w="70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B0101/MV0101</w:t>
            </w:r>
          </w:p>
        </w:tc>
        <w:tc>
          <w:tcPr>
            <w:tcW w:w="7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变频水泵机组</w:t>
            </w:r>
          </w:p>
        </w:tc>
        <w:tc>
          <w:tcPr>
            <w:tcW w:w="39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遥控信号</w:t>
            </w:r>
          </w:p>
        </w:tc>
        <w:tc>
          <w:tcPr>
            <w:tcW w:w="178" w:type="pct"/>
            <w:noWrap/>
            <w:vAlign w:val="center"/>
          </w:tcPr>
          <w:p>
            <w:pPr>
              <w:widowControl/>
              <w:jc w:val="center"/>
              <w:rPr>
                <w:rFonts w:hint="eastAsia" w:ascii="宋体" w:hAnsi="宋体" w:cs="宋体"/>
                <w:color w:val="000000"/>
                <w:kern w:val="0"/>
                <w:szCs w:val="21"/>
              </w:rPr>
            </w:pP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19" w:type="pct"/>
            <w:noWrap/>
            <w:vAlign w:val="center"/>
          </w:tcPr>
          <w:p>
            <w:pPr>
              <w:widowControl/>
              <w:jc w:val="center"/>
              <w:rPr>
                <w:rFonts w:hint="eastAsia" w:ascii="宋体" w:hAnsi="宋体" w:cs="宋体"/>
                <w:color w:val="000000"/>
                <w:kern w:val="0"/>
                <w:szCs w:val="21"/>
              </w:rPr>
            </w:pP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引自机旁控制箱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24</w:t>
            </w:r>
          </w:p>
        </w:tc>
        <w:tc>
          <w:tcPr>
            <w:tcW w:w="70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B0102/MV0102</w:t>
            </w:r>
          </w:p>
        </w:tc>
        <w:tc>
          <w:tcPr>
            <w:tcW w:w="776" w:type="pct"/>
            <w:noWrap/>
            <w:vAlign w:val="center"/>
          </w:tcPr>
          <w:p>
            <w:pPr>
              <w:widowControl/>
              <w:jc w:val="center"/>
              <w:rPr>
                <w:rFonts w:hint="eastAsia" w:ascii="宋体" w:hAnsi="宋体" w:cs="宋体"/>
                <w:color w:val="000000"/>
                <w:kern w:val="0"/>
                <w:szCs w:val="21"/>
              </w:rPr>
            </w:pPr>
          </w:p>
        </w:tc>
        <w:tc>
          <w:tcPr>
            <w:tcW w:w="399" w:type="pct"/>
            <w:noWrap/>
            <w:vAlign w:val="center"/>
          </w:tcPr>
          <w:p>
            <w:pPr>
              <w:widowControl/>
              <w:jc w:val="center"/>
              <w:rPr>
                <w:rFonts w:hint="eastAsia" w:ascii="宋体" w:hAnsi="宋体" w:cs="宋体"/>
                <w:color w:val="000000"/>
                <w:kern w:val="0"/>
                <w:szCs w:val="21"/>
              </w:rPr>
            </w:pP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阀门开足</w:t>
            </w:r>
          </w:p>
        </w:tc>
        <w:tc>
          <w:tcPr>
            <w:tcW w:w="178" w:type="pct"/>
            <w:noWrap/>
            <w:vAlign w:val="center"/>
          </w:tcPr>
          <w:p>
            <w:pPr>
              <w:widowControl/>
              <w:jc w:val="center"/>
              <w:rPr>
                <w:rFonts w:hint="eastAsia" w:ascii="宋体" w:hAnsi="宋体" w:cs="宋体"/>
                <w:color w:val="000000"/>
                <w:kern w:val="0"/>
                <w:szCs w:val="21"/>
              </w:rPr>
            </w:pP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19" w:type="pct"/>
            <w:noWrap/>
            <w:vAlign w:val="center"/>
          </w:tcPr>
          <w:p>
            <w:pPr>
              <w:widowControl/>
              <w:jc w:val="center"/>
              <w:rPr>
                <w:rFonts w:hint="eastAsia" w:ascii="宋体" w:hAnsi="宋体" w:cs="宋体"/>
                <w:color w:val="000000"/>
                <w:kern w:val="0"/>
                <w:szCs w:val="21"/>
              </w:rPr>
            </w:pP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25</w:t>
            </w:r>
          </w:p>
        </w:tc>
        <w:tc>
          <w:tcPr>
            <w:tcW w:w="70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B0103/MV0103</w:t>
            </w:r>
          </w:p>
        </w:tc>
        <w:tc>
          <w:tcPr>
            <w:tcW w:w="776" w:type="pct"/>
            <w:noWrap/>
            <w:vAlign w:val="center"/>
          </w:tcPr>
          <w:p>
            <w:pPr>
              <w:widowControl/>
              <w:jc w:val="center"/>
              <w:rPr>
                <w:rFonts w:hint="eastAsia" w:ascii="宋体" w:hAnsi="宋体" w:cs="宋体"/>
                <w:color w:val="000000"/>
                <w:kern w:val="0"/>
                <w:szCs w:val="21"/>
              </w:rPr>
            </w:pPr>
          </w:p>
        </w:tc>
        <w:tc>
          <w:tcPr>
            <w:tcW w:w="399" w:type="pct"/>
            <w:noWrap/>
            <w:vAlign w:val="center"/>
          </w:tcPr>
          <w:p>
            <w:pPr>
              <w:widowControl/>
              <w:jc w:val="center"/>
              <w:rPr>
                <w:rFonts w:hint="eastAsia" w:ascii="宋体" w:hAnsi="宋体" w:cs="宋体"/>
                <w:color w:val="000000"/>
                <w:kern w:val="0"/>
                <w:szCs w:val="21"/>
              </w:rPr>
            </w:pP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阀门关足</w:t>
            </w:r>
          </w:p>
        </w:tc>
        <w:tc>
          <w:tcPr>
            <w:tcW w:w="178" w:type="pct"/>
            <w:noWrap/>
            <w:vAlign w:val="center"/>
          </w:tcPr>
          <w:p>
            <w:pPr>
              <w:widowControl/>
              <w:jc w:val="center"/>
              <w:rPr>
                <w:rFonts w:hint="eastAsia" w:ascii="宋体" w:hAnsi="宋体" w:cs="宋体"/>
                <w:color w:val="000000"/>
                <w:kern w:val="0"/>
                <w:szCs w:val="21"/>
              </w:rPr>
            </w:pP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19" w:type="pct"/>
            <w:noWrap/>
            <w:vAlign w:val="center"/>
          </w:tcPr>
          <w:p>
            <w:pPr>
              <w:widowControl/>
              <w:jc w:val="center"/>
              <w:rPr>
                <w:rFonts w:hint="eastAsia" w:ascii="宋体" w:hAnsi="宋体" w:cs="宋体"/>
                <w:color w:val="000000"/>
                <w:kern w:val="0"/>
                <w:szCs w:val="21"/>
              </w:rPr>
            </w:pP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26</w:t>
            </w:r>
          </w:p>
        </w:tc>
        <w:tc>
          <w:tcPr>
            <w:tcW w:w="707" w:type="pct"/>
            <w:noWrap/>
            <w:vAlign w:val="center"/>
          </w:tcPr>
          <w:p>
            <w:pPr>
              <w:widowControl/>
              <w:jc w:val="center"/>
              <w:rPr>
                <w:rFonts w:hint="eastAsia" w:ascii="宋体" w:hAnsi="宋体" w:cs="宋体"/>
                <w:color w:val="000000"/>
                <w:kern w:val="0"/>
                <w:szCs w:val="21"/>
              </w:rPr>
            </w:pPr>
          </w:p>
        </w:tc>
        <w:tc>
          <w:tcPr>
            <w:tcW w:w="776" w:type="pct"/>
            <w:noWrap/>
            <w:vAlign w:val="center"/>
          </w:tcPr>
          <w:p>
            <w:pPr>
              <w:widowControl/>
              <w:jc w:val="center"/>
              <w:rPr>
                <w:rFonts w:hint="eastAsia" w:ascii="宋体" w:hAnsi="宋体" w:cs="宋体"/>
                <w:color w:val="000000"/>
                <w:kern w:val="0"/>
                <w:szCs w:val="21"/>
              </w:rPr>
            </w:pPr>
          </w:p>
        </w:tc>
        <w:tc>
          <w:tcPr>
            <w:tcW w:w="399" w:type="pct"/>
            <w:noWrap/>
            <w:vAlign w:val="center"/>
          </w:tcPr>
          <w:p>
            <w:pPr>
              <w:widowControl/>
              <w:jc w:val="center"/>
              <w:rPr>
                <w:rFonts w:hint="eastAsia" w:ascii="宋体" w:hAnsi="宋体" w:cs="宋体"/>
                <w:color w:val="000000"/>
                <w:kern w:val="0"/>
                <w:szCs w:val="21"/>
              </w:rPr>
            </w:pP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阀门过载</w:t>
            </w:r>
          </w:p>
        </w:tc>
        <w:tc>
          <w:tcPr>
            <w:tcW w:w="178" w:type="pct"/>
            <w:noWrap/>
            <w:vAlign w:val="center"/>
          </w:tcPr>
          <w:p>
            <w:pPr>
              <w:widowControl/>
              <w:jc w:val="center"/>
              <w:rPr>
                <w:rFonts w:hint="eastAsia" w:ascii="宋体" w:hAnsi="宋体" w:cs="宋体"/>
                <w:color w:val="000000"/>
                <w:kern w:val="0"/>
                <w:szCs w:val="21"/>
              </w:rPr>
            </w:pP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19" w:type="pct"/>
            <w:noWrap/>
            <w:vAlign w:val="center"/>
          </w:tcPr>
          <w:p>
            <w:pPr>
              <w:widowControl/>
              <w:jc w:val="center"/>
              <w:rPr>
                <w:rFonts w:hint="eastAsia" w:ascii="宋体" w:hAnsi="宋体" w:cs="宋体"/>
                <w:color w:val="000000"/>
                <w:kern w:val="0"/>
                <w:szCs w:val="21"/>
              </w:rPr>
            </w:pP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27</w:t>
            </w:r>
          </w:p>
        </w:tc>
        <w:tc>
          <w:tcPr>
            <w:tcW w:w="707" w:type="pct"/>
            <w:noWrap/>
            <w:vAlign w:val="center"/>
          </w:tcPr>
          <w:p>
            <w:pPr>
              <w:widowControl/>
              <w:jc w:val="center"/>
              <w:rPr>
                <w:rFonts w:hint="eastAsia" w:ascii="宋体" w:hAnsi="宋体" w:cs="宋体"/>
                <w:color w:val="000000"/>
                <w:kern w:val="0"/>
                <w:szCs w:val="21"/>
              </w:rPr>
            </w:pPr>
          </w:p>
        </w:tc>
        <w:tc>
          <w:tcPr>
            <w:tcW w:w="776" w:type="pct"/>
            <w:noWrap/>
            <w:vAlign w:val="center"/>
          </w:tcPr>
          <w:p>
            <w:pPr>
              <w:widowControl/>
              <w:jc w:val="center"/>
              <w:rPr>
                <w:rFonts w:hint="eastAsia" w:ascii="宋体" w:hAnsi="宋体" w:cs="宋体"/>
                <w:color w:val="000000"/>
                <w:kern w:val="0"/>
                <w:szCs w:val="21"/>
              </w:rPr>
            </w:pPr>
          </w:p>
        </w:tc>
        <w:tc>
          <w:tcPr>
            <w:tcW w:w="399" w:type="pct"/>
            <w:noWrap/>
            <w:vAlign w:val="center"/>
          </w:tcPr>
          <w:p>
            <w:pPr>
              <w:widowControl/>
              <w:jc w:val="center"/>
              <w:rPr>
                <w:rFonts w:hint="eastAsia" w:ascii="宋体" w:hAnsi="宋体" w:cs="宋体"/>
                <w:color w:val="000000"/>
                <w:kern w:val="0"/>
                <w:szCs w:val="21"/>
              </w:rPr>
            </w:pP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PLC开阀</w:t>
            </w:r>
          </w:p>
        </w:tc>
        <w:tc>
          <w:tcPr>
            <w:tcW w:w="178" w:type="pct"/>
            <w:noWrap/>
            <w:vAlign w:val="center"/>
          </w:tcPr>
          <w:p>
            <w:pPr>
              <w:widowControl/>
              <w:jc w:val="center"/>
              <w:rPr>
                <w:rFonts w:hint="eastAsia" w:ascii="宋体" w:hAnsi="宋体" w:cs="宋体"/>
                <w:color w:val="000000"/>
                <w:kern w:val="0"/>
                <w:szCs w:val="21"/>
              </w:rPr>
            </w:pP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p>
        </w:tc>
        <w:tc>
          <w:tcPr>
            <w:tcW w:w="21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28</w:t>
            </w:r>
          </w:p>
        </w:tc>
        <w:tc>
          <w:tcPr>
            <w:tcW w:w="707" w:type="pct"/>
            <w:noWrap/>
            <w:vAlign w:val="center"/>
          </w:tcPr>
          <w:p>
            <w:pPr>
              <w:widowControl/>
              <w:jc w:val="center"/>
              <w:rPr>
                <w:rFonts w:hint="eastAsia" w:ascii="宋体" w:hAnsi="宋体" w:cs="宋体"/>
                <w:color w:val="000000"/>
                <w:kern w:val="0"/>
                <w:szCs w:val="21"/>
              </w:rPr>
            </w:pPr>
          </w:p>
        </w:tc>
        <w:tc>
          <w:tcPr>
            <w:tcW w:w="776" w:type="pct"/>
            <w:noWrap/>
            <w:vAlign w:val="center"/>
          </w:tcPr>
          <w:p>
            <w:pPr>
              <w:widowControl/>
              <w:jc w:val="center"/>
              <w:rPr>
                <w:rFonts w:hint="eastAsia" w:ascii="宋体" w:hAnsi="宋体" w:cs="宋体"/>
                <w:color w:val="000000"/>
                <w:kern w:val="0"/>
                <w:szCs w:val="21"/>
              </w:rPr>
            </w:pPr>
          </w:p>
        </w:tc>
        <w:tc>
          <w:tcPr>
            <w:tcW w:w="399" w:type="pct"/>
            <w:noWrap/>
            <w:vAlign w:val="center"/>
          </w:tcPr>
          <w:p>
            <w:pPr>
              <w:widowControl/>
              <w:jc w:val="center"/>
              <w:rPr>
                <w:rFonts w:hint="eastAsia" w:ascii="宋体" w:hAnsi="宋体" w:cs="宋体"/>
                <w:color w:val="000000"/>
                <w:kern w:val="0"/>
                <w:szCs w:val="21"/>
              </w:rPr>
            </w:pP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PLC关阀</w:t>
            </w:r>
          </w:p>
        </w:tc>
        <w:tc>
          <w:tcPr>
            <w:tcW w:w="178" w:type="pct"/>
            <w:noWrap/>
            <w:vAlign w:val="center"/>
          </w:tcPr>
          <w:p>
            <w:pPr>
              <w:widowControl/>
              <w:jc w:val="center"/>
              <w:rPr>
                <w:rFonts w:hint="eastAsia" w:ascii="宋体" w:hAnsi="宋体" w:cs="宋体"/>
                <w:color w:val="000000"/>
                <w:kern w:val="0"/>
                <w:szCs w:val="21"/>
              </w:rPr>
            </w:pP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p>
        </w:tc>
        <w:tc>
          <w:tcPr>
            <w:tcW w:w="21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29</w:t>
            </w:r>
          </w:p>
        </w:tc>
        <w:tc>
          <w:tcPr>
            <w:tcW w:w="707" w:type="pct"/>
            <w:noWrap/>
            <w:vAlign w:val="center"/>
          </w:tcPr>
          <w:p>
            <w:pPr>
              <w:widowControl/>
              <w:jc w:val="center"/>
              <w:rPr>
                <w:rFonts w:hint="eastAsia" w:ascii="宋体" w:hAnsi="宋体" w:cs="宋体"/>
                <w:color w:val="000000"/>
                <w:kern w:val="0"/>
                <w:szCs w:val="21"/>
              </w:rPr>
            </w:pPr>
          </w:p>
        </w:tc>
        <w:tc>
          <w:tcPr>
            <w:tcW w:w="776" w:type="pct"/>
            <w:noWrap/>
            <w:vAlign w:val="center"/>
          </w:tcPr>
          <w:p>
            <w:pPr>
              <w:widowControl/>
              <w:jc w:val="center"/>
              <w:rPr>
                <w:rFonts w:hint="eastAsia" w:ascii="宋体" w:hAnsi="宋体" w:cs="宋体"/>
                <w:color w:val="000000"/>
                <w:kern w:val="0"/>
                <w:szCs w:val="21"/>
              </w:rPr>
            </w:pPr>
          </w:p>
        </w:tc>
        <w:tc>
          <w:tcPr>
            <w:tcW w:w="399" w:type="pct"/>
            <w:noWrap/>
            <w:vAlign w:val="center"/>
          </w:tcPr>
          <w:p>
            <w:pPr>
              <w:widowControl/>
              <w:jc w:val="center"/>
              <w:rPr>
                <w:rFonts w:hint="eastAsia" w:ascii="宋体" w:hAnsi="宋体" w:cs="宋体"/>
                <w:color w:val="000000"/>
                <w:kern w:val="0"/>
                <w:szCs w:val="21"/>
              </w:rPr>
            </w:pP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运  行</w:t>
            </w:r>
          </w:p>
        </w:tc>
        <w:tc>
          <w:tcPr>
            <w:tcW w:w="178" w:type="pct"/>
            <w:noWrap/>
            <w:vAlign w:val="center"/>
          </w:tcPr>
          <w:p>
            <w:pPr>
              <w:widowControl/>
              <w:jc w:val="center"/>
              <w:rPr>
                <w:rFonts w:hint="eastAsia" w:ascii="宋体" w:hAnsi="宋体" w:cs="宋体"/>
                <w:color w:val="000000"/>
                <w:kern w:val="0"/>
                <w:szCs w:val="21"/>
              </w:rPr>
            </w:pP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19" w:type="pct"/>
            <w:noWrap/>
            <w:vAlign w:val="center"/>
          </w:tcPr>
          <w:p>
            <w:pPr>
              <w:widowControl/>
              <w:jc w:val="center"/>
              <w:rPr>
                <w:rFonts w:hint="eastAsia" w:ascii="宋体" w:hAnsi="宋体" w:cs="宋体"/>
                <w:color w:val="000000"/>
                <w:kern w:val="0"/>
                <w:szCs w:val="21"/>
              </w:rPr>
            </w:pP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引自4~6#变频器柜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30</w:t>
            </w:r>
          </w:p>
        </w:tc>
        <w:tc>
          <w:tcPr>
            <w:tcW w:w="707" w:type="pct"/>
            <w:noWrap/>
            <w:vAlign w:val="center"/>
          </w:tcPr>
          <w:p>
            <w:pPr>
              <w:widowControl/>
              <w:jc w:val="center"/>
              <w:rPr>
                <w:rFonts w:hint="eastAsia" w:ascii="宋体" w:hAnsi="宋体" w:cs="宋体"/>
                <w:color w:val="000000"/>
                <w:kern w:val="0"/>
                <w:szCs w:val="21"/>
              </w:rPr>
            </w:pPr>
          </w:p>
        </w:tc>
        <w:tc>
          <w:tcPr>
            <w:tcW w:w="776" w:type="pct"/>
            <w:noWrap/>
            <w:vAlign w:val="center"/>
          </w:tcPr>
          <w:p>
            <w:pPr>
              <w:widowControl/>
              <w:jc w:val="center"/>
              <w:rPr>
                <w:rFonts w:hint="eastAsia" w:ascii="宋体" w:hAnsi="宋体" w:cs="宋体"/>
                <w:color w:val="000000"/>
                <w:kern w:val="0"/>
                <w:szCs w:val="21"/>
              </w:rPr>
            </w:pPr>
          </w:p>
        </w:tc>
        <w:tc>
          <w:tcPr>
            <w:tcW w:w="399" w:type="pct"/>
            <w:noWrap/>
            <w:vAlign w:val="center"/>
          </w:tcPr>
          <w:p>
            <w:pPr>
              <w:widowControl/>
              <w:jc w:val="center"/>
              <w:rPr>
                <w:rFonts w:hint="eastAsia" w:ascii="宋体" w:hAnsi="宋体" w:cs="宋体"/>
                <w:color w:val="000000"/>
                <w:kern w:val="0"/>
                <w:szCs w:val="21"/>
              </w:rPr>
            </w:pP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故  障</w:t>
            </w:r>
          </w:p>
        </w:tc>
        <w:tc>
          <w:tcPr>
            <w:tcW w:w="178" w:type="pct"/>
            <w:noWrap/>
            <w:vAlign w:val="center"/>
          </w:tcPr>
          <w:p>
            <w:pPr>
              <w:widowControl/>
              <w:jc w:val="center"/>
              <w:rPr>
                <w:rFonts w:hint="eastAsia" w:ascii="宋体" w:hAnsi="宋体" w:cs="宋体"/>
                <w:color w:val="000000"/>
                <w:kern w:val="0"/>
                <w:szCs w:val="21"/>
              </w:rPr>
            </w:pP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19" w:type="pct"/>
            <w:noWrap/>
            <w:vAlign w:val="center"/>
          </w:tcPr>
          <w:p>
            <w:pPr>
              <w:widowControl/>
              <w:jc w:val="center"/>
              <w:rPr>
                <w:rFonts w:hint="eastAsia" w:ascii="宋体" w:hAnsi="宋体" w:cs="宋体"/>
                <w:color w:val="000000"/>
                <w:kern w:val="0"/>
                <w:szCs w:val="21"/>
              </w:rPr>
            </w:pP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31</w:t>
            </w:r>
          </w:p>
        </w:tc>
        <w:tc>
          <w:tcPr>
            <w:tcW w:w="707" w:type="pct"/>
            <w:noWrap/>
            <w:vAlign w:val="center"/>
          </w:tcPr>
          <w:p>
            <w:pPr>
              <w:widowControl/>
              <w:jc w:val="center"/>
              <w:rPr>
                <w:rFonts w:hint="eastAsia" w:ascii="宋体" w:hAnsi="宋体" w:cs="宋体"/>
                <w:color w:val="000000"/>
                <w:kern w:val="0"/>
                <w:szCs w:val="21"/>
              </w:rPr>
            </w:pPr>
          </w:p>
        </w:tc>
        <w:tc>
          <w:tcPr>
            <w:tcW w:w="776" w:type="pct"/>
            <w:noWrap/>
            <w:vAlign w:val="center"/>
          </w:tcPr>
          <w:p>
            <w:pPr>
              <w:widowControl/>
              <w:jc w:val="center"/>
              <w:rPr>
                <w:rFonts w:hint="eastAsia" w:ascii="宋体" w:hAnsi="宋体" w:cs="宋体"/>
                <w:color w:val="000000"/>
                <w:kern w:val="0"/>
                <w:szCs w:val="21"/>
              </w:rPr>
            </w:pPr>
          </w:p>
        </w:tc>
        <w:tc>
          <w:tcPr>
            <w:tcW w:w="399" w:type="pct"/>
            <w:noWrap/>
            <w:vAlign w:val="center"/>
          </w:tcPr>
          <w:p>
            <w:pPr>
              <w:widowControl/>
              <w:jc w:val="center"/>
              <w:rPr>
                <w:rFonts w:hint="eastAsia" w:ascii="宋体" w:hAnsi="宋体" w:cs="宋体"/>
                <w:color w:val="000000"/>
                <w:kern w:val="0"/>
                <w:szCs w:val="21"/>
              </w:rPr>
            </w:pP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远  控</w:t>
            </w:r>
          </w:p>
        </w:tc>
        <w:tc>
          <w:tcPr>
            <w:tcW w:w="178" w:type="pct"/>
            <w:noWrap/>
            <w:vAlign w:val="center"/>
          </w:tcPr>
          <w:p>
            <w:pPr>
              <w:widowControl/>
              <w:jc w:val="center"/>
              <w:rPr>
                <w:rFonts w:hint="eastAsia" w:ascii="宋体" w:hAnsi="宋体" w:cs="宋体"/>
                <w:color w:val="000000"/>
                <w:kern w:val="0"/>
                <w:szCs w:val="21"/>
              </w:rPr>
            </w:pP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19" w:type="pct"/>
            <w:noWrap/>
            <w:vAlign w:val="center"/>
          </w:tcPr>
          <w:p>
            <w:pPr>
              <w:widowControl/>
              <w:jc w:val="center"/>
              <w:rPr>
                <w:rFonts w:hint="eastAsia" w:ascii="宋体" w:hAnsi="宋体" w:cs="宋体"/>
                <w:color w:val="000000"/>
                <w:kern w:val="0"/>
                <w:szCs w:val="21"/>
              </w:rPr>
            </w:pP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32</w:t>
            </w:r>
          </w:p>
        </w:tc>
        <w:tc>
          <w:tcPr>
            <w:tcW w:w="707" w:type="pct"/>
            <w:noWrap/>
            <w:vAlign w:val="center"/>
          </w:tcPr>
          <w:p>
            <w:pPr>
              <w:widowControl/>
              <w:jc w:val="center"/>
              <w:rPr>
                <w:rFonts w:hint="eastAsia" w:ascii="宋体" w:hAnsi="宋体" w:cs="宋体"/>
                <w:color w:val="000000"/>
                <w:kern w:val="0"/>
                <w:szCs w:val="21"/>
              </w:rPr>
            </w:pPr>
          </w:p>
        </w:tc>
        <w:tc>
          <w:tcPr>
            <w:tcW w:w="776" w:type="pct"/>
            <w:noWrap/>
            <w:vAlign w:val="center"/>
          </w:tcPr>
          <w:p>
            <w:pPr>
              <w:widowControl/>
              <w:jc w:val="center"/>
              <w:rPr>
                <w:rFonts w:hint="eastAsia" w:ascii="宋体" w:hAnsi="宋体" w:cs="宋体"/>
                <w:color w:val="000000"/>
                <w:kern w:val="0"/>
                <w:szCs w:val="21"/>
              </w:rPr>
            </w:pPr>
          </w:p>
        </w:tc>
        <w:tc>
          <w:tcPr>
            <w:tcW w:w="399" w:type="pct"/>
            <w:noWrap/>
            <w:vAlign w:val="center"/>
          </w:tcPr>
          <w:p>
            <w:pPr>
              <w:widowControl/>
              <w:jc w:val="center"/>
              <w:rPr>
                <w:rFonts w:hint="eastAsia" w:ascii="宋体" w:hAnsi="宋体" w:cs="宋体"/>
                <w:color w:val="000000"/>
                <w:kern w:val="0"/>
                <w:szCs w:val="21"/>
              </w:rPr>
            </w:pP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开  泵</w:t>
            </w:r>
          </w:p>
        </w:tc>
        <w:tc>
          <w:tcPr>
            <w:tcW w:w="178" w:type="pct"/>
            <w:noWrap/>
            <w:vAlign w:val="center"/>
          </w:tcPr>
          <w:p>
            <w:pPr>
              <w:widowControl/>
              <w:jc w:val="center"/>
              <w:rPr>
                <w:rFonts w:hint="eastAsia" w:ascii="宋体" w:hAnsi="宋体" w:cs="宋体"/>
                <w:color w:val="000000"/>
                <w:kern w:val="0"/>
                <w:szCs w:val="21"/>
              </w:rPr>
            </w:pP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p>
        </w:tc>
        <w:tc>
          <w:tcPr>
            <w:tcW w:w="21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33</w:t>
            </w:r>
          </w:p>
        </w:tc>
        <w:tc>
          <w:tcPr>
            <w:tcW w:w="707" w:type="pct"/>
            <w:noWrap/>
            <w:vAlign w:val="center"/>
          </w:tcPr>
          <w:p>
            <w:pPr>
              <w:widowControl/>
              <w:jc w:val="center"/>
              <w:rPr>
                <w:rFonts w:hint="eastAsia" w:ascii="宋体" w:hAnsi="宋体" w:cs="宋体"/>
                <w:color w:val="000000"/>
                <w:kern w:val="0"/>
                <w:szCs w:val="21"/>
              </w:rPr>
            </w:pPr>
          </w:p>
        </w:tc>
        <w:tc>
          <w:tcPr>
            <w:tcW w:w="776" w:type="pct"/>
            <w:noWrap/>
            <w:vAlign w:val="center"/>
          </w:tcPr>
          <w:p>
            <w:pPr>
              <w:widowControl/>
              <w:jc w:val="center"/>
              <w:rPr>
                <w:rFonts w:hint="eastAsia" w:ascii="宋体" w:hAnsi="宋体" w:cs="宋体"/>
                <w:color w:val="000000"/>
                <w:kern w:val="0"/>
                <w:szCs w:val="21"/>
              </w:rPr>
            </w:pPr>
          </w:p>
        </w:tc>
        <w:tc>
          <w:tcPr>
            <w:tcW w:w="399" w:type="pct"/>
            <w:noWrap/>
            <w:vAlign w:val="center"/>
          </w:tcPr>
          <w:p>
            <w:pPr>
              <w:widowControl/>
              <w:jc w:val="center"/>
              <w:rPr>
                <w:rFonts w:hint="eastAsia" w:ascii="宋体" w:hAnsi="宋体" w:cs="宋体"/>
                <w:color w:val="000000"/>
                <w:kern w:val="0"/>
                <w:szCs w:val="21"/>
              </w:rPr>
            </w:pP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停  泵</w:t>
            </w:r>
          </w:p>
        </w:tc>
        <w:tc>
          <w:tcPr>
            <w:tcW w:w="178" w:type="pct"/>
            <w:noWrap/>
            <w:vAlign w:val="center"/>
          </w:tcPr>
          <w:p>
            <w:pPr>
              <w:widowControl/>
              <w:jc w:val="center"/>
              <w:rPr>
                <w:rFonts w:hint="eastAsia" w:ascii="宋体" w:hAnsi="宋体" w:cs="宋体"/>
                <w:color w:val="000000"/>
                <w:kern w:val="0"/>
                <w:szCs w:val="21"/>
              </w:rPr>
            </w:pP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p>
        </w:tc>
        <w:tc>
          <w:tcPr>
            <w:tcW w:w="21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34</w:t>
            </w:r>
          </w:p>
        </w:tc>
        <w:tc>
          <w:tcPr>
            <w:tcW w:w="707" w:type="pct"/>
            <w:noWrap/>
            <w:vAlign w:val="center"/>
          </w:tcPr>
          <w:p>
            <w:pPr>
              <w:widowControl/>
              <w:jc w:val="center"/>
              <w:rPr>
                <w:rFonts w:hint="eastAsia" w:ascii="宋体" w:hAnsi="宋体" w:cs="宋体"/>
                <w:color w:val="000000"/>
                <w:kern w:val="0"/>
                <w:szCs w:val="21"/>
              </w:rPr>
            </w:pPr>
          </w:p>
        </w:tc>
        <w:tc>
          <w:tcPr>
            <w:tcW w:w="776" w:type="pct"/>
            <w:noWrap/>
            <w:vAlign w:val="center"/>
          </w:tcPr>
          <w:p>
            <w:pPr>
              <w:widowControl/>
              <w:jc w:val="center"/>
              <w:rPr>
                <w:rFonts w:hint="eastAsia" w:ascii="宋体" w:hAnsi="宋体" w:cs="宋体"/>
                <w:color w:val="000000"/>
                <w:kern w:val="0"/>
                <w:szCs w:val="21"/>
              </w:rPr>
            </w:pPr>
          </w:p>
        </w:tc>
        <w:tc>
          <w:tcPr>
            <w:tcW w:w="399" w:type="pct"/>
            <w:noWrap/>
            <w:vAlign w:val="center"/>
          </w:tcPr>
          <w:p>
            <w:pPr>
              <w:widowControl/>
              <w:jc w:val="center"/>
              <w:rPr>
                <w:rFonts w:hint="eastAsia" w:ascii="宋体" w:hAnsi="宋体" w:cs="宋体"/>
                <w:color w:val="000000"/>
                <w:kern w:val="0"/>
                <w:szCs w:val="21"/>
              </w:rPr>
            </w:pP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电机风扇运行</w:t>
            </w:r>
          </w:p>
        </w:tc>
        <w:tc>
          <w:tcPr>
            <w:tcW w:w="178" w:type="pct"/>
            <w:noWrap/>
            <w:vAlign w:val="center"/>
          </w:tcPr>
          <w:p>
            <w:pPr>
              <w:widowControl/>
              <w:jc w:val="center"/>
              <w:rPr>
                <w:rFonts w:hint="eastAsia" w:ascii="宋体" w:hAnsi="宋体" w:cs="宋体"/>
                <w:color w:val="000000"/>
                <w:kern w:val="0"/>
                <w:szCs w:val="21"/>
              </w:rPr>
            </w:pP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p>
        </w:tc>
        <w:tc>
          <w:tcPr>
            <w:tcW w:w="21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35</w:t>
            </w:r>
          </w:p>
        </w:tc>
        <w:tc>
          <w:tcPr>
            <w:tcW w:w="707" w:type="pct"/>
            <w:noWrap/>
            <w:vAlign w:val="center"/>
          </w:tcPr>
          <w:p>
            <w:pPr>
              <w:widowControl/>
              <w:jc w:val="center"/>
              <w:rPr>
                <w:rFonts w:hint="eastAsia" w:ascii="宋体" w:hAnsi="宋体" w:cs="宋体"/>
                <w:color w:val="000000"/>
                <w:kern w:val="0"/>
                <w:szCs w:val="21"/>
              </w:rPr>
            </w:pPr>
          </w:p>
        </w:tc>
        <w:tc>
          <w:tcPr>
            <w:tcW w:w="776" w:type="pct"/>
            <w:noWrap/>
            <w:vAlign w:val="center"/>
          </w:tcPr>
          <w:p>
            <w:pPr>
              <w:widowControl/>
              <w:jc w:val="center"/>
              <w:rPr>
                <w:rFonts w:hint="eastAsia" w:ascii="宋体" w:hAnsi="宋体" w:cs="宋体"/>
                <w:color w:val="000000"/>
                <w:kern w:val="0"/>
                <w:szCs w:val="21"/>
              </w:rPr>
            </w:pPr>
          </w:p>
        </w:tc>
        <w:tc>
          <w:tcPr>
            <w:tcW w:w="399" w:type="pct"/>
            <w:noWrap/>
            <w:vAlign w:val="center"/>
          </w:tcPr>
          <w:p>
            <w:pPr>
              <w:widowControl/>
              <w:jc w:val="center"/>
              <w:rPr>
                <w:rFonts w:hint="eastAsia" w:ascii="宋体" w:hAnsi="宋体" w:cs="宋体"/>
                <w:color w:val="000000"/>
                <w:kern w:val="0"/>
                <w:szCs w:val="21"/>
              </w:rPr>
            </w:pP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转速反馈</w:t>
            </w:r>
          </w:p>
        </w:tc>
        <w:tc>
          <w:tcPr>
            <w:tcW w:w="17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p>
        </w:tc>
        <w:tc>
          <w:tcPr>
            <w:tcW w:w="219" w:type="pct"/>
            <w:noWrap/>
            <w:vAlign w:val="center"/>
          </w:tcPr>
          <w:p>
            <w:pPr>
              <w:widowControl/>
              <w:jc w:val="center"/>
              <w:rPr>
                <w:rFonts w:hint="eastAsia" w:ascii="宋体" w:hAnsi="宋体" w:cs="宋体"/>
                <w:color w:val="000000"/>
                <w:kern w:val="0"/>
                <w:szCs w:val="21"/>
              </w:rPr>
            </w:pP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36</w:t>
            </w:r>
          </w:p>
        </w:tc>
        <w:tc>
          <w:tcPr>
            <w:tcW w:w="707" w:type="pct"/>
            <w:noWrap/>
            <w:vAlign w:val="center"/>
          </w:tcPr>
          <w:p>
            <w:pPr>
              <w:widowControl/>
              <w:jc w:val="center"/>
              <w:rPr>
                <w:rFonts w:hint="eastAsia" w:ascii="宋体" w:hAnsi="宋体" w:cs="宋体"/>
                <w:color w:val="000000"/>
                <w:kern w:val="0"/>
                <w:szCs w:val="21"/>
              </w:rPr>
            </w:pPr>
          </w:p>
        </w:tc>
        <w:tc>
          <w:tcPr>
            <w:tcW w:w="776" w:type="pct"/>
            <w:noWrap/>
            <w:vAlign w:val="center"/>
          </w:tcPr>
          <w:p>
            <w:pPr>
              <w:widowControl/>
              <w:jc w:val="center"/>
              <w:rPr>
                <w:rFonts w:hint="eastAsia" w:ascii="宋体" w:hAnsi="宋体" w:cs="宋体"/>
                <w:color w:val="000000"/>
                <w:kern w:val="0"/>
                <w:szCs w:val="21"/>
              </w:rPr>
            </w:pPr>
          </w:p>
        </w:tc>
        <w:tc>
          <w:tcPr>
            <w:tcW w:w="399" w:type="pct"/>
            <w:noWrap/>
            <w:vAlign w:val="center"/>
          </w:tcPr>
          <w:p>
            <w:pPr>
              <w:widowControl/>
              <w:jc w:val="center"/>
              <w:rPr>
                <w:rFonts w:hint="eastAsia" w:ascii="宋体" w:hAnsi="宋体" w:cs="宋体"/>
                <w:color w:val="000000"/>
                <w:kern w:val="0"/>
                <w:szCs w:val="21"/>
              </w:rPr>
            </w:pP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电流反馈</w:t>
            </w:r>
          </w:p>
        </w:tc>
        <w:tc>
          <w:tcPr>
            <w:tcW w:w="17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p>
        </w:tc>
        <w:tc>
          <w:tcPr>
            <w:tcW w:w="219" w:type="pct"/>
            <w:noWrap/>
            <w:vAlign w:val="center"/>
          </w:tcPr>
          <w:p>
            <w:pPr>
              <w:widowControl/>
              <w:jc w:val="center"/>
              <w:rPr>
                <w:rFonts w:hint="eastAsia" w:ascii="宋体" w:hAnsi="宋体" w:cs="宋体"/>
                <w:color w:val="000000"/>
                <w:kern w:val="0"/>
                <w:szCs w:val="21"/>
              </w:rPr>
            </w:pP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37</w:t>
            </w:r>
          </w:p>
        </w:tc>
        <w:tc>
          <w:tcPr>
            <w:tcW w:w="707" w:type="pct"/>
            <w:noWrap/>
            <w:vAlign w:val="center"/>
          </w:tcPr>
          <w:p>
            <w:pPr>
              <w:widowControl/>
              <w:jc w:val="center"/>
              <w:rPr>
                <w:rFonts w:hint="eastAsia" w:ascii="宋体" w:hAnsi="宋体" w:cs="宋体"/>
                <w:color w:val="000000"/>
                <w:kern w:val="0"/>
                <w:szCs w:val="21"/>
              </w:rPr>
            </w:pPr>
          </w:p>
        </w:tc>
        <w:tc>
          <w:tcPr>
            <w:tcW w:w="776" w:type="pct"/>
            <w:noWrap/>
            <w:vAlign w:val="center"/>
          </w:tcPr>
          <w:p>
            <w:pPr>
              <w:widowControl/>
              <w:jc w:val="center"/>
              <w:rPr>
                <w:rFonts w:hint="eastAsia" w:ascii="宋体" w:hAnsi="宋体" w:cs="宋体"/>
                <w:color w:val="000000"/>
                <w:kern w:val="0"/>
                <w:szCs w:val="21"/>
              </w:rPr>
            </w:pPr>
          </w:p>
        </w:tc>
        <w:tc>
          <w:tcPr>
            <w:tcW w:w="399" w:type="pct"/>
            <w:noWrap/>
            <w:vAlign w:val="center"/>
          </w:tcPr>
          <w:p>
            <w:pPr>
              <w:widowControl/>
              <w:jc w:val="center"/>
              <w:rPr>
                <w:rFonts w:hint="eastAsia" w:ascii="宋体" w:hAnsi="宋体" w:cs="宋体"/>
                <w:color w:val="000000"/>
                <w:kern w:val="0"/>
                <w:szCs w:val="21"/>
              </w:rPr>
            </w:pP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转速给定</w:t>
            </w:r>
          </w:p>
        </w:tc>
        <w:tc>
          <w:tcPr>
            <w:tcW w:w="178" w:type="pct"/>
            <w:noWrap/>
            <w:vAlign w:val="center"/>
          </w:tcPr>
          <w:p>
            <w:pPr>
              <w:widowControl/>
              <w:jc w:val="center"/>
              <w:rPr>
                <w:rFonts w:hint="eastAsia" w:ascii="宋体" w:hAnsi="宋体" w:cs="宋体"/>
                <w:color w:val="000000"/>
                <w:kern w:val="0"/>
                <w:szCs w:val="21"/>
              </w:rPr>
            </w:pPr>
          </w:p>
        </w:tc>
        <w:tc>
          <w:tcPr>
            <w:tcW w:w="21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82" w:type="pct"/>
            <w:noWrap/>
            <w:vAlign w:val="center"/>
          </w:tcPr>
          <w:p>
            <w:pPr>
              <w:widowControl/>
              <w:jc w:val="center"/>
              <w:rPr>
                <w:rFonts w:hint="eastAsia" w:ascii="宋体" w:hAnsi="宋体" w:cs="宋体"/>
                <w:color w:val="000000"/>
                <w:kern w:val="0"/>
                <w:szCs w:val="21"/>
              </w:rPr>
            </w:pPr>
          </w:p>
        </w:tc>
        <w:tc>
          <w:tcPr>
            <w:tcW w:w="219" w:type="pct"/>
            <w:noWrap/>
            <w:vAlign w:val="center"/>
          </w:tcPr>
          <w:p>
            <w:pPr>
              <w:widowControl/>
              <w:jc w:val="center"/>
              <w:rPr>
                <w:rFonts w:hint="eastAsia" w:ascii="宋体" w:hAnsi="宋体" w:cs="宋体"/>
                <w:color w:val="000000"/>
                <w:kern w:val="0"/>
                <w:szCs w:val="21"/>
              </w:rPr>
            </w:pP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38</w:t>
            </w:r>
          </w:p>
        </w:tc>
        <w:tc>
          <w:tcPr>
            <w:tcW w:w="70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TT0101~TT0106(1)</w:t>
            </w:r>
          </w:p>
        </w:tc>
        <w:tc>
          <w:tcPr>
            <w:tcW w:w="7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泵房水泵</w:t>
            </w:r>
          </w:p>
        </w:tc>
        <w:tc>
          <w:tcPr>
            <w:tcW w:w="39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电动机A相绕组温度</w:t>
            </w:r>
          </w:p>
        </w:tc>
        <w:tc>
          <w:tcPr>
            <w:tcW w:w="17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p>
        </w:tc>
        <w:tc>
          <w:tcPr>
            <w:tcW w:w="219" w:type="pct"/>
            <w:noWrap/>
            <w:vAlign w:val="center"/>
          </w:tcPr>
          <w:p>
            <w:pPr>
              <w:widowControl/>
              <w:jc w:val="center"/>
              <w:rPr>
                <w:rFonts w:hint="eastAsia" w:ascii="宋体" w:hAnsi="宋体" w:cs="宋体"/>
                <w:color w:val="000000"/>
                <w:kern w:val="0"/>
                <w:szCs w:val="21"/>
              </w:rPr>
            </w:pP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引自温度巡检仪 WX0101~06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39</w:t>
            </w:r>
          </w:p>
        </w:tc>
        <w:tc>
          <w:tcPr>
            <w:tcW w:w="70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TT0101~TT0106(2)</w:t>
            </w:r>
          </w:p>
        </w:tc>
        <w:tc>
          <w:tcPr>
            <w:tcW w:w="7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泵房水泵</w:t>
            </w:r>
          </w:p>
        </w:tc>
        <w:tc>
          <w:tcPr>
            <w:tcW w:w="39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电动机B相绕组温度</w:t>
            </w:r>
          </w:p>
        </w:tc>
        <w:tc>
          <w:tcPr>
            <w:tcW w:w="17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p>
        </w:tc>
        <w:tc>
          <w:tcPr>
            <w:tcW w:w="219" w:type="pct"/>
            <w:noWrap/>
            <w:vAlign w:val="center"/>
          </w:tcPr>
          <w:p>
            <w:pPr>
              <w:widowControl/>
              <w:jc w:val="center"/>
              <w:rPr>
                <w:rFonts w:hint="eastAsia" w:ascii="宋体" w:hAnsi="宋体" w:cs="宋体"/>
                <w:color w:val="000000"/>
                <w:kern w:val="0"/>
                <w:szCs w:val="21"/>
              </w:rPr>
            </w:pP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引自温度巡检仪 WX0101~06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40</w:t>
            </w:r>
          </w:p>
        </w:tc>
        <w:tc>
          <w:tcPr>
            <w:tcW w:w="70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TT0101~TT0106(3)</w:t>
            </w:r>
          </w:p>
        </w:tc>
        <w:tc>
          <w:tcPr>
            <w:tcW w:w="7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泵房水泵</w:t>
            </w:r>
          </w:p>
        </w:tc>
        <w:tc>
          <w:tcPr>
            <w:tcW w:w="39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电动机C相绕组温度</w:t>
            </w:r>
          </w:p>
        </w:tc>
        <w:tc>
          <w:tcPr>
            <w:tcW w:w="17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p>
        </w:tc>
        <w:tc>
          <w:tcPr>
            <w:tcW w:w="219" w:type="pct"/>
            <w:noWrap/>
            <w:vAlign w:val="center"/>
          </w:tcPr>
          <w:p>
            <w:pPr>
              <w:widowControl/>
              <w:jc w:val="center"/>
              <w:rPr>
                <w:rFonts w:hint="eastAsia" w:ascii="宋体" w:hAnsi="宋体" w:cs="宋体"/>
                <w:color w:val="000000"/>
                <w:kern w:val="0"/>
                <w:szCs w:val="21"/>
              </w:rPr>
            </w:pP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引自温度巡检仪 WX0101~06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41</w:t>
            </w:r>
          </w:p>
        </w:tc>
        <w:tc>
          <w:tcPr>
            <w:tcW w:w="70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TT0101~TT0106(4)</w:t>
            </w:r>
          </w:p>
        </w:tc>
        <w:tc>
          <w:tcPr>
            <w:tcW w:w="7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泵房水泵</w:t>
            </w:r>
          </w:p>
        </w:tc>
        <w:tc>
          <w:tcPr>
            <w:tcW w:w="39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电动机前轴承温度</w:t>
            </w:r>
          </w:p>
        </w:tc>
        <w:tc>
          <w:tcPr>
            <w:tcW w:w="17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p>
        </w:tc>
        <w:tc>
          <w:tcPr>
            <w:tcW w:w="219" w:type="pct"/>
            <w:noWrap/>
            <w:vAlign w:val="center"/>
          </w:tcPr>
          <w:p>
            <w:pPr>
              <w:widowControl/>
              <w:jc w:val="center"/>
              <w:rPr>
                <w:rFonts w:hint="eastAsia" w:ascii="宋体" w:hAnsi="宋体" w:cs="宋体"/>
                <w:color w:val="000000"/>
                <w:kern w:val="0"/>
                <w:szCs w:val="21"/>
              </w:rPr>
            </w:pP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引自温度巡检仪 WX0101~06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42</w:t>
            </w:r>
          </w:p>
        </w:tc>
        <w:tc>
          <w:tcPr>
            <w:tcW w:w="70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TT0101~TT0106(5)</w:t>
            </w:r>
          </w:p>
        </w:tc>
        <w:tc>
          <w:tcPr>
            <w:tcW w:w="7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泵房水泵</w:t>
            </w:r>
          </w:p>
        </w:tc>
        <w:tc>
          <w:tcPr>
            <w:tcW w:w="39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电动机后轴承温度</w:t>
            </w:r>
          </w:p>
        </w:tc>
        <w:tc>
          <w:tcPr>
            <w:tcW w:w="17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p>
        </w:tc>
        <w:tc>
          <w:tcPr>
            <w:tcW w:w="219" w:type="pct"/>
            <w:noWrap/>
            <w:vAlign w:val="center"/>
          </w:tcPr>
          <w:p>
            <w:pPr>
              <w:widowControl/>
              <w:jc w:val="center"/>
              <w:rPr>
                <w:rFonts w:hint="eastAsia" w:ascii="宋体" w:hAnsi="宋体" w:cs="宋体"/>
                <w:color w:val="000000"/>
                <w:kern w:val="0"/>
                <w:szCs w:val="21"/>
              </w:rPr>
            </w:pP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引自温度巡检仪 WX0101~06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43</w:t>
            </w:r>
          </w:p>
        </w:tc>
        <w:tc>
          <w:tcPr>
            <w:tcW w:w="70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TT0101~TT0106(6)</w:t>
            </w:r>
          </w:p>
        </w:tc>
        <w:tc>
          <w:tcPr>
            <w:tcW w:w="7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泵房水泵</w:t>
            </w:r>
          </w:p>
        </w:tc>
        <w:tc>
          <w:tcPr>
            <w:tcW w:w="39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水泵前轴承温度</w:t>
            </w:r>
          </w:p>
        </w:tc>
        <w:tc>
          <w:tcPr>
            <w:tcW w:w="17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p>
        </w:tc>
        <w:tc>
          <w:tcPr>
            <w:tcW w:w="219" w:type="pct"/>
            <w:noWrap/>
            <w:vAlign w:val="center"/>
          </w:tcPr>
          <w:p>
            <w:pPr>
              <w:widowControl/>
              <w:jc w:val="center"/>
              <w:rPr>
                <w:rFonts w:hint="eastAsia" w:ascii="宋体" w:hAnsi="宋体" w:cs="宋体"/>
                <w:color w:val="000000"/>
                <w:kern w:val="0"/>
                <w:szCs w:val="21"/>
              </w:rPr>
            </w:pP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引自温度巡检仪 WX0101~06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44</w:t>
            </w:r>
          </w:p>
        </w:tc>
        <w:tc>
          <w:tcPr>
            <w:tcW w:w="70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TT0101~TT0106(7)</w:t>
            </w:r>
          </w:p>
        </w:tc>
        <w:tc>
          <w:tcPr>
            <w:tcW w:w="7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泵房水泵</w:t>
            </w:r>
          </w:p>
        </w:tc>
        <w:tc>
          <w:tcPr>
            <w:tcW w:w="39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水泵后轴承温度</w:t>
            </w:r>
          </w:p>
        </w:tc>
        <w:tc>
          <w:tcPr>
            <w:tcW w:w="17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p>
        </w:tc>
        <w:tc>
          <w:tcPr>
            <w:tcW w:w="219" w:type="pct"/>
            <w:noWrap/>
            <w:vAlign w:val="center"/>
          </w:tcPr>
          <w:p>
            <w:pPr>
              <w:widowControl/>
              <w:jc w:val="center"/>
              <w:rPr>
                <w:rFonts w:hint="eastAsia" w:ascii="宋体" w:hAnsi="宋体" w:cs="宋体"/>
                <w:color w:val="000000"/>
                <w:kern w:val="0"/>
                <w:szCs w:val="21"/>
              </w:rPr>
            </w:pP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引自温度巡检仪 WX0101~06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45</w:t>
            </w:r>
          </w:p>
        </w:tc>
        <w:tc>
          <w:tcPr>
            <w:tcW w:w="707" w:type="pct"/>
            <w:noWrap/>
            <w:vAlign w:val="center"/>
          </w:tcPr>
          <w:p>
            <w:pPr>
              <w:widowControl/>
              <w:jc w:val="center"/>
              <w:rPr>
                <w:rFonts w:hint="eastAsia" w:ascii="宋体" w:hAnsi="宋体" w:cs="宋体"/>
                <w:color w:val="000000"/>
                <w:kern w:val="0"/>
                <w:szCs w:val="21"/>
              </w:rPr>
            </w:pPr>
          </w:p>
        </w:tc>
        <w:tc>
          <w:tcPr>
            <w:tcW w:w="7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UPS</w:t>
            </w:r>
          </w:p>
        </w:tc>
        <w:tc>
          <w:tcPr>
            <w:tcW w:w="39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自动旁路运行</w:t>
            </w:r>
          </w:p>
        </w:tc>
        <w:tc>
          <w:tcPr>
            <w:tcW w:w="178" w:type="pct"/>
            <w:noWrap/>
            <w:vAlign w:val="center"/>
          </w:tcPr>
          <w:p>
            <w:pPr>
              <w:widowControl/>
              <w:jc w:val="center"/>
              <w:rPr>
                <w:rFonts w:hint="eastAsia" w:ascii="宋体" w:hAnsi="宋体" w:cs="宋体"/>
                <w:color w:val="000000"/>
                <w:kern w:val="0"/>
                <w:szCs w:val="21"/>
              </w:rPr>
            </w:pP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p>
        </w:tc>
        <w:tc>
          <w:tcPr>
            <w:tcW w:w="219" w:type="pct"/>
            <w:noWrap/>
            <w:vAlign w:val="center"/>
          </w:tcPr>
          <w:p>
            <w:pPr>
              <w:widowControl/>
              <w:jc w:val="center"/>
              <w:rPr>
                <w:rFonts w:hint="eastAsia" w:ascii="宋体" w:hAnsi="宋体" w:cs="宋体"/>
                <w:color w:val="000000"/>
                <w:kern w:val="0"/>
                <w:szCs w:val="21"/>
              </w:rPr>
            </w:pP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46</w:t>
            </w:r>
          </w:p>
        </w:tc>
        <w:tc>
          <w:tcPr>
            <w:tcW w:w="707" w:type="pct"/>
            <w:noWrap/>
            <w:vAlign w:val="center"/>
          </w:tcPr>
          <w:p>
            <w:pPr>
              <w:widowControl/>
              <w:jc w:val="center"/>
              <w:rPr>
                <w:rFonts w:hint="eastAsia" w:ascii="宋体" w:hAnsi="宋体" w:cs="宋体"/>
                <w:color w:val="000000"/>
                <w:kern w:val="0"/>
                <w:szCs w:val="21"/>
              </w:rPr>
            </w:pPr>
          </w:p>
        </w:tc>
        <w:tc>
          <w:tcPr>
            <w:tcW w:w="776" w:type="pct"/>
            <w:noWrap/>
            <w:vAlign w:val="center"/>
          </w:tcPr>
          <w:p>
            <w:pPr>
              <w:widowControl/>
              <w:jc w:val="center"/>
              <w:rPr>
                <w:rFonts w:hint="eastAsia" w:ascii="宋体" w:hAnsi="宋体" w:cs="宋体"/>
                <w:color w:val="000000"/>
                <w:kern w:val="0"/>
                <w:szCs w:val="21"/>
              </w:rPr>
            </w:pPr>
          </w:p>
        </w:tc>
        <w:tc>
          <w:tcPr>
            <w:tcW w:w="399" w:type="pct"/>
            <w:noWrap/>
            <w:vAlign w:val="center"/>
          </w:tcPr>
          <w:p>
            <w:pPr>
              <w:widowControl/>
              <w:jc w:val="center"/>
              <w:rPr>
                <w:rFonts w:hint="eastAsia" w:ascii="宋体" w:hAnsi="宋体" w:cs="宋体"/>
                <w:color w:val="000000"/>
                <w:kern w:val="0"/>
                <w:szCs w:val="21"/>
              </w:rPr>
            </w:pP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电池运行</w:t>
            </w:r>
          </w:p>
        </w:tc>
        <w:tc>
          <w:tcPr>
            <w:tcW w:w="178" w:type="pct"/>
            <w:noWrap/>
            <w:vAlign w:val="center"/>
          </w:tcPr>
          <w:p>
            <w:pPr>
              <w:widowControl/>
              <w:jc w:val="center"/>
              <w:rPr>
                <w:rFonts w:hint="eastAsia" w:ascii="宋体" w:hAnsi="宋体" w:cs="宋体"/>
                <w:color w:val="000000"/>
                <w:kern w:val="0"/>
                <w:szCs w:val="21"/>
              </w:rPr>
            </w:pP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p>
        </w:tc>
        <w:tc>
          <w:tcPr>
            <w:tcW w:w="219" w:type="pct"/>
            <w:noWrap/>
            <w:vAlign w:val="center"/>
          </w:tcPr>
          <w:p>
            <w:pPr>
              <w:widowControl/>
              <w:jc w:val="center"/>
              <w:rPr>
                <w:rFonts w:hint="eastAsia" w:ascii="宋体" w:hAnsi="宋体" w:cs="宋体"/>
                <w:color w:val="000000"/>
                <w:kern w:val="0"/>
                <w:szCs w:val="21"/>
              </w:rPr>
            </w:pP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47</w:t>
            </w:r>
          </w:p>
        </w:tc>
        <w:tc>
          <w:tcPr>
            <w:tcW w:w="707" w:type="pct"/>
            <w:noWrap/>
            <w:vAlign w:val="center"/>
          </w:tcPr>
          <w:p>
            <w:pPr>
              <w:widowControl/>
              <w:jc w:val="center"/>
              <w:rPr>
                <w:rFonts w:hint="eastAsia" w:ascii="宋体" w:hAnsi="宋体" w:cs="宋体"/>
                <w:color w:val="000000"/>
                <w:kern w:val="0"/>
                <w:szCs w:val="21"/>
              </w:rPr>
            </w:pPr>
          </w:p>
        </w:tc>
        <w:tc>
          <w:tcPr>
            <w:tcW w:w="776" w:type="pct"/>
            <w:noWrap/>
            <w:vAlign w:val="center"/>
          </w:tcPr>
          <w:p>
            <w:pPr>
              <w:widowControl/>
              <w:jc w:val="center"/>
              <w:rPr>
                <w:rFonts w:hint="eastAsia" w:ascii="宋体" w:hAnsi="宋体" w:cs="宋体"/>
                <w:color w:val="000000"/>
                <w:kern w:val="0"/>
                <w:szCs w:val="21"/>
              </w:rPr>
            </w:pPr>
          </w:p>
        </w:tc>
        <w:tc>
          <w:tcPr>
            <w:tcW w:w="399" w:type="pct"/>
            <w:noWrap/>
            <w:vAlign w:val="center"/>
          </w:tcPr>
          <w:p>
            <w:pPr>
              <w:widowControl/>
              <w:jc w:val="center"/>
              <w:rPr>
                <w:rFonts w:hint="eastAsia" w:ascii="宋体" w:hAnsi="宋体" w:cs="宋体"/>
                <w:color w:val="000000"/>
                <w:kern w:val="0"/>
                <w:szCs w:val="21"/>
              </w:rPr>
            </w:pP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电池故障</w:t>
            </w:r>
          </w:p>
        </w:tc>
        <w:tc>
          <w:tcPr>
            <w:tcW w:w="178" w:type="pct"/>
            <w:noWrap/>
            <w:vAlign w:val="center"/>
          </w:tcPr>
          <w:p>
            <w:pPr>
              <w:widowControl/>
              <w:jc w:val="center"/>
              <w:rPr>
                <w:rFonts w:hint="eastAsia" w:ascii="宋体" w:hAnsi="宋体" w:cs="宋体"/>
                <w:color w:val="000000"/>
                <w:kern w:val="0"/>
                <w:szCs w:val="21"/>
              </w:rPr>
            </w:pP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p>
        </w:tc>
        <w:tc>
          <w:tcPr>
            <w:tcW w:w="219" w:type="pct"/>
            <w:noWrap/>
            <w:vAlign w:val="center"/>
          </w:tcPr>
          <w:p>
            <w:pPr>
              <w:widowControl/>
              <w:jc w:val="center"/>
              <w:rPr>
                <w:rFonts w:hint="eastAsia" w:ascii="宋体" w:hAnsi="宋体" w:cs="宋体"/>
                <w:color w:val="000000"/>
                <w:kern w:val="0"/>
                <w:szCs w:val="21"/>
              </w:rPr>
            </w:pP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48</w:t>
            </w:r>
          </w:p>
        </w:tc>
        <w:tc>
          <w:tcPr>
            <w:tcW w:w="707" w:type="pct"/>
            <w:noWrap/>
            <w:vAlign w:val="center"/>
          </w:tcPr>
          <w:p>
            <w:pPr>
              <w:widowControl/>
              <w:jc w:val="center"/>
              <w:rPr>
                <w:rFonts w:hint="eastAsia" w:ascii="宋体" w:hAnsi="宋体" w:cs="宋体"/>
                <w:color w:val="000000"/>
                <w:kern w:val="0"/>
                <w:szCs w:val="21"/>
              </w:rPr>
            </w:pPr>
          </w:p>
        </w:tc>
        <w:tc>
          <w:tcPr>
            <w:tcW w:w="776" w:type="pct"/>
            <w:noWrap/>
            <w:vAlign w:val="center"/>
          </w:tcPr>
          <w:p>
            <w:pPr>
              <w:widowControl/>
              <w:jc w:val="center"/>
              <w:rPr>
                <w:rFonts w:hint="eastAsia" w:ascii="宋体" w:hAnsi="宋体" w:cs="宋体"/>
                <w:color w:val="000000"/>
                <w:kern w:val="0"/>
                <w:szCs w:val="21"/>
              </w:rPr>
            </w:pPr>
          </w:p>
        </w:tc>
        <w:tc>
          <w:tcPr>
            <w:tcW w:w="399" w:type="pct"/>
            <w:noWrap/>
            <w:vAlign w:val="center"/>
          </w:tcPr>
          <w:p>
            <w:pPr>
              <w:widowControl/>
              <w:jc w:val="center"/>
              <w:rPr>
                <w:rFonts w:hint="eastAsia" w:ascii="宋体" w:hAnsi="宋体" w:cs="宋体"/>
                <w:color w:val="000000"/>
                <w:kern w:val="0"/>
                <w:szCs w:val="21"/>
              </w:rPr>
            </w:pP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低电量</w:t>
            </w:r>
          </w:p>
        </w:tc>
        <w:tc>
          <w:tcPr>
            <w:tcW w:w="178" w:type="pct"/>
            <w:noWrap/>
            <w:vAlign w:val="center"/>
          </w:tcPr>
          <w:p>
            <w:pPr>
              <w:widowControl/>
              <w:jc w:val="center"/>
              <w:rPr>
                <w:rFonts w:hint="eastAsia" w:ascii="宋体" w:hAnsi="宋体" w:cs="宋体"/>
                <w:color w:val="000000"/>
                <w:kern w:val="0"/>
                <w:szCs w:val="21"/>
              </w:rPr>
            </w:pP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p>
        </w:tc>
        <w:tc>
          <w:tcPr>
            <w:tcW w:w="219" w:type="pct"/>
            <w:noWrap/>
            <w:vAlign w:val="center"/>
          </w:tcPr>
          <w:p>
            <w:pPr>
              <w:widowControl/>
              <w:jc w:val="center"/>
              <w:rPr>
                <w:rFonts w:hint="eastAsia" w:ascii="宋体" w:hAnsi="宋体" w:cs="宋体"/>
                <w:color w:val="000000"/>
                <w:kern w:val="0"/>
                <w:szCs w:val="21"/>
              </w:rPr>
            </w:pP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49</w:t>
            </w:r>
          </w:p>
        </w:tc>
        <w:tc>
          <w:tcPr>
            <w:tcW w:w="707" w:type="pct"/>
            <w:noWrap/>
            <w:vAlign w:val="center"/>
          </w:tcPr>
          <w:p>
            <w:pPr>
              <w:widowControl/>
              <w:jc w:val="center"/>
              <w:rPr>
                <w:rFonts w:hint="eastAsia" w:ascii="宋体" w:hAnsi="宋体" w:cs="宋体"/>
                <w:color w:val="000000"/>
                <w:kern w:val="0"/>
                <w:szCs w:val="21"/>
              </w:rPr>
            </w:pPr>
          </w:p>
        </w:tc>
        <w:tc>
          <w:tcPr>
            <w:tcW w:w="776" w:type="pct"/>
            <w:noWrap/>
            <w:vAlign w:val="center"/>
          </w:tcPr>
          <w:p>
            <w:pPr>
              <w:widowControl/>
              <w:jc w:val="center"/>
              <w:rPr>
                <w:rFonts w:hint="eastAsia" w:ascii="宋体" w:hAnsi="宋体" w:cs="宋体"/>
                <w:color w:val="000000"/>
                <w:kern w:val="0"/>
                <w:szCs w:val="21"/>
              </w:rPr>
            </w:pPr>
          </w:p>
        </w:tc>
        <w:tc>
          <w:tcPr>
            <w:tcW w:w="399" w:type="pct"/>
            <w:noWrap/>
            <w:vAlign w:val="center"/>
          </w:tcPr>
          <w:p>
            <w:pPr>
              <w:widowControl/>
              <w:jc w:val="center"/>
              <w:rPr>
                <w:rFonts w:hint="eastAsia" w:ascii="宋体" w:hAnsi="宋体" w:cs="宋体"/>
                <w:color w:val="000000"/>
                <w:kern w:val="0"/>
                <w:szCs w:val="21"/>
              </w:rPr>
            </w:pP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过载保护</w:t>
            </w:r>
          </w:p>
        </w:tc>
        <w:tc>
          <w:tcPr>
            <w:tcW w:w="178" w:type="pct"/>
            <w:noWrap/>
            <w:vAlign w:val="center"/>
          </w:tcPr>
          <w:p>
            <w:pPr>
              <w:widowControl/>
              <w:jc w:val="center"/>
              <w:rPr>
                <w:rFonts w:hint="eastAsia" w:ascii="宋体" w:hAnsi="宋体" w:cs="宋体"/>
                <w:color w:val="000000"/>
                <w:kern w:val="0"/>
                <w:szCs w:val="21"/>
              </w:rPr>
            </w:pP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p>
        </w:tc>
        <w:tc>
          <w:tcPr>
            <w:tcW w:w="219" w:type="pct"/>
            <w:noWrap/>
            <w:vAlign w:val="center"/>
          </w:tcPr>
          <w:p>
            <w:pPr>
              <w:widowControl/>
              <w:jc w:val="center"/>
              <w:rPr>
                <w:rFonts w:hint="eastAsia" w:ascii="宋体" w:hAnsi="宋体" w:cs="宋体"/>
                <w:color w:val="000000"/>
                <w:kern w:val="0"/>
                <w:szCs w:val="21"/>
              </w:rPr>
            </w:pP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707" w:type="pct"/>
            <w:noWrap/>
            <w:vAlign w:val="center"/>
          </w:tcPr>
          <w:p>
            <w:pPr>
              <w:widowControl/>
              <w:jc w:val="center"/>
              <w:rPr>
                <w:rFonts w:hint="eastAsia" w:ascii="宋体" w:hAnsi="宋体" w:cs="宋体"/>
                <w:color w:val="000000"/>
                <w:kern w:val="0"/>
                <w:szCs w:val="21"/>
              </w:rPr>
            </w:pPr>
          </w:p>
        </w:tc>
        <w:tc>
          <w:tcPr>
            <w:tcW w:w="776" w:type="pct"/>
            <w:noWrap/>
            <w:vAlign w:val="center"/>
          </w:tcPr>
          <w:p>
            <w:pPr>
              <w:widowControl/>
              <w:jc w:val="center"/>
              <w:rPr>
                <w:rFonts w:hint="eastAsia" w:ascii="宋体" w:hAnsi="宋体" w:cs="宋体"/>
                <w:color w:val="000000"/>
                <w:kern w:val="0"/>
                <w:szCs w:val="21"/>
              </w:rPr>
            </w:pPr>
          </w:p>
        </w:tc>
        <w:tc>
          <w:tcPr>
            <w:tcW w:w="399" w:type="pct"/>
            <w:noWrap/>
            <w:vAlign w:val="center"/>
          </w:tcPr>
          <w:p>
            <w:pPr>
              <w:widowControl/>
              <w:jc w:val="center"/>
              <w:rPr>
                <w:rFonts w:hint="eastAsia" w:ascii="宋体" w:hAnsi="宋体" w:cs="宋体"/>
                <w:color w:val="000000"/>
                <w:kern w:val="0"/>
                <w:szCs w:val="21"/>
              </w:rPr>
            </w:pPr>
          </w:p>
        </w:tc>
        <w:tc>
          <w:tcPr>
            <w:tcW w:w="78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进线断路器故障</w:t>
            </w:r>
          </w:p>
        </w:tc>
        <w:tc>
          <w:tcPr>
            <w:tcW w:w="178" w:type="pct"/>
            <w:noWrap/>
            <w:vAlign w:val="center"/>
          </w:tcPr>
          <w:p>
            <w:pPr>
              <w:widowControl/>
              <w:jc w:val="center"/>
              <w:rPr>
                <w:rFonts w:hint="eastAsia" w:ascii="宋体" w:hAnsi="宋体" w:cs="宋体"/>
                <w:color w:val="000000"/>
                <w:kern w:val="0"/>
                <w:szCs w:val="21"/>
              </w:rPr>
            </w:pPr>
          </w:p>
        </w:tc>
        <w:tc>
          <w:tcPr>
            <w:tcW w:w="216" w:type="pct"/>
            <w:noWrap/>
            <w:vAlign w:val="center"/>
          </w:tcPr>
          <w:p>
            <w:pPr>
              <w:widowControl/>
              <w:jc w:val="center"/>
              <w:rPr>
                <w:rFonts w:hint="eastAsia" w:ascii="宋体" w:hAnsi="宋体" w:cs="宋体"/>
                <w:color w:val="000000"/>
                <w:kern w:val="0"/>
                <w:szCs w:val="21"/>
              </w:rPr>
            </w:pPr>
          </w:p>
        </w:tc>
        <w:tc>
          <w:tcPr>
            <w:tcW w:w="182" w:type="pct"/>
            <w:noWrap/>
            <w:vAlign w:val="center"/>
          </w:tcPr>
          <w:p>
            <w:pPr>
              <w:widowControl/>
              <w:jc w:val="center"/>
              <w:rPr>
                <w:rFonts w:hint="eastAsia" w:ascii="宋体" w:hAnsi="宋体" w:cs="宋体"/>
                <w:color w:val="000000"/>
                <w:kern w:val="0"/>
                <w:szCs w:val="21"/>
              </w:rPr>
            </w:pPr>
          </w:p>
        </w:tc>
        <w:tc>
          <w:tcPr>
            <w:tcW w:w="219" w:type="pct"/>
            <w:noWrap/>
            <w:vAlign w:val="center"/>
          </w:tcPr>
          <w:p>
            <w:pPr>
              <w:widowControl/>
              <w:jc w:val="center"/>
              <w:rPr>
                <w:rFonts w:hint="eastAsia" w:ascii="宋体" w:hAnsi="宋体" w:cs="宋体"/>
                <w:color w:val="000000"/>
                <w:kern w:val="0"/>
                <w:szCs w:val="21"/>
              </w:rPr>
            </w:pPr>
          </w:p>
        </w:tc>
        <w:tc>
          <w:tcPr>
            <w:tcW w:w="218" w:type="pct"/>
            <w:noWrap/>
            <w:vAlign w:val="center"/>
          </w:tcPr>
          <w:p>
            <w:pPr>
              <w:widowControl/>
              <w:jc w:val="center"/>
              <w:rPr>
                <w:rFonts w:hint="eastAsia" w:ascii="宋体" w:hAnsi="宋体" w:cs="宋体"/>
                <w:color w:val="000000"/>
                <w:kern w:val="0"/>
                <w:szCs w:val="21"/>
              </w:rPr>
            </w:pPr>
          </w:p>
        </w:tc>
        <w:tc>
          <w:tcPr>
            <w:tcW w:w="1058" w:type="pct"/>
            <w:noWrap/>
            <w:vAlign w:val="center"/>
          </w:tcPr>
          <w:p>
            <w:pPr>
              <w:widowControl/>
              <w:jc w:val="center"/>
              <w:rPr>
                <w:rFonts w:hint="eastAsia" w:ascii="宋体" w:hAnsi="宋体" w:cs="宋体"/>
                <w:color w:val="000000"/>
                <w:kern w:val="0"/>
                <w:szCs w:val="21"/>
              </w:rPr>
            </w:pPr>
          </w:p>
        </w:tc>
      </w:tr>
    </w:tbl>
    <w:p>
      <w:pPr>
        <w:rPr>
          <w:rFonts w:hint="eastAsia" w:ascii="宋体" w:hAnsi="宋体" w:cs="宋体"/>
          <w:color w:val="000000"/>
          <w:szCs w:val="21"/>
        </w:rPr>
      </w:pPr>
      <w:r>
        <w:rPr>
          <w:rFonts w:hint="eastAsia" w:ascii="宋体" w:hAnsi="宋体" w:cs="宋体"/>
          <w:color w:val="000000"/>
          <w:szCs w:val="21"/>
        </w:rPr>
        <w:t>（四）泵房改造自控材料表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011"/>
        <w:gridCol w:w="1463"/>
        <w:gridCol w:w="4279"/>
        <w:gridCol w:w="615"/>
        <w:gridCol w:w="663"/>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序号</w:t>
            </w:r>
          </w:p>
        </w:tc>
        <w:tc>
          <w:tcPr>
            <w:tcW w:w="52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设备编号</w:t>
            </w:r>
          </w:p>
        </w:tc>
        <w:tc>
          <w:tcPr>
            <w:tcW w:w="76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名   称</w:t>
            </w:r>
          </w:p>
        </w:tc>
        <w:tc>
          <w:tcPr>
            <w:tcW w:w="223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型 号 及 规 格</w:t>
            </w:r>
          </w:p>
        </w:tc>
        <w:tc>
          <w:tcPr>
            <w:tcW w:w="32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单位</w:t>
            </w:r>
          </w:p>
        </w:tc>
        <w:tc>
          <w:tcPr>
            <w:tcW w:w="3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数量</w:t>
            </w:r>
          </w:p>
        </w:tc>
        <w:tc>
          <w:tcPr>
            <w:tcW w:w="5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一</w:t>
            </w:r>
          </w:p>
        </w:tc>
        <w:tc>
          <w:tcPr>
            <w:tcW w:w="52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检测仪表</w:t>
            </w:r>
          </w:p>
        </w:tc>
        <w:tc>
          <w:tcPr>
            <w:tcW w:w="764" w:type="pct"/>
            <w:noWrap/>
            <w:vAlign w:val="center"/>
          </w:tcPr>
          <w:p>
            <w:pPr>
              <w:widowControl/>
              <w:jc w:val="center"/>
              <w:rPr>
                <w:rFonts w:hint="eastAsia" w:ascii="宋体" w:hAnsi="宋体" w:cs="宋体"/>
                <w:color w:val="000000"/>
                <w:kern w:val="0"/>
                <w:szCs w:val="21"/>
              </w:rPr>
            </w:pPr>
          </w:p>
        </w:tc>
        <w:tc>
          <w:tcPr>
            <w:tcW w:w="2234" w:type="pct"/>
            <w:noWrap/>
            <w:vAlign w:val="center"/>
          </w:tcPr>
          <w:p>
            <w:pPr>
              <w:widowControl/>
              <w:jc w:val="center"/>
              <w:rPr>
                <w:rFonts w:hint="eastAsia" w:ascii="宋体" w:hAnsi="宋体" w:cs="宋体"/>
                <w:color w:val="000000"/>
                <w:kern w:val="0"/>
                <w:szCs w:val="21"/>
              </w:rPr>
            </w:pPr>
          </w:p>
        </w:tc>
        <w:tc>
          <w:tcPr>
            <w:tcW w:w="321" w:type="pct"/>
            <w:noWrap/>
            <w:vAlign w:val="center"/>
          </w:tcPr>
          <w:p>
            <w:pPr>
              <w:widowControl/>
              <w:jc w:val="center"/>
              <w:rPr>
                <w:rFonts w:hint="eastAsia" w:ascii="宋体" w:hAnsi="宋体" w:cs="宋体"/>
                <w:color w:val="000000"/>
                <w:kern w:val="0"/>
                <w:szCs w:val="21"/>
              </w:rPr>
            </w:pPr>
          </w:p>
        </w:tc>
        <w:tc>
          <w:tcPr>
            <w:tcW w:w="346" w:type="pct"/>
            <w:noWrap/>
            <w:vAlign w:val="center"/>
          </w:tcPr>
          <w:p>
            <w:pPr>
              <w:widowControl/>
              <w:jc w:val="center"/>
              <w:rPr>
                <w:rFonts w:hint="eastAsia" w:ascii="宋体" w:hAnsi="宋体" w:cs="宋体"/>
                <w:color w:val="000000"/>
                <w:kern w:val="0"/>
                <w:szCs w:val="21"/>
              </w:rPr>
            </w:pPr>
          </w:p>
        </w:tc>
        <w:tc>
          <w:tcPr>
            <w:tcW w:w="576"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528" w:type="pct"/>
            <w:noWrap/>
            <w:vAlign w:val="center"/>
          </w:tcPr>
          <w:p>
            <w:pPr>
              <w:widowControl/>
              <w:jc w:val="center"/>
              <w:rPr>
                <w:rFonts w:hint="eastAsia" w:ascii="宋体" w:hAnsi="宋体" w:cs="宋体"/>
                <w:color w:val="000000"/>
                <w:kern w:val="0"/>
                <w:szCs w:val="21"/>
              </w:rPr>
            </w:pPr>
          </w:p>
        </w:tc>
        <w:tc>
          <w:tcPr>
            <w:tcW w:w="76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泵房出水流量仪</w:t>
            </w:r>
          </w:p>
        </w:tc>
        <w:tc>
          <w:tcPr>
            <w:tcW w:w="223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工艺口径DN2000，分体式，输出：4－20mA；防护等级：IP68，配套电缆长度100m</w:t>
            </w:r>
          </w:p>
        </w:tc>
        <w:tc>
          <w:tcPr>
            <w:tcW w:w="32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套</w:t>
            </w:r>
          </w:p>
        </w:tc>
        <w:tc>
          <w:tcPr>
            <w:tcW w:w="3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576"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noWrap/>
            <w:vAlign w:val="center"/>
          </w:tcPr>
          <w:p>
            <w:pPr>
              <w:widowControl/>
              <w:jc w:val="center"/>
              <w:rPr>
                <w:rFonts w:hint="eastAsia" w:ascii="宋体" w:hAnsi="宋体" w:cs="宋体"/>
                <w:color w:val="000000"/>
                <w:kern w:val="0"/>
                <w:szCs w:val="21"/>
              </w:rPr>
            </w:pPr>
          </w:p>
        </w:tc>
        <w:tc>
          <w:tcPr>
            <w:tcW w:w="52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TuT0001</w:t>
            </w:r>
          </w:p>
        </w:tc>
        <w:tc>
          <w:tcPr>
            <w:tcW w:w="76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水厂进水浊度仪</w:t>
            </w:r>
          </w:p>
        </w:tc>
        <w:tc>
          <w:tcPr>
            <w:tcW w:w="223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1720E ，0~100NTU</w:t>
            </w:r>
          </w:p>
        </w:tc>
        <w:tc>
          <w:tcPr>
            <w:tcW w:w="32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套</w:t>
            </w:r>
          </w:p>
        </w:tc>
        <w:tc>
          <w:tcPr>
            <w:tcW w:w="3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576"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231" w:type="pct"/>
            <w:noWrap/>
            <w:vAlign w:val="center"/>
          </w:tcPr>
          <w:p>
            <w:pPr>
              <w:widowControl/>
              <w:jc w:val="center"/>
              <w:rPr>
                <w:rFonts w:hint="eastAsia" w:ascii="宋体" w:hAnsi="宋体" w:cs="宋体"/>
                <w:color w:val="000000"/>
                <w:kern w:val="0"/>
                <w:szCs w:val="21"/>
              </w:rPr>
            </w:pPr>
          </w:p>
        </w:tc>
        <w:tc>
          <w:tcPr>
            <w:tcW w:w="52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CT0001</w:t>
            </w:r>
          </w:p>
        </w:tc>
        <w:tc>
          <w:tcPr>
            <w:tcW w:w="76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水厂进水电导仪</w:t>
            </w:r>
          </w:p>
        </w:tc>
        <w:tc>
          <w:tcPr>
            <w:tcW w:w="223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E53+3700</w:t>
            </w:r>
          </w:p>
        </w:tc>
        <w:tc>
          <w:tcPr>
            <w:tcW w:w="32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套</w:t>
            </w:r>
          </w:p>
        </w:tc>
        <w:tc>
          <w:tcPr>
            <w:tcW w:w="3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576"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noWrap/>
            <w:vAlign w:val="center"/>
          </w:tcPr>
          <w:p>
            <w:pPr>
              <w:widowControl/>
              <w:jc w:val="center"/>
              <w:rPr>
                <w:rFonts w:hint="eastAsia" w:ascii="宋体" w:hAnsi="宋体" w:cs="宋体"/>
                <w:color w:val="000000"/>
                <w:kern w:val="0"/>
                <w:szCs w:val="21"/>
              </w:rPr>
            </w:pPr>
          </w:p>
        </w:tc>
        <w:tc>
          <w:tcPr>
            <w:tcW w:w="52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AT0001</w:t>
            </w:r>
          </w:p>
        </w:tc>
        <w:tc>
          <w:tcPr>
            <w:tcW w:w="76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水厂进水PH/T仪</w:t>
            </w:r>
          </w:p>
        </w:tc>
        <w:tc>
          <w:tcPr>
            <w:tcW w:w="223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P53+6028P0 5~9</w:t>
            </w:r>
          </w:p>
        </w:tc>
        <w:tc>
          <w:tcPr>
            <w:tcW w:w="32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套</w:t>
            </w:r>
          </w:p>
        </w:tc>
        <w:tc>
          <w:tcPr>
            <w:tcW w:w="3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576"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noWrap/>
            <w:vAlign w:val="center"/>
          </w:tcPr>
          <w:p>
            <w:pPr>
              <w:widowControl/>
              <w:jc w:val="center"/>
              <w:rPr>
                <w:rFonts w:hint="eastAsia" w:ascii="宋体" w:hAnsi="宋体" w:cs="宋体"/>
                <w:color w:val="000000"/>
                <w:kern w:val="0"/>
                <w:szCs w:val="21"/>
              </w:rPr>
            </w:pPr>
          </w:p>
        </w:tc>
        <w:tc>
          <w:tcPr>
            <w:tcW w:w="52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AT0002</w:t>
            </w:r>
          </w:p>
        </w:tc>
        <w:tc>
          <w:tcPr>
            <w:tcW w:w="76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水厂进水溶解氧仪</w:t>
            </w:r>
          </w:p>
        </w:tc>
        <w:tc>
          <w:tcPr>
            <w:tcW w:w="223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SC100/LDO，0-10mg/L</w:t>
            </w:r>
          </w:p>
        </w:tc>
        <w:tc>
          <w:tcPr>
            <w:tcW w:w="32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套</w:t>
            </w:r>
          </w:p>
        </w:tc>
        <w:tc>
          <w:tcPr>
            <w:tcW w:w="3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576"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noWrap/>
            <w:vAlign w:val="center"/>
          </w:tcPr>
          <w:p>
            <w:pPr>
              <w:widowControl/>
              <w:jc w:val="center"/>
              <w:rPr>
                <w:rFonts w:hint="eastAsia" w:ascii="宋体" w:hAnsi="宋体" w:cs="宋体"/>
                <w:color w:val="000000"/>
                <w:kern w:val="0"/>
                <w:szCs w:val="21"/>
              </w:rPr>
            </w:pPr>
          </w:p>
        </w:tc>
        <w:tc>
          <w:tcPr>
            <w:tcW w:w="52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AT0003</w:t>
            </w:r>
          </w:p>
        </w:tc>
        <w:tc>
          <w:tcPr>
            <w:tcW w:w="76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水厂进水氨氮仪</w:t>
            </w:r>
          </w:p>
        </w:tc>
        <w:tc>
          <w:tcPr>
            <w:tcW w:w="223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inter2  ，0-10mg/L，4~20mA/AC220V</w:t>
            </w:r>
          </w:p>
        </w:tc>
        <w:tc>
          <w:tcPr>
            <w:tcW w:w="32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套</w:t>
            </w:r>
          </w:p>
        </w:tc>
        <w:tc>
          <w:tcPr>
            <w:tcW w:w="3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576"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noWrap/>
            <w:vAlign w:val="center"/>
          </w:tcPr>
          <w:p>
            <w:pPr>
              <w:widowControl/>
              <w:jc w:val="center"/>
              <w:rPr>
                <w:rFonts w:hint="eastAsia" w:ascii="宋体" w:hAnsi="宋体" w:cs="宋体"/>
                <w:color w:val="000000"/>
                <w:kern w:val="0"/>
                <w:szCs w:val="21"/>
              </w:rPr>
            </w:pPr>
          </w:p>
        </w:tc>
        <w:tc>
          <w:tcPr>
            <w:tcW w:w="52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LT0001</w:t>
            </w:r>
          </w:p>
        </w:tc>
        <w:tc>
          <w:tcPr>
            <w:tcW w:w="76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吸水井超声波液位变送器</w:t>
            </w:r>
          </w:p>
        </w:tc>
        <w:tc>
          <w:tcPr>
            <w:tcW w:w="223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FMU41，0-7m</w:t>
            </w:r>
          </w:p>
        </w:tc>
        <w:tc>
          <w:tcPr>
            <w:tcW w:w="32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套</w:t>
            </w:r>
          </w:p>
        </w:tc>
        <w:tc>
          <w:tcPr>
            <w:tcW w:w="3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576"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noWrap/>
            <w:vAlign w:val="center"/>
          </w:tcPr>
          <w:p>
            <w:pPr>
              <w:widowControl/>
              <w:jc w:val="center"/>
              <w:rPr>
                <w:rFonts w:hint="eastAsia" w:ascii="宋体" w:hAnsi="宋体" w:cs="宋体"/>
                <w:color w:val="000000"/>
                <w:kern w:val="0"/>
                <w:szCs w:val="21"/>
              </w:rPr>
            </w:pPr>
          </w:p>
        </w:tc>
        <w:tc>
          <w:tcPr>
            <w:tcW w:w="52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PT0001</w:t>
            </w:r>
          </w:p>
        </w:tc>
        <w:tc>
          <w:tcPr>
            <w:tcW w:w="76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泵房出水压力变送器</w:t>
            </w:r>
          </w:p>
        </w:tc>
        <w:tc>
          <w:tcPr>
            <w:tcW w:w="223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PMC51，0-1MPa</w:t>
            </w:r>
          </w:p>
        </w:tc>
        <w:tc>
          <w:tcPr>
            <w:tcW w:w="32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套</w:t>
            </w:r>
          </w:p>
        </w:tc>
        <w:tc>
          <w:tcPr>
            <w:tcW w:w="3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576"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noWrap/>
            <w:vAlign w:val="center"/>
          </w:tcPr>
          <w:p>
            <w:pPr>
              <w:widowControl/>
              <w:jc w:val="center"/>
              <w:rPr>
                <w:rFonts w:hint="eastAsia" w:ascii="宋体" w:hAnsi="宋体" w:cs="宋体"/>
                <w:color w:val="000000"/>
                <w:kern w:val="0"/>
                <w:szCs w:val="21"/>
              </w:rPr>
            </w:pPr>
          </w:p>
        </w:tc>
        <w:tc>
          <w:tcPr>
            <w:tcW w:w="52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PT0101~PT0106</w:t>
            </w:r>
          </w:p>
        </w:tc>
        <w:tc>
          <w:tcPr>
            <w:tcW w:w="76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泵房水泵出口压力变送器</w:t>
            </w:r>
          </w:p>
        </w:tc>
        <w:tc>
          <w:tcPr>
            <w:tcW w:w="223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PMC51，0-1MPa</w:t>
            </w:r>
          </w:p>
        </w:tc>
        <w:tc>
          <w:tcPr>
            <w:tcW w:w="32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套</w:t>
            </w:r>
          </w:p>
        </w:tc>
        <w:tc>
          <w:tcPr>
            <w:tcW w:w="3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576"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noWrap/>
            <w:vAlign w:val="center"/>
          </w:tcPr>
          <w:p>
            <w:pPr>
              <w:widowControl/>
              <w:jc w:val="center"/>
              <w:rPr>
                <w:rFonts w:hint="eastAsia" w:ascii="宋体" w:hAnsi="宋体" w:cs="宋体"/>
                <w:color w:val="000000"/>
                <w:kern w:val="0"/>
                <w:szCs w:val="21"/>
              </w:rPr>
            </w:pPr>
          </w:p>
        </w:tc>
        <w:tc>
          <w:tcPr>
            <w:tcW w:w="52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WX0101~0106</w:t>
            </w:r>
          </w:p>
        </w:tc>
        <w:tc>
          <w:tcPr>
            <w:tcW w:w="76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温度巡检仪</w:t>
            </w:r>
          </w:p>
        </w:tc>
        <w:tc>
          <w:tcPr>
            <w:tcW w:w="2234" w:type="pct"/>
            <w:noWrap/>
            <w:vAlign w:val="center"/>
          </w:tcPr>
          <w:p>
            <w:pPr>
              <w:widowControl/>
              <w:jc w:val="center"/>
              <w:rPr>
                <w:rFonts w:hint="eastAsia" w:ascii="宋体" w:hAnsi="宋体" w:cs="宋体"/>
                <w:color w:val="000000"/>
                <w:kern w:val="0"/>
                <w:szCs w:val="21"/>
              </w:rPr>
            </w:pPr>
          </w:p>
        </w:tc>
        <w:tc>
          <w:tcPr>
            <w:tcW w:w="32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套</w:t>
            </w:r>
          </w:p>
        </w:tc>
        <w:tc>
          <w:tcPr>
            <w:tcW w:w="3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576"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二</w:t>
            </w:r>
          </w:p>
        </w:tc>
        <w:tc>
          <w:tcPr>
            <w:tcW w:w="52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电缆</w:t>
            </w:r>
          </w:p>
        </w:tc>
        <w:tc>
          <w:tcPr>
            <w:tcW w:w="764" w:type="pct"/>
            <w:noWrap/>
            <w:vAlign w:val="center"/>
          </w:tcPr>
          <w:p>
            <w:pPr>
              <w:widowControl/>
              <w:jc w:val="center"/>
              <w:rPr>
                <w:rFonts w:hint="eastAsia" w:ascii="宋体" w:hAnsi="宋体" w:cs="宋体"/>
                <w:color w:val="000000"/>
                <w:kern w:val="0"/>
                <w:szCs w:val="21"/>
              </w:rPr>
            </w:pPr>
          </w:p>
        </w:tc>
        <w:tc>
          <w:tcPr>
            <w:tcW w:w="2234" w:type="pct"/>
            <w:noWrap/>
            <w:vAlign w:val="center"/>
          </w:tcPr>
          <w:p>
            <w:pPr>
              <w:widowControl/>
              <w:jc w:val="center"/>
              <w:rPr>
                <w:rFonts w:hint="eastAsia" w:ascii="宋体" w:hAnsi="宋体" w:cs="宋体"/>
                <w:color w:val="000000"/>
                <w:kern w:val="0"/>
                <w:szCs w:val="21"/>
              </w:rPr>
            </w:pPr>
          </w:p>
        </w:tc>
        <w:tc>
          <w:tcPr>
            <w:tcW w:w="321" w:type="pct"/>
            <w:noWrap/>
            <w:vAlign w:val="center"/>
          </w:tcPr>
          <w:p>
            <w:pPr>
              <w:widowControl/>
              <w:jc w:val="center"/>
              <w:rPr>
                <w:rFonts w:hint="eastAsia" w:ascii="宋体" w:hAnsi="宋体" w:cs="宋体"/>
                <w:color w:val="000000"/>
                <w:kern w:val="0"/>
                <w:szCs w:val="21"/>
              </w:rPr>
            </w:pPr>
          </w:p>
        </w:tc>
        <w:tc>
          <w:tcPr>
            <w:tcW w:w="346" w:type="pct"/>
            <w:noWrap/>
            <w:vAlign w:val="center"/>
          </w:tcPr>
          <w:p>
            <w:pPr>
              <w:widowControl/>
              <w:jc w:val="center"/>
              <w:rPr>
                <w:rFonts w:hint="eastAsia" w:ascii="宋体" w:hAnsi="宋体" w:cs="宋体"/>
                <w:color w:val="000000"/>
                <w:kern w:val="0"/>
                <w:szCs w:val="21"/>
              </w:rPr>
            </w:pPr>
          </w:p>
        </w:tc>
        <w:tc>
          <w:tcPr>
            <w:tcW w:w="576"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noWrap/>
            <w:vAlign w:val="center"/>
          </w:tcPr>
          <w:p>
            <w:pPr>
              <w:widowControl/>
              <w:jc w:val="center"/>
              <w:rPr>
                <w:rFonts w:hint="eastAsia" w:ascii="宋体" w:hAnsi="宋体" w:cs="宋体"/>
                <w:color w:val="000000"/>
                <w:kern w:val="0"/>
                <w:szCs w:val="21"/>
              </w:rPr>
            </w:pPr>
          </w:p>
        </w:tc>
        <w:tc>
          <w:tcPr>
            <w:tcW w:w="528" w:type="pct"/>
            <w:noWrap/>
            <w:vAlign w:val="center"/>
          </w:tcPr>
          <w:p>
            <w:pPr>
              <w:widowControl/>
              <w:jc w:val="center"/>
              <w:rPr>
                <w:rFonts w:hint="eastAsia" w:ascii="宋体" w:hAnsi="宋体" w:cs="宋体"/>
                <w:color w:val="000000"/>
                <w:kern w:val="0"/>
                <w:szCs w:val="21"/>
              </w:rPr>
            </w:pPr>
          </w:p>
        </w:tc>
        <w:tc>
          <w:tcPr>
            <w:tcW w:w="76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屏蔽控制电缆</w:t>
            </w:r>
          </w:p>
        </w:tc>
        <w:tc>
          <w:tcPr>
            <w:tcW w:w="223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DJYVP 4X2X1.0</w:t>
            </w:r>
          </w:p>
        </w:tc>
        <w:tc>
          <w:tcPr>
            <w:tcW w:w="32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米</w:t>
            </w:r>
          </w:p>
        </w:tc>
        <w:tc>
          <w:tcPr>
            <w:tcW w:w="3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140</w:t>
            </w:r>
          </w:p>
        </w:tc>
        <w:tc>
          <w:tcPr>
            <w:tcW w:w="576"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noWrap/>
            <w:vAlign w:val="center"/>
          </w:tcPr>
          <w:p>
            <w:pPr>
              <w:widowControl/>
              <w:jc w:val="center"/>
              <w:rPr>
                <w:rFonts w:hint="eastAsia" w:ascii="宋体" w:hAnsi="宋体" w:cs="宋体"/>
                <w:color w:val="000000"/>
                <w:kern w:val="0"/>
                <w:szCs w:val="21"/>
              </w:rPr>
            </w:pPr>
          </w:p>
        </w:tc>
        <w:tc>
          <w:tcPr>
            <w:tcW w:w="528" w:type="pct"/>
            <w:noWrap/>
            <w:vAlign w:val="center"/>
          </w:tcPr>
          <w:p>
            <w:pPr>
              <w:widowControl/>
              <w:jc w:val="center"/>
              <w:rPr>
                <w:rFonts w:hint="eastAsia" w:ascii="宋体" w:hAnsi="宋体" w:cs="宋体"/>
                <w:color w:val="000000"/>
                <w:kern w:val="0"/>
                <w:szCs w:val="21"/>
              </w:rPr>
            </w:pPr>
          </w:p>
        </w:tc>
        <w:tc>
          <w:tcPr>
            <w:tcW w:w="76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屏蔽控制电缆</w:t>
            </w:r>
          </w:p>
        </w:tc>
        <w:tc>
          <w:tcPr>
            <w:tcW w:w="223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DJYVP 3X2X1.0</w:t>
            </w:r>
          </w:p>
        </w:tc>
        <w:tc>
          <w:tcPr>
            <w:tcW w:w="32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米</w:t>
            </w:r>
          </w:p>
        </w:tc>
        <w:tc>
          <w:tcPr>
            <w:tcW w:w="3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576"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noWrap/>
            <w:vAlign w:val="center"/>
          </w:tcPr>
          <w:p>
            <w:pPr>
              <w:widowControl/>
              <w:jc w:val="center"/>
              <w:rPr>
                <w:rFonts w:hint="eastAsia" w:ascii="宋体" w:hAnsi="宋体" w:cs="宋体"/>
                <w:color w:val="000000"/>
                <w:kern w:val="0"/>
                <w:szCs w:val="21"/>
              </w:rPr>
            </w:pPr>
          </w:p>
        </w:tc>
        <w:tc>
          <w:tcPr>
            <w:tcW w:w="528" w:type="pct"/>
            <w:noWrap/>
            <w:vAlign w:val="center"/>
          </w:tcPr>
          <w:p>
            <w:pPr>
              <w:widowControl/>
              <w:jc w:val="center"/>
              <w:rPr>
                <w:rFonts w:hint="eastAsia" w:ascii="宋体" w:hAnsi="宋体" w:cs="宋体"/>
                <w:color w:val="000000"/>
                <w:kern w:val="0"/>
                <w:szCs w:val="21"/>
              </w:rPr>
            </w:pPr>
          </w:p>
        </w:tc>
        <w:tc>
          <w:tcPr>
            <w:tcW w:w="76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屏蔽控制电缆</w:t>
            </w:r>
          </w:p>
        </w:tc>
        <w:tc>
          <w:tcPr>
            <w:tcW w:w="223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DJYVP22 2X2X1.0</w:t>
            </w:r>
          </w:p>
        </w:tc>
        <w:tc>
          <w:tcPr>
            <w:tcW w:w="32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米</w:t>
            </w:r>
          </w:p>
        </w:tc>
        <w:tc>
          <w:tcPr>
            <w:tcW w:w="3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350</w:t>
            </w:r>
          </w:p>
        </w:tc>
        <w:tc>
          <w:tcPr>
            <w:tcW w:w="576"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noWrap/>
            <w:vAlign w:val="center"/>
          </w:tcPr>
          <w:p>
            <w:pPr>
              <w:widowControl/>
              <w:jc w:val="center"/>
              <w:rPr>
                <w:rFonts w:hint="eastAsia" w:ascii="宋体" w:hAnsi="宋体" w:cs="宋体"/>
                <w:color w:val="000000"/>
                <w:kern w:val="0"/>
                <w:szCs w:val="21"/>
              </w:rPr>
            </w:pPr>
          </w:p>
        </w:tc>
        <w:tc>
          <w:tcPr>
            <w:tcW w:w="528" w:type="pct"/>
            <w:noWrap/>
            <w:vAlign w:val="center"/>
          </w:tcPr>
          <w:p>
            <w:pPr>
              <w:widowControl/>
              <w:jc w:val="center"/>
              <w:rPr>
                <w:rFonts w:hint="eastAsia" w:ascii="宋体" w:hAnsi="宋体" w:cs="宋体"/>
                <w:color w:val="000000"/>
                <w:kern w:val="0"/>
                <w:szCs w:val="21"/>
              </w:rPr>
            </w:pPr>
          </w:p>
        </w:tc>
        <w:tc>
          <w:tcPr>
            <w:tcW w:w="76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屏蔽控制电缆</w:t>
            </w:r>
          </w:p>
        </w:tc>
        <w:tc>
          <w:tcPr>
            <w:tcW w:w="223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DJYVP 2X2X1.0</w:t>
            </w:r>
          </w:p>
        </w:tc>
        <w:tc>
          <w:tcPr>
            <w:tcW w:w="32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米</w:t>
            </w:r>
          </w:p>
        </w:tc>
        <w:tc>
          <w:tcPr>
            <w:tcW w:w="3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580</w:t>
            </w:r>
          </w:p>
        </w:tc>
        <w:tc>
          <w:tcPr>
            <w:tcW w:w="576"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noWrap/>
            <w:vAlign w:val="center"/>
          </w:tcPr>
          <w:p>
            <w:pPr>
              <w:widowControl/>
              <w:jc w:val="center"/>
              <w:rPr>
                <w:rFonts w:hint="eastAsia" w:ascii="宋体" w:hAnsi="宋体" w:cs="宋体"/>
                <w:color w:val="000000"/>
                <w:kern w:val="0"/>
                <w:szCs w:val="21"/>
              </w:rPr>
            </w:pPr>
          </w:p>
        </w:tc>
        <w:tc>
          <w:tcPr>
            <w:tcW w:w="528" w:type="pct"/>
            <w:noWrap/>
            <w:vAlign w:val="center"/>
          </w:tcPr>
          <w:p>
            <w:pPr>
              <w:widowControl/>
              <w:jc w:val="center"/>
              <w:rPr>
                <w:rFonts w:hint="eastAsia" w:ascii="宋体" w:hAnsi="宋体" w:cs="宋体"/>
                <w:color w:val="000000"/>
                <w:kern w:val="0"/>
                <w:szCs w:val="21"/>
              </w:rPr>
            </w:pPr>
          </w:p>
        </w:tc>
        <w:tc>
          <w:tcPr>
            <w:tcW w:w="76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屏蔽控制电缆</w:t>
            </w:r>
          </w:p>
        </w:tc>
        <w:tc>
          <w:tcPr>
            <w:tcW w:w="223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KVVP 14X1.0</w:t>
            </w:r>
          </w:p>
        </w:tc>
        <w:tc>
          <w:tcPr>
            <w:tcW w:w="32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米</w:t>
            </w:r>
          </w:p>
        </w:tc>
        <w:tc>
          <w:tcPr>
            <w:tcW w:w="3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190</w:t>
            </w:r>
          </w:p>
        </w:tc>
        <w:tc>
          <w:tcPr>
            <w:tcW w:w="576"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noWrap/>
            <w:vAlign w:val="center"/>
          </w:tcPr>
          <w:p>
            <w:pPr>
              <w:widowControl/>
              <w:jc w:val="center"/>
              <w:rPr>
                <w:rFonts w:hint="eastAsia" w:ascii="宋体" w:hAnsi="宋体" w:cs="宋体"/>
                <w:color w:val="000000"/>
                <w:kern w:val="0"/>
                <w:szCs w:val="21"/>
              </w:rPr>
            </w:pPr>
          </w:p>
        </w:tc>
        <w:tc>
          <w:tcPr>
            <w:tcW w:w="528" w:type="pct"/>
            <w:noWrap/>
            <w:vAlign w:val="center"/>
          </w:tcPr>
          <w:p>
            <w:pPr>
              <w:widowControl/>
              <w:jc w:val="center"/>
              <w:rPr>
                <w:rFonts w:hint="eastAsia" w:ascii="宋体" w:hAnsi="宋体" w:cs="宋体"/>
                <w:color w:val="000000"/>
                <w:kern w:val="0"/>
                <w:szCs w:val="21"/>
              </w:rPr>
            </w:pPr>
          </w:p>
        </w:tc>
        <w:tc>
          <w:tcPr>
            <w:tcW w:w="76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屏蔽控制电缆</w:t>
            </w:r>
          </w:p>
        </w:tc>
        <w:tc>
          <w:tcPr>
            <w:tcW w:w="223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KVVP 7X1.0</w:t>
            </w:r>
          </w:p>
        </w:tc>
        <w:tc>
          <w:tcPr>
            <w:tcW w:w="32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米</w:t>
            </w:r>
          </w:p>
        </w:tc>
        <w:tc>
          <w:tcPr>
            <w:tcW w:w="3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290</w:t>
            </w:r>
          </w:p>
        </w:tc>
        <w:tc>
          <w:tcPr>
            <w:tcW w:w="576"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noWrap/>
            <w:vAlign w:val="center"/>
          </w:tcPr>
          <w:p>
            <w:pPr>
              <w:widowControl/>
              <w:jc w:val="center"/>
              <w:rPr>
                <w:rFonts w:hint="eastAsia" w:ascii="宋体" w:hAnsi="宋体" w:cs="宋体"/>
                <w:color w:val="000000"/>
                <w:kern w:val="0"/>
                <w:szCs w:val="21"/>
              </w:rPr>
            </w:pPr>
          </w:p>
        </w:tc>
        <w:tc>
          <w:tcPr>
            <w:tcW w:w="528" w:type="pct"/>
            <w:noWrap/>
            <w:vAlign w:val="center"/>
          </w:tcPr>
          <w:p>
            <w:pPr>
              <w:widowControl/>
              <w:jc w:val="center"/>
              <w:rPr>
                <w:rFonts w:hint="eastAsia" w:ascii="宋体" w:hAnsi="宋体" w:cs="宋体"/>
                <w:color w:val="000000"/>
                <w:kern w:val="0"/>
                <w:szCs w:val="21"/>
              </w:rPr>
            </w:pPr>
          </w:p>
        </w:tc>
        <w:tc>
          <w:tcPr>
            <w:tcW w:w="76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控制电缆</w:t>
            </w:r>
          </w:p>
        </w:tc>
        <w:tc>
          <w:tcPr>
            <w:tcW w:w="223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KVV 9X1.5</w:t>
            </w:r>
          </w:p>
        </w:tc>
        <w:tc>
          <w:tcPr>
            <w:tcW w:w="32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米</w:t>
            </w:r>
          </w:p>
        </w:tc>
        <w:tc>
          <w:tcPr>
            <w:tcW w:w="3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190</w:t>
            </w:r>
          </w:p>
        </w:tc>
        <w:tc>
          <w:tcPr>
            <w:tcW w:w="576"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noWrap/>
            <w:vAlign w:val="center"/>
          </w:tcPr>
          <w:p>
            <w:pPr>
              <w:widowControl/>
              <w:jc w:val="center"/>
              <w:rPr>
                <w:rFonts w:hint="eastAsia" w:ascii="宋体" w:hAnsi="宋体" w:cs="宋体"/>
                <w:color w:val="000000"/>
                <w:kern w:val="0"/>
                <w:szCs w:val="21"/>
              </w:rPr>
            </w:pPr>
          </w:p>
        </w:tc>
        <w:tc>
          <w:tcPr>
            <w:tcW w:w="528" w:type="pct"/>
            <w:noWrap/>
            <w:vAlign w:val="center"/>
          </w:tcPr>
          <w:p>
            <w:pPr>
              <w:widowControl/>
              <w:jc w:val="center"/>
              <w:rPr>
                <w:rFonts w:hint="eastAsia" w:ascii="宋体" w:hAnsi="宋体" w:cs="宋体"/>
                <w:color w:val="000000"/>
                <w:kern w:val="0"/>
                <w:szCs w:val="21"/>
              </w:rPr>
            </w:pPr>
          </w:p>
        </w:tc>
        <w:tc>
          <w:tcPr>
            <w:tcW w:w="76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控制电缆</w:t>
            </w:r>
          </w:p>
        </w:tc>
        <w:tc>
          <w:tcPr>
            <w:tcW w:w="223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KVV 5X1.5</w:t>
            </w:r>
          </w:p>
        </w:tc>
        <w:tc>
          <w:tcPr>
            <w:tcW w:w="32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米</w:t>
            </w:r>
          </w:p>
        </w:tc>
        <w:tc>
          <w:tcPr>
            <w:tcW w:w="3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280</w:t>
            </w:r>
          </w:p>
        </w:tc>
        <w:tc>
          <w:tcPr>
            <w:tcW w:w="576"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noWrap/>
            <w:vAlign w:val="center"/>
          </w:tcPr>
          <w:p>
            <w:pPr>
              <w:widowControl/>
              <w:jc w:val="center"/>
              <w:rPr>
                <w:rFonts w:hint="eastAsia" w:ascii="宋体" w:hAnsi="宋体" w:cs="宋体"/>
                <w:color w:val="000000"/>
                <w:kern w:val="0"/>
                <w:szCs w:val="21"/>
              </w:rPr>
            </w:pPr>
          </w:p>
        </w:tc>
        <w:tc>
          <w:tcPr>
            <w:tcW w:w="528" w:type="pct"/>
            <w:noWrap/>
            <w:vAlign w:val="center"/>
          </w:tcPr>
          <w:p>
            <w:pPr>
              <w:widowControl/>
              <w:jc w:val="center"/>
              <w:rPr>
                <w:rFonts w:hint="eastAsia" w:ascii="宋体" w:hAnsi="宋体" w:cs="宋体"/>
                <w:color w:val="000000"/>
                <w:kern w:val="0"/>
                <w:szCs w:val="21"/>
              </w:rPr>
            </w:pPr>
          </w:p>
        </w:tc>
        <w:tc>
          <w:tcPr>
            <w:tcW w:w="76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电源电缆</w:t>
            </w:r>
          </w:p>
        </w:tc>
        <w:tc>
          <w:tcPr>
            <w:tcW w:w="223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VV 3X1.5</w:t>
            </w:r>
          </w:p>
        </w:tc>
        <w:tc>
          <w:tcPr>
            <w:tcW w:w="32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米</w:t>
            </w:r>
          </w:p>
        </w:tc>
        <w:tc>
          <w:tcPr>
            <w:tcW w:w="3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120</w:t>
            </w:r>
          </w:p>
        </w:tc>
        <w:tc>
          <w:tcPr>
            <w:tcW w:w="576"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三</w:t>
            </w:r>
          </w:p>
        </w:tc>
        <w:tc>
          <w:tcPr>
            <w:tcW w:w="528"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其它</w:t>
            </w:r>
          </w:p>
        </w:tc>
        <w:tc>
          <w:tcPr>
            <w:tcW w:w="764" w:type="pct"/>
            <w:noWrap/>
            <w:vAlign w:val="center"/>
          </w:tcPr>
          <w:p>
            <w:pPr>
              <w:widowControl/>
              <w:jc w:val="center"/>
              <w:rPr>
                <w:rFonts w:hint="eastAsia" w:ascii="宋体" w:hAnsi="宋体" w:cs="宋体"/>
                <w:color w:val="000000"/>
                <w:kern w:val="0"/>
                <w:szCs w:val="21"/>
              </w:rPr>
            </w:pPr>
          </w:p>
        </w:tc>
        <w:tc>
          <w:tcPr>
            <w:tcW w:w="2234" w:type="pct"/>
            <w:noWrap/>
            <w:vAlign w:val="center"/>
          </w:tcPr>
          <w:p>
            <w:pPr>
              <w:widowControl/>
              <w:jc w:val="center"/>
              <w:rPr>
                <w:rFonts w:hint="eastAsia" w:ascii="宋体" w:hAnsi="宋体" w:cs="宋体"/>
                <w:color w:val="000000"/>
                <w:kern w:val="0"/>
                <w:szCs w:val="21"/>
              </w:rPr>
            </w:pPr>
          </w:p>
        </w:tc>
        <w:tc>
          <w:tcPr>
            <w:tcW w:w="321" w:type="pct"/>
            <w:noWrap/>
            <w:vAlign w:val="center"/>
          </w:tcPr>
          <w:p>
            <w:pPr>
              <w:widowControl/>
              <w:jc w:val="center"/>
              <w:rPr>
                <w:rFonts w:hint="eastAsia" w:ascii="宋体" w:hAnsi="宋体" w:cs="宋体"/>
                <w:color w:val="000000"/>
                <w:kern w:val="0"/>
                <w:szCs w:val="21"/>
              </w:rPr>
            </w:pPr>
          </w:p>
        </w:tc>
        <w:tc>
          <w:tcPr>
            <w:tcW w:w="346" w:type="pct"/>
            <w:noWrap/>
            <w:vAlign w:val="center"/>
          </w:tcPr>
          <w:p>
            <w:pPr>
              <w:widowControl/>
              <w:jc w:val="center"/>
              <w:rPr>
                <w:rFonts w:hint="eastAsia" w:ascii="宋体" w:hAnsi="宋体" w:cs="宋体"/>
                <w:color w:val="000000"/>
                <w:kern w:val="0"/>
                <w:szCs w:val="21"/>
              </w:rPr>
            </w:pPr>
          </w:p>
        </w:tc>
        <w:tc>
          <w:tcPr>
            <w:tcW w:w="576"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528" w:type="pct"/>
            <w:noWrap/>
            <w:vAlign w:val="center"/>
          </w:tcPr>
          <w:p>
            <w:pPr>
              <w:widowControl/>
              <w:jc w:val="center"/>
              <w:rPr>
                <w:rFonts w:hint="eastAsia" w:ascii="宋体" w:hAnsi="宋体" w:cs="宋体"/>
                <w:color w:val="000000"/>
                <w:kern w:val="0"/>
                <w:szCs w:val="21"/>
              </w:rPr>
            </w:pPr>
          </w:p>
        </w:tc>
        <w:tc>
          <w:tcPr>
            <w:tcW w:w="76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防雷器盒</w:t>
            </w:r>
          </w:p>
        </w:tc>
        <w:tc>
          <w:tcPr>
            <w:tcW w:w="223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内含信号防雷器：USP M2 E24 B2 *1</w:t>
            </w:r>
          </w:p>
        </w:tc>
        <w:tc>
          <w:tcPr>
            <w:tcW w:w="32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套</w:t>
            </w:r>
          </w:p>
        </w:tc>
        <w:tc>
          <w:tcPr>
            <w:tcW w:w="3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5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用于 LT0001，PT0001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528" w:type="pct"/>
            <w:noWrap/>
            <w:vAlign w:val="center"/>
          </w:tcPr>
          <w:p>
            <w:pPr>
              <w:widowControl/>
              <w:jc w:val="center"/>
              <w:rPr>
                <w:rFonts w:hint="eastAsia" w:ascii="宋体" w:hAnsi="宋体" w:cs="宋体"/>
                <w:color w:val="000000"/>
                <w:kern w:val="0"/>
                <w:szCs w:val="21"/>
              </w:rPr>
            </w:pPr>
          </w:p>
        </w:tc>
        <w:tc>
          <w:tcPr>
            <w:tcW w:w="76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钢管</w:t>
            </w:r>
          </w:p>
        </w:tc>
        <w:tc>
          <w:tcPr>
            <w:tcW w:w="223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热镀锌G32</w:t>
            </w:r>
          </w:p>
        </w:tc>
        <w:tc>
          <w:tcPr>
            <w:tcW w:w="32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批</w:t>
            </w:r>
          </w:p>
        </w:tc>
        <w:tc>
          <w:tcPr>
            <w:tcW w:w="3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576"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528" w:type="pct"/>
            <w:noWrap/>
            <w:vAlign w:val="center"/>
          </w:tcPr>
          <w:p>
            <w:pPr>
              <w:widowControl/>
              <w:jc w:val="center"/>
              <w:rPr>
                <w:rFonts w:hint="eastAsia" w:ascii="宋体" w:hAnsi="宋体" w:cs="宋体"/>
                <w:color w:val="000000"/>
                <w:kern w:val="0"/>
                <w:szCs w:val="21"/>
              </w:rPr>
            </w:pPr>
          </w:p>
        </w:tc>
        <w:tc>
          <w:tcPr>
            <w:tcW w:w="76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接地线</w:t>
            </w:r>
          </w:p>
        </w:tc>
        <w:tc>
          <w:tcPr>
            <w:tcW w:w="223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BV-1x16</w:t>
            </w:r>
          </w:p>
        </w:tc>
        <w:tc>
          <w:tcPr>
            <w:tcW w:w="32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批</w:t>
            </w:r>
          </w:p>
        </w:tc>
        <w:tc>
          <w:tcPr>
            <w:tcW w:w="3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576"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528" w:type="pct"/>
            <w:noWrap/>
            <w:vAlign w:val="center"/>
          </w:tcPr>
          <w:p>
            <w:pPr>
              <w:widowControl/>
              <w:jc w:val="center"/>
              <w:rPr>
                <w:rFonts w:hint="eastAsia" w:ascii="宋体" w:hAnsi="宋体" w:cs="宋体"/>
                <w:color w:val="000000"/>
                <w:kern w:val="0"/>
                <w:szCs w:val="21"/>
              </w:rPr>
            </w:pPr>
          </w:p>
        </w:tc>
        <w:tc>
          <w:tcPr>
            <w:tcW w:w="76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水质仪表管路</w:t>
            </w:r>
          </w:p>
        </w:tc>
        <w:tc>
          <w:tcPr>
            <w:tcW w:w="2234" w:type="pct"/>
            <w:noWrap/>
            <w:vAlign w:val="center"/>
          </w:tcPr>
          <w:p>
            <w:pPr>
              <w:widowControl/>
              <w:jc w:val="center"/>
              <w:rPr>
                <w:rFonts w:hint="eastAsia" w:ascii="宋体" w:hAnsi="宋体" w:cs="宋体"/>
                <w:color w:val="000000"/>
                <w:kern w:val="0"/>
                <w:szCs w:val="21"/>
              </w:rPr>
            </w:pPr>
          </w:p>
        </w:tc>
        <w:tc>
          <w:tcPr>
            <w:tcW w:w="32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批</w:t>
            </w:r>
          </w:p>
        </w:tc>
        <w:tc>
          <w:tcPr>
            <w:tcW w:w="34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576" w:type="pct"/>
            <w:noWrap/>
            <w:vAlign w:val="center"/>
          </w:tcPr>
          <w:p>
            <w:pPr>
              <w:widowControl/>
              <w:jc w:val="center"/>
              <w:rPr>
                <w:rFonts w:hint="eastAsia" w:ascii="宋体" w:hAnsi="宋体" w:cs="宋体"/>
                <w:color w:val="000000"/>
                <w:kern w:val="0"/>
                <w:szCs w:val="21"/>
              </w:rPr>
            </w:pPr>
          </w:p>
        </w:tc>
      </w:tr>
    </w:tbl>
    <w:p>
      <w:pPr>
        <w:rPr>
          <w:rFonts w:hint="eastAsia" w:ascii="宋体" w:hAnsi="宋体" w:cs="宋体"/>
          <w:color w:val="000000"/>
          <w:szCs w:val="21"/>
        </w:rPr>
      </w:pPr>
      <w:r>
        <w:rPr>
          <w:rFonts w:hint="eastAsia" w:ascii="宋体" w:hAnsi="宋体" w:cs="宋体"/>
          <w:color w:val="000000"/>
          <w:szCs w:val="21"/>
        </w:rPr>
        <w:t>（五）泵房电缆一览表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
        <w:gridCol w:w="792"/>
        <w:gridCol w:w="2088"/>
        <w:gridCol w:w="2016"/>
        <w:gridCol w:w="1296"/>
        <w:gridCol w:w="792"/>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序号</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电缆编号</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起点</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终点</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规格    型号</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长度(米)</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X0101</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泵房出水流量变送器 FT0001</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DJYVP 3X2X1.0</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D0101</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泵房出水流量变送器 FT0001</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VV 3X1.5</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Z0101</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泵房出水流量变送器 FT0001</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泵房出水流量传感器 FE0001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配套电缆</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1106"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X0102</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进水浊度仪 TuT0001</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DJYVP 2X2X1.0</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D0102</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进水浊度仪 TuT0001</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VV 3X1.5</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X0103</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进水电导仪 CT0001</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DJYVP 2X2X1.0</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D0103</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进水电导仪 CT0001</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VV 3X1.5</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X0104</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水PH/T仪 AT0001</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DJYVP 2X2X1.0</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9</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D0104</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水PH/T仪 AT0001</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VV 3X1.5</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X0105</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进水溶解氧仪 AT0002</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DJYVP 2X2X1.0</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11</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D0105</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进水溶解氧仪 AT0002</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VV 3X1.5</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X0106</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进水氨氮仪 AT0003</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DJYVP 2X2X1.0</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13</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D0106</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进水氨氮仪 AT0003</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VV 3X1.5</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14</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X0107</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吸水井液位变送器 LT0001</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DJYVP22 2X2X1.0</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供电及信号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15</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X0108</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泵房出水压力变送器 PT0001</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DJYVP22 2X2X1.0</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供电及信号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16</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X0111</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泵房出水压力变送器 PT0101</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DJYVP 2X2X1.0</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70</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供电及信号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17</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X0112</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泵房出水压力变送器 PT0102</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DJYVP 2X2X1.0</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60</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供电及信号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18</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X0113</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泵房出水压力变送器 PT0103</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DJYVP 2X2X1.0</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60</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供电及信号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19</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X0114</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泵房出水压力变送器 PT0104</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DJYVP 2X2X1.0</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供电及信号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X0115</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泵房出水压力变送器 PT0105</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DJYVP 2X2X1.0</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供电及信号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21</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X0116</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泵房出水压力变送器 PT0106</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DJYVP 2X2X1.0</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40</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供电及信号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22</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X0121</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机旁控制箱 1JC</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KVVP 14X1.0</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70</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水泵机组 B0101,MV0101 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23</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X0122</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机旁控制箱 1JC</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KVV 9X1.5</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70</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水泵机组 B0101,MV0101 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24</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X0123</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机旁控制箱 1JC</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KVVP 14X1.0</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60</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水泵机组 B0102,MV0102 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25</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X0124</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机旁控制箱 1JC</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KVV 9X1.5</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60</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水泵机组 B0102,MV0102 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26</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X0125</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机旁控制箱 1JC</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KVVP 14X1.0</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60</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水泵机组 B0103,MV0103 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27</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X0126</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机旁控制箱 1JC</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KVV 9X1.5</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60</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水泵机组 B0103,MV0103 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28</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X0127</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机旁控制箱 4JC</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KVVP 7X1.0</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水泵机组 MV0104 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29</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X0128</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机旁控制箱 4JC</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KVV 5X1.5</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水泵机组 MV0104 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30</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X0129</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变频器柜 4VP</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DJYVP 4X2X1.0</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水泵 B0104 调速信号及反馈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31</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X0130</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变频器柜 4VP</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KVVP 7X1.0</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水泵机组 B0104 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32</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X0131</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变频器柜 4VP</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KVV 5X1.5</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水泵机组 B0104 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33</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X0132</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机旁控制箱 5JC</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KVVP 7X1.0</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水泵机组 MV0105 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34</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X0133</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机旁控制箱 5JC</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KVV 5X1.5</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水泵机组 MV0105 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35</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X0134</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变频器柜 5VP</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DJYVP 4X2X1.0</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水泵 B0105 调速信号及反馈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36</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X0135</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变频器柜 5VP</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KVVP 7X1.0</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水泵机组 B0105 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37</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X0136</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变频器柜 5VP</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KVV 5X1.5</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水泵机组 B0105 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38</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X0137</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机旁控制箱 6JC</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KVVP 7X1.0</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40</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水泵机组 MV0106 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39</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X0138</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机旁控制箱 6JC</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KVV 5X1.5</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40</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水泵机组 MV0106 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40</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X0139</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变频器柜 6VP</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DJYVP 4X2X1.0</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40</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水泵 B0106 调速信号及反馈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41</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X0140</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变频器柜 6VP</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KVVP 7X1.0</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40</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水泵机组 B0106 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42</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X0141</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变频器柜 6VP</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KVV 5X1.5</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40</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水泵机组 B0106 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43</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X0142</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UPS柜</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KVVP 7X1.0</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水泵机组 B0106 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44</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XCOM0101</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WX0101~06</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DJYVP 2X2X1.0</w:t>
            </w:r>
          </w:p>
        </w:tc>
        <w:tc>
          <w:tcPr>
            <w:tcW w:w="377" w:type="pct"/>
            <w:noWrap/>
            <w:vAlign w:val="center"/>
          </w:tcPr>
          <w:p>
            <w:pPr>
              <w:widowControl/>
              <w:jc w:val="center"/>
              <w:rPr>
                <w:rFonts w:hint="eastAsia" w:ascii="宋体" w:hAnsi="宋体" w:cs="宋体"/>
                <w:color w:val="000000"/>
                <w:kern w:val="0"/>
                <w:szCs w:val="21"/>
              </w:rPr>
            </w:pP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MODBUS 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45</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XCOM0102</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现有10kV、0.4kV变配电系统</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DJYVP 2X2X1.0</w:t>
            </w:r>
          </w:p>
        </w:tc>
        <w:tc>
          <w:tcPr>
            <w:tcW w:w="37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MODBUS 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0"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46</w:t>
            </w:r>
          </w:p>
        </w:tc>
        <w:tc>
          <w:tcPr>
            <w:tcW w:w="47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XCOM0103</w:t>
            </w:r>
          </w:p>
        </w:tc>
        <w:tc>
          <w:tcPr>
            <w:tcW w:w="107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新增10kV系统</w:t>
            </w:r>
          </w:p>
        </w:tc>
        <w:tc>
          <w:tcPr>
            <w:tcW w:w="104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PLC1</w:t>
            </w:r>
          </w:p>
        </w:tc>
        <w:tc>
          <w:tcPr>
            <w:tcW w:w="66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DJYVP22 2X2X1.0</w:t>
            </w:r>
          </w:p>
        </w:tc>
        <w:tc>
          <w:tcPr>
            <w:tcW w:w="377" w:type="pct"/>
            <w:noWrap/>
            <w:vAlign w:val="center"/>
          </w:tcPr>
          <w:p>
            <w:pPr>
              <w:widowControl/>
              <w:jc w:val="center"/>
              <w:rPr>
                <w:rFonts w:hint="eastAsia" w:ascii="宋体" w:hAnsi="宋体" w:cs="宋体"/>
                <w:color w:val="000000"/>
                <w:kern w:val="0"/>
                <w:szCs w:val="21"/>
              </w:rPr>
            </w:pPr>
          </w:p>
        </w:tc>
        <w:tc>
          <w:tcPr>
            <w:tcW w:w="1106"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MODBUS 485</w:t>
            </w:r>
          </w:p>
        </w:tc>
      </w:tr>
    </w:tbl>
    <w:p>
      <w:pPr>
        <w:rPr>
          <w:rFonts w:hint="eastAsia" w:ascii="宋体" w:hAnsi="宋体" w:cs="宋体"/>
          <w:color w:val="000000"/>
          <w:szCs w:val="21"/>
        </w:rPr>
      </w:pPr>
      <w:r>
        <w:rPr>
          <w:rFonts w:hint="eastAsia" w:ascii="宋体" w:hAnsi="宋体" w:cs="宋体"/>
          <w:color w:val="000000"/>
          <w:szCs w:val="21"/>
        </w:rPr>
        <w:t>（六）安防材料表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267"/>
        <w:gridCol w:w="1866"/>
        <w:gridCol w:w="3504"/>
        <w:gridCol w:w="720"/>
        <w:gridCol w:w="111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序号</w:t>
            </w:r>
          </w:p>
        </w:tc>
        <w:tc>
          <w:tcPr>
            <w:tcW w:w="661" w:type="pct"/>
            <w:noWrap/>
            <w:vAlign w:val="center"/>
          </w:tcPr>
          <w:p>
            <w:pPr>
              <w:widowControl/>
              <w:jc w:val="center"/>
              <w:rPr>
                <w:rFonts w:hint="eastAsia" w:ascii="宋体" w:hAnsi="宋体" w:cs="宋体"/>
                <w:color w:val="000000"/>
                <w:kern w:val="0"/>
                <w:szCs w:val="21"/>
              </w:rPr>
            </w:pPr>
          </w:p>
        </w:tc>
        <w:tc>
          <w:tcPr>
            <w:tcW w:w="97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名   称</w:t>
            </w:r>
          </w:p>
        </w:tc>
        <w:tc>
          <w:tcPr>
            <w:tcW w:w="182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型 号 及 规 格</w:t>
            </w:r>
          </w:p>
        </w:tc>
        <w:tc>
          <w:tcPr>
            <w:tcW w:w="37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单位</w:t>
            </w:r>
          </w:p>
        </w:tc>
        <w:tc>
          <w:tcPr>
            <w:tcW w:w="57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数量</w:t>
            </w:r>
          </w:p>
        </w:tc>
        <w:tc>
          <w:tcPr>
            <w:tcW w:w="33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7" w:type="pct"/>
            <w:noWrap/>
            <w:vAlign w:val="center"/>
          </w:tcPr>
          <w:p>
            <w:pPr>
              <w:widowControl/>
              <w:jc w:val="center"/>
              <w:rPr>
                <w:rFonts w:hint="eastAsia" w:ascii="宋体" w:hAnsi="宋体" w:cs="宋体"/>
                <w:color w:val="000000"/>
                <w:kern w:val="0"/>
                <w:szCs w:val="21"/>
              </w:rPr>
            </w:pPr>
          </w:p>
        </w:tc>
        <w:tc>
          <w:tcPr>
            <w:tcW w:w="6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北山泵站</w:t>
            </w:r>
          </w:p>
        </w:tc>
        <w:tc>
          <w:tcPr>
            <w:tcW w:w="974" w:type="pct"/>
            <w:noWrap/>
            <w:vAlign w:val="center"/>
          </w:tcPr>
          <w:p>
            <w:pPr>
              <w:widowControl/>
              <w:jc w:val="center"/>
              <w:rPr>
                <w:rFonts w:hint="eastAsia" w:ascii="宋体" w:hAnsi="宋体" w:cs="宋体"/>
                <w:color w:val="000000"/>
                <w:kern w:val="0"/>
                <w:szCs w:val="21"/>
              </w:rPr>
            </w:pPr>
          </w:p>
        </w:tc>
        <w:tc>
          <w:tcPr>
            <w:tcW w:w="1829" w:type="pct"/>
            <w:noWrap/>
            <w:vAlign w:val="center"/>
          </w:tcPr>
          <w:p>
            <w:pPr>
              <w:widowControl/>
              <w:jc w:val="center"/>
              <w:rPr>
                <w:rFonts w:hint="eastAsia" w:ascii="宋体" w:hAnsi="宋体" w:cs="宋体"/>
                <w:color w:val="000000"/>
                <w:kern w:val="0"/>
                <w:szCs w:val="21"/>
              </w:rPr>
            </w:pPr>
          </w:p>
        </w:tc>
        <w:tc>
          <w:tcPr>
            <w:tcW w:w="375" w:type="pct"/>
            <w:noWrap/>
            <w:vAlign w:val="center"/>
          </w:tcPr>
          <w:p>
            <w:pPr>
              <w:widowControl/>
              <w:jc w:val="center"/>
              <w:rPr>
                <w:rFonts w:hint="eastAsia" w:ascii="宋体" w:hAnsi="宋体" w:cs="宋体"/>
                <w:color w:val="000000"/>
                <w:kern w:val="0"/>
                <w:szCs w:val="21"/>
              </w:rPr>
            </w:pPr>
          </w:p>
        </w:tc>
        <w:tc>
          <w:tcPr>
            <w:tcW w:w="579" w:type="pct"/>
            <w:noWrap/>
            <w:vAlign w:val="center"/>
          </w:tcPr>
          <w:p>
            <w:pPr>
              <w:widowControl/>
              <w:jc w:val="center"/>
              <w:rPr>
                <w:rFonts w:hint="eastAsia" w:ascii="宋体" w:hAnsi="宋体" w:cs="宋体"/>
                <w:color w:val="000000"/>
                <w:kern w:val="0"/>
                <w:szCs w:val="21"/>
              </w:rPr>
            </w:pPr>
          </w:p>
        </w:tc>
        <w:tc>
          <w:tcPr>
            <w:tcW w:w="33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1</w:t>
            </w:r>
          </w:p>
        </w:tc>
        <w:tc>
          <w:tcPr>
            <w:tcW w:w="661" w:type="pct"/>
            <w:noWrap/>
            <w:vAlign w:val="center"/>
          </w:tcPr>
          <w:p>
            <w:pPr>
              <w:widowControl/>
              <w:jc w:val="center"/>
              <w:rPr>
                <w:rFonts w:hint="eastAsia" w:ascii="宋体" w:hAnsi="宋体" w:cs="宋体"/>
                <w:color w:val="000000"/>
                <w:kern w:val="0"/>
                <w:szCs w:val="21"/>
              </w:rPr>
            </w:pPr>
          </w:p>
        </w:tc>
        <w:tc>
          <w:tcPr>
            <w:tcW w:w="97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机柜、机架</w:t>
            </w:r>
          </w:p>
        </w:tc>
        <w:tc>
          <w:tcPr>
            <w:tcW w:w="182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安防服务器柜 W600*D600*H2000(mm),IP41 包括空开、电源适配器等</w:t>
            </w:r>
          </w:p>
        </w:tc>
        <w:tc>
          <w:tcPr>
            <w:tcW w:w="37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台</w:t>
            </w:r>
          </w:p>
        </w:tc>
        <w:tc>
          <w:tcPr>
            <w:tcW w:w="57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1</w:t>
            </w:r>
          </w:p>
        </w:tc>
        <w:tc>
          <w:tcPr>
            <w:tcW w:w="33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2</w:t>
            </w:r>
          </w:p>
        </w:tc>
        <w:tc>
          <w:tcPr>
            <w:tcW w:w="661" w:type="pct"/>
            <w:noWrap/>
            <w:vAlign w:val="center"/>
          </w:tcPr>
          <w:p>
            <w:pPr>
              <w:widowControl/>
              <w:jc w:val="center"/>
              <w:rPr>
                <w:rFonts w:hint="eastAsia" w:ascii="宋体" w:hAnsi="宋体" w:cs="宋体"/>
                <w:color w:val="000000"/>
                <w:kern w:val="0"/>
                <w:szCs w:val="21"/>
              </w:rPr>
            </w:pPr>
          </w:p>
        </w:tc>
        <w:tc>
          <w:tcPr>
            <w:tcW w:w="97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交换机</w:t>
            </w:r>
          </w:p>
        </w:tc>
        <w:tc>
          <w:tcPr>
            <w:tcW w:w="182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100/1000M 环网型 单模光口*2,RJ45口*24</w:t>
            </w:r>
          </w:p>
        </w:tc>
        <w:tc>
          <w:tcPr>
            <w:tcW w:w="37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台</w:t>
            </w:r>
          </w:p>
        </w:tc>
        <w:tc>
          <w:tcPr>
            <w:tcW w:w="57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1</w:t>
            </w:r>
          </w:p>
        </w:tc>
        <w:tc>
          <w:tcPr>
            <w:tcW w:w="33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3</w:t>
            </w:r>
          </w:p>
        </w:tc>
        <w:tc>
          <w:tcPr>
            <w:tcW w:w="661" w:type="pct"/>
            <w:noWrap/>
            <w:vAlign w:val="center"/>
          </w:tcPr>
          <w:p>
            <w:pPr>
              <w:widowControl/>
              <w:jc w:val="center"/>
              <w:rPr>
                <w:rFonts w:hint="eastAsia" w:ascii="宋体" w:hAnsi="宋体" w:cs="宋体"/>
                <w:color w:val="000000"/>
                <w:kern w:val="0"/>
                <w:szCs w:val="21"/>
              </w:rPr>
            </w:pPr>
          </w:p>
        </w:tc>
        <w:tc>
          <w:tcPr>
            <w:tcW w:w="97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服务器</w:t>
            </w:r>
          </w:p>
        </w:tc>
        <w:tc>
          <w:tcPr>
            <w:tcW w:w="182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机架式服务器,8核2.1GHz/32GB DDR4,硬盘:2块 1T 7.2K</w:t>
            </w:r>
          </w:p>
        </w:tc>
        <w:tc>
          <w:tcPr>
            <w:tcW w:w="37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台</w:t>
            </w:r>
          </w:p>
        </w:tc>
        <w:tc>
          <w:tcPr>
            <w:tcW w:w="57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2</w:t>
            </w:r>
          </w:p>
        </w:tc>
        <w:tc>
          <w:tcPr>
            <w:tcW w:w="33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4</w:t>
            </w:r>
          </w:p>
        </w:tc>
        <w:tc>
          <w:tcPr>
            <w:tcW w:w="661" w:type="pct"/>
            <w:noWrap/>
            <w:vAlign w:val="center"/>
          </w:tcPr>
          <w:p>
            <w:pPr>
              <w:widowControl/>
              <w:jc w:val="center"/>
              <w:rPr>
                <w:rFonts w:hint="eastAsia" w:ascii="宋体" w:hAnsi="宋体" w:cs="宋体"/>
                <w:color w:val="000000"/>
                <w:kern w:val="0"/>
                <w:szCs w:val="21"/>
              </w:rPr>
            </w:pPr>
          </w:p>
        </w:tc>
        <w:tc>
          <w:tcPr>
            <w:tcW w:w="97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软件</w:t>
            </w:r>
          </w:p>
        </w:tc>
        <w:tc>
          <w:tcPr>
            <w:tcW w:w="182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综合管理平台软件 含100路视频输入授权</w:t>
            </w:r>
          </w:p>
        </w:tc>
        <w:tc>
          <w:tcPr>
            <w:tcW w:w="37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套</w:t>
            </w:r>
          </w:p>
        </w:tc>
        <w:tc>
          <w:tcPr>
            <w:tcW w:w="57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1</w:t>
            </w:r>
          </w:p>
        </w:tc>
        <w:tc>
          <w:tcPr>
            <w:tcW w:w="33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5</w:t>
            </w:r>
          </w:p>
        </w:tc>
        <w:tc>
          <w:tcPr>
            <w:tcW w:w="661" w:type="pct"/>
            <w:noWrap/>
            <w:vAlign w:val="center"/>
          </w:tcPr>
          <w:p>
            <w:pPr>
              <w:widowControl/>
              <w:jc w:val="center"/>
              <w:rPr>
                <w:rFonts w:hint="eastAsia" w:ascii="宋体" w:hAnsi="宋体" w:cs="宋体"/>
                <w:color w:val="000000"/>
                <w:kern w:val="0"/>
                <w:szCs w:val="21"/>
              </w:rPr>
            </w:pPr>
          </w:p>
        </w:tc>
        <w:tc>
          <w:tcPr>
            <w:tcW w:w="97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录像设备</w:t>
            </w:r>
          </w:p>
        </w:tc>
        <w:tc>
          <w:tcPr>
            <w:tcW w:w="182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数字式硬盘录像机NVR 硬盘总容量:48T 16路</w:t>
            </w:r>
          </w:p>
        </w:tc>
        <w:tc>
          <w:tcPr>
            <w:tcW w:w="37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台</w:t>
            </w:r>
          </w:p>
        </w:tc>
        <w:tc>
          <w:tcPr>
            <w:tcW w:w="57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1</w:t>
            </w:r>
          </w:p>
        </w:tc>
        <w:tc>
          <w:tcPr>
            <w:tcW w:w="33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4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6</w:t>
            </w:r>
          </w:p>
        </w:tc>
        <w:tc>
          <w:tcPr>
            <w:tcW w:w="661" w:type="pct"/>
            <w:noWrap/>
            <w:vAlign w:val="center"/>
          </w:tcPr>
          <w:p>
            <w:pPr>
              <w:widowControl/>
              <w:jc w:val="center"/>
              <w:rPr>
                <w:rFonts w:hint="eastAsia" w:ascii="宋体" w:hAnsi="宋体" w:cs="宋体"/>
                <w:color w:val="000000"/>
                <w:kern w:val="0"/>
                <w:szCs w:val="21"/>
              </w:rPr>
            </w:pPr>
          </w:p>
        </w:tc>
        <w:tc>
          <w:tcPr>
            <w:tcW w:w="97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安防工作站</w:t>
            </w:r>
          </w:p>
        </w:tc>
        <w:tc>
          <w:tcPr>
            <w:tcW w:w="182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双屏，主流配置</w:t>
            </w:r>
          </w:p>
        </w:tc>
        <w:tc>
          <w:tcPr>
            <w:tcW w:w="37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套</w:t>
            </w:r>
          </w:p>
        </w:tc>
        <w:tc>
          <w:tcPr>
            <w:tcW w:w="57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1</w:t>
            </w:r>
          </w:p>
        </w:tc>
        <w:tc>
          <w:tcPr>
            <w:tcW w:w="33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7</w:t>
            </w:r>
          </w:p>
        </w:tc>
        <w:tc>
          <w:tcPr>
            <w:tcW w:w="661" w:type="pct"/>
            <w:noWrap/>
            <w:vAlign w:val="center"/>
          </w:tcPr>
          <w:p>
            <w:pPr>
              <w:widowControl/>
              <w:jc w:val="center"/>
              <w:rPr>
                <w:rFonts w:hint="eastAsia" w:ascii="宋体" w:hAnsi="宋体" w:cs="宋体"/>
                <w:color w:val="000000"/>
                <w:kern w:val="0"/>
                <w:szCs w:val="21"/>
              </w:rPr>
            </w:pPr>
          </w:p>
        </w:tc>
        <w:tc>
          <w:tcPr>
            <w:tcW w:w="97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监控摄像设备</w:t>
            </w:r>
          </w:p>
        </w:tc>
        <w:tc>
          <w:tcPr>
            <w:tcW w:w="182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1、室外彩色摄像机400W 像素 30倍变焦（含支架、护罩等附件）</w:t>
            </w:r>
            <w:r>
              <w:rPr>
                <w:rFonts w:hint="eastAsia" w:ascii="宋体" w:hAnsi="宋体" w:cs="宋体"/>
                <w:color w:val="000000"/>
                <w:kern w:val="0"/>
                <w:szCs w:val="21"/>
                <w:lang w:val="en-US" w:eastAsia="zh-CN"/>
              </w:rPr>
              <w:br w:type="textWrapping"/>
            </w:r>
            <w:r>
              <w:rPr>
                <w:rFonts w:hint="eastAsia" w:ascii="宋体" w:hAnsi="宋体" w:cs="宋体"/>
                <w:color w:val="000000"/>
                <w:kern w:val="0"/>
                <w:szCs w:val="21"/>
                <w:lang w:val="en-US" w:eastAsia="zh-CN"/>
              </w:rPr>
              <w:t>2、室外立杆 高3.5m，壁厚不小于4mm，支架200mm~114mm，热镀锌</w:t>
            </w:r>
            <w:r>
              <w:rPr>
                <w:rFonts w:hint="eastAsia" w:ascii="宋体" w:hAnsi="宋体" w:cs="宋体"/>
                <w:color w:val="000000"/>
                <w:kern w:val="0"/>
                <w:szCs w:val="21"/>
                <w:lang w:val="en-US" w:eastAsia="zh-CN"/>
              </w:rPr>
              <w:br w:type="textWrapping"/>
            </w:r>
            <w:r>
              <w:rPr>
                <w:rFonts w:hint="eastAsia" w:ascii="宋体" w:hAnsi="宋体" w:cs="宋体"/>
                <w:color w:val="000000"/>
                <w:kern w:val="0"/>
                <w:szCs w:val="21"/>
                <w:lang w:val="en-US" w:eastAsia="zh-CN"/>
              </w:rPr>
              <w:t>3、基础制安</w:t>
            </w:r>
          </w:p>
        </w:tc>
        <w:tc>
          <w:tcPr>
            <w:tcW w:w="37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台</w:t>
            </w:r>
          </w:p>
        </w:tc>
        <w:tc>
          <w:tcPr>
            <w:tcW w:w="57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5</w:t>
            </w:r>
          </w:p>
        </w:tc>
        <w:tc>
          <w:tcPr>
            <w:tcW w:w="33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8</w:t>
            </w:r>
          </w:p>
        </w:tc>
        <w:tc>
          <w:tcPr>
            <w:tcW w:w="661" w:type="pct"/>
            <w:noWrap/>
            <w:vAlign w:val="center"/>
          </w:tcPr>
          <w:p>
            <w:pPr>
              <w:widowControl/>
              <w:jc w:val="center"/>
              <w:rPr>
                <w:rFonts w:hint="eastAsia" w:ascii="宋体" w:hAnsi="宋体" w:cs="宋体"/>
                <w:color w:val="000000"/>
                <w:kern w:val="0"/>
                <w:szCs w:val="21"/>
              </w:rPr>
            </w:pPr>
          </w:p>
        </w:tc>
        <w:tc>
          <w:tcPr>
            <w:tcW w:w="97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监控摄像设备</w:t>
            </w:r>
          </w:p>
        </w:tc>
        <w:tc>
          <w:tcPr>
            <w:tcW w:w="182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室内彩色摄像机 400W 像素； 含支架、护罩等附件</w:t>
            </w:r>
          </w:p>
        </w:tc>
        <w:tc>
          <w:tcPr>
            <w:tcW w:w="37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台</w:t>
            </w:r>
          </w:p>
        </w:tc>
        <w:tc>
          <w:tcPr>
            <w:tcW w:w="57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7</w:t>
            </w:r>
          </w:p>
        </w:tc>
        <w:tc>
          <w:tcPr>
            <w:tcW w:w="33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9</w:t>
            </w:r>
          </w:p>
        </w:tc>
        <w:tc>
          <w:tcPr>
            <w:tcW w:w="661" w:type="pct"/>
            <w:noWrap/>
            <w:vAlign w:val="center"/>
          </w:tcPr>
          <w:p>
            <w:pPr>
              <w:widowControl/>
              <w:jc w:val="center"/>
              <w:rPr>
                <w:rFonts w:hint="eastAsia" w:ascii="宋体" w:hAnsi="宋体" w:cs="宋体"/>
                <w:color w:val="000000"/>
                <w:kern w:val="0"/>
                <w:szCs w:val="21"/>
              </w:rPr>
            </w:pPr>
          </w:p>
        </w:tc>
        <w:tc>
          <w:tcPr>
            <w:tcW w:w="97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接地极</w:t>
            </w:r>
          </w:p>
        </w:tc>
        <w:tc>
          <w:tcPr>
            <w:tcW w:w="182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接地极 2.5米 L50x5x5</w:t>
            </w:r>
          </w:p>
        </w:tc>
        <w:tc>
          <w:tcPr>
            <w:tcW w:w="37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根</w:t>
            </w:r>
          </w:p>
        </w:tc>
        <w:tc>
          <w:tcPr>
            <w:tcW w:w="57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5</w:t>
            </w:r>
          </w:p>
        </w:tc>
        <w:tc>
          <w:tcPr>
            <w:tcW w:w="33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10</w:t>
            </w:r>
          </w:p>
        </w:tc>
        <w:tc>
          <w:tcPr>
            <w:tcW w:w="661" w:type="pct"/>
            <w:noWrap/>
            <w:vAlign w:val="center"/>
          </w:tcPr>
          <w:p>
            <w:pPr>
              <w:widowControl/>
              <w:jc w:val="center"/>
              <w:rPr>
                <w:rFonts w:hint="eastAsia" w:ascii="宋体" w:hAnsi="宋体" w:cs="宋体"/>
                <w:color w:val="000000"/>
                <w:kern w:val="0"/>
                <w:szCs w:val="21"/>
              </w:rPr>
            </w:pPr>
          </w:p>
        </w:tc>
        <w:tc>
          <w:tcPr>
            <w:tcW w:w="97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避雷器</w:t>
            </w:r>
          </w:p>
        </w:tc>
        <w:tc>
          <w:tcPr>
            <w:tcW w:w="182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网络防雷器 RJ45-10/100M 最大放电电流2KA,响应时间&lt;=5ns</w:t>
            </w:r>
          </w:p>
        </w:tc>
        <w:tc>
          <w:tcPr>
            <w:tcW w:w="37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组</w:t>
            </w:r>
          </w:p>
        </w:tc>
        <w:tc>
          <w:tcPr>
            <w:tcW w:w="57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5</w:t>
            </w:r>
          </w:p>
        </w:tc>
        <w:tc>
          <w:tcPr>
            <w:tcW w:w="33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11</w:t>
            </w:r>
          </w:p>
        </w:tc>
        <w:tc>
          <w:tcPr>
            <w:tcW w:w="661" w:type="pct"/>
            <w:noWrap/>
            <w:vAlign w:val="center"/>
          </w:tcPr>
          <w:p>
            <w:pPr>
              <w:widowControl/>
              <w:jc w:val="center"/>
              <w:rPr>
                <w:rFonts w:hint="eastAsia" w:ascii="宋体" w:hAnsi="宋体" w:cs="宋体"/>
                <w:color w:val="000000"/>
                <w:kern w:val="0"/>
                <w:szCs w:val="21"/>
              </w:rPr>
            </w:pPr>
          </w:p>
        </w:tc>
        <w:tc>
          <w:tcPr>
            <w:tcW w:w="97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避雷器</w:t>
            </w:r>
          </w:p>
        </w:tc>
        <w:tc>
          <w:tcPr>
            <w:tcW w:w="182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总电源防雷器 PBSV-385+PBAA-255</w:t>
            </w:r>
          </w:p>
        </w:tc>
        <w:tc>
          <w:tcPr>
            <w:tcW w:w="37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组</w:t>
            </w:r>
          </w:p>
        </w:tc>
        <w:tc>
          <w:tcPr>
            <w:tcW w:w="57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5</w:t>
            </w:r>
          </w:p>
        </w:tc>
        <w:tc>
          <w:tcPr>
            <w:tcW w:w="33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12</w:t>
            </w:r>
          </w:p>
        </w:tc>
        <w:tc>
          <w:tcPr>
            <w:tcW w:w="661" w:type="pct"/>
            <w:noWrap/>
            <w:vAlign w:val="center"/>
          </w:tcPr>
          <w:p>
            <w:pPr>
              <w:widowControl/>
              <w:jc w:val="center"/>
              <w:rPr>
                <w:rFonts w:hint="eastAsia" w:ascii="宋体" w:hAnsi="宋体" w:cs="宋体"/>
                <w:color w:val="000000"/>
                <w:kern w:val="0"/>
                <w:szCs w:val="21"/>
              </w:rPr>
            </w:pPr>
          </w:p>
        </w:tc>
        <w:tc>
          <w:tcPr>
            <w:tcW w:w="97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光缆</w:t>
            </w:r>
          </w:p>
        </w:tc>
        <w:tc>
          <w:tcPr>
            <w:tcW w:w="182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光纤 单模铠装4芯</w:t>
            </w:r>
          </w:p>
        </w:tc>
        <w:tc>
          <w:tcPr>
            <w:tcW w:w="37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m</w:t>
            </w:r>
          </w:p>
        </w:tc>
        <w:tc>
          <w:tcPr>
            <w:tcW w:w="57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200.00</w:t>
            </w:r>
          </w:p>
        </w:tc>
        <w:tc>
          <w:tcPr>
            <w:tcW w:w="33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13</w:t>
            </w:r>
          </w:p>
        </w:tc>
        <w:tc>
          <w:tcPr>
            <w:tcW w:w="661" w:type="pct"/>
            <w:noWrap/>
            <w:vAlign w:val="center"/>
          </w:tcPr>
          <w:p>
            <w:pPr>
              <w:widowControl/>
              <w:jc w:val="center"/>
              <w:rPr>
                <w:rFonts w:hint="eastAsia" w:ascii="宋体" w:hAnsi="宋体" w:cs="宋体"/>
                <w:color w:val="000000"/>
                <w:kern w:val="0"/>
                <w:szCs w:val="21"/>
              </w:rPr>
            </w:pPr>
          </w:p>
        </w:tc>
        <w:tc>
          <w:tcPr>
            <w:tcW w:w="97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双绞线缆</w:t>
            </w:r>
          </w:p>
        </w:tc>
        <w:tc>
          <w:tcPr>
            <w:tcW w:w="182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六类屏蔽以太网线 Cat6  STP</w:t>
            </w:r>
          </w:p>
        </w:tc>
        <w:tc>
          <w:tcPr>
            <w:tcW w:w="37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m</w:t>
            </w:r>
          </w:p>
        </w:tc>
        <w:tc>
          <w:tcPr>
            <w:tcW w:w="57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900.00</w:t>
            </w:r>
          </w:p>
        </w:tc>
        <w:tc>
          <w:tcPr>
            <w:tcW w:w="33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14</w:t>
            </w:r>
          </w:p>
        </w:tc>
        <w:tc>
          <w:tcPr>
            <w:tcW w:w="661" w:type="pct"/>
            <w:noWrap/>
            <w:vAlign w:val="center"/>
          </w:tcPr>
          <w:p>
            <w:pPr>
              <w:widowControl/>
              <w:jc w:val="center"/>
              <w:rPr>
                <w:rFonts w:hint="eastAsia" w:ascii="宋体" w:hAnsi="宋体" w:cs="宋体"/>
                <w:color w:val="000000"/>
                <w:kern w:val="0"/>
                <w:szCs w:val="21"/>
              </w:rPr>
            </w:pPr>
          </w:p>
        </w:tc>
        <w:tc>
          <w:tcPr>
            <w:tcW w:w="97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中央管理系统</w:t>
            </w:r>
          </w:p>
        </w:tc>
        <w:tc>
          <w:tcPr>
            <w:tcW w:w="182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电子围栏管理主机（含管理软件）</w:t>
            </w:r>
          </w:p>
        </w:tc>
        <w:tc>
          <w:tcPr>
            <w:tcW w:w="37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系统</w:t>
            </w:r>
          </w:p>
        </w:tc>
        <w:tc>
          <w:tcPr>
            <w:tcW w:w="57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1</w:t>
            </w:r>
          </w:p>
        </w:tc>
        <w:tc>
          <w:tcPr>
            <w:tcW w:w="33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15</w:t>
            </w:r>
          </w:p>
        </w:tc>
        <w:tc>
          <w:tcPr>
            <w:tcW w:w="661" w:type="pct"/>
            <w:noWrap/>
            <w:vAlign w:val="center"/>
          </w:tcPr>
          <w:p>
            <w:pPr>
              <w:widowControl/>
              <w:jc w:val="center"/>
              <w:rPr>
                <w:rFonts w:hint="eastAsia" w:ascii="宋体" w:hAnsi="宋体" w:cs="宋体"/>
                <w:color w:val="000000"/>
                <w:kern w:val="0"/>
                <w:szCs w:val="21"/>
              </w:rPr>
            </w:pPr>
          </w:p>
        </w:tc>
        <w:tc>
          <w:tcPr>
            <w:tcW w:w="97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电子围栏脉冲主机</w:t>
            </w:r>
          </w:p>
        </w:tc>
        <w:tc>
          <w:tcPr>
            <w:tcW w:w="182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电子围栏脉冲主机 每个防区70米</w:t>
            </w:r>
          </w:p>
        </w:tc>
        <w:tc>
          <w:tcPr>
            <w:tcW w:w="37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套</w:t>
            </w:r>
          </w:p>
        </w:tc>
        <w:tc>
          <w:tcPr>
            <w:tcW w:w="57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3</w:t>
            </w:r>
          </w:p>
        </w:tc>
        <w:tc>
          <w:tcPr>
            <w:tcW w:w="33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16</w:t>
            </w:r>
          </w:p>
        </w:tc>
        <w:tc>
          <w:tcPr>
            <w:tcW w:w="661" w:type="pct"/>
            <w:noWrap/>
            <w:vAlign w:val="center"/>
          </w:tcPr>
          <w:p>
            <w:pPr>
              <w:widowControl/>
              <w:jc w:val="center"/>
              <w:rPr>
                <w:rFonts w:hint="eastAsia" w:ascii="宋体" w:hAnsi="宋体" w:cs="宋体"/>
                <w:color w:val="000000"/>
                <w:kern w:val="0"/>
                <w:szCs w:val="21"/>
              </w:rPr>
            </w:pPr>
          </w:p>
        </w:tc>
        <w:tc>
          <w:tcPr>
            <w:tcW w:w="97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电子围栏</w:t>
            </w:r>
          </w:p>
        </w:tc>
        <w:tc>
          <w:tcPr>
            <w:tcW w:w="182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电子围栏 6线制</w:t>
            </w:r>
          </w:p>
        </w:tc>
        <w:tc>
          <w:tcPr>
            <w:tcW w:w="37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m</w:t>
            </w:r>
          </w:p>
        </w:tc>
        <w:tc>
          <w:tcPr>
            <w:tcW w:w="57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450.00</w:t>
            </w:r>
          </w:p>
        </w:tc>
        <w:tc>
          <w:tcPr>
            <w:tcW w:w="33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17</w:t>
            </w:r>
          </w:p>
        </w:tc>
        <w:tc>
          <w:tcPr>
            <w:tcW w:w="661" w:type="pct"/>
            <w:noWrap/>
            <w:vAlign w:val="center"/>
          </w:tcPr>
          <w:p>
            <w:pPr>
              <w:widowControl/>
              <w:jc w:val="center"/>
              <w:rPr>
                <w:rFonts w:hint="eastAsia" w:ascii="宋体" w:hAnsi="宋体" w:cs="宋体"/>
                <w:color w:val="000000"/>
                <w:kern w:val="0"/>
                <w:szCs w:val="21"/>
              </w:rPr>
            </w:pPr>
          </w:p>
        </w:tc>
        <w:tc>
          <w:tcPr>
            <w:tcW w:w="97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辅材</w:t>
            </w:r>
          </w:p>
        </w:tc>
        <w:tc>
          <w:tcPr>
            <w:tcW w:w="182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终端受力杆、防区受力杆、防区支撑杆、电源、防雷等</w:t>
            </w:r>
          </w:p>
        </w:tc>
        <w:tc>
          <w:tcPr>
            <w:tcW w:w="37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套</w:t>
            </w:r>
          </w:p>
        </w:tc>
        <w:tc>
          <w:tcPr>
            <w:tcW w:w="57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1</w:t>
            </w:r>
          </w:p>
        </w:tc>
        <w:tc>
          <w:tcPr>
            <w:tcW w:w="33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18</w:t>
            </w:r>
          </w:p>
        </w:tc>
        <w:tc>
          <w:tcPr>
            <w:tcW w:w="661" w:type="pct"/>
            <w:noWrap/>
            <w:vAlign w:val="center"/>
          </w:tcPr>
          <w:p>
            <w:pPr>
              <w:widowControl/>
              <w:jc w:val="center"/>
              <w:rPr>
                <w:rFonts w:hint="eastAsia" w:ascii="宋体" w:hAnsi="宋体" w:cs="宋体"/>
                <w:color w:val="000000"/>
                <w:kern w:val="0"/>
                <w:szCs w:val="21"/>
              </w:rPr>
            </w:pPr>
          </w:p>
        </w:tc>
        <w:tc>
          <w:tcPr>
            <w:tcW w:w="97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中央管理系统</w:t>
            </w:r>
          </w:p>
        </w:tc>
        <w:tc>
          <w:tcPr>
            <w:tcW w:w="182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巡查主机</w:t>
            </w:r>
          </w:p>
        </w:tc>
        <w:tc>
          <w:tcPr>
            <w:tcW w:w="37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系统</w:t>
            </w:r>
          </w:p>
        </w:tc>
        <w:tc>
          <w:tcPr>
            <w:tcW w:w="57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1</w:t>
            </w:r>
          </w:p>
        </w:tc>
        <w:tc>
          <w:tcPr>
            <w:tcW w:w="33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19</w:t>
            </w:r>
          </w:p>
        </w:tc>
        <w:tc>
          <w:tcPr>
            <w:tcW w:w="661" w:type="pct"/>
            <w:noWrap/>
            <w:vAlign w:val="center"/>
          </w:tcPr>
          <w:p>
            <w:pPr>
              <w:widowControl/>
              <w:jc w:val="center"/>
              <w:rPr>
                <w:rFonts w:hint="eastAsia" w:ascii="宋体" w:hAnsi="宋体" w:cs="宋体"/>
                <w:color w:val="000000"/>
                <w:kern w:val="0"/>
                <w:szCs w:val="21"/>
              </w:rPr>
            </w:pPr>
          </w:p>
        </w:tc>
        <w:tc>
          <w:tcPr>
            <w:tcW w:w="97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巡查棒</w:t>
            </w:r>
          </w:p>
        </w:tc>
        <w:tc>
          <w:tcPr>
            <w:tcW w:w="182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巡查棒</w:t>
            </w:r>
          </w:p>
        </w:tc>
        <w:tc>
          <w:tcPr>
            <w:tcW w:w="37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根</w:t>
            </w:r>
          </w:p>
        </w:tc>
        <w:tc>
          <w:tcPr>
            <w:tcW w:w="57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4</w:t>
            </w:r>
          </w:p>
        </w:tc>
        <w:tc>
          <w:tcPr>
            <w:tcW w:w="33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20</w:t>
            </w:r>
          </w:p>
        </w:tc>
        <w:tc>
          <w:tcPr>
            <w:tcW w:w="661" w:type="pct"/>
            <w:noWrap/>
            <w:vAlign w:val="center"/>
          </w:tcPr>
          <w:p>
            <w:pPr>
              <w:widowControl/>
              <w:jc w:val="center"/>
              <w:rPr>
                <w:rFonts w:hint="eastAsia" w:ascii="宋体" w:hAnsi="宋体" w:cs="宋体"/>
                <w:color w:val="000000"/>
                <w:kern w:val="0"/>
                <w:szCs w:val="21"/>
              </w:rPr>
            </w:pPr>
          </w:p>
        </w:tc>
        <w:tc>
          <w:tcPr>
            <w:tcW w:w="97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巡更点</w:t>
            </w:r>
          </w:p>
        </w:tc>
        <w:tc>
          <w:tcPr>
            <w:tcW w:w="182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巡更点</w:t>
            </w:r>
          </w:p>
        </w:tc>
        <w:tc>
          <w:tcPr>
            <w:tcW w:w="375"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项</w:t>
            </w:r>
          </w:p>
        </w:tc>
        <w:tc>
          <w:tcPr>
            <w:tcW w:w="57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1</w:t>
            </w:r>
          </w:p>
        </w:tc>
        <w:tc>
          <w:tcPr>
            <w:tcW w:w="33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7" w:type="pct"/>
            <w:noWrap/>
            <w:vAlign w:val="center"/>
          </w:tcPr>
          <w:p>
            <w:pPr>
              <w:widowControl/>
              <w:jc w:val="center"/>
              <w:rPr>
                <w:rFonts w:hint="eastAsia" w:ascii="宋体" w:hAnsi="宋体" w:cs="宋体"/>
                <w:color w:val="000000"/>
                <w:kern w:val="0"/>
                <w:szCs w:val="21"/>
              </w:rPr>
            </w:pPr>
          </w:p>
        </w:tc>
        <w:tc>
          <w:tcPr>
            <w:tcW w:w="661" w:type="pct"/>
            <w:noWrap/>
            <w:vAlign w:val="center"/>
          </w:tcPr>
          <w:p>
            <w:pPr>
              <w:widowControl/>
              <w:jc w:val="center"/>
              <w:rPr>
                <w:rFonts w:hint="eastAsia" w:ascii="宋体" w:hAnsi="宋体" w:cs="宋体"/>
                <w:color w:val="000000"/>
                <w:kern w:val="0"/>
                <w:szCs w:val="21"/>
              </w:rPr>
            </w:pPr>
            <w:r>
              <w:rPr>
                <w:rFonts w:hint="eastAsia"/>
              </w:rPr>
              <w:t>龙港管理房及计量房</w:t>
            </w:r>
          </w:p>
        </w:tc>
        <w:tc>
          <w:tcPr>
            <w:tcW w:w="974" w:type="pct"/>
            <w:noWrap/>
            <w:vAlign w:val="center"/>
          </w:tcPr>
          <w:p>
            <w:pPr>
              <w:keepNext w:val="0"/>
              <w:keepLines w:val="0"/>
              <w:widowControl/>
              <w:suppressLineNumbers w:val="0"/>
              <w:jc w:val="left"/>
              <w:textAlignment w:val="center"/>
              <w:rPr>
                <w:rFonts w:hint="eastAsia" w:ascii="宋体" w:hAnsi="宋体" w:cs="宋体"/>
                <w:color w:val="000000"/>
                <w:kern w:val="0"/>
                <w:szCs w:val="21"/>
              </w:rPr>
            </w:pPr>
          </w:p>
        </w:tc>
        <w:tc>
          <w:tcPr>
            <w:tcW w:w="1829" w:type="pct"/>
            <w:noWrap/>
            <w:vAlign w:val="center"/>
          </w:tcPr>
          <w:p>
            <w:pPr>
              <w:widowControl/>
              <w:jc w:val="center"/>
              <w:rPr>
                <w:rFonts w:hint="eastAsia" w:ascii="宋体" w:hAnsi="宋体" w:cs="宋体"/>
                <w:color w:val="000000"/>
                <w:kern w:val="0"/>
                <w:szCs w:val="21"/>
              </w:rPr>
            </w:pPr>
          </w:p>
        </w:tc>
        <w:tc>
          <w:tcPr>
            <w:tcW w:w="375" w:type="pct"/>
            <w:noWrap/>
            <w:vAlign w:val="center"/>
          </w:tcPr>
          <w:p>
            <w:pPr>
              <w:widowControl/>
              <w:jc w:val="center"/>
              <w:rPr>
                <w:rFonts w:hint="eastAsia" w:ascii="宋体" w:hAnsi="宋体" w:cs="宋体"/>
                <w:color w:val="000000"/>
                <w:kern w:val="0"/>
                <w:szCs w:val="21"/>
              </w:rPr>
            </w:pPr>
          </w:p>
        </w:tc>
        <w:tc>
          <w:tcPr>
            <w:tcW w:w="579" w:type="pct"/>
            <w:noWrap/>
            <w:vAlign w:val="center"/>
          </w:tcPr>
          <w:p>
            <w:pPr>
              <w:widowControl/>
              <w:jc w:val="center"/>
              <w:rPr>
                <w:rFonts w:hint="eastAsia" w:ascii="宋体" w:hAnsi="宋体" w:cs="宋体"/>
                <w:color w:val="000000"/>
                <w:kern w:val="0"/>
                <w:szCs w:val="21"/>
              </w:rPr>
            </w:pPr>
          </w:p>
        </w:tc>
        <w:tc>
          <w:tcPr>
            <w:tcW w:w="33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47" w:type="pct"/>
            <w:noWrap/>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21</w:t>
            </w:r>
          </w:p>
        </w:tc>
        <w:tc>
          <w:tcPr>
            <w:tcW w:w="661" w:type="pct"/>
            <w:noWrap/>
            <w:vAlign w:val="center"/>
          </w:tcPr>
          <w:p>
            <w:pPr>
              <w:widowControl/>
              <w:jc w:val="center"/>
              <w:rPr>
                <w:rFonts w:hint="eastAsia" w:ascii="宋体" w:hAnsi="宋体" w:cs="宋体"/>
                <w:color w:val="000000"/>
                <w:kern w:val="0"/>
                <w:szCs w:val="21"/>
                <w:lang w:val="en-US" w:eastAsia="zh-CN"/>
              </w:rPr>
            </w:pPr>
          </w:p>
        </w:tc>
        <w:tc>
          <w:tcPr>
            <w:tcW w:w="974"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机柜、机架</w:t>
            </w:r>
          </w:p>
        </w:tc>
        <w:tc>
          <w:tcPr>
            <w:tcW w:w="1829"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安防服务器柜 W600*D600*H2000(mm),IP41 包括空开、电源适配器等</w:t>
            </w:r>
          </w:p>
        </w:tc>
        <w:tc>
          <w:tcPr>
            <w:tcW w:w="375"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台</w:t>
            </w:r>
          </w:p>
        </w:tc>
        <w:tc>
          <w:tcPr>
            <w:tcW w:w="579"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w:t>
            </w:r>
          </w:p>
        </w:tc>
        <w:tc>
          <w:tcPr>
            <w:tcW w:w="33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7" w:type="pct"/>
            <w:noWrap/>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22</w:t>
            </w:r>
          </w:p>
        </w:tc>
        <w:tc>
          <w:tcPr>
            <w:tcW w:w="661" w:type="pct"/>
            <w:noWrap/>
            <w:vAlign w:val="center"/>
          </w:tcPr>
          <w:p>
            <w:pPr>
              <w:widowControl/>
              <w:jc w:val="center"/>
              <w:rPr>
                <w:rFonts w:hint="eastAsia" w:ascii="宋体" w:hAnsi="宋体" w:cs="宋体"/>
                <w:color w:val="000000"/>
                <w:kern w:val="0"/>
                <w:szCs w:val="21"/>
                <w:lang w:val="en-US" w:eastAsia="zh-CN"/>
              </w:rPr>
            </w:pPr>
          </w:p>
        </w:tc>
        <w:tc>
          <w:tcPr>
            <w:tcW w:w="974"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交换机</w:t>
            </w:r>
          </w:p>
        </w:tc>
        <w:tc>
          <w:tcPr>
            <w:tcW w:w="1829"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100/1000M 环网型 单模光口*2,RJ45口*24</w:t>
            </w:r>
          </w:p>
        </w:tc>
        <w:tc>
          <w:tcPr>
            <w:tcW w:w="375"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台</w:t>
            </w:r>
          </w:p>
        </w:tc>
        <w:tc>
          <w:tcPr>
            <w:tcW w:w="579"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w:t>
            </w:r>
          </w:p>
        </w:tc>
        <w:tc>
          <w:tcPr>
            <w:tcW w:w="33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7"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23</w:t>
            </w:r>
          </w:p>
        </w:tc>
        <w:tc>
          <w:tcPr>
            <w:tcW w:w="661" w:type="pct"/>
            <w:noWrap/>
            <w:vAlign w:val="center"/>
          </w:tcPr>
          <w:p>
            <w:pPr>
              <w:widowControl/>
              <w:jc w:val="center"/>
              <w:rPr>
                <w:rFonts w:hint="eastAsia" w:ascii="宋体" w:hAnsi="宋体" w:cs="宋体"/>
                <w:color w:val="000000"/>
                <w:kern w:val="0"/>
                <w:szCs w:val="21"/>
                <w:lang w:val="en-US" w:eastAsia="zh-CN"/>
              </w:rPr>
            </w:pPr>
          </w:p>
        </w:tc>
        <w:tc>
          <w:tcPr>
            <w:tcW w:w="974"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服务器</w:t>
            </w:r>
          </w:p>
        </w:tc>
        <w:tc>
          <w:tcPr>
            <w:tcW w:w="1829"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机架式服务器,8核2.1GHz/32GB DDR4,硬盘:2块 1T 7.2K</w:t>
            </w:r>
          </w:p>
        </w:tc>
        <w:tc>
          <w:tcPr>
            <w:tcW w:w="375"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台</w:t>
            </w:r>
          </w:p>
        </w:tc>
        <w:tc>
          <w:tcPr>
            <w:tcW w:w="579"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w:t>
            </w:r>
          </w:p>
        </w:tc>
        <w:tc>
          <w:tcPr>
            <w:tcW w:w="33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7"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24</w:t>
            </w:r>
          </w:p>
        </w:tc>
        <w:tc>
          <w:tcPr>
            <w:tcW w:w="661" w:type="pct"/>
            <w:noWrap/>
            <w:vAlign w:val="center"/>
          </w:tcPr>
          <w:p>
            <w:pPr>
              <w:widowControl/>
              <w:jc w:val="center"/>
              <w:rPr>
                <w:rFonts w:hint="eastAsia" w:ascii="宋体" w:hAnsi="宋体" w:cs="宋体"/>
                <w:color w:val="000000"/>
                <w:kern w:val="0"/>
                <w:szCs w:val="21"/>
                <w:lang w:val="en-US" w:eastAsia="zh-CN"/>
              </w:rPr>
            </w:pPr>
          </w:p>
        </w:tc>
        <w:tc>
          <w:tcPr>
            <w:tcW w:w="974"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软件</w:t>
            </w:r>
          </w:p>
        </w:tc>
        <w:tc>
          <w:tcPr>
            <w:tcW w:w="1829"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综合管理平台软件 含100路视频输入授权</w:t>
            </w:r>
          </w:p>
        </w:tc>
        <w:tc>
          <w:tcPr>
            <w:tcW w:w="375"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套</w:t>
            </w:r>
          </w:p>
        </w:tc>
        <w:tc>
          <w:tcPr>
            <w:tcW w:w="579"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w:t>
            </w:r>
          </w:p>
        </w:tc>
        <w:tc>
          <w:tcPr>
            <w:tcW w:w="33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7"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25</w:t>
            </w:r>
          </w:p>
        </w:tc>
        <w:tc>
          <w:tcPr>
            <w:tcW w:w="661" w:type="pct"/>
            <w:noWrap/>
            <w:vAlign w:val="center"/>
          </w:tcPr>
          <w:p>
            <w:pPr>
              <w:widowControl/>
              <w:jc w:val="center"/>
              <w:rPr>
                <w:rFonts w:hint="eastAsia" w:ascii="宋体" w:hAnsi="宋体" w:cs="宋体"/>
                <w:color w:val="000000"/>
                <w:kern w:val="0"/>
                <w:szCs w:val="21"/>
                <w:lang w:val="en-US" w:eastAsia="zh-CN"/>
              </w:rPr>
            </w:pPr>
          </w:p>
        </w:tc>
        <w:tc>
          <w:tcPr>
            <w:tcW w:w="974"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录像设备</w:t>
            </w:r>
          </w:p>
        </w:tc>
        <w:tc>
          <w:tcPr>
            <w:tcW w:w="1829"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数字式硬盘录像机NVR 硬盘总容量:48T 16路</w:t>
            </w:r>
          </w:p>
        </w:tc>
        <w:tc>
          <w:tcPr>
            <w:tcW w:w="375"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台</w:t>
            </w:r>
          </w:p>
        </w:tc>
        <w:tc>
          <w:tcPr>
            <w:tcW w:w="579"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w:t>
            </w:r>
          </w:p>
        </w:tc>
        <w:tc>
          <w:tcPr>
            <w:tcW w:w="33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7"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26</w:t>
            </w:r>
          </w:p>
        </w:tc>
        <w:tc>
          <w:tcPr>
            <w:tcW w:w="661" w:type="pct"/>
            <w:noWrap/>
            <w:vAlign w:val="center"/>
          </w:tcPr>
          <w:p>
            <w:pPr>
              <w:widowControl/>
              <w:jc w:val="center"/>
              <w:rPr>
                <w:rFonts w:hint="eastAsia" w:ascii="宋体" w:hAnsi="宋体" w:cs="宋体"/>
                <w:color w:val="000000"/>
                <w:kern w:val="0"/>
                <w:szCs w:val="21"/>
                <w:lang w:val="en-US" w:eastAsia="zh-CN"/>
              </w:rPr>
            </w:pPr>
          </w:p>
        </w:tc>
        <w:tc>
          <w:tcPr>
            <w:tcW w:w="974"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安防工作站</w:t>
            </w:r>
          </w:p>
        </w:tc>
        <w:tc>
          <w:tcPr>
            <w:tcW w:w="1829"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双屏，主流配置</w:t>
            </w:r>
          </w:p>
        </w:tc>
        <w:tc>
          <w:tcPr>
            <w:tcW w:w="375"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套</w:t>
            </w:r>
          </w:p>
        </w:tc>
        <w:tc>
          <w:tcPr>
            <w:tcW w:w="579"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w:t>
            </w:r>
          </w:p>
        </w:tc>
        <w:tc>
          <w:tcPr>
            <w:tcW w:w="33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7"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27</w:t>
            </w:r>
          </w:p>
        </w:tc>
        <w:tc>
          <w:tcPr>
            <w:tcW w:w="661" w:type="pct"/>
            <w:noWrap/>
            <w:vAlign w:val="center"/>
          </w:tcPr>
          <w:p>
            <w:pPr>
              <w:widowControl/>
              <w:jc w:val="center"/>
              <w:rPr>
                <w:rFonts w:hint="eastAsia" w:ascii="宋体" w:hAnsi="宋体" w:cs="宋体"/>
                <w:color w:val="000000"/>
                <w:kern w:val="0"/>
                <w:szCs w:val="21"/>
                <w:lang w:val="en-US" w:eastAsia="zh-CN"/>
              </w:rPr>
            </w:pPr>
          </w:p>
        </w:tc>
        <w:tc>
          <w:tcPr>
            <w:tcW w:w="974"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监控摄像设备</w:t>
            </w:r>
          </w:p>
        </w:tc>
        <w:tc>
          <w:tcPr>
            <w:tcW w:w="1829"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1、室外彩色摄像机400W 像素 30倍变焦（含支架、护罩等附件）</w:t>
            </w:r>
            <w:r>
              <w:rPr>
                <w:rFonts w:hint="eastAsia" w:ascii="宋体" w:hAnsi="宋体" w:cs="宋体"/>
                <w:color w:val="000000"/>
                <w:kern w:val="0"/>
                <w:szCs w:val="21"/>
                <w:lang w:val="en-US" w:eastAsia="zh-CN"/>
              </w:rPr>
              <w:br w:type="textWrapping"/>
            </w:r>
            <w:r>
              <w:rPr>
                <w:rFonts w:hint="eastAsia" w:ascii="宋体" w:hAnsi="宋体" w:cs="宋体"/>
                <w:color w:val="000000"/>
                <w:kern w:val="0"/>
                <w:szCs w:val="21"/>
                <w:lang w:val="en-US" w:eastAsia="zh-CN"/>
              </w:rPr>
              <w:t>2、室外立杆 高3.5m，壁厚不小于4mm，支架200mm~114mm，热镀锌</w:t>
            </w:r>
            <w:r>
              <w:rPr>
                <w:rFonts w:hint="eastAsia" w:ascii="宋体" w:hAnsi="宋体" w:cs="宋体"/>
                <w:color w:val="000000"/>
                <w:kern w:val="0"/>
                <w:szCs w:val="21"/>
                <w:lang w:val="en-US" w:eastAsia="zh-CN"/>
              </w:rPr>
              <w:br w:type="textWrapping"/>
            </w:r>
            <w:r>
              <w:rPr>
                <w:rFonts w:hint="eastAsia" w:ascii="宋体" w:hAnsi="宋体" w:cs="宋体"/>
                <w:color w:val="000000"/>
                <w:kern w:val="0"/>
                <w:szCs w:val="21"/>
                <w:lang w:val="en-US" w:eastAsia="zh-CN"/>
              </w:rPr>
              <w:t>3、基础制安</w:t>
            </w:r>
          </w:p>
        </w:tc>
        <w:tc>
          <w:tcPr>
            <w:tcW w:w="375"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台</w:t>
            </w:r>
          </w:p>
        </w:tc>
        <w:tc>
          <w:tcPr>
            <w:tcW w:w="579"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6</w:t>
            </w:r>
          </w:p>
        </w:tc>
        <w:tc>
          <w:tcPr>
            <w:tcW w:w="33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7"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28</w:t>
            </w:r>
          </w:p>
        </w:tc>
        <w:tc>
          <w:tcPr>
            <w:tcW w:w="661" w:type="pct"/>
            <w:noWrap/>
            <w:vAlign w:val="center"/>
          </w:tcPr>
          <w:p>
            <w:pPr>
              <w:widowControl/>
              <w:jc w:val="center"/>
              <w:rPr>
                <w:rFonts w:hint="eastAsia" w:ascii="宋体" w:hAnsi="宋体" w:cs="宋体"/>
                <w:color w:val="000000"/>
                <w:kern w:val="0"/>
                <w:szCs w:val="21"/>
                <w:lang w:val="en-US" w:eastAsia="zh-CN"/>
              </w:rPr>
            </w:pPr>
          </w:p>
        </w:tc>
        <w:tc>
          <w:tcPr>
            <w:tcW w:w="974"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监控摄像设备</w:t>
            </w:r>
          </w:p>
        </w:tc>
        <w:tc>
          <w:tcPr>
            <w:tcW w:w="1829"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室内彩色摄像机 400W 像素； 含支架、护罩等附件</w:t>
            </w:r>
          </w:p>
        </w:tc>
        <w:tc>
          <w:tcPr>
            <w:tcW w:w="375"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台</w:t>
            </w:r>
          </w:p>
        </w:tc>
        <w:tc>
          <w:tcPr>
            <w:tcW w:w="579"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7</w:t>
            </w:r>
          </w:p>
        </w:tc>
        <w:tc>
          <w:tcPr>
            <w:tcW w:w="33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7"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29</w:t>
            </w:r>
          </w:p>
        </w:tc>
        <w:tc>
          <w:tcPr>
            <w:tcW w:w="661" w:type="pct"/>
            <w:noWrap/>
            <w:vAlign w:val="center"/>
          </w:tcPr>
          <w:p>
            <w:pPr>
              <w:widowControl/>
              <w:jc w:val="center"/>
              <w:rPr>
                <w:rFonts w:hint="eastAsia" w:ascii="宋体" w:hAnsi="宋体" w:cs="宋体"/>
                <w:color w:val="000000"/>
                <w:kern w:val="0"/>
                <w:szCs w:val="21"/>
                <w:lang w:val="en-US" w:eastAsia="zh-CN"/>
              </w:rPr>
            </w:pPr>
          </w:p>
        </w:tc>
        <w:tc>
          <w:tcPr>
            <w:tcW w:w="974"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接地极</w:t>
            </w:r>
          </w:p>
        </w:tc>
        <w:tc>
          <w:tcPr>
            <w:tcW w:w="1829"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接地极 2.5米 L50x5x5</w:t>
            </w:r>
          </w:p>
        </w:tc>
        <w:tc>
          <w:tcPr>
            <w:tcW w:w="375"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根</w:t>
            </w:r>
          </w:p>
        </w:tc>
        <w:tc>
          <w:tcPr>
            <w:tcW w:w="579"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5</w:t>
            </w:r>
          </w:p>
        </w:tc>
        <w:tc>
          <w:tcPr>
            <w:tcW w:w="33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7"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30</w:t>
            </w:r>
          </w:p>
        </w:tc>
        <w:tc>
          <w:tcPr>
            <w:tcW w:w="661" w:type="pct"/>
            <w:noWrap/>
            <w:vAlign w:val="center"/>
          </w:tcPr>
          <w:p>
            <w:pPr>
              <w:widowControl/>
              <w:jc w:val="center"/>
              <w:rPr>
                <w:rFonts w:hint="eastAsia" w:ascii="宋体" w:hAnsi="宋体" w:cs="宋体"/>
                <w:color w:val="000000"/>
                <w:kern w:val="0"/>
                <w:szCs w:val="21"/>
                <w:lang w:val="en-US" w:eastAsia="zh-CN"/>
              </w:rPr>
            </w:pPr>
          </w:p>
        </w:tc>
        <w:tc>
          <w:tcPr>
            <w:tcW w:w="974"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避雷器</w:t>
            </w:r>
          </w:p>
        </w:tc>
        <w:tc>
          <w:tcPr>
            <w:tcW w:w="1829"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网络防雷器 RJ45-10/100M 最大放电电流2KA,响应时间&lt;=5ns</w:t>
            </w:r>
          </w:p>
        </w:tc>
        <w:tc>
          <w:tcPr>
            <w:tcW w:w="375"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组</w:t>
            </w:r>
          </w:p>
        </w:tc>
        <w:tc>
          <w:tcPr>
            <w:tcW w:w="579"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5</w:t>
            </w:r>
          </w:p>
        </w:tc>
        <w:tc>
          <w:tcPr>
            <w:tcW w:w="33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7"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31</w:t>
            </w:r>
          </w:p>
        </w:tc>
        <w:tc>
          <w:tcPr>
            <w:tcW w:w="661" w:type="pct"/>
            <w:noWrap/>
            <w:vAlign w:val="center"/>
          </w:tcPr>
          <w:p>
            <w:pPr>
              <w:widowControl/>
              <w:jc w:val="center"/>
              <w:rPr>
                <w:rFonts w:hint="eastAsia" w:ascii="宋体" w:hAnsi="宋体" w:cs="宋体"/>
                <w:color w:val="000000"/>
                <w:kern w:val="0"/>
                <w:szCs w:val="21"/>
                <w:lang w:val="en-US" w:eastAsia="zh-CN"/>
              </w:rPr>
            </w:pPr>
          </w:p>
        </w:tc>
        <w:tc>
          <w:tcPr>
            <w:tcW w:w="974"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避雷器</w:t>
            </w:r>
          </w:p>
        </w:tc>
        <w:tc>
          <w:tcPr>
            <w:tcW w:w="1829"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总电源防雷器 PBSV-385+PBAA-255</w:t>
            </w:r>
          </w:p>
        </w:tc>
        <w:tc>
          <w:tcPr>
            <w:tcW w:w="375"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组</w:t>
            </w:r>
          </w:p>
        </w:tc>
        <w:tc>
          <w:tcPr>
            <w:tcW w:w="579"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5</w:t>
            </w:r>
          </w:p>
        </w:tc>
        <w:tc>
          <w:tcPr>
            <w:tcW w:w="33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7"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32</w:t>
            </w:r>
          </w:p>
        </w:tc>
        <w:tc>
          <w:tcPr>
            <w:tcW w:w="661" w:type="pct"/>
            <w:noWrap/>
            <w:vAlign w:val="center"/>
          </w:tcPr>
          <w:p>
            <w:pPr>
              <w:widowControl/>
              <w:jc w:val="center"/>
              <w:rPr>
                <w:rFonts w:hint="eastAsia" w:ascii="宋体" w:hAnsi="宋体" w:cs="宋体"/>
                <w:color w:val="000000"/>
                <w:kern w:val="0"/>
                <w:szCs w:val="21"/>
                <w:lang w:val="en-US" w:eastAsia="zh-CN"/>
              </w:rPr>
            </w:pPr>
          </w:p>
        </w:tc>
        <w:tc>
          <w:tcPr>
            <w:tcW w:w="974"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光缆</w:t>
            </w:r>
          </w:p>
        </w:tc>
        <w:tc>
          <w:tcPr>
            <w:tcW w:w="1829"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光纤 单模铠装4芯</w:t>
            </w:r>
          </w:p>
        </w:tc>
        <w:tc>
          <w:tcPr>
            <w:tcW w:w="375"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m</w:t>
            </w:r>
          </w:p>
        </w:tc>
        <w:tc>
          <w:tcPr>
            <w:tcW w:w="579"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200.00</w:t>
            </w:r>
          </w:p>
        </w:tc>
        <w:tc>
          <w:tcPr>
            <w:tcW w:w="33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7"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33</w:t>
            </w:r>
          </w:p>
        </w:tc>
        <w:tc>
          <w:tcPr>
            <w:tcW w:w="661" w:type="pct"/>
            <w:noWrap/>
            <w:vAlign w:val="center"/>
          </w:tcPr>
          <w:p>
            <w:pPr>
              <w:widowControl/>
              <w:jc w:val="center"/>
              <w:rPr>
                <w:rFonts w:hint="eastAsia" w:ascii="宋体" w:hAnsi="宋体" w:cs="宋体"/>
                <w:color w:val="000000"/>
                <w:kern w:val="0"/>
                <w:szCs w:val="21"/>
                <w:lang w:val="en-US" w:eastAsia="zh-CN"/>
              </w:rPr>
            </w:pPr>
          </w:p>
        </w:tc>
        <w:tc>
          <w:tcPr>
            <w:tcW w:w="974"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双绞线缆</w:t>
            </w:r>
          </w:p>
        </w:tc>
        <w:tc>
          <w:tcPr>
            <w:tcW w:w="1829"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六类屏蔽以太网线 Cat6  STP</w:t>
            </w:r>
          </w:p>
        </w:tc>
        <w:tc>
          <w:tcPr>
            <w:tcW w:w="375"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m</w:t>
            </w:r>
          </w:p>
        </w:tc>
        <w:tc>
          <w:tcPr>
            <w:tcW w:w="579" w:type="pct"/>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900.00</w:t>
            </w:r>
          </w:p>
        </w:tc>
        <w:tc>
          <w:tcPr>
            <w:tcW w:w="33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7" w:type="pct"/>
            <w:noWrap/>
            <w:vAlign w:val="center"/>
          </w:tcPr>
          <w:p>
            <w:pPr>
              <w:widowControl/>
              <w:jc w:val="center"/>
              <w:rPr>
                <w:rFonts w:hint="eastAsia" w:ascii="宋体" w:hAnsi="宋体" w:cs="宋体"/>
                <w:color w:val="000000"/>
                <w:kern w:val="0"/>
                <w:szCs w:val="21"/>
              </w:rPr>
            </w:pPr>
          </w:p>
        </w:tc>
        <w:tc>
          <w:tcPr>
            <w:tcW w:w="66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自控设备更新</w:t>
            </w:r>
          </w:p>
        </w:tc>
        <w:tc>
          <w:tcPr>
            <w:tcW w:w="974" w:type="pct"/>
            <w:noWrap/>
            <w:vAlign w:val="center"/>
          </w:tcPr>
          <w:p>
            <w:pPr>
              <w:keepNext w:val="0"/>
              <w:keepLines w:val="0"/>
              <w:widowControl/>
              <w:suppressLineNumbers w:val="0"/>
              <w:jc w:val="left"/>
              <w:textAlignment w:val="center"/>
              <w:rPr>
                <w:rFonts w:hint="eastAsia" w:ascii="宋体" w:hAnsi="宋体" w:cs="宋体"/>
                <w:color w:val="000000"/>
                <w:kern w:val="0"/>
                <w:szCs w:val="21"/>
              </w:rPr>
            </w:pPr>
          </w:p>
        </w:tc>
        <w:tc>
          <w:tcPr>
            <w:tcW w:w="1829" w:type="pct"/>
            <w:noWrap/>
            <w:vAlign w:val="center"/>
          </w:tcPr>
          <w:p>
            <w:pPr>
              <w:widowControl/>
              <w:jc w:val="center"/>
              <w:rPr>
                <w:rFonts w:hint="eastAsia" w:ascii="宋体" w:hAnsi="宋体" w:cs="宋体"/>
                <w:color w:val="000000"/>
                <w:kern w:val="0"/>
                <w:szCs w:val="21"/>
              </w:rPr>
            </w:pPr>
          </w:p>
        </w:tc>
        <w:tc>
          <w:tcPr>
            <w:tcW w:w="375" w:type="pct"/>
            <w:noWrap/>
            <w:vAlign w:val="center"/>
          </w:tcPr>
          <w:p>
            <w:pPr>
              <w:widowControl/>
              <w:jc w:val="center"/>
              <w:rPr>
                <w:rFonts w:hint="eastAsia" w:ascii="宋体" w:hAnsi="宋体" w:cs="宋体"/>
                <w:color w:val="000000"/>
                <w:kern w:val="0"/>
                <w:szCs w:val="21"/>
              </w:rPr>
            </w:pPr>
          </w:p>
        </w:tc>
        <w:tc>
          <w:tcPr>
            <w:tcW w:w="579" w:type="pct"/>
            <w:noWrap/>
            <w:vAlign w:val="center"/>
          </w:tcPr>
          <w:p>
            <w:pPr>
              <w:widowControl/>
              <w:jc w:val="center"/>
              <w:rPr>
                <w:rFonts w:hint="eastAsia" w:ascii="宋体" w:hAnsi="宋体" w:cs="宋体"/>
                <w:color w:val="000000"/>
                <w:kern w:val="0"/>
                <w:szCs w:val="21"/>
              </w:rPr>
            </w:pPr>
          </w:p>
        </w:tc>
        <w:tc>
          <w:tcPr>
            <w:tcW w:w="33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4" w:type="dxa"/>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34</w:t>
            </w:r>
          </w:p>
        </w:tc>
        <w:tc>
          <w:tcPr>
            <w:tcW w:w="661" w:type="pct"/>
            <w:noWrap/>
            <w:vAlign w:val="center"/>
          </w:tcPr>
          <w:p>
            <w:pPr>
              <w:widowControl/>
              <w:jc w:val="center"/>
              <w:rPr>
                <w:rFonts w:hint="eastAsia" w:ascii="宋体" w:hAnsi="宋体" w:cs="宋体"/>
                <w:color w:val="000000"/>
                <w:kern w:val="0"/>
                <w:szCs w:val="21"/>
                <w:lang w:val="en-US" w:eastAsia="zh-CN"/>
              </w:rPr>
            </w:pPr>
          </w:p>
        </w:tc>
        <w:tc>
          <w:tcPr>
            <w:tcW w:w="1866" w:type="dxa"/>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服务器</w:t>
            </w:r>
          </w:p>
        </w:tc>
        <w:tc>
          <w:tcPr>
            <w:tcW w:w="3504" w:type="dxa"/>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双路Intel 至强银牌4410以上,内存:≥ 16G,硬盘:≥ 2TB*2</w:t>
            </w:r>
          </w:p>
        </w:tc>
        <w:tc>
          <w:tcPr>
            <w:tcW w:w="720" w:type="dxa"/>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台</w:t>
            </w:r>
          </w:p>
        </w:tc>
        <w:tc>
          <w:tcPr>
            <w:tcW w:w="1110" w:type="dxa"/>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w:t>
            </w:r>
          </w:p>
        </w:tc>
        <w:tc>
          <w:tcPr>
            <w:tcW w:w="33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4" w:type="dxa"/>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35</w:t>
            </w:r>
          </w:p>
        </w:tc>
        <w:tc>
          <w:tcPr>
            <w:tcW w:w="661" w:type="pct"/>
            <w:noWrap/>
            <w:vAlign w:val="center"/>
          </w:tcPr>
          <w:p>
            <w:pPr>
              <w:widowControl/>
              <w:jc w:val="center"/>
              <w:rPr>
                <w:rFonts w:hint="eastAsia" w:ascii="宋体" w:hAnsi="宋体" w:cs="宋体"/>
                <w:color w:val="000000"/>
                <w:kern w:val="0"/>
                <w:szCs w:val="21"/>
                <w:lang w:val="en-US" w:eastAsia="zh-CN"/>
              </w:rPr>
            </w:pPr>
          </w:p>
        </w:tc>
        <w:tc>
          <w:tcPr>
            <w:tcW w:w="1866" w:type="dxa"/>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系统软件</w:t>
            </w:r>
          </w:p>
        </w:tc>
        <w:tc>
          <w:tcPr>
            <w:tcW w:w="3504" w:type="dxa"/>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服务器操作系统 WINDOWS 2016 SERVER</w:t>
            </w:r>
          </w:p>
        </w:tc>
        <w:tc>
          <w:tcPr>
            <w:tcW w:w="720" w:type="dxa"/>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套</w:t>
            </w:r>
          </w:p>
        </w:tc>
        <w:tc>
          <w:tcPr>
            <w:tcW w:w="1110" w:type="dxa"/>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w:t>
            </w:r>
          </w:p>
        </w:tc>
        <w:tc>
          <w:tcPr>
            <w:tcW w:w="33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4" w:type="dxa"/>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36</w:t>
            </w:r>
          </w:p>
        </w:tc>
        <w:tc>
          <w:tcPr>
            <w:tcW w:w="661" w:type="pct"/>
            <w:noWrap/>
            <w:vAlign w:val="center"/>
          </w:tcPr>
          <w:p>
            <w:pPr>
              <w:widowControl/>
              <w:jc w:val="center"/>
              <w:rPr>
                <w:rFonts w:hint="eastAsia" w:ascii="宋体" w:hAnsi="宋体" w:cs="宋体"/>
                <w:color w:val="000000"/>
                <w:kern w:val="0"/>
                <w:szCs w:val="21"/>
                <w:lang w:val="en-US" w:eastAsia="zh-CN"/>
              </w:rPr>
            </w:pPr>
          </w:p>
        </w:tc>
        <w:tc>
          <w:tcPr>
            <w:tcW w:w="1866" w:type="dxa"/>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系统软件</w:t>
            </w:r>
          </w:p>
        </w:tc>
        <w:tc>
          <w:tcPr>
            <w:tcW w:w="3504" w:type="dxa"/>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服务器数据库软件 IndustrialSQL Server, Standard, 5,000 Tag, 最新中文版</w:t>
            </w:r>
          </w:p>
        </w:tc>
        <w:tc>
          <w:tcPr>
            <w:tcW w:w="720" w:type="dxa"/>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套</w:t>
            </w:r>
          </w:p>
        </w:tc>
        <w:tc>
          <w:tcPr>
            <w:tcW w:w="1110" w:type="dxa"/>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w:t>
            </w:r>
          </w:p>
        </w:tc>
        <w:tc>
          <w:tcPr>
            <w:tcW w:w="33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4" w:type="dxa"/>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37</w:t>
            </w:r>
          </w:p>
        </w:tc>
        <w:tc>
          <w:tcPr>
            <w:tcW w:w="661" w:type="pct"/>
            <w:noWrap/>
            <w:vAlign w:val="center"/>
          </w:tcPr>
          <w:p>
            <w:pPr>
              <w:widowControl/>
              <w:jc w:val="center"/>
              <w:rPr>
                <w:rFonts w:hint="eastAsia" w:ascii="宋体" w:hAnsi="宋体" w:cs="宋体"/>
                <w:color w:val="000000"/>
                <w:kern w:val="0"/>
                <w:szCs w:val="21"/>
                <w:lang w:val="en-US" w:eastAsia="zh-CN"/>
              </w:rPr>
            </w:pPr>
          </w:p>
        </w:tc>
        <w:tc>
          <w:tcPr>
            <w:tcW w:w="1866" w:type="dxa"/>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Ups不间断电源及其附属设备安装</w:t>
            </w:r>
          </w:p>
        </w:tc>
        <w:tc>
          <w:tcPr>
            <w:tcW w:w="3504" w:type="dxa"/>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100AH 12V</w:t>
            </w:r>
          </w:p>
        </w:tc>
        <w:tc>
          <w:tcPr>
            <w:tcW w:w="720" w:type="dxa"/>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台</w:t>
            </w:r>
          </w:p>
        </w:tc>
        <w:tc>
          <w:tcPr>
            <w:tcW w:w="1110" w:type="dxa"/>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60</w:t>
            </w:r>
          </w:p>
        </w:tc>
        <w:tc>
          <w:tcPr>
            <w:tcW w:w="33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4" w:type="dxa"/>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38</w:t>
            </w:r>
          </w:p>
        </w:tc>
        <w:tc>
          <w:tcPr>
            <w:tcW w:w="661" w:type="pct"/>
            <w:noWrap/>
            <w:vAlign w:val="center"/>
          </w:tcPr>
          <w:p>
            <w:pPr>
              <w:widowControl/>
              <w:jc w:val="center"/>
              <w:rPr>
                <w:rFonts w:hint="eastAsia" w:ascii="宋体" w:hAnsi="宋体" w:cs="宋体"/>
                <w:color w:val="000000"/>
                <w:kern w:val="0"/>
                <w:szCs w:val="21"/>
                <w:lang w:val="en-US" w:eastAsia="zh-CN"/>
              </w:rPr>
            </w:pPr>
          </w:p>
        </w:tc>
        <w:tc>
          <w:tcPr>
            <w:tcW w:w="1866" w:type="dxa"/>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监控摄像设备</w:t>
            </w:r>
          </w:p>
        </w:tc>
        <w:tc>
          <w:tcPr>
            <w:tcW w:w="3504" w:type="dxa"/>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1、室外彩色摄像机400W 像素 30倍变焦（含支架、护罩等附件）</w:t>
            </w:r>
            <w:r>
              <w:rPr>
                <w:rFonts w:hint="eastAsia" w:ascii="宋体" w:hAnsi="宋体" w:cs="宋体"/>
                <w:color w:val="000000"/>
                <w:kern w:val="0"/>
                <w:szCs w:val="21"/>
                <w:lang w:val="en-US" w:eastAsia="zh-CN"/>
              </w:rPr>
              <w:br w:type="textWrapping"/>
            </w:r>
            <w:r>
              <w:rPr>
                <w:rFonts w:hint="eastAsia" w:ascii="宋体" w:hAnsi="宋体" w:cs="宋体"/>
                <w:color w:val="000000"/>
                <w:kern w:val="0"/>
                <w:szCs w:val="21"/>
                <w:lang w:val="en-US" w:eastAsia="zh-CN"/>
              </w:rPr>
              <w:t>2、室外立杆 高3.5m，壁厚不小于4mm，支架200mm~114mm，热镀锌</w:t>
            </w:r>
            <w:r>
              <w:rPr>
                <w:rFonts w:hint="eastAsia" w:ascii="宋体" w:hAnsi="宋体" w:cs="宋体"/>
                <w:color w:val="000000"/>
                <w:kern w:val="0"/>
                <w:szCs w:val="21"/>
                <w:lang w:val="en-US" w:eastAsia="zh-CN"/>
              </w:rPr>
              <w:br w:type="textWrapping"/>
            </w:r>
            <w:r>
              <w:rPr>
                <w:rFonts w:hint="eastAsia" w:ascii="宋体" w:hAnsi="宋体" w:cs="宋体"/>
                <w:color w:val="000000"/>
                <w:kern w:val="0"/>
                <w:szCs w:val="21"/>
                <w:lang w:val="en-US" w:eastAsia="zh-CN"/>
              </w:rPr>
              <w:t>3、基础制安</w:t>
            </w:r>
          </w:p>
        </w:tc>
        <w:tc>
          <w:tcPr>
            <w:tcW w:w="720" w:type="dxa"/>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台</w:t>
            </w:r>
          </w:p>
        </w:tc>
        <w:tc>
          <w:tcPr>
            <w:tcW w:w="1110" w:type="dxa"/>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w:t>
            </w:r>
          </w:p>
        </w:tc>
        <w:tc>
          <w:tcPr>
            <w:tcW w:w="33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4" w:type="dxa"/>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39</w:t>
            </w:r>
          </w:p>
        </w:tc>
        <w:tc>
          <w:tcPr>
            <w:tcW w:w="661" w:type="pct"/>
            <w:noWrap/>
            <w:vAlign w:val="center"/>
          </w:tcPr>
          <w:p>
            <w:pPr>
              <w:widowControl/>
              <w:jc w:val="center"/>
              <w:rPr>
                <w:rFonts w:hint="eastAsia" w:ascii="宋体" w:hAnsi="宋体" w:cs="宋体"/>
                <w:color w:val="000000"/>
                <w:kern w:val="0"/>
                <w:szCs w:val="21"/>
                <w:lang w:val="en-US" w:eastAsia="zh-CN"/>
              </w:rPr>
            </w:pPr>
          </w:p>
        </w:tc>
        <w:tc>
          <w:tcPr>
            <w:tcW w:w="1866" w:type="dxa"/>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录像设备</w:t>
            </w:r>
          </w:p>
        </w:tc>
        <w:tc>
          <w:tcPr>
            <w:tcW w:w="3504" w:type="dxa"/>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数字式硬盘录像机NVR 硬盘总容量:12T 16路</w:t>
            </w:r>
          </w:p>
        </w:tc>
        <w:tc>
          <w:tcPr>
            <w:tcW w:w="720" w:type="dxa"/>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台</w:t>
            </w:r>
          </w:p>
        </w:tc>
        <w:tc>
          <w:tcPr>
            <w:tcW w:w="1110" w:type="dxa"/>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w:t>
            </w:r>
          </w:p>
        </w:tc>
        <w:tc>
          <w:tcPr>
            <w:tcW w:w="331"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4" w:type="dxa"/>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40</w:t>
            </w:r>
          </w:p>
        </w:tc>
        <w:tc>
          <w:tcPr>
            <w:tcW w:w="661" w:type="pct"/>
            <w:noWrap/>
            <w:vAlign w:val="center"/>
          </w:tcPr>
          <w:p>
            <w:pPr>
              <w:widowControl/>
              <w:jc w:val="center"/>
              <w:rPr>
                <w:rFonts w:hint="eastAsia" w:ascii="宋体" w:hAnsi="宋体" w:cs="宋体"/>
                <w:color w:val="000000"/>
                <w:kern w:val="0"/>
                <w:szCs w:val="21"/>
                <w:lang w:val="en-US" w:eastAsia="zh-CN"/>
              </w:rPr>
            </w:pPr>
          </w:p>
        </w:tc>
        <w:tc>
          <w:tcPr>
            <w:tcW w:w="1866" w:type="dxa"/>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交换机</w:t>
            </w:r>
          </w:p>
        </w:tc>
        <w:tc>
          <w:tcPr>
            <w:tcW w:w="3504" w:type="dxa"/>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工业以太网交换机 100/1000M 环网型 单模光口*2，RJ45口*24</w:t>
            </w:r>
          </w:p>
        </w:tc>
        <w:tc>
          <w:tcPr>
            <w:tcW w:w="720" w:type="dxa"/>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台</w:t>
            </w:r>
          </w:p>
        </w:tc>
        <w:tc>
          <w:tcPr>
            <w:tcW w:w="1110" w:type="dxa"/>
            <w:noWrap/>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w:t>
            </w:r>
          </w:p>
        </w:tc>
        <w:tc>
          <w:tcPr>
            <w:tcW w:w="331" w:type="pct"/>
            <w:noWrap/>
            <w:vAlign w:val="center"/>
          </w:tcPr>
          <w:p>
            <w:pPr>
              <w:widowControl/>
              <w:jc w:val="center"/>
              <w:rPr>
                <w:rFonts w:hint="eastAsia" w:ascii="宋体" w:hAnsi="宋体" w:cs="宋体"/>
                <w:color w:val="000000"/>
                <w:kern w:val="0"/>
                <w:szCs w:val="21"/>
              </w:rPr>
            </w:pPr>
          </w:p>
        </w:tc>
      </w:tr>
    </w:tbl>
    <w:p>
      <w:pPr>
        <w:rPr>
          <w:rFonts w:hint="eastAsia" w:ascii="宋体" w:hAnsi="宋体" w:cs="宋体"/>
          <w:color w:val="000000"/>
          <w:szCs w:val="21"/>
        </w:rPr>
      </w:pPr>
    </w:p>
    <w:p>
      <w:pPr>
        <w:rPr>
          <w:rFonts w:hint="eastAsia" w:ascii="宋体" w:hAnsi="宋体" w:cs="宋体"/>
          <w:color w:val="000000"/>
          <w:szCs w:val="21"/>
        </w:rPr>
      </w:pPr>
      <w:r>
        <w:rPr>
          <w:rFonts w:hint="eastAsia" w:ascii="宋体" w:hAnsi="宋体" w:cs="宋体"/>
          <w:color w:val="000000"/>
          <w:szCs w:val="21"/>
        </w:rPr>
        <w:t>三、土建改造及其他项目</w:t>
      </w:r>
    </w:p>
    <w:tbl>
      <w:tblPr>
        <w:tblStyle w:val="19"/>
        <w:tblW w:w="9753"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372"/>
        <w:gridCol w:w="3237"/>
        <w:gridCol w:w="711"/>
        <w:gridCol w:w="738"/>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742"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1</w:t>
            </w:r>
          </w:p>
        </w:tc>
        <w:tc>
          <w:tcPr>
            <w:tcW w:w="2372" w:type="dxa"/>
            <w:noWrap w:val="0"/>
            <w:vAlign w:val="center"/>
          </w:tcPr>
          <w:p>
            <w:pPr>
              <w:rPr>
                <w:rFonts w:hint="eastAsia" w:ascii="宋体" w:hAnsi="宋体" w:cs="宋体"/>
                <w:color w:val="000000"/>
                <w:szCs w:val="21"/>
              </w:rPr>
            </w:pPr>
            <w:r>
              <w:rPr>
                <w:rFonts w:hint="eastAsia" w:ascii="宋体" w:hAnsi="宋体" w:cs="宋体"/>
                <w:color w:val="000000"/>
                <w:kern w:val="0"/>
                <w:szCs w:val="21"/>
              </w:rPr>
              <w:t>土建改造及其他项目</w:t>
            </w:r>
          </w:p>
        </w:tc>
        <w:tc>
          <w:tcPr>
            <w:tcW w:w="3237" w:type="dxa"/>
            <w:noWrap w:val="0"/>
            <w:vAlign w:val="center"/>
          </w:tcPr>
          <w:p>
            <w:pPr>
              <w:rPr>
                <w:rFonts w:hint="eastAsia" w:ascii="宋体" w:hAnsi="宋体" w:cs="宋体"/>
                <w:color w:val="000000"/>
                <w:szCs w:val="21"/>
              </w:rPr>
            </w:pPr>
            <w:r>
              <w:rPr>
                <w:rFonts w:hint="eastAsia" w:ascii="宋体" w:hAnsi="宋体" w:cs="宋体"/>
                <w:color w:val="000000"/>
                <w:szCs w:val="21"/>
              </w:rPr>
              <w:t>土建部分图纸由中标供应商自行提供</w:t>
            </w:r>
          </w:p>
        </w:tc>
        <w:tc>
          <w:tcPr>
            <w:tcW w:w="711"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项</w:t>
            </w:r>
          </w:p>
        </w:tc>
        <w:tc>
          <w:tcPr>
            <w:tcW w:w="738"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1</w:t>
            </w:r>
          </w:p>
        </w:tc>
        <w:tc>
          <w:tcPr>
            <w:tcW w:w="1953" w:type="dxa"/>
            <w:noWrap w:val="0"/>
            <w:vAlign w:val="center"/>
          </w:tcPr>
          <w:p>
            <w:pPr>
              <w:rPr>
                <w:rFonts w:hint="eastAsia" w:ascii="宋体" w:hAnsi="宋体" w:cs="宋体"/>
                <w:color w:val="000000"/>
                <w:szCs w:val="21"/>
              </w:rPr>
            </w:pPr>
          </w:p>
        </w:tc>
      </w:tr>
    </w:tbl>
    <w:p>
      <w:pPr>
        <w:numPr>
          <w:ilvl w:val="0"/>
          <w:numId w:val="0"/>
        </w:numPr>
        <w:rPr>
          <w:rFonts w:hint="eastAsia"/>
          <w:color w:val="000000"/>
          <w:szCs w:val="21"/>
          <w:lang w:val="en-US" w:eastAsia="zh-CN"/>
        </w:rPr>
      </w:pPr>
    </w:p>
    <w:p>
      <w:pPr>
        <w:numPr>
          <w:ilvl w:val="0"/>
          <w:numId w:val="11"/>
        </w:numPr>
        <w:rPr>
          <w:rFonts w:hint="eastAsia"/>
          <w:color w:val="000000"/>
          <w:szCs w:val="21"/>
          <w:lang w:val="en-US" w:eastAsia="zh-CN"/>
        </w:rPr>
      </w:pPr>
      <w:r>
        <w:rPr>
          <w:rFonts w:hint="eastAsia"/>
          <w:color w:val="000000"/>
          <w:szCs w:val="21"/>
          <w:lang w:val="en-US" w:eastAsia="zh-CN"/>
        </w:rPr>
        <w:t>强电材料表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001"/>
        <w:gridCol w:w="1699"/>
        <w:gridCol w:w="3570"/>
        <w:gridCol w:w="405"/>
        <w:gridCol w:w="555"/>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 w:type="pct"/>
            <w:noWrap/>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1</w:t>
            </w:r>
          </w:p>
        </w:tc>
        <w:tc>
          <w:tcPr>
            <w:tcW w:w="522" w:type="pct"/>
            <w:noWrap/>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2AH01~2AH0</w:t>
            </w:r>
            <w:r>
              <w:rPr>
                <w:rFonts w:hint="eastAsia" w:ascii="宋体" w:hAnsi="宋体" w:cs="宋体"/>
                <w:color w:val="auto"/>
                <w:kern w:val="0"/>
                <w:szCs w:val="21"/>
                <w:lang w:val="en-US" w:eastAsia="zh-CN"/>
              </w:rPr>
              <w:t>7</w:t>
            </w:r>
          </w:p>
        </w:tc>
        <w:tc>
          <w:tcPr>
            <w:tcW w:w="887" w:type="pct"/>
            <w:noWrap/>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10kV开关柜</w:t>
            </w:r>
          </w:p>
        </w:tc>
        <w:tc>
          <w:tcPr>
            <w:tcW w:w="1864" w:type="pct"/>
            <w:noWrap/>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KYN28,金属铠装手车中置式,10kV-630A-25kA/4s,IP41</w:t>
            </w:r>
          </w:p>
        </w:tc>
        <w:tc>
          <w:tcPr>
            <w:tcW w:w="211" w:type="pct"/>
            <w:noWrap/>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台</w:t>
            </w:r>
          </w:p>
        </w:tc>
        <w:tc>
          <w:tcPr>
            <w:tcW w:w="289" w:type="pct"/>
            <w:noWrap/>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7</w:t>
            </w:r>
          </w:p>
        </w:tc>
        <w:tc>
          <w:tcPr>
            <w:tcW w:w="922"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 w:type="pct"/>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w:t>
            </w:r>
          </w:p>
        </w:tc>
        <w:tc>
          <w:tcPr>
            <w:tcW w:w="522" w:type="pct"/>
            <w:noWrap/>
            <w:vAlign w:val="center"/>
          </w:tcPr>
          <w:p>
            <w:pPr>
              <w:widowControl/>
              <w:jc w:val="center"/>
              <w:rPr>
                <w:rFonts w:hint="eastAsia" w:ascii="宋体" w:hAnsi="宋体" w:cs="宋体"/>
                <w:color w:val="000000"/>
                <w:kern w:val="0"/>
                <w:szCs w:val="21"/>
              </w:rPr>
            </w:pPr>
          </w:p>
        </w:tc>
        <w:tc>
          <w:tcPr>
            <w:tcW w:w="88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排管内铜芯电力电缆敷设</w:t>
            </w:r>
          </w:p>
        </w:tc>
        <w:tc>
          <w:tcPr>
            <w:tcW w:w="186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YJV22-8.7/15-3*150</w:t>
            </w:r>
          </w:p>
        </w:tc>
        <w:tc>
          <w:tcPr>
            <w:tcW w:w="211" w:type="pct"/>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m</w:t>
            </w:r>
          </w:p>
        </w:tc>
        <w:tc>
          <w:tcPr>
            <w:tcW w:w="289" w:type="pct"/>
            <w:noWrap/>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360</w:t>
            </w:r>
          </w:p>
        </w:tc>
        <w:tc>
          <w:tcPr>
            <w:tcW w:w="922"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 w:type="pct"/>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w:t>
            </w:r>
          </w:p>
        </w:tc>
        <w:tc>
          <w:tcPr>
            <w:tcW w:w="522" w:type="pct"/>
            <w:noWrap/>
            <w:vAlign w:val="center"/>
          </w:tcPr>
          <w:p>
            <w:pPr>
              <w:widowControl/>
              <w:jc w:val="center"/>
              <w:rPr>
                <w:rFonts w:hint="eastAsia" w:ascii="宋体" w:hAnsi="宋体" w:cs="宋体"/>
                <w:color w:val="000000"/>
                <w:kern w:val="0"/>
                <w:szCs w:val="21"/>
              </w:rPr>
            </w:pPr>
          </w:p>
        </w:tc>
        <w:tc>
          <w:tcPr>
            <w:tcW w:w="88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排管内铜芯电力电缆敷设</w:t>
            </w:r>
          </w:p>
        </w:tc>
        <w:tc>
          <w:tcPr>
            <w:tcW w:w="186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YJV22-8.7/15-3*120</w:t>
            </w:r>
          </w:p>
        </w:tc>
        <w:tc>
          <w:tcPr>
            <w:tcW w:w="211" w:type="pct"/>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m</w:t>
            </w:r>
          </w:p>
        </w:tc>
        <w:tc>
          <w:tcPr>
            <w:tcW w:w="289" w:type="pct"/>
            <w:noWrap/>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50</w:t>
            </w:r>
          </w:p>
        </w:tc>
        <w:tc>
          <w:tcPr>
            <w:tcW w:w="922"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 w:type="pct"/>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w:t>
            </w:r>
          </w:p>
        </w:tc>
        <w:tc>
          <w:tcPr>
            <w:tcW w:w="522" w:type="pct"/>
            <w:noWrap/>
            <w:vAlign w:val="center"/>
          </w:tcPr>
          <w:p>
            <w:pPr>
              <w:widowControl/>
              <w:jc w:val="center"/>
              <w:rPr>
                <w:rFonts w:hint="eastAsia" w:ascii="宋体" w:hAnsi="宋体" w:cs="宋体"/>
                <w:color w:val="000000"/>
                <w:kern w:val="0"/>
                <w:szCs w:val="21"/>
              </w:rPr>
            </w:pPr>
          </w:p>
        </w:tc>
        <w:tc>
          <w:tcPr>
            <w:tcW w:w="88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电力电缆头</w:t>
            </w:r>
          </w:p>
        </w:tc>
        <w:tc>
          <w:tcPr>
            <w:tcW w:w="186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户外电力电缆终端头制作、安装 10kV以下热缩式 3*150</w:t>
            </w:r>
          </w:p>
        </w:tc>
        <w:tc>
          <w:tcPr>
            <w:tcW w:w="21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289" w:type="pct"/>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w:t>
            </w:r>
          </w:p>
        </w:tc>
        <w:tc>
          <w:tcPr>
            <w:tcW w:w="922"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 w:type="pct"/>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522" w:type="pct"/>
            <w:noWrap/>
            <w:vAlign w:val="center"/>
          </w:tcPr>
          <w:p>
            <w:pPr>
              <w:widowControl/>
              <w:jc w:val="center"/>
              <w:rPr>
                <w:rFonts w:hint="eastAsia" w:ascii="宋体" w:hAnsi="宋体" w:cs="宋体"/>
                <w:color w:val="000000"/>
                <w:kern w:val="0"/>
                <w:szCs w:val="21"/>
              </w:rPr>
            </w:pPr>
          </w:p>
        </w:tc>
        <w:tc>
          <w:tcPr>
            <w:tcW w:w="88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电力电缆头</w:t>
            </w:r>
          </w:p>
        </w:tc>
        <w:tc>
          <w:tcPr>
            <w:tcW w:w="186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户内热（冷）缩式电力电缆终端头制作、安装 10kV以下终端头 3*70</w:t>
            </w:r>
          </w:p>
        </w:tc>
        <w:tc>
          <w:tcPr>
            <w:tcW w:w="21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289" w:type="pct"/>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w:t>
            </w:r>
          </w:p>
        </w:tc>
        <w:tc>
          <w:tcPr>
            <w:tcW w:w="922"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 w:type="pct"/>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6</w:t>
            </w:r>
          </w:p>
        </w:tc>
        <w:tc>
          <w:tcPr>
            <w:tcW w:w="522" w:type="pct"/>
            <w:noWrap/>
            <w:vAlign w:val="center"/>
          </w:tcPr>
          <w:p>
            <w:pPr>
              <w:widowControl/>
              <w:jc w:val="center"/>
              <w:rPr>
                <w:rFonts w:hint="eastAsia" w:ascii="宋体" w:hAnsi="宋体" w:cs="宋体"/>
                <w:color w:val="000000"/>
                <w:kern w:val="0"/>
                <w:szCs w:val="21"/>
              </w:rPr>
            </w:pPr>
          </w:p>
        </w:tc>
        <w:tc>
          <w:tcPr>
            <w:tcW w:w="88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电力电缆头</w:t>
            </w:r>
          </w:p>
        </w:tc>
        <w:tc>
          <w:tcPr>
            <w:tcW w:w="186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户内热（冷）缩式电力电缆终端头制作、安装 10kV 3*150</w:t>
            </w:r>
          </w:p>
        </w:tc>
        <w:tc>
          <w:tcPr>
            <w:tcW w:w="21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289" w:type="pct"/>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w:t>
            </w:r>
          </w:p>
        </w:tc>
        <w:tc>
          <w:tcPr>
            <w:tcW w:w="922"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 w:type="pct"/>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7</w:t>
            </w:r>
          </w:p>
        </w:tc>
        <w:tc>
          <w:tcPr>
            <w:tcW w:w="522" w:type="pct"/>
            <w:noWrap/>
            <w:vAlign w:val="center"/>
          </w:tcPr>
          <w:p>
            <w:pPr>
              <w:widowControl/>
              <w:jc w:val="center"/>
              <w:rPr>
                <w:rFonts w:hint="eastAsia" w:ascii="宋体" w:hAnsi="宋体" w:cs="宋体"/>
                <w:color w:val="000000"/>
                <w:kern w:val="0"/>
                <w:szCs w:val="21"/>
              </w:rPr>
            </w:pPr>
          </w:p>
        </w:tc>
        <w:tc>
          <w:tcPr>
            <w:tcW w:w="88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送配电装置系统</w:t>
            </w:r>
          </w:p>
        </w:tc>
        <w:tc>
          <w:tcPr>
            <w:tcW w:w="186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送配电系统调试 10KV 断路器</w:t>
            </w:r>
          </w:p>
        </w:tc>
        <w:tc>
          <w:tcPr>
            <w:tcW w:w="21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系统</w:t>
            </w:r>
          </w:p>
        </w:tc>
        <w:tc>
          <w:tcPr>
            <w:tcW w:w="289" w:type="pct"/>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922"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 w:type="pct"/>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8</w:t>
            </w:r>
          </w:p>
        </w:tc>
        <w:tc>
          <w:tcPr>
            <w:tcW w:w="522" w:type="pct"/>
            <w:noWrap/>
            <w:vAlign w:val="center"/>
          </w:tcPr>
          <w:p>
            <w:pPr>
              <w:widowControl/>
              <w:jc w:val="center"/>
              <w:rPr>
                <w:rFonts w:hint="eastAsia" w:ascii="宋体" w:hAnsi="宋体" w:cs="宋体"/>
                <w:color w:val="000000"/>
                <w:kern w:val="0"/>
                <w:szCs w:val="21"/>
              </w:rPr>
            </w:pPr>
          </w:p>
        </w:tc>
        <w:tc>
          <w:tcPr>
            <w:tcW w:w="88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电缆试验</w:t>
            </w:r>
          </w:p>
        </w:tc>
        <w:tc>
          <w:tcPr>
            <w:tcW w:w="186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10kV电缆试验 交流耐压试验</w:t>
            </w:r>
          </w:p>
        </w:tc>
        <w:tc>
          <w:tcPr>
            <w:tcW w:w="21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根</w:t>
            </w:r>
          </w:p>
        </w:tc>
        <w:tc>
          <w:tcPr>
            <w:tcW w:w="289" w:type="pct"/>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w:t>
            </w:r>
          </w:p>
        </w:tc>
        <w:tc>
          <w:tcPr>
            <w:tcW w:w="922"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 w:type="pct"/>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w:t>
            </w:r>
          </w:p>
        </w:tc>
        <w:tc>
          <w:tcPr>
            <w:tcW w:w="522" w:type="pct"/>
            <w:noWrap/>
            <w:vAlign w:val="center"/>
          </w:tcPr>
          <w:p>
            <w:pPr>
              <w:widowControl/>
              <w:jc w:val="center"/>
              <w:rPr>
                <w:rFonts w:hint="eastAsia" w:ascii="宋体" w:hAnsi="宋体" w:cs="宋体"/>
                <w:color w:val="000000"/>
                <w:kern w:val="0"/>
                <w:szCs w:val="21"/>
              </w:rPr>
            </w:pPr>
          </w:p>
        </w:tc>
        <w:tc>
          <w:tcPr>
            <w:tcW w:w="88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防火堵洞</w:t>
            </w:r>
          </w:p>
        </w:tc>
        <w:tc>
          <w:tcPr>
            <w:tcW w:w="186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防火堵洞盘柜下</w:t>
            </w:r>
          </w:p>
        </w:tc>
        <w:tc>
          <w:tcPr>
            <w:tcW w:w="21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处</w:t>
            </w:r>
          </w:p>
        </w:tc>
        <w:tc>
          <w:tcPr>
            <w:tcW w:w="289" w:type="pct"/>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w:t>
            </w:r>
          </w:p>
        </w:tc>
        <w:tc>
          <w:tcPr>
            <w:tcW w:w="922"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 w:type="pct"/>
            <w:noWrap/>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c>
          <w:tcPr>
            <w:tcW w:w="522" w:type="pct"/>
            <w:noWrap/>
            <w:vAlign w:val="center"/>
          </w:tcPr>
          <w:p>
            <w:pPr>
              <w:widowControl/>
              <w:jc w:val="center"/>
              <w:rPr>
                <w:rFonts w:hint="eastAsia" w:ascii="宋体" w:hAnsi="宋体" w:cs="宋体"/>
                <w:color w:val="000000"/>
                <w:kern w:val="0"/>
                <w:szCs w:val="21"/>
              </w:rPr>
            </w:pPr>
          </w:p>
        </w:tc>
        <w:tc>
          <w:tcPr>
            <w:tcW w:w="88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防火堵洞</w:t>
            </w:r>
          </w:p>
        </w:tc>
        <w:tc>
          <w:tcPr>
            <w:tcW w:w="186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防火堵洞保护管</w:t>
            </w:r>
          </w:p>
        </w:tc>
        <w:tc>
          <w:tcPr>
            <w:tcW w:w="21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处</w:t>
            </w:r>
          </w:p>
        </w:tc>
        <w:tc>
          <w:tcPr>
            <w:tcW w:w="28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9</w:t>
            </w:r>
          </w:p>
        </w:tc>
        <w:tc>
          <w:tcPr>
            <w:tcW w:w="922"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 w:type="pct"/>
            <w:noWrap/>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11</w:t>
            </w:r>
          </w:p>
        </w:tc>
        <w:tc>
          <w:tcPr>
            <w:tcW w:w="522" w:type="pct"/>
            <w:noWrap/>
            <w:vAlign w:val="center"/>
          </w:tcPr>
          <w:p>
            <w:pPr>
              <w:widowControl/>
              <w:jc w:val="center"/>
              <w:rPr>
                <w:rFonts w:hint="eastAsia" w:ascii="宋体" w:hAnsi="宋体" w:cs="宋体"/>
                <w:color w:val="000000"/>
                <w:kern w:val="0"/>
                <w:szCs w:val="21"/>
              </w:rPr>
            </w:pPr>
          </w:p>
        </w:tc>
        <w:tc>
          <w:tcPr>
            <w:tcW w:w="88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配电房工器具</w:t>
            </w:r>
          </w:p>
        </w:tc>
        <w:tc>
          <w:tcPr>
            <w:tcW w:w="186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配电房工器具（含1双绝缘靴，1双绝缘手套，1支验电笔，1套令克棒，1套10KV接地线，20张绝缘垫，1台安全工器具柜，2套灭火器，1面模拟板，具体详见图纸及验收要求。）</w:t>
            </w:r>
          </w:p>
        </w:tc>
        <w:tc>
          <w:tcPr>
            <w:tcW w:w="21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项</w:t>
            </w:r>
          </w:p>
        </w:tc>
        <w:tc>
          <w:tcPr>
            <w:tcW w:w="289" w:type="pct"/>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w:t>
            </w:r>
          </w:p>
        </w:tc>
        <w:tc>
          <w:tcPr>
            <w:tcW w:w="922"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 w:type="pct"/>
            <w:noWrap/>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12</w:t>
            </w:r>
          </w:p>
        </w:tc>
        <w:tc>
          <w:tcPr>
            <w:tcW w:w="522" w:type="pct"/>
            <w:noWrap/>
            <w:vAlign w:val="center"/>
          </w:tcPr>
          <w:p>
            <w:pPr>
              <w:widowControl/>
              <w:jc w:val="center"/>
              <w:rPr>
                <w:rFonts w:hint="eastAsia" w:ascii="宋体" w:hAnsi="宋体" w:cs="宋体"/>
                <w:color w:val="000000"/>
                <w:kern w:val="0"/>
                <w:szCs w:val="21"/>
              </w:rPr>
            </w:pPr>
          </w:p>
        </w:tc>
        <w:tc>
          <w:tcPr>
            <w:tcW w:w="88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接地母线</w:t>
            </w:r>
          </w:p>
        </w:tc>
        <w:tc>
          <w:tcPr>
            <w:tcW w:w="186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接地母线敷设 沿砖混结构暗敷 40*4镀锌扁钢</w:t>
            </w:r>
          </w:p>
        </w:tc>
        <w:tc>
          <w:tcPr>
            <w:tcW w:w="21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m</w:t>
            </w:r>
          </w:p>
        </w:tc>
        <w:tc>
          <w:tcPr>
            <w:tcW w:w="28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24</w:t>
            </w:r>
          </w:p>
        </w:tc>
        <w:tc>
          <w:tcPr>
            <w:tcW w:w="922"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 w:type="pct"/>
            <w:noWrap/>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13</w:t>
            </w:r>
          </w:p>
        </w:tc>
        <w:tc>
          <w:tcPr>
            <w:tcW w:w="522" w:type="pct"/>
            <w:noWrap/>
            <w:vAlign w:val="center"/>
          </w:tcPr>
          <w:p>
            <w:pPr>
              <w:widowControl/>
              <w:jc w:val="center"/>
              <w:rPr>
                <w:rFonts w:hint="eastAsia" w:ascii="宋体" w:hAnsi="宋体" w:cs="宋体"/>
                <w:color w:val="000000"/>
                <w:kern w:val="0"/>
                <w:szCs w:val="21"/>
              </w:rPr>
            </w:pPr>
          </w:p>
        </w:tc>
        <w:tc>
          <w:tcPr>
            <w:tcW w:w="88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接地母线</w:t>
            </w:r>
          </w:p>
        </w:tc>
        <w:tc>
          <w:tcPr>
            <w:tcW w:w="186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接地母线敷设 沿桥架支架（电缆沟支架）敷设  BV-150</w:t>
            </w:r>
          </w:p>
        </w:tc>
        <w:tc>
          <w:tcPr>
            <w:tcW w:w="21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m</w:t>
            </w:r>
          </w:p>
        </w:tc>
        <w:tc>
          <w:tcPr>
            <w:tcW w:w="28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922"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 w:type="pct"/>
            <w:noWrap/>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14</w:t>
            </w:r>
          </w:p>
        </w:tc>
        <w:tc>
          <w:tcPr>
            <w:tcW w:w="522" w:type="pct"/>
            <w:noWrap/>
            <w:vAlign w:val="center"/>
          </w:tcPr>
          <w:p>
            <w:pPr>
              <w:widowControl/>
              <w:jc w:val="center"/>
              <w:rPr>
                <w:rFonts w:hint="eastAsia" w:ascii="宋体" w:hAnsi="宋体" w:cs="宋体"/>
                <w:color w:val="000000"/>
                <w:kern w:val="0"/>
                <w:szCs w:val="21"/>
              </w:rPr>
            </w:pPr>
          </w:p>
        </w:tc>
        <w:tc>
          <w:tcPr>
            <w:tcW w:w="88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接地极</w:t>
            </w:r>
          </w:p>
        </w:tc>
        <w:tc>
          <w:tcPr>
            <w:tcW w:w="186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接地极(板)制作与安装 角钢接地极普通土 ∠50*5*2500</w:t>
            </w:r>
          </w:p>
        </w:tc>
        <w:tc>
          <w:tcPr>
            <w:tcW w:w="21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根</w:t>
            </w:r>
          </w:p>
        </w:tc>
        <w:tc>
          <w:tcPr>
            <w:tcW w:w="289" w:type="pct"/>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w:t>
            </w:r>
          </w:p>
        </w:tc>
        <w:tc>
          <w:tcPr>
            <w:tcW w:w="922"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 w:type="pct"/>
            <w:noWrap/>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15</w:t>
            </w:r>
          </w:p>
        </w:tc>
        <w:tc>
          <w:tcPr>
            <w:tcW w:w="522" w:type="pct"/>
            <w:noWrap/>
            <w:vAlign w:val="center"/>
          </w:tcPr>
          <w:p>
            <w:pPr>
              <w:widowControl/>
              <w:jc w:val="center"/>
              <w:rPr>
                <w:rFonts w:hint="eastAsia" w:ascii="宋体" w:hAnsi="宋体" w:cs="宋体"/>
                <w:color w:val="000000"/>
                <w:kern w:val="0"/>
                <w:szCs w:val="21"/>
              </w:rPr>
            </w:pPr>
          </w:p>
        </w:tc>
        <w:tc>
          <w:tcPr>
            <w:tcW w:w="88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接地装置</w:t>
            </w:r>
          </w:p>
        </w:tc>
        <w:tc>
          <w:tcPr>
            <w:tcW w:w="186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接地调试</w:t>
            </w:r>
          </w:p>
        </w:tc>
        <w:tc>
          <w:tcPr>
            <w:tcW w:w="21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系统</w:t>
            </w:r>
          </w:p>
        </w:tc>
        <w:tc>
          <w:tcPr>
            <w:tcW w:w="289" w:type="pct"/>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w:t>
            </w:r>
          </w:p>
        </w:tc>
        <w:tc>
          <w:tcPr>
            <w:tcW w:w="922"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 w:type="pct"/>
            <w:noWrap/>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16</w:t>
            </w:r>
          </w:p>
        </w:tc>
        <w:tc>
          <w:tcPr>
            <w:tcW w:w="522" w:type="pct"/>
            <w:noWrap/>
            <w:vAlign w:val="center"/>
          </w:tcPr>
          <w:p>
            <w:pPr>
              <w:widowControl/>
              <w:jc w:val="center"/>
              <w:rPr>
                <w:rFonts w:hint="eastAsia" w:ascii="宋体" w:hAnsi="宋体" w:cs="宋体"/>
                <w:color w:val="000000"/>
                <w:kern w:val="0"/>
                <w:szCs w:val="21"/>
              </w:rPr>
            </w:pPr>
          </w:p>
        </w:tc>
        <w:tc>
          <w:tcPr>
            <w:tcW w:w="88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横担组装</w:t>
            </w:r>
          </w:p>
        </w:tc>
        <w:tc>
          <w:tcPr>
            <w:tcW w:w="186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10kV以下横担安装 铁横担单根</w:t>
            </w:r>
          </w:p>
        </w:tc>
        <w:tc>
          <w:tcPr>
            <w:tcW w:w="21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组</w:t>
            </w:r>
          </w:p>
        </w:tc>
        <w:tc>
          <w:tcPr>
            <w:tcW w:w="289" w:type="pct"/>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w:t>
            </w:r>
          </w:p>
        </w:tc>
        <w:tc>
          <w:tcPr>
            <w:tcW w:w="922"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 w:type="pct"/>
            <w:noWrap/>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17</w:t>
            </w:r>
          </w:p>
        </w:tc>
        <w:tc>
          <w:tcPr>
            <w:tcW w:w="522" w:type="pct"/>
            <w:noWrap/>
            <w:vAlign w:val="center"/>
          </w:tcPr>
          <w:p>
            <w:pPr>
              <w:widowControl/>
              <w:jc w:val="center"/>
              <w:rPr>
                <w:rFonts w:hint="eastAsia" w:ascii="宋体" w:hAnsi="宋体" w:cs="宋体"/>
                <w:color w:val="000000"/>
                <w:kern w:val="0"/>
                <w:szCs w:val="21"/>
              </w:rPr>
            </w:pPr>
          </w:p>
        </w:tc>
        <w:tc>
          <w:tcPr>
            <w:tcW w:w="88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杆上设备</w:t>
            </w:r>
          </w:p>
        </w:tc>
        <w:tc>
          <w:tcPr>
            <w:tcW w:w="186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杆上避雷器 YH5WX-17/50安装、调试，设备引下线连接安装，含避雷器护罩CZK-05及装置性材料。</w:t>
            </w:r>
          </w:p>
        </w:tc>
        <w:tc>
          <w:tcPr>
            <w:tcW w:w="21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组</w:t>
            </w:r>
          </w:p>
        </w:tc>
        <w:tc>
          <w:tcPr>
            <w:tcW w:w="28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922"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 w:type="pct"/>
            <w:noWrap/>
            <w:vAlign w:val="center"/>
          </w:tcPr>
          <w:p>
            <w:pPr>
              <w:widowControl/>
              <w:jc w:val="center"/>
              <w:rPr>
                <w:rFonts w:hint="default" w:ascii="宋体" w:hAnsi="宋体" w:cs="宋体"/>
                <w:color w:val="000000"/>
                <w:kern w:val="0"/>
                <w:szCs w:val="21"/>
                <w:lang w:val="en-US" w:eastAsia="zh-CN"/>
              </w:rPr>
            </w:pPr>
            <w:bookmarkStart w:id="22" w:name="_Toc517392287"/>
            <w:r>
              <w:rPr>
                <w:rFonts w:hint="eastAsia" w:ascii="宋体" w:hAnsi="宋体" w:cs="宋体"/>
                <w:color w:val="000000"/>
                <w:kern w:val="0"/>
                <w:szCs w:val="21"/>
                <w:lang w:val="en-US" w:eastAsia="zh-CN"/>
              </w:rPr>
              <w:t>18</w:t>
            </w:r>
          </w:p>
        </w:tc>
        <w:tc>
          <w:tcPr>
            <w:tcW w:w="522" w:type="pct"/>
            <w:noWrap/>
            <w:vAlign w:val="center"/>
          </w:tcPr>
          <w:p>
            <w:pPr>
              <w:widowControl/>
              <w:jc w:val="center"/>
              <w:rPr>
                <w:rFonts w:hint="eastAsia" w:ascii="宋体" w:hAnsi="宋体" w:cs="宋体"/>
                <w:color w:val="000000"/>
                <w:kern w:val="0"/>
                <w:szCs w:val="21"/>
              </w:rPr>
            </w:pPr>
          </w:p>
        </w:tc>
        <w:tc>
          <w:tcPr>
            <w:tcW w:w="88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送配电装置系统</w:t>
            </w:r>
          </w:p>
        </w:tc>
        <w:tc>
          <w:tcPr>
            <w:tcW w:w="186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送配电系统调试 10KV 断路器</w:t>
            </w:r>
          </w:p>
        </w:tc>
        <w:tc>
          <w:tcPr>
            <w:tcW w:w="21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系统</w:t>
            </w:r>
          </w:p>
        </w:tc>
        <w:tc>
          <w:tcPr>
            <w:tcW w:w="28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922" w:type="pct"/>
            <w:noWrap/>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 w:type="pct"/>
            <w:noWrap/>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19</w:t>
            </w:r>
          </w:p>
        </w:tc>
        <w:tc>
          <w:tcPr>
            <w:tcW w:w="522" w:type="pct"/>
            <w:noWrap/>
            <w:vAlign w:val="center"/>
          </w:tcPr>
          <w:p>
            <w:pPr>
              <w:widowControl/>
              <w:jc w:val="center"/>
              <w:rPr>
                <w:rFonts w:hint="eastAsia" w:ascii="宋体" w:hAnsi="宋体" w:cs="宋体"/>
                <w:color w:val="000000"/>
                <w:kern w:val="0"/>
                <w:szCs w:val="21"/>
              </w:rPr>
            </w:pPr>
          </w:p>
        </w:tc>
        <w:tc>
          <w:tcPr>
            <w:tcW w:w="887"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带形母线</w:t>
            </w:r>
          </w:p>
        </w:tc>
        <w:tc>
          <w:tcPr>
            <w:tcW w:w="1864"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矩形铜母线（每相三片 截面（mm2）≤1000）安装、调试，主材计入高压柜中。</w:t>
            </w:r>
          </w:p>
        </w:tc>
        <w:tc>
          <w:tcPr>
            <w:tcW w:w="211"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m</w:t>
            </w:r>
          </w:p>
        </w:tc>
        <w:tc>
          <w:tcPr>
            <w:tcW w:w="289" w:type="pc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3.9</w:t>
            </w:r>
          </w:p>
        </w:tc>
        <w:tc>
          <w:tcPr>
            <w:tcW w:w="922" w:type="pct"/>
            <w:noWrap/>
            <w:vAlign w:val="center"/>
          </w:tcPr>
          <w:p>
            <w:pPr>
              <w:widowControl/>
              <w:jc w:val="center"/>
              <w:rPr>
                <w:rFonts w:hint="eastAsia" w:ascii="宋体" w:hAnsi="宋体" w:cs="宋体"/>
                <w:color w:val="000000"/>
                <w:kern w:val="0"/>
                <w:szCs w:val="21"/>
              </w:rPr>
            </w:pPr>
          </w:p>
        </w:tc>
      </w:tr>
    </w:tbl>
    <w:p>
      <w:pPr>
        <w:pStyle w:val="3"/>
        <w:tabs>
          <w:tab w:val="left" w:pos="3036"/>
          <w:tab w:val="center" w:pos="4740"/>
        </w:tabs>
        <w:spacing w:line="240" w:lineRule="auto"/>
        <w:jc w:val="left"/>
        <w:rPr>
          <w:rFonts w:hint="eastAsia"/>
          <w:color w:val="000000"/>
          <w:sz w:val="30"/>
          <w:szCs w:val="30"/>
          <w:lang w:eastAsia="zh-CN"/>
        </w:rPr>
      </w:pPr>
      <w:r>
        <w:rPr>
          <w:rFonts w:hint="eastAsia"/>
          <w:color w:val="000000"/>
          <w:sz w:val="30"/>
          <w:szCs w:val="30"/>
          <w:lang w:eastAsia="zh-CN"/>
        </w:rPr>
        <w:tab/>
      </w:r>
    </w:p>
    <w:p>
      <w:pPr>
        <w:rPr>
          <w:rFonts w:hint="eastAsia"/>
          <w:color w:val="000000"/>
          <w:sz w:val="30"/>
          <w:szCs w:val="30"/>
          <w:lang w:eastAsia="zh-CN"/>
        </w:rPr>
      </w:pPr>
      <w:r>
        <w:rPr>
          <w:rFonts w:hint="eastAsia"/>
          <w:color w:val="000000"/>
          <w:sz w:val="30"/>
          <w:szCs w:val="30"/>
          <w:lang w:eastAsia="zh-CN"/>
        </w:rPr>
        <w:br w:type="page"/>
      </w:r>
    </w:p>
    <w:p>
      <w:pPr>
        <w:pStyle w:val="3"/>
        <w:tabs>
          <w:tab w:val="left" w:pos="3036"/>
          <w:tab w:val="center" w:pos="4740"/>
        </w:tabs>
        <w:spacing w:line="240" w:lineRule="auto"/>
        <w:jc w:val="left"/>
        <w:rPr>
          <w:rFonts w:hint="eastAsia"/>
          <w:color w:val="000000"/>
          <w:sz w:val="30"/>
          <w:szCs w:val="30"/>
        </w:rPr>
      </w:pPr>
      <w:r>
        <w:rPr>
          <w:rFonts w:hint="eastAsia"/>
          <w:color w:val="000000"/>
          <w:sz w:val="30"/>
          <w:szCs w:val="30"/>
        </w:rPr>
        <w:t>技术要求</w:t>
      </w:r>
      <w:bookmarkEnd w:id="14"/>
      <w:bookmarkEnd w:id="15"/>
      <w:bookmarkEnd w:id="16"/>
      <w:bookmarkEnd w:id="17"/>
      <w:bookmarkEnd w:id="18"/>
      <w:bookmarkEnd w:id="19"/>
      <w:bookmarkEnd w:id="20"/>
      <w:bookmarkEnd w:id="21"/>
      <w:r>
        <w:rPr>
          <w:color w:val="000000"/>
          <w:sz w:val="30"/>
          <w:szCs w:val="30"/>
        </w:rPr>
        <w:t>及技术规范</w:t>
      </w:r>
      <w:bookmarkEnd w:id="22"/>
    </w:p>
    <w:p>
      <w:pPr>
        <w:pStyle w:val="4"/>
        <w:spacing w:line="240" w:lineRule="auto"/>
        <w:rPr>
          <w:rFonts w:hint="eastAsia"/>
          <w:color w:val="000000"/>
          <w:sz w:val="21"/>
          <w:szCs w:val="21"/>
        </w:rPr>
      </w:pPr>
      <w:bookmarkStart w:id="23" w:name="_Toc517392288"/>
      <w:bookmarkStart w:id="24" w:name="_Toc24573"/>
      <w:bookmarkStart w:id="25" w:name="_Toc29971"/>
      <w:bookmarkStart w:id="26" w:name="_Toc9628"/>
      <w:bookmarkStart w:id="27" w:name="_Toc22828"/>
      <w:bookmarkStart w:id="28" w:name="_Toc291769057"/>
      <w:r>
        <w:rPr>
          <w:rFonts w:hint="eastAsia"/>
          <w:color w:val="000000"/>
          <w:sz w:val="21"/>
          <w:szCs w:val="21"/>
        </w:rPr>
        <w:t>1工艺设备</w:t>
      </w:r>
      <w:bookmarkEnd w:id="23"/>
      <w:bookmarkEnd w:id="24"/>
      <w:bookmarkEnd w:id="25"/>
    </w:p>
    <w:bookmarkEnd w:id="26"/>
    <w:bookmarkEnd w:id="27"/>
    <w:bookmarkEnd w:id="28"/>
    <w:p>
      <w:pPr>
        <w:pStyle w:val="5"/>
        <w:widowControl/>
        <w:numPr>
          <w:ilvl w:val="0"/>
          <w:numId w:val="12"/>
        </w:numPr>
        <w:tabs>
          <w:tab w:val="left" w:pos="425"/>
          <w:tab w:val="left" w:pos="479"/>
          <w:tab w:val="left" w:pos="851"/>
          <w:tab w:val="left" w:pos="1264"/>
        </w:tabs>
        <w:snapToGrid w:val="0"/>
        <w:spacing w:line="240" w:lineRule="auto"/>
        <w:textAlignment w:val="baseline"/>
        <w:rPr>
          <w:color w:val="000000"/>
          <w:sz w:val="21"/>
          <w:szCs w:val="21"/>
        </w:rPr>
      </w:pPr>
      <w:bookmarkStart w:id="29" w:name="_Toc26445"/>
      <w:bookmarkStart w:id="30" w:name="_Toc291769068"/>
      <w:bookmarkStart w:id="31" w:name="_Toc291605292"/>
      <w:bookmarkStart w:id="32" w:name="_Toc290628265"/>
      <w:bookmarkStart w:id="33" w:name="_Toc517392289"/>
      <w:bookmarkStart w:id="34" w:name="_Toc364988300"/>
      <w:r>
        <w:rPr>
          <w:color w:val="000000"/>
          <w:sz w:val="21"/>
          <w:szCs w:val="21"/>
        </w:rPr>
        <w:t>工作范围</w:t>
      </w:r>
      <w:bookmarkEnd w:id="29"/>
      <w:bookmarkEnd w:id="30"/>
      <w:bookmarkEnd w:id="31"/>
      <w:bookmarkEnd w:id="32"/>
      <w:bookmarkEnd w:id="33"/>
      <w:bookmarkEnd w:id="34"/>
    </w:p>
    <w:p>
      <w:pPr>
        <w:ind w:firstLine="420" w:firstLineChars="200"/>
        <w:textAlignment w:val="baseline"/>
        <w:rPr>
          <w:rFonts w:ascii="宋体" w:hAnsi="宋体"/>
          <w:color w:val="000000"/>
          <w:szCs w:val="21"/>
        </w:rPr>
      </w:pPr>
      <w:r>
        <w:rPr>
          <w:rFonts w:ascii="宋体" w:hAnsi="宋体"/>
          <w:color w:val="000000"/>
          <w:szCs w:val="21"/>
        </w:rPr>
        <w:t>本节规定了卧式离心泵的制造、供货、工厂试验、现场检验和调试的技术要求。</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299"/>
        <w:gridCol w:w="1012"/>
        <w:gridCol w:w="2482"/>
        <w:gridCol w:w="78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jc w:val="center"/>
        </w:trPr>
        <w:tc>
          <w:tcPr>
            <w:tcW w:w="1025" w:type="dxa"/>
            <w:noWrap w:val="0"/>
            <w:vAlign w:val="center"/>
          </w:tcPr>
          <w:p>
            <w:pPr>
              <w:jc w:val="center"/>
              <w:rPr>
                <w:rFonts w:ascii="宋体" w:hAnsi="宋体"/>
                <w:b/>
                <w:color w:val="000000"/>
                <w:szCs w:val="21"/>
              </w:rPr>
            </w:pPr>
            <w:r>
              <w:rPr>
                <w:rFonts w:ascii="宋体" w:hAnsi="宋体"/>
                <w:b/>
                <w:color w:val="000000"/>
                <w:szCs w:val="21"/>
              </w:rPr>
              <w:t>序号</w:t>
            </w:r>
          </w:p>
        </w:tc>
        <w:tc>
          <w:tcPr>
            <w:tcW w:w="1299" w:type="dxa"/>
            <w:noWrap w:val="0"/>
            <w:vAlign w:val="center"/>
          </w:tcPr>
          <w:p>
            <w:pPr>
              <w:jc w:val="center"/>
              <w:rPr>
                <w:rFonts w:ascii="宋体" w:hAnsi="宋体"/>
                <w:b/>
                <w:color w:val="000000"/>
                <w:szCs w:val="21"/>
              </w:rPr>
            </w:pPr>
            <w:r>
              <w:rPr>
                <w:rFonts w:ascii="宋体" w:hAnsi="宋体"/>
                <w:b/>
                <w:color w:val="000000"/>
                <w:szCs w:val="21"/>
              </w:rPr>
              <w:t>名称</w:t>
            </w:r>
          </w:p>
        </w:tc>
        <w:tc>
          <w:tcPr>
            <w:tcW w:w="1012" w:type="dxa"/>
            <w:noWrap w:val="0"/>
            <w:vAlign w:val="center"/>
          </w:tcPr>
          <w:p>
            <w:pPr>
              <w:jc w:val="center"/>
              <w:rPr>
                <w:rFonts w:ascii="宋体" w:hAnsi="宋体"/>
                <w:b/>
                <w:color w:val="000000"/>
                <w:szCs w:val="21"/>
              </w:rPr>
            </w:pPr>
            <w:r>
              <w:rPr>
                <w:rFonts w:ascii="宋体" w:hAnsi="宋体"/>
                <w:b/>
                <w:color w:val="000000"/>
                <w:szCs w:val="21"/>
              </w:rPr>
              <w:t>形式</w:t>
            </w:r>
          </w:p>
        </w:tc>
        <w:tc>
          <w:tcPr>
            <w:tcW w:w="2482" w:type="dxa"/>
            <w:noWrap w:val="0"/>
            <w:vAlign w:val="center"/>
          </w:tcPr>
          <w:p>
            <w:pPr>
              <w:jc w:val="center"/>
              <w:rPr>
                <w:rFonts w:ascii="宋体" w:hAnsi="宋体"/>
                <w:b/>
                <w:color w:val="000000"/>
                <w:szCs w:val="21"/>
              </w:rPr>
            </w:pPr>
            <w:r>
              <w:rPr>
                <w:rFonts w:ascii="宋体" w:hAnsi="宋体"/>
                <w:b/>
                <w:color w:val="000000"/>
                <w:szCs w:val="21"/>
              </w:rPr>
              <w:t>基本参数</w:t>
            </w:r>
          </w:p>
        </w:tc>
        <w:tc>
          <w:tcPr>
            <w:tcW w:w="780" w:type="dxa"/>
            <w:noWrap w:val="0"/>
            <w:vAlign w:val="center"/>
          </w:tcPr>
          <w:p>
            <w:pPr>
              <w:jc w:val="center"/>
              <w:rPr>
                <w:rFonts w:ascii="宋体" w:hAnsi="宋体"/>
                <w:b/>
                <w:color w:val="000000"/>
                <w:szCs w:val="21"/>
              </w:rPr>
            </w:pPr>
            <w:r>
              <w:rPr>
                <w:rFonts w:ascii="宋体" w:hAnsi="宋体"/>
                <w:b/>
                <w:color w:val="000000"/>
                <w:szCs w:val="21"/>
              </w:rPr>
              <w:t>数量</w:t>
            </w:r>
          </w:p>
        </w:tc>
        <w:tc>
          <w:tcPr>
            <w:tcW w:w="2492" w:type="dxa"/>
            <w:noWrap w:val="0"/>
            <w:vAlign w:val="center"/>
          </w:tcPr>
          <w:p>
            <w:pPr>
              <w:jc w:val="center"/>
              <w:rPr>
                <w:rFonts w:ascii="宋体" w:hAnsi="宋体"/>
                <w:b/>
                <w:color w:val="000000"/>
                <w:szCs w:val="21"/>
              </w:rPr>
            </w:pPr>
            <w:r>
              <w:rPr>
                <w:rFonts w:ascii="宋体" w:hAnsi="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025" w:type="dxa"/>
            <w:vMerge w:val="restart"/>
            <w:noWrap w:val="0"/>
            <w:vAlign w:val="center"/>
          </w:tcPr>
          <w:p>
            <w:pPr>
              <w:jc w:val="center"/>
              <w:rPr>
                <w:rFonts w:ascii="宋体" w:hAnsi="宋体"/>
                <w:color w:val="000000"/>
                <w:szCs w:val="21"/>
              </w:rPr>
            </w:pPr>
            <w:r>
              <w:rPr>
                <w:rFonts w:ascii="宋体" w:hAnsi="宋体"/>
                <w:color w:val="000000"/>
                <w:szCs w:val="21"/>
              </w:rPr>
              <w:t>1</w:t>
            </w:r>
          </w:p>
        </w:tc>
        <w:tc>
          <w:tcPr>
            <w:tcW w:w="1299" w:type="dxa"/>
            <w:noWrap w:val="0"/>
            <w:vAlign w:val="center"/>
          </w:tcPr>
          <w:p>
            <w:pPr>
              <w:jc w:val="center"/>
              <w:rPr>
                <w:rFonts w:ascii="宋体" w:hAnsi="宋体"/>
                <w:color w:val="000000"/>
                <w:szCs w:val="21"/>
              </w:rPr>
            </w:pPr>
            <w:r>
              <w:rPr>
                <w:rFonts w:ascii="宋体" w:hAnsi="宋体"/>
                <w:color w:val="000000"/>
                <w:szCs w:val="21"/>
              </w:rPr>
              <w:t>单级双吸离心水泵</w:t>
            </w:r>
          </w:p>
        </w:tc>
        <w:tc>
          <w:tcPr>
            <w:tcW w:w="1012" w:type="dxa"/>
            <w:noWrap w:val="0"/>
            <w:vAlign w:val="center"/>
          </w:tcPr>
          <w:p>
            <w:pPr>
              <w:jc w:val="center"/>
              <w:rPr>
                <w:rFonts w:ascii="宋体" w:hAnsi="宋体"/>
                <w:color w:val="000000"/>
                <w:szCs w:val="21"/>
              </w:rPr>
            </w:pPr>
            <w:r>
              <w:rPr>
                <w:rFonts w:ascii="宋体" w:hAnsi="宋体"/>
                <w:color w:val="000000"/>
                <w:szCs w:val="21"/>
              </w:rPr>
              <w:t>卧式单级双吸</w:t>
            </w:r>
          </w:p>
        </w:tc>
        <w:tc>
          <w:tcPr>
            <w:tcW w:w="2482" w:type="dxa"/>
            <w:noWrap w:val="0"/>
            <w:vAlign w:val="center"/>
          </w:tcPr>
          <w:p>
            <w:pPr>
              <w:rPr>
                <w:rFonts w:hint="eastAsia" w:ascii="宋体" w:hAnsi="宋体"/>
                <w:color w:val="000000"/>
                <w:szCs w:val="21"/>
                <w:lang w:val="pt-BR"/>
              </w:rPr>
            </w:pPr>
            <w:r>
              <w:rPr>
                <w:rFonts w:hint="eastAsia" w:ascii="宋体" w:hAnsi="宋体"/>
                <w:color w:val="000000"/>
                <w:szCs w:val="21"/>
              </w:rPr>
              <w:t xml:space="preserve">流量 </w:t>
            </w:r>
            <w:r>
              <w:rPr>
                <w:rFonts w:ascii="宋体" w:hAnsi="宋体"/>
                <w:color w:val="000000"/>
                <w:szCs w:val="21"/>
              </w:rPr>
              <w:t>40</w:t>
            </w:r>
            <w:r>
              <w:rPr>
                <w:rFonts w:hint="eastAsia" w:ascii="宋体" w:hAnsi="宋体"/>
                <w:color w:val="000000"/>
                <w:szCs w:val="21"/>
              </w:rPr>
              <w:t>00m</w:t>
            </w:r>
            <w:r>
              <w:rPr>
                <w:rFonts w:hint="eastAsia" w:ascii="宋体" w:hAnsi="宋体"/>
                <w:color w:val="000000"/>
                <w:szCs w:val="21"/>
                <w:vertAlign w:val="superscript"/>
              </w:rPr>
              <w:t>3</w:t>
            </w:r>
            <w:r>
              <w:rPr>
                <w:rFonts w:hint="eastAsia" w:ascii="宋体" w:hAnsi="宋体"/>
                <w:color w:val="000000"/>
                <w:szCs w:val="21"/>
              </w:rPr>
              <w:t>/h，扬程</w:t>
            </w:r>
            <w:r>
              <w:rPr>
                <w:rFonts w:ascii="宋体" w:hAnsi="宋体"/>
                <w:color w:val="000000"/>
                <w:szCs w:val="21"/>
              </w:rPr>
              <w:t>22</w:t>
            </w:r>
            <w:r>
              <w:rPr>
                <w:rFonts w:hint="eastAsia" w:ascii="宋体" w:hAnsi="宋体"/>
                <w:color w:val="000000"/>
                <w:szCs w:val="21"/>
              </w:rPr>
              <w:t>米，转速740rpm, NPSHr</w:t>
            </w:r>
            <w:r>
              <w:rPr>
                <w:rFonts w:hint="eastAsia" w:ascii="宋体" w:hAnsi="宋体" w:cs="宋体"/>
                <w:color w:val="000000"/>
                <w:kern w:val="0"/>
                <w:szCs w:val="21"/>
              </w:rPr>
              <w:t>≤4</w:t>
            </w:r>
            <w:r>
              <w:rPr>
                <w:rFonts w:hint="eastAsia" w:ascii="宋体" w:hAnsi="宋体"/>
                <w:color w:val="000000"/>
                <w:szCs w:val="21"/>
              </w:rPr>
              <w:t>m，效率</w:t>
            </w:r>
            <w:r>
              <w:rPr>
                <w:rFonts w:hint="eastAsia" w:ascii="宋体" w:hAnsi="宋体" w:cs="宋体"/>
                <w:color w:val="000000"/>
                <w:kern w:val="0"/>
                <w:szCs w:val="21"/>
              </w:rPr>
              <w:t>≥</w:t>
            </w:r>
            <w:r>
              <w:rPr>
                <w:rFonts w:hint="eastAsia" w:ascii="宋体" w:hAnsi="宋体"/>
                <w:color w:val="000000"/>
                <w:szCs w:val="21"/>
              </w:rPr>
              <w:t>85%</w:t>
            </w:r>
          </w:p>
        </w:tc>
        <w:tc>
          <w:tcPr>
            <w:tcW w:w="780" w:type="dxa"/>
            <w:noWrap w:val="0"/>
            <w:vAlign w:val="center"/>
          </w:tcPr>
          <w:p>
            <w:pPr>
              <w:jc w:val="center"/>
              <w:rPr>
                <w:rFonts w:ascii="宋体" w:hAnsi="宋体"/>
                <w:color w:val="000000"/>
                <w:szCs w:val="21"/>
              </w:rPr>
            </w:pPr>
            <w:r>
              <w:rPr>
                <w:rFonts w:hint="eastAsia" w:ascii="宋体" w:hAnsi="宋体"/>
                <w:color w:val="000000"/>
                <w:szCs w:val="21"/>
              </w:rPr>
              <w:t>3</w:t>
            </w:r>
            <w:r>
              <w:rPr>
                <w:rFonts w:ascii="宋体" w:hAnsi="宋体"/>
                <w:color w:val="000000"/>
                <w:szCs w:val="21"/>
              </w:rPr>
              <w:t>台</w:t>
            </w:r>
          </w:p>
        </w:tc>
        <w:tc>
          <w:tcPr>
            <w:tcW w:w="2492" w:type="dxa"/>
            <w:noWrap w:val="0"/>
            <w:vAlign w:val="center"/>
          </w:tcPr>
          <w:p>
            <w:pPr>
              <w:jc w:val="center"/>
              <w:rPr>
                <w:rFonts w:hint="eastAsia" w:ascii="宋体" w:hAnsi="宋体"/>
                <w:color w:val="FF0000"/>
                <w:szCs w:val="21"/>
              </w:rPr>
            </w:pPr>
            <w:r>
              <w:rPr>
                <w:rFonts w:hint="eastAsia" w:ascii="宋体" w:hAnsi="宋体"/>
                <w:color w:val="FF0000"/>
                <w:szCs w:val="21"/>
              </w:rPr>
              <w:t>推荐品牌：佛山安德里茨、</w:t>
            </w:r>
            <w:r>
              <w:rPr>
                <w:rFonts w:hint="eastAsia" w:ascii="宋体" w:hAnsi="宋体"/>
                <w:color w:val="FF0000"/>
                <w:szCs w:val="21"/>
                <w:lang w:val="en-US" w:eastAsia="zh-CN"/>
              </w:rPr>
              <w:t>格兰富</w:t>
            </w:r>
            <w:r>
              <w:rPr>
                <w:rFonts w:hint="eastAsia" w:ascii="宋体" w:hAnsi="宋体"/>
                <w:color w:val="FF0000"/>
                <w:szCs w:val="21"/>
              </w:rPr>
              <w:t>、上海凯士比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25" w:type="dxa"/>
            <w:vMerge w:val="continue"/>
            <w:noWrap w:val="0"/>
            <w:vAlign w:val="center"/>
          </w:tcPr>
          <w:p>
            <w:pPr>
              <w:jc w:val="center"/>
              <w:rPr>
                <w:rFonts w:ascii="宋体" w:hAnsi="宋体"/>
                <w:color w:val="000000"/>
                <w:szCs w:val="21"/>
              </w:rPr>
            </w:pPr>
          </w:p>
        </w:tc>
        <w:tc>
          <w:tcPr>
            <w:tcW w:w="1299" w:type="dxa"/>
            <w:noWrap w:val="0"/>
            <w:vAlign w:val="center"/>
          </w:tcPr>
          <w:p>
            <w:pPr>
              <w:rPr>
                <w:rFonts w:ascii="宋体" w:hAnsi="宋体"/>
                <w:color w:val="000000"/>
                <w:szCs w:val="21"/>
              </w:rPr>
            </w:pPr>
            <w:r>
              <w:rPr>
                <w:rFonts w:ascii="宋体" w:hAnsi="宋体"/>
                <w:color w:val="000000"/>
                <w:szCs w:val="21"/>
              </w:rPr>
              <w:t>配套电机</w:t>
            </w:r>
          </w:p>
        </w:tc>
        <w:tc>
          <w:tcPr>
            <w:tcW w:w="1012" w:type="dxa"/>
            <w:noWrap w:val="0"/>
            <w:vAlign w:val="center"/>
          </w:tcPr>
          <w:p>
            <w:pPr>
              <w:jc w:val="center"/>
              <w:rPr>
                <w:rFonts w:ascii="宋体" w:hAnsi="宋体"/>
                <w:color w:val="000000"/>
                <w:szCs w:val="21"/>
              </w:rPr>
            </w:pPr>
          </w:p>
        </w:tc>
        <w:tc>
          <w:tcPr>
            <w:tcW w:w="2482" w:type="dxa"/>
            <w:noWrap w:val="0"/>
            <w:vAlign w:val="center"/>
          </w:tcPr>
          <w:p>
            <w:pPr>
              <w:rPr>
                <w:rFonts w:hint="eastAsia" w:ascii="宋体" w:hAnsi="宋体"/>
                <w:color w:val="000000"/>
                <w:szCs w:val="21"/>
                <w:lang w:val="pt-BR"/>
              </w:rPr>
            </w:pPr>
            <w:r>
              <w:rPr>
                <w:rFonts w:hint="eastAsia" w:ascii="宋体" w:hAnsi="宋体"/>
                <w:color w:val="000000"/>
                <w:szCs w:val="21"/>
                <w:lang w:val="pt-BR"/>
              </w:rPr>
              <w:t xml:space="preserve">电压 </w:t>
            </w:r>
            <w:r>
              <w:rPr>
                <w:rFonts w:ascii="宋体" w:hAnsi="宋体"/>
                <w:color w:val="000000"/>
                <w:szCs w:val="21"/>
                <w:lang w:val="pt-BR"/>
              </w:rPr>
              <w:t>10</w:t>
            </w:r>
            <w:r>
              <w:rPr>
                <w:rFonts w:hint="eastAsia" w:ascii="宋体" w:hAnsi="宋体"/>
                <w:color w:val="000000"/>
                <w:szCs w:val="21"/>
                <w:lang w:val="pt-BR"/>
              </w:rPr>
              <w:t>kV，功率</w:t>
            </w:r>
            <w:r>
              <w:rPr>
                <w:rFonts w:ascii="宋体" w:hAnsi="宋体"/>
                <w:color w:val="000000"/>
                <w:szCs w:val="21"/>
                <w:lang w:val="pt-BR"/>
              </w:rPr>
              <w:t>315</w:t>
            </w:r>
            <w:r>
              <w:rPr>
                <w:rFonts w:hint="eastAsia" w:ascii="宋体" w:hAnsi="宋体"/>
                <w:color w:val="000000"/>
                <w:szCs w:val="21"/>
                <w:lang w:val="pt-BR"/>
              </w:rPr>
              <w:t xml:space="preserve">KW </w:t>
            </w:r>
          </w:p>
        </w:tc>
        <w:tc>
          <w:tcPr>
            <w:tcW w:w="780" w:type="dxa"/>
            <w:noWrap w:val="0"/>
            <w:vAlign w:val="center"/>
          </w:tcPr>
          <w:p>
            <w:pPr>
              <w:jc w:val="center"/>
              <w:rPr>
                <w:rFonts w:ascii="宋体" w:hAnsi="宋体"/>
                <w:color w:val="000000"/>
                <w:szCs w:val="21"/>
              </w:rPr>
            </w:pPr>
            <w:r>
              <w:rPr>
                <w:rFonts w:hint="eastAsia" w:ascii="宋体" w:hAnsi="宋体"/>
                <w:color w:val="000000"/>
                <w:szCs w:val="21"/>
              </w:rPr>
              <w:t>3</w:t>
            </w:r>
            <w:r>
              <w:rPr>
                <w:rFonts w:ascii="宋体" w:hAnsi="宋体"/>
                <w:color w:val="000000"/>
                <w:szCs w:val="21"/>
              </w:rPr>
              <w:t>台</w:t>
            </w:r>
          </w:p>
        </w:tc>
        <w:tc>
          <w:tcPr>
            <w:tcW w:w="2492" w:type="dxa"/>
            <w:noWrap w:val="0"/>
            <w:vAlign w:val="center"/>
          </w:tcPr>
          <w:p>
            <w:pPr>
              <w:jc w:val="center"/>
              <w:rPr>
                <w:rFonts w:hint="eastAsia" w:ascii="宋体" w:hAnsi="宋体" w:eastAsia="宋体"/>
                <w:color w:val="FF0000"/>
                <w:szCs w:val="21"/>
                <w:lang w:eastAsia="zh-CN"/>
              </w:rPr>
            </w:pPr>
            <w:r>
              <w:rPr>
                <w:rFonts w:hint="eastAsia" w:ascii="宋体" w:hAnsi="宋体"/>
                <w:color w:val="FF0000"/>
                <w:szCs w:val="21"/>
                <w:lang w:val="en-US" w:eastAsia="zh-CN"/>
              </w:rPr>
              <w:t>配套</w:t>
            </w:r>
            <w:r>
              <w:rPr>
                <w:rFonts w:hint="eastAsia" w:ascii="宋体" w:hAnsi="宋体"/>
                <w:color w:val="FF0000"/>
                <w:szCs w:val="21"/>
              </w:rPr>
              <w:t>品牌：西门子</w:t>
            </w:r>
          </w:p>
        </w:tc>
      </w:tr>
    </w:tbl>
    <w:p>
      <w:pPr>
        <w:ind w:firstLine="840" w:firstLineChars="400"/>
        <w:rPr>
          <w:rFonts w:ascii="宋体" w:hAnsi="宋体"/>
          <w:color w:val="000000"/>
          <w:szCs w:val="21"/>
        </w:rPr>
      </w:pPr>
      <w:r>
        <w:rPr>
          <w:rFonts w:ascii="宋体" w:hAnsi="宋体"/>
          <w:color w:val="000000"/>
          <w:szCs w:val="21"/>
        </w:rPr>
        <w:t>设备主要组成部分及供货范围（不限于此）：</w:t>
      </w:r>
    </w:p>
    <w:p>
      <w:pPr>
        <w:ind w:left="840" w:leftChars="400"/>
        <w:rPr>
          <w:rFonts w:ascii="宋体" w:hAnsi="宋体"/>
          <w:color w:val="000000"/>
          <w:szCs w:val="21"/>
        </w:rPr>
      </w:pPr>
      <w:bookmarkStart w:id="35" w:name="_Toc364988301"/>
      <w:bookmarkStart w:id="36" w:name="_Toc13215"/>
      <w:bookmarkStart w:id="37" w:name="_Toc290628267"/>
      <w:bookmarkStart w:id="38" w:name="_Toc291605294"/>
      <w:bookmarkStart w:id="39" w:name="_Toc291769070"/>
      <w:r>
        <w:rPr>
          <w:rFonts w:ascii="宋体" w:hAnsi="宋体"/>
          <w:color w:val="000000"/>
          <w:szCs w:val="21"/>
        </w:rPr>
        <w:t>- 装配完整的水泵（包括泵壳、叶轮、泵轴等）</w:t>
      </w:r>
    </w:p>
    <w:p>
      <w:pPr>
        <w:ind w:left="840" w:leftChars="400"/>
        <w:rPr>
          <w:rFonts w:ascii="宋体" w:hAnsi="宋体"/>
          <w:color w:val="000000"/>
          <w:szCs w:val="21"/>
        </w:rPr>
      </w:pPr>
      <w:r>
        <w:rPr>
          <w:rFonts w:ascii="宋体" w:hAnsi="宋体"/>
          <w:color w:val="000000"/>
          <w:szCs w:val="21"/>
        </w:rPr>
        <w:t>- 电机</w:t>
      </w:r>
    </w:p>
    <w:p>
      <w:pPr>
        <w:ind w:left="840" w:leftChars="400"/>
        <w:rPr>
          <w:rFonts w:ascii="宋体" w:hAnsi="宋体"/>
          <w:color w:val="000000"/>
          <w:szCs w:val="21"/>
        </w:rPr>
      </w:pPr>
      <w:r>
        <w:rPr>
          <w:rFonts w:ascii="宋体" w:hAnsi="宋体"/>
          <w:color w:val="000000"/>
          <w:szCs w:val="21"/>
        </w:rPr>
        <w:t>- 电缆及保护套、接头、紧固件</w:t>
      </w:r>
    </w:p>
    <w:p>
      <w:pPr>
        <w:ind w:left="840" w:leftChars="400"/>
        <w:rPr>
          <w:rFonts w:ascii="宋体" w:hAnsi="宋体"/>
          <w:color w:val="000000"/>
          <w:szCs w:val="21"/>
        </w:rPr>
      </w:pPr>
      <w:r>
        <w:rPr>
          <w:rFonts w:ascii="宋体" w:hAnsi="宋体"/>
          <w:color w:val="000000"/>
          <w:szCs w:val="21"/>
        </w:rPr>
        <w:t>- 电气专用保护元件</w:t>
      </w:r>
    </w:p>
    <w:p>
      <w:pPr>
        <w:ind w:left="840" w:leftChars="400"/>
        <w:rPr>
          <w:rFonts w:ascii="宋体" w:hAnsi="宋体"/>
          <w:color w:val="000000"/>
          <w:szCs w:val="21"/>
        </w:rPr>
      </w:pPr>
      <w:r>
        <w:rPr>
          <w:rFonts w:ascii="宋体" w:hAnsi="宋体"/>
          <w:color w:val="000000"/>
          <w:szCs w:val="21"/>
        </w:rPr>
        <w:t>- 所有连接附件（包括设备与土建联接的附件及紧固件、地脚螺栓等）</w:t>
      </w:r>
    </w:p>
    <w:p>
      <w:pPr>
        <w:ind w:left="840" w:leftChars="400"/>
        <w:rPr>
          <w:rFonts w:hint="eastAsia" w:ascii="宋体" w:hAnsi="宋体"/>
          <w:color w:val="000000"/>
          <w:szCs w:val="21"/>
        </w:rPr>
      </w:pPr>
      <w:r>
        <w:rPr>
          <w:rFonts w:hint="eastAsia" w:ascii="宋体" w:hAnsi="宋体"/>
          <w:color w:val="000000"/>
          <w:szCs w:val="21"/>
        </w:rPr>
        <w:t>- 现场一控一控制柜、接线箱</w:t>
      </w:r>
    </w:p>
    <w:p>
      <w:pPr>
        <w:ind w:left="840" w:leftChars="400"/>
        <w:rPr>
          <w:rFonts w:hint="eastAsia" w:ascii="宋体" w:hAnsi="宋体"/>
          <w:color w:val="000000"/>
          <w:szCs w:val="21"/>
        </w:rPr>
      </w:pPr>
      <w:r>
        <w:rPr>
          <w:rFonts w:hint="eastAsia" w:ascii="宋体" w:hAnsi="宋体"/>
          <w:color w:val="000000"/>
          <w:szCs w:val="21"/>
        </w:rPr>
        <w:t>- 合格证、出厂检验报告等</w:t>
      </w:r>
    </w:p>
    <w:p>
      <w:pPr>
        <w:pStyle w:val="5"/>
        <w:widowControl/>
        <w:numPr>
          <w:ilvl w:val="0"/>
          <w:numId w:val="12"/>
        </w:numPr>
        <w:tabs>
          <w:tab w:val="left" w:pos="425"/>
          <w:tab w:val="left" w:pos="479"/>
          <w:tab w:val="left" w:pos="851"/>
          <w:tab w:val="left" w:pos="1264"/>
        </w:tabs>
        <w:snapToGrid w:val="0"/>
        <w:spacing w:line="240" w:lineRule="auto"/>
        <w:textAlignment w:val="baseline"/>
        <w:rPr>
          <w:color w:val="000000"/>
          <w:sz w:val="21"/>
          <w:szCs w:val="21"/>
        </w:rPr>
      </w:pPr>
      <w:bookmarkStart w:id="40" w:name="_Toc517392290"/>
      <w:r>
        <w:rPr>
          <w:rFonts w:hint="eastAsia"/>
          <w:color w:val="000000"/>
          <w:sz w:val="21"/>
          <w:szCs w:val="21"/>
        </w:rPr>
        <w:t>生产厂</w:t>
      </w:r>
      <w:r>
        <w:rPr>
          <w:color w:val="000000"/>
          <w:sz w:val="21"/>
          <w:szCs w:val="21"/>
        </w:rPr>
        <w:t>的资质要求</w:t>
      </w:r>
      <w:bookmarkEnd w:id="35"/>
      <w:bookmarkEnd w:id="36"/>
      <w:bookmarkEnd w:id="40"/>
    </w:p>
    <w:p>
      <w:pPr>
        <w:tabs>
          <w:tab w:val="left" w:pos="425"/>
        </w:tabs>
        <w:ind w:left="420" w:leftChars="200"/>
        <w:rPr>
          <w:rFonts w:ascii="宋体" w:hAnsi="宋体"/>
          <w:color w:val="000000"/>
          <w:szCs w:val="21"/>
        </w:rPr>
      </w:pPr>
      <w:r>
        <w:rPr>
          <w:rFonts w:ascii="宋体" w:hAnsi="宋体"/>
          <w:color w:val="000000"/>
          <w:szCs w:val="21"/>
        </w:rPr>
        <w:t>所有单级双吸离心泵必须为同一生产厂的产品，所有单级双吸</w:t>
      </w:r>
      <w:r>
        <w:rPr>
          <w:rFonts w:hint="eastAsia" w:ascii="宋体" w:hAnsi="宋体"/>
          <w:color w:val="000000"/>
          <w:szCs w:val="21"/>
        </w:rPr>
        <w:t>离心泵</w:t>
      </w:r>
      <w:r>
        <w:rPr>
          <w:rFonts w:ascii="宋体" w:hAnsi="宋体"/>
          <w:color w:val="000000"/>
          <w:szCs w:val="21"/>
        </w:rPr>
        <w:t>配套电机必须为同一生产厂的产品。</w:t>
      </w:r>
    </w:p>
    <w:p>
      <w:pPr>
        <w:tabs>
          <w:tab w:val="left" w:pos="425"/>
        </w:tabs>
        <w:ind w:left="420" w:leftChars="200"/>
        <w:rPr>
          <w:rFonts w:ascii="宋体" w:hAnsi="宋体"/>
          <w:color w:val="000000"/>
          <w:szCs w:val="21"/>
        </w:rPr>
      </w:pPr>
      <w:r>
        <w:rPr>
          <w:rFonts w:ascii="宋体" w:hAnsi="宋体"/>
          <w:color w:val="000000"/>
          <w:szCs w:val="21"/>
        </w:rPr>
        <w:t>电机由水泵生产厂配套供货，水泵生产厂对整套机组的质量、售后服务负责。</w:t>
      </w:r>
    </w:p>
    <w:p>
      <w:pPr>
        <w:pStyle w:val="5"/>
        <w:widowControl/>
        <w:numPr>
          <w:ilvl w:val="0"/>
          <w:numId w:val="12"/>
        </w:numPr>
        <w:tabs>
          <w:tab w:val="left" w:pos="425"/>
          <w:tab w:val="left" w:pos="479"/>
          <w:tab w:val="left" w:pos="851"/>
          <w:tab w:val="left" w:pos="1264"/>
        </w:tabs>
        <w:snapToGrid w:val="0"/>
        <w:spacing w:line="240" w:lineRule="auto"/>
        <w:textAlignment w:val="baseline"/>
        <w:rPr>
          <w:rFonts w:hint="eastAsia" w:ascii="宋体" w:hAnsi="宋体"/>
          <w:color w:val="000000"/>
          <w:sz w:val="21"/>
          <w:szCs w:val="21"/>
        </w:rPr>
      </w:pPr>
      <w:bookmarkStart w:id="41" w:name="_Toc2299"/>
      <w:bookmarkStart w:id="42" w:name="_Toc517392291"/>
      <w:bookmarkStart w:id="43" w:name="_Toc364988302"/>
      <w:r>
        <w:rPr>
          <w:rFonts w:hint="eastAsia"/>
          <w:color w:val="000000"/>
          <w:sz w:val="21"/>
          <w:szCs w:val="21"/>
        </w:rPr>
        <w:t>水泵</w:t>
      </w:r>
      <w:r>
        <w:rPr>
          <w:color w:val="000000"/>
          <w:sz w:val="21"/>
          <w:szCs w:val="21"/>
        </w:rPr>
        <w:t>及配套电机技术性能</w:t>
      </w:r>
      <w:bookmarkEnd w:id="37"/>
      <w:bookmarkEnd w:id="38"/>
      <w:bookmarkEnd w:id="39"/>
      <w:bookmarkEnd w:id="41"/>
      <w:bookmarkEnd w:id="42"/>
      <w:bookmarkEnd w:id="43"/>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3420"/>
        <w:gridCol w:w="3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32" w:type="dxa"/>
            <w:noWrap w:val="0"/>
            <w:vAlign w:val="center"/>
          </w:tcPr>
          <w:p>
            <w:pPr>
              <w:jc w:val="center"/>
              <w:rPr>
                <w:rFonts w:ascii="宋体" w:hAnsi="宋体"/>
                <w:color w:val="000000"/>
                <w:kern w:val="0"/>
                <w:szCs w:val="21"/>
              </w:rPr>
            </w:pPr>
            <w:r>
              <w:rPr>
                <w:rFonts w:ascii="宋体" w:hAnsi="宋体"/>
                <w:color w:val="000000"/>
                <w:kern w:val="0"/>
                <w:szCs w:val="21"/>
              </w:rPr>
              <w:t>1</w:t>
            </w:r>
          </w:p>
        </w:tc>
        <w:tc>
          <w:tcPr>
            <w:tcW w:w="3420" w:type="dxa"/>
            <w:noWrap w:val="0"/>
            <w:vAlign w:val="center"/>
          </w:tcPr>
          <w:p>
            <w:pPr>
              <w:jc w:val="center"/>
              <w:rPr>
                <w:rFonts w:ascii="宋体" w:hAnsi="宋体"/>
                <w:color w:val="000000"/>
                <w:kern w:val="0"/>
                <w:szCs w:val="21"/>
              </w:rPr>
            </w:pPr>
            <w:r>
              <w:rPr>
                <w:rFonts w:ascii="宋体" w:hAnsi="宋体"/>
                <w:color w:val="000000"/>
                <w:kern w:val="0"/>
                <w:szCs w:val="21"/>
              </w:rPr>
              <w:t>输送介质</w:t>
            </w:r>
          </w:p>
        </w:tc>
        <w:tc>
          <w:tcPr>
            <w:tcW w:w="3109" w:type="dxa"/>
            <w:noWrap w:val="0"/>
            <w:vAlign w:val="center"/>
          </w:tcPr>
          <w:p>
            <w:pPr>
              <w:ind w:right="-556" w:rightChars="-265"/>
              <w:jc w:val="center"/>
              <w:rPr>
                <w:rFonts w:ascii="宋体" w:hAnsi="宋体"/>
                <w:color w:val="000000"/>
                <w:kern w:val="0"/>
                <w:szCs w:val="21"/>
              </w:rPr>
            </w:pPr>
            <w:r>
              <w:rPr>
                <w:rFonts w:ascii="宋体" w:hAnsi="宋体"/>
                <w:color w:val="000000"/>
                <w:kern w:val="0"/>
                <w:szCs w:val="21"/>
              </w:rPr>
              <w:t>自来水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32" w:type="dxa"/>
            <w:noWrap w:val="0"/>
            <w:vAlign w:val="center"/>
          </w:tcPr>
          <w:p>
            <w:pPr>
              <w:jc w:val="center"/>
              <w:rPr>
                <w:rFonts w:hint="eastAsia" w:ascii="宋体" w:hAnsi="宋体"/>
                <w:color w:val="000000"/>
                <w:kern w:val="0"/>
                <w:szCs w:val="21"/>
              </w:rPr>
            </w:pPr>
            <w:r>
              <w:rPr>
                <w:rFonts w:hint="eastAsia" w:ascii="宋体" w:hAnsi="宋体"/>
                <w:color w:val="000000"/>
                <w:kern w:val="0"/>
                <w:szCs w:val="21"/>
              </w:rPr>
              <w:t>2</w:t>
            </w:r>
          </w:p>
        </w:tc>
        <w:tc>
          <w:tcPr>
            <w:tcW w:w="3420" w:type="dxa"/>
            <w:noWrap w:val="0"/>
            <w:vAlign w:val="center"/>
          </w:tcPr>
          <w:p>
            <w:pPr>
              <w:jc w:val="center"/>
              <w:rPr>
                <w:rFonts w:ascii="宋体" w:hAnsi="宋体"/>
                <w:color w:val="000000"/>
                <w:kern w:val="0"/>
                <w:szCs w:val="21"/>
              </w:rPr>
            </w:pPr>
            <w:r>
              <w:rPr>
                <w:rFonts w:hint="eastAsia" w:ascii="宋体" w:hAnsi="宋体"/>
                <w:color w:val="000000"/>
                <w:kern w:val="0"/>
                <w:szCs w:val="21"/>
              </w:rPr>
              <w:t>工况</w:t>
            </w:r>
            <w:r>
              <w:rPr>
                <w:rFonts w:ascii="宋体" w:hAnsi="宋体"/>
                <w:color w:val="000000"/>
                <w:kern w:val="0"/>
                <w:szCs w:val="21"/>
              </w:rPr>
              <w:t>流量</w:t>
            </w:r>
          </w:p>
        </w:tc>
        <w:tc>
          <w:tcPr>
            <w:tcW w:w="3109" w:type="dxa"/>
            <w:noWrap w:val="0"/>
            <w:vAlign w:val="center"/>
          </w:tcPr>
          <w:p>
            <w:pPr>
              <w:jc w:val="center"/>
              <w:rPr>
                <w:rFonts w:ascii="宋体" w:hAnsi="宋体"/>
                <w:color w:val="000000"/>
                <w:kern w:val="0"/>
                <w:szCs w:val="21"/>
              </w:rPr>
            </w:pPr>
            <w:r>
              <w:rPr>
                <w:rFonts w:ascii="宋体" w:hAnsi="宋体"/>
                <w:color w:val="000000"/>
                <w:szCs w:val="21"/>
              </w:rPr>
              <w:t>4000</w:t>
            </w:r>
            <w:r>
              <w:rPr>
                <w:rFonts w:ascii="宋体" w:hAnsi="宋体"/>
                <w:color w:val="000000"/>
                <w:kern w:val="0"/>
                <w:szCs w:val="21"/>
              </w:rPr>
              <w:t>(m</w:t>
            </w:r>
            <w:r>
              <w:rPr>
                <w:rFonts w:ascii="宋体" w:hAnsi="宋体"/>
                <w:color w:val="000000"/>
                <w:kern w:val="0"/>
                <w:szCs w:val="21"/>
                <w:vertAlign w:val="superscript"/>
              </w:rPr>
              <w:t>3</w:t>
            </w:r>
            <w:r>
              <w:rPr>
                <w:rFonts w:ascii="宋体" w:hAnsi="宋体"/>
                <w:color w:val="000000"/>
                <w:kern w:val="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32" w:type="dxa"/>
            <w:noWrap w:val="0"/>
            <w:vAlign w:val="center"/>
          </w:tcPr>
          <w:p>
            <w:pPr>
              <w:jc w:val="center"/>
              <w:rPr>
                <w:rFonts w:hint="eastAsia" w:ascii="宋体" w:hAnsi="宋体"/>
                <w:color w:val="000000"/>
                <w:kern w:val="0"/>
                <w:szCs w:val="21"/>
              </w:rPr>
            </w:pPr>
            <w:r>
              <w:rPr>
                <w:rFonts w:hint="eastAsia" w:ascii="宋体" w:hAnsi="宋体"/>
                <w:color w:val="000000"/>
                <w:kern w:val="0"/>
                <w:szCs w:val="21"/>
              </w:rPr>
              <w:t>3</w:t>
            </w:r>
          </w:p>
        </w:tc>
        <w:tc>
          <w:tcPr>
            <w:tcW w:w="3420" w:type="dxa"/>
            <w:noWrap w:val="0"/>
            <w:vAlign w:val="center"/>
          </w:tcPr>
          <w:p>
            <w:pPr>
              <w:jc w:val="center"/>
              <w:rPr>
                <w:rFonts w:ascii="宋体" w:hAnsi="宋体"/>
                <w:color w:val="000000"/>
                <w:kern w:val="0"/>
                <w:szCs w:val="21"/>
              </w:rPr>
            </w:pPr>
            <w:r>
              <w:rPr>
                <w:rFonts w:hint="eastAsia" w:ascii="宋体" w:hAnsi="宋体"/>
                <w:color w:val="000000"/>
                <w:kern w:val="0"/>
                <w:szCs w:val="21"/>
              </w:rPr>
              <w:t>工况</w:t>
            </w:r>
            <w:r>
              <w:rPr>
                <w:rFonts w:ascii="宋体" w:hAnsi="宋体"/>
                <w:color w:val="000000"/>
                <w:kern w:val="0"/>
                <w:szCs w:val="21"/>
              </w:rPr>
              <w:t>扬程</w:t>
            </w:r>
          </w:p>
        </w:tc>
        <w:tc>
          <w:tcPr>
            <w:tcW w:w="3109" w:type="dxa"/>
            <w:noWrap w:val="0"/>
            <w:vAlign w:val="center"/>
          </w:tcPr>
          <w:p>
            <w:pPr>
              <w:jc w:val="center"/>
              <w:rPr>
                <w:rFonts w:hint="eastAsia" w:ascii="宋体" w:hAnsi="宋体"/>
                <w:color w:val="000000"/>
                <w:kern w:val="0"/>
                <w:szCs w:val="21"/>
              </w:rPr>
            </w:pPr>
            <w:r>
              <w:rPr>
                <w:rFonts w:ascii="宋体" w:hAnsi="宋体"/>
                <w:color w:val="000000"/>
                <w:kern w:val="0"/>
                <w:szCs w:val="21"/>
              </w:rPr>
              <w:t>22(m)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32" w:type="dxa"/>
            <w:noWrap w:val="0"/>
            <w:vAlign w:val="center"/>
          </w:tcPr>
          <w:p>
            <w:pPr>
              <w:jc w:val="center"/>
              <w:rPr>
                <w:rFonts w:hint="eastAsia" w:ascii="宋体" w:hAnsi="宋体"/>
                <w:color w:val="000000"/>
                <w:kern w:val="0"/>
                <w:szCs w:val="21"/>
              </w:rPr>
            </w:pPr>
            <w:r>
              <w:rPr>
                <w:rFonts w:hint="eastAsia" w:ascii="宋体" w:hAnsi="宋体"/>
                <w:color w:val="000000"/>
                <w:kern w:val="0"/>
                <w:szCs w:val="21"/>
              </w:rPr>
              <w:t>4</w:t>
            </w:r>
          </w:p>
        </w:tc>
        <w:tc>
          <w:tcPr>
            <w:tcW w:w="3420" w:type="dxa"/>
            <w:noWrap w:val="0"/>
            <w:vAlign w:val="center"/>
          </w:tcPr>
          <w:p>
            <w:pPr>
              <w:jc w:val="cente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转  速</w:t>
            </w:r>
          </w:p>
        </w:tc>
        <w:tc>
          <w:tcPr>
            <w:tcW w:w="3109" w:type="dxa"/>
            <w:noWrap w:val="0"/>
            <w:vAlign w:val="center"/>
          </w:tcPr>
          <w:p>
            <w:pPr>
              <w:jc w:val="center"/>
              <w:rPr>
                <w:rFonts w:ascii="宋体" w:hAnsi="宋体"/>
                <w:color w:val="000000"/>
                <w:kern w:val="0"/>
                <w:szCs w:val="21"/>
              </w:rPr>
            </w:pPr>
            <w:r>
              <w:rPr>
                <w:rFonts w:hint="eastAsia" w:ascii="宋体" w:hAnsi="宋体"/>
                <w:color w:val="000000"/>
                <w:szCs w:val="21"/>
              </w:rPr>
              <w:t>740</w:t>
            </w:r>
            <w:r>
              <w:rPr>
                <w:rFonts w:ascii="宋体" w:hAnsi="宋体"/>
                <w:color w:val="000000"/>
                <w:kern w:val="0"/>
                <w:szCs w:val="21"/>
              </w:rPr>
              <w:t xml:space="preserve"> (r/min)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32" w:type="dxa"/>
            <w:noWrap w:val="0"/>
            <w:vAlign w:val="center"/>
          </w:tcPr>
          <w:p>
            <w:pPr>
              <w:jc w:val="center"/>
              <w:rPr>
                <w:rFonts w:hint="eastAsia" w:ascii="宋体" w:hAnsi="宋体"/>
                <w:color w:val="000000"/>
                <w:kern w:val="0"/>
                <w:szCs w:val="21"/>
              </w:rPr>
            </w:pPr>
            <w:r>
              <w:rPr>
                <w:rFonts w:hint="eastAsia" w:ascii="宋体" w:hAnsi="宋体"/>
                <w:color w:val="000000"/>
                <w:kern w:val="0"/>
                <w:szCs w:val="21"/>
              </w:rPr>
              <w:t>5</w:t>
            </w:r>
          </w:p>
        </w:tc>
        <w:tc>
          <w:tcPr>
            <w:tcW w:w="3420" w:type="dxa"/>
            <w:noWrap w:val="0"/>
            <w:vAlign w:val="center"/>
          </w:tcPr>
          <w:p>
            <w:pPr>
              <w:jc w:val="center"/>
              <w:rPr>
                <w:rFonts w:ascii="宋体" w:hAnsi="宋体"/>
                <w:color w:val="000000"/>
                <w:kern w:val="0"/>
                <w:szCs w:val="21"/>
              </w:rPr>
            </w:pPr>
            <w:r>
              <w:rPr>
                <w:rFonts w:ascii="宋体" w:hAnsi="宋体"/>
                <w:color w:val="000000"/>
                <w:kern w:val="0"/>
                <w:szCs w:val="21"/>
              </w:rPr>
              <w:t>水泵效率</w:t>
            </w:r>
          </w:p>
        </w:tc>
        <w:tc>
          <w:tcPr>
            <w:tcW w:w="3109" w:type="dxa"/>
            <w:noWrap w:val="0"/>
            <w:vAlign w:val="center"/>
          </w:tcPr>
          <w:p>
            <w:pPr>
              <w:jc w:val="center"/>
              <w:rPr>
                <w:rFonts w:ascii="宋体" w:hAnsi="宋体"/>
                <w:color w:val="000000"/>
                <w:kern w:val="0"/>
                <w:szCs w:val="21"/>
              </w:rPr>
            </w:pPr>
            <w:r>
              <w:rPr>
                <w:rFonts w:hint="eastAsia" w:ascii="宋体" w:hAnsi="宋体"/>
                <w:color w:val="000000"/>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32" w:type="dxa"/>
            <w:noWrap w:val="0"/>
            <w:vAlign w:val="center"/>
          </w:tcPr>
          <w:p>
            <w:pPr>
              <w:jc w:val="center"/>
              <w:rPr>
                <w:rFonts w:hint="eastAsia" w:ascii="宋体" w:hAnsi="宋体"/>
                <w:color w:val="000000"/>
                <w:kern w:val="0"/>
                <w:szCs w:val="21"/>
              </w:rPr>
            </w:pPr>
            <w:r>
              <w:rPr>
                <w:rFonts w:hint="eastAsia" w:ascii="宋体" w:hAnsi="宋体"/>
                <w:color w:val="000000"/>
                <w:kern w:val="0"/>
                <w:szCs w:val="21"/>
              </w:rPr>
              <w:t>6</w:t>
            </w:r>
          </w:p>
        </w:tc>
        <w:tc>
          <w:tcPr>
            <w:tcW w:w="3420" w:type="dxa"/>
            <w:noWrap w:val="0"/>
            <w:vAlign w:val="center"/>
          </w:tcPr>
          <w:p>
            <w:pPr>
              <w:jc w:val="center"/>
              <w:rPr>
                <w:rFonts w:ascii="宋体" w:hAnsi="宋体"/>
                <w:color w:val="000000"/>
                <w:kern w:val="0"/>
                <w:szCs w:val="21"/>
              </w:rPr>
            </w:pPr>
            <w:r>
              <w:rPr>
                <w:rFonts w:ascii="宋体" w:hAnsi="宋体"/>
                <w:color w:val="000000"/>
                <w:kern w:val="0"/>
                <w:szCs w:val="21"/>
              </w:rPr>
              <w:t>汽蚀余量</w:t>
            </w:r>
          </w:p>
        </w:tc>
        <w:tc>
          <w:tcPr>
            <w:tcW w:w="3109" w:type="dxa"/>
            <w:noWrap w:val="0"/>
            <w:vAlign w:val="center"/>
          </w:tcPr>
          <w:p>
            <w:pPr>
              <w:jc w:val="center"/>
              <w:rPr>
                <w:rFonts w:hint="eastAsia" w:ascii="宋体" w:hAnsi="宋体"/>
                <w:color w:val="000000"/>
                <w:kern w:val="0"/>
                <w:szCs w:val="21"/>
              </w:rPr>
            </w:pPr>
            <w:r>
              <w:rPr>
                <w:rFonts w:ascii="宋体" w:hAnsi="宋体"/>
                <w:color w:val="000000"/>
                <w:kern w:val="0"/>
                <w:szCs w:val="21"/>
              </w:rPr>
              <w:t>≤ 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32" w:type="dxa"/>
            <w:noWrap w:val="0"/>
            <w:vAlign w:val="center"/>
          </w:tcPr>
          <w:p>
            <w:pPr>
              <w:jc w:val="center"/>
              <w:rPr>
                <w:rFonts w:hint="eastAsia" w:ascii="宋体" w:hAnsi="宋体"/>
                <w:color w:val="000000"/>
                <w:kern w:val="0"/>
                <w:szCs w:val="21"/>
              </w:rPr>
            </w:pPr>
            <w:r>
              <w:rPr>
                <w:rFonts w:hint="eastAsia" w:ascii="宋体" w:hAnsi="宋体"/>
                <w:color w:val="000000"/>
                <w:kern w:val="0"/>
                <w:szCs w:val="21"/>
              </w:rPr>
              <w:t>7</w:t>
            </w:r>
          </w:p>
        </w:tc>
        <w:tc>
          <w:tcPr>
            <w:tcW w:w="3420" w:type="dxa"/>
            <w:noWrap w:val="0"/>
            <w:vAlign w:val="center"/>
          </w:tcPr>
          <w:p>
            <w:pPr>
              <w:jc w:val="center"/>
              <w:rPr>
                <w:rFonts w:ascii="宋体" w:hAnsi="宋体"/>
                <w:color w:val="000000"/>
                <w:kern w:val="0"/>
                <w:szCs w:val="21"/>
              </w:rPr>
            </w:pPr>
            <w:r>
              <w:rPr>
                <w:rFonts w:ascii="宋体" w:hAnsi="宋体"/>
                <w:color w:val="000000"/>
                <w:kern w:val="0"/>
                <w:szCs w:val="21"/>
              </w:rPr>
              <w:t>密封形式</w:t>
            </w:r>
          </w:p>
        </w:tc>
        <w:tc>
          <w:tcPr>
            <w:tcW w:w="3109" w:type="dxa"/>
            <w:noWrap w:val="0"/>
            <w:vAlign w:val="center"/>
          </w:tcPr>
          <w:p>
            <w:pPr>
              <w:jc w:val="center"/>
              <w:rPr>
                <w:rFonts w:ascii="宋体" w:hAnsi="宋体"/>
                <w:color w:val="000000"/>
                <w:kern w:val="0"/>
                <w:szCs w:val="21"/>
              </w:rPr>
            </w:pPr>
            <w:r>
              <w:rPr>
                <w:rFonts w:ascii="宋体" w:hAnsi="宋体"/>
                <w:color w:val="000000"/>
                <w:kern w:val="0"/>
                <w:szCs w:val="21"/>
              </w:rPr>
              <w:t>机械密封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32" w:type="dxa"/>
            <w:noWrap w:val="0"/>
            <w:vAlign w:val="center"/>
          </w:tcPr>
          <w:p>
            <w:pPr>
              <w:jc w:val="center"/>
              <w:rPr>
                <w:rFonts w:hint="eastAsia" w:ascii="宋体" w:hAnsi="宋体"/>
                <w:color w:val="000000"/>
                <w:kern w:val="0"/>
                <w:szCs w:val="21"/>
              </w:rPr>
            </w:pPr>
            <w:r>
              <w:rPr>
                <w:rFonts w:hint="eastAsia" w:ascii="宋体" w:hAnsi="宋体"/>
                <w:color w:val="000000"/>
                <w:kern w:val="0"/>
                <w:szCs w:val="21"/>
              </w:rPr>
              <w:t>8</w:t>
            </w:r>
          </w:p>
        </w:tc>
        <w:tc>
          <w:tcPr>
            <w:tcW w:w="3420" w:type="dxa"/>
            <w:noWrap w:val="0"/>
            <w:vAlign w:val="center"/>
          </w:tcPr>
          <w:p>
            <w:pPr>
              <w:jc w:val="center"/>
              <w:rPr>
                <w:rFonts w:ascii="宋体" w:hAnsi="宋体"/>
                <w:color w:val="000000"/>
                <w:kern w:val="0"/>
                <w:szCs w:val="21"/>
              </w:rPr>
            </w:pPr>
            <w:r>
              <w:rPr>
                <w:rFonts w:hint="eastAsia" w:ascii="宋体" w:hAnsi="宋体"/>
                <w:color w:val="000000"/>
                <w:kern w:val="0"/>
                <w:szCs w:val="21"/>
              </w:rPr>
              <w:t>★泵进口口径mm</w:t>
            </w:r>
          </w:p>
        </w:tc>
        <w:tc>
          <w:tcPr>
            <w:tcW w:w="3109" w:type="dxa"/>
            <w:noWrap w:val="0"/>
            <w:vAlign w:val="center"/>
          </w:tcPr>
          <w:p>
            <w:pPr>
              <w:jc w:val="center"/>
              <w:rPr>
                <w:rFonts w:ascii="宋体" w:hAnsi="宋体"/>
                <w:color w:val="000000"/>
                <w:kern w:val="0"/>
                <w:szCs w:val="21"/>
              </w:rPr>
            </w:pPr>
            <w:r>
              <w:rPr>
                <w:rFonts w:hint="eastAsia" w:ascii="宋体" w:hAnsi="宋体"/>
                <w:color w:val="000000"/>
                <w:kern w:val="0"/>
                <w:szCs w:val="21"/>
              </w:rPr>
              <w:t>8</w:t>
            </w:r>
            <w:r>
              <w:rPr>
                <w:rFonts w:ascii="宋体" w:hAnsi="宋体"/>
                <w:color w:val="000000"/>
                <w:kern w:val="0"/>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32" w:type="dxa"/>
            <w:noWrap w:val="0"/>
            <w:vAlign w:val="center"/>
          </w:tcPr>
          <w:p>
            <w:pPr>
              <w:jc w:val="center"/>
              <w:rPr>
                <w:rFonts w:hint="eastAsia" w:ascii="宋体" w:hAnsi="宋体"/>
                <w:color w:val="000000"/>
                <w:kern w:val="0"/>
                <w:szCs w:val="21"/>
              </w:rPr>
            </w:pPr>
            <w:r>
              <w:rPr>
                <w:rFonts w:hint="eastAsia" w:ascii="宋体" w:hAnsi="宋体"/>
                <w:color w:val="000000"/>
                <w:kern w:val="0"/>
                <w:szCs w:val="21"/>
              </w:rPr>
              <w:t>9</w:t>
            </w:r>
          </w:p>
        </w:tc>
        <w:tc>
          <w:tcPr>
            <w:tcW w:w="3420" w:type="dxa"/>
            <w:noWrap w:val="0"/>
            <w:vAlign w:val="center"/>
          </w:tcPr>
          <w:p>
            <w:pPr>
              <w:jc w:val="center"/>
              <w:rPr>
                <w:rFonts w:hint="eastAsia" w:ascii="宋体" w:hAnsi="宋体"/>
                <w:color w:val="000000"/>
                <w:kern w:val="0"/>
                <w:szCs w:val="21"/>
              </w:rPr>
            </w:pPr>
            <w:r>
              <w:rPr>
                <w:rFonts w:hint="eastAsia" w:ascii="宋体" w:hAnsi="宋体"/>
                <w:color w:val="000000"/>
                <w:kern w:val="0"/>
                <w:szCs w:val="21"/>
              </w:rPr>
              <w:t>★泵出口口径mm</w:t>
            </w:r>
          </w:p>
        </w:tc>
        <w:tc>
          <w:tcPr>
            <w:tcW w:w="3109" w:type="dxa"/>
            <w:noWrap w:val="0"/>
            <w:vAlign w:val="center"/>
          </w:tcPr>
          <w:p>
            <w:pPr>
              <w:jc w:val="center"/>
              <w:rPr>
                <w:rFonts w:hint="eastAsia" w:ascii="宋体" w:hAnsi="宋体"/>
                <w:color w:val="000000"/>
                <w:kern w:val="0"/>
                <w:szCs w:val="21"/>
              </w:rPr>
            </w:pPr>
            <w:r>
              <w:rPr>
                <w:rFonts w:hint="eastAsia" w:ascii="宋体" w:hAnsi="宋体"/>
                <w:color w:val="000000"/>
                <w:kern w:val="0"/>
                <w:szCs w:val="21"/>
              </w:rPr>
              <w:t>6</w:t>
            </w:r>
            <w:r>
              <w:rPr>
                <w:rFonts w:ascii="宋体" w:hAnsi="宋体"/>
                <w:color w:val="000000"/>
                <w:kern w:val="0"/>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32" w:type="dxa"/>
            <w:noWrap w:val="0"/>
            <w:vAlign w:val="center"/>
          </w:tcPr>
          <w:p>
            <w:pPr>
              <w:jc w:val="center"/>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0</w:t>
            </w:r>
          </w:p>
        </w:tc>
        <w:tc>
          <w:tcPr>
            <w:tcW w:w="3420" w:type="dxa"/>
            <w:noWrap w:val="0"/>
            <w:vAlign w:val="center"/>
          </w:tcPr>
          <w:p>
            <w:pPr>
              <w:jc w:val="center"/>
              <w:rPr>
                <w:rFonts w:ascii="宋体" w:hAnsi="宋体"/>
                <w:color w:val="000000"/>
                <w:kern w:val="0"/>
                <w:szCs w:val="21"/>
              </w:rPr>
            </w:pPr>
            <w:r>
              <w:rPr>
                <w:rFonts w:ascii="宋体" w:hAnsi="宋体"/>
                <w:color w:val="000000"/>
                <w:szCs w:val="21"/>
              </w:rPr>
              <w:t>工作制</w:t>
            </w:r>
          </w:p>
        </w:tc>
        <w:tc>
          <w:tcPr>
            <w:tcW w:w="3109" w:type="dxa"/>
            <w:noWrap w:val="0"/>
            <w:vAlign w:val="center"/>
          </w:tcPr>
          <w:p>
            <w:pPr>
              <w:jc w:val="center"/>
              <w:rPr>
                <w:rFonts w:hint="eastAsia" w:ascii="宋体" w:hAnsi="宋体"/>
                <w:color w:val="000000"/>
                <w:kern w:val="0"/>
                <w:szCs w:val="21"/>
              </w:rPr>
            </w:pPr>
            <w:r>
              <w:rPr>
                <w:rFonts w:hint="eastAsia" w:ascii="宋体" w:hAnsi="宋体"/>
                <w:color w:val="000000"/>
                <w:kern w:val="0"/>
                <w:szCs w:val="21"/>
              </w:rPr>
              <w:t>24h/d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32" w:type="dxa"/>
            <w:noWrap w:val="0"/>
            <w:vAlign w:val="center"/>
          </w:tcPr>
          <w:p>
            <w:pPr>
              <w:jc w:val="center"/>
              <w:rPr>
                <w:rFonts w:ascii="宋体" w:hAnsi="宋体"/>
                <w:color w:val="000000"/>
                <w:kern w:val="0"/>
                <w:szCs w:val="21"/>
              </w:rPr>
            </w:pPr>
          </w:p>
        </w:tc>
        <w:tc>
          <w:tcPr>
            <w:tcW w:w="6529" w:type="dxa"/>
            <w:gridSpan w:val="2"/>
            <w:noWrap w:val="0"/>
            <w:vAlign w:val="center"/>
          </w:tcPr>
          <w:p>
            <w:pPr>
              <w:jc w:val="center"/>
              <w:rPr>
                <w:rFonts w:ascii="宋体" w:hAnsi="宋体"/>
                <w:color w:val="000000"/>
                <w:kern w:val="0"/>
                <w:szCs w:val="21"/>
              </w:rPr>
            </w:pPr>
            <w:r>
              <w:rPr>
                <w:rFonts w:ascii="宋体" w:hAnsi="宋体"/>
                <w:color w:val="000000"/>
                <w:kern w:val="0"/>
                <w:szCs w:val="21"/>
              </w:rPr>
              <w:t>配套电机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32" w:type="dxa"/>
            <w:noWrap w:val="0"/>
            <w:vAlign w:val="center"/>
          </w:tcPr>
          <w:p>
            <w:pPr>
              <w:jc w:val="center"/>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1</w:t>
            </w:r>
          </w:p>
        </w:tc>
        <w:tc>
          <w:tcPr>
            <w:tcW w:w="3420" w:type="dxa"/>
            <w:noWrap w:val="0"/>
            <w:vAlign w:val="center"/>
          </w:tcPr>
          <w:p>
            <w:pPr>
              <w:jc w:val="center"/>
              <w:rPr>
                <w:rFonts w:ascii="宋体" w:hAnsi="宋体"/>
                <w:color w:val="000000"/>
                <w:kern w:val="0"/>
                <w:szCs w:val="21"/>
              </w:rPr>
            </w:pPr>
            <w:r>
              <w:rPr>
                <w:rFonts w:ascii="宋体" w:hAnsi="宋体"/>
                <w:color w:val="000000"/>
                <w:szCs w:val="21"/>
              </w:rPr>
              <w:t>额定功率</w:t>
            </w:r>
          </w:p>
        </w:tc>
        <w:tc>
          <w:tcPr>
            <w:tcW w:w="3109" w:type="dxa"/>
            <w:noWrap w:val="0"/>
            <w:vAlign w:val="center"/>
          </w:tcPr>
          <w:p>
            <w:pPr>
              <w:jc w:val="center"/>
              <w:rPr>
                <w:rFonts w:hint="eastAsia" w:ascii="宋体" w:hAnsi="宋体"/>
                <w:color w:val="000000"/>
                <w:kern w:val="0"/>
                <w:szCs w:val="21"/>
              </w:rPr>
            </w:pPr>
            <w:r>
              <w:rPr>
                <w:rFonts w:hint="eastAsia" w:ascii="宋体" w:hAnsi="宋体"/>
                <w:color w:val="000000"/>
                <w:szCs w:val="21"/>
              </w:rPr>
              <w:t>≦</w:t>
            </w:r>
            <w:r>
              <w:rPr>
                <w:rFonts w:ascii="宋体" w:hAnsi="宋体"/>
                <w:color w:val="000000"/>
                <w:szCs w:val="21"/>
              </w:rPr>
              <w:t>315</w:t>
            </w:r>
            <w:r>
              <w:rPr>
                <w:rFonts w:hint="eastAsia" w:ascii="宋体" w:hAnsi="宋体"/>
                <w:color w:val="000000"/>
                <w:kern w:val="0"/>
                <w:szCs w:val="21"/>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32" w:type="dxa"/>
            <w:noWrap w:val="0"/>
            <w:vAlign w:val="center"/>
          </w:tcPr>
          <w:p>
            <w:pPr>
              <w:jc w:val="center"/>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2</w:t>
            </w:r>
          </w:p>
        </w:tc>
        <w:tc>
          <w:tcPr>
            <w:tcW w:w="3420" w:type="dxa"/>
            <w:noWrap w:val="0"/>
            <w:vAlign w:val="center"/>
          </w:tcPr>
          <w:p>
            <w:pPr>
              <w:jc w:val="center"/>
              <w:rPr>
                <w:rFonts w:ascii="宋体" w:hAnsi="宋体"/>
                <w:color w:val="000000"/>
                <w:kern w:val="0"/>
                <w:szCs w:val="21"/>
              </w:rPr>
            </w:pPr>
            <w:r>
              <w:rPr>
                <w:rFonts w:ascii="宋体" w:hAnsi="宋体"/>
                <w:color w:val="000000"/>
                <w:szCs w:val="21"/>
              </w:rPr>
              <w:t>额定电压</w:t>
            </w:r>
          </w:p>
        </w:tc>
        <w:tc>
          <w:tcPr>
            <w:tcW w:w="3109" w:type="dxa"/>
            <w:noWrap w:val="0"/>
            <w:vAlign w:val="center"/>
          </w:tcPr>
          <w:p>
            <w:pPr>
              <w:jc w:val="center"/>
              <w:rPr>
                <w:rFonts w:hint="eastAsia" w:ascii="宋体" w:hAnsi="宋体"/>
                <w:color w:val="000000"/>
                <w:kern w:val="0"/>
                <w:szCs w:val="21"/>
              </w:rPr>
            </w:pPr>
            <w:r>
              <w:rPr>
                <w:rFonts w:ascii="宋体" w:hAnsi="宋体"/>
                <w:color w:val="000000"/>
                <w:kern w:val="0"/>
                <w:szCs w:val="21"/>
              </w:rPr>
              <w:t>10</w:t>
            </w:r>
            <w:r>
              <w:rPr>
                <w:rFonts w:hint="eastAsia" w:ascii="宋体" w:hAnsi="宋体"/>
                <w:color w:val="000000"/>
                <w:kern w:val="0"/>
                <w:szCs w:val="21"/>
              </w:rPr>
              <w:t>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32" w:type="dxa"/>
            <w:noWrap w:val="0"/>
            <w:vAlign w:val="center"/>
          </w:tcPr>
          <w:p>
            <w:pPr>
              <w:jc w:val="center"/>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3</w:t>
            </w:r>
          </w:p>
        </w:tc>
        <w:tc>
          <w:tcPr>
            <w:tcW w:w="3420" w:type="dxa"/>
            <w:noWrap w:val="0"/>
            <w:vAlign w:val="center"/>
          </w:tcPr>
          <w:p>
            <w:pPr>
              <w:jc w:val="center"/>
              <w:rPr>
                <w:rFonts w:ascii="宋体" w:hAnsi="宋体"/>
                <w:color w:val="000000"/>
                <w:kern w:val="0"/>
                <w:szCs w:val="21"/>
              </w:rPr>
            </w:pPr>
            <w:r>
              <w:rPr>
                <w:rFonts w:ascii="宋体" w:hAnsi="宋体"/>
                <w:color w:val="000000"/>
                <w:kern w:val="0"/>
                <w:szCs w:val="21"/>
              </w:rPr>
              <w:t>防护等级</w:t>
            </w:r>
          </w:p>
        </w:tc>
        <w:tc>
          <w:tcPr>
            <w:tcW w:w="3109" w:type="dxa"/>
            <w:noWrap w:val="0"/>
            <w:vAlign w:val="center"/>
          </w:tcPr>
          <w:p>
            <w:pPr>
              <w:jc w:val="center"/>
              <w:rPr>
                <w:rFonts w:hint="eastAsia" w:ascii="宋体" w:hAnsi="宋体"/>
                <w:color w:val="000000"/>
                <w:kern w:val="0"/>
                <w:szCs w:val="21"/>
              </w:rPr>
            </w:pPr>
            <w:r>
              <w:rPr>
                <w:rFonts w:hint="eastAsia" w:ascii="宋体" w:hAnsi="宋体"/>
                <w:color w:val="000000"/>
                <w:kern w:val="0"/>
                <w:szCs w:val="21"/>
              </w:rPr>
              <w:t>IP54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32" w:type="dxa"/>
            <w:noWrap w:val="0"/>
            <w:vAlign w:val="center"/>
          </w:tcPr>
          <w:p>
            <w:pPr>
              <w:jc w:val="center"/>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4</w:t>
            </w:r>
          </w:p>
        </w:tc>
        <w:tc>
          <w:tcPr>
            <w:tcW w:w="3420" w:type="dxa"/>
            <w:noWrap w:val="0"/>
            <w:vAlign w:val="center"/>
          </w:tcPr>
          <w:p>
            <w:pPr>
              <w:jc w:val="center"/>
              <w:rPr>
                <w:rFonts w:ascii="宋体" w:hAnsi="宋体"/>
                <w:color w:val="000000"/>
                <w:kern w:val="0"/>
                <w:szCs w:val="21"/>
              </w:rPr>
            </w:pPr>
            <w:r>
              <w:rPr>
                <w:rFonts w:ascii="宋体" w:hAnsi="宋体"/>
                <w:color w:val="000000"/>
                <w:kern w:val="0"/>
                <w:szCs w:val="21"/>
              </w:rPr>
              <w:t>绝缘等级</w:t>
            </w:r>
          </w:p>
        </w:tc>
        <w:tc>
          <w:tcPr>
            <w:tcW w:w="3109" w:type="dxa"/>
            <w:noWrap w:val="0"/>
            <w:vAlign w:val="center"/>
          </w:tcPr>
          <w:p>
            <w:pPr>
              <w:jc w:val="center"/>
              <w:rPr>
                <w:rFonts w:hint="eastAsia" w:ascii="宋体" w:hAnsi="宋体"/>
                <w:color w:val="000000"/>
                <w:kern w:val="0"/>
                <w:szCs w:val="21"/>
              </w:rPr>
            </w:pPr>
            <w:r>
              <w:rPr>
                <w:rFonts w:hint="eastAsia" w:ascii="宋体" w:hAnsi="宋体"/>
                <w:color w:val="000000"/>
                <w:kern w:val="0"/>
                <w:szCs w:val="21"/>
              </w:rPr>
              <w:t>F级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32" w:type="dxa"/>
            <w:noWrap w:val="0"/>
            <w:vAlign w:val="center"/>
          </w:tcPr>
          <w:p>
            <w:pPr>
              <w:jc w:val="center"/>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5</w:t>
            </w:r>
          </w:p>
        </w:tc>
        <w:tc>
          <w:tcPr>
            <w:tcW w:w="3420" w:type="dxa"/>
            <w:noWrap w:val="0"/>
            <w:vAlign w:val="center"/>
          </w:tcPr>
          <w:p>
            <w:pPr>
              <w:jc w:val="center"/>
              <w:rPr>
                <w:rFonts w:ascii="宋体" w:hAnsi="宋体"/>
                <w:color w:val="000000"/>
                <w:kern w:val="0"/>
                <w:szCs w:val="21"/>
              </w:rPr>
            </w:pPr>
            <w:r>
              <w:rPr>
                <w:rFonts w:ascii="宋体" w:hAnsi="宋体"/>
                <w:color w:val="000000"/>
                <w:kern w:val="0"/>
                <w:szCs w:val="21"/>
              </w:rPr>
              <w:t>电机效率</w:t>
            </w:r>
          </w:p>
        </w:tc>
        <w:tc>
          <w:tcPr>
            <w:tcW w:w="3109" w:type="dxa"/>
            <w:noWrap w:val="0"/>
            <w:vAlign w:val="center"/>
          </w:tcPr>
          <w:p>
            <w:pPr>
              <w:jc w:val="center"/>
              <w:rPr>
                <w:rFonts w:ascii="宋体" w:hAnsi="宋体"/>
                <w:color w:val="000000"/>
                <w:kern w:val="0"/>
                <w:szCs w:val="21"/>
              </w:rPr>
            </w:pPr>
            <w:r>
              <w:rPr>
                <w:rFonts w:ascii="宋体" w:hAnsi="宋体"/>
                <w:color w:val="000000"/>
                <w:szCs w:val="21"/>
              </w:rPr>
              <w:t>≥</w:t>
            </w:r>
            <w:r>
              <w:rPr>
                <w:rFonts w:ascii="宋体" w:hAnsi="宋体"/>
                <w:color w:val="000000"/>
                <w:kern w:val="0"/>
                <w:szCs w:val="21"/>
              </w:rPr>
              <w:t xml:space="preserve"> 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32" w:type="dxa"/>
            <w:noWrap w:val="0"/>
            <w:vAlign w:val="center"/>
          </w:tcPr>
          <w:p>
            <w:pPr>
              <w:jc w:val="center"/>
              <w:rPr>
                <w:rFonts w:hint="eastAsia" w:ascii="宋体" w:hAnsi="宋体"/>
                <w:color w:val="000000"/>
                <w:kern w:val="0"/>
                <w:szCs w:val="21"/>
              </w:rPr>
            </w:pPr>
            <w:r>
              <w:rPr>
                <w:rFonts w:hint="eastAsia" w:ascii="宋体" w:hAnsi="宋体"/>
                <w:color w:val="000000"/>
                <w:kern w:val="0"/>
                <w:szCs w:val="21"/>
              </w:rPr>
              <w:t>16</w:t>
            </w:r>
          </w:p>
        </w:tc>
        <w:tc>
          <w:tcPr>
            <w:tcW w:w="3420" w:type="dxa"/>
            <w:noWrap w:val="0"/>
            <w:vAlign w:val="center"/>
          </w:tcPr>
          <w:p>
            <w:pPr>
              <w:jc w:val="center"/>
              <w:rPr>
                <w:rFonts w:ascii="宋体" w:hAnsi="宋体"/>
                <w:color w:val="000000"/>
                <w:kern w:val="0"/>
                <w:szCs w:val="21"/>
              </w:rPr>
            </w:pPr>
            <w:r>
              <w:rPr>
                <w:rFonts w:ascii="宋体" w:hAnsi="宋体"/>
                <w:color w:val="000000"/>
                <w:kern w:val="0"/>
                <w:szCs w:val="21"/>
              </w:rPr>
              <w:t>组合频率</w:t>
            </w:r>
          </w:p>
        </w:tc>
        <w:tc>
          <w:tcPr>
            <w:tcW w:w="3109" w:type="dxa"/>
            <w:noWrap w:val="0"/>
            <w:vAlign w:val="center"/>
          </w:tcPr>
          <w:p>
            <w:pPr>
              <w:jc w:val="center"/>
              <w:rPr>
                <w:rFonts w:hint="eastAsia" w:ascii="宋体" w:hAnsi="宋体"/>
                <w:color w:val="000000"/>
                <w:kern w:val="0"/>
                <w:szCs w:val="21"/>
              </w:rPr>
            </w:pPr>
            <w:r>
              <w:rPr>
                <w:rFonts w:hint="eastAsia" w:ascii="宋体" w:hAnsi="宋体"/>
                <w:color w:val="000000"/>
                <w:kern w:val="0"/>
                <w:szCs w:val="21"/>
              </w:rPr>
              <w:t>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32" w:type="dxa"/>
            <w:noWrap w:val="0"/>
            <w:vAlign w:val="center"/>
          </w:tcPr>
          <w:p>
            <w:pPr>
              <w:jc w:val="center"/>
              <w:rPr>
                <w:rFonts w:hint="eastAsia" w:ascii="宋体" w:hAnsi="宋体"/>
                <w:color w:val="000000"/>
                <w:kern w:val="0"/>
                <w:szCs w:val="21"/>
              </w:rPr>
            </w:pPr>
            <w:r>
              <w:rPr>
                <w:rFonts w:hint="eastAsia" w:ascii="宋体" w:hAnsi="宋体"/>
                <w:color w:val="000000"/>
                <w:kern w:val="0"/>
                <w:szCs w:val="21"/>
              </w:rPr>
              <w:t>1</w:t>
            </w:r>
            <w:r>
              <w:rPr>
                <w:rFonts w:ascii="宋体" w:hAnsi="宋体"/>
                <w:color w:val="000000"/>
                <w:kern w:val="0"/>
                <w:szCs w:val="21"/>
              </w:rPr>
              <w:t>7</w:t>
            </w:r>
          </w:p>
        </w:tc>
        <w:tc>
          <w:tcPr>
            <w:tcW w:w="3420" w:type="dxa"/>
            <w:noWrap w:val="0"/>
            <w:vAlign w:val="center"/>
          </w:tcPr>
          <w:p>
            <w:pPr>
              <w:jc w:val="center"/>
              <w:rPr>
                <w:rFonts w:ascii="宋体" w:hAnsi="宋体"/>
                <w:color w:val="000000"/>
                <w:kern w:val="0"/>
                <w:szCs w:val="21"/>
              </w:rPr>
            </w:pPr>
            <w:r>
              <w:rPr>
                <w:rFonts w:hint="eastAsia" w:ascii="宋体" w:hAnsi="宋体"/>
                <w:color w:val="000000"/>
                <w:kern w:val="0"/>
                <w:szCs w:val="21"/>
              </w:rPr>
              <w:t>驱动方式</w:t>
            </w:r>
          </w:p>
        </w:tc>
        <w:tc>
          <w:tcPr>
            <w:tcW w:w="3109" w:type="dxa"/>
            <w:noWrap w:val="0"/>
            <w:vAlign w:val="center"/>
          </w:tcPr>
          <w:p>
            <w:pPr>
              <w:jc w:val="center"/>
              <w:rPr>
                <w:rFonts w:hint="eastAsia" w:ascii="宋体" w:hAnsi="宋体"/>
                <w:color w:val="000000"/>
                <w:kern w:val="0"/>
                <w:szCs w:val="21"/>
              </w:rPr>
            </w:pPr>
            <w:r>
              <w:rPr>
                <w:rFonts w:hint="eastAsia" w:ascii="宋体" w:hAnsi="宋体"/>
                <w:color w:val="000000"/>
                <w:kern w:val="0"/>
                <w:szCs w:val="21"/>
              </w:rPr>
              <w:t>工频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32" w:type="dxa"/>
            <w:noWrap w:val="0"/>
            <w:vAlign w:val="center"/>
          </w:tcPr>
          <w:p>
            <w:pPr>
              <w:jc w:val="center"/>
              <w:rPr>
                <w:rFonts w:hint="eastAsia" w:ascii="宋体" w:hAnsi="宋体"/>
                <w:color w:val="000000"/>
                <w:kern w:val="0"/>
                <w:szCs w:val="21"/>
              </w:rPr>
            </w:pPr>
            <w:r>
              <w:rPr>
                <w:rFonts w:hint="eastAsia" w:ascii="宋体" w:hAnsi="宋体"/>
                <w:color w:val="000000"/>
                <w:kern w:val="0"/>
                <w:szCs w:val="21"/>
              </w:rPr>
              <w:t>1</w:t>
            </w:r>
            <w:r>
              <w:rPr>
                <w:rFonts w:ascii="宋体" w:hAnsi="宋体"/>
                <w:color w:val="000000"/>
                <w:kern w:val="0"/>
                <w:szCs w:val="21"/>
              </w:rPr>
              <w:t>8</w:t>
            </w:r>
          </w:p>
        </w:tc>
        <w:tc>
          <w:tcPr>
            <w:tcW w:w="3420" w:type="dxa"/>
            <w:noWrap w:val="0"/>
            <w:vAlign w:val="center"/>
          </w:tcPr>
          <w:p>
            <w:pPr>
              <w:jc w:val="center"/>
              <w:rPr>
                <w:rFonts w:hint="eastAsia" w:ascii="宋体" w:hAnsi="宋体"/>
                <w:color w:val="auto"/>
                <w:kern w:val="0"/>
                <w:szCs w:val="21"/>
              </w:rPr>
            </w:pPr>
            <w:r>
              <w:rPr>
                <w:rFonts w:hint="eastAsia" w:ascii="宋体" w:hAnsi="宋体"/>
                <w:color w:val="auto"/>
                <w:kern w:val="0"/>
                <w:szCs w:val="21"/>
              </w:rPr>
              <w:t>电机冷却方式</w:t>
            </w:r>
          </w:p>
        </w:tc>
        <w:tc>
          <w:tcPr>
            <w:tcW w:w="3109" w:type="dxa"/>
            <w:noWrap w:val="0"/>
            <w:vAlign w:val="center"/>
          </w:tcPr>
          <w:p>
            <w:pPr>
              <w:jc w:val="center"/>
              <w:rPr>
                <w:rFonts w:hint="eastAsia" w:ascii="宋体" w:hAnsi="宋体"/>
                <w:color w:val="auto"/>
                <w:kern w:val="0"/>
                <w:szCs w:val="21"/>
              </w:rPr>
            </w:pPr>
            <w:r>
              <w:rPr>
                <w:rFonts w:hint="eastAsia" w:ascii="宋体" w:hAnsi="宋体"/>
                <w:color w:val="auto"/>
                <w:kern w:val="0"/>
                <w:szCs w:val="21"/>
              </w:rPr>
              <w:t>IC411</w:t>
            </w:r>
            <w:r>
              <w:rPr>
                <w:rFonts w:hint="eastAsia" w:ascii="宋体" w:hAnsi="宋体"/>
                <w:color w:val="auto"/>
                <w:kern w:val="0"/>
                <w:szCs w:val="21"/>
                <w:lang w:val="en-US" w:eastAsia="zh-CN"/>
              </w:rPr>
              <w:t>/</w:t>
            </w:r>
            <w:r>
              <w:rPr>
                <w:rFonts w:hint="eastAsia" w:ascii="宋体" w:hAnsi="宋体"/>
                <w:color w:val="auto"/>
                <w:kern w:val="0"/>
                <w:szCs w:val="21"/>
              </w:rPr>
              <w:t>IC611</w:t>
            </w:r>
            <w:r>
              <w:rPr>
                <w:rFonts w:hint="eastAsia" w:ascii="宋体" w:hAnsi="宋体"/>
                <w:color w:val="auto"/>
                <w:kern w:val="0"/>
                <w:szCs w:val="21"/>
                <w:lang w:val="en-US" w:eastAsia="zh-CN"/>
              </w:rPr>
              <w:t>/</w:t>
            </w:r>
            <w:r>
              <w:rPr>
                <w:rFonts w:hint="eastAsia" w:ascii="宋体" w:hAnsi="宋体"/>
                <w:color w:val="auto"/>
                <w:kern w:val="0"/>
                <w:szCs w:val="21"/>
              </w:rPr>
              <w:t>其他</w:t>
            </w:r>
          </w:p>
        </w:tc>
      </w:tr>
    </w:tbl>
    <w:p>
      <w:pPr>
        <w:pStyle w:val="5"/>
        <w:widowControl/>
        <w:numPr>
          <w:ilvl w:val="0"/>
          <w:numId w:val="12"/>
        </w:numPr>
        <w:tabs>
          <w:tab w:val="left" w:pos="425"/>
          <w:tab w:val="left" w:pos="479"/>
          <w:tab w:val="left" w:pos="851"/>
          <w:tab w:val="left" w:pos="1264"/>
        </w:tabs>
        <w:snapToGrid w:val="0"/>
        <w:spacing w:line="240" w:lineRule="auto"/>
        <w:textAlignment w:val="baseline"/>
        <w:rPr>
          <w:sz w:val="21"/>
          <w:szCs w:val="21"/>
        </w:rPr>
      </w:pPr>
      <w:r>
        <w:rPr>
          <w:rFonts w:hint="eastAsia"/>
          <w:sz w:val="21"/>
          <w:szCs w:val="21"/>
        </w:rPr>
        <w:t>水泵</w:t>
      </w:r>
      <w:r>
        <w:rPr>
          <w:sz w:val="21"/>
          <w:szCs w:val="21"/>
        </w:rPr>
        <w:t>及配套电机的结构</w:t>
      </w:r>
      <w:bookmarkEnd w:id="8"/>
      <w:bookmarkEnd w:id="9"/>
      <w:bookmarkEnd w:id="10"/>
      <w:bookmarkEnd w:id="11"/>
      <w:bookmarkEnd w:id="12"/>
      <w:bookmarkEnd w:id="13"/>
      <w:bookmarkStart w:id="44" w:name="_Toc291769100"/>
      <w:bookmarkStart w:id="104" w:name="_GoBack"/>
      <w:bookmarkEnd w:id="104"/>
    </w:p>
    <w:p>
      <w:pPr>
        <w:numPr>
          <w:ilvl w:val="0"/>
          <w:numId w:val="13"/>
        </w:numPr>
        <w:rPr>
          <w:rFonts w:ascii="宋体" w:hAnsi="宋体"/>
          <w:color w:val="000000"/>
          <w:szCs w:val="21"/>
        </w:rPr>
      </w:pPr>
      <w:r>
        <w:rPr>
          <w:rFonts w:ascii="宋体" w:hAnsi="宋体"/>
          <w:color w:val="000000"/>
          <w:szCs w:val="21"/>
        </w:rPr>
        <w:t>水泵结构</w:t>
      </w:r>
    </w:p>
    <w:p>
      <w:pPr>
        <w:rPr>
          <w:rFonts w:ascii="宋体" w:hAnsi="宋体"/>
          <w:b/>
          <w:color w:val="000000"/>
          <w:szCs w:val="21"/>
        </w:rPr>
      </w:pPr>
      <w:r>
        <w:rPr>
          <w:rFonts w:ascii="宋体" w:hAnsi="宋体"/>
          <w:b/>
          <w:color w:val="000000"/>
          <w:szCs w:val="21"/>
        </w:rPr>
        <w:t>A．泵壳</w:t>
      </w:r>
    </w:p>
    <w:p>
      <w:pPr>
        <w:ind w:firstLine="573"/>
        <w:rPr>
          <w:rFonts w:ascii="宋体" w:hAnsi="宋体"/>
          <w:color w:val="000000"/>
          <w:szCs w:val="21"/>
        </w:rPr>
      </w:pPr>
      <w:r>
        <w:rPr>
          <w:rFonts w:ascii="宋体" w:hAnsi="宋体"/>
          <w:color w:val="000000"/>
          <w:szCs w:val="21"/>
        </w:rPr>
        <w:t>泵壳的设计能满足强度、起吊、支承的要求。水泵泵壳水压试验按ISO2548和GB/T5658-85标准，压力为工作压力的1.5倍，保压时间为30分钟。水压试验时泵壳与泵盖不得出现渗水和漏水，不得出现任何损坏。</w:t>
      </w:r>
    </w:p>
    <w:p>
      <w:pPr>
        <w:ind w:firstLine="420" w:firstLineChars="200"/>
        <w:rPr>
          <w:rFonts w:ascii="宋体" w:hAnsi="宋体"/>
          <w:color w:val="000000"/>
          <w:szCs w:val="21"/>
        </w:rPr>
      </w:pPr>
      <w:r>
        <w:rPr>
          <w:rFonts w:ascii="宋体" w:hAnsi="宋体"/>
          <w:color w:val="000000"/>
          <w:szCs w:val="21"/>
        </w:rPr>
        <w:t>泵体为卧式单级双吸水平中开式结构；其吸入口和吐出口与壳体的下半部份一次浇铸，只要提起上半部份的壳体和轴承的托架以及退去联轴器上的连接螺栓后就可以拆卸全部的转动部件。壳体采用球墨铸造铁QT500-7树脂砂铸造。</w:t>
      </w:r>
    </w:p>
    <w:p>
      <w:pPr>
        <w:rPr>
          <w:rFonts w:ascii="宋体" w:hAnsi="宋体"/>
          <w:color w:val="000000"/>
          <w:szCs w:val="21"/>
        </w:rPr>
      </w:pPr>
      <w:r>
        <w:rPr>
          <w:rFonts w:ascii="宋体" w:hAnsi="宋体"/>
          <w:color w:val="000000"/>
          <w:szCs w:val="21"/>
        </w:rPr>
        <w:t xml:space="preserve">    泵体中开面经过精密加工使泵体、泵盖紧密地粘合在一起。水泵出厂前壳体进行水压试验，试验压力为150%的设计点压力，试验时间30分钟。</w:t>
      </w:r>
    </w:p>
    <w:p>
      <w:pPr>
        <w:rPr>
          <w:rFonts w:ascii="宋体" w:hAnsi="宋体"/>
          <w:color w:val="000000"/>
          <w:szCs w:val="21"/>
        </w:rPr>
      </w:pPr>
      <w:r>
        <w:rPr>
          <w:rFonts w:ascii="宋体" w:hAnsi="宋体"/>
          <w:color w:val="000000"/>
          <w:szCs w:val="21"/>
        </w:rPr>
        <w:t xml:space="preserve">    泵连接法兰尺寸及密封面型式符合</w:t>
      </w:r>
      <w:r>
        <w:rPr>
          <w:rFonts w:hint="eastAsia" w:ascii="宋体" w:hAnsi="宋体"/>
          <w:color w:val="000000"/>
          <w:szCs w:val="21"/>
        </w:rPr>
        <w:t>DIN-EN-1092 PN10平面</w:t>
      </w:r>
      <w:r>
        <w:rPr>
          <w:rFonts w:ascii="宋体" w:hAnsi="宋体"/>
          <w:color w:val="000000"/>
          <w:szCs w:val="21"/>
        </w:rPr>
        <w:t>的要求，法兰孔与垂直线对称分布。泵盖的前后两侧设置吊环方便泵的装卸。</w:t>
      </w:r>
    </w:p>
    <w:p>
      <w:pPr>
        <w:rPr>
          <w:rFonts w:ascii="宋体" w:hAnsi="宋体"/>
          <w:color w:val="000000"/>
          <w:szCs w:val="21"/>
        </w:rPr>
      </w:pPr>
      <w:r>
        <w:rPr>
          <w:rFonts w:ascii="宋体" w:hAnsi="宋体"/>
          <w:color w:val="000000"/>
          <w:szCs w:val="21"/>
        </w:rPr>
        <w:t xml:space="preserve">    泵的内外表面加工光滑，泵体铸件无焊补和其它方式的修补。</w:t>
      </w:r>
    </w:p>
    <w:p>
      <w:pPr>
        <w:rPr>
          <w:rFonts w:ascii="宋体" w:hAnsi="宋体"/>
          <w:color w:val="000000"/>
          <w:szCs w:val="21"/>
        </w:rPr>
      </w:pPr>
      <w:r>
        <w:rPr>
          <w:rFonts w:ascii="宋体" w:hAnsi="宋体"/>
          <w:color w:val="000000"/>
          <w:szCs w:val="21"/>
        </w:rPr>
        <w:t xml:space="preserve">    泵送介质接触的金属表面和泵的外部防腐处理符合饮用水卫生标准</w:t>
      </w:r>
      <w:r>
        <w:rPr>
          <w:rFonts w:hint="eastAsia" w:ascii="宋体" w:hAnsi="宋体"/>
          <w:color w:val="000000"/>
          <w:szCs w:val="21"/>
        </w:rPr>
        <w:t>。</w:t>
      </w:r>
    </w:p>
    <w:p>
      <w:pPr>
        <w:ind w:firstLine="430"/>
        <w:rPr>
          <w:rFonts w:ascii="宋体" w:hAnsi="宋体"/>
          <w:color w:val="000000"/>
          <w:szCs w:val="21"/>
        </w:rPr>
      </w:pPr>
      <w:r>
        <w:rPr>
          <w:rFonts w:ascii="宋体" w:hAnsi="宋体"/>
          <w:color w:val="000000"/>
          <w:szCs w:val="21"/>
        </w:rPr>
        <w:t>轴承座和蜗壳结构设计，使拆卸上泵壳以及轴承座时可将完整的旋转部件拆下而不影响管路连接，从而使保养和维修更简单和便捷。</w:t>
      </w:r>
    </w:p>
    <w:p>
      <w:pPr>
        <w:ind w:firstLine="430"/>
        <w:rPr>
          <w:rFonts w:hint="eastAsia" w:ascii="宋体" w:hAnsi="宋体"/>
          <w:color w:val="000000"/>
          <w:szCs w:val="21"/>
        </w:rPr>
      </w:pPr>
      <w:r>
        <w:rPr>
          <w:rFonts w:hint="eastAsia" w:ascii="宋体" w:hAnsi="宋体"/>
          <w:color w:val="000000"/>
          <w:szCs w:val="21"/>
        </w:rPr>
        <w:t>★上下壳体中开面连接配有定位销，并设置有密封槽和橡胶密封件以保证耐压试验以及运行时无泄露现象。投标文件需提供以往类似水泵采用此种工艺结构的图片复印件并加盖制造商公章。</w:t>
      </w:r>
    </w:p>
    <w:p>
      <w:pPr>
        <w:rPr>
          <w:rFonts w:ascii="宋体" w:hAnsi="宋体"/>
          <w:b/>
          <w:color w:val="000000"/>
          <w:szCs w:val="21"/>
        </w:rPr>
      </w:pPr>
      <w:r>
        <w:rPr>
          <w:rFonts w:ascii="宋体" w:hAnsi="宋体"/>
          <w:b/>
          <w:color w:val="000000"/>
          <w:szCs w:val="21"/>
        </w:rPr>
        <w:t>B．</w:t>
      </w:r>
      <w:r>
        <w:rPr>
          <w:rFonts w:hint="eastAsia" w:ascii="宋体" w:hAnsi="宋体" w:cs="宋体"/>
          <w:szCs w:val="21"/>
        </w:rPr>
        <w:t>★</w:t>
      </w:r>
      <w:r>
        <w:rPr>
          <w:rFonts w:ascii="宋体" w:hAnsi="宋体"/>
          <w:b/>
          <w:color w:val="000000"/>
          <w:szCs w:val="21"/>
        </w:rPr>
        <w:t>叶轮</w:t>
      </w:r>
    </w:p>
    <w:p>
      <w:pPr>
        <w:ind w:firstLine="573"/>
        <w:rPr>
          <w:rFonts w:hint="eastAsia" w:ascii="宋体" w:hAnsi="宋体"/>
          <w:color w:val="000000"/>
          <w:szCs w:val="21"/>
        </w:rPr>
      </w:pPr>
      <w:r>
        <w:rPr>
          <w:rFonts w:hint="eastAsia" w:ascii="宋体" w:hAnsi="宋体"/>
          <w:color w:val="000000"/>
          <w:szCs w:val="21"/>
        </w:rPr>
        <w:t>叶轮必须整体铸造。叶轮表面平整、光滑，不得有麻面、凹坑等质量缺陷。</w:t>
      </w:r>
      <w:r>
        <w:rPr>
          <w:rFonts w:ascii="宋体" w:hAnsi="宋体"/>
          <w:color w:val="000000"/>
          <w:szCs w:val="21"/>
        </w:rPr>
        <w:t>经动静平衡试验，精度高于G6.3级。</w:t>
      </w:r>
      <w:r>
        <w:rPr>
          <w:rFonts w:ascii="Arial" w:hAnsi="Arial" w:cs="Arial"/>
          <w:szCs w:val="21"/>
        </w:rPr>
        <w:t>叶轮应当是双吸口，封闭式，</w:t>
      </w:r>
      <w:r>
        <w:rPr>
          <w:rFonts w:ascii="Arial" w:hAnsi="Arial" w:cs="Arial"/>
          <w:color w:val="000000"/>
          <w:szCs w:val="21"/>
        </w:rPr>
        <w:t>相邻叶片交错式的先进结构</w:t>
      </w:r>
      <w:r>
        <w:rPr>
          <w:rFonts w:ascii="宋体" w:hAnsi="宋体"/>
          <w:color w:val="000000"/>
          <w:szCs w:val="21"/>
        </w:rPr>
        <w:t>，树脂砂整体浇注而成，表面进行加工挫光，</w:t>
      </w:r>
      <w:r>
        <w:rPr>
          <w:rFonts w:hint="eastAsia" w:ascii="宋体" w:hAnsi="宋体"/>
          <w:color w:val="000000"/>
          <w:szCs w:val="21"/>
        </w:rPr>
        <w:t>且经过动、静平衡试验，并提供试验报告书。叶轮材质选用</w:t>
      </w:r>
      <w:r>
        <w:rPr>
          <w:rFonts w:hint="eastAsia" w:ascii="Arial" w:hAnsi="Arial" w:cs="Arial"/>
          <w:szCs w:val="21"/>
        </w:rPr>
        <w:t>双相不锈钢1.4474（GX4CrNiMoN26-5-2）</w:t>
      </w:r>
      <w:r>
        <w:rPr>
          <w:rFonts w:ascii="Arial" w:hAnsi="Arial" w:cs="Arial"/>
          <w:szCs w:val="21"/>
        </w:rPr>
        <w:t>或更好的双相不锈钢</w:t>
      </w:r>
      <w:r>
        <w:rPr>
          <w:rFonts w:hint="eastAsia" w:ascii="宋体" w:hAnsi="宋体"/>
          <w:color w:val="000000"/>
          <w:szCs w:val="21"/>
        </w:rPr>
        <w:t>。</w:t>
      </w:r>
    </w:p>
    <w:p>
      <w:pPr>
        <w:rPr>
          <w:rFonts w:ascii="宋体" w:hAnsi="宋体"/>
          <w:b/>
          <w:color w:val="000000"/>
          <w:szCs w:val="21"/>
        </w:rPr>
      </w:pPr>
      <w:r>
        <w:rPr>
          <w:rFonts w:ascii="宋体" w:hAnsi="宋体"/>
          <w:b/>
          <w:color w:val="000000"/>
          <w:szCs w:val="21"/>
        </w:rPr>
        <w:t>C．密封环</w:t>
      </w:r>
    </w:p>
    <w:p>
      <w:pPr>
        <w:rPr>
          <w:rFonts w:ascii="宋体" w:hAnsi="宋体"/>
          <w:color w:val="000000"/>
          <w:szCs w:val="21"/>
        </w:rPr>
      </w:pPr>
      <w:r>
        <w:rPr>
          <w:rFonts w:ascii="宋体" w:hAnsi="宋体"/>
          <w:color w:val="000000"/>
          <w:szCs w:val="21"/>
        </w:rPr>
        <w:t xml:space="preserve">    水泵配有可替换</w:t>
      </w:r>
      <w:r>
        <w:rPr>
          <w:rFonts w:hint="eastAsia" w:ascii="宋体" w:hAnsi="宋体"/>
          <w:color w:val="000000"/>
          <w:szCs w:val="21"/>
        </w:rPr>
        <w:t>密封环</w:t>
      </w:r>
      <w:r>
        <w:rPr>
          <w:rFonts w:ascii="宋体" w:hAnsi="宋体"/>
          <w:color w:val="000000"/>
          <w:szCs w:val="21"/>
        </w:rPr>
        <w:t>，并带有销钉以便定位安装。</w:t>
      </w:r>
      <w:r>
        <w:rPr>
          <w:rFonts w:hint="eastAsia" w:ascii="宋体" w:hAnsi="宋体"/>
          <w:color w:val="000000"/>
          <w:szCs w:val="21"/>
        </w:rPr>
        <w:t>密封环</w:t>
      </w:r>
      <w:r>
        <w:rPr>
          <w:rFonts w:ascii="宋体" w:hAnsi="宋体"/>
          <w:color w:val="000000"/>
          <w:szCs w:val="21"/>
        </w:rPr>
        <w:t>的材料等级为</w:t>
      </w:r>
      <w:r>
        <w:rPr>
          <w:rFonts w:hint="eastAsia" w:ascii="Arial" w:hAnsi="Arial" w:cs="Arial"/>
          <w:szCs w:val="21"/>
        </w:rPr>
        <w:t>双相不锈钢1.4474（GX4CrNiMoN26-5-2）</w:t>
      </w:r>
      <w:r>
        <w:rPr>
          <w:rFonts w:ascii="Arial" w:hAnsi="Arial" w:cs="Arial"/>
          <w:szCs w:val="21"/>
        </w:rPr>
        <w:t>或更好的双相不锈钢</w:t>
      </w:r>
      <w:r>
        <w:rPr>
          <w:rFonts w:ascii="宋体" w:hAnsi="宋体"/>
          <w:color w:val="000000"/>
          <w:szCs w:val="21"/>
        </w:rPr>
        <w:t>。</w:t>
      </w:r>
    </w:p>
    <w:p>
      <w:pPr>
        <w:rPr>
          <w:rFonts w:ascii="宋体" w:hAnsi="宋体"/>
          <w:b/>
          <w:color w:val="000000"/>
          <w:szCs w:val="21"/>
        </w:rPr>
      </w:pPr>
      <w:r>
        <w:rPr>
          <w:rFonts w:ascii="宋体" w:hAnsi="宋体"/>
          <w:b/>
          <w:color w:val="000000"/>
          <w:szCs w:val="21"/>
        </w:rPr>
        <w:t>D．轴承</w:t>
      </w:r>
    </w:p>
    <w:p>
      <w:pPr>
        <w:ind w:firstLine="420" w:firstLineChars="200"/>
        <w:rPr>
          <w:rFonts w:ascii="宋体" w:hAnsi="宋体"/>
          <w:color w:val="000000"/>
          <w:szCs w:val="21"/>
        </w:rPr>
      </w:pPr>
      <w:r>
        <w:rPr>
          <w:rFonts w:ascii="宋体" w:hAnsi="宋体"/>
          <w:color w:val="000000"/>
          <w:szCs w:val="21"/>
        </w:rPr>
        <w:t>采用</w:t>
      </w:r>
      <w:r>
        <w:rPr>
          <w:rFonts w:hint="eastAsia" w:ascii="宋体" w:hAnsi="宋体"/>
          <w:color w:val="000000"/>
          <w:szCs w:val="21"/>
        </w:rPr>
        <w:t>FAG</w:t>
      </w:r>
      <w:r>
        <w:rPr>
          <w:rFonts w:ascii="宋体" w:hAnsi="宋体"/>
          <w:color w:val="000000"/>
          <w:szCs w:val="21"/>
        </w:rPr>
        <w:t>、NSK或SKF轴承，也可采用同等或以上国际知名品牌的轴承。轴承在正常条件下的使用寿命不少于10万小时。不论用何种型式的轴承，均用油脂润滑，保证轴承工作时的最高温度不超过90℃，轴承润滑剂对直供生活用水水质无污染。</w:t>
      </w:r>
    </w:p>
    <w:p>
      <w:pPr>
        <w:spacing w:before="93" w:beforeLines="30"/>
        <w:textAlignment w:val="baseline"/>
        <w:rPr>
          <w:rFonts w:ascii="宋体" w:hAnsi="宋体"/>
          <w:b/>
          <w:color w:val="000000"/>
          <w:szCs w:val="21"/>
        </w:rPr>
      </w:pPr>
      <w:r>
        <w:rPr>
          <w:rFonts w:ascii="宋体" w:hAnsi="宋体"/>
          <w:b/>
          <w:color w:val="000000"/>
          <w:szCs w:val="21"/>
        </w:rPr>
        <w:t>E．联轴器及轴封</w:t>
      </w:r>
    </w:p>
    <w:p>
      <w:pPr>
        <w:spacing w:before="93" w:beforeLines="30"/>
        <w:textAlignment w:val="baseline"/>
        <w:rPr>
          <w:rFonts w:ascii="宋体" w:hAnsi="宋体"/>
          <w:color w:val="000000"/>
          <w:szCs w:val="21"/>
        </w:rPr>
      </w:pPr>
      <w:r>
        <w:rPr>
          <w:rFonts w:ascii="宋体" w:hAnsi="宋体"/>
          <w:color w:val="000000"/>
          <w:szCs w:val="21"/>
        </w:rPr>
        <w:t xml:space="preserve">    轴封及轴封管路</w:t>
      </w:r>
    </w:p>
    <w:p>
      <w:pPr>
        <w:pStyle w:val="24"/>
        <w:spacing w:before="93" w:beforeLines="30"/>
        <w:ind w:firstLine="420" w:firstLineChars="200"/>
        <w:textAlignment w:val="baseline"/>
        <w:rPr>
          <w:rFonts w:ascii="宋体" w:hAnsi="宋体"/>
          <w:color w:val="000000"/>
        </w:rPr>
      </w:pPr>
      <w:r>
        <w:rPr>
          <w:rFonts w:ascii="宋体" w:hAnsi="宋体"/>
          <w:color w:val="000000"/>
        </w:rPr>
        <w:t>泵轴密封采用博格曼</w:t>
      </w:r>
      <w:r>
        <w:rPr>
          <w:rFonts w:hint="eastAsia" w:ascii="宋体" w:hAnsi="宋体"/>
          <w:color w:val="000000"/>
        </w:rPr>
        <w:t>或同等</w:t>
      </w:r>
      <w:r>
        <w:rPr>
          <w:rFonts w:ascii="宋体" w:hAnsi="宋体"/>
          <w:color w:val="000000"/>
        </w:rPr>
        <w:t>机械密封，使用寿命大于25000小时，机械密封的润滑剂对直供生活用水无污染。</w:t>
      </w:r>
    </w:p>
    <w:p>
      <w:pPr>
        <w:pStyle w:val="24"/>
        <w:spacing w:before="93" w:beforeLines="30"/>
        <w:ind w:firstLine="420" w:firstLineChars="200"/>
        <w:textAlignment w:val="baseline"/>
        <w:rPr>
          <w:rFonts w:hint="eastAsia" w:ascii="宋体" w:hAnsi="宋体"/>
          <w:color w:val="000000"/>
        </w:rPr>
      </w:pPr>
      <w:r>
        <w:rPr>
          <w:rFonts w:hint="eastAsia" w:ascii="宋体" w:hAnsi="宋体"/>
          <w:color w:val="000000"/>
        </w:rPr>
        <w:t>★采用机械密封时，为减少轴套等易损件的数量和由此引起的水泵的维护量，机械密封应直接安装于泵轴上，但应有保证泵轴不受磨损的措施。</w:t>
      </w:r>
    </w:p>
    <w:p>
      <w:pPr>
        <w:spacing w:before="93" w:beforeLines="30"/>
        <w:textAlignment w:val="baseline"/>
        <w:rPr>
          <w:rFonts w:ascii="宋体" w:hAnsi="宋体"/>
          <w:color w:val="000000"/>
          <w:szCs w:val="21"/>
        </w:rPr>
      </w:pPr>
      <w:r>
        <w:rPr>
          <w:rFonts w:ascii="宋体" w:hAnsi="宋体"/>
          <w:color w:val="000000"/>
          <w:szCs w:val="21"/>
        </w:rPr>
        <w:t xml:space="preserve">    联轴器</w:t>
      </w:r>
    </w:p>
    <w:p>
      <w:pPr>
        <w:spacing w:before="93" w:beforeLines="30"/>
        <w:textAlignment w:val="baseline"/>
        <w:rPr>
          <w:rFonts w:ascii="宋体" w:hAnsi="宋体"/>
          <w:color w:val="000000"/>
          <w:szCs w:val="21"/>
        </w:rPr>
      </w:pPr>
      <w:r>
        <w:rPr>
          <w:rFonts w:ascii="宋体" w:hAnsi="宋体"/>
          <w:color w:val="000000"/>
          <w:szCs w:val="21"/>
        </w:rPr>
        <w:t xml:space="preserve">    水泵与电机的联轴器采用挠性联轴器</w:t>
      </w:r>
      <w:r>
        <w:rPr>
          <w:rFonts w:hint="eastAsia" w:ascii="宋体" w:hAnsi="宋体"/>
          <w:color w:val="000000"/>
          <w:szCs w:val="21"/>
        </w:rPr>
        <w:t>（金属膜片联轴器）</w:t>
      </w:r>
      <w:r>
        <w:rPr>
          <w:rFonts w:ascii="宋体" w:hAnsi="宋体"/>
          <w:color w:val="000000"/>
          <w:szCs w:val="21"/>
        </w:rPr>
        <w:t>，在所有载荷条件下，泵和电机的联轴器均满足电机最大扭矩的要求。</w:t>
      </w:r>
    </w:p>
    <w:p>
      <w:pPr>
        <w:spacing w:before="93" w:beforeLines="30"/>
        <w:textAlignment w:val="baseline"/>
        <w:rPr>
          <w:rFonts w:ascii="宋体" w:hAnsi="宋体"/>
          <w:b/>
          <w:color w:val="000000"/>
          <w:szCs w:val="21"/>
        </w:rPr>
      </w:pPr>
      <w:r>
        <w:rPr>
          <w:rFonts w:ascii="宋体" w:hAnsi="宋体"/>
          <w:b/>
          <w:color w:val="000000"/>
          <w:szCs w:val="21"/>
        </w:rPr>
        <w:t>F．底座</w:t>
      </w:r>
    </w:p>
    <w:p>
      <w:pPr>
        <w:spacing w:before="93" w:beforeLines="30"/>
        <w:ind w:firstLine="420" w:firstLineChars="200"/>
        <w:textAlignment w:val="baseline"/>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送水泵采用水泵和电机分体底座。水泵、电机底座要有足够的强度，保证底座在水泵的使用寿命内不会出现质量问题。底座上配置安装时调节机组位置用的装置，底座上安装螺栓孔的尺寸要包括安装调节尺寸。泵底座的最低刚度满足ANSI/HI 1.3.4-1997 卧式泵底座设计标准。</w:t>
      </w:r>
    </w:p>
    <w:p>
      <w:pPr>
        <w:spacing w:before="93" w:beforeLines="30"/>
        <w:textAlignment w:val="baseline"/>
        <w:rPr>
          <w:rFonts w:ascii="宋体" w:hAnsi="宋体"/>
          <w:b/>
          <w:color w:val="000000"/>
          <w:szCs w:val="21"/>
        </w:rPr>
      </w:pPr>
      <w:r>
        <w:rPr>
          <w:rFonts w:ascii="宋体" w:hAnsi="宋体"/>
          <w:b/>
          <w:color w:val="000000"/>
          <w:szCs w:val="21"/>
        </w:rPr>
        <w:t>G．水泵进出水口</w:t>
      </w:r>
    </w:p>
    <w:p>
      <w:pPr>
        <w:spacing w:before="93" w:beforeLines="30"/>
        <w:ind w:firstLine="420" w:firstLineChars="200"/>
        <w:textAlignment w:val="baseline"/>
        <w:rPr>
          <w:rFonts w:ascii="宋体" w:hAnsi="宋体"/>
          <w:color w:val="000000"/>
          <w:szCs w:val="21"/>
        </w:rPr>
      </w:pPr>
      <w:r>
        <w:rPr>
          <w:rFonts w:ascii="宋体" w:hAnsi="宋体"/>
          <w:color w:val="000000"/>
          <w:szCs w:val="21"/>
        </w:rPr>
        <w:t>泵进、出口均在泵轴线以下，与轴线垂直呈水平方向。驱动端可根据需要设置在泵的左侧或右侧，两端采用油脂润滑的封闭滚动球形轴承，密封为机械密封，轴封管路接自泵自身压力水进行冲洗、润滑。泵顶部装有排气阀，底部有排水螺塞，泵进出水管上制有螺孔及旋塞，供配装进口压力真空表及出口压力表</w:t>
      </w:r>
      <w:r>
        <w:rPr>
          <w:rFonts w:hint="eastAsia" w:ascii="宋体" w:hAnsi="宋体"/>
          <w:color w:val="000000"/>
          <w:szCs w:val="21"/>
        </w:rPr>
        <w:t>（真空表及压力表配套DN15的闸门）</w:t>
      </w:r>
      <w:r>
        <w:rPr>
          <w:rFonts w:ascii="宋体" w:hAnsi="宋体"/>
          <w:color w:val="000000"/>
          <w:szCs w:val="21"/>
        </w:rPr>
        <w:t>。泵与电机通过联轴器进行联接，采用弹性联轴器，水泵、电机通过地脚螺栓安装在混凝土基础上。</w:t>
      </w:r>
    </w:p>
    <w:p>
      <w:pPr>
        <w:spacing w:before="93" w:beforeLines="30"/>
        <w:textAlignment w:val="baseline"/>
        <w:rPr>
          <w:rFonts w:ascii="宋体" w:hAnsi="宋体"/>
          <w:b/>
          <w:color w:val="000000"/>
          <w:szCs w:val="21"/>
        </w:rPr>
      </w:pPr>
      <w:r>
        <w:rPr>
          <w:rFonts w:ascii="宋体" w:hAnsi="宋体"/>
          <w:b/>
          <w:color w:val="000000"/>
          <w:szCs w:val="21"/>
        </w:rPr>
        <w:t>H．振动</w:t>
      </w:r>
    </w:p>
    <w:p>
      <w:pPr>
        <w:spacing w:before="93" w:beforeLines="30"/>
        <w:ind w:firstLine="420" w:firstLineChars="200"/>
        <w:textAlignment w:val="baseline"/>
        <w:rPr>
          <w:rFonts w:ascii="宋体" w:hAnsi="宋体"/>
          <w:color w:val="000000"/>
          <w:szCs w:val="21"/>
        </w:rPr>
      </w:pPr>
      <w:r>
        <w:rPr>
          <w:rFonts w:ascii="宋体" w:hAnsi="宋体"/>
          <w:color w:val="000000"/>
          <w:szCs w:val="21"/>
        </w:rPr>
        <w:t>每台水泵出厂前要进行振动测量，满负荷工作时，振动烈度≤7.1mm/s。</w:t>
      </w:r>
    </w:p>
    <w:p>
      <w:pPr>
        <w:numPr>
          <w:ilvl w:val="0"/>
          <w:numId w:val="13"/>
        </w:numPr>
        <w:rPr>
          <w:rFonts w:ascii="宋体" w:hAnsi="宋体"/>
          <w:color w:val="000000"/>
          <w:szCs w:val="21"/>
        </w:rPr>
      </w:pPr>
      <w:r>
        <w:rPr>
          <w:rFonts w:ascii="宋体" w:hAnsi="宋体"/>
          <w:color w:val="000000"/>
          <w:szCs w:val="21"/>
        </w:rPr>
        <w:t>配套电机结构</w:t>
      </w:r>
    </w:p>
    <w:p>
      <w:pPr>
        <w:spacing w:before="93" w:beforeLines="30"/>
        <w:textAlignment w:val="baseline"/>
        <w:rPr>
          <w:rFonts w:ascii="宋体" w:hAnsi="宋体"/>
          <w:b/>
          <w:color w:val="000000"/>
          <w:szCs w:val="21"/>
        </w:rPr>
      </w:pPr>
      <w:r>
        <w:rPr>
          <w:rFonts w:ascii="宋体" w:hAnsi="宋体"/>
          <w:b/>
          <w:color w:val="000000"/>
          <w:szCs w:val="21"/>
        </w:rPr>
        <w:t>A．电机结构</w:t>
      </w:r>
    </w:p>
    <w:p>
      <w:pPr>
        <w:spacing w:before="93" w:beforeLines="30"/>
        <w:ind w:firstLine="420" w:firstLineChars="200"/>
        <w:textAlignment w:val="baseline"/>
        <w:rPr>
          <w:rFonts w:ascii="宋体" w:hAnsi="宋体"/>
          <w:color w:val="000000"/>
          <w:szCs w:val="21"/>
        </w:rPr>
      </w:pPr>
      <w:r>
        <w:rPr>
          <w:rFonts w:ascii="宋体" w:hAnsi="宋体"/>
          <w:color w:val="000000"/>
          <w:szCs w:val="21"/>
        </w:rPr>
        <w:t>电机应选用</w:t>
      </w:r>
      <w:r>
        <w:rPr>
          <w:rFonts w:hint="eastAsia" w:ascii="宋体" w:hAnsi="宋体"/>
          <w:color w:val="000000"/>
          <w:szCs w:val="21"/>
        </w:rPr>
        <w:t>国际知名品牌</w:t>
      </w:r>
      <w:r>
        <w:rPr>
          <w:rFonts w:ascii="宋体" w:hAnsi="宋体"/>
          <w:color w:val="000000"/>
          <w:szCs w:val="21"/>
        </w:rPr>
        <w:t>，电机上应有对应品牌LOGO</w:t>
      </w:r>
      <w:r>
        <w:rPr>
          <w:rFonts w:hint="eastAsia" w:ascii="宋体" w:hAnsi="宋体"/>
          <w:color w:val="000000"/>
          <w:szCs w:val="21"/>
        </w:rPr>
        <w:t>；</w:t>
      </w:r>
      <w:r>
        <w:rPr>
          <w:rFonts w:ascii="宋体" w:hAnsi="宋体"/>
          <w:color w:val="000000"/>
          <w:szCs w:val="21"/>
        </w:rPr>
        <w:t>投标时应明确电机生产厂名称及地址。</w:t>
      </w:r>
    </w:p>
    <w:p>
      <w:pPr>
        <w:spacing w:before="93" w:beforeLines="30"/>
        <w:ind w:firstLine="420" w:firstLineChars="200"/>
        <w:textAlignment w:val="baseline"/>
        <w:rPr>
          <w:rFonts w:ascii="宋体" w:hAnsi="宋体"/>
          <w:color w:val="000000"/>
          <w:szCs w:val="21"/>
        </w:rPr>
      </w:pPr>
      <w:r>
        <w:rPr>
          <w:rFonts w:ascii="宋体" w:hAnsi="宋体"/>
          <w:color w:val="000000"/>
          <w:szCs w:val="21"/>
        </w:rPr>
        <w:t>定子：定子铁心采用高导磁率低损耗优质冷轧电工硅钢板。绕组采用厚漆层导线，导线之间的空隙填充良好，绕组和绝缘具有良好的电气、机械、热稳定和防潮性能。在电机定子绕组中预埋热敏元件，热敏元件和电机过载保护接至综合保护器和变频器（或软启柜），当线圈温度超过设定值或过流时能发出故障报警并停机。</w:t>
      </w:r>
    </w:p>
    <w:p>
      <w:pPr>
        <w:spacing w:before="93" w:beforeLines="30"/>
        <w:ind w:firstLine="420" w:firstLineChars="200"/>
        <w:textAlignment w:val="baseline"/>
        <w:rPr>
          <w:rFonts w:ascii="宋体" w:hAnsi="宋体"/>
          <w:color w:val="000000"/>
          <w:szCs w:val="21"/>
        </w:rPr>
      </w:pPr>
      <w:r>
        <w:rPr>
          <w:rFonts w:ascii="宋体" w:hAnsi="宋体"/>
          <w:color w:val="000000"/>
          <w:szCs w:val="21"/>
        </w:rPr>
        <w:t>风扇、风罩：风扇经静平衡校验，与轴采用键联接，运行平稳，噪音小。风罩为钢结构，通风散热效果好。</w:t>
      </w:r>
    </w:p>
    <w:p>
      <w:pPr>
        <w:spacing w:before="93" w:beforeLines="30"/>
        <w:textAlignment w:val="baseline"/>
        <w:rPr>
          <w:rFonts w:ascii="宋体" w:hAnsi="宋体"/>
          <w:b/>
          <w:color w:val="000000"/>
          <w:szCs w:val="21"/>
        </w:rPr>
      </w:pPr>
      <w:r>
        <w:rPr>
          <w:rFonts w:ascii="宋体" w:hAnsi="宋体"/>
          <w:b/>
          <w:color w:val="000000"/>
          <w:szCs w:val="21"/>
        </w:rPr>
        <w:t>B．转子</w:t>
      </w:r>
    </w:p>
    <w:p>
      <w:pPr>
        <w:spacing w:before="93" w:beforeLines="30"/>
        <w:ind w:firstLine="420" w:firstLineChars="200"/>
        <w:textAlignment w:val="baseline"/>
        <w:rPr>
          <w:rFonts w:ascii="宋体" w:hAnsi="宋体"/>
          <w:color w:val="000000"/>
          <w:szCs w:val="21"/>
        </w:rPr>
      </w:pPr>
      <w:r>
        <w:rPr>
          <w:rFonts w:ascii="宋体" w:hAnsi="宋体"/>
          <w:color w:val="000000"/>
          <w:szCs w:val="21"/>
        </w:rPr>
        <w:t>转子：采用热套工艺将铜条转子固定在轴上，转子经动平衡校验，电动机震动小、运行平稳。</w:t>
      </w:r>
    </w:p>
    <w:p>
      <w:pPr>
        <w:spacing w:before="93" w:beforeLines="30"/>
        <w:textAlignment w:val="baseline"/>
        <w:rPr>
          <w:rFonts w:ascii="宋体" w:hAnsi="宋体"/>
          <w:b/>
          <w:color w:val="000000"/>
          <w:szCs w:val="21"/>
        </w:rPr>
      </w:pPr>
      <w:r>
        <w:rPr>
          <w:rFonts w:ascii="宋体" w:hAnsi="宋体"/>
          <w:b/>
          <w:color w:val="000000"/>
          <w:szCs w:val="21"/>
        </w:rPr>
        <w:t>C．轴承</w:t>
      </w:r>
    </w:p>
    <w:p>
      <w:pPr>
        <w:spacing w:before="93" w:beforeLines="30"/>
        <w:ind w:firstLine="420" w:firstLineChars="200"/>
        <w:textAlignment w:val="baseline"/>
        <w:rPr>
          <w:rFonts w:ascii="宋体" w:hAnsi="宋体"/>
          <w:color w:val="000000"/>
          <w:szCs w:val="21"/>
        </w:rPr>
      </w:pPr>
      <w:r>
        <w:rPr>
          <w:rFonts w:ascii="宋体" w:hAnsi="宋体"/>
          <w:color w:val="000000"/>
          <w:szCs w:val="21"/>
        </w:rPr>
        <w:t>采用</w:t>
      </w:r>
      <w:r>
        <w:rPr>
          <w:rFonts w:hint="eastAsia" w:ascii="宋体" w:hAnsi="宋体"/>
          <w:color w:val="000000"/>
          <w:szCs w:val="21"/>
        </w:rPr>
        <w:t>FAG</w:t>
      </w:r>
      <w:r>
        <w:rPr>
          <w:rFonts w:ascii="宋体" w:hAnsi="宋体"/>
          <w:color w:val="000000"/>
          <w:szCs w:val="21"/>
        </w:rPr>
        <w:t xml:space="preserve">、NSK或SKF轴承，也可采用同等或以上国际知名品牌的轴承。轴承在正常条件下的使用寿命不少于8万小时。 </w:t>
      </w:r>
    </w:p>
    <w:p>
      <w:pPr>
        <w:spacing w:before="93" w:beforeLines="30"/>
        <w:textAlignment w:val="baseline"/>
        <w:rPr>
          <w:rFonts w:ascii="宋体" w:hAnsi="宋体"/>
          <w:b/>
          <w:color w:val="000000"/>
          <w:szCs w:val="21"/>
        </w:rPr>
      </w:pPr>
      <w:r>
        <w:rPr>
          <w:rFonts w:ascii="宋体" w:hAnsi="宋体"/>
          <w:b/>
          <w:color w:val="000000"/>
          <w:szCs w:val="21"/>
        </w:rPr>
        <w:t>D．定子</w:t>
      </w:r>
    </w:p>
    <w:p>
      <w:pPr>
        <w:spacing w:before="93" w:beforeLines="30"/>
        <w:ind w:firstLine="420" w:firstLineChars="200"/>
        <w:textAlignment w:val="baseline"/>
        <w:rPr>
          <w:rFonts w:ascii="宋体" w:hAnsi="宋体"/>
          <w:color w:val="000000"/>
          <w:szCs w:val="21"/>
        </w:rPr>
      </w:pPr>
      <w:r>
        <w:rPr>
          <w:rFonts w:ascii="宋体" w:hAnsi="宋体"/>
          <w:color w:val="000000"/>
          <w:szCs w:val="21"/>
        </w:rPr>
        <w:t>定子绕组要求是真空压力浸渍线圈，定子槽中采用可以降低损耗和噪音的填空材料。</w:t>
      </w:r>
    </w:p>
    <w:p>
      <w:pPr>
        <w:spacing w:before="93" w:beforeLines="30"/>
        <w:textAlignment w:val="baseline"/>
        <w:rPr>
          <w:rFonts w:ascii="宋体" w:hAnsi="宋体"/>
          <w:b/>
          <w:color w:val="000000"/>
          <w:szCs w:val="21"/>
        </w:rPr>
      </w:pPr>
      <w:r>
        <w:rPr>
          <w:rFonts w:ascii="宋体" w:hAnsi="宋体"/>
          <w:b/>
          <w:color w:val="000000"/>
          <w:szCs w:val="21"/>
        </w:rPr>
        <w:t>E．接线盒</w:t>
      </w:r>
    </w:p>
    <w:p>
      <w:pPr>
        <w:spacing w:before="93" w:beforeLines="30"/>
        <w:ind w:firstLine="420" w:firstLineChars="200"/>
        <w:textAlignment w:val="baseline"/>
        <w:rPr>
          <w:rFonts w:ascii="宋体" w:hAnsi="宋体"/>
          <w:color w:val="000000"/>
          <w:szCs w:val="21"/>
        </w:rPr>
      </w:pPr>
      <w:r>
        <w:rPr>
          <w:rFonts w:ascii="宋体" w:hAnsi="宋体"/>
          <w:color w:val="000000"/>
          <w:szCs w:val="21"/>
        </w:rPr>
        <w:t>接线盒和电缆联接器均要求有压力释放装置，提供短路防护；采用环氧浇铸的绝缘子和大螺栓，接线盒尺寸宽大，能满足电缆的快速可靠的联接要求。</w:t>
      </w:r>
    </w:p>
    <w:p>
      <w:pPr>
        <w:numPr>
          <w:ilvl w:val="0"/>
          <w:numId w:val="13"/>
        </w:numPr>
        <w:rPr>
          <w:rFonts w:ascii="宋体" w:hAnsi="宋体"/>
          <w:color w:val="000000"/>
          <w:szCs w:val="21"/>
        </w:rPr>
      </w:pPr>
      <w:r>
        <w:rPr>
          <w:rFonts w:ascii="宋体" w:hAnsi="宋体"/>
          <w:color w:val="000000"/>
          <w:szCs w:val="21"/>
        </w:rPr>
        <w:t>测温装置(包括二次仪表)</w:t>
      </w:r>
    </w:p>
    <w:p>
      <w:pPr>
        <w:ind w:firstLine="420" w:firstLineChars="200"/>
        <w:rPr>
          <w:rFonts w:ascii="宋体" w:hAnsi="宋体"/>
          <w:color w:val="000000"/>
          <w:szCs w:val="21"/>
        </w:rPr>
      </w:pPr>
      <w:r>
        <w:rPr>
          <w:rFonts w:ascii="宋体" w:hAnsi="宋体"/>
          <w:color w:val="000000"/>
          <w:szCs w:val="21"/>
        </w:rPr>
        <w:t>电机必须配加热器，电机轴承、定子绕组的测温元件一用一备；测温装置具有现场显示温度和报警功能。同时所有测温元件配备相应的信号变送器，送出数字信号或DC4～20mA信号，将信号传至PLC站。</w:t>
      </w:r>
      <w:r>
        <w:rPr>
          <w:rFonts w:hint="eastAsia" w:ascii="宋体" w:hAnsi="宋体"/>
          <w:color w:val="000000"/>
          <w:szCs w:val="21"/>
        </w:rPr>
        <w:t>温度变送器采用国际知名品牌产品。</w:t>
      </w:r>
    </w:p>
    <w:p>
      <w:pPr>
        <w:numPr>
          <w:ilvl w:val="0"/>
          <w:numId w:val="13"/>
        </w:numPr>
        <w:rPr>
          <w:rFonts w:ascii="宋体" w:hAnsi="宋体"/>
          <w:color w:val="000000"/>
          <w:szCs w:val="21"/>
        </w:rPr>
      </w:pPr>
      <w:r>
        <w:rPr>
          <w:rFonts w:ascii="宋体" w:hAnsi="宋体"/>
          <w:color w:val="000000"/>
          <w:szCs w:val="21"/>
        </w:rPr>
        <w:t>涂层</w:t>
      </w:r>
    </w:p>
    <w:p>
      <w:pPr>
        <w:spacing w:before="93" w:beforeLines="30"/>
        <w:ind w:firstLine="420" w:firstLineChars="200"/>
        <w:textAlignment w:val="baseline"/>
        <w:rPr>
          <w:rFonts w:ascii="宋体" w:hAnsi="宋体"/>
          <w:color w:val="000000"/>
          <w:szCs w:val="21"/>
        </w:rPr>
      </w:pPr>
      <w:r>
        <w:rPr>
          <w:rFonts w:ascii="宋体" w:hAnsi="宋体"/>
          <w:color w:val="000000"/>
          <w:szCs w:val="21"/>
        </w:rPr>
        <w:t>水泵表面按SIS055900 Sa2.5进行喷砂、抛丸处理。油漆按国际标准，底漆：富锌环氧树脂底漆，厚0.04mm。面漆：丙稀酸磁漆，厚0.06mm。</w:t>
      </w:r>
      <w:r>
        <w:rPr>
          <w:rFonts w:hint="eastAsia" w:ascii="宋体" w:hAnsi="宋体"/>
          <w:color w:val="000000"/>
          <w:szCs w:val="21"/>
        </w:rPr>
        <w:t>要求涂层厚度均匀、致密、色泽均一，涂层表面光洁，无流痕。保证涂层10年不脱落。</w:t>
      </w:r>
      <w:r>
        <w:rPr>
          <w:rFonts w:ascii="宋体" w:hAnsi="宋体"/>
          <w:color w:val="000000"/>
          <w:szCs w:val="21"/>
        </w:rPr>
        <w:t>色漆颜色</w:t>
      </w:r>
      <w:r>
        <w:rPr>
          <w:rFonts w:hint="eastAsia" w:ascii="宋体" w:hAnsi="宋体"/>
          <w:color w:val="000000"/>
          <w:szCs w:val="21"/>
        </w:rPr>
        <w:t>由业主确定</w:t>
      </w:r>
      <w:r>
        <w:rPr>
          <w:rFonts w:ascii="宋体" w:hAnsi="宋体"/>
          <w:color w:val="000000"/>
          <w:szCs w:val="21"/>
        </w:rPr>
        <w:t>。</w:t>
      </w:r>
    </w:p>
    <w:p>
      <w:pPr>
        <w:spacing w:before="93" w:beforeLines="30"/>
        <w:ind w:firstLine="420" w:firstLineChars="200"/>
        <w:textAlignment w:val="baseline"/>
        <w:rPr>
          <w:rFonts w:ascii="宋体" w:hAnsi="宋体"/>
          <w:color w:val="000000"/>
          <w:szCs w:val="21"/>
        </w:rPr>
      </w:pPr>
      <w:r>
        <w:rPr>
          <w:rFonts w:ascii="宋体" w:hAnsi="宋体"/>
          <w:color w:val="000000"/>
          <w:szCs w:val="21"/>
        </w:rPr>
        <w:t>涂层在运输和安装过程中遭到损坏的，卖方要按买方的要求修复涂层。</w:t>
      </w:r>
    </w:p>
    <w:p>
      <w:pPr>
        <w:pStyle w:val="5"/>
        <w:widowControl/>
        <w:numPr>
          <w:ilvl w:val="0"/>
          <w:numId w:val="12"/>
        </w:numPr>
        <w:tabs>
          <w:tab w:val="left" w:pos="425"/>
          <w:tab w:val="left" w:pos="479"/>
          <w:tab w:val="left" w:pos="851"/>
          <w:tab w:val="left" w:pos="1264"/>
        </w:tabs>
        <w:snapToGrid w:val="0"/>
        <w:spacing w:line="240" w:lineRule="auto"/>
        <w:textAlignment w:val="baseline"/>
        <w:rPr>
          <w:rFonts w:ascii="宋体" w:hAnsi="宋体"/>
          <w:color w:val="000000"/>
          <w:sz w:val="21"/>
          <w:szCs w:val="21"/>
        </w:rPr>
      </w:pPr>
      <w:bookmarkStart w:id="45" w:name="_Toc3691"/>
      <w:bookmarkStart w:id="46" w:name="_Toc291769072"/>
      <w:bookmarkStart w:id="47" w:name="_Toc364988304"/>
      <w:bookmarkStart w:id="48" w:name="_Toc290628269"/>
      <w:bookmarkStart w:id="49" w:name="_Toc291605296"/>
      <w:bookmarkStart w:id="50" w:name="_Toc517392293"/>
      <w:r>
        <w:rPr>
          <w:rFonts w:hint="eastAsia"/>
          <w:sz w:val="21"/>
          <w:szCs w:val="21"/>
        </w:rPr>
        <w:t>★</w:t>
      </w:r>
      <w:r>
        <w:rPr>
          <w:sz w:val="21"/>
          <w:szCs w:val="21"/>
        </w:rPr>
        <w:t>主要零部件材料</w:t>
      </w:r>
      <w:bookmarkEnd w:id="45"/>
      <w:bookmarkEnd w:id="46"/>
      <w:bookmarkEnd w:id="47"/>
      <w:bookmarkEnd w:id="48"/>
      <w:bookmarkEnd w:id="49"/>
      <w:bookmarkEnd w:id="50"/>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2174"/>
        <w:gridCol w:w="4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51" w:type="dxa"/>
            <w:noWrap w:val="0"/>
            <w:vAlign w:val="center"/>
          </w:tcPr>
          <w:p>
            <w:pPr>
              <w:jc w:val="center"/>
              <w:rPr>
                <w:rFonts w:ascii="宋体" w:hAnsi="宋体"/>
                <w:b/>
                <w:color w:val="000000"/>
                <w:szCs w:val="21"/>
              </w:rPr>
            </w:pPr>
            <w:r>
              <w:rPr>
                <w:rFonts w:ascii="宋体" w:hAnsi="宋体"/>
                <w:b/>
                <w:color w:val="000000"/>
                <w:szCs w:val="21"/>
              </w:rPr>
              <w:t>序号</w:t>
            </w:r>
          </w:p>
        </w:tc>
        <w:tc>
          <w:tcPr>
            <w:tcW w:w="2174" w:type="dxa"/>
            <w:noWrap w:val="0"/>
            <w:vAlign w:val="center"/>
          </w:tcPr>
          <w:p>
            <w:pPr>
              <w:jc w:val="center"/>
              <w:rPr>
                <w:rFonts w:ascii="宋体" w:hAnsi="宋体"/>
                <w:b/>
                <w:color w:val="000000"/>
                <w:szCs w:val="21"/>
              </w:rPr>
            </w:pPr>
            <w:r>
              <w:rPr>
                <w:rFonts w:ascii="宋体" w:hAnsi="宋体"/>
                <w:b/>
                <w:color w:val="000000"/>
                <w:szCs w:val="21"/>
              </w:rPr>
              <w:t>部件名称</w:t>
            </w:r>
          </w:p>
        </w:tc>
        <w:tc>
          <w:tcPr>
            <w:tcW w:w="4178" w:type="dxa"/>
            <w:tcBorders>
              <w:right w:val="single" w:color="auto" w:sz="4" w:space="0"/>
            </w:tcBorders>
            <w:noWrap w:val="0"/>
            <w:vAlign w:val="center"/>
          </w:tcPr>
          <w:p>
            <w:pPr>
              <w:jc w:val="center"/>
              <w:rPr>
                <w:rFonts w:ascii="宋体" w:hAnsi="宋体"/>
                <w:b/>
                <w:color w:val="000000"/>
                <w:szCs w:val="21"/>
              </w:rPr>
            </w:pPr>
            <w:r>
              <w:rPr>
                <w:rFonts w:ascii="宋体" w:hAnsi="宋体"/>
                <w:b/>
                <w:color w:val="000000"/>
                <w:szCs w:val="21"/>
              </w:rPr>
              <w:t>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dxa"/>
            <w:noWrap w:val="0"/>
            <w:vAlign w:val="center"/>
          </w:tcPr>
          <w:p>
            <w:pPr>
              <w:jc w:val="center"/>
              <w:rPr>
                <w:rFonts w:ascii="宋体" w:hAnsi="宋体"/>
                <w:color w:val="000000"/>
                <w:kern w:val="0"/>
                <w:szCs w:val="21"/>
              </w:rPr>
            </w:pPr>
            <w:r>
              <w:rPr>
                <w:rFonts w:ascii="宋体" w:hAnsi="宋体"/>
                <w:color w:val="000000"/>
                <w:kern w:val="0"/>
                <w:szCs w:val="21"/>
              </w:rPr>
              <w:t>1</w:t>
            </w:r>
          </w:p>
        </w:tc>
        <w:tc>
          <w:tcPr>
            <w:tcW w:w="2174" w:type="dxa"/>
            <w:noWrap w:val="0"/>
            <w:vAlign w:val="center"/>
          </w:tcPr>
          <w:p>
            <w:pPr>
              <w:jc w:val="center"/>
              <w:rPr>
                <w:rFonts w:ascii="宋体" w:hAnsi="宋体"/>
                <w:color w:val="000000"/>
                <w:kern w:val="0"/>
                <w:szCs w:val="21"/>
              </w:rPr>
            </w:pPr>
            <w:r>
              <w:rPr>
                <w:rFonts w:ascii="宋体" w:hAnsi="宋体"/>
                <w:color w:val="000000"/>
                <w:kern w:val="0"/>
                <w:szCs w:val="21"/>
              </w:rPr>
              <w:t>泵  体</w:t>
            </w:r>
          </w:p>
        </w:tc>
        <w:tc>
          <w:tcPr>
            <w:tcW w:w="4178" w:type="dxa"/>
            <w:tcBorders>
              <w:right w:val="single" w:color="auto" w:sz="4" w:space="0"/>
            </w:tcBorders>
            <w:noWrap w:val="0"/>
            <w:vAlign w:val="center"/>
          </w:tcPr>
          <w:p>
            <w:pPr>
              <w:jc w:val="center"/>
              <w:rPr>
                <w:rFonts w:ascii="宋体" w:hAnsi="宋体"/>
                <w:color w:val="000000"/>
                <w:kern w:val="0"/>
                <w:szCs w:val="21"/>
              </w:rPr>
            </w:pPr>
            <w:r>
              <w:rPr>
                <w:rFonts w:ascii="宋体" w:hAnsi="宋体"/>
                <w:color w:val="000000"/>
                <w:kern w:val="0"/>
                <w:szCs w:val="21"/>
              </w:rPr>
              <w:t xml:space="preserve">球墨铸铁 </w:t>
            </w:r>
            <w:r>
              <w:rPr>
                <w:rFonts w:hint="eastAsia" w:ascii="宋体" w:hAnsi="宋体"/>
                <w:color w:val="000000"/>
                <w:kern w:val="0"/>
                <w:szCs w:val="21"/>
              </w:rPr>
              <w:t>（QT500-7）</w:t>
            </w:r>
            <w:r>
              <w:rPr>
                <w:rFonts w:ascii="宋体" w:hAnsi="宋体"/>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dxa"/>
            <w:noWrap w:val="0"/>
            <w:vAlign w:val="center"/>
          </w:tcPr>
          <w:p>
            <w:pPr>
              <w:jc w:val="center"/>
              <w:rPr>
                <w:rFonts w:ascii="宋体" w:hAnsi="宋体"/>
                <w:color w:val="000000"/>
                <w:kern w:val="0"/>
                <w:szCs w:val="21"/>
              </w:rPr>
            </w:pPr>
            <w:r>
              <w:rPr>
                <w:rFonts w:ascii="宋体" w:hAnsi="宋体"/>
                <w:color w:val="000000"/>
                <w:kern w:val="0"/>
                <w:szCs w:val="21"/>
              </w:rPr>
              <w:t>2</w:t>
            </w:r>
          </w:p>
        </w:tc>
        <w:tc>
          <w:tcPr>
            <w:tcW w:w="2174" w:type="dxa"/>
            <w:noWrap w:val="0"/>
            <w:vAlign w:val="center"/>
          </w:tcPr>
          <w:p>
            <w:pPr>
              <w:jc w:val="center"/>
              <w:rPr>
                <w:rFonts w:ascii="宋体" w:hAnsi="宋体"/>
                <w:color w:val="000000"/>
                <w:kern w:val="0"/>
                <w:szCs w:val="21"/>
              </w:rPr>
            </w:pPr>
            <w:r>
              <w:rPr>
                <w:rFonts w:ascii="宋体" w:hAnsi="宋体"/>
                <w:color w:val="000000"/>
                <w:kern w:val="0"/>
                <w:szCs w:val="21"/>
              </w:rPr>
              <w:t>泵  盖</w:t>
            </w:r>
          </w:p>
        </w:tc>
        <w:tc>
          <w:tcPr>
            <w:tcW w:w="4178" w:type="dxa"/>
            <w:tcBorders>
              <w:right w:val="single" w:color="auto" w:sz="4" w:space="0"/>
            </w:tcBorders>
            <w:noWrap w:val="0"/>
            <w:vAlign w:val="center"/>
          </w:tcPr>
          <w:p>
            <w:pPr>
              <w:jc w:val="center"/>
              <w:rPr>
                <w:rFonts w:ascii="宋体" w:hAnsi="宋体"/>
                <w:color w:val="000000"/>
                <w:kern w:val="0"/>
                <w:szCs w:val="21"/>
              </w:rPr>
            </w:pPr>
            <w:r>
              <w:rPr>
                <w:rFonts w:ascii="宋体" w:hAnsi="宋体"/>
                <w:color w:val="000000"/>
                <w:kern w:val="0"/>
                <w:szCs w:val="21"/>
              </w:rPr>
              <w:t>球墨铸铁</w:t>
            </w:r>
            <w:r>
              <w:rPr>
                <w:rFonts w:hint="eastAsia" w:ascii="宋体" w:hAnsi="宋体"/>
                <w:color w:val="000000"/>
                <w:kern w:val="0"/>
                <w:szCs w:val="21"/>
              </w:rPr>
              <w:t>（QT500-7）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dxa"/>
            <w:noWrap w:val="0"/>
            <w:vAlign w:val="center"/>
          </w:tcPr>
          <w:p>
            <w:pPr>
              <w:jc w:val="center"/>
              <w:rPr>
                <w:rFonts w:ascii="宋体" w:hAnsi="宋体"/>
                <w:color w:val="000000"/>
                <w:kern w:val="0"/>
                <w:szCs w:val="21"/>
              </w:rPr>
            </w:pPr>
            <w:r>
              <w:rPr>
                <w:rFonts w:ascii="宋体" w:hAnsi="宋体"/>
                <w:color w:val="000000"/>
                <w:kern w:val="0"/>
                <w:szCs w:val="21"/>
              </w:rPr>
              <w:t>3</w:t>
            </w:r>
          </w:p>
        </w:tc>
        <w:tc>
          <w:tcPr>
            <w:tcW w:w="2174" w:type="dxa"/>
            <w:noWrap w:val="0"/>
            <w:vAlign w:val="center"/>
          </w:tcPr>
          <w:p>
            <w:pPr>
              <w:jc w:val="center"/>
              <w:rPr>
                <w:rFonts w:ascii="宋体" w:hAnsi="宋体"/>
                <w:color w:val="000000"/>
                <w:kern w:val="0"/>
                <w:szCs w:val="21"/>
              </w:rPr>
            </w:pPr>
            <w:r>
              <w:rPr>
                <w:rFonts w:ascii="宋体" w:hAnsi="宋体"/>
                <w:color w:val="000000"/>
                <w:kern w:val="0"/>
                <w:szCs w:val="21"/>
              </w:rPr>
              <w:t>叶  轮</w:t>
            </w:r>
          </w:p>
        </w:tc>
        <w:tc>
          <w:tcPr>
            <w:tcW w:w="4178" w:type="dxa"/>
            <w:tcBorders>
              <w:right w:val="single" w:color="auto" w:sz="4" w:space="0"/>
            </w:tcBorders>
            <w:noWrap w:val="0"/>
            <w:vAlign w:val="center"/>
          </w:tcPr>
          <w:p>
            <w:pPr>
              <w:jc w:val="center"/>
              <w:rPr>
                <w:rFonts w:ascii="宋体" w:hAnsi="宋体"/>
                <w:color w:val="auto"/>
                <w:kern w:val="0"/>
                <w:szCs w:val="21"/>
              </w:rPr>
            </w:pPr>
            <w:r>
              <w:rPr>
                <w:rFonts w:hint="eastAsia" w:ascii="宋体" w:hAnsi="宋体"/>
                <w:color w:val="auto"/>
                <w:kern w:val="0"/>
                <w:szCs w:val="21"/>
              </w:rPr>
              <w:t>双相不锈钢1.4474（GX4CrNiMoN26-5-2）或更好的双相不锈钢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dxa"/>
            <w:noWrap w:val="0"/>
            <w:vAlign w:val="center"/>
          </w:tcPr>
          <w:p>
            <w:pPr>
              <w:jc w:val="center"/>
              <w:rPr>
                <w:rFonts w:ascii="宋体" w:hAnsi="宋体"/>
                <w:color w:val="000000"/>
                <w:kern w:val="0"/>
                <w:szCs w:val="21"/>
              </w:rPr>
            </w:pPr>
            <w:r>
              <w:rPr>
                <w:rFonts w:hint="eastAsia" w:ascii="宋体" w:hAnsi="宋体"/>
                <w:color w:val="000000"/>
                <w:kern w:val="0"/>
                <w:szCs w:val="21"/>
              </w:rPr>
              <w:t>4</w:t>
            </w:r>
          </w:p>
        </w:tc>
        <w:tc>
          <w:tcPr>
            <w:tcW w:w="2174" w:type="dxa"/>
            <w:noWrap w:val="0"/>
            <w:vAlign w:val="center"/>
          </w:tcPr>
          <w:p>
            <w:pPr>
              <w:jc w:val="center"/>
              <w:rPr>
                <w:rFonts w:ascii="宋体" w:hAnsi="宋体"/>
                <w:color w:val="000000"/>
                <w:kern w:val="0"/>
                <w:szCs w:val="21"/>
              </w:rPr>
            </w:pPr>
            <w:r>
              <w:rPr>
                <w:rFonts w:hint="eastAsia" w:ascii="宋体" w:hAnsi="宋体"/>
                <w:color w:val="000000"/>
                <w:kern w:val="0"/>
                <w:szCs w:val="21"/>
              </w:rPr>
              <w:t>泵轴</w:t>
            </w:r>
          </w:p>
        </w:tc>
        <w:tc>
          <w:tcPr>
            <w:tcW w:w="4178" w:type="dxa"/>
            <w:tcBorders>
              <w:right w:val="single" w:color="auto" w:sz="4" w:space="0"/>
            </w:tcBorders>
            <w:noWrap w:val="0"/>
            <w:vAlign w:val="center"/>
          </w:tcPr>
          <w:p>
            <w:pPr>
              <w:jc w:val="center"/>
              <w:rPr>
                <w:rFonts w:hint="eastAsia" w:ascii="宋体" w:hAnsi="宋体"/>
                <w:color w:val="auto"/>
                <w:kern w:val="0"/>
                <w:szCs w:val="21"/>
              </w:rPr>
            </w:pPr>
            <w:r>
              <w:rPr>
                <w:rFonts w:hint="eastAsia" w:ascii="宋体" w:hAnsi="宋体"/>
                <w:color w:val="auto"/>
                <w:kern w:val="0"/>
                <w:szCs w:val="21"/>
              </w:rPr>
              <w:t>双相不锈钢1.4462（X2CrNiMoN22-5-3）或更好的双相不锈钢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dxa"/>
            <w:noWrap w:val="0"/>
            <w:vAlign w:val="center"/>
          </w:tcPr>
          <w:p>
            <w:pPr>
              <w:jc w:val="center"/>
              <w:rPr>
                <w:rFonts w:hint="eastAsia" w:ascii="宋体" w:hAnsi="宋体"/>
                <w:color w:val="000000"/>
                <w:kern w:val="0"/>
                <w:szCs w:val="21"/>
              </w:rPr>
            </w:pPr>
            <w:r>
              <w:rPr>
                <w:rFonts w:hint="eastAsia" w:ascii="宋体" w:hAnsi="宋体"/>
                <w:color w:val="000000"/>
                <w:kern w:val="0"/>
                <w:szCs w:val="21"/>
              </w:rPr>
              <w:t>5</w:t>
            </w:r>
          </w:p>
        </w:tc>
        <w:tc>
          <w:tcPr>
            <w:tcW w:w="2174" w:type="dxa"/>
            <w:noWrap w:val="0"/>
            <w:vAlign w:val="center"/>
          </w:tcPr>
          <w:p>
            <w:pPr>
              <w:jc w:val="center"/>
              <w:rPr>
                <w:rFonts w:hint="eastAsia" w:ascii="宋体" w:hAnsi="宋体"/>
                <w:color w:val="000000"/>
                <w:kern w:val="0"/>
                <w:szCs w:val="21"/>
              </w:rPr>
            </w:pPr>
            <w:r>
              <w:rPr>
                <w:rFonts w:hint="eastAsia" w:ascii="宋体" w:hAnsi="宋体"/>
                <w:color w:val="000000"/>
                <w:kern w:val="0"/>
                <w:szCs w:val="21"/>
              </w:rPr>
              <w:t>密封环</w:t>
            </w:r>
          </w:p>
        </w:tc>
        <w:tc>
          <w:tcPr>
            <w:tcW w:w="4178" w:type="dxa"/>
            <w:tcBorders>
              <w:right w:val="single" w:color="auto" w:sz="4" w:space="0"/>
            </w:tcBorders>
            <w:noWrap w:val="0"/>
            <w:vAlign w:val="center"/>
          </w:tcPr>
          <w:p>
            <w:pPr>
              <w:jc w:val="center"/>
              <w:rPr>
                <w:rFonts w:hint="eastAsia" w:ascii="宋体" w:hAnsi="宋体"/>
                <w:color w:val="auto"/>
                <w:kern w:val="0"/>
                <w:szCs w:val="21"/>
              </w:rPr>
            </w:pPr>
            <w:r>
              <w:rPr>
                <w:rFonts w:hint="eastAsia" w:ascii="宋体" w:hAnsi="宋体"/>
                <w:color w:val="auto"/>
                <w:kern w:val="0"/>
                <w:szCs w:val="21"/>
              </w:rPr>
              <w:t>双相不锈钢1.4474（GX4CrNiMoN26-5-2）或更好的双相不锈钢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dxa"/>
            <w:noWrap w:val="0"/>
            <w:vAlign w:val="center"/>
          </w:tcPr>
          <w:p>
            <w:pPr>
              <w:jc w:val="center"/>
              <w:rPr>
                <w:rFonts w:ascii="宋体" w:hAnsi="宋体"/>
                <w:color w:val="000000"/>
                <w:kern w:val="0"/>
                <w:szCs w:val="21"/>
              </w:rPr>
            </w:pPr>
            <w:r>
              <w:rPr>
                <w:rFonts w:ascii="宋体" w:hAnsi="宋体"/>
                <w:color w:val="000000"/>
                <w:kern w:val="0"/>
                <w:szCs w:val="21"/>
              </w:rPr>
              <w:t>6</w:t>
            </w:r>
          </w:p>
        </w:tc>
        <w:tc>
          <w:tcPr>
            <w:tcW w:w="2174" w:type="dxa"/>
            <w:noWrap w:val="0"/>
            <w:vAlign w:val="center"/>
          </w:tcPr>
          <w:p>
            <w:pPr>
              <w:jc w:val="center"/>
              <w:rPr>
                <w:rFonts w:ascii="宋体" w:hAnsi="宋体"/>
                <w:color w:val="000000"/>
                <w:kern w:val="0"/>
                <w:szCs w:val="21"/>
              </w:rPr>
            </w:pPr>
            <w:r>
              <w:rPr>
                <w:rFonts w:ascii="宋体" w:hAnsi="宋体"/>
                <w:color w:val="000000"/>
                <w:kern w:val="0"/>
                <w:szCs w:val="21"/>
              </w:rPr>
              <w:t>轴  套</w:t>
            </w:r>
            <w:r>
              <w:rPr>
                <w:rFonts w:hint="eastAsia" w:ascii="宋体" w:hAnsi="宋体"/>
                <w:color w:val="000000"/>
                <w:kern w:val="0"/>
                <w:szCs w:val="21"/>
              </w:rPr>
              <w:t>（如有）</w:t>
            </w:r>
          </w:p>
        </w:tc>
        <w:tc>
          <w:tcPr>
            <w:tcW w:w="4178" w:type="dxa"/>
            <w:tcBorders>
              <w:right w:val="single" w:color="auto" w:sz="4" w:space="0"/>
            </w:tcBorders>
            <w:noWrap w:val="0"/>
            <w:vAlign w:val="center"/>
          </w:tcPr>
          <w:p>
            <w:pPr>
              <w:jc w:val="center"/>
              <w:rPr>
                <w:rFonts w:ascii="宋体" w:hAnsi="宋体"/>
                <w:color w:val="000000"/>
                <w:kern w:val="0"/>
                <w:szCs w:val="21"/>
              </w:rPr>
            </w:pPr>
            <w:r>
              <w:rPr>
                <w:rFonts w:hint="eastAsia" w:ascii="宋体" w:hAnsi="宋体"/>
                <w:color w:val="000000"/>
                <w:kern w:val="0"/>
                <w:szCs w:val="21"/>
              </w:rPr>
              <w:t>超低碳不锈钢1.4408（0Cr18Ni12Mo2）或更好的不锈钢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dxa"/>
            <w:noWrap w:val="0"/>
            <w:vAlign w:val="center"/>
          </w:tcPr>
          <w:p>
            <w:pPr>
              <w:jc w:val="center"/>
              <w:rPr>
                <w:rFonts w:ascii="宋体" w:hAnsi="宋体"/>
                <w:color w:val="000000"/>
                <w:kern w:val="0"/>
                <w:szCs w:val="21"/>
              </w:rPr>
            </w:pPr>
            <w:r>
              <w:rPr>
                <w:rFonts w:ascii="宋体" w:hAnsi="宋体"/>
                <w:color w:val="000000"/>
                <w:kern w:val="0"/>
                <w:szCs w:val="21"/>
              </w:rPr>
              <w:t>7</w:t>
            </w:r>
          </w:p>
        </w:tc>
        <w:tc>
          <w:tcPr>
            <w:tcW w:w="2174" w:type="dxa"/>
            <w:noWrap w:val="0"/>
            <w:vAlign w:val="center"/>
          </w:tcPr>
          <w:p>
            <w:pPr>
              <w:jc w:val="center"/>
              <w:rPr>
                <w:rFonts w:ascii="宋体" w:hAnsi="宋体"/>
                <w:color w:val="000000"/>
                <w:kern w:val="0"/>
                <w:szCs w:val="21"/>
              </w:rPr>
            </w:pPr>
            <w:r>
              <w:rPr>
                <w:rFonts w:ascii="宋体" w:hAnsi="宋体"/>
                <w:color w:val="000000"/>
                <w:kern w:val="0"/>
                <w:szCs w:val="21"/>
              </w:rPr>
              <w:t>水泵轴承</w:t>
            </w:r>
          </w:p>
        </w:tc>
        <w:tc>
          <w:tcPr>
            <w:tcW w:w="4178" w:type="dxa"/>
            <w:tcBorders>
              <w:right w:val="single" w:color="auto" w:sz="4" w:space="0"/>
            </w:tcBorders>
            <w:noWrap w:val="0"/>
            <w:vAlign w:val="center"/>
          </w:tcPr>
          <w:p>
            <w:pPr>
              <w:jc w:val="center"/>
              <w:rPr>
                <w:rFonts w:ascii="宋体" w:hAnsi="宋体"/>
                <w:color w:val="000000"/>
                <w:kern w:val="0"/>
                <w:szCs w:val="21"/>
              </w:rPr>
            </w:pPr>
            <w:r>
              <w:rPr>
                <w:rFonts w:hint="eastAsia" w:ascii="宋体" w:hAnsi="宋体"/>
                <w:color w:val="000000"/>
                <w:szCs w:val="21"/>
              </w:rPr>
              <w:t>FAG</w:t>
            </w:r>
            <w:r>
              <w:rPr>
                <w:rFonts w:ascii="宋体" w:hAnsi="宋体"/>
                <w:color w:val="000000"/>
                <w:szCs w:val="21"/>
              </w:rPr>
              <w:t>、NSK或SKF</w:t>
            </w:r>
            <w:r>
              <w:rPr>
                <w:rFonts w:ascii="宋体" w:hAnsi="宋体"/>
                <w:color w:val="000000"/>
                <w:kern w:val="0"/>
                <w:szCs w:val="21"/>
              </w:rPr>
              <w:t>或同等以上轴承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dxa"/>
            <w:noWrap w:val="0"/>
            <w:vAlign w:val="center"/>
          </w:tcPr>
          <w:p>
            <w:pPr>
              <w:jc w:val="center"/>
              <w:rPr>
                <w:rFonts w:ascii="宋体" w:hAnsi="宋体"/>
                <w:color w:val="000000"/>
                <w:kern w:val="0"/>
                <w:szCs w:val="21"/>
              </w:rPr>
            </w:pPr>
            <w:r>
              <w:rPr>
                <w:rFonts w:ascii="宋体" w:hAnsi="宋体"/>
                <w:color w:val="000000"/>
                <w:kern w:val="0"/>
                <w:szCs w:val="21"/>
              </w:rPr>
              <w:t>8</w:t>
            </w:r>
          </w:p>
        </w:tc>
        <w:tc>
          <w:tcPr>
            <w:tcW w:w="2174" w:type="dxa"/>
            <w:noWrap w:val="0"/>
            <w:vAlign w:val="center"/>
          </w:tcPr>
          <w:p>
            <w:pPr>
              <w:jc w:val="center"/>
              <w:rPr>
                <w:rFonts w:ascii="宋体" w:hAnsi="宋体"/>
                <w:color w:val="000000"/>
                <w:kern w:val="0"/>
                <w:szCs w:val="21"/>
              </w:rPr>
            </w:pPr>
            <w:r>
              <w:rPr>
                <w:rFonts w:ascii="宋体" w:hAnsi="宋体"/>
                <w:color w:val="000000"/>
                <w:kern w:val="0"/>
                <w:szCs w:val="21"/>
              </w:rPr>
              <w:t>电机轴承</w:t>
            </w:r>
          </w:p>
        </w:tc>
        <w:tc>
          <w:tcPr>
            <w:tcW w:w="4178" w:type="dxa"/>
            <w:tcBorders>
              <w:right w:val="single" w:color="auto" w:sz="4" w:space="0"/>
            </w:tcBorders>
            <w:noWrap w:val="0"/>
            <w:vAlign w:val="center"/>
          </w:tcPr>
          <w:p>
            <w:pPr>
              <w:jc w:val="center"/>
              <w:rPr>
                <w:rFonts w:ascii="宋体" w:hAnsi="宋体"/>
                <w:color w:val="000000"/>
                <w:kern w:val="0"/>
                <w:szCs w:val="21"/>
              </w:rPr>
            </w:pPr>
            <w:r>
              <w:rPr>
                <w:rFonts w:hint="eastAsia" w:ascii="宋体" w:hAnsi="宋体"/>
                <w:color w:val="000000"/>
                <w:szCs w:val="21"/>
              </w:rPr>
              <w:t>FAG</w:t>
            </w:r>
            <w:r>
              <w:rPr>
                <w:rFonts w:ascii="宋体" w:hAnsi="宋体"/>
                <w:color w:val="000000"/>
                <w:szCs w:val="21"/>
              </w:rPr>
              <w:t>、NSK或SKF</w:t>
            </w:r>
            <w:r>
              <w:rPr>
                <w:rFonts w:ascii="宋体" w:hAnsi="宋体"/>
                <w:color w:val="000000"/>
                <w:kern w:val="0"/>
                <w:szCs w:val="21"/>
              </w:rPr>
              <w:t>或同等以上轴承</w:t>
            </w:r>
          </w:p>
        </w:tc>
      </w:tr>
    </w:tbl>
    <w:p>
      <w:pPr>
        <w:ind w:firstLine="420" w:firstLineChars="200"/>
        <w:rPr>
          <w:rFonts w:hint="eastAsia" w:ascii="宋体" w:hAnsi="宋体"/>
          <w:color w:val="000000"/>
          <w:szCs w:val="21"/>
        </w:rPr>
      </w:pPr>
      <w:r>
        <w:rPr>
          <w:rFonts w:hint="eastAsia" w:ascii="宋体" w:hAnsi="宋体"/>
          <w:color w:val="000000"/>
          <w:szCs w:val="21"/>
        </w:rPr>
        <w:t>★投标时提供水泵壳体、叶轮、主轴、密封环的材质证明文件（提供以往项目的材质检测报告）；</w:t>
      </w:r>
    </w:p>
    <w:p>
      <w:pPr>
        <w:ind w:firstLine="420" w:firstLineChars="200"/>
        <w:rPr>
          <w:rFonts w:hint="eastAsia" w:ascii="宋体" w:hAnsi="宋体"/>
          <w:color w:val="000000"/>
          <w:szCs w:val="21"/>
        </w:rPr>
      </w:pPr>
      <w:r>
        <w:rPr>
          <w:rFonts w:hint="eastAsia" w:ascii="宋体" w:hAnsi="宋体"/>
          <w:color w:val="000000"/>
          <w:szCs w:val="21"/>
        </w:rPr>
        <w:t>★因本项目水泵部件大部分为铸造件，为保证水泵的质量及后续的备件的及时供货，本次项目的水泵制造商必须拥有自己的铸造车间或铸造分公司，投标时需提供水泵制造商的铸造车间或铸造分公司的营业执照及ISO质量管理体系认证证书的复印件加盖水泵制造商公章。招标人在与中标人签订合同前对水泵制造商自身拥有的铸造车间或铸造分公司实地备查。</w:t>
      </w:r>
    </w:p>
    <w:p>
      <w:pPr>
        <w:pStyle w:val="5"/>
        <w:widowControl/>
        <w:numPr>
          <w:ilvl w:val="0"/>
          <w:numId w:val="12"/>
        </w:numPr>
        <w:tabs>
          <w:tab w:val="left" w:pos="425"/>
          <w:tab w:val="left" w:pos="479"/>
          <w:tab w:val="left" w:pos="851"/>
          <w:tab w:val="left" w:pos="1264"/>
        </w:tabs>
        <w:snapToGrid w:val="0"/>
        <w:spacing w:line="240" w:lineRule="auto"/>
        <w:textAlignment w:val="baseline"/>
        <w:rPr>
          <w:sz w:val="21"/>
          <w:szCs w:val="21"/>
        </w:rPr>
      </w:pPr>
      <w:bookmarkStart w:id="51" w:name="_Toc22281"/>
      <w:bookmarkStart w:id="52" w:name="_Toc517392294"/>
      <w:bookmarkStart w:id="53" w:name="_Toc364988305"/>
      <w:r>
        <w:rPr>
          <w:rFonts w:hint="eastAsia"/>
          <w:sz w:val="21"/>
          <w:szCs w:val="21"/>
        </w:rPr>
        <w:t>检验</w:t>
      </w:r>
      <w:bookmarkEnd w:id="51"/>
      <w:bookmarkEnd w:id="52"/>
      <w:bookmarkEnd w:id="53"/>
    </w:p>
    <w:p>
      <w:pPr>
        <w:ind w:firstLine="420" w:firstLineChars="200"/>
        <w:rPr>
          <w:rFonts w:ascii="宋体" w:hAnsi="宋体"/>
          <w:color w:val="000000"/>
          <w:szCs w:val="21"/>
        </w:rPr>
      </w:pPr>
      <w:r>
        <w:rPr>
          <w:rFonts w:ascii="宋体" w:hAnsi="宋体"/>
          <w:color w:val="000000"/>
          <w:szCs w:val="21"/>
        </w:rPr>
        <w:t>以下试验项目须提供产品出厂试验、检测报告，其他条目提供相应合格证明文件</w:t>
      </w:r>
      <w:r>
        <w:rPr>
          <w:rFonts w:hint="eastAsia" w:ascii="宋体" w:hAnsi="宋体"/>
          <w:color w:val="000000"/>
          <w:szCs w:val="21"/>
        </w:rPr>
        <w:t>；如果采购对试验检测报告有疑仪，则中标供应商须无条件配合在第三方检测机构进行二次检验</w:t>
      </w:r>
      <w:r>
        <w:rPr>
          <w:rFonts w:ascii="宋体" w:hAnsi="宋体"/>
          <w:color w:val="000000"/>
          <w:szCs w:val="21"/>
        </w:rPr>
        <w:t>。</w:t>
      </w:r>
      <w:r>
        <w:rPr>
          <w:rFonts w:hint="eastAsia" w:ascii="宋体" w:hAnsi="宋体"/>
          <w:color w:val="000000"/>
          <w:szCs w:val="21"/>
        </w:rPr>
        <w:t>投标人应在投标文件中附上其检测试验平台能力的相应证明材料。当地供电部门验收时需要的设备资料，应由投标人负责提供，并确保水泵及电机通过当地供电部门验收。</w:t>
      </w:r>
    </w:p>
    <w:p>
      <w:pPr>
        <w:rPr>
          <w:rFonts w:ascii="宋体" w:hAnsi="宋体"/>
          <w:b/>
          <w:color w:val="000000"/>
          <w:szCs w:val="21"/>
        </w:rPr>
      </w:pPr>
      <w:r>
        <w:rPr>
          <w:rFonts w:ascii="宋体" w:hAnsi="宋体"/>
          <w:b/>
          <w:color w:val="000000"/>
          <w:szCs w:val="21"/>
        </w:rPr>
        <w:t>A、水泵</w:t>
      </w:r>
    </w:p>
    <w:p>
      <w:pPr>
        <w:ind w:firstLine="573"/>
        <w:rPr>
          <w:rFonts w:ascii="宋体" w:hAnsi="宋体"/>
          <w:color w:val="000000"/>
          <w:szCs w:val="21"/>
        </w:rPr>
      </w:pPr>
      <w:r>
        <w:rPr>
          <w:rFonts w:ascii="宋体" w:hAnsi="宋体"/>
          <w:color w:val="000000"/>
          <w:szCs w:val="21"/>
        </w:rPr>
        <w:t>水泵设计技术要求符合GB/T5658-85《单级双吸离心水泵技术条件》和ISO2548标准。</w:t>
      </w:r>
    </w:p>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w:t>
      </w:r>
      <w:r>
        <w:rPr>
          <w:rFonts w:ascii="宋体" w:hAnsi="宋体"/>
          <w:color w:val="000000"/>
          <w:szCs w:val="21"/>
        </w:rPr>
        <w:t>、振动</w:t>
      </w:r>
    </w:p>
    <w:p>
      <w:pPr>
        <w:ind w:firstLine="420" w:firstLineChars="200"/>
        <w:rPr>
          <w:rFonts w:ascii="宋体" w:hAnsi="宋体"/>
          <w:color w:val="000000"/>
          <w:szCs w:val="21"/>
        </w:rPr>
      </w:pPr>
      <w:r>
        <w:rPr>
          <w:rFonts w:ascii="宋体" w:hAnsi="宋体"/>
          <w:color w:val="000000"/>
          <w:szCs w:val="21"/>
        </w:rPr>
        <w:t>每台水泵出厂前要进行振动测量，满负荷工作时，振动烈度≤7.1mm/s。</w:t>
      </w:r>
    </w:p>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w:t>
      </w:r>
      <w:r>
        <w:rPr>
          <w:rFonts w:ascii="宋体" w:hAnsi="宋体"/>
          <w:color w:val="000000"/>
          <w:szCs w:val="21"/>
        </w:rPr>
        <w:t>、噪音</w:t>
      </w:r>
    </w:p>
    <w:p>
      <w:pPr>
        <w:rPr>
          <w:rFonts w:ascii="宋体" w:hAnsi="宋体"/>
          <w:color w:val="000000"/>
          <w:szCs w:val="21"/>
        </w:rPr>
      </w:pPr>
      <w:r>
        <w:rPr>
          <w:rFonts w:ascii="宋体" w:hAnsi="宋体"/>
          <w:color w:val="000000"/>
          <w:szCs w:val="21"/>
        </w:rPr>
        <w:t xml:space="preserve">    电机额定工况下噪音≤83分贝</w:t>
      </w:r>
      <w:r>
        <w:rPr>
          <w:rFonts w:hint="eastAsia" w:ascii="宋体" w:hAnsi="宋体"/>
          <w:color w:val="000000"/>
          <w:szCs w:val="21"/>
        </w:rPr>
        <w:t>。</w:t>
      </w:r>
    </w:p>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ascii="宋体" w:hAnsi="宋体"/>
          <w:color w:val="000000"/>
          <w:szCs w:val="21"/>
        </w:rPr>
        <w:t>、动静态平衡</w:t>
      </w:r>
    </w:p>
    <w:p>
      <w:pPr>
        <w:ind w:firstLine="420" w:firstLineChars="200"/>
        <w:rPr>
          <w:rFonts w:ascii="宋体" w:hAnsi="宋体"/>
          <w:color w:val="000000"/>
          <w:szCs w:val="21"/>
        </w:rPr>
      </w:pPr>
      <w:r>
        <w:rPr>
          <w:rFonts w:ascii="宋体" w:hAnsi="宋体"/>
          <w:color w:val="000000"/>
          <w:szCs w:val="21"/>
        </w:rPr>
        <w:t>叶轮的动静态平衡试验按GB/T9239的6.3级进行。</w:t>
      </w:r>
    </w:p>
    <w:p>
      <w:pPr>
        <w:jc w:val="left"/>
        <w:rPr>
          <w:rFonts w:ascii="宋体" w:hAns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w:t>
      </w:r>
      <w:r>
        <w:rPr>
          <w:rFonts w:ascii="宋体" w:hAnsi="宋体"/>
          <w:color w:val="000000"/>
          <w:szCs w:val="21"/>
        </w:rPr>
        <w:t>、水压试验</w:t>
      </w:r>
    </w:p>
    <w:p>
      <w:pPr>
        <w:rPr>
          <w:rFonts w:ascii="宋体" w:hAnsi="宋体"/>
          <w:color w:val="000000"/>
          <w:szCs w:val="21"/>
        </w:rPr>
      </w:pPr>
      <w:r>
        <w:rPr>
          <w:rFonts w:ascii="宋体" w:hAnsi="宋体"/>
          <w:color w:val="000000"/>
          <w:szCs w:val="21"/>
        </w:rPr>
        <w:t xml:space="preserve">    水泵的承压零件进行水压试验，试验压力为基本设计压力的1.5倍，保持压力时间为30min，无可见的泄漏。</w:t>
      </w:r>
    </w:p>
    <w:p>
      <w:pPr>
        <w:rPr>
          <w:rFonts w:hint="eastAsia" w:ascii="宋体" w:hAnsi="宋体"/>
          <w:color w:val="000000"/>
          <w:szCs w:val="21"/>
        </w:rPr>
      </w:pPr>
      <w:r>
        <w:rPr>
          <w:rFonts w:hint="eastAsia" w:ascii="宋体" w:hAnsi="宋体"/>
          <w:color w:val="000000"/>
          <w:szCs w:val="21"/>
        </w:rPr>
        <w:t>（5）水泵性能试验</w:t>
      </w:r>
    </w:p>
    <w:p>
      <w:pPr>
        <w:rPr>
          <w:rFonts w:hint="eastAsia" w:ascii="宋体" w:hAnsi="宋体"/>
          <w:color w:val="000000"/>
          <w:szCs w:val="21"/>
        </w:rPr>
      </w:pPr>
      <w:r>
        <w:rPr>
          <w:rFonts w:hint="eastAsia" w:ascii="宋体" w:hAnsi="宋体"/>
          <w:color w:val="000000"/>
          <w:szCs w:val="21"/>
        </w:rPr>
        <w:t>★为保障测试精度，水泵制造商的水泵测试平台须为闭式回路测试平台，且该测试平台须获得国家工业泵质量监督机构颁发的1级精度等级的证书，投标时提供该证书的复印件和闭式回路测试平台的说明文件并加盖制造商公章。水泵出厂性能测试按照GB/T3216-2005《回转动力泵 水力性能验收试验》1级标准的规定测试，每台水泵都应进行独立试验。</w:t>
      </w:r>
    </w:p>
    <w:p>
      <w:pPr>
        <w:rPr>
          <w:rFonts w:ascii="宋体" w:hAnsi="宋体"/>
          <w:b/>
          <w:color w:val="000000"/>
          <w:szCs w:val="21"/>
        </w:rPr>
      </w:pPr>
      <w:r>
        <w:rPr>
          <w:rFonts w:ascii="宋体" w:hAnsi="宋体"/>
          <w:b/>
          <w:color w:val="000000"/>
          <w:szCs w:val="21"/>
        </w:rPr>
        <w:t>B、配套电机</w:t>
      </w:r>
    </w:p>
    <w:p>
      <w:pPr>
        <w:rPr>
          <w:rFonts w:hint="eastAsia" w:ascii="宋体" w:hAnsi="宋体"/>
          <w:b/>
          <w:color w:val="000000"/>
          <w:szCs w:val="21"/>
        </w:rPr>
      </w:pPr>
      <w:r>
        <w:rPr>
          <w:rFonts w:hint="eastAsia" w:ascii="宋体" w:hAnsi="宋体"/>
          <w:b/>
          <w:color w:val="000000"/>
          <w:szCs w:val="21"/>
        </w:rPr>
        <w:t>1.</w:t>
      </w:r>
      <w:r>
        <w:rPr>
          <w:rFonts w:hint="eastAsia" w:ascii="宋体" w:hAnsi="宋体"/>
          <w:b/>
          <w:color w:val="000000"/>
          <w:szCs w:val="21"/>
        </w:rPr>
        <w:tab/>
      </w:r>
      <w:r>
        <w:rPr>
          <w:rFonts w:hint="eastAsia" w:ascii="宋体" w:hAnsi="宋体"/>
          <w:b/>
          <w:color w:val="000000"/>
          <w:szCs w:val="21"/>
        </w:rPr>
        <w:t>电机</w:t>
      </w:r>
    </w:p>
    <w:p>
      <w:pPr>
        <w:rPr>
          <w:rFonts w:hint="eastAsia" w:ascii="宋体" w:hAnsi="宋体"/>
          <w:color w:val="000000"/>
          <w:szCs w:val="21"/>
        </w:rPr>
      </w:pPr>
      <w:r>
        <w:rPr>
          <w:rFonts w:hint="eastAsia" w:ascii="宋体" w:hAnsi="宋体"/>
          <w:color w:val="000000"/>
          <w:szCs w:val="21"/>
        </w:rPr>
        <w:t>为达节能目标，电机效率应≥</w:t>
      </w:r>
      <w:r>
        <w:rPr>
          <w:rFonts w:ascii="宋体" w:hAnsi="宋体"/>
          <w:color w:val="000000"/>
          <w:szCs w:val="21"/>
        </w:rPr>
        <w:t xml:space="preserve"> 94</w:t>
      </w:r>
      <w:r>
        <w:rPr>
          <w:rFonts w:hint="eastAsia" w:ascii="宋体" w:hAnsi="宋体"/>
          <w:color w:val="000000"/>
          <w:szCs w:val="21"/>
        </w:rPr>
        <w:t xml:space="preserve">%； </w:t>
      </w:r>
    </w:p>
    <w:p>
      <w:pPr>
        <w:rPr>
          <w:rFonts w:hint="eastAsia" w:ascii="宋体" w:hAnsi="宋体"/>
          <w:color w:val="000000"/>
          <w:szCs w:val="21"/>
        </w:rPr>
      </w:pPr>
      <w:r>
        <w:rPr>
          <w:rFonts w:ascii="宋体" w:hAnsi="宋体"/>
          <w:b/>
          <w:color w:val="000000"/>
          <w:szCs w:val="21"/>
        </w:rPr>
        <w:t>2</w:t>
      </w:r>
      <w:r>
        <w:rPr>
          <w:rFonts w:hint="eastAsia" w:ascii="宋体" w:hAnsi="宋体"/>
          <w:b/>
          <w:color w:val="000000"/>
          <w:szCs w:val="21"/>
        </w:rPr>
        <w:t>、电机试验和测定按制造厂出厂检验标准执行（至少测试3台）：</w:t>
      </w:r>
    </w:p>
    <w:p>
      <w:pPr>
        <w:pStyle w:val="5"/>
        <w:widowControl/>
        <w:numPr>
          <w:ilvl w:val="0"/>
          <w:numId w:val="12"/>
        </w:numPr>
        <w:tabs>
          <w:tab w:val="left" w:pos="425"/>
          <w:tab w:val="left" w:pos="479"/>
          <w:tab w:val="left" w:pos="851"/>
          <w:tab w:val="left" w:pos="1264"/>
        </w:tabs>
        <w:snapToGrid w:val="0"/>
        <w:spacing w:line="240" w:lineRule="auto"/>
        <w:textAlignment w:val="baseline"/>
        <w:rPr>
          <w:sz w:val="21"/>
          <w:szCs w:val="21"/>
        </w:rPr>
      </w:pPr>
      <w:bookmarkStart w:id="54" w:name="_Toc517392295"/>
      <w:bookmarkStart w:id="55" w:name="_Toc364988306"/>
      <w:bookmarkStart w:id="56" w:name="_Toc30385"/>
      <w:r>
        <w:rPr>
          <w:rFonts w:hint="eastAsia"/>
          <w:sz w:val="21"/>
          <w:szCs w:val="21"/>
        </w:rPr>
        <w:t>检验</w:t>
      </w:r>
      <w:r>
        <w:rPr>
          <w:sz w:val="21"/>
          <w:szCs w:val="21"/>
        </w:rPr>
        <w:t>和调试</w:t>
      </w:r>
      <w:bookmarkEnd w:id="54"/>
      <w:bookmarkEnd w:id="55"/>
      <w:bookmarkEnd w:id="56"/>
    </w:p>
    <w:p>
      <w:pPr>
        <w:rPr>
          <w:rFonts w:ascii="宋体" w:hAnsi="宋体"/>
          <w:color w:val="000000"/>
          <w:szCs w:val="21"/>
        </w:rPr>
      </w:pPr>
      <w:r>
        <w:rPr>
          <w:rFonts w:ascii="宋体" w:hAnsi="宋体"/>
          <w:color w:val="000000"/>
          <w:szCs w:val="21"/>
        </w:rPr>
        <w:t>带负荷运行（根据池中容量可进行调整），检测水泵的流量、扬程及效率须符合设计要求。</w:t>
      </w:r>
    </w:p>
    <w:p>
      <w:pPr>
        <w:rPr>
          <w:rFonts w:ascii="宋体" w:hAnsi="宋体"/>
          <w:color w:val="000000"/>
          <w:szCs w:val="21"/>
        </w:rPr>
      </w:pPr>
      <w:r>
        <w:rPr>
          <w:rFonts w:ascii="宋体" w:hAnsi="宋体"/>
          <w:color w:val="000000"/>
          <w:szCs w:val="21"/>
        </w:rPr>
        <w:t>运转时应平稳、无异常声音、振动和温升，电机电流正常。</w:t>
      </w:r>
    </w:p>
    <w:p>
      <w:pPr>
        <w:rPr>
          <w:rFonts w:ascii="宋体" w:hAnsi="宋体"/>
          <w:color w:val="000000"/>
          <w:szCs w:val="21"/>
        </w:rPr>
      </w:pPr>
      <w:r>
        <w:rPr>
          <w:rFonts w:ascii="宋体" w:hAnsi="宋体"/>
          <w:color w:val="000000"/>
          <w:szCs w:val="21"/>
        </w:rPr>
        <w:t>检测电机安全保护措施须符合水泵技术要求。</w:t>
      </w:r>
    </w:p>
    <w:p>
      <w:pPr>
        <w:pStyle w:val="5"/>
        <w:widowControl/>
        <w:numPr>
          <w:ilvl w:val="0"/>
          <w:numId w:val="12"/>
        </w:numPr>
        <w:tabs>
          <w:tab w:val="left" w:pos="425"/>
          <w:tab w:val="left" w:pos="479"/>
          <w:tab w:val="left" w:pos="851"/>
          <w:tab w:val="left" w:pos="1264"/>
        </w:tabs>
        <w:snapToGrid w:val="0"/>
        <w:spacing w:line="240" w:lineRule="auto"/>
        <w:textAlignment w:val="baseline"/>
        <w:rPr>
          <w:sz w:val="21"/>
          <w:szCs w:val="21"/>
        </w:rPr>
      </w:pPr>
      <w:bookmarkStart w:id="57" w:name="_Toc517392296"/>
      <w:bookmarkStart w:id="58" w:name="_Toc364988307"/>
      <w:bookmarkStart w:id="59" w:name="_Toc1759"/>
      <w:r>
        <w:rPr>
          <w:rFonts w:hint="eastAsia"/>
          <w:sz w:val="21"/>
          <w:szCs w:val="21"/>
        </w:rPr>
        <w:t>引用</w:t>
      </w:r>
      <w:r>
        <w:rPr>
          <w:sz w:val="21"/>
          <w:szCs w:val="21"/>
        </w:rPr>
        <w:t>与执行标准（部分）</w:t>
      </w:r>
      <w:bookmarkEnd w:id="57"/>
      <w:bookmarkEnd w:id="58"/>
      <w:r>
        <w:rPr>
          <w:sz w:val="21"/>
          <w:szCs w:val="21"/>
        </w:rPr>
        <w:t xml:space="preserve"> </w:t>
      </w:r>
      <w:bookmarkEnd w:id="59"/>
    </w:p>
    <w:p>
      <w:pPr>
        <w:rPr>
          <w:rFonts w:ascii="宋体" w:hAnsi="宋体"/>
          <w:color w:val="000000"/>
          <w:szCs w:val="21"/>
        </w:rPr>
      </w:pPr>
      <w:r>
        <w:rPr>
          <w:rFonts w:ascii="宋体" w:hAnsi="宋体"/>
          <w:color w:val="000000"/>
          <w:szCs w:val="21"/>
        </w:rPr>
        <w:t>所采用的标准应等效于或高于下列标准</w:t>
      </w:r>
    </w:p>
    <w:p>
      <w:pPr>
        <w:rPr>
          <w:rFonts w:hint="eastAsia" w:ascii="宋体" w:hAnsi="宋体"/>
          <w:color w:val="000000"/>
          <w:szCs w:val="21"/>
        </w:rPr>
      </w:pPr>
      <w:r>
        <w:rPr>
          <w:rFonts w:hint="eastAsia" w:ascii="宋体" w:hAnsi="宋体"/>
          <w:color w:val="000000"/>
          <w:szCs w:val="21"/>
        </w:rPr>
        <w:t>1.1.9水泵</w:t>
      </w:r>
    </w:p>
    <w:p>
      <w:pPr>
        <w:rPr>
          <w:rFonts w:hint="eastAsia" w:ascii="宋体" w:hAnsi="宋体"/>
          <w:color w:val="000000"/>
          <w:szCs w:val="21"/>
        </w:rPr>
      </w:pPr>
      <w:r>
        <w:rPr>
          <w:rFonts w:hint="eastAsia" w:ascii="宋体" w:hAnsi="宋体"/>
          <w:color w:val="000000"/>
          <w:szCs w:val="21"/>
        </w:rPr>
        <w:t xml:space="preserve">GB/T 5657-2013  离心泵技术条件（Ⅲ） </w:t>
      </w:r>
    </w:p>
    <w:p>
      <w:pPr>
        <w:rPr>
          <w:rFonts w:hint="eastAsia" w:ascii="宋体" w:hAnsi="宋体"/>
          <w:color w:val="000000"/>
          <w:szCs w:val="21"/>
        </w:rPr>
      </w:pPr>
      <w:r>
        <w:rPr>
          <w:rFonts w:hint="eastAsia" w:ascii="宋体" w:hAnsi="宋体"/>
          <w:color w:val="000000"/>
          <w:szCs w:val="21"/>
        </w:rPr>
        <w:t>GB/T 9239.1-2006  刚性转子平衡品质 许用不平衡的确定</w:t>
      </w:r>
    </w:p>
    <w:p>
      <w:pPr>
        <w:rPr>
          <w:rFonts w:hint="eastAsia" w:ascii="宋体" w:hAnsi="宋体"/>
          <w:color w:val="000000"/>
          <w:szCs w:val="21"/>
        </w:rPr>
      </w:pPr>
      <w:r>
        <w:rPr>
          <w:rFonts w:hint="eastAsia" w:ascii="宋体" w:hAnsi="宋体"/>
          <w:color w:val="000000"/>
          <w:szCs w:val="21"/>
        </w:rPr>
        <w:t>GB 10889-89  泵的振动测量与评价方法</w:t>
      </w:r>
    </w:p>
    <w:p>
      <w:pPr>
        <w:rPr>
          <w:rFonts w:hint="eastAsia" w:ascii="宋体" w:hAnsi="宋体"/>
          <w:color w:val="000000"/>
          <w:szCs w:val="21"/>
        </w:rPr>
      </w:pPr>
      <w:r>
        <w:rPr>
          <w:rFonts w:hint="eastAsia" w:ascii="宋体" w:hAnsi="宋体"/>
          <w:color w:val="000000"/>
          <w:szCs w:val="21"/>
        </w:rPr>
        <w:t>GB 10890-89  泵的噪声测量与评价方法</w:t>
      </w:r>
    </w:p>
    <w:p>
      <w:pPr>
        <w:rPr>
          <w:rFonts w:hint="eastAsia" w:ascii="宋体" w:hAnsi="宋体"/>
          <w:color w:val="000000"/>
          <w:szCs w:val="21"/>
        </w:rPr>
      </w:pPr>
      <w:r>
        <w:rPr>
          <w:rFonts w:hint="eastAsia" w:ascii="宋体" w:hAnsi="宋体"/>
          <w:color w:val="000000"/>
          <w:szCs w:val="21"/>
        </w:rPr>
        <w:t xml:space="preserve">GB/T 3216-2005  离心泵、混流泵、轴流泵和旋涡泵试验方法 </w:t>
      </w:r>
    </w:p>
    <w:p>
      <w:pPr>
        <w:rPr>
          <w:rFonts w:hint="eastAsia" w:ascii="宋体" w:hAnsi="宋体"/>
          <w:color w:val="000000"/>
          <w:szCs w:val="21"/>
        </w:rPr>
      </w:pPr>
      <w:r>
        <w:rPr>
          <w:rFonts w:hint="eastAsia" w:ascii="宋体" w:hAnsi="宋体"/>
          <w:color w:val="000000"/>
          <w:szCs w:val="21"/>
        </w:rPr>
        <w:t>GB/T 1348-2009  球墨铸铁件</w:t>
      </w:r>
    </w:p>
    <w:p>
      <w:pPr>
        <w:rPr>
          <w:rFonts w:hint="eastAsia" w:ascii="宋体" w:hAnsi="宋体"/>
          <w:color w:val="000000"/>
          <w:szCs w:val="21"/>
        </w:rPr>
      </w:pPr>
      <w:r>
        <w:rPr>
          <w:rFonts w:hint="eastAsia" w:ascii="宋体" w:hAnsi="宋体"/>
          <w:color w:val="000000"/>
          <w:szCs w:val="21"/>
        </w:rPr>
        <w:t>GB/T 1220-2007  不锈钢棒</w:t>
      </w:r>
    </w:p>
    <w:p>
      <w:pPr>
        <w:rPr>
          <w:rFonts w:hint="eastAsia" w:ascii="宋体" w:hAnsi="宋体"/>
          <w:color w:val="000000"/>
          <w:szCs w:val="21"/>
        </w:rPr>
      </w:pPr>
      <w:r>
        <w:rPr>
          <w:rFonts w:hint="eastAsia" w:ascii="宋体" w:hAnsi="宋体"/>
          <w:color w:val="000000"/>
          <w:szCs w:val="21"/>
        </w:rPr>
        <w:t>1.1.10配套电机</w:t>
      </w:r>
    </w:p>
    <w:p>
      <w:pPr>
        <w:rPr>
          <w:rFonts w:hint="eastAsia" w:ascii="宋体" w:hAnsi="宋体"/>
          <w:color w:val="000000"/>
          <w:szCs w:val="21"/>
        </w:rPr>
      </w:pPr>
      <w:r>
        <w:rPr>
          <w:rFonts w:hint="eastAsia" w:ascii="宋体" w:hAnsi="宋体"/>
          <w:color w:val="000000"/>
          <w:szCs w:val="21"/>
        </w:rPr>
        <w:t>GB 755-2008（IEC34-1）：旋转电机基础技术要求</w:t>
      </w:r>
    </w:p>
    <w:p>
      <w:pPr>
        <w:rPr>
          <w:rFonts w:hint="eastAsia" w:ascii="宋体" w:hAnsi="宋体"/>
          <w:color w:val="000000"/>
          <w:szCs w:val="21"/>
        </w:rPr>
      </w:pPr>
      <w:r>
        <w:rPr>
          <w:rFonts w:hint="eastAsia" w:ascii="宋体" w:hAnsi="宋体"/>
          <w:color w:val="000000"/>
          <w:szCs w:val="21"/>
        </w:rPr>
        <w:t>电机的各项性能指标符合GB755国家标准和相关的技术标准。</w:t>
      </w:r>
    </w:p>
    <w:p>
      <w:pPr>
        <w:pStyle w:val="5"/>
        <w:widowControl/>
        <w:numPr>
          <w:ilvl w:val="0"/>
          <w:numId w:val="12"/>
        </w:numPr>
        <w:tabs>
          <w:tab w:val="left" w:pos="425"/>
          <w:tab w:val="left" w:pos="479"/>
          <w:tab w:val="left" w:pos="851"/>
          <w:tab w:val="left" w:pos="1264"/>
        </w:tabs>
        <w:snapToGrid w:val="0"/>
        <w:spacing w:line="240" w:lineRule="auto"/>
        <w:textAlignment w:val="baseline"/>
        <w:rPr>
          <w:rFonts w:hint="eastAsia"/>
          <w:sz w:val="21"/>
          <w:szCs w:val="21"/>
        </w:rPr>
      </w:pPr>
      <w:bookmarkStart w:id="60" w:name="_Toc517392297"/>
      <w:r>
        <w:rPr>
          <w:rFonts w:hint="eastAsia"/>
          <w:sz w:val="21"/>
          <w:szCs w:val="21"/>
        </w:rPr>
        <w:t>备品备件及报价</w:t>
      </w:r>
      <w:bookmarkEnd w:id="60"/>
    </w:p>
    <w:p>
      <w:pPr>
        <w:rPr>
          <w:rFonts w:hint="eastAsia" w:ascii="宋体" w:hAnsi="宋体"/>
          <w:color w:val="000000"/>
          <w:szCs w:val="21"/>
        </w:rPr>
      </w:pPr>
      <w:r>
        <w:rPr>
          <w:rFonts w:hint="eastAsia" w:ascii="宋体" w:hAnsi="宋体"/>
          <w:color w:val="000000"/>
          <w:szCs w:val="21"/>
        </w:rPr>
        <w:t>每台双吸离心泵机组还应随设备提供易损件的备品备件包括但不限于如下内容：（费用包含在投标报价中）</w:t>
      </w:r>
    </w:p>
    <w:p>
      <w:pPr>
        <w:rPr>
          <w:rFonts w:hint="eastAsia" w:ascii="宋体" w:hAnsi="宋体"/>
          <w:color w:val="000000"/>
          <w:szCs w:val="21"/>
        </w:rPr>
      </w:pPr>
      <w:r>
        <w:rPr>
          <w:rFonts w:hint="eastAsia" w:ascii="宋体" w:hAnsi="宋体"/>
          <w:color w:val="000000"/>
          <w:szCs w:val="21"/>
        </w:rPr>
        <w:t>机械密封</w:t>
      </w:r>
    </w:p>
    <w:p>
      <w:pPr>
        <w:rPr>
          <w:rFonts w:hint="eastAsia" w:ascii="宋体" w:hAnsi="宋体"/>
          <w:color w:val="000000"/>
          <w:szCs w:val="21"/>
        </w:rPr>
      </w:pPr>
      <w:r>
        <w:rPr>
          <w:rFonts w:hint="eastAsia" w:ascii="宋体" w:hAnsi="宋体"/>
          <w:color w:val="000000"/>
          <w:szCs w:val="21"/>
        </w:rPr>
        <w:t>橡胶O形圈</w:t>
      </w:r>
    </w:p>
    <w:p>
      <w:pPr>
        <w:rPr>
          <w:rFonts w:hint="eastAsia" w:ascii="宋体" w:hAnsi="宋体"/>
          <w:color w:val="000000"/>
          <w:szCs w:val="21"/>
        </w:rPr>
      </w:pPr>
      <w:r>
        <w:rPr>
          <w:rFonts w:hint="eastAsia" w:ascii="宋体" w:hAnsi="宋体"/>
          <w:color w:val="000000"/>
          <w:szCs w:val="21"/>
        </w:rPr>
        <w:t>轴套（如有）</w:t>
      </w:r>
    </w:p>
    <w:p>
      <w:pPr>
        <w:rPr>
          <w:rFonts w:hint="eastAsia" w:ascii="宋体" w:hAnsi="宋体"/>
          <w:color w:val="000000"/>
          <w:szCs w:val="21"/>
        </w:rPr>
      </w:pPr>
      <w:r>
        <w:rPr>
          <w:rFonts w:hint="eastAsia" w:ascii="宋体" w:hAnsi="宋体"/>
          <w:color w:val="000000"/>
          <w:szCs w:val="21"/>
        </w:rPr>
        <w:t>所有的易损件和备件应有互换性。易损件和备件的包装保护，应能保证其长期存放而不变质，且应有明显标志。</w:t>
      </w:r>
    </w:p>
    <w:bookmarkEnd w:id="44"/>
    <w:p>
      <w:pPr>
        <w:pStyle w:val="4"/>
        <w:spacing w:line="240" w:lineRule="auto"/>
        <w:rPr>
          <w:rFonts w:hint="eastAsia"/>
          <w:sz w:val="21"/>
          <w:szCs w:val="21"/>
        </w:rPr>
      </w:pPr>
      <w:bookmarkStart w:id="61" w:name="_Toc7949"/>
      <w:bookmarkStart w:id="62" w:name="_Toc15578"/>
      <w:bookmarkStart w:id="63" w:name="_Toc18556"/>
      <w:bookmarkStart w:id="64" w:name="_Toc258933641"/>
      <w:bookmarkStart w:id="65" w:name="_Toc392605663"/>
      <w:bookmarkStart w:id="66" w:name="_Toc135"/>
      <w:bookmarkStart w:id="67" w:name="_Toc29707"/>
      <w:bookmarkStart w:id="68" w:name="_Toc12480"/>
      <w:bookmarkStart w:id="69" w:name="_Toc517392298"/>
      <w:r>
        <w:rPr>
          <w:rFonts w:hint="eastAsia"/>
          <w:sz w:val="21"/>
          <w:szCs w:val="21"/>
        </w:rPr>
        <w:t>2电气</w:t>
      </w:r>
      <w:bookmarkEnd w:id="61"/>
      <w:bookmarkEnd w:id="62"/>
      <w:bookmarkEnd w:id="63"/>
      <w:bookmarkEnd w:id="64"/>
      <w:bookmarkEnd w:id="65"/>
      <w:bookmarkEnd w:id="66"/>
      <w:bookmarkEnd w:id="67"/>
      <w:bookmarkEnd w:id="68"/>
      <w:r>
        <w:rPr>
          <w:rFonts w:hint="eastAsia"/>
          <w:sz w:val="21"/>
          <w:szCs w:val="21"/>
        </w:rPr>
        <w:t>设备</w:t>
      </w:r>
      <w:bookmarkEnd w:id="69"/>
    </w:p>
    <w:p>
      <w:pPr>
        <w:pStyle w:val="5"/>
        <w:tabs>
          <w:tab w:val="left" w:pos="709"/>
        </w:tabs>
        <w:spacing w:line="240" w:lineRule="auto"/>
        <w:ind w:left="709" w:hanging="709"/>
        <w:jc w:val="left"/>
        <w:rPr>
          <w:rFonts w:hint="eastAsia"/>
          <w:sz w:val="21"/>
          <w:szCs w:val="21"/>
        </w:rPr>
      </w:pPr>
      <w:bookmarkStart w:id="70" w:name="_Toc517392299"/>
      <w:r>
        <w:rPr>
          <w:sz w:val="21"/>
          <w:szCs w:val="21"/>
        </w:rPr>
        <w:t>2.1</w:t>
      </w:r>
      <w:r>
        <w:rPr>
          <w:rFonts w:hint="eastAsia"/>
          <w:sz w:val="21"/>
          <w:szCs w:val="21"/>
        </w:rPr>
        <w:t>电气设备总体要求</w:t>
      </w:r>
      <w:bookmarkEnd w:id="70"/>
    </w:p>
    <w:p>
      <w:pPr>
        <w:numPr>
          <w:ilvl w:val="0"/>
          <w:numId w:val="14"/>
        </w:numPr>
        <w:adjustRightInd w:val="0"/>
        <w:snapToGrid w:val="0"/>
        <w:rPr>
          <w:rFonts w:hint="eastAsia"/>
          <w:szCs w:val="21"/>
        </w:rPr>
      </w:pPr>
      <w:r>
        <w:rPr>
          <w:rFonts w:hint="eastAsia"/>
          <w:szCs w:val="21"/>
        </w:rPr>
        <w:t>除特殊规定外，投标方（制造厂家）所提供的所有设备及其元器件必须满足最新中国国家标准和部颁行业标准，允许采用原产国标准，但必须等同或优于中华人民共和国国家标准及部颁标准，如果这些标准内容有矛盾时，应按最高标准的条款执行。同一元件不论国内或国外制造，要采用同一标准。</w:t>
      </w:r>
    </w:p>
    <w:p>
      <w:pPr>
        <w:numPr>
          <w:ilvl w:val="0"/>
          <w:numId w:val="14"/>
        </w:numPr>
        <w:adjustRightInd w:val="0"/>
        <w:snapToGrid w:val="0"/>
        <w:rPr>
          <w:rFonts w:hint="eastAsia"/>
          <w:szCs w:val="21"/>
        </w:rPr>
      </w:pPr>
      <w:r>
        <w:rPr>
          <w:rFonts w:hint="eastAsia"/>
          <w:szCs w:val="21"/>
        </w:rPr>
        <w:t>本招标中各配电系统所采用的开关柜，投标人必须按照招标人提供的图纸成套提供电气设备，功能配置应满足本技术规范要求中主要器件的重要参数和功能，对于不符合本技术要求的按照不响应标书对待。</w:t>
      </w:r>
    </w:p>
    <w:p>
      <w:pPr>
        <w:numPr>
          <w:ilvl w:val="0"/>
          <w:numId w:val="14"/>
        </w:numPr>
        <w:adjustRightInd w:val="0"/>
        <w:snapToGrid w:val="0"/>
        <w:rPr>
          <w:rFonts w:hint="eastAsia"/>
          <w:szCs w:val="21"/>
        </w:rPr>
      </w:pPr>
      <w:r>
        <w:rPr>
          <w:rFonts w:hint="eastAsia"/>
          <w:szCs w:val="21"/>
        </w:rPr>
        <w:t>所有新增配电柜均能与旧系统连接，且不影响旧系统正常运行。</w:t>
      </w:r>
    </w:p>
    <w:p>
      <w:pPr>
        <w:numPr>
          <w:ilvl w:val="0"/>
          <w:numId w:val="14"/>
        </w:numPr>
        <w:adjustRightInd w:val="0"/>
        <w:snapToGrid w:val="0"/>
        <w:rPr>
          <w:rFonts w:hint="eastAsia"/>
          <w:szCs w:val="21"/>
        </w:rPr>
      </w:pPr>
      <w:r>
        <w:rPr>
          <w:rFonts w:hint="eastAsia"/>
          <w:szCs w:val="21"/>
        </w:rPr>
        <w:t>低压配电柜参考MNS低压开关柜柜型，高压开关柜参考原已安装的KYN-</w:t>
      </w:r>
      <w:r>
        <w:rPr>
          <w:szCs w:val="21"/>
        </w:rPr>
        <w:t>2</w:t>
      </w:r>
      <w:r>
        <w:rPr>
          <w:rFonts w:hint="eastAsia"/>
          <w:szCs w:val="21"/>
        </w:rPr>
        <w:t>8A-12高压开关柜柜型。</w:t>
      </w:r>
    </w:p>
    <w:p>
      <w:pPr>
        <w:numPr>
          <w:ilvl w:val="0"/>
          <w:numId w:val="14"/>
        </w:numPr>
        <w:adjustRightInd w:val="0"/>
        <w:snapToGrid w:val="0"/>
        <w:rPr>
          <w:rFonts w:hint="eastAsia"/>
          <w:szCs w:val="21"/>
        </w:rPr>
      </w:pPr>
      <w:r>
        <w:rPr>
          <w:rFonts w:hint="eastAsia"/>
          <w:szCs w:val="21"/>
        </w:rPr>
        <w:t>开关柜颜色与现场原有开关柜颜色一致。</w:t>
      </w:r>
    </w:p>
    <w:p>
      <w:pPr>
        <w:numPr>
          <w:ilvl w:val="0"/>
          <w:numId w:val="14"/>
        </w:numPr>
        <w:adjustRightInd w:val="0"/>
        <w:snapToGrid w:val="0"/>
        <w:rPr>
          <w:rFonts w:hint="eastAsia"/>
          <w:szCs w:val="21"/>
        </w:rPr>
      </w:pPr>
      <w:r>
        <w:rPr>
          <w:rFonts w:hint="eastAsia"/>
          <w:szCs w:val="21"/>
        </w:rPr>
        <w:t>凡在“技术参数及性能（配置）要求”中表述为“标配”或“标准配置”的设备，投标人应在投标报价表中将其标配参数详细列明。</w:t>
      </w:r>
    </w:p>
    <w:p>
      <w:pPr>
        <w:numPr>
          <w:ilvl w:val="0"/>
          <w:numId w:val="14"/>
        </w:numPr>
        <w:adjustRightInd w:val="0"/>
        <w:snapToGrid w:val="0"/>
        <w:rPr>
          <w:rFonts w:hint="eastAsia"/>
          <w:szCs w:val="21"/>
        </w:rPr>
      </w:pPr>
      <w:r>
        <w:rPr>
          <w:rFonts w:hint="eastAsia"/>
          <w:szCs w:val="21"/>
        </w:rPr>
        <w:t>投标文件必须满足招标文件和招标文件所附设计图纸要求。开关柜、箱外形尺寸必须满足规范及现场要求。</w:t>
      </w:r>
    </w:p>
    <w:p>
      <w:pPr>
        <w:numPr>
          <w:ilvl w:val="0"/>
          <w:numId w:val="14"/>
        </w:numPr>
        <w:adjustRightInd w:val="0"/>
        <w:snapToGrid w:val="0"/>
        <w:rPr>
          <w:rFonts w:hint="eastAsia"/>
          <w:szCs w:val="21"/>
        </w:rPr>
      </w:pPr>
      <w:r>
        <w:rPr>
          <w:rFonts w:hint="eastAsia"/>
          <w:szCs w:val="21"/>
        </w:rPr>
        <w:t>投标人提供的所有设备在技术上应该是成熟的、先进的和可靠的。所提供的成套高压开关柜、低压开关柜(含动力箱、配电箱)必须同一品牌产品，并已经在相同规模的工程中应用，经实践证明是优良和安全可靠的。</w:t>
      </w:r>
    </w:p>
    <w:p>
      <w:pPr>
        <w:numPr>
          <w:ilvl w:val="0"/>
          <w:numId w:val="14"/>
        </w:numPr>
        <w:adjustRightInd w:val="0"/>
        <w:snapToGrid w:val="0"/>
        <w:rPr>
          <w:rFonts w:hint="eastAsia"/>
          <w:szCs w:val="21"/>
        </w:rPr>
      </w:pPr>
      <w:r>
        <w:rPr>
          <w:rFonts w:hint="eastAsia"/>
          <w:szCs w:val="21"/>
        </w:rPr>
        <w:t>整个电气设备以单个设备、单台柜及箱为单位报价并提供各设备、开关柜、配电箱、控制箱的全部元器件配置表，包括元件名称、型号规格、技术性能和参数、数量、生产厂家及国别。</w:t>
      </w:r>
    </w:p>
    <w:p>
      <w:pPr>
        <w:numPr>
          <w:ilvl w:val="0"/>
          <w:numId w:val="14"/>
        </w:numPr>
        <w:adjustRightInd w:val="0"/>
        <w:snapToGrid w:val="0"/>
        <w:rPr>
          <w:rFonts w:hint="eastAsia"/>
          <w:szCs w:val="21"/>
        </w:rPr>
      </w:pPr>
      <w:r>
        <w:rPr>
          <w:rFonts w:hint="eastAsia"/>
          <w:szCs w:val="21"/>
        </w:rPr>
        <w:t>承包商有责任，但不限于以下几点：</w:t>
      </w:r>
    </w:p>
    <w:p>
      <w:pPr>
        <w:adjustRightInd w:val="0"/>
        <w:snapToGrid w:val="0"/>
        <w:rPr>
          <w:rFonts w:hint="eastAsia"/>
          <w:szCs w:val="21"/>
        </w:rPr>
      </w:pPr>
      <w:r>
        <w:rPr>
          <w:rFonts w:hint="eastAsia"/>
          <w:szCs w:val="21"/>
        </w:rPr>
        <w:t>a)总的系统合同要确保所有的设备、元件和系统一起形成一个协调的、合理的、完整的电气装置。</w:t>
      </w:r>
    </w:p>
    <w:p>
      <w:pPr>
        <w:adjustRightInd w:val="0"/>
        <w:snapToGrid w:val="0"/>
        <w:rPr>
          <w:rFonts w:hint="eastAsia"/>
          <w:szCs w:val="21"/>
        </w:rPr>
      </w:pPr>
      <w:r>
        <w:rPr>
          <w:rFonts w:hint="eastAsia"/>
          <w:szCs w:val="21"/>
        </w:rPr>
        <w:t>b)所有设备在制造、供应方面应正确达到应用条款指定的功能，不管这些条款在该节是否提出特殊要求。</w:t>
      </w:r>
    </w:p>
    <w:p>
      <w:pPr>
        <w:adjustRightInd w:val="0"/>
        <w:snapToGrid w:val="0"/>
        <w:rPr>
          <w:rFonts w:hint="eastAsia"/>
          <w:szCs w:val="21"/>
        </w:rPr>
      </w:pPr>
      <w:r>
        <w:rPr>
          <w:rFonts w:hint="eastAsia"/>
          <w:szCs w:val="21"/>
        </w:rPr>
        <w:t>c)应确保所有设备的设计、制造的质量。</w:t>
      </w:r>
    </w:p>
    <w:p>
      <w:pPr>
        <w:adjustRightInd w:val="0"/>
        <w:snapToGrid w:val="0"/>
        <w:rPr>
          <w:rFonts w:hint="eastAsia"/>
          <w:szCs w:val="21"/>
        </w:rPr>
      </w:pPr>
      <w:r>
        <w:rPr>
          <w:rFonts w:hint="eastAsia"/>
          <w:szCs w:val="21"/>
        </w:rPr>
        <w:t>d)提供的电气设备应满足所有工艺设备的正常运行要求。</w:t>
      </w:r>
    </w:p>
    <w:p>
      <w:pPr>
        <w:adjustRightInd w:val="0"/>
        <w:snapToGrid w:val="0"/>
        <w:rPr>
          <w:rFonts w:hint="eastAsia"/>
          <w:szCs w:val="21"/>
        </w:rPr>
      </w:pPr>
      <w:r>
        <w:rPr>
          <w:rFonts w:hint="eastAsia"/>
          <w:szCs w:val="21"/>
        </w:rPr>
        <w:t>e)电气设备应满足南宁当地供电部门的要求。</w:t>
      </w:r>
    </w:p>
    <w:p>
      <w:pPr>
        <w:adjustRightInd w:val="0"/>
        <w:snapToGrid w:val="0"/>
        <w:rPr>
          <w:rFonts w:hint="eastAsia"/>
          <w:szCs w:val="21"/>
        </w:rPr>
      </w:pPr>
      <w:r>
        <w:rPr>
          <w:rFonts w:hint="eastAsia"/>
          <w:szCs w:val="21"/>
        </w:rPr>
        <w:t>f)应保证详细的、完整的提交规定的电气设备。</w:t>
      </w:r>
    </w:p>
    <w:p>
      <w:pPr>
        <w:adjustRightInd w:val="0"/>
        <w:snapToGrid w:val="0"/>
        <w:rPr>
          <w:rFonts w:hint="eastAsia"/>
          <w:szCs w:val="21"/>
        </w:rPr>
      </w:pPr>
      <w:r>
        <w:rPr>
          <w:rFonts w:hint="eastAsia"/>
          <w:szCs w:val="21"/>
        </w:rPr>
        <w:t>g)电气设备的检查工作应一直进行到颁发验收证为止。</w:t>
      </w:r>
    </w:p>
    <w:p>
      <w:pPr>
        <w:numPr>
          <w:ilvl w:val="0"/>
          <w:numId w:val="14"/>
        </w:numPr>
        <w:adjustRightInd w:val="0"/>
        <w:snapToGrid w:val="0"/>
        <w:rPr>
          <w:rFonts w:hint="eastAsia"/>
          <w:szCs w:val="21"/>
        </w:rPr>
      </w:pPr>
      <w:r>
        <w:rPr>
          <w:rFonts w:hint="eastAsia"/>
          <w:szCs w:val="21"/>
        </w:rPr>
        <w:t>电气设备需提供的资料，但不限于以下几点：</w:t>
      </w:r>
    </w:p>
    <w:p>
      <w:pPr>
        <w:rPr>
          <w:rFonts w:hint="eastAsia"/>
          <w:szCs w:val="21"/>
        </w:rPr>
      </w:pPr>
      <w:r>
        <w:rPr>
          <w:rFonts w:hint="eastAsia"/>
          <w:szCs w:val="21"/>
        </w:rPr>
        <w:t>低压柜：合格证、出厂报告、3C报告</w:t>
      </w:r>
    </w:p>
    <w:p>
      <w:pPr>
        <w:rPr>
          <w:rFonts w:hint="eastAsia"/>
          <w:szCs w:val="21"/>
        </w:rPr>
      </w:pPr>
    </w:p>
    <w:p>
      <w:pPr>
        <w:pStyle w:val="5"/>
        <w:tabs>
          <w:tab w:val="left" w:pos="709"/>
        </w:tabs>
        <w:spacing w:line="240" w:lineRule="auto"/>
        <w:ind w:left="709" w:hanging="709"/>
        <w:jc w:val="left"/>
        <w:rPr>
          <w:rFonts w:hint="eastAsia"/>
          <w:sz w:val="21"/>
          <w:szCs w:val="21"/>
        </w:rPr>
      </w:pPr>
      <w:bookmarkStart w:id="71" w:name="_Toc517392300"/>
      <w:r>
        <w:rPr>
          <w:rFonts w:hint="eastAsia"/>
          <w:sz w:val="21"/>
          <w:szCs w:val="21"/>
        </w:rPr>
        <w:t>2</w:t>
      </w:r>
      <w:r>
        <w:rPr>
          <w:sz w:val="21"/>
          <w:szCs w:val="21"/>
        </w:rPr>
        <w:t>.2</w:t>
      </w:r>
      <w:r>
        <w:rPr>
          <w:rFonts w:hint="eastAsia"/>
          <w:sz w:val="21"/>
          <w:szCs w:val="21"/>
        </w:rPr>
        <w:t>低压开关柜</w:t>
      </w:r>
      <w:bookmarkEnd w:id="71"/>
    </w:p>
    <w:p>
      <w:pPr>
        <w:pStyle w:val="6"/>
        <w:tabs>
          <w:tab w:val="left" w:pos="851"/>
        </w:tabs>
        <w:spacing w:line="240" w:lineRule="auto"/>
        <w:rPr>
          <w:rFonts w:hint="eastAsia"/>
          <w:szCs w:val="21"/>
        </w:rPr>
      </w:pPr>
      <w:r>
        <w:rPr>
          <w:szCs w:val="21"/>
        </w:rPr>
        <w:t>2.2.1</w:t>
      </w:r>
      <w:r>
        <w:rPr>
          <w:rFonts w:hint="eastAsia"/>
          <w:szCs w:val="21"/>
        </w:rPr>
        <w:t>低压开关柜标准与规范</w:t>
      </w:r>
    </w:p>
    <w:p>
      <w:pPr>
        <w:rPr>
          <w:rFonts w:hint="eastAsia"/>
          <w:szCs w:val="21"/>
        </w:rPr>
      </w:pPr>
      <w:r>
        <w:rPr>
          <w:rFonts w:hint="eastAsia"/>
          <w:szCs w:val="21"/>
        </w:rPr>
        <w:t>本技术要求定义的抽出式低压开关柜应符合相应的国标规定，且防护等级为IP4X。除特殊规定外，投标方（制造厂家）所提供的所有设备及其元器件必须满足中国的低压开关制造、安装等国家标准和部颁行业标准，允许采用原产国标准，但必须等同或优于中华人民共和国国家标准及部颁标准，如果这些标准内容有矛盾时，应按最高标准的条款执行。同一元件不论国内或国外制造，要采用同一标准。</w:t>
      </w:r>
    </w:p>
    <w:p>
      <w:pPr>
        <w:rPr>
          <w:rFonts w:hint="eastAsia"/>
          <w:szCs w:val="21"/>
        </w:rPr>
      </w:pPr>
      <w:r>
        <w:rPr>
          <w:rFonts w:hint="eastAsia"/>
          <w:szCs w:val="21"/>
        </w:rPr>
        <w:t>采用的技术代号和标准名称：</w:t>
      </w:r>
    </w:p>
    <w:p>
      <w:pPr>
        <w:rPr>
          <w:rFonts w:hint="eastAsia"/>
          <w:szCs w:val="21"/>
        </w:rPr>
      </w:pPr>
      <w:r>
        <w:rPr>
          <w:rFonts w:hint="eastAsia"/>
          <w:szCs w:val="21"/>
        </w:rPr>
        <w:t>国际电工委员会标准：</w:t>
      </w:r>
    </w:p>
    <w:p>
      <w:pPr>
        <w:rPr>
          <w:rFonts w:hint="eastAsia"/>
          <w:szCs w:val="21"/>
        </w:rPr>
      </w:pPr>
      <w:r>
        <w:rPr>
          <w:rFonts w:hint="eastAsia"/>
          <w:szCs w:val="21"/>
        </w:rPr>
        <w:t>《评价企业合理用电技术导则》(GB/T 3485-1998)</w:t>
      </w:r>
    </w:p>
    <w:p>
      <w:pPr>
        <w:rPr>
          <w:rFonts w:hint="eastAsia"/>
          <w:szCs w:val="21"/>
        </w:rPr>
      </w:pPr>
      <w:r>
        <w:rPr>
          <w:rFonts w:hint="eastAsia"/>
          <w:szCs w:val="21"/>
        </w:rPr>
        <w:t xml:space="preserve">《低压开关设备和控制设备组合装置 第1部分:已通过型式试验和部分型式试验的组合装置》（IEC 60439-1-1999） </w:t>
      </w:r>
    </w:p>
    <w:p>
      <w:pPr>
        <w:rPr>
          <w:rFonts w:hint="eastAsia"/>
          <w:szCs w:val="21"/>
        </w:rPr>
      </w:pPr>
      <w:r>
        <w:rPr>
          <w:rFonts w:hint="eastAsia"/>
          <w:szCs w:val="21"/>
        </w:rPr>
        <w:t xml:space="preserve">《低压开关设备和控制设备组合装置 第2部分:母线干线系统总线的特殊要求》（IEC 60439-2-2005） </w:t>
      </w:r>
    </w:p>
    <w:p>
      <w:pPr>
        <w:rPr>
          <w:rFonts w:hint="eastAsia"/>
          <w:szCs w:val="21"/>
        </w:rPr>
      </w:pPr>
      <w:r>
        <w:rPr>
          <w:rFonts w:hint="eastAsia"/>
          <w:szCs w:val="21"/>
        </w:rPr>
        <w:t xml:space="preserve">《外壳防护等级》（IEC 60529-2003） </w:t>
      </w:r>
    </w:p>
    <w:p>
      <w:pPr>
        <w:rPr>
          <w:rFonts w:hint="eastAsia"/>
          <w:szCs w:val="21"/>
        </w:rPr>
      </w:pPr>
      <w:r>
        <w:rPr>
          <w:rFonts w:hint="eastAsia"/>
          <w:szCs w:val="21"/>
        </w:rPr>
        <w:t xml:space="preserve">《固体绝缘材料的比较起痕指数和耐起痕指数的测定方法》（IEC 60112-2003） </w:t>
      </w:r>
    </w:p>
    <w:p>
      <w:pPr>
        <w:rPr>
          <w:rFonts w:hint="eastAsia"/>
          <w:szCs w:val="21"/>
        </w:rPr>
      </w:pPr>
      <w:r>
        <w:rPr>
          <w:rFonts w:hint="eastAsia"/>
          <w:szCs w:val="21"/>
        </w:rPr>
        <w:t>《低压开关设备和控制设备 第2部分:断路器》（IEC 60947-2-2006）</w:t>
      </w:r>
    </w:p>
    <w:p>
      <w:pPr>
        <w:rPr>
          <w:rFonts w:hint="eastAsia"/>
          <w:szCs w:val="21"/>
        </w:rPr>
      </w:pPr>
      <w:r>
        <w:rPr>
          <w:rFonts w:hint="eastAsia"/>
          <w:szCs w:val="21"/>
        </w:rPr>
        <w:t xml:space="preserve">《电气继电器》（IEC 60255） </w:t>
      </w:r>
    </w:p>
    <w:p>
      <w:pPr>
        <w:rPr>
          <w:rFonts w:hint="eastAsia"/>
          <w:szCs w:val="21"/>
        </w:rPr>
      </w:pPr>
      <w:r>
        <w:rPr>
          <w:rFonts w:hint="eastAsia"/>
          <w:szCs w:val="21"/>
        </w:rPr>
        <w:t>《人机界面、标志和标识的基本原则和安全原则.用颜色或字母数字来标识导体》（IEC 60446-2007）</w:t>
      </w:r>
    </w:p>
    <w:p>
      <w:pPr>
        <w:rPr>
          <w:rFonts w:hint="eastAsia"/>
          <w:szCs w:val="21"/>
        </w:rPr>
      </w:pPr>
      <w:r>
        <w:rPr>
          <w:rFonts w:hint="eastAsia"/>
          <w:szCs w:val="21"/>
        </w:rPr>
        <w:t>《人-机接口,标记和鉴别用的基本原理和安全原则.指示设备和调节器的编码原理》（IEC 60073-2002）</w:t>
      </w:r>
    </w:p>
    <w:p>
      <w:pPr>
        <w:rPr>
          <w:rFonts w:hint="eastAsia"/>
          <w:szCs w:val="21"/>
        </w:rPr>
      </w:pPr>
      <w:r>
        <w:rPr>
          <w:rFonts w:hint="eastAsia"/>
          <w:szCs w:val="21"/>
        </w:rPr>
        <w:t>国家标准：</w:t>
      </w:r>
    </w:p>
    <w:p>
      <w:pPr>
        <w:rPr>
          <w:rFonts w:hint="eastAsia"/>
          <w:szCs w:val="21"/>
        </w:rPr>
      </w:pPr>
      <w:r>
        <w:rPr>
          <w:rFonts w:hint="eastAsia"/>
          <w:szCs w:val="21"/>
        </w:rPr>
        <w:t>《低压配电设计规范》（GB 50054-2011）</w:t>
      </w:r>
    </w:p>
    <w:p>
      <w:pPr>
        <w:rPr>
          <w:rFonts w:hint="eastAsia"/>
          <w:szCs w:val="21"/>
        </w:rPr>
      </w:pPr>
      <w:r>
        <w:rPr>
          <w:rFonts w:hint="eastAsia"/>
          <w:szCs w:val="21"/>
        </w:rPr>
        <w:t>《供配电系统设计规范》（GB 50052-2009）</w:t>
      </w:r>
    </w:p>
    <w:p>
      <w:pPr>
        <w:rPr>
          <w:rFonts w:hint="eastAsia"/>
          <w:szCs w:val="21"/>
        </w:rPr>
      </w:pPr>
      <w:r>
        <w:rPr>
          <w:rFonts w:hint="eastAsia"/>
          <w:szCs w:val="21"/>
        </w:rPr>
        <w:t>《建筑物防雷设计规范》（GB 50057-2010）</w:t>
      </w:r>
    </w:p>
    <w:p>
      <w:pPr>
        <w:rPr>
          <w:rFonts w:hint="eastAsia"/>
          <w:szCs w:val="21"/>
        </w:rPr>
      </w:pPr>
      <w:r>
        <w:rPr>
          <w:rFonts w:hint="eastAsia"/>
          <w:szCs w:val="21"/>
        </w:rPr>
        <w:t>《防雷装置技术评价规范》（QX/T106-2009）</w:t>
      </w:r>
    </w:p>
    <w:p>
      <w:pPr>
        <w:rPr>
          <w:rFonts w:hint="eastAsia"/>
          <w:szCs w:val="21"/>
        </w:rPr>
      </w:pPr>
      <w:r>
        <w:rPr>
          <w:rFonts w:hint="eastAsia"/>
          <w:szCs w:val="21"/>
        </w:rPr>
        <w:t xml:space="preserve">《低压成套开关设备和控制设备 第1部分:型式试验和部分型式试验 成套设备》（GB 7251.1-2005） </w:t>
      </w:r>
    </w:p>
    <w:p>
      <w:pPr>
        <w:rPr>
          <w:rFonts w:hint="eastAsia"/>
          <w:szCs w:val="21"/>
        </w:rPr>
      </w:pPr>
      <w:r>
        <w:rPr>
          <w:rFonts w:hint="eastAsia"/>
          <w:szCs w:val="21"/>
        </w:rPr>
        <w:t xml:space="preserve">《低压成套开关设备和控制设备 第2部分:对母线干线系统(母线槽)的特殊要求》（GB 7251.2-2006） </w:t>
      </w:r>
    </w:p>
    <w:p>
      <w:pPr>
        <w:rPr>
          <w:rFonts w:hint="eastAsia"/>
          <w:szCs w:val="21"/>
        </w:rPr>
      </w:pPr>
      <w:r>
        <w:rPr>
          <w:rFonts w:hint="eastAsia"/>
          <w:szCs w:val="21"/>
        </w:rPr>
        <w:t>《低压成套开关设备和控制设备 第3部分:对非专业人员可进入场地的低压成套开关设备和控制设备--配电板的特殊要求》（GB 7251.3-2006）</w:t>
      </w:r>
    </w:p>
    <w:p>
      <w:pPr>
        <w:rPr>
          <w:rFonts w:hint="eastAsia"/>
          <w:szCs w:val="21"/>
        </w:rPr>
      </w:pPr>
      <w:r>
        <w:rPr>
          <w:rFonts w:hint="eastAsia"/>
          <w:szCs w:val="21"/>
        </w:rPr>
        <w:t>《低压成套开关设备和控制设备 第4部分:对建筑工地用成套设备(ACS)的特殊要求》（GB 7251.4-2006）</w:t>
      </w:r>
    </w:p>
    <w:p>
      <w:pPr>
        <w:rPr>
          <w:rFonts w:hint="eastAsia"/>
          <w:szCs w:val="21"/>
        </w:rPr>
      </w:pPr>
      <w:r>
        <w:rPr>
          <w:rFonts w:hint="eastAsia"/>
          <w:szCs w:val="21"/>
        </w:rPr>
        <w:t>《低压成套开关设备和控制设备 第5部分:对公用电网动力配电成套设备的特殊要求》（GB 7251.5-2008）</w:t>
      </w:r>
    </w:p>
    <w:p>
      <w:pPr>
        <w:rPr>
          <w:rFonts w:hint="eastAsia"/>
          <w:szCs w:val="21"/>
        </w:rPr>
      </w:pPr>
      <w:r>
        <w:rPr>
          <w:rFonts w:hint="eastAsia"/>
          <w:szCs w:val="21"/>
        </w:rPr>
        <w:t xml:space="preserve">《电磁式电压互感器》（GB 1207-2006） </w:t>
      </w:r>
    </w:p>
    <w:p>
      <w:pPr>
        <w:rPr>
          <w:rFonts w:hint="eastAsia"/>
          <w:szCs w:val="21"/>
        </w:rPr>
      </w:pPr>
      <w:r>
        <w:rPr>
          <w:rFonts w:hint="eastAsia"/>
          <w:szCs w:val="21"/>
        </w:rPr>
        <w:t>《电流互感器》（GB 1208-2006）</w:t>
      </w:r>
    </w:p>
    <w:p>
      <w:pPr>
        <w:rPr>
          <w:rFonts w:hint="eastAsia"/>
          <w:szCs w:val="21"/>
        </w:rPr>
      </w:pPr>
      <w:r>
        <w:rPr>
          <w:rFonts w:hint="eastAsia"/>
          <w:szCs w:val="21"/>
        </w:rPr>
        <w:t>《标称电压1kV及以下交流电力系统用非自愈式并联电容器 第1部分:总则--性能、试验和定额--安全要求--安装和运行导则》（GB/T 17886.1-1999）</w:t>
      </w:r>
    </w:p>
    <w:p>
      <w:pPr>
        <w:rPr>
          <w:rFonts w:hint="eastAsia"/>
          <w:szCs w:val="21"/>
        </w:rPr>
      </w:pPr>
      <w:r>
        <w:rPr>
          <w:rFonts w:hint="eastAsia"/>
          <w:szCs w:val="21"/>
        </w:rPr>
        <w:t xml:space="preserve">《低压电器外壳防护等级》（GB 4942.2-1993） </w:t>
      </w:r>
    </w:p>
    <w:p>
      <w:pPr>
        <w:rPr>
          <w:rFonts w:hint="eastAsia"/>
          <w:szCs w:val="21"/>
        </w:rPr>
      </w:pPr>
      <w:r>
        <w:rPr>
          <w:rFonts w:hint="eastAsia"/>
          <w:szCs w:val="21"/>
        </w:rPr>
        <w:t xml:space="preserve">《继电保护和安全自动装置基本试验方法》（GB 7261-2008） </w:t>
      </w:r>
    </w:p>
    <w:p>
      <w:pPr>
        <w:rPr>
          <w:rFonts w:hint="eastAsia"/>
          <w:szCs w:val="21"/>
        </w:rPr>
      </w:pPr>
      <w:r>
        <w:rPr>
          <w:rFonts w:hint="eastAsia"/>
          <w:szCs w:val="21"/>
        </w:rPr>
        <w:t>《低压熔断器 第1部分:基本要求》（GB 13539.1－2008）</w:t>
      </w:r>
    </w:p>
    <w:p>
      <w:pPr>
        <w:rPr>
          <w:rFonts w:hint="eastAsia"/>
          <w:szCs w:val="21"/>
        </w:rPr>
      </w:pPr>
      <w:r>
        <w:rPr>
          <w:rFonts w:hint="eastAsia"/>
          <w:szCs w:val="21"/>
        </w:rPr>
        <w:t xml:space="preserve">《低压开关设备和控制设备 总则》（GB/T 14048.1-2006） </w:t>
      </w:r>
    </w:p>
    <w:p>
      <w:pPr>
        <w:rPr>
          <w:rFonts w:hint="eastAsia"/>
          <w:szCs w:val="21"/>
        </w:rPr>
      </w:pPr>
      <w:r>
        <w:rPr>
          <w:rFonts w:hint="eastAsia"/>
          <w:szCs w:val="21"/>
        </w:rPr>
        <w:t xml:space="preserve">《电工电子产品环境试验》（GB 2421、2423、2424） </w:t>
      </w:r>
    </w:p>
    <w:p>
      <w:pPr>
        <w:rPr>
          <w:rFonts w:hint="eastAsia"/>
          <w:szCs w:val="21"/>
        </w:rPr>
      </w:pPr>
      <w:r>
        <w:rPr>
          <w:rFonts w:hint="eastAsia"/>
          <w:szCs w:val="21"/>
        </w:rPr>
        <w:t>《继电保护和安全自动装置技术规程》（GB 14285-2006）</w:t>
      </w:r>
    </w:p>
    <w:p>
      <w:pPr>
        <w:rPr>
          <w:rFonts w:hint="eastAsia"/>
          <w:szCs w:val="21"/>
        </w:rPr>
      </w:pPr>
      <w:r>
        <w:rPr>
          <w:rFonts w:hint="eastAsia"/>
          <w:szCs w:val="21"/>
        </w:rPr>
        <w:t>《电气装置安装工程施工及验收规范》（GB 50254-96~GB 50256-96）</w:t>
      </w:r>
    </w:p>
    <w:p>
      <w:pPr>
        <w:rPr>
          <w:rFonts w:hint="eastAsia"/>
          <w:szCs w:val="21"/>
        </w:rPr>
      </w:pPr>
      <w:r>
        <w:rPr>
          <w:rFonts w:hint="eastAsia"/>
          <w:szCs w:val="21"/>
        </w:rPr>
        <w:t>《涂装前钢材表面锈蚀等级和除锈等级》（GB 8923-2011）</w:t>
      </w:r>
    </w:p>
    <w:p>
      <w:pPr>
        <w:rPr>
          <w:rFonts w:hint="eastAsia"/>
          <w:szCs w:val="21"/>
        </w:rPr>
      </w:pPr>
      <w:r>
        <w:rPr>
          <w:rFonts w:hint="eastAsia"/>
          <w:szCs w:val="21"/>
        </w:rPr>
        <w:t>《色漆和清漆－防护涂料体系对钢结构的防腐蚀保护》（ISO 12944-1998）</w:t>
      </w:r>
    </w:p>
    <w:p>
      <w:pPr>
        <w:pStyle w:val="6"/>
        <w:tabs>
          <w:tab w:val="left" w:pos="851"/>
        </w:tabs>
        <w:spacing w:line="240" w:lineRule="auto"/>
        <w:rPr>
          <w:rFonts w:hint="eastAsia"/>
          <w:szCs w:val="21"/>
        </w:rPr>
      </w:pPr>
      <w:r>
        <w:rPr>
          <w:szCs w:val="21"/>
        </w:rPr>
        <w:t>2.2.2</w:t>
      </w:r>
      <w:r>
        <w:rPr>
          <w:rFonts w:hint="eastAsia"/>
          <w:szCs w:val="21"/>
        </w:rPr>
        <w:t>开关柜技术指标</w:t>
      </w:r>
    </w:p>
    <w:p>
      <w:pPr>
        <w:rPr>
          <w:rFonts w:hint="eastAsia"/>
          <w:szCs w:val="21"/>
        </w:rPr>
      </w:pPr>
      <w:r>
        <w:rPr>
          <w:rFonts w:hint="eastAsia"/>
          <w:szCs w:val="21"/>
        </w:rPr>
        <w:t>形式：抽屉式</w:t>
      </w:r>
    </w:p>
    <w:p>
      <w:pPr>
        <w:rPr>
          <w:rFonts w:hint="eastAsia"/>
          <w:szCs w:val="21"/>
        </w:rPr>
      </w:pPr>
      <w:r>
        <w:rPr>
          <w:rFonts w:hint="eastAsia"/>
          <w:szCs w:val="21"/>
        </w:rPr>
        <w:t>额定绝缘电压UI：1000V AC</w:t>
      </w:r>
    </w:p>
    <w:p>
      <w:pPr>
        <w:rPr>
          <w:rFonts w:hint="eastAsia"/>
          <w:szCs w:val="21"/>
        </w:rPr>
      </w:pPr>
      <w:r>
        <w:rPr>
          <w:rFonts w:hint="eastAsia"/>
          <w:szCs w:val="21"/>
        </w:rPr>
        <w:t>额定工作电压Ue：400V AC</w:t>
      </w:r>
    </w:p>
    <w:p>
      <w:pPr>
        <w:rPr>
          <w:rFonts w:hint="eastAsia"/>
          <w:szCs w:val="21"/>
        </w:rPr>
      </w:pPr>
      <w:r>
        <w:rPr>
          <w:rFonts w:hint="eastAsia"/>
          <w:szCs w:val="21"/>
        </w:rPr>
        <w:t>主母线额定电流：见图纸</w:t>
      </w:r>
    </w:p>
    <w:p>
      <w:pPr>
        <w:rPr>
          <w:rFonts w:hint="eastAsia"/>
          <w:szCs w:val="21"/>
        </w:rPr>
      </w:pPr>
      <w:r>
        <w:rPr>
          <w:rFonts w:hint="eastAsia"/>
          <w:szCs w:val="21"/>
        </w:rPr>
        <w:t>额定脉冲耐受电压：8kV</w:t>
      </w:r>
    </w:p>
    <w:p>
      <w:pPr>
        <w:rPr>
          <w:rFonts w:hint="eastAsia"/>
          <w:szCs w:val="21"/>
        </w:rPr>
      </w:pPr>
      <w:r>
        <w:rPr>
          <w:rFonts w:hint="eastAsia"/>
          <w:szCs w:val="21"/>
        </w:rPr>
        <w:t>额定短时耐受电流：与主母线额定电流匹配</w:t>
      </w:r>
    </w:p>
    <w:p>
      <w:pPr>
        <w:rPr>
          <w:rFonts w:hint="eastAsia"/>
          <w:szCs w:val="21"/>
        </w:rPr>
      </w:pPr>
      <w:r>
        <w:rPr>
          <w:rFonts w:hint="eastAsia"/>
          <w:szCs w:val="21"/>
        </w:rPr>
        <w:t>额定峰值耐受电流：与主母线额定电流匹配</w:t>
      </w:r>
    </w:p>
    <w:p>
      <w:pPr>
        <w:rPr>
          <w:rFonts w:hint="eastAsia"/>
          <w:szCs w:val="21"/>
        </w:rPr>
      </w:pPr>
      <w:r>
        <w:rPr>
          <w:rFonts w:hint="eastAsia"/>
          <w:szCs w:val="21"/>
        </w:rPr>
        <w:t>过电压等级：Ⅲ级</w:t>
      </w:r>
    </w:p>
    <w:p>
      <w:pPr>
        <w:rPr>
          <w:rFonts w:hint="eastAsia"/>
          <w:szCs w:val="21"/>
        </w:rPr>
      </w:pPr>
      <w:r>
        <w:rPr>
          <w:rFonts w:hint="eastAsia"/>
          <w:szCs w:val="21"/>
        </w:rPr>
        <w:t>环境污染等级：Ⅱ</w:t>
      </w:r>
    </w:p>
    <w:p>
      <w:pPr>
        <w:rPr>
          <w:rFonts w:hint="eastAsia"/>
          <w:szCs w:val="21"/>
        </w:rPr>
      </w:pPr>
      <w:r>
        <w:rPr>
          <w:rFonts w:hint="eastAsia"/>
          <w:szCs w:val="21"/>
        </w:rPr>
        <w:t>额定频率：50Hz</w:t>
      </w:r>
    </w:p>
    <w:p>
      <w:pPr>
        <w:pStyle w:val="6"/>
        <w:tabs>
          <w:tab w:val="left" w:pos="851"/>
        </w:tabs>
        <w:spacing w:line="240" w:lineRule="auto"/>
        <w:rPr>
          <w:rFonts w:hint="eastAsia"/>
          <w:szCs w:val="21"/>
        </w:rPr>
      </w:pPr>
      <w:r>
        <w:rPr>
          <w:szCs w:val="21"/>
        </w:rPr>
        <w:t>2.2.3</w:t>
      </w:r>
      <w:r>
        <w:rPr>
          <w:rFonts w:hint="eastAsia"/>
          <w:szCs w:val="21"/>
        </w:rPr>
        <w:t>结构特性</w:t>
      </w:r>
    </w:p>
    <w:p>
      <w:pPr>
        <w:rPr>
          <w:rFonts w:hint="eastAsia"/>
          <w:szCs w:val="21"/>
        </w:rPr>
      </w:pPr>
      <w:r>
        <w:rPr>
          <w:rFonts w:hint="eastAsia"/>
          <w:szCs w:val="21"/>
        </w:rPr>
        <w:t>开关柜采用抽出式结构，结构紧凑，柜内元件全部选用标准化元件。低压柜的整个系统采用组合式设计，能保证操作人员的安全，且便于运行、维护、检查、监视、检修和试验。</w:t>
      </w:r>
    </w:p>
    <w:p>
      <w:pPr>
        <w:rPr>
          <w:rFonts w:hint="eastAsia"/>
          <w:szCs w:val="21"/>
        </w:rPr>
      </w:pPr>
      <w:r>
        <w:rPr>
          <w:rFonts w:hint="eastAsia"/>
          <w:szCs w:val="21"/>
        </w:rPr>
        <w:t>开关柜的整个柜体框架和壳体应由厚度不小于2mm的优质覆铝锌板经冲剪、弯折后栓接而成，在潮湿的环境下能够保证30年不生锈，覆铝锌板材料的体身应为优质冷轧钢板，所有框架构件应为免维修型。开关柜的外壳及间隔室的防护等级应为IP4X。</w:t>
      </w:r>
    </w:p>
    <w:p>
      <w:pPr>
        <w:rPr>
          <w:rFonts w:hint="eastAsia"/>
          <w:szCs w:val="21"/>
        </w:rPr>
      </w:pPr>
      <w:r>
        <w:rPr>
          <w:rFonts w:hint="eastAsia"/>
          <w:szCs w:val="21"/>
        </w:rPr>
        <w:t>开关柜由固定的柜体和可移出部分两大部分组成，柜体结构可分为独立分隔的装置小室、电缆小室、母线小室。</w:t>
      </w:r>
    </w:p>
    <w:p>
      <w:pPr>
        <w:rPr>
          <w:rFonts w:hint="eastAsia"/>
          <w:szCs w:val="21"/>
        </w:rPr>
      </w:pPr>
      <w:r>
        <w:rPr>
          <w:rFonts w:hint="eastAsia"/>
          <w:szCs w:val="21"/>
        </w:rPr>
        <w:t>开关柜为空气绝缘，各功能单元在设计和制造上应保证同类型单元的互换性，同型产品内额定值和结构相同的组件应能互换。</w:t>
      </w:r>
    </w:p>
    <w:p>
      <w:pPr>
        <w:rPr>
          <w:rFonts w:hint="eastAsia"/>
          <w:szCs w:val="21"/>
        </w:rPr>
      </w:pPr>
      <w:r>
        <w:rPr>
          <w:rFonts w:hint="eastAsia"/>
          <w:szCs w:val="21"/>
        </w:rPr>
        <w:t>柜内部功能单元小室分隔：内部小室分隔板表面采用锌－铝合金镀层，横梁表面采用电镀锌。</w:t>
      </w:r>
    </w:p>
    <w:p>
      <w:pPr>
        <w:rPr>
          <w:rFonts w:hint="eastAsia"/>
          <w:szCs w:val="21"/>
        </w:rPr>
      </w:pPr>
      <w:r>
        <w:rPr>
          <w:rFonts w:hint="eastAsia"/>
          <w:szCs w:val="21"/>
        </w:rPr>
        <w:t>主母线铜排应由纯度高于99.9%的电解铜制成，所有铜排安装时应加有热缩套管加速母排散热。投标人应根据母线载流量、热稳定、动稳定选择母线截面积。</w:t>
      </w:r>
    </w:p>
    <w:p>
      <w:pPr>
        <w:rPr>
          <w:rFonts w:hint="eastAsia"/>
          <w:szCs w:val="21"/>
        </w:rPr>
      </w:pPr>
      <w:r>
        <w:rPr>
          <w:rFonts w:hint="eastAsia"/>
          <w:szCs w:val="21"/>
        </w:rPr>
        <w:t>开关柜中配备多功能分隔板，多功能隔板应是经一次注塑成型的，能够阻隔装置小室的故障电弧而不影响母线小室。多功能分隔板以及其它的开关柜设备所选用的塑胶材料中应不含CFC（氯氟碳化合物）或卤素，材料本身不会燃烧，具有阻燃和自熄灭的特性。</w:t>
      </w:r>
    </w:p>
    <w:p>
      <w:pPr>
        <w:rPr>
          <w:rFonts w:hint="eastAsia"/>
          <w:szCs w:val="21"/>
        </w:rPr>
      </w:pPr>
      <w:r>
        <w:rPr>
          <w:rFonts w:hint="eastAsia"/>
          <w:szCs w:val="21"/>
        </w:rPr>
        <w:t>抽屉单元带有导轨和推进机构，二次接插件应有导入对准机构，降低二次接插件的故障率，一次接插件的电缆夹和触头应机械分离，并通过一个旋转机构连接，减少电缆力对触头定位的影响，提高触头的耐用性。</w:t>
      </w:r>
    </w:p>
    <w:p>
      <w:pPr>
        <w:rPr>
          <w:rFonts w:hint="eastAsia"/>
          <w:szCs w:val="21"/>
        </w:rPr>
      </w:pPr>
      <w:r>
        <w:rPr>
          <w:rFonts w:hint="eastAsia"/>
          <w:szCs w:val="21"/>
        </w:rPr>
        <w:t>整个低压配电系统按TN－S系统布置母线，PE、N和L连接母排上均应开有模数孔，用于电缆连接。</w:t>
      </w:r>
    </w:p>
    <w:p>
      <w:pPr>
        <w:rPr>
          <w:rFonts w:hint="eastAsia"/>
          <w:szCs w:val="21"/>
        </w:rPr>
      </w:pPr>
      <w:r>
        <w:rPr>
          <w:rFonts w:hint="eastAsia"/>
          <w:szCs w:val="21"/>
        </w:rPr>
        <w:t>柜子的机械附件：计量仪表壁龛和抗冲击防护盖、电流表、电压表等应安装在前部面板以方便操作；电源保护、电流互感器等电气元件安装在装置小室及母排小室里方便检查。</w:t>
      </w:r>
    </w:p>
    <w:p>
      <w:pPr>
        <w:rPr>
          <w:rFonts w:hint="eastAsia"/>
          <w:szCs w:val="21"/>
        </w:rPr>
      </w:pPr>
      <w:r>
        <w:rPr>
          <w:rFonts w:hint="eastAsia"/>
          <w:szCs w:val="21"/>
        </w:rPr>
        <w:t>配电母线垂直布置在母线小室内，每相为单根电解铜排，截面积按功能单元电流值选择。</w:t>
      </w:r>
    </w:p>
    <w:p>
      <w:pPr>
        <w:rPr>
          <w:rFonts w:hint="eastAsia"/>
          <w:szCs w:val="21"/>
        </w:rPr>
      </w:pPr>
      <w:r>
        <w:rPr>
          <w:rFonts w:hint="eastAsia"/>
          <w:szCs w:val="21"/>
        </w:rPr>
        <w:t>抽出式开关柜采用标准规格。对抽出式组件进行抽出操作时，柜内主电源应不切断；在相邻组件不断电情况下，操作组件的插入/抽出不应发生触电危险。</w:t>
      </w:r>
    </w:p>
    <w:p>
      <w:pPr>
        <w:rPr>
          <w:rFonts w:hint="eastAsia"/>
          <w:szCs w:val="21"/>
        </w:rPr>
      </w:pPr>
      <w:r>
        <w:rPr>
          <w:rFonts w:hint="eastAsia"/>
          <w:szCs w:val="21"/>
        </w:rPr>
        <w:t>所有馈电回路进线端采用双层绝缘阻燃电缆。</w:t>
      </w:r>
    </w:p>
    <w:p>
      <w:pPr>
        <w:pStyle w:val="6"/>
        <w:tabs>
          <w:tab w:val="left" w:pos="851"/>
        </w:tabs>
        <w:spacing w:line="240" w:lineRule="auto"/>
        <w:rPr>
          <w:rFonts w:hint="eastAsia"/>
          <w:szCs w:val="21"/>
        </w:rPr>
      </w:pPr>
      <w:r>
        <w:rPr>
          <w:szCs w:val="21"/>
        </w:rPr>
        <w:t>2.2.4</w:t>
      </w:r>
      <w:r>
        <w:rPr>
          <w:rFonts w:hint="eastAsia"/>
          <w:szCs w:val="21"/>
        </w:rPr>
        <w:t>性能要求</w:t>
      </w:r>
    </w:p>
    <w:p>
      <w:pPr>
        <w:rPr>
          <w:rFonts w:hint="eastAsia"/>
          <w:szCs w:val="21"/>
        </w:rPr>
      </w:pPr>
      <w:r>
        <w:rPr>
          <w:rFonts w:hint="eastAsia"/>
          <w:szCs w:val="21"/>
        </w:rPr>
        <w:t>所有出线开关配分合闸红绿指示灯，并带辅助触头、分励脱扣器AC220V，分励脱扣至二次端子，以便消防切换。</w:t>
      </w:r>
    </w:p>
    <w:p>
      <w:pPr>
        <w:rPr>
          <w:rFonts w:hint="eastAsia"/>
          <w:szCs w:val="21"/>
        </w:rPr>
      </w:pPr>
      <w:r>
        <w:rPr>
          <w:rFonts w:hint="eastAsia"/>
          <w:szCs w:val="21"/>
        </w:rPr>
        <w:t>柜内所有元器件均应满足标书所附图纸要求。所有低压断路器及开关均为完全可抽出式，且按IEC标准设计与制造，并符合每台低压开关的操作要求。</w:t>
      </w:r>
    </w:p>
    <w:p>
      <w:pPr>
        <w:rPr>
          <w:rFonts w:hint="eastAsia"/>
          <w:szCs w:val="21"/>
        </w:rPr>
      </w:pPr>
      <w:r>
        <w:rPr>
          <w:rFonts w:hint="eastAsia"/>
          <w:szCs w:val="21"/>
        </w:rPr>
        <w:t>每台低压开关柜上的开关面板应有断路器的开、闭状态及脱扣器跳扣状态指示，所有回路的电流都在开关柜上通过数字表显示出来。</w:t>
      </w:r>
    </w:p>
    <w:p>
      <w:pPr>
        <w:rPr>
          <w:rFonts w:hint="eastAsia"/>
          <w:szCs w:val="21"/>
        </w:rPr>
      </w:pPr>
      <w:r>
        <w:rPr>
          <w:rFonts w:hint="eastAsia"/>
          <w:szCs w:val="21"/>
        </w:rPr>
        <w:t>在满负荷时，控制柜面板配置的测量表计的测量值应在量程的2／3左右。指针式仪表精度不低于1.5％，数字表精度不低于0.5％，出线电流表应满足设备启动时的过电流。</w:t>
      </w:r>
    </w:p>
    <w:p>
      <w:pPr>
        <w:rPr>
          <w:rFonts w:hint="eastAsia"/>
          <w:szCs w:val="21"/>
        </w:rPr>
      </w:pPr>
      <w:r>
        <w:rPr>
          <w:rFonts w:hint="eastAsia"/>
          <w:szCs w:val="21"/>
        </w:rPr>
        <w:t>控制回路、备用回路按相应参考图纸要求配置抽屉和元件，并且备用抽屉间隔中应安装好相应的框架、导轨、一次及二次插件等，使备用抽屉随时可投入使用。</w:t>
      </w:r>
    </w:p>
    <w:p>
      <w:pPr>
        <w:rPr>
          <w:rFonts w:hint="eastAsia"/>
          <w:szCs w:val="21"/>
        </w:rPr>
      </w:pPr>
      <w:r>
        <w:rPr>
          <w:rFonts w:hint="eastAsia"/>
          <w:szCs w:val="21"/>
        </w:rPr>
        <w:t>厂家提供的设备应包括联络柜之间的连接母排（装有热缩绝缘套管）、母排安装用的全部配件（含支架、预埋件、螺栓、螺母、封闭母线通道用的保护外壳）以及与变压器连接用的密集型母线槽（或铜排）。</w:t>
      </w:r>
    </w:p>
    <w:p>
      <w:pPr>
        <w:rPr>
          <w:rFonts w:hint="eastAsia"/>
          <w:szCs w:val="21"/>
        </w:rPr>
      </w:pPr>
      <w:r>
        <w:rPr>
          <w:rFonts w:hint="eastAsia"/>
          <w:szCs w:val="21"/>
        </w:rPr>
        <w:t>运行参数、状态、故障信号可由后台直接监视。</w:t>
      </w:r>
    </w:p>
    <w:p>
      <w:pPr>
        <w:pStyle w:val="6"/>
        <w:tabs>
          <w:tab w:val="left" w:pos="851"/>
        </w:tabs>
        <w:spacing w:line="240" w:lineRule="auto"/>
        <w:rPr>
          <w:rFonts w:hint="eastAsia"/>
          <w:szCs w:val="21"/>
        </w:rPr>
      </w:pPr>
      <w:r>
        <w:rPr>
          <w:szCs w:val="21"/>
        </w:rPr>
        <w:t>2.2.5</w:t>
      </w:r>
      <w:r>
        <w:rPr>
          <w:rFonts w:hint="eastAsia"/>
          <w:szCs w:val="21"/>
        </w:rPr>
        <w:t>柜内设备</w:t>
      </w:r>
    </w:p>
    <w:p>
      <w:pPr>
        <w:rPr>
          <w:rFonts w:hint="eastAsia"/>
          <w:szCs w:val="21"/>
        </w:rPr>
      </w:pPr>
      <w:r>
        <w:rPr>
          <w:rFonts w:hint="eastAsia"/>
          <w:szCs w:val="21"/>
        </w:rPr>
        <w:t xml:space="preserve">   A 断路器</w:t>
      </w:r>
    </w:p>
    <w:p>
      <w:pPr>
        <w:rPr>
          <w:rFonts w:hint="eastAsia"/>
          <w:color w:val="0000FF"/>
          <w:szCs w:val="21"/>
        </w:rPr>
      </w:pPr>
      <w:r>
        <w:rPr>
          <w:rFonts w:hint="eastAsia"/>
          <w:color w:val="0000FF"/>
          <w:szCs w:val="21"/>
        </w:rPr>
        <w:t>塑壳断路器应选用不低于施耐德的</w:t>
      </w:r>
      <w:r>
        <w:rPr>
          <w:color w:val="0000FF"/>
          <w:szCs w:val="21"/>
        </w:rPr>
        <w:t>NSX</w:t>
      </w:r>
      <w:r>
        <w:rPr>
          <w:rFonts w:hint="eastAsia"/>
          <w:color w:val="0000FF"/>
          <w:szCs w:val="21"/>
        </w:rPr>
        <w:t>系列产品。</w:t>
      </w:r>
    </w:p>
    <w:p>
      <w:pPr>
        <w:rPr>
          <w:rFonts w:hint="eastAsia"/>
          <w:szCs w:val="21"/>
        </w:rPr>
      </w:pPr>
      <w:r>
        <w:rPr>
          <w:rFonts w:hint="eastAsia"/>
          <w:szCs w:val="21"/>
        </w:rPr>
        <w:t>80A及80A以上的塑壳断路器应配置微处理器式电子脱扣器，并带有全套的附件：分励脱扣器、合闸线圈、旋转手柄操作机构、辅助触点等。故障时断路器采用电流速断、短延时过电流、长延时过电流、接地短路等保护（不少于三段保护 ），其电流及时间的整定值可根据需要通过微处理器式电子脱扣器进行现场手动调节。</w:t>
      </w:r>
    </w:p>
    <w:p>
      <w:pPr>
        <w:rPr>
          <w:rFonts w:hint="eastAsia"/>
          <w:szCs w:val="21"/>
        </w:rPr>
      </w:pPr>
      <w:r>
        <w:rPr>
          <w:rFonts w:hint="eastAsia"/>
          <w:szCs w:val="21"/>
        </w:rPr>
        <w:t>低压塑壳出线开关额定极限短路能力不小于50kA。</w:t>
      </w:r>
    </w:p>
    <w:p>
      <w:pPr>
        <w:rPr>
          <w:rFonts w:hint="eastAsia"/>
          <w:szCs w:val="21"/>
        </w:rPr>
      </w:pPr>
      <w:r>
        <w:rPr>
          <w:rFonts w:hint="eastAsia"/>
          <w:szCs w:val="21"/>
        </w:rPr>
        <w:t xml:space="preserve"> B 塑壳开关技术指标</w:t>
      </w:r>
    </w:p>
    <w:p>
      <w:pPr>
        <w:rPr>
          <w:rFonts w:hint="eastAsia"/>
          <w:szCs w:val="21"/>
        </w:rPr>
      </w:pPr>
      <w:r>
        <w:rPr>
          <w:rFonts w:hint="eastAsia"/>
          <w:szCs w:val="21"/>
        </w:rPr>
        <w:t>额定绝缘电压：≥690V AC</w:t>
      </w:r>
    </w:p>
    <w:p>
      <w:pPr>
        <w:rPr>
          <w:rFonts w:hint="eastAsia"/>
          <w:szCs w:val="21"/>
        </w:rPr>
      </w:pPr>
      <w:r>
        <w:rPr>
          <w:rFonts w:hint="eastAsia"/>
          <w:szCs w:val="21"/>
        </w:rPr>
        <w:t>额定工作电压：380V AC</w:t>
      </w:r>
    </w:p>
    <w:p>
      <w:pPr>
        <w:rPr>
          <w:rFonts w:hint="eastAsia"/>
          <w:szCs w:val="21"/>
        </w:rPr>
      </w:pPr>
      <w:r>
        <w:rPr>
          <w:rFonts w:hint="eastAsia"/>
          <w:szCs w:val="21"/>
        </w:rPr>
        <w:t>额定持续电流：根据图纸确定</w:t>
      </w:r>
    </w:p>
    <w:p>
      <w:pPr>
        <w:rPr>
          <w:rFonts w:hint="eastAsia"/>
          <w:szCs w:val="21"/>
        </w:rPr>
      </w:pPr>
      <w:r>
        <w:rPr>
          <w:rFonts w:hint="eastAsia"/>
          <w:szCs w:val="21"/>
        </w:rPr>
        <w:t>额定工作频率：50Hz</w:t>
      </w:r>
    </w:p>
    <w:p>
      <w:pPr>
        <w:rPr>
          <w:rFonts w:hint="eastAsia"/>
          <w:szCs w:val="21"/>
        </w:rPr>
      </w:pPr>
      <w:r>
        <w:rPr>
          <w:rFonts w:hint="eastAsia"/>
          <w:szCs w:val="21"/>
        </w:rPr>
        <w:t>额定短路分断电流：根据图纸确定</w:t>
      </w:r>
    </w:p>
    <w:p>
      <w:pPr>
        <w:rPr>
          <w:rFonts w:hint="eastAsia"/>
          <w:szCs w:val="21"/>
        </w:rPr>
      </w:pPr>
      <w:r>
        <w:rPr>
          <w:rFonts w:hint="eastAsia"/>
          <w:szCs w:val="21"/>
        </w:rPr>
        <w:t>机械寿命：≥25000次</w:t>
      </w:r>
    </w:p>
    <w:p>
      <w:pPr>
        <w:rPr>
          <w:rFonts w:hint="eastAsia"/>
          <w:szCs w:val="21"/>
        </w:rPr>
      </w:pPr>
      <w:r>
        <w:rPr>
          <w:rFonts w:hint="eastAsia"/>
          <w:szCs w:val="21"/>
        </w:rPr>
        <w:t>电气寿命：≥8000次</w:t>
      </w:r>
    </w:p>
    <w:p>
      <w:pPr>
        <w:rPr>
          <w:szCs w:val="21"/>
        </w:rPr>
      </w:pPr>
      <w:r>
        <w:rPr>
          <w:rFonts w:hint="eastAsia"/>
          <w:szCs w:val="21"/>
        </w:rPr>
        <w:t>C变频器</w:t>
      </w:r>
    </w:p>
    <w:p>
      <w:pPr>
        <w:rPr>
          <w:szCs w:val="21"/>
        </w:rPr>
      </w:pPr>
      <w:r>
        <w:rPr>
          <w:rFonts w:hint="eastAsia"/>
          <w:szCs w:val="21"/>
        </w:rPr>
        <w:t>要求选用进口品牌：施耐德、A</w:t>
      </w:r>
      <w:r>
        <w:rPr>
          <w:szCs w:val="21"/>
        </w:rPr>
        <w:t xml:space="preserve">BB </w:t>
      </w:r>
      <w:r>
        <w:rPr>
          <w:rFonts w:hint="eastAsia"/>
          <w:szCs w:val="21"/>
        </w:rPr>
        <w:t>、西门子。</w:t>
      </w:r>
    </w:p>
    <w:p>
      <w:pPr>
        <w:rPr>
          <w:rFonts w:hint="eastAsia"/>
          <w:szCs w:val="21"/>
        </w:rPr>
      </w:pPr>
    </w:p>
    <w:tbl>
      <w:tblPr>
        <w:tblStyle w:val="19"/>
        <w:tblW w:w="0" w:type="auto"/>
        <w:tblCellSpacing w:w="15"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45"/>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100" w:type="dxa"/>
            <w:noWrap w:val="0"/>
            <w:vAlign w:val="center"/>
          </w:tcPr>
          <w:p>
            <w:pPr>
              <w:widowControl/>
              <w:jc w:val="left"/>
              <w:rPr>
                <w:rFonts w:ascii="宋体" w:hAnsi="宋体" w:cs="宋体"/>
                <w:b/>
                <w:bCs/>
                <w:kern w:val="0"/>
                <w:szCs w:val="21"/>
              </w:rPr>
            </w:pPr>
            <w:r>
              <w:rPr>
                <w:rFonts w:ascii="宋体" w:hAnsi="宋体" w:cs="宋体"/>
                <w:b/>
                <w:bCs/>
                <w:kern w:val="0"/>
                <w:szCs w:val="21"/>
              </w:rPr>
              <w:t>额定电源电压 [Us]</w:t>
            </w:r>
          </w:p>
        </w:tc>
        <w:tc>
          <w:tcPr>
            <w:tcW w:w="6612" w:type="dxa"/>
            <w:noWrap w:val="0"/>
            <w:vAlign w:val="center"/>
          </w:tcPr>
          <w:p>
            <w:pPr>
              <w:widowControl/>
              <w:ind w:firstLine="210" w:firstLineChars="100"/>
              <w:jc w:val="left"/>
              <w:rPr>
                <w:rFonts w:ascii="宋体" w:hAnsi="宋体" w:cs="宋体"/>
                <w:kern w:val="0"/>
                <w:szCs w:val="21"/>
              </w:rPr>
            </w:pPr>
            <w:r>
              <w:rPr>
                <w:rFonts w:ascii="宋体" w:hAnsi="宋体" w:cs="宋体"/>
                <w:kern w:val="0"/>
                <w:szCs w:val="21"/>
              </w:rPr>
              <w:t>380...440 V - 15...10 %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100" w:type="dxa"/>
            <w:noWrap w:val="0"/>
            <w:vAlign w:val="center"/>
          </w:tcPr>
          <w:tbl>
            <w:tblPr>
              <w:tblStyle w:val="19"/>
              <w:tblW w:w="0" w:type="auto"/>
              <w:tblCellSpacing w:w="15" w:type="dxa"/>
              <w:tblInd w:w="0" w:type="dxa"/>
              <w:tblLayout w:type="fixed"/>
              <w:tblCellMar>
                <w:top w:w="15" w:type="dxa"/>
                <w:left w:w="15" w:type="dxa"/>
                <w:bottom w:w="15" w:type="dxa"/>
                <w:right w:w="15" w:type="dxa"/>
              </w:tblCellMar>
            </w:tblPr>
            <w:tblGrid>
              <w:gridCol w:w="1039"/>
              <w:gridCol w:w="95"/>
            </w:tblGrid>
            <w:tr>
              <w:tblPrEx>
                <w:tblCellMar>
                  <w:top w:w="15" w:type="dxa"/>
                  <w:left w:w="15" w:type="dxa"/>
                  <w:bottom w:w="15" w:type="dxa"/>
                  <w:right w:w="15" w:type="dxa"/>
                </w:tblCellMar>
              </w:tblPrEx>
              <w:trPr>
                <w:tblCellSpacing w:w="15" w:type="dxa"/>
              </w:trPr>
              <w:tc>
                <w:tcPr>
                  <w:tcW w:w="994" w:type="dxa"/>
                  <w:noWrap w:val="0"/>
                  <w:vAlign w:val="center"/>
                </w:tcPr>
                <w:p>
                  <w:pPr>
                    <w:widowControl/>
                    <w:jc w:val="left"/>
                    <w:rPr>
                      <w:rFonts w:ascii="宋体" w:hAnsi="宋体" w:cs="宋体"/>
                      <w:b/>
                      <w:bCs/>
                      <w:kern w:val="0"/>
                      <w:szCs w:val="21"/>
                    </w:rPr>
                  </w:pPr>
                  <w:r>
                    <w:rPr>
                      <w:rFonts w:ascii="宋体" w:hAnsi="宋体" w:cs="宋体"/>
                      <w:b/>
                      <w:bCs/>
                      <w:kern w:val="0"/>
                      <w:szCs w:val="21"/>
                    </w:rPr>
                    <w:t>网络相数</w:t>
                  </w:r>
                </w:p>
              </w:tc>
              <w:tc>
                <w:tcPr>
                  <w:tcW w:w="36" w:type="dxa"/>
                  <w:noWrap w:val="0"/>
                  <w:vAlign w:val="center"/>
                </w:tcPr>
                <w:p>
                  <w:pPr>
                    <w:widowControl/>
                    <w:jc w:val="left"/>
                    <w:rPr>
                      <w:rFonts w:ascii="宋体" w:hAnsi="宋体" w:cs="宋体"/>
                      <w:b/>
                      <w:kern w:val="0"/>
                      <w:szCs w:val="21"/>
                    </w:rPr>
                  </w:pPr>
                </w:p>
              </w:tc>
            </w:tr>
          </w:tbl>
          <w:p>
            <w:pPr>
              <w:widowControl/>
              <w:jc w:val="left"/>
              <w:rPr>
                <w:rFonts w:ascii="宋体" w:hAnsi="宋体" w:cs="宋体"/>
                <w:b/>
                <w:bCs/>
                <w:kern w:val="0"/>
                <w:szCs w:val="21"/>
              </w:rPr>
            </w:pPr>
          </w:p>
        </w:tc>
        <w:tc>
          <w:tcPr>
            <w:tcW w:w="6612" w:type="dxa"/>
            <w:noWrap w:val="0"/>
            <w:vAlign w:val="center"/>
          </w:tcPr>
          <w:p>
            <w:pPr>
              <w:widowControl/>
              <w:ind w:firstLine="210" w:firstLineChars="100"/>
              <w:jc w:val="left"/>
              <w:rPr>
                <w:rFonts w:ascii="宋体" w:hAnsi="宋体" w:cs="宋体"/>
                <w:kern w:val="0"/>
                <w:szCs w:val="21"/>
              </w:rPr>
            </w:pPr>
            <w:r>
              <w:rPr>
                <w:rFonts w:ascii="宋体" w:hAnsi="宋体" w:cs="宋体"/>
                <w:kern w:val="0"/>
                <w:szCs w:val="21"/>
              </w:rPr>
              <w:t>3 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100" w:type="dxa"/>
            <w:noWrap w:val="0"/>
            <w:vAlign w:val="center"/>
          </w:tcPr>
          <w:p>
            <w:pPr>
              <w:widowControl/>
              <w:jc w:val="left"/>
              <w:rPr>
                <w:rFonts w:ascii="宋体" w:hAnsi="宋体" w:cs="宋体"/>
                <w:b/>
                <w:bCs/>
                <w:kern w:val="0"/>
                <w:szCs w:val="21"/>
              </w:rPr>
            </w:pPr>
            <w:r>
              <w:rPr>
                <w:rFonts w:ascii="宋体" w:hAnsi="宋体" w:cs="宋体"/>
                <w:b/>
                <w:bCs/>
                <w:kern w:val="0"/>
                <w:szCs w:val="21"/>
              </w:rPr>
              <w:t>电动机功率 (kW)</w:t>
            </w:r>
          </w:p>
        </w:tc>
        <w:tc>
          <w:tcPr>
            <w:tcW w:w="6612" w:type="dxa"/>
            <w:noWrap w:val="0"/>
            <w:vAlign w:val="center"/>
          </w:tcPr>
          <w:p>
            <w:pPr>
              <w:widowControl/>
              <w:ind w:firstLine="210" w:firstLineChars="100"/>
              <w:jc w:val="left"/>
              <w:rPr>
                <w:rFonts w:ascii="宋体" w:hAnsi="宋体" w:cs="宋体"/>
                <w:kern w:val="0"/>
                <w:szCs w:val="21"/>
              </w:rPr>
            </w:pPr>
            <w:r>
              <w:rPr>
                <w:rFonts w:ascii="宋体" w:hAnsi="宋体" w:cs="宋体"/>
                <w:kern w:val="0"/>
                <w:szCs w:val="21"/>
              </w:rPr>
              <w:t>250 kW 标准负载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100" w:type="dxa"/>
            <w:noWrap w:val="0"/>
            <w:vAlign w:val="center"/>
          </w:tcPr>
          <w:p>
            <w:pPr>
              <w:widowControl/>
              <w:jc w:val="left"/>
              <w:rPr>
                <w:rFonts w:ascii="宋体" w:hAnsi="宋体" w:cs="宋体"/>
                <w:b/>
                <w:bCs/>
                <w:kern w:val="0"/>
                <w:szCs w:val="21"/>
              </w:rPr>
            </w:pPr>
            <w:r>
              <w:rPr>
                <w:rFonts w:ascii="宋体" w:hAnsi="宋体" w:cs="宋体"/>
                <w:b/>
                <w:bCs/>
                <w:kern w:val="0"/>
                <w:szCs w:val="21"/>
              </w:rPr>
              <w:t>线路电流</w:t>
            </w:r>
          </w:p>
        </w:tc>
        <w:tc>
          <w:tcPr>
            <w:tcW w:w="6612" w:type="dxa"/>
            <w:noWrap w:val="0"/>
            <w:vAlign w:val="center"/>
          </w:tcPr>
          <w:p>
            <w:pPr>
              <w:widowControl/>
              <w:ind w:firstLine="210" w:firstLineChars="100"/>
              <w:jc w:val="left"/>
              <w:rPr>
                <w:rFonts w:ascii="宋体" w:hAnsi="宋体" w:cs="宋体"/>
                <w:kern w:val="0"/>
                <w:szCs w:val="21"/>
              </w:rPr>
            </w:pPr>
            <w:r>
              <w:rPr>
                <w:szCs w:val="21"/>
              </w:rPr>
              <w:t>453 A 380 V 标准负载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100" w:type="dxa"/>
            <w:noWrap w:val="0"/>
            <w:vAlign w:val="center"/>
          </w:tcPr>
          <w:tbl>
            <w:tblPr>
              <w:tblStyle w:val="19"/>
              <w:tblW w:w="0" w:type="auto"/>
              <w:tblCellSpacing w:w="15" w:type="dxa"/>
              <w:tblInd w:w="0" w:type="dxa"/>
              <w:tblLayout w:type="fixed"/>
              <w:tblCellMar>
                <w:top w:w="15" w:type="dxa"/>
                <w:left w:w="15" w:type="dxa"/>
                <w:bottom w:w="15" w:type="dxa"/>
                <w:right w:w="15" w:type="dxa"/>
              </w:tblCellMar>
            </w:tblPr>
            <w:tblGrid>
              <w:gridCol w:w="1054"/>
            </w:tblGrid>
            <w:tr>
              <w:tblPrEx>
                <w:tblCellMar>
                  <w:top w:w="15" w:type="dxa"/>
                  <w:left w:w="15" w:type="dxa"/>
                  <w:bottom w:w="15" w:type="dxa"/>
                  <w:right w:w="15" w:type="dxa"/>
                </w:tblCellMar>
              </w:tblPrEx>
              <w:trPr>
                <w:tblCellSpacing w:w="15" w:type="dxa"/>
              </w:trPr>
              <w:tc>
                <w:tcPr>
                  <w:tcW w:w="994" w:type="dxa"/>
                  <w:noWrap w:val="0"/>
                  <w:vAlign w:val="center"/>
                </w:tcPr>
                <w:p>
                  <w:pPr>
                    <w:widowControl/>
                    <w:jc w:val="left"/>
                    <w:rPr>
                      <w:rFonts w:ascii="宋体" w:hAnsi="宋体" w:cs="宋体"/>
                      <w:b/>
                      <w:bCs/>
                      <w:kern w:val="0"/>
                      <w:szCs w:val="21"/>
                    </w:rPr>
                  </w:pPr>
                  <w:r>
                    <w:rPr>
                      <w:rFonts w:ascii="宋体" w:hAnsi="宋体" w:cs="宋体"/>
                      <w:b/>
                      <w:bCs/>
                      <w:kern w:val="0"/>
                      <w:szCs w:val="21"/>
                    </w:rPr>
                    <w:t>供电频率</w:t>
                  </w:r>
                </w:p>
              </w:tc>
            </w:tr>
          </w:tbl>
          <w:p>
            <w:pPr>
              <w:widowControl/>
              <w:jc w:val="left"/>
              <w:rPr>
                <w:rFonts w:ascii="宋体" w:hAnsi="宋体" w:cs="宋体"/>
                <w:b/>
                <w:bCs/>
                <w:kern w:val="0"/>
                <w:szCs w:val="21"/>
              </w:rPr>
            </w:pPr>
          </w:p>
        </w:tc>
        <w:tc>
          <w:tcPr>
            <w:tcW w:w="6612" w:type="dxa"/>
            <w:noWrap w:val="0"/>
            <w:vAlign w:val="center"/>
          </w:tcPr>
          <w:tbl>
            <w:tblPr>
              <w:tblStyle w:val="19"/>
              <w:tblW w:w="0" w:type="auto"/>
              <w:tblCellSpacing w:w="15" w:type="dxa"/>
              <w:tblInd w:w="0" w:type="dxa"/>
              <w:tblLayout w:type="fixed"/>
              <w:tblCellMar>
                <w:top w:w="15" w:type="dxa"/>
                <w:left w:w="15" w:type="dxa"/>
                <w:bottom w:w="15" w:type="dxa"/>
                <w:right w:w="15" w:type="dxa"/>
              </w:tblCellMar>
            </w:tblPr>
            <w:tblGrid>
              <w:gridCol w:w="2490"/>
            </w:tblGrid>
            <w:tr>
              <w:trPr>
                <w:tblCellSpacing w:w="15" w:type="dxa"/>
              </w:trPr>
              <w:tc>
                <w:tcPr>
                  <w:tcW w:w="2430" w:type="dxa"/>
                  <w:noWrap w:val="0"/>
                  <w:vAlign w:val="center"/>
                </w:tcPr>
                <w:p>
                  <w:pPr>
                    <w:widowControl/>
                    <w:jc w:val="left"/>
                    <w:rPr>
                      <w:rFonts w:ascii="宋体" w:hAnsi="宋体" w:cs="宋体"/>
                      <w:kern w:val="0"/>
                      <w:szCs w:val="21"/>
                    </w:rPr>
                  </w:pPr>
                  <w:r>
                    <w:rPr>
                      <w:rFonts w:ascii="宋体" w:hAnsi="宋体" w:cs="宋体"/>
                      <w:kern w:val="0"/>
                      <w:szCs w:val="21"/>
                    </w:rPr>
                    <w:t>50...60 Hz - 5...5 %</w:t>
                  </w:r>
                </w:p>
              </w:tc>
            </w:tr>
          </w:tbl>
          <w:p>
            <w:pPr>
              <w:widowControl/>
              <w:ind w:firstLine="210" w:firstLineChars="10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100" w:type="dxa"/>
            <w:noWrap w:val="0"/>
            <w:vAlign w:val="center"/>
          </w:tcPr>
          <w:p>
            <w:pPr>
              <w:widowControl/>
              <w:jc w:val="left"/>
              <w:rPr>
                <w:rFonts w:ascii="宋体" w:hAnsi="宋体" w:cs="宋体"/>
                <w:b/>
                <w:bCs/>
                <w:kern w:val="0"/>
                <w:szCs w:val="21"/>
              </w:rPr>
            </w:pPr>
            <w:r>
              <w:rPr>
                <w:rFonts w:ascii="宋体" w:hAnsi="宋体" w:cs="宋体"/>
                <w:b/>
                <w:bCs/>
                <w:kern w:val="0"/>
                <w:szCs w:val="21"/>
              </w:rPr>
              <w:t>变频器输出频率</w:t>
            </w:r>
          </w:p>
        </w:tc>
        <w:tc>
          <w:tcPr>
            <w:tcW w:w="6612" w:type="dxa"/>
            <w:noWrap w:val="0"/>
            <w:vAlign w:val="center"/>
          </w:tcPr>
          <w:p>
            <w:pPr>
              <w:widowControl/>
              <w:jc w:val="left"/>
              <w:rPr>
                <w:rFonts w:ascii="宋体" w:hAnsi="宋体" w:cs="宋体"/>
                <w:kern w:val="0"/>
                <w:szCs w:val="21"/>
              </w:rPr>
            </w:pPr>
            <w:r>
              <w:rPr>
                <w:szCs w:val="21"/>
              </w:rPr>
              <w:t>0.1...599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100" w:type="dxa"/>
            <w:noWrap w:val="0"/>
            <w:vAlign w:val="center"/>
          </w:tcPr>
          <w:tbl>
            <w:tblPr>
              <w:tblStyle w:val="19"/>
              <w:tblW w:w="0" w:type="auto"/>
              <w:tblCellSpacing w:w="15" w:type="dxa"/>
              <w:tblInd w:w="0" w:type="dxa"/>
              <w:tblLayout w:type="fixed"/>
              <w:tblCellMar>
                <w:top w:w="15" w:type="dxa"/>
                <w:left w:w="15" w:type="dxa"/>
                <w:bottom w:w="15" w:type="dxa"/>
                <w:right w:w="15" w:type="dxa"/>
              </w:tblCellMar>
            </w:tblPr>
            <w:tblGrid>
              <w:gridCol w:w="1521"/>
              <w:gridCol w:w="95"/>
            </w:tblGrid>
            <w:tr>
              <w:tblPrEx>
                <w:tblCellMar>
                  <w:top w:w="15" w:type="dxa"/>
                  <w:left w:w="15" w:type="dxa"/>
                  <w:bottom w:w="15" w:type="dxa"/>
                  <w:right w:w="15" w:type="dxa"/>
                </w:tblCellMar>
              </w:tblPrEx>
              <w:trPr>
                <w:tblCellSpacing w:w="15" w:type="dxa"/>
              </w:trPr>
              <w:tc>
                <w:tcPr>
                  <w:tcW w:w="1476" w:type="dxa"/>
                  <w:noWrap w:val="0"/>
                  <w:vAlign w:val="center"/>
                </w:tcPr>
                <w:p>
                  <w:pPr>
                    <w:widowControl/>
                    <w:jc w:val="left"/>
                    <w:rPr>
                      <w:rFonts w:ascii="宋体" w:hAnsi="宋体" w:cs="宋体"/>
                      <w:b/>
                      <w:bCs/>
                      <w:kern w:val="0"/>
                      <w:szCs w:val="21"/>
                    </w:rPr>
                  </w:pPr>
                  <w:r>
                    <w:rPr>
                      <w:rFonts w:ascii="宋体" w:hAnsi="宋体" w:cs="宋体"/>
                      <w:b/>
                      <w:bCs/>
                      <w:kern w:val="0"/>
                      <w:szCs w:val="21"/>
                    </w:rPr>
                    <w:t>通讯端口协议</w:t>
                  </w:r>
                </w:p>
              </w:tc>
              <w:tc>
                <w:tcPr>
                  <w:tcW w:w="36" w:type="dxa"/>
                  <w:noWrap w:val="0"/>
                  <w:vAlign w:val="center"/>
                </w:tcPr>
                <w:p>
                  <w:pPr>
                    <w:widowControl/>
                    <w:jc w:val="left"/>
                    <w:rPr>
                      <w:rFonts w:ascii="宋体" w:hAnsi="宋体" w:cs="宋体"/>
                      <w:b/>
                      <w:kern w:val="0"/>
                      <w:szCs w:val="21"/>
                    </w:rPr>
                  </w:pPr>
                </w:p>
              </w:tc>
            </w:tr>
          </w:tbl>
          <w:p>
            <w:pPr>
              <w:widowControl/>
              <w:jc w:val="left"/>
              <w:rPr>
                <w:rFonts w:ascii="宋体" w:hAnsi="宋体" w:cs="宋体"/>
                <w:b/>
                <w:bCs/>
                <w:kern w:val="0"/>
                <w:szCs w:val="21"/>
              </w:rPr>
            </w:pPr>
          </w:p>
        </w:tc>
        <w:tc>
          <w:tcPr>
            <w:tcW w:w="6612" w:type="dxa"/>
            <w:noWrap w:val="0"/>
            <w:vAlign w:val="center"/>
          </w:tcPr>
          <w:p>
            <w:pPr>
              <w:widowControl/>
              <w:jc w:val="left"/>
              <w:rPr>
                <w:rFonts w:ascii="宋体" w:hAnsi="宋体" w:cs="宋体"/>
                <w:kern w:val="0"/>
                <w:szCs w:val="21"/>
              </w:rPr>
            </w:pPr>
            <w:r>
              <w:rPr>
                <w:rFonts w:ascii="宋体" w:hAnsi="宋体" w:cs="宋体"/>
                <w:kern w:val="0"/>
                <w:szCs w:val="21"/>
              </w:rPr>
              <w:t>Modbus 串行</w:t>
            </w:r>
            <w:r>
              <w:rPr>
                <w:rFonts w:hint="eastAsia" w:ascii="宋体" w:hAnsi="宋体" w:cs="宋体"/>
                <w:kern w:val="0"/>
                <w:szCs w:val="21"/>
              </w:rPr>
              <w:t>,</w:t>
            </w:r>
            <w:r>
              <w:rPr>
                <w:rFonts w:ascii="宋体" w:hAnsi="宋体" w:cs="宋体"/>
                <w:kern w:val="0"/>
                <w:szCs w:val="21"/>
              </w:rPr>
              <w:t>Modbus TCP以太网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100" w:type="dxa"/>
            <w:noWrap w:val="0"/>
            <w:vAlign w:val="center"/>
          </w:tcPr>
          <w:p>
            <w:pPr>
              <w:widowControl/>
              <w:jc w:val="left"/>
              <w:rPr>
                <w:rFonts w:ascii="宋体" w:hAnsi="宋体" w:cs="宋体"/>
                <w:b/>
                <w:bCs/>
                <w:kern w:val="0"/>
                <w:szCs w:val="21"/>
              </w:rPr>
            </w:pPr>
            <w:r>
              <w:rPr>
                <w:b/>
                <w:szCs w:val="21"/>
              </w:rPr>
              <w:t>模拟量输入数量</w:t>
            </w:r>
          </w:p>
        </w:tc>
        <w:tc>
          <w:tcPr>
            <w:tcW w:w="6612" w:type="dxa"/>
            <w:noWrap w:val="0"/>
            <w:vAlign w:val="center"/>
          </w:tcPr>
          <w:p>
            <w:pPr>
              <w:widowControl/>
              <w:jc w:val="left"/>
              <w:rPr>
                <w:rFonts w:ascii="宋体" w:hAnsi="宋体" w:cs="宋体"/>
                <w:kern w:val="0"/>
                <w:szCs w:val="21"/>
              </w:rPr>
            </w:pPr>
            <w:r>
              <w:rPr>
                <w:rFonts w:hint="eastAsia"/>
                <w:szCs w:val="21"/>
              </w:rPr>
              <w:t>≥</w:t>
            </w:r>
            <w:r>
              <w:rPr>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100" w:type="dxa"/>
            <w:noWrap w:val="0"/>
            <w:vAlign w:val="center"/>
          </w:tcPr>
          <w:p>
            <w:pPr>
              <w:widowControl/>
              <w:jc w:val="left"/>
              <w:rPr>
                <w:b/>
                <w:szCs w:val="21"/>
              </w:rPr>
            </w:pPr>
            <w:r>
              <w:rPr>
                <w:b/>
                <w:szCs w:val="21"/>
              </w:rPr>
              <w:t>离散量输入数量</w:t>
            </w:r>
          </w:p>
        </w:tc>
        <w:tc>
          <w:tcPr>
            <w:tcW w:w="6612" w:type="dxa"/>
            <w:noWrap w:val="0"/>
            <w:vAlign w:val="center"/>
          </w:tcPr>
          <w:p>
            <w:pPr>
              <w:widowControl/>
              <w:jc w:val="left"/>
              <w:rPr>
                <w:rFonts w:ascii="宋体" w:hAnsi="宋体" w:cs="宋体"/>
                <w:kern w:val="0"/>
                <w:szCs w:val="21"/>
              </w:rPr>
            </w:pPr>
            <w:r>
              <w:rPr>
                <w:rFonts w:hint="eastAsia"/>
                <w:szCs w:val="21"/>
              </w:rPr>
              <w:t>≥</w:t>
            </w:r>
            <w:r>
              <w:rPr>
                <w:rFonts w:hint="eastAsia" w:ascii="宋体" w:hAnsi="宋体" w:cs="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100" w:type="dxa"/>
            <w:noWrap w:val="0"/>
            <w:vAlign w:val="center"/>
          </w:tcPr>
          <w:p>
            <w:pPr>
              <w:widowControl/>
              <w:jc w:val="left"/>
              <w:rPr>
                <w:b/>
                <w:szCs w:val="21"/>
              </w:rPr>
            </w:pPr>
            <w:r>
              <w:rPr>
                <w:b/>
                <w:szCs w:val="21"/>
              </w:rPr>
              <w:t>继电器输出数量</w:t>
            </w:r>
          </w:p>
        </w:tc>
        <w:tc>
          <w:tcPr>
            <w:tcW w:w="6612" w:type="dxa"/>
            <w:noWrap w:val="0"/>
            <w:vAlign w:val="center"/>
          </w:tcPr>
          <w:p>
            <w:pPr>
              <w:widowControl/>
              <w:jc w:val="left"/>
              <w:rPr>
                <w:rFonts w:hint="eastAsia" w:ascii="宋体" w:hAnsi="宋体" w:cs="宋体"/>
                <w:kern w:val="0"/>
                <w:szCs w:val="21"/>
              </w:rPr>
            </w:pPr>
            <w:r>
              <w:rPr>
                <w:rFonts w:hint="eastAsia"/>
                <w:szCs w:val="21"/>
              </w:rPr>
              <w:t>≥</w:t>
            </w:r>
            <w:r>
              <w:rPr>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100" w:type="dxa"/>
            <w:noWrap w:val="0"/>
            <w:vAlign w:val="center"/>
          </w:tcPr>
          <w:tbl>
            <w:tblPr>
              <w:tblStyle w:val="19"/>
              <w:tblW w:w="0" w:type="auto"/>
              <w:tblCellSpacing w:w="15" w:type="dxa"/>
              <w:tblInd w:w="0" w:type="dxa"/>
              <w:tblLayout w:type="fixed"/>
              <w:tblCellMar>
                <w:top w:w="15" w:type="dxa"/>
                <w:left w:w="15" w:type="dxa"/>
                <w:bottom w:w="15" w:type="dxa"/>
                <w:right w:w="15" w:type="dxa"/>
              </w:tblCellMar>
            </w:tblPr>
            <w:tblGrid>
              <w:gridCol w:w="1356"/>
            </w:tblGrid>
            <w:tr>
              <w:tblPrEx>
                <w:tblCellMar>
                  <w:top w:w="15" w:type="dxa"/>
                  <w:left w:w="15" w:type="dxa"/>
                  <w:bottom w:w="15" w:type="dxa"/>
                  <w:right w:w="15" w:type="dxa"/>
                </w:tblCellMar>
              </w:tblPrEx>
              <w:trPr>
                <w:tblCellSpacing w:w="15" w:type="dxa"/>
              </w:trPr>
              <w:tc>
                <w:tcPr>
                  <w:tcW w:w="1296" w:type="dxa"/>
                  <w:noWrap w:val="0"/>
                  <w:vAlign w:val="center"/>
                </w:tcPr>
                <w:p>
                  <w:pPr>
                    <w:widowControl/>
                    <w:jc w:val="left"/>
                    <w:rPr>
                      <w:rFonts w:ascii="宋体" w:hAnsi="宋体" w:cs="宋体"/>
                      <w:b/>
                      <w:bCs/>
                      <w:kern w:val="0"/>
                      <w:szCs w:val="21"/>
                    </w:rPr>
                  </w:pPr>
                  <w:r>
                    <w:rPr>
                      <w:rFonts w:ascii="宋体" w:hAnsi="宋体" w:cs="宋体"/>
                      <w:b/>
                      <w:bCs/>
                      <w:kern w:val="0"/>
                      <w:szCs w:val="21"/>
                    </w:rPr>
                    <w:t>IP防护等级</w:t>
                  </w:r>
                </w:p>
              </w:tc>
            </w:tr>
          </w:tbl>
          <w:p>
            <w:pPr>
              <w:widowControl/>
              <w:jc w:val="left"/>
              <w:rPr>
                <w:rFonts w:ascii="宋体" w:hAnsi="宋体" w:cs="宋体"/>
                <w:b/>
                <w:bCs/>
                <w:kern w:val="0"/>
                <w:szCs w:val="21"/>
              </w:rPr>
            </w:pPr>
          </w:p>
        </w:tc>
        <w:tc>
          <w:tcPr>
            <w:tcW w:w="6612" w:type="dxa"/>
            <w:noWrap w:val="0"/>
            <w:vAlign w:val="center"/>
          </w:tcPr>
          <w:p>
            <w:pPr>
              <w:widowControl/>
              <w:jc w:val="left"/>
              <w:rPr>
                <w:rFonts w:hint="eastAsia" w:ascii="宋体" w:hAnsi="宋体" w:cs="宋体"/>
                <w:kern w:val="0"/>
                <w:szCs w:val="21"/>
              </w:rPr>
            </w:pPr>
            <w:r>
              <w:rPr>
                <w:rFonts w:ascii="宋体" w:hAnsi="宋体" w:cs="宋体"/>
                <w:kern w:val="0"/>
                <w:szCs w:val="21"/>
              </w:rPr>
              <w:t>IP21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100" w:type="dxa"/>
            <w:noWrap w:val="0"/>
            <w:vAlign w:val="center"/>
          </w:tcPr>
          <w:p>
            <w:pPr>
              <w:widowControl/>
              <w:jc w:val="left"/>
              <w:rPr>
                <w:rFonts w:ascii="宋体" w:hAnsi="宋体" w:cs="宋体"/>
                <w:b/>
                <w:bCs/>
                <w:kern w:val="0"/>
                <w:szCs w:val="21"/>
              </w:rPr>
            </w:pPr>
            <w:r>
              <w:rPr>
                <w:rFonts w:ascii="宋体" w:hAnsi="宋体" w:cs="宋体"/>
                <w:b/>
                <w:bCs/>
                <w:kern w:val="0"/>
                <w:szCs w:val="21"/>
              </w:rPr>
              <w:t>冷却方式</w:t>
            </w:r>
          </w:p>
        </w:tc>
        <w:tc>
          <w:tcPr>
            <w:tcW w:w="6612" w:type="dxa"/>
            <w:noWrap w:val="0"/>
            <w:vAlign w:val="center"/>
          </w:tcPr>
          <w:p>
            <w:pPr>
              <w:widowControl/>
              <w:jc w:val="left"/>
              <w:rPr>
                <w:szCs w:val="21"/>
              </w:rPr>
            </w:pPr>
            <w:r>
              <w:rPr>
                <w:szCs w:val="21"/>
              </w:rPr>
              <w:t>强制通风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100" w:type="dxa"/>
            <w:noWrap w:val="0"/>
            <w:vAlign w:val="center"/>
          </w:tcPr>
          <w:p>
            <w:pPr>
              <w:widowControl/>
              <w:jc w:val="left"/>
              <w:rPr>
                <w:rFonts w:ascii="宋体" w:hAnsi="宋体" w:cs="宋体"/>
                <w:b/>
                <w:bCs/>
                <w:kern w:val="0"/>
                <w:szCs w:val="21"/>
              </w:rPr>
            </w:pPr>
            <w:r>
              <w:rPr>
                <w:szCs w:val="21"/>
              </w:rPr>
              <w:t>绝缘电阻</w:t>
            </w:r>
          </w:p>
        </w:tc>
        <w:tc>
          <w:tcPr>
            <w:tcW w:w="6612" w:type="dxa"/>
            <w:noWrap w:val="0"/>
            <w:vAlign w:val="center"/>
          </w:tcPr>
          <w:p>
            <w:pPr>
              <w:widowControl/>
              <w:jc w:val="left"/>
              <w:rPr>
                <w:szCs w:val="21"/>
              </w:rPr>
            </w:pPr>
            <w:r>
              <w:rPr>
                <w:szCs w:val="21"/>
              </w:rPr>
              <w:t>&gt; 1 MOhm 接地 1 分钟 500 V 直流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100" w:type="dxa"/>
            <w:noWrap w:val="0"/>
            <w:vAlign w:val="center"/>
          </w:tcPr>
          <w:tbl>
            <w:tblPr>
              <w:tblStyle w:val="19"/>
              <w:tblW w:w="0" w:type="auto"/>
              <w:tblCellSpacing w:w="15" w:type="dxa"/>
              <w:tblInd w:w="0" w:type="dxa"/>
              <w:tblLayout w:type="fixed"/>
              <w:tblCellMar>
                <w:top w:w="15" w:type="dxa"/>
                <w:left w:w="15" w:type="dxa"/>
                <w:bottom w:w="15" w:type="dxa"/>
                <w:right w:w="15" w:type="dxa"/>
              </w:tblCellMar>
            </w:tblPr>
            <w:tblGrid>
              <w:gridCol w:w="1039"/>
              <w:gridCol w:w="95"/>
            </w:tblGrid>
            <w:tr>
              <w:tblPrEx>
                <w:tblCellMar>
                  <w:top w:w="15" w:type="dxa"/>
                  <w:left w:w="15" w:type="dxa"/>
                  <w:bottom w:w="15" w:type="dxa"/>
                  <w:right w:w="15" w:type="dxa"/>
                </w:tblCellMar>
              </w:tblPrEx>
              <w:trPr>
                <w:tblCellSpacing w:w="15" w:type="dxa"/>
              </w:trPr>
              <w:tc>
                <w:tcPr>
                  <w:tcW w:w="994" w:type="dxa"/>
                  <w:noWrap w:val="0"/>
                  <w:vAlign w:val="center"/>
                </w:tcPr>
                <w:p>
                  <w:pPr>
                    <w:widowControl/>
                    <w:jc w:val="center"/>
                    <w:rPr>
                      <w:rFonts w:ascii="宋体" w:hAnsi="宋体" w:cs="宋体"/>
                      <w:b/>
                      <w:bCs/>
                      <w:kern w:val="0"/>
                      <w:szCs w:val="21"/>
                    </w:rPr>
                  </w:pPr>
                  <w:r>
                    <w:rPr>
                      <w:rFonts w:ascii="宋体" w:hAnsi="宋体" w:cs="宋体"/>
                      <w:b/>
                      <w:bCs/>
                      <w:kern w:val="0"/>
                      <w:szCs w:val="21"/>
                    </w:rPr>
                    <w:t>噪音等级</w:t>
                  </w:r>
                </w:p>
              </w:tc>
              <w:tc>
                <w:tcPr>
                  <w:tcW w:w="36" w:type="dxa"/>
                  <w:noWrap w:val="0"/>
                  <w:vAlign w:val="center"/>
                </w:tcPr>
                <w:p>
                  <w:pPr>
                    <w:widowControl/>
                    <w:jc w:val="left"/>
                    <w:rPr>
                      <w:rFonts w:ascii="宋体" w:hAnsi="宋体" w:cs="宋体"/>
                      <w:kern w:val="0"/>
                      <w:szCs w:val="21"/>
                    </w:rPr>
                  </w:pPr>
                </w:p>
              </w:tc>
            </w:tr>
          </w:tbl>
          <w:p>
            <w:pPr>
              <w:widowControl/>
              <w:jc w:val="left"/>
              <w:rPr>
                <w:rFonts w:hint="eastAsia" w:ascii="宋体" w:hAnsi="宋体" w:cs="宋体"/>
                <w:b/>
                <w:bCs/>
                <w:kern w:val="0"/>
                <w:szCs w:val="21"/>
              </w:rPr>
            </w:pPr>
          </w:p>
        </w:tc>
        <w:tc>
          <w:tcPr>
            <w:tcW w:w="6612" w:type="dxa"/>
            <w:noWrap w:val="0"/>
            <w:vAlign w:val="center"/>
          </w:tcPr>
          <w:p>
            <w:pPr>
              <w:widowControl/>
              <w:jc w:val="left"/>
              <w:rPr>
                <w:szCs w:val="21"/>
              </w:rPr>
            </w:pPr>
            <w:r>
              <w:rPr>
                <w:rFonts w:ascii="宋体" w:hAnsi="宋体" w:cs="宋体"/>
                <w:kern w:val="0"/>
                <w:szCs w:val="21"/>
              </w:rPr>
              <w:t>70 dB 86/188/EEC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100" w:type="dxa"/>
            <w:noWrap w:val="0"/>
            <w:vAlign w:val="center"/>
          </w:tcPr>
          <w:tbl>
            <w:tblPr>
              <w:tblStyle w:val="19"/>
              <w:tblW w:w="0" w:type="auto"/>
              <w:tblCellSpacing w:w="15" w:type="dxa"/>
              <w:tblInd w:w="0" w:type="dxa"/>
              <w:tblLayout w:type="fixed"/>
              <w:tblCellMar>
                <w:top w:w="15" w:type="dxa"/>
                <w:left w:w="15" w:type="dxa"/>
                <w:bottom w:w="15" w:type="dxa"/>
                <w:right w:w="15" w:type="dxa"/>
              </w:tblCellMar>
            </w:tblPr>
            <w:tblGrid>
              <w:gridCol w:w="739"/>
              <w:gridCol w:w="95"/>
            </w:tblGrid>
            <w:tr>
              <w:tblPrEx>
                <w:tblCellMar>
                  <w:top w:w="15" w:type="dxa"/>
                  <w:left w:w="15" w:type="dxa"/>
                  <w:bottom w:w="15" w:type="dxa"/>
                  <w:right w:w="15" w:type="dxa"/>
                </w:tblCellMar>
              </w:tblPrEx>
              <w:trPr>
                <w:tblCellSpacing w:w="15" w:type="dxa"/>
              </w:trPr>
              <w:tc>
                <w:tcPr>
                  <w:tcW w:w="694" w:type="dxa"/>
                  <w:noWrap w:val="0"/>
                  <w:vAlign w:val="center"/>
                </w:tcPr>
                <w:p>
                  <w:pPr>
                    <w:widowControl/>
                    <w:jc w:val="center"/>
                    <w:rPr>
                      <w:rFonts w:ascii="宋体" w:hAnsi="宋体" w:cs="宋体"/>
                      <w:b/>
                      <w:bCs/>
                      <w:kern w:val="0"/>
                      <w:szCs w:val="21"/>
                    </w:rPr>
                  </w:pPr>
                  <w:r>
                    <w:rPr>
                      <w:rFonts w:ascii="宋体" w:hAnsi="宋体" w:cs="宋体"/>
                      <w:b/>
                      <w:bCs/>
                      <w:kern w:val="0"/>
                      <w:szCs w:val="21"/>
                    </w:rPr>
                    <w:t>功耗W</w:t>
                  </w:r>
                </w:p>
              </w:tc>
              <w:tc>
                <w:tcPr>
                  <w:tcW w:w="36" w:type="dxa"/>
                  <w:noWrap w:val="0"/>
                  <w:vAlign w:val="center"/>
                </w:tcPr>
                <w:p>
                  <w:pPr>
                    <w:widowControl/>
                    <w:jc w:val="left"/>
                    <w:rPr>
                      <w:rFonts w:ascii="宋体" w:hAnsi="宋体" w:cs="宋体"/>
                      <w:kern w:val="0"/>
                      <w:szCs w:val="21"/>
                    </w:rPr>
                  </w:pPr>
                </w:p>
              </w:tc>
            </w:tr>
          </w:tbl>
          <w:p>
            <w:pPr>
              <w:widowControl/>
              <w:jc w:val="center"/>
              <w:rPr>
                <w:rFonts w:ascii="宋体" w:hAnsi="宋体" w:cs="宋体"/>
                <w:b/>
                <w:bCs/>
                <w:kern w:val="0"/>
                <w:szCs w:val="21"/>
              </w:rPr>
            </w:pPr>
          </w:p>
        </w:tc>
        <w:tc>
          <w:tcPr>
            <w:tcW w:w="6612" w:type="dxa"/>
            <w:noWrap w:val="0"/>
            <w:vAlign w:val="center"/>
          </w:tcPr>
          <w:p>
            <w:pPr>
              <w:widowControl/>
              <w:jc w:val="left"/>
              <w:rPr>
                <w:rFonts w:ascii="宋体" w:hAnsi="宋体" w:cs="宋体"/>
                <w:kern w:val="0"/>
                <w:szCs w:val="21"/>
              </w:rPr>
            </w:pPr>
            <w:r>
              <w:rPr>
                <w:rFonts w:ascii="宋体" w:hAnsi="宋体" w:cs="宋体"/>
                <w:kern w:val="0"/>
                <w:szCs w:val="21"/>
              </w:rPr>
              <w:t>5750 W 2.5 kHz 标准负载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100" w:type="dxa"/>
            <w:noWrap w:val="0"/>
            <w:vAlign w:val="center"/>
          </w:tcPr>
          <w:tbl>
            <w:tblPr>
              <w:tblStyle w:val="19"/>
              <w:tblW w:w="0" w:type="auto"/>
              <w:tblCellSpacing w:w="15" w:type="dxa"/>
              <w:tblInd w:w="0" w:type="dxa"/>
              <w:tblLayout w:type="fixed"/>
              <w:tblCellMar>
                <w:top w:w="15" w:type="dxa"/>
                <w:left w:w="15" w:type="dxa"/>
                <w:bottom w:w="15" w:type="dxa"/>
                <w:right w:w="15" w:type="dxa"/>
              </w:tblCellMar>
            </w:tblPr>
            <w:tblGrid>
              <w:gridCol w:w="1039"/>
              <w:gridCol w:w="95"/>
            </w:tblGrid>
            <w:tr>
              <w:trPr>
                <w:tblCellSpacing w:w="15" w:type="dxa"/>
              </w:trPr>
              <w:tc>
                <w:tcPr>
                  <w:tcW w:w="994" w:type="dxa"/>
                  <w:noWrap w:val="0"/>
                  <w:vAlign w:val="center"/>
                </w:tcPr>
                <w:p>
                  <w:pPr>
                    <w:widowControl/>
                    <w:jc w:val="center"/>
                    <w:rPr>
                      <w:rFonts w:ascii="宋体" w:hAnsi="宋体" w:cs="宋体"/>
                      <w:b/>
                      <w:bCs/>
                      <w:kern w:val="0"/>
                      <w:szCs w:val="21"/>
                    </w:rPr>
                  </w:pPr>
                  <w:r>
                    <w:rPr>
                      <w:rFonts w:ascii="宋体" w:hAnsi="宋体" w:cs="宋体"/>
                      <w:b/>
                      <w:bCs/>
                      <w:kern w:val="0"/>
                      <w:szCs w:val="21"/>
                    </w:rPr>
                    <w:t>操作位置</w:t>
                  </w:r>
                </w:p>
              </w:tc>
              <w:tc>
                <w:tcPr>
                  <w:tcW w:w="36" w:type="dxa"/>
                  <w:noWrap w:val="0"/>
                  <w:vAlign w:val="center"/>
                </w:tcPr>
                <w:p>
                  <w:pPr>
                    <w:widowControl/>
                    <w:jc w:val="left"/>
                    <w:rPr>
                      <w:rFonts w:ascii="宋体" w:hAnsi="宋体" w:cs="宋体"/>
                      <w:kern w:val="0"/>
                      <w:szCs w:val="21"/>
                    </w:rPr>
                  </w:pPr>
                </w:p>
              </w:tc>
            </w:tr>
          </w:tbl>
          <w:p>
            <w:pPr>
              <w:widowControl/>
              <w:jc w:val="center"/>
              <w:rPr>
                <w:rFonts w:ascii="宋体" w:hAnsi="宋体" w:cs="宋体"/>
                <w:b/>
                <w:bCs/>
                <w:kern w:val="0"/>
                <w:szCs w:val="21"/>
              </w:rPr>
            </w:pPr>
          </w:p>
        </w:tc>
        <w:tc>
          <w:tcPr>
            <w:tcW w:w="6612" w:type="dxa"/>
            <w:noWrap w:val="0"/>
            <w:vAlign w:val="center"/>
          </w:tcPr>
          <w:p>
            <w:pPr>
              <w:widowControl/>
              <w:jc w:val="left"/>
              <w:rPr>
                <w:rFonts w:ascii="宋体" w:hAnsi="宋体" w:cs="宋体"/>
                <w:kern w:val="0"/>
                <w:szCs w:val="21"/>
              </w:rPr>
            </w:pPr>
            <w:r>
              <w:rPr>
                <w:rFonts w:ascii="宋体" w:hAnsi="宋体" w:cs="宋体"/>
                <w:kern w:val="0"/>
                <w:szCs w:val="21"/>
              </w:rPr>
              <w:t>垂直方向 +/- 10°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100" w:type="dxa"/>
            <w:noWrap w:val="0"/>
            <w:vAlign w:val="center"/>
          </w:tcPr>
          <w:p>
            <w:pPr>
              <w:widowControl/>
              <w:jc w:val="left"/>
              <w:rPr>
                <w:rFonts w:ascii="宋体" w:hAnsi="宋体" w:cs="宋体"/>
                <w:b/>
                <w:bCs/>
                <w:kern w:val="0"/>
                <w:szCs w:val="21"/>
              </w:rPr>
            </w:pPr>
            <w:r>
              <w:rPr>
                <w:rFonts w:ascii="宋体" w:hAnsi="宋体" w:cs="宋体"/>
                <w:b/>
                <w:bCs/>
                <w:kern w:val="0"/>
                <w:szCs w:val="21"/>
              </w:rPr>
              <w:t>电磁兼容性</w:t>
            </w:r>
          </w:p>
        </w:tc>
        <w:tc>
          <w:tcPr>
            <w:tcW w:w="6612" w:type="dxa"/>
            <w:noWrap w:val="0"/>
            <w:vAlign w:val="center"/>
          </w:tcPr>
          <w:p>
            <w:pPr>
              <w:widowControl/>
              <w:jc w:val="left"/>
              <w:rPr>
                <w:rFonts w:ascii="宋体" w:hAnsi="宋体" w:cs="宋体"/>
                <w:kern w:val="0"/>
                <w:szCs w:val="21"/>
              </w:rPr>
            </w:pPr>
            <w:r>
              <w:rPr>
                <w:szCs w:val="21"/>
              </w:rPr>
              <w:t>抗射频场引起的传导波动 级别 3 IEC 61000-4-6</w:t>
            </w:r>
            <w:r>
              <w:rPr>
                <w:szCs w:val="21"/>
              </w:rPr>
              <w:br w:type="textWrapping"/>
            </w:r>
            <w:r>
              <w:rPr>
                <w:szCs w:val="21"/>
              </w:rPr>
              <w:t>1.2/50和8/20 µs复合波（测试） 级别 3 IEC 61000-4-5</w:t>
            </w:r>
            <w:r>
              <w:rPr>
                <w:szCs w:val="21"/>
              </w:rPr>
              <w:br w:type="textWrapping"/>
            </w:r>
            <w:r>
              <w:rPr>
                <w:szCs w:val="21"/>
              </w:rPr>
              <w:t>抗快速瞬变 级别 4 IEC 61000-4-4</w:t>
            </w:r>
            <w:r>
              <w:rPr>
                <w:szCs w:val="21"/>
              </w:rPr>
              <w:br w:type="textWrapping"/>
            </w:r>
            <w:r>
              <w:rPr>
                <w:szCs w:val="21"/>
              </w:rPr>
              <w:t>静电放电抗干扰 级别 3 IEC 61000-4-2</w:t>
            </w:r>
            <w:r>
              <w:rPr>
                <w:szCs w:val="21"/>
              </w:rPr>
              <w:br w:type="textWrapping"/>
            </w:r>
            <w:r>
              <w:rPr>
                <w:szCs w:val="21"/>
              </w:rPr>
              <w:t>射频电磁场辐射抗扰度试验 级别 3 IEC 61000-4-3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100" w:type="dxa"/>
            <w:noWrap w:val="0"/>
            <w:vAlign w:val="center"/>
          </w:tcPr>
          <w:p>
            <w:pPr>
              <w:widowControl/>
              <w:jc w:val="left"/>
              <w:rPr>
                <w:rFonts w:ascii="宋体" w:hAnsi="宋体" w:cs="宋体"/>
                <w:b/>
                <w:bCs/>
                <w:kern w:val="0"/>
                <w:szCs w:val="21"/>
              </w:rPr>
            </w:pPr>
            <w:r>
              <w:rPr>
                <w:rFonts w:ascii="宋体" w:hAnsi="宋体" w:cs="宋体"/>
                <w:b/>
                <w:bCs/>
                <w:kern w:val="0"/>
                <w:szCs w:val="21"/>
              </w:rPr>
              <w:t>污染等级</w:t>
            </w:r>
          </w:p>
        </w:tc>
        <w:tc>
          <w:tcPr>
            <w:tcW w:w="6612" w:type="dxa"/>
            <w:noWrap w:val="0"/>
            <w:vAlign w:val="center"/>
          </w:tcPr>
          <w:p>
            <w:pPr>
              <w:widowControl/>
              <w:jc w:val="left"/>
              <w:rPr>
                <w:szCs w:val="21"/>
              </w:rPr>
            </w:pPr>
            <w:r>
              <w:rPr>
                <w:szCs w:val="21"/>
              </w:rPr>
              <w:t>2 EN/IEC 61800-5-1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100" w:type="dxa"/>
            <w:noWrap w:val="0"/>
            <w:vAlign w:val="center"/>
          </w:tcPr>
          <w:p>
            <w:pPr>
              <w:widowControl/>
              <w:jc w:val="left"/>
              <w:rPr>
                <w:rFonts w:ascii="宋体" w:hAnsi="宋体" w:cs="宋体"/>
                <w:b/>
                <w:bCs/>
                <w:kern w:val="0"/>
                <w:szCs w:val="21"/>
              </w:rPr>
            </w:pPr>
            <w:r>
              <w:rPr>
                <w:rFonts w:ascii="宋体" w:hAnsi="宋体" w:cs="宋体"/>
                <w:b/>
                <w:bCs/>
                <w:kern w:val="0"/>
                <w:szCs w:val="21"/>
              </w:rPr>
              <w:t>抗振动</w:t>
            </w:r>
          </w:p>
        </w:tc>
        <w:tc>
          <w:tcPr>
            <w:tcW w:w="6612" w:type="dxa"/>
            <w:noWrap w:val="0"/>
            <w:vAlign w:val="center"/>
          </w:tcPr>
          <w:p>
            <w:pPr>
              <w:widowControl/>
              <w:jc w:val="left"/>
              <w:rPr>
                <w:szCs w:val="21"/>
              </w:rPr>
            </w:pPr>
            <w:r>
              <w:rPr>
                <w:szCs w:val="21"/>
              </w:rPr>
              <w:t>波峰至波峰 1.5 mm 2...13 Hz IEC 60068-2-6</w:t>
            </w:r>
            <w:r>
              <w:rPr>
                <w:szCs w:val="21"/>
              </w:rPr>
              <w:br w:type="textWrapping"/>
            </w:r>
            <w:r>
              <w:rPr>
                <w:szCs w:val="21"/>
              </w:rPr>
              <w:t>1 gn 13...200 Hz IEC 60068-2-6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100" w:type="dxa"/>
            <w:noWrap w:val="0"/>
            <w:vAlign w:val="center"/>
          </w:tcPr>
          <w:p>
            <w:pPr>
              <w:widowControl/>
              <w:jc w:val="left"/>
              <w:rPr>
                <w:rFonts w:ascii="宋体" w:hAnsi="宋体" w:cs="宋体"/>
                <w:b/>
                <w:bCs/>
                <w:kern w:val="0"/>
                <w:szCs w:val="21"/>
              </w:rPr>
            </w:pPr>
            <w:r>
              <w:rPr>
                <w:rFonts w:ascii="宋体" w:hAnsi="宋体" w:cs="宋体"/>
                <w:b/>
                <w:bCs/>
                <w:kern w:val="0"/>
                <w:szCs w:val="21"/>
              </w:rPr>
              <w:t>抗冲击</w:t>
            </w:r>
          </w:p>
        </w:tc>
        <w:tc>
          <w:tcPr>
            <w:tcW w:w="6612" w:type="dxa"/>
            <w:noWrap w:val="0"/>
            <w:vAlign w:val="center"/>
          </w:tcPr>
          <w:p>
            <w:pPr>
              <w:widowControl/>
              <w:jc w:val="left"/>
              <w:rPr>
                <w:szCs w:val="21"/>
              </w:rPr>
            </w:pPr>
            <w:r>
              <w:rPr>
                <w:szCs w:val="21"/>
              </w:rPr>
              <w:t>15 gn 11 ms IEC 60068-2-27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100" w:type="dxa"/>
            <w:noWrap w:val="0"/>
            <w:vAlign w:val="center"/>
          </w:tcPr>
          <w:p>
            <w:pPr>
              <w:widowControl/>
              <w:jc w:val="left"/>
              <w:rPr>
                <w:rFonts w:ascii="宋体" w:hAnsi="宋体" w:cs="宋体"/>
                <w:b/>
                <w:bCs/>
                <w:kern w:val="0"/>
                <w:szCs w:val="21"/>
              </w:rPr>
            </w:pPr>
            <w:r>
              <w:rPr>
                <w:rFonts w:ascii="宋体" w:hAnsi="宋体" w:cs="宋体"/>
                <w:b/>
                <w:bCs/>
                <w:kern w:val="0"/>
                <w:szCs w:val="21"/>
              </w:rPr>
              <w:t>相对湿度</w:t>
            </w:r>
          </w:p>
        </w:tc>
        <w:tc>
          <w:tcPr>
            <w:tcW w:w="6612" w:type="dxa"/>
            <w:noWrap w:val="0"/>
            <w:vAlign w:val="center"/>
          </w:tcPr>
          <w:p>
            <w:pPr>
              <w:widowControl/>
              <w:jc w:val="left"/>
              <w:rPr>
                <w:szCs w:val="21"/>
              </w:rPr>
            </w:pPr>
            <w:r>
              <w:rPr>
                <w:szCs w:val="21"/>
              </w:rPr>
              <w:t>5...95 % 无冷凝 IEC 60068-2-3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100" w:type="dxa"/>
            <w:noWrap w:val="0"/>
            <w:vAlign w:val="center"/>
          </w:tcPr>
          <w:p>
            <w:pPr>
              <w:widowControl/>
              <w:jc w:val="left"/>
              <w:rPr>
                <w:rFonts w:ascii="宋体" w:hAnsi="宋体" w:cs="宋体"/>
                <w:b/>
                <w:bCs/>
                <w:kern w:val="0"/>
                <w:szCs w:val="21"/>
              </w:rPr>
            </w:pPr>
            <w:r>
              <w:rPr>
                <w:rFonts w:ascii="宋体" w:hAnsi="宋体" w:cs="宋体"/>
                <w:b/>
                <w:bCs/>
                <w:kern w:val="0"/>
                <w:szCs w:val="21"/>
              </w:rPr>
              <w:t>环境温度</w:t>
            </w:r>
          </w:p>
        </w:tc>
        <w:tc>
          <w:tcPr>
            <w:tcW w:w="6612" w:type="dxa"/>
            <w:noWrap w:val="0"/>
            <w:vAlign w:val="center"/>
          </w:tcPr>
          <w:p>
            <w:pPr>
              <w:widowControl/>
              <w:jc w:val="left"/>
              <w:rPr>
                <w:szCs w:val="21"/>
              </w:rPr>
            </w:pPr>
            <w:r>
              <w:rPr>
                <w:szCs w:val="21"/>
              </w:rPr>
              <w:t>-15...40 °C 无降容</w:t>
            </w:r>
            <w:r>
              <w:rPr>
                <w:szCs w:val="21"/>
              </w:rPr>
              <w:br w:type="textWrapping"/>
            </w:r>
            <w:r>
              <w:rPr>
                <w:szCs w:val="21"/>
              </w:rPr>
              <w:t>40...50 °C 带降额因素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100" w:type="dxa"/>
            <w:noWrap w:val="0"/>
            <w:vAlign w:val="center"/>
          </w:tcPr>
          <w:p>
            <w:pPr>
              <w:widowControl/>
              <w:jc w:val="left"/>
              <w:rPr>
                <w:rFonts w:ascii="宋体" w:hAnsi="宋体" w:cs="宋体"/>
                <w:b/>
                <w:bCs/>
                <w:kern w:val="0"/>
                <w:szCs w:val="21"/>
              </w:rPr>
            </w:pPr>
            <w:r>
              <w:rPr>
                <w:rFonts w:ascii="宋体" w:hAnsi="宋体" w:cs="宋体"/>
                <w:b/>
                <w:bCs/>
                <w:kern w:val="0"/>
                <w:szCs w:val="21"/>
              </w:rPr>
              <w:t>贮存环境温度</w:t>
            </w:r>
          </w:p>
        </w:tc>
        <w:tc>
          <w:tcPr>
            <w:tcW w:w="6612" w:type="dxa"/>
            <w:noWrap w:val="0"/>
            <w:vAlign w:val="center"/>
          </w:tcPr>
          <w:p>
            <w:pPr>
              <w:widowControl/>
              <w:jc w:val="left"/>
              <w:rPr>
                <w:szCs w:val="21"/>
              </w:rPr>
            </w:pPr>
            <w:r>
              <w:rPr>
                <w:szCs w:val="21"/>
              </w:rPr>
              <w:t>-40...70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100" w:type="dxa"/>
            <w:noWrap w:val="0"/>
            <w:vAlign w:val="center"/>
          </w:tcPr>
          <w:p>
            <w:pPr>
              <w:widowControl/>
              <w:jc w:val="left"/>
              <w:rPr>
                <w:rFonts w:ascii="宋体" w:hAnsi="宋体" w:cs="宋体"/>
                <w:b/>
                <w:bCs/>
                <w:kern w:val="0"/>
                <w:szCs w:val="21"/>
              </w:rPr>
            </w:pPr>
            <w:r>
              <w:rPr>
                <w:rFonts w:ascii="宋体" w:hAnsi="宋体" w:cs="宋体"/>
                <w:b/>
                <w:bCs/>
                <w:kern w:val="0"/>
                <w:szCs w:val="21"/>
              </w:rPr>
              <w:t>工作海拔</w:t>
            </w:r>
          </w:p>
        </w:tc>
        <w:tc>
          <w:tcPr>
            <w:tcW w:w="6612" w:type="dxa"/>
            <w:noWrap w:val="0"/>
            <w:vAlign w:val="center"/>
          </w:tcPr>
          <w:p>
            <w:pPr>
              <w:widowControl/>
              <w:jc w:val="left"/>
              <w:rPr>
                <w:szCs w:val="21"/>
              </w:rPr>
            </w:pPr>
            <w:r>
              <w:rPr>
                <w:szCs w:val="21"/>
              </w:rPr>
              <w:t>1000...4800 m 电流降额 1%/100m</w:t>
            </w:r>
            <w:r>
              <w:rPr>
                <w:szCs w:val="21"/>
              </w:rPr>
              <w:br w:type="textWrapping"/>
            </w:r>
            <w:r>
              <w:rPr>
                <w:szCs w:val="21"/>
              </w:rPr>
              <w:t>&lt;= 1000 m 无降容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100" w:type="dxa"/>
            <w:noWrap w:val="0"/>
            <w:vAlign w:val="center"/>
          </w:tcPr>
          <w:p>
            <w:pPr>
              <w:widowControl/>
              <w:jc w:val="left"/>
              <w:rPr>
                <w:rFonts w:ascii="宋体" w:hAnsi="宋体" w:cs="宋体"/>
                <w:b/>
                <w:bCs/>
                <w:kern w:val="0"/>
                <w:szCs w:val="21"/>
              </w:rPr>
            </w:pPr>
            <w:r>
              <w:rPr>
                <w:rFonts w:ascii="宋体" w:hAnsi="宋体" w:cs="宋体"/>
                <w:b/>
                <w:bCs/>
                <w:kern w:val="0"/>
                <w:szCs w:val="21"/>
              </w:rPr>
              <w:t>环境特征</w:t>
            </w:r>
          </w:p>
        </w:tc>
        <w:tc>
          <w:tcPr>
            <w:tcW w:w="6612" w:type="dxa"/>
            <w:noWrap w:val="0"/>
            <w:vAlign w:val="center"/>
          </w:tcPr>
          <w:p>
            <w:pPr>
              <w:widowControl/>
              <w:jc w:val="left"/>
              <w:rPr>
                <w:szCs w:val="21"/>
              </w:rPr>
            </w:pPr>
            <w:r>
              <w:rPr>
                <w:szCs w:val="21"/>
              </w:rPr>
              <w:t>化学污染抵抗 等级3C3 EN/IEC 60721-3-3</w:t>
            </w:r>
            <w:r>
              <w:rPr>
                <w:szCs w:val="21"/>
              </w:rPr>
              <w:br w:type="textWrapping"/>
            </w:r>
            <w:r>
              <w:rPr>
                <w:szCs w:val="21"/>
              </w:rPr>
              <w:t>尘土污染抵抗 等级3S3 EN/IEC 60721-3-3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100" w:type="dxa"/>
            <w:noWrap w:val="0"/>
            <w:vAlign w:val="center"/>
          </w:tcPr>
          <w:p>
            <w:pPr>
              <w:widowControl/>
              <w:jc w:val="left"/>
              <w:rPr>
                <w:rFonts w:ascii="宋体" w:hAnsi="宋体" w:cs="宋体"/>
                <w:b/>
                <w:bCs/>
                <w:kern w:val="0"/>
                <w:szCs w:val="21"/>
              </w:rPr>
            </w:pPr>
            <w:r>
              <w:rPr>
                <w:rFonts w:ascii="宋体" w:hAnsi="宋体" w:cs="宋体"/>
                <w:b/>
                <w:bCs/>
                <w:kern w:val="0"/>
                <w:szCs w:val="21"/>
              </w:rPr>
              <w:t>标准</w:t>
            </w:r>
          </w:p>
        </w:tc>
        <w:tc>
          <w:tcPr>
            <w:tcW w:w="6612" w:type="dxa"/>
            <w:noWrap w:val="0"/>
            <w:vAlign w:val="center"/>
          </w:tcPr>
          <w:p>
            <w:pPr>
              <w:widowControl/>
              <w:jc w:val="left"/>
              <w:rPr>
                <w:szCs w:val="21"/>
              </w:rPr>
            </w:pPr>
            <w:r>
              <w:rPr>
                <w:szCs w:val="21"/>
              </w:rPr>
              <w:t>EN/IEC 61800-3</w:t>
            </w:r>
            <w:r>
              <w:rPr>
                <w:szCs w:val="21"/>
              </w:rPr>
              <w:br w:type="textWrapping"/>
            </w:r>
            <w:r>
              <w:rPr>
                <w:szCs w:val="21"/>
              </w:rPr>
              <w:t>EN/IEC 61800-3 环境2分类C3</w:t>
            </w:r>
            <w:r>
              <w:rPr>
                <w:szCs w:val="21"/>
              </w:rPr>
              <w:br w:type="textWrapping"/>
            </w:r>
            <w:r>
              <w:rPr>
                <w:szCs w:val="21"/>
              </w:rPr>
              <w:t>UL 508C</w:t>
            </w:r>
            <w:r>
              <w:rPr>
                <w:szCs w:val="21"/>
              </w:rPr>
              <w:br w:type="textWrapping"/>
            </w:r>
            <w:r>
              <w:rPr>
                <w:szCs w:val="21"/>
              </w:rPr>
              <w:t>EN/IEC 61800-5-1</w:t>
            </w:r>
            <w:r>
              <w:rPr>
                <w:szCs w:val="21"/>
              </w:rPr>
              <w:br w:type="textWrapping"/>
            </w:r>
            <w:r>
              <w:rPr>
                <w:szCs w:val="21"/>
              </w:rPr>
              <w:t>IEC 61000-3-12</w:t>
            </w:r>
            <w:r>
              <w:rPr>
                <w:szCs w:val="21"/>
              </w:rPr>
              <w:br w:type="textWrapping"/>
            </w:r>
            <w:r>
              <w:rPr>
                <w:szCs w:val="21"/>
              </w:rPr>
              <w:t>IEC 60721-3</w:t>
            </w:r>
            <w:r>
              <w:rPr>
                <w:szCs w:val="21"/>
              </w:rPr>
              <w:br w:type="textWrapping"/>
            </w:r>
            <w:r>
              <w:rPr>
                <w:szCs w:val="21"/>
              </w:rPr>
              <w:t>IEC 61508</w:t>
            </w:r>
            <w:r>
              <w:rPr>
                <w:szCs w:val="21"/>
              </w:rPr>
              <w:br w:type="textWrapping"/>
            </w:r>
            <w:r>
              <w:rPr>
                <w:szCs w:val="21"/>
              </w:rPr>
              <w:t>IEC 13849-1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100" w:type="dxa"/>
            <w:noWrap w:val="0"/>
            <w:vAlign w:val="center"/>
          </w:tcPr>
          <w:p>
            <w:pPr>
              <w:widowControl/>
              <w:jc w:val="left"/>
              <w:rPr>
                <w:rFonts w:ascii="宋体" w:hAnsi="宋体" w:cs="宋体"/>
                <w:b/>
                <w:bCs/>
                <w:kern w:val="0"/>
                <w:szCs w:val="21"/>
              </w:rPr>
            </w:pPr>
            <w:r>
              <w:rPr>
                <w:rFonts w:ascii="宋体" w:hAnsi="宋体" w:cs="宋体"/>
                <w:b/>
                <w:bCs/>
                <w:kern w:val="0"/>
                <w:szCs w:val="21"/>
              </w:rPr>
              <w:t>产品认证</w:t>
            </w:r>
          </w:p>
        </w:tc>
        <w:tc>
          <w:tcPr>
            <w:tcW w:w="6612" w:type="dxa"/>
            <w:noWrap w:val="0"/>
            <w:vAlign w:val="center"/>
          </w:tcPr>
          <w:p>
            <w:pPr>
              <w:widowControl/>
              <w:jc w:val="left"/>
              <w:rPr>
                <w:szCs w:val="21"/>
              </w:rPr>
            </w:pPr>
            <w:r>
              <w:rPr>
                <w:szCs w:val="21"/>
              </w:rPr>
              <w:t>ATEX INERIS</w:t>
            </w:r>
            <w:r>
              <w:rPr>
                <w:szCs w:val="21"/>
              </w:rPr>
              <w:br w:type="textWrapping"/>
            </w:r>
            <w:r>
              <w:rPr>
                <w:szCs w:val="21"/>
              </w:rPr>
              <w:t>ATEX zone 2/22</w:t>
            </w:r>
            <w:r>
              <w:rPr>
                <w:szCs w:val="21"/>
              </w:rPr>
              <w:br w:type="textWrapping"/>
            </w:r>
            <w:r>
              <w:rPr>
                <w:szCs w:val="21"/>
              </w:rPr>
              <w:t>CSA</w:t>
            </w:r>
            <w:r>
              <w:rPr>
                <w:szCs w:val="21"/>
              </w:rPr>
              <w:br w:type="textWrapping"/>
            </w:r>
            <w:r>
              <w:rPr>
                <w:szCs w:val="21"/>
              </w:rPr>
              <w:t>TÜV</w:t>
            </w:r>
            <w:r>
              <w:rPr>
                <w:szCs w:val="21"/>
              </w:rPr>
              <w:br w:type="textWrapping"/>
            </w:r>
            <w:r>
              <w:rPr>
                <w:szCs w:val="21"/>
              </w:rPr>
              <w:t>REACH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100" w:type="dxa"/>
            <w:noWrap w:val="0"/>
            <w:vAlign w:val="center"/>
          </w:tcPr>
          <w:p>
            <w:pPr>
              <w:widowControl/>
              <w:jc w:val="left"/>
              <w:rPr>
                <w:rFonts w:ascii="宋体" w:hAnsi="宋体" w:cs="宋体"/>
                <w:b/>
                <w:bCs/>
                <w:kern w:val="0"/>
                <w:szCs w:val="21"/>
              </w:rPr>
            </w:pPr>
            <w:r>
              <w:rPr>
                <w:rFonts w:ascii="宋体" w:hAnsi="宋体" w:cs="宋体"/>
                <w:b/>
                <w:bCs/>
                <w:kern w:val="0"/>
                <w:szCs w:val="21"/>
              </w:rPr>
              <w:t>标识</w:t>
            </w:r>
          </w:p>
        </w:tc>
        <w:tc>
          <w:tcPr>
            <w:tcW w:w="6612" w:type="dxa"/>
            <w:noWrap w:val="0"/>
            <w:vAlign w:val="center"/>
          </w:tcPr>
          <w:p>
            <w:pPr>
              <w:widowControl/>
              <w:jc w:val="left"/>
              <w:rPr>
                <w:szCs w:val="21"/>
              </w:rPr>
            </w:pPr>
            <w:r>
              <w:rPr>
                <w:szCs w:val="21"/>
              </w:rPr>
              <w:t>CE</w:t>
            </w:r>
          </w:p>
        </w:tc>
      </w:tr>
    </w:tbl>
    <w:p>
      <w:pPr>
        <w:rPr>
          <w:rFonts w:hint="eastAsia"/>
          <w:szCs w:val="21"/>
        </w:rPr>
      </w:pPr>
    </w:p>
    <w:p>
      <w:pPr>
        <w:pStyle w:val="4"/>
        <w:spacing w:line="240" w:lineRule="auto"/>
        <w:rPr>
          <w:rFonts w:hint="eastAsia"/>
          <w:sz w:val="21"/>
          <w:szCs w:val="21"/>
        </w:rPr>
      </w:pPr>
      <w:bookmarkStart w:id="72" w:name="_Toc517392301"/>
      <w:r>
        <w:rPr>
          <w:rFonts w:hint="eastAsia"/>
          <w:sz w:val="21"/>
          <w:szCs w:val="21"/>
        </w:rPr>
        <w:t>3自动监控系统</w:t>
      </w:r>
      <w:bookmarkEnd w:id="72"/>
    </w:p>
    <w:p>
      <w:pPr>
        <w:rPr>
          <w:rFonts w:hint="eastAsia" w:eastAsia="宋体"/>
          <w:b/>
          <w:bCs/>
          <w:color w:val="FF0000"/>
          <w:lang w:val="en-US" w:eastAsia="zh-CN"/>
        </w:rPr>
      </w:pPr>
      <w:r>
        <w:rPr>
          <w:rFonts w:hint="eastAsia"/>
          <w:b/>
          <w:bCs/>
          <w:color w:val="FF0000"/>
          <w:sz w:val="21"/>
          <w:szCs w:val="21"/>
          <w:lang w:val="en-US" w:eastAsia="zh-CN"/>
        </w:rPr>
        <w:t>PCL推荐品牌：</w:t>
      </w:r>
      <w:r>
        <w:rPr>
          <w:rFonts w:hint="eastAsia" w:ascii="Calibri" w:hAnsi="Calibri" w:eastAsia="宋体" w:cs="Times New Roman"/>
          <w:b/>
          <w:bCs/>
          <w:color w:val="FF0000"/>
          <w:kern w:val="2"/>
          <w:sz w:val="21"/>
          <w:szCs w:val="24"/>
          <w:lang w:val="en-US" w:eastAsia="zh-CN" w:bidi="ar-SA"/>
        </w:rPr>
        <w:t>西门子、AB、施耐德</w:t>
      </w:r>
      <w:r>
        <w:rPr>
          <w:rFonts w:hint="eastAsia" w:ascii="Calibri" w:hAnsi="Calibri" w:cs="Times New Roman"/>
          <w:b/>
          <w:bCs/>
          <w:color w:val="FF0000"/>
          <w:kern w:val="2"/>
          <w:sz w:val="21"/>
          <w:szCs w:val="24"/>
          <w:lang w:val="en-US" w:eastAsia="zh-CN" w:bidi="ar-SA"/>
        </w:rPr>
        <w:t>；</w:t>
      </w:r>
    </w:p>
    <w:p>
      <w:pPr>
        <w:rPr>
          <w:rFonts w:hint="eastAsia"/>
          <w:szCs w:val="21"/>
        </w:rPr>
      </w:pPr>
      <w:r>
        <w:rPr>
          <w:rFonts w:hint="eastAsia"/>
          <w:szCs w:val="21"/>
        </w:rPr>
        <w:t xml:space="preserve">    自动控制系统由一整套工业PLC系统、电力通讯管理机、监控计算机等为核心的分布式计算机监控网络构成。本期自动控制系统须将加压站原有的设备（包含水泵、配电柜等）以及本期新增的设备一起整合到原有的计算机监控系统中，实现对加压站所有设备的集中监控。</w:t>
      </w:r>
    </w:p>
    <w:p>
      <w:pPr>
        <w:rPr>
          <w:rFonts w:hint="eastAsia"/>
          <w:szCs w:val="21"/>
        </w:rPr>
      </w:pPr>
      <w:r>
        <w:rPr>
          <w:rFonts w:hint="eastAsia"/>
          <w:szCs w:val="21"/>
        </w:rPr>
        <w:t xml:space="preserve">    监控主站设在泵房控制室，可对全厂生产工艺设备及电气设备的运行进行全自动监测和调度并最终可实现与自来水公司“三遥”系统进行数据通讯。</w:t>
      </w:r>
    </w:p>
    <w:p>
      <w:pPr>
        <w:pStyle w:val="5"/>
        <w:tabs>
          <w:tab w:val="left" w:pos="709"/>
        </w:tabs>
        <w:spacing w:line="240" w:lineRule="auto"/>
        <w:jc w:val="left"/>
        <w:rPr>
          <w:sz w:val="21"/>
          <w:szCs w:val="21"/>
        </w:rPr>
      </w:pPr>
      <w:bookmarkStart w:id="73" w:name="_Toc517392302"/>
      <w:bookmarkStart w:id="74" w:name="_Toc5879406"/>
      <w:bookmarkStart w:id="75" w:name="_Toc4220315"/>
      <w:bookmarkStart w:id="76" w:name="_Toc4218268"/>
      <w:bookmarkStart w:id="77" w:name="_Toc4219965"/>
      <w:bookmarkStart w:id="78" w:name="_Toc6064278"/>
      <w:bookmarkStart w:id="79" w:name="_Toc3958922"/>
      <w:bookmarkStart w:id="80" w:name="_Toc4218271"/>
      <w:bookmarkStart w:id="81" w:name="_Toc5879409"/>
      <w:bookmarkStart w:id="82" w:name="_Toc4219968"/>
      <w:bookmarkStart w:id="83" w:name="_Toc3958925"/>
      <w:bookmarkStart w:id="84" w:name="_Toc4220318"/>
      <w:r>
        <w:rPr>
          <w:rFonts w:hint="eastAsia"/>
          <w:sz w:val="21"/>
          <w:szCs w:val="21"/>
        </w:rPr>
        <w:t>3</w:t>
      </w:r>
      <w:r>
        <w:rPr>
          <w:sz w:val="21"/>
          <w:szCs w:val="21"/>
        </w:rPr>
        <w:t xml:space="preserve">.1 </w:t>
      </w:r>
      <w:r>
        <w:rPr>
          <w:rFonts w:hint="eastAsia"/>
          <w:sz w:val="21"/>
          <w:szCs w:val="21"/>
        </w:rPr>
        <w:t>工作范围</w:t>
      </w:r>
      <w:bookmarkEnd w:id="73"/>
      <w:bookmarkEnd w:id="74"/>
      <w:bookmarkEnd w:id="75"/>
      <w:bookmarkEnd w:id="76"/>
      <w:bookmarkEnd w:id="77"/>
      <w:bookmarkEnd w:id="78"/>
      <w:bookmarkEnd w:id="79"/>
    </w:p>
    <w:p>
      <w:pPr>
        <w:ind w:left="340"/>
        <w:rPr>
          <w:rFonts w:hint="eastAsia"/>
          <w:color w:val="auto"/>
          <w:szCs w:val="21"/>
        </w:rPr>
      </w:pPr>
      <w:r>
        <w:rPr>
          <w:rFonts w:hint="eastAsia"/>
          <w:color w:val="auto"/>
          <w:szCs w:val="21"/>
        </w:rPr>
        <w:t xml:space="preserve">   卖方参照设计图，负责完成加压站工艺设备及电气设备的数据采集控制系统的设计、制造、供货、指导安装、检验和调试，读取现场数据，并运用生动的图形和动画，动态地真实反映整个生产过程的实际情况，使操作者可以方便地在计算机上监控全站的设备；</w:t>
      </w:r>
      <w:r>
        <w:rPr>
          <w:rFonts w:hint="eastAsia"/>
          <w:color w:val="FF0000"/>
          <w:szCs w:val="21"/>
        </w:rPr>
        <w:t>确保旧系统</w:t>
      </w:r>
      <w:r>
        <w:rPr>
          <w:rFonts w:hint="eastAsia"/>
          <w:color w:val="FF0000"/>
          <w:szCs w:val="21"/>
          <w:lang w:val="en-US" w:eastAsia="zh-CN"/>
        </w:rPr>
        <w:t>能够完全融入到新</w:t>
      </w:r>
      <w:r>
        <w:rPr>
          <w:rFonts w:hint="eastAsia"/>
          <w:color w:val="FF0000"/>
          <w:szCs w:val="21"/>
        </w:rPr>
        <w:t>增设备自控系统</w:t>
      </w:r>
      <w:r>
        <w:rPr>
          <w:rFonts w:hint="eastAsia"/>
          <w:color w:val="FF0000"/>
          <w:szCs w:val="21"/>
          <w:lang w:val="en-US" w:eastAsia="zh-CN"/>
        </w:rPr>
        <w:t>内</w:t>
      </w:r>
      <w:r>
        <w:rPr>
          <w:rFonts w:hint="eastAsia"/>
          <w:color w:val="FF0000"/>
          <w:szCs w:val="21"/>
        </w:rPr>
        <w:t>形成一个协调、合理、完整的自控系统。</w:t>
      </w:r>
      <w:r>
        <w:rPr>
          <w:rFonts w:hint="eastAsia"/>
          <w:color w:val="auto"/>
          <w:szCs w:val="21"/>
        </w:rPr>
        <w:t>且应配套提供所供设备的配置图、平面布置图、原理接线图等。</w:t>
      </w:r>
    </w:p>
    <w:p>
      <w:pPr>
        <w:rPr>
          <w:rFonts w:hint="eastAsia"/>
          <w:szCs w:val="21"/>
        </w:rPr>
      </w:pPr>
    </w:p>
    <w:p>
      <w:pPr>
        <w:pStyle w:val="5"/>
        <w:tabs>
          <w:tab w:val="left" w:pos="709"/>
        </w:tabs>
        <w:spacing w:line="240" w:lineRule="auto"/>
        <w:jc w:val="left"/>
        <w:rPr>
          <w:rFonts w:hint="eastAsia"/>
          <w:sz w:val="21"/>
          <w:szCs w:val="21"/>
        </w:rPr>
      </w:pPr>
      <w:bookmarkStart w:id="85" w:name="_Toc517392303"/>
      <w:r>
        <w:rPr>
          <w:rFonts w:hint="eastAsia"/>
          <w:sz w:val="21"/>
          <w:szCs w:val="21"/>
        </w:rPr>
        <w:t>3</w:t>
      </w:r>
      <w:r>
        <w:rPr>
          <w:sz w:val="21"/>
          <w:szCs w:val="21"/>
        </w:rPr>
        <w:t xml:space="preserve">.2 </w:t>
      </w:r>
      <w:r>
        <w:rPr>
          <w:rFonts w:hint="eastAsia"/>
          <w:sz w:val="21"/>
          <w:szCs w:val="21"/>
        </w:rPr>
        <w:t>总体要求</w:t>
      </w:r>
      <w:bookmarkEnd w:id="85"/>
    </w:p>
    <w:p>
      <w:pPr>
        <w:ind w:left="340"/>
        <w:rPr>
          <w:rFonts w:hint="eastAsia"/>
          <w:szCs w:val="21"/>
        </w:rPr>
      </w:pPr>
      <w:r>
        <w:rPr>
          <w:rFonts w:hint="eastAsia"/>
          <w:szCs w:val="21"/>
        </w:rPr>
        <w:t xml:space="preserve">   根据加压站工程的现状，进行加压站自动化系统组态、编程，完成生产的统一指挥、协调和控制。自控系统要求能实现三级控制，即现场手动控制、本地PLC站自动控制、加压站联网自动控制。</w:t>
      </w:r>
    </w:p>
    <w:p>
      <w:pPr>
        <w:ind w:left="340"/>
        <w:rPr>
          <w:rFonts w:hint="eastAsia"/>
          <w:szCs w:val="21"/>
        </w:rPr>
      </w:pPr>
      <w:r>
        <w:rPr>
          <w:rFonts w:hint="eastAsia"/>
          <w:szCs w:val="21"/>
        </w:rPr>
        <w:t xml:space="preserve">    卖方所提供的软/硬件应为市场供货的最新版本的原装产品，PLC控制系统采用 AB、施耐德、西门子或同等以上国际知名厂家生产的可编程序控制器（PLC）,整个系统中的PLC必须为同一品牌，所有模块均可带电插拔。计算机系统采用Windows 7正版操作系统，严格遵循行业标准。</w:t>
      </w:r>
    </w:p>
    <w:p>
      <w:pPr>
        <w:ind w:left="340"/>
        <w:rPr>
          <w:rFonts w:hint="eastAsia"/>
          <w:szCs w:val="21"/>
        </w:rPr>
      </w:pPr>
      <w:r>
        <w:rPr>
          <w:rFonts w:hint="eastAsia"/>
          <w:szCs w:val="21"/>
        </w:rPr>
        <w:t xml:space="preserve">    控制系统应有一套完整的自诊断功能，在监控软件中及时、准确地反映出故障状态、故障时间、故障地点及相关信息；所有的程序、标记名必须加详细注释；人机界面必须通过买方的最终认可。</w:t>
      </w:r>
    </w:p>
    <w:p>
      <w:pPr>
        <w:ind w:left="340"/>
        <w:rPr>
          <w:rFonts w:hint="eastAsia"/>
          <w:szCs w:val="21"/>
        </w:rPr>
      </w:pPr>
      <w:r>
        <w:rPr>
          <w:rFonts w:hint="eastAsia"/>
          <w:szCs w:val="21"/>
        </w:rPr>
        <w:t xml:space="preserve">    </w:t>
      </w:r>
      <w:r>
        <w:rPr>
          <w:rFonts w:hint="eastAsia" w:ascii="宋体" w:hAnsi="宋体"/>
          <w:color w:val="000000"/>
          <w:szCs w:val="21"/>
        </w:rPr>
        <w:t>系统要预留有线和无线端口，采用常规标准的通讯协议，与加压站其他设备及远程监控计算机联网，实现加压站设备的远程监视和控制。</w:t>
      </w:r>
    </w:p>
    <w:p>
      <w:pPr>
        <w:ind w:left="340" w:firstLine="420" w:firstLineChars="200"/>
        <w:rPr>
          <w:rFonts w:hint="eastAsia"/>
          <w:szCs w:val="21"/>
        </w:rPr>
      </w:pPr>
      <w:r>
        <w:rPr>
          <w:rFonts w:hint="eastAsia"/>
          <w:szCs w:val="21"/>
        </w:rPr>
        <w:t>所有PLC模块都要留有20%的余量，需配通讯模块，具备标准的工业以太网接口和标准modobus/Profibus DP 接口，可方便的与上位机或全厂控制系统连接。</w:t>
      </w:r>
    </w:p>
    <w:p>
      <w:pPr>
        <w:ind w:left="340" w:firstLine="420" w:firstLineChars="200"/>
        <w:rPr>
          <w:rFonts w:hint="eastAsia"/>
          <w:szCs w:val="21"/>
        </w:rPr>
      </w:pPr>
      <w:r>
        <w:rPr>
          <w:rFonts w:hint="eastAsia"/>
          <w:szCs w:val="21"/>
        </w:rPr>
        <w:t>在通讯规约（或协议）一致的前提下能接收其它具备微机通讯功能上传来的通讯信号。</w:t>
      </w:r>
    </w:p>
    <w:p>
      <w:pPr>
        <w:pStyle w:val="5"/>
        <w:tabs>
          <w:tab w:val="left" w:pos="709"/>
        </w:tabs>
        <w:spacing w:line="240" w:lineRule="auto"/>
        <w:jc w:val="left"/>
        <w:rPr>
          <w:rFonts w:hint="eastAsia"/>
          <w:sz w:val="21"/>
          <w:szCs w:val="21"/>
        </w:rPr>
      </w:pPr>
      <w:bookmarkStart w:id="86" w:name="_Toc517392304"/>
      <w:r>
        <w:rPr>
          <w:rFonts w:hint="eastAsia"/>
          <w:sz w:val="21"/>
          <w:szCs w:val="21"/>
        </w:rPr>
        <w:t>3</w:t>
      </w:r>
      <w:r>
        <w:rPr>
          <w:sz w:val="21"/>
          <w:szCs w:val="21"/>
        </w:rPr>
        <w:t xml:space="preserve">.3 </w:t>
      </w:r>
      <w:r>
        <w:rPr>
          <w:rFonts w:hint="eastAsia"/>
          <w:sz w:val="21"/>
          <w:szCs w:val="21"/>
        </w:rPr>
        <w:t>系统功能</w:t>
      </w:r>
      <w:bookmarkEnd w:id="86"/>
    </w:p>
    <w:p>
      <w:pPr>
        <w:ind w:left="340" w:firstLine="420" w:firstLineChars="200"/>
        <w:rPr>
          <w:rFonts w:hint="eastAsia"/>
          <w:szCs w:val="21"/>
        </w:rPr>
      </w:pPr>
      <w:r>
        <w:rPr>
          <w:rFonts w:hint="eastAsia"/>
          <w:szCs w:val="21"/>
        </w:rPr>
        <w:t>系统由PLC系统、电力通讯管理机、监控计算机等为核心的分布式计算机监控网络构成，具有以下主要功能和配置：接点(开关量)输入；接点(开关量)输出；模拟量输入；模拟量输出；用于参数核对、设定、修改的显示、输入的人机界面；高抗干扰能力的电源系统；工业级网络接口；开放兼容的监控软件等。</w:t>
      </w:r>
    </w:p>
    <w:p>
      <w:pPr>
        <w:ind w:left="340" w:firstLine="420" w:firstLineChars="200"/>
        <w:rPr>
          <w:rFonts w:hint="eastAsia"/>
          <w:szCs w:val="21"/>
        </w:rPr>
      </w:pPr>
      <w:r>
        <w:rPr>
          <w:rFonts w:hint="eastAsia"/>
          <w:szCs w:val="21"/>
        </w:rPr>
        <w:t>系统主要实现对加压站工艺设备以及送水泵房高低压变配电设备进行监控，具体监控内容：各工艺设备的运行状态、仪表的监测数据以及配电柜的运行参数：母线电压、工作电流、零序电流、有功功率及电度、无功功率及电度、功率因数、手车位置、断路器状态、储能状态、故障报警、跳闸回路断线、保护跳闸、重合闸、接地信号等。可实现对设备的远程监控。</w:t>
      </w:r>
    </w:p>
    <w:p>
      <w:pPr>
        <w:rPr>
          <w:rFonts w:hint="eastAsia"/>
          <w:szCs w:val="21"/>
        </w:rPr>
      </w:pPr>
      <w:r>
        <w:rPr>
          <w:rFonts w:hint="eastAsia" w:ascii="宋体" w:hAnsi="宋体"/>
          <w:color w:val="000000"/>
          <w:szCs w:val="21"/>
        </w:rPr>
        <w:t xml:space="preserve">   </w:t>
      </w:r>
      <w:r>
        <w:rPr>
          <w:rFonts w:hint="eastAsia"/>
          <w:szCs w:val="21"/>
        </w:rPr>
        <w:t>系统要求有但不仅限于以下功能：</w:t>
      </w:r>
    </w:p>
    <w:p>
      <w:pPr>
        <w:numPr>
          <w:ilvl w:val="0"/>
          <w:numId w:val="15"/>
        </w:numPr>
        <w:rPr>
          <w:rFonts w:hint="eastAsia"/>
          <w:szCs w:val="21"/>
        </w:rPr>
      </w:pPr>
      <w:r>
        <w:rPr>
          <w:rFonts w:hint="eastAsia"/>
          <w:szCs w:val="21"/>
        </w:rPr>
        <w:t xml:space="preserve"> 动态图形及实时数据显示</w:t>
      </w:r>
    </w:p>
    <w:p>
      <w:pPr>
        <w:ind w:left="567"/>
        <w:rPr>
          <w:rFonts w:hint="eastAsia"/>
          <w:szCs w:val="21"/>
        </w:rPr>
      </w:pPr>
      <w:r>
        <w:rPr>
          <w:rFonts w:hint="eastAsia"/>
          <w:szCs w:val="21"/>
        </w:rPr>
        <w:t>在中控室计算机上动态实时显示整个加压站工艺平面图、工艺流程、各工艺设备及电气设备的运行状态、工艺流程的动态参数、仪表运行数据、相关参数的趋势、历史数据及历史记录等。</w:t>
      </w:r>
    </w:p>
    <w:p>
      <w:pPr>
        <w:numPr>
          <w:ilvl w:val="0"/>
          <w:numId w:val="16"/>
        </w:numPr>
        <w:tabs>
          <w:tab w:val="left" w:pos="1050"/>
          <w:tab w:val="clear" w:pos="780"/>
        </w:tabs>
        <w:ind w:left="1275" w:right="565" w:rightChars="269" w:hanging="175"/>
        <w:rPr>
          <w:rFonts w:ascii="宋体" w:hAnsi="宋体"/>
          <w:color w:val="000000"/>
          <w:szCs w:val="21"/>
        </w:rPr>
      </w:pPr>
      <w:r>
        <w:rPr>
          <w:rFonts w:hint="eastAsia" w:ascii="宋体" w:hAnsi="宋体"/>
          <w:color w:val="000000"/>
          <w:szCs w:val="21"/>
        </w:rPr>
        <w:t>工艺平面布置图</w:t>
      </w:r>
    </w:p>
    <w:p>
      <w:pPr>
        <w:numPr>
          <w:ilvl w:val="0"/>
          <w:numId w:val="16"/>
        </w:numPr>
        <w:tabs>
          <w:tab w:val="left" w:pos="1050"/>
          <w:tab w:val="clear" w:pos="780"/>
        </w:tabs>
        <w:ind w:left="1275" w:right="565" w:rightChars="269" w:hanging="175"/>
        <w:rPr>
          <w:rFonts w:ascii="宋体" w:hAnsi="宋体"/>
          <w:color w:val="000000"/>
          <w:szCs w:val="21"/>
        </w:rPr>
      </w:pPr>
      <w:r>
        <w:rPr>
          <w:rFonts w:hint="eastAsia" w:ascii="宋体" w:hAnsi="宋体"/>
          <w:color w:val="000000"/>
          <w:szCs w:val="21"/>
        </w:rPr>
        <w:t>工艺流程图</w:t>
      </w:r>
    </w:p>
    <w:p>
      <w:pPr>
        <w:numPr>
          <w:ilvl w:val="0"/>
          <w:numId w:val="16"/>
        </w:numPr>
        <w:tabs>
          <w:tab w:val="left" w:pos="1050"/>
          <w:tab w:val="clear" w:pos="780"/>
        </w:tabs>
        <w:ind w:left="1275" w:right="565" w:rightChars="269" w:hanging="175"/>
        <w:rPr>
          <w:rFonts w:ascii="宋体" w:hAnsi="宋体"/>
          <w:color w:val="000000"/>
          <w:szCs w:val="21"/>
        </w:rPr>
      </w:pPr>
      <w:r>
        <w:rPr>
          <w:rFonts w:hint="eastAsia" w:ascii="宋体" w:hAnsi="宋体"/>
          <w:color w:val="000000"/>
          <w:szCs w:val="21"/>
        </w:rPr>
        <w:t>电气系统配置及主接线图：显示运行状态及测量参数</w:t>
      </w:r>
    </w:p>
    <w:p>
      <w:pPr>
        <w:numPr>
          <w:ilvl w:val="0"/>
          <w:numId w:val="16"/>
        </w:numPr>
        <w:tabs>
          <w:tab w:val="left" w:pos="1050"/>
          <w:tab w:val="clear" w:pos="780"/>
        </w:tabs>
        <w:ind w:left="1275" w:right="565" w:rightChars="269" w:hanging="175"/>
        <w:rPr>
          <w:rFonts w:ascii="宋体" w:hAnsi="宋体"/>
          <w:color w:val="000000"/>
          <w:szCs w:val="21"/>
        </w:rPr>
      </w:pPr>
      <w:r>
        <w:rPr>
          <w:rFonts w:hint="eastAsia" w:ascii="宋体" w:hAnsi="宋体"/>
          <w:color w:val="000000"/>
          <w:szCs w:val="21"/>
        </w:rPr>
        <w:t>保护装置配置图：显示各保护装置状态及定值</w:t>
      </w:r>
    </w:p>
    <w:p>
      <w:pPr>
        <w:numPr>
          <w:ilvl w:val="0"/>
          <w:numId w:val="16"/>
        </w:numPr>
        <w:tabs>
          <w:tab w:val="left" w:pos="1050"/>
          <w:tab w:val="clear" w:pos="780"/>
        </w:tabs>
        <w:ind w:left="1275" w:right="565" w:rightChars="269" w:hanging="175"/>
        <w:rPr>
          <w:rFonts w:ascii="宋体" w:hAnsi="宋体"/>
          <w:color w:val="000000"/>
          <w:szCs w:val="21"/>
        </w:rPr>
      </w:pPr>
      <w:r>
        <w:rPr>
          <w:rFonts w:hint="eastAsia" w:ascii="宋体" w:hAnsi="宋体"/>
          <w:color w:val="000000"/>
          <w:szCs w:val="21"/>
        </w:rPr>
        <w:t>趋势曲线</w:t>
      </w:r>
    </w:p>
    <w:p>
      <w:pPr>
        <w:numPr>
          <w:ilvl w:val="0"/>
          <w:numId w:val="16"/>
        </w:numPr>
        <w:tabs>
          <w:tab w:val="left" w:pos="1050"/>
          <w:tab w:val="clear" w:pos="780"/>
        </w:tabs>
        <w:ind w:left="1275" w:right="565" w:rightChars="269" w:hanging="175"/>
        <w:rPr>
          <w:rFonts w:ascii="宋体" w:hAnsi="宋体"/>
          <w:color w:val="000000"/>
          <w:szCs w:val="21"/>
        </w:rPr>
      </w:pPr>
      <w:r>
        <w:rPr>
          <w:rFonts w:hint="eastAsia" w:ascii="宋体" w:hAnsi="宋体"/>
          <w:color w:val="000000"/>
          <w:szCs w:val="21"/>
        </w:rPr>
        <w:t>变压器现场布置及状态图</w:t>
      </w:r>
    </w:p>
    <w:p>
      <w:pPr>
        <w:numPr>
          <w:ilvl w:val="0"/>
          <w:numId w:val="16"/>
        </w:numPr>
        <w:tabs>
          <w:tab w:val="left" w:pos="1050"/>
          <w:tab w:val="clear" w:pos="780"/>
        </w:tabs>
        <w:ind w:left="1275" w:right="565" w:rightChars="269" w:hanging="175"/>
        <w:rPr>
          <w:rFonts w:ascii="宋体" w:hAnsi="宋体"/>
          <w:color w:val="000000"/>
          <w:szCs w:val="21"/>
        </w:rPr>
      </w:pPr>
      <w:r>
        <w:rPr>
          <w:rFonts w:hint="eastAsia" w:ascii="宋体" w:hAnsi="宋体"/>
          <w:color w:val="000000"/>
          <w:szCs w:val="21"/>
        </w:rPr>
        <w:t>水泵现场布置及状态图、变频器测量信息图</w:t>
      </w:r>
    </w:p>
    <w:p>
      <w:pPr>
        <w:numPr>
          <w:ilvl w:val="0"/>
          <w:numId w:val="16"/>
        </w:numPr>
        <w:tabs>
          <w:tab w:val="left" w:pos="1050"/>
          <w:tab w:val="clear" w:pos="780"/>
        </w:tabs>
        <w:ind w:left="1275" w:right="565" w:rightChars="269" w:hanging="175"/>
        <w:rPr>
          <w:rFonts w:hint="eastAsia"/>
          <w:szCs w:val="21"/>
        </w:rPr>
      </w:pPr>
      <w:r>
        <w:rPr>
          <w:rFonts w:hint="eastAsia" w:ascii="宋体" w:hAnsi="宋体"/>
          <w:color w:val="000000"/>
          <w:szCs w:val="21"/>
        </w:rPr>
        <w:t>仪器仪表现场布置及测量信息图等</w:t>
      </w:r>
    </w:p>
    <w:p>
      <w:pPr>
        <w:numPr>
          <w:ilvl w:val="0"/>
          <w:numId w:val="15"/>
        </w:numPr>
        <w:rPr>
          <w:rFonts w:hint="eastAsia"/>
          <w:szCs w:val="21"/>
        </w:rPr>
      </w:pPr>
      <w:r>
        <w:rPr>
          <w:rFonts w:hint="eastAsia"/>
          <w:szCs w:val="21"/>
        </w:rPr>
        <w:t xml:space="preserve">  趋势图功能</w:t>
      </w:r>
    </w:p>
    <w:p>
      <w:pPr>
        <w:ind w:left="567"/>
        <w:rPr>
          <w:rFonts w:hint="eastAsia"/>
          <w:szCs w:val="21"/>
        </w:rPr>
      </w:pPr>
      <w:r>
        <w:rPr>
          <w:rFonts w:hint="eastAsia"/>
          <w:szCs w:val="21"/>
        </w:rPr>
        <w:t>可以用棒状图或线状图显示历史趋势或实时趋势。操作员可调整趋势显示的时间坐标或输入范围。</w:t>
      </w:r>
    </w:p>
    <w:p>
      <w:pPr>
        <w:numPr>
          <w:ilvl w:val="0"/>
          <w:numId w:val="15"/>
        </w:numPr>
        <w:rPr>
          <w:rFonts w:hint="eastAsia"/>
          <w:szCs w:val="21"/>
        </w:rPr>
      </w:pPr>
      <w:r>
        <w:rPr>
          <w:rFonts w:hint="eastAsia"/>
          <w:szCs w:val="21"/>
        </w:rPr>
        <w:t xml:space="preserve">  报表管理</w:t>
      </w:r>
    </w:p>
    <w:p>
      <w:pPr>
        <w:ind w:left="567"/>
        <w:rPr>
          <w:rFonts w:hint="eastAsia"/>
          <w:szCs w:val="21"/>
        </w:rPr>
      </w:pPr>
      <w:r>
        <w:rPr>
          <w:rFonts w:hint="eastAsia"/>
          <w:szCs w:val="21"/>
        </w:rPr>
        <w:t>中控室数据库中记录有各单体控制系统上报的现场数据，对这些数据进行处理归档，依据这些数据，按照用户提供的报表格式，可生成当日、当月的生产状况统计报表、能耗分析报表、成本分析报表等，依据报表对设备的运行和维护周期进行管理（报表开发过程中不产生其他的任何费用）。</w:t>
      </w:r>
    </w:p>
    <w:p>
      <w:pPr>
        <w:numPr>
          <w:ilvl w:val="0"/>
          <w:numId w:val="15"/>
        </w:numPr>
        <w:rPr>
          <w:rFonts w:hint="eastAsia"/>
          <w:szCs w:val="21"/>
        </w:rPr>
      </w:pPr>
      <w:r>
        <w:rPr>
          <w:rFonts w:hint="eastAsia"/>
          <w:szCs w:val="21"/>
        </w:rPr>
        <w:t xml:space="preserve"> 报警处理</w:t>
      </w:r>
    </w:p>
    <w:p>
      <w:pPr>
        <w:ind w:left="567"/>
        <w:rPr>
          <w:rFonts w:hint="eastAsia"/>
          <w:szCs w:val="21"/>
        </w:rPr>
      </w:pPr>
      <w:r>
        <w:rPr>
          <w:rFonts w:hint="eastAsia"/>
          <w:szCs w:val="21"/>
        </w:rPr>
        <w:t>报警设有优先级管理，任意管理均在屏幕上显示，这些报警信息应使操作人员可以快速地调用与本报警有关的画面。</w:t>
      </w:r>
    </w:p>
    <w:p>
      <w:pPr>
        <w:ind w:left="567"/>
        <w:rPr>
          <w:rFonts w:hint="eastAsia"/>
          <w:szCs w:val="21"/>
        </w:rPr>
      </w:pPr>
      <w:r>
        <w:rPr>
          <w:rFonts w:hint="eastAsia"/>
          <w:szCs w:val="21"/>
        </w:rPr>
        <w:t>报警提供时间、报警描述、报警类型、报警时现场数据及相关的工艺操作画面的信息，并能形成报警历史库，供用户查证。</w:t>
      </w:r>
    </w:p>
    <w:p>
      <w:pPr>
        <w:ind w:left="567"/>
        <w:rPr>
          <w:rFonts w:hint="eastAsia"/>
          <w:szCs w:val="21"/>
        </w:rPr>
      </w:pPr>
      <w:r>
        <w:rPr>
          <w:rFonts w:hint="eastAsia"/>
          <w:szCs w:val="21"/>
        </w:rPr>
        <w:t>报警信息在画面上应采用颜色的闪烁和变化来表示一个报警信号是否确认和是否已恢复到正常的工况。</w:t>
      </w:r>
    </w:p>
    <w:p>
      <w:pPr>
        <w:ind w:left="567"/>
        <w:rPr>
          <w:rFonts w:hint="eastAsia"/>
          <w:szCs w:val="21"/>
        </w:rPr>
      </w:pPr>
      <w:r>
        <w:rPr>
          <w:rFonts w:hint="eastAsia"/>
          <w:szCs w:val="21"/>
        </w:rPr>
        <w:t>在产生任何一个报警信号时，工作站应产生一个报警声音以提醒操作人员，并可按键盘上一个特定键来消除报警声音。</w:t>
      </w:r>
    </w:p>
    <w:p>
      <w:pPr>
        <w:ind w:left="567"/>
        <w:rPr>
          <w:rFonts w:hint="eastAsia"/>
          <w:szCs w:val="21"/>
        </w:rPr>
      </w:pPr>
      <w:r>
        <w:rPr>
          <w:rFonts w:hint="eastAsia"/>
          <w:szCs w:val="21"/>
        </w:rPr>
        <w:t>对于未确认的报警应持续发出声光报警，直至值班人员确认，在报警时间内应依据采集信号动态改变报警级别。</w:t>
      </w:r>
    </w:p>
    <w:p>
      <w:pPr>
        <w:numPr>
          <w:ilvl w:val="0"/>
          <w:numId w:val="15"/>
        </w:numPr>
        <w:rPr>
          <w:rFonts w:hint="eastAsia"/>
          <w:szCs w:val="21"/>
        </w:rPr>
      </w:pPr>
      <w:r>
        <w:rPr>
          <w:rFonts w:hint="eastAsia"/>
          <w:szCs w:val="21"/>
        </w:rPr>
        <w:t xml:space="preserve"> 历史数据管理</w:t>
      </w:r>
    </w:p>
    <w:p>
      <w:pPr>
        <w:ind w:left="567"/>
        <w:rPr>
          <w:rFonts w:hint="eastAsia"/>
          <w:szCs w:val="21"/>
        </w:rPr>
      </w:pPr>
      <w:r>
        <w:rPr>
          <w:rFonts w:hint="eastAsia"/>
          <w:szCs w:val="21"/>
        </w:rPr>
        <w:t>历史数据的采集周期应连续可调。应能对数据库中的数进行查询、处理、分析，以柱状图、饼图等多种方式输出查询、分析结果。</w:t>
      </w:r>
    </w:p>
    <w:p>
      <w:pPr>
        <w:numPr>
          <w:ilvl w:val="0"/>
          <w:numId w:val="15"/>
        </w:numPr>
        <w:rPr>
          <w:rFonts w:hint="eastAsia"/>
          <w:szCs w:val="21"/>
        </w:rPr>
      </w:pPr>
      <w:r>
        <w:rPr>
          <w:rFonts w:hint="eastAsia"/>
          <w:szCs w:val="21"/>
        </w:rPr>
        <w:t xml:space="preserve"> 事件处理</w:t>
      </w:r>
    </w:p>
    <w:p>
      <w:pPr>
        <w:ind w:left="567"/>
        <w:rPr>
          <w:rFonts w:hint="eastAsia"/>
          <w:szCs w:val="21"/>
        </w:rPr>
      </w:pPr>
      <w:r>
        <w:rPr>
          <w:rFonts w:hint="eastAsia"/>
          <w:szCs w:val="21"/>
        </w:rPr>
        <w:t>事件登录：“事件”是指运行事件和重要的系统操作，事件登录是按时间顺序排列的，站内事件顺序已记录分辨率应不小于20ms。</w:t>
      </w:r>
    </w:p>
    <w:p>
      <w:pPr>
        <w:ind w:left="567"/>
        <w:rPr>
          <w:rFonts w:hint="eastAsia"/>
          <w:szCs w:val="21"/>
        </w:rPr>
      </w:pPr>
      <w:r>
        <w:rPr>
          <w:rFonts w:hint="eastAsia"/>
          <w:szCs w:val="21"/>
        </w:rPr>
        <w:t>事件检索：操作员可在“事件检索”的视窗中按事件类别名称、对象名称、事件起始至截止的日期和时间及对象编号或时序进行检索。</w:t>
      </w:r>
    </w:p>
    <w:p>
      <w:pPr>
        <w:ind w:left="567"/>
        <w:rPr>
          <w:rFonts w:hint="eastAsia"/>
          <w:szCs w:val="21"/>
        </w:rPr>
      </w:pPr>
      <w:r>
        <w:rPr>
          <w:rFonts w:hint="eastAsia"/>
          <w:szCs w:val="21"/>
        </w:rPr>
        <w:t>事件记录存档：事件库中应有足够的容量存放事件登录，事件登录每天以数据文件形式入库，盘区存满后通知操作员移出另外存档。</w:t>
      </w:r>
    </w:p>
    <w:p>
      <w:pPr>
        <w:numPr>
          <w:ilvl w:val="0"/>
          <w:numId w:val="15"/>
        </w:numPr>
        <w:rPr>
          <w:rFonts w:hint="eastAsia"/>
          <w:szCs w:val="21"/>
        </w:rPr>
      </w:pPr>
      <w:r>
        <w:rPr>
          <w:rFonts w:hint="eastAsia"/>
          <w:szCs w:val="21"/>
        </w:rPr>
        <w:t xml:space="preserve"> 人机界面</w:t>
      </w:r>
    </w:p>
    <w:p>
      <w:pPr>
        <w:ind w:left="567"/>
        <w:rPr>
          <w:rFonts w:hint="eastAsia"/>
          <w:szCs w:val="21"/>
        </w:rPr>
      </w:pPr>
      <w:r>
        <w:rPr>
          <w:rFonts w:hint="eastAsia"/>
          <w:szCs w:val="21"/>
        </w:rPr>
        <w:t>人机界面应运用开放的图形窗口技术。</w:t>
      </w:r>
    </w:p>
    <w:p>
      <w:pPr>
        <w:ind w:left="567"/>
        <w:rPr>
          <w:rFonts w:hint="eastAsia"/>
          <w:szCs w:val="21"/>
        </w:rPr>
      </w:pPr>
      <w:r>
        <w:rPr>
          <w:rFonts w:hint="eastAsia"/>
          <w:szCs w:val="21"/>
        </w:rPr>
        <w:t>友好的操作人员界面。</w:t>
      </w:r>
    </w:p>
    <w:p>
      <w:pPr>
        <w:ind w:left="567"/>
        <w:rPr>
          <w:rFonts w:hint="eastAsia"/>
          <w:szCs w:val="21"/>
        </w:rPr>
      </w:pPr>
      <w:r>
        <w:rPr>
          <w:rFonts w:hint="eastAsia"/>
          <w:szCs w:val="21"/>
        </w:rPr>
        <w:t>画面的切换刷新时间≤2秒。</w:t>
      </w:r>
    </w:p>
    <w:p>
      <w:pPr>
        <w:ind w:left="567"/>
        <w:rPr>
          <w:rFonts w:hint="eastAsia"/>
          <w:szCs w:val="21"/>
        </w:rPr>
      </w:pPr>
      <w:r>
        <w:rPr>
          <w:rFonts w:hint="eastAsia"/>
          <w:szCs w:val="21"/>
        </w:rPr>
        <w:t>流程图中状态更新时间≤1.5秒。</w:t>
      </w:r>
    </w:p>
    <w:p>
      <w:pPr>
        <w:ind w:left="567"/>
        <w:rPr>
          <w:rFonts w:hint="eastAsia"/>
          <w:szCs w:val="21"/>
        </w:rPr>
      </w:pPr>
      <w:r>
        <w:rPr>
          <w:rFonts w:hint="eastAsia"/>
          <w:szCs w:val="21"/>
        </w:rPr>
        <w:t>程序员可以在线修改和编辑画面。</w:t>
      </w:r>
    </w:p>
    <w:p>
      <w:pPr>
        <w:ind w:left="567"/>
        <w:rPr>
          <w:rFonts w:hint="eastAsia"/>
          <w:szCs w:val="21"/>
        </w:rPr>
      </w:pPr>
      <w:r>
        <w:rPr>
          <w:rFonts w:hint="eastAsia"/>
          <w:szCs w:val="21"/>
        </w:rPr>
        <w:t>用三维图形制作所监控的设备图形符号及管线。</w:t>
      </w:r>
    </w:p>
    <w:p>
      <w:pPr>
        <w:ind w:left="567"/>
        <w:rPr>
          <w:rFonts w:hint="eastAsia"/>
          <w:szCs w:val="21"/>
        </w:rPr>
      </w:pPr>
      <w:r>
        <w:rPr>
          <w:rFonts w:hint="eastAsia"/>
          <w:szCs w:val="21"/>
        </w:rPr>
        <w:t>带有联机帮助功能。</w:t>
      </w:r>
    </w:p>
    <w:p>
      <w:pPr>
        <w:numPr>
          <w:ilvl w:val="0"/>
          <w:numId w:val="15"/>
        </w:numPr>
        <w:rPr>
          <w:rFonts w:hint="eastAsia"/>
          <w:szCs w:val="21"/>
        </w:rPr>
      </w:pPr>
      <w:r>
        <w:rPr>
          <w:rFonts w:hint="eastAsia"/>
          <w:szCs w:val="21"/>
        </w:rPr>
        <w:t xml:space="preserve"> 画面显示</w:t>
      </w:r>
    </w:p>
    <w:p>
      <w:pPr>
        <w:ind w:left="567"/>
        <w:rPr>
          <w:rFonts w:hint="eastAsia"/>
          <w:szCs w:val="21"/>
        </w:rPr>
      </w:pPr>
      <w:r>
        <w:rPr>
          <w:rFonts w:hint="eastAsia"/>
          <w:szCs w:val="21"/>
        </w:rPr>
        <w:t>画面显示系统的操作应采用下拉式屏幕菜单、键盘和图形标识。</w:t>
      </w:r>
    </w:p>
    <w:p>
      <w:pPr>
        <w:ind w:left="567"/>
        <w:rPr>
          <w:rFonts w:hint="eastAsia"/>
          <w:szCs w:val="21"/>
        </w:rPr>
      </w:pPr>
      <w:r>
        <w:rPr>
          <w:rFonts w:hint="eastAsia"/>
          <w:szCs w:val="21"/>
        </w:rPr>
        <w:t>系统应能弹出供操作人员选择的窗口。</w:t>
      </w:r>
    </w:p>
    <w:p>
      <w:pPr>
        <w:ind w:left="567"/>
        <w:rPr>
          <w:rFonts w:hint="eastAsia"/>
          <w:szCs w:val="21"/>
        </w:rPr>
      </w:pPr>
      <w:r>
        <w:rPr>
          <w:rFonts w:hint="eastAsia"/>
          <w:szCs w:val="21"/>
        </w:rPr>
        <w:t>工作站应允许操作人员用信号的标识来确定画面上的任何信号。所有的显示和打印输出均应显示出以24小时形式的时间和中国方式的日期。</w:t>
      </w:r>
    </w:p>
    <w:p>
      <w:pPr>
        <w:numPr>
          <w:ilvl w:val="0"/>
          <w:numId w:val="15"/>
        </w:numPr>
        <w:rPr>
          <w:rFonts w:hint="eastAsia"/>
          <w:szCs w:val="21"/>
        </w:rPr>
      </w:pPr>
      <w:r>
        <w:rPr>
          <w:rFonts w:hint="eastAsia"/>
          <w:szCs w:val="21"/>
        </w:rPr>
        <w:t xml:space="preserve"> 安全登录和密码保护</w:t>
      </w:r>
    </w:p>
    <w:p>
      <w:pPr>
        <w:ind w:left="567"/>
        <w:rPr>
          <w:rFonts w:hint="eastAsia"/>
          <w:szCs w:val="21"/>
        </w:rPr>
      </w:pPr>
      <w:r>
        <w:rPr>
          <w:rFonts w:hint="eastAsia"/>
          <w:szCs w:val="21"/>
        </w:rPr>
        <w:t>设计中把操作级别分为：厂长级、工程师级和操作员级，对各个级别的操作都设置有密码，并能记录操作人员代号、操作内容、时间等，连续两次输入密码错，则显示非法操作，不予响应，且输入密码不能显示。</w:t>
      </w:r>
    </w:p>
    <w:p>
      <w:pPr>
        <w:numPr>
          <w:ilvl w:val="0"/>
          <w:numId w:val="15"/>
        </w:numPr>
        <w:rPr>
          <w:rFonts w:hint="eastAsia"/>
          <w:szCs w:val="21"/>
        </w:rPr>
      </w:pPr>
      <w:r>
        <w:rPr>
          <w:rFonts w:hint="eastAsia"/>
          <w:szCs w:val="21"/>
        </w:rPr>
        <w:t xml:space="preserve"> 控制调节功能</w:t>
      </w:r>
    </w:p>
    <w:p>
      <w:pPr>
        <w:ind w:left="567"/>
        <w:rPr>
          <w:rFonts w:hint="eastAsia"/>
          <w:szCs w:val="21"/>
        </w:rPr>
      </w:pPr>
      <w:r>
        <w:rPr>
          <w:rFonts w:hint="eastAsia"/>
          <w:szCs w:val="21"/>
        </w:rPr>
        <w:t>系统应能提供控制画面总貌或根据需要提供某一局部控制回路画面，大小可以调节。可进行手动、自动等方式的切换或给定值、设定值、输出值的调整，所有的参数都可以由键盘输入新值，对旧值进行修改。</w:t>
      </w:r>
    </w:p>
    <w:p>
      <w:pPr>
        <w:numPr>
          <w:ilvl w:val="0"/>
          <w:numId w:val="15"/>
        </w:numPr>
        <w:rPr>
          <w:rFonts w:hint="eastAsia"/>
          <w:szCs w:val="21"/>
        </w:rPr>
      </w:pPr>
      <w:r>
        <w:rPr>
          <w:rFonts w:hint="eastAsia"/>
          <w:szCs w:val="21"/>
        </w:rPr>
        <w:t xml:space="preserve"> 参数设置</w:t>
      </w:r>
    </w:p>
    <w:p>
      <w:pPr>
        <w:ind w:left="567"/>
        <w:rPr>
          <w:rFonts w:hint="eastAsia"/>
          <w:szCs w:val="21"/>
        </w:rPr>
      </w:pPr>
      <w:r>
        <w:rPr>
          <w:rFonts w:hint="eastAsia"/>
          <w:szCs w:val="21"/>
        </w:rPr>
        <w:t>技术人员在中控室通过键盘设定的参数有两大类。第一类是连续回路控制中的控制值设定；第二类是报警限的设定。所有设定的参数需操作员再次确认后才下达。对错误设定、超范围设定要加以屏蔽和送出“错误”信息，会发出声音报警，要求改正。</w:t>
      </w:r>
    </w:p>
    <w:p>
      <w:pPr>
        <w:numPr>
          <w:ilvl w:val="0"/>
          <w:numId w:val="15"/>
        </w:numPr>
        <w:rPr>
          <w:rFonts w:ascii="宋体" w:hAnsi="宋体"/>
          <w:color w:val="000000"/>
          <w:szCs w:val="21"/>
        </w:rPr>
      </w:pPr>
      <w:r>
        <w:rPr>
          <w:rFonts w:hint="eastAsia"/>
          <w:szCs w:val="21"/>
        </w:rPr>
        <w:t xml:space="preserve"> 根据买方需要，编制需要的生产年、月、日、班报表。</w:t>
      </w:r>
      <w:bookmarkEnd w:id="80"/>
      <w:bookmarkEnd w:id="81"/>
      <w:bookmarkEnd w:id="82"/>
      <w:bookmarkEnd w:id="83"/>
      <w:bookmarkEnd w:id="84"/>
    </w:p>
    <w:p>
      <w:pPr>
        <w:pStyle w:val="5"/>
        <w:tabs>
          <w:tab w:val="left" w:pos="709"/>
        </w:tabs>
        <w:spacing w:line="240" w:lineRule="auto"/>
        <w:jc w:val="left"/>
        <w:rPr>
          <w:rFonts w:hint="eastAsia"/>
          <w:sz w:val="21"/>
          <w:szCs w:val="21"/>
        </w:rPr>
      </w:pPr>
      <w:bookmarkStart w:id="87" w:name="_Toc517392305"/>
      <w:r>
        <w:rPr>
          <w:rFonts w:hint="eastAsia"/>
          <w:sz w:val="21"/>
          <w:szCs w:val="21"/>
        </w:rPr>
        <w:t>3</w:t>
      </w:r>
      <w:r>
        <w:rPr>
          <w:sz w:val="21"/>
          <w:szCs w:val="21"/>
        </w:rPr>
        <w:t xml:space="preserve">.4 </w:t>
      </w:r>
      <w:r>
        <w:rPr>
          <w:rFonts w:hint="eastAsia"/>
          <w:sz w:val="21"/>
          <w:szCs w:val="21"/>
        </w:rPr>
        <w:t>控制方案</w:t>
      </w:r>
      <w:bookmarkEnd w:id="87"/>
    </w:p>
    <w:p>
      <w:pPr>
        <w:ind w:left="340" w:firstLine="420" w:firstLineChars="200"/>
        <w:rPr>
          <w:rFonts w:hint="eastAsia"/>
          <w:szCs w:val="21"/>
        </w:rPr>
      </w:pPr>
      <w:r>
        <w:rPr>
          <w:rFonts w:hint="eastAsia"/>
          <w:szCs w:val="21"/>
        </w:rPr>
        <w:t>根据以下方案编制控制程序和上位机监控程序，所编的程序必需满足控制系统和管理的需要，且令买方感到满意。</w:t>
      </w:r>
    </w:p>
    <w:p>
      <w:pPr>
        <w:ind w:left="340" w:firstLine="420" w:firstLineChars="200"/>
        <w:rPr>
          <w:rFonts w:hint="eastAsia"/>
          <w:szCs w:val="21"/>
        </w:rPr>
      </w:pPr>
      <w:r>
        <w:rPr>
          <w:rFonts w:hint="eastAsia"/>
          <w:szCs w:val="21"/>
        </w:rPr>
        <w:t>该站位于送水泵房内，主要完成出水流量、压力、余氯、清水池水位等参数的采集；对送水泵房水泵、阀门等设备进行状态监测和控制。</w:t>
      </w:r>
    </w:p>
    <w:p>
      <w:pPr>
        <w:ind w:left="340" w:firstLine="420" w:firstLineChars="200"/>
        <w:rPr>
          <w:rFonts w:hint="eastAsia"/>
          <w:szCs w:val="21"/>
        </w:rPr>
      </w:pPr>
      <w:r>
        <w:rPr>
          <w:rFonts w:hint="eastAsia"/>
          <w:szCs w:val="21"/>
        </w:rPr>
        <w:t>水泵控制要求：</w:t>
      </w:r>
    </w:p>
    <w:p>
      <w:pPr>
        <w:ind w:left="340" w:firstLine="420" w:firstLineChars="200"/>
        <w:rPr>
          <w:rFonts w:hint="eastAsia"/>
          <w:szCs w:val="21"/>
        </w:rPr>
      </w:pPr>
      <w:r>
        <w:rPr>
          <w:rFonts w:hint="eastAsia"/>
          <w:szCs w:val="21"/>
        </w:rPr>
        <w:t>水泵的调度由公司中心调度室发出指令，水厂中央控制室值班人员通过计算机输入开停机指令，调度水泵机组运行。</w:t>
      </w:r>
    </w:p>
    <w:p>
      <w:pPr>
        <w:ind w:left="340" w:firstLine="420" w:firstLineChars="200"/>
        <w:rPr>
          <w:rFonts w:hint="eastAsia"/>
          <w:szCs w:val="21"/>
        </w:rPr>
      </w:pPr>
      <w:r>
        <w:rPr>
          <w:rFonts w:hint="eastAsia"/>
          <w:szCs w:val="21"/>
        </w:rPr>
        <w:t>水泵机组和相应的出水阀运行要求必须实现泵阀联动。</w:t>
      </w:r>
    </w:p>
    <w:p>
      <w:pPr>
        <w:ind w:left="340" w:firstLine="420" w:firstLineChars="200"/>
        <w:rPr>
          <w:rFonts w:hint="eastAsia"/>
          <w:szCs w:val="21"/>
        </w:rPr>
      </w:pPr>
      <w:r>
        <w:rPr>
          <w:rFonts w:hint="eastAsia"/>
          <w:szCs w:val="21"/>
        </w:rPr>
        <w:t>水泵的开停要求能实现三级控制，即电机开关柜的手动控制，现场液晶触摸屏的控制及中控室的集中控制。</w:t>
      </w:r>
    </w:p>
    <w:p>
      <w:pPr>
        <w:ind w:left="340" w:firstLine="420" w:firstLineChars="200"/>
        <w:rPr>
          <w:rFonts w:hint="eastAsia"/>
          <w:szCs w:val="21"/>
        </w:rPr>
      </w:pPr>
      <w:r>
        <w:rPr>
          <w:rFonts w:hint="eastAsia"/>
          <w:szCs w:val="21"/>
        </w:rPr>
        <w:t>泵自动控制系统：根据超声波液位计测得的泵房水位值自动控制多台泵的轮值运行。当泵房水位高至某一设定水位值时，PLC系统将自动增加泵的运行台数；相反，当泵房水位降至某一设定水位值时，PLC系统将自动减少泵的运行台数。同时，系统累积各台泵的运行时间，自动轮换水泵，保证各台泵累积运行时间基本相等，使每台泵保持最佳运行状态，同时应避免频繁电机开停。所有泵都设置最低液位保护，当水位降至干运转水位时，自动控制全部泵停止运行。每台变频水泵设变频控制，有效进行水量调节。</w:t>
      </w:r>
    </w:p>
    <w:p>
      <w:pPr>
        <w:ind w:left="340" w:firstLine="420" w:firstLineChars="200"/>
        <w:rPr>
          <w:rFonts w:hint="eastAsia"/>
          <w:szCs w:val="21"/>
        </w:rPr>
      </w:pPr>
      <w:r>
        <w:rPr>
          <w:rFonts w:hint="eastAsia"/>
          <w:szCs w:val="21"/>
        </w:rPr>
        <w:t>每启动一台水泵后，应等电流稳定在一定的规定值后，方可启动另一台水泵；每停一台水泵后，至少应经过规定的时间后方能重新启动该水泵。</w:t>
      </w:r>
    </w:p>
    <w:p>
      <w:pPr>
        <w:ind w:left="340" w:firstLine="420" w:firstLineChars="200"/>
        <w:rPr>
          <w:rFonts w:hint="eastAsia"/>
          <w:szCs w:val="21"/>
        </w:rPr>
      </w:pPr>
      <w:r>
        <w:rPr>
          <w:rFonts w:hint="eastAsia"/>
          <w:szCs w:val="21"/>
        </w:rPr>
        <w:t>如果由于故障报警，则必须等人工解除报警方可启动。</w:t>
      </w:r>
    </w:p>
    <w:p>
      <w:pPr>
        <w:pStyle w:val="5"/>
        <w:tabs>
          <w:tab w:val="left" w:pos="709"/>
        </w:tabs>
        <w:spacing w:line="240" w:lineRule="auto"/>
        <w:jc w:val="left"/>
        <w:rPr>
          <w:rFonts w:hint="eastAsia"/>
          <w:sz w:val="21"/>
          <w:szCs w:val="21"/>
        </w:rPr>
      </w:pPr>
      <w:bookmarkStart w:id="88" w:name="_Toc517392306"/>
      <w:r>
        <w:rPr>
          <w:rFonts w:hint="eastAsia"/>
          <w:sz w:val="21"/>
          <w:szCs w:val="21"/>
        </w:rPr>
        <w:t>3</w:t>
      </w:r>
      <w:r>
        <w:rPr>
          <w:sz w:val="21"/>
          <w:szCs w:val="21"/>
        </w:rPr>
        <w:t xml:space="preserve">.5 </w:t>
      </w:r>
      <w:r>
        <w:rPr>
          <w:rFonts w:hint="eastAsia"/>
          <w:sz w:val="21"/>
          <w:szCs w:val="21"/>
        </w:rPr>
        <w:t>网络组件</w:t>
      </w:r>
      <w:bookmarkEnd w:id="88"/>
    </w:p>
    <w:p>
      <w:pPr>
        <w:ind w:firstLine="420" w:firstLineChars="200"/>
        <w:rPr>
          <w:rFonts w:hint="eastAsia" w:ascii="宋体" w:hAnsi="宋体"/>
          <w:color w:val="000000"/>
          <w:szCs w:val="21"/>
        </w:rPr>
      </w:pPr>
      <w:r>
        <w:rPr>
          <w:rFonts w:hint="eastAsia" w:ascii="宋体" w:hAnsi="宋体"/>
          <w:color w:val="000000"/>
          <w:szCs w:val="21"/>
        </w:rPr>
        <w:t>根据系统组态需要，卖方提供整个自控系统控制网、设备网联网所需的电缆、接头、中继器（如果需要）、分支器、转接器等网络部件。</w:t>
      </w:r>
    </w:p>
    <w:p>
      <w:pPr>
        <w:pStyle w:val="5"/>
        <w:tabs>
          <w:tab w:val="left" w:pos="709"/>
        </w:tabs>
        <w:spacing w:line="240" w:lineRule="auto"/>
        <w:rPr>
          <w:rFonts w:hint="eastAsia"/>
          <w:sz w:val="21"/>
          <w:szCs w:val="21"/>
        </w:rPr>
      </w:pPr>
      <w:bookmarkStart w:id="89" w:name="_Toc517392307"/>
      <w:r>
        <w:rPr>
          <w:sz w:val="21"/>
          <w:szCs w:val="21"/>
        </w:rPr>
        <w:t xml:space="preserve">3.6 </w:t>
      </w:r>
      <w:r>
        <w:rPr>
          <w:rFonts w:hint="eastAsia"/>
          <w:sz w:val="21"/>
          <w:szCs w:val="21"/>
        </w:rPr>
        <w:t>PLC控制应用程序</w:t>
      </w:r>
      <w:bookmarkEnd w:id="89"/>
    </w:p>
    <w:p>
      <w:pPr>
        <w:rPr>
          <w:rFonts w:hint="eastAsia" w:ascii="宋体" w:hAnsi="宋体"/>
          <w:color w:val="000000"/>
          <w:szCs w:val="21"/>
        </w:rPr>
      </w:pPr>
      <w:r>
        <w:rPr>
          <w:rFonts w:hint="eastAsia" w:ascii="宋体" w:hAnsi="宋体"/>
          <w:color w:val="000000"/>
          <w:szCs w:val="21"/>
        </w:rPr>
        <w:t>卖方根据施工图上要求进行开发，结果应满足工程需要，使加压站实现全自动无人值守运行，且令买方满意。</w:t>
      </w:r>
    </w:p>
    <w:p>
      <w:pPr>
        <w:pStyle w:val="5"/>
        <w:tabs>
          <w:tab w:val="left" w:pos="709"/>
        </w:tabs>
        <w:spacing w:line="240" w:lineRule="auto"/>
        <w:rPr>
          <w:rFonts w:hint="eastAsia"/>
          <w:sz w:val="21"/>
          <w:szCs w:val="21"/>
        </w:rPr>
      </w:pPr>
      <w:r>
        <w:rPr>
          <w:rFonts w:hint="eastAsia"/>
          <w:sz w:val="21"/>
          <w:szCs w:val="21"/>
        </w:rPr>
        <w:t>3.7 施工部署</w:t>
      </w:r>
    </w:p>
    <w:p>
      <w:pPr>
        <w:rPr>
          <w:rFonts w:hint="eastAsia"/>
        </w:rPr>
      </w:pPr>
      <w:r>
        <w:rPr>
          <w:rFonts w:hint="eastAsia"/>
        </w:rPr>
        <w:t>施工步骤分为两个阶段，确保平苍两县供水安全，第一台完成试运行后72小时再进行剩余2台施工。</w:t>
      </w:r>
    </w:p>
    <w:p>
      <w:pPr>
        <w:rPr>
          <w:rFonts w:hint="eastAsia"/>
        </w:rPr>
      </w:pPr>
      <w:r>
        <w:rPr>
          <w:rFonts w:hint="eastAsia"/>
        </w:rPr>
        <w:br w:type="page"/>
      </w:r>
    </w:p>
    <w:p>
      <w:pPr>
        <w:keepNext/>
        <w:keepLines/>
        <w:widowControl w:val="0"/>
        <w:spacing w:line="360" w:lineRule="auto"/>
        <w:jc w:val="center"/>
        <w:outlineLvl w:val="0"/>
        <w:rPr>
          <w:rFonts w:hint="eastAsia" w:ascii="宋体" w:hAnsi="宋体" w:eastAsia="宋体" w:cs="宋体"/>
          <w:b/>
          <w:bCs/>
          <w:kern w:val="44"/>
          <w:sz w:val="44"/>
          <w:szCs w:val="44"/>
          <w:lang w:val="en-US" w:eastAsia="zh-CN" w:bidi="ar-SA"/>
        </w:rPr>
      </w:pPr>
    </w:p>
    <w:p>
      <w:pPr>
        <w:keepNext/>
        <w:keepLines/>
        <w:widowControl w:val="0"/>
        <w:spacing w:line="360" w:lineRule="auto"/>
        <w:jc w:val="center"/>
        <w:outlineLvl w:val="0"/>
        <w:rPr>
          <w:rFonts w:hint="eastAsia" w:ascii="宋体" w:hAnsi="宋体" w:eastAsia="宋体" w:cs="宋体"/>
          <w:b/>
          <w:bCs/>
          <w:kern w:val="44"/>
          <w:sz w:val="44"/>
          <w:szCs w:val="44"/>
          <w:lang w:val="en-US" w:eastAsia="zh-CN" w:bidi="ar-SA"/>
        </w:rPr>
      </w:pPr>
      <w:r>
        <w:rPr>
          <w:rFonts w:hint="eastAsia" w:ascii="宋体" w:hAnsi="宋体" w:eastAsia="宋体" w:cs="宋体"/>
          <w:b/>
          <w:bCs/>
          <w:kern w:val="44"/>
          <w:sz w:val="44"/>
          <w:szCs w:val="44"/>
          <w:lang w:val="en-US" w:eastAsia="zh-CN" w:bidi="ar-SA"/>
        </w:rPr>
        <w:t>品牌推荐表</w:t>
      </w:r>
    </w:p>
    <w:p>
      <w:pPr>
        <w:pStyle w:val="2"/>
        <w:rPr>
          <w:rFonts w:hint="eastAsia"/>
          <w:lang w:val="en-US" w:eastAsia="zh-CN"/>
        </w:rPr>
      </w:pPr>
    </w:p>
    <w:tbl>
      <w:tblPr>
        <w:tblStyle w:val="19"/>
        <w:tblW w:w="9438" w:type="dxa"/>
        <w:tblInd w:w="0" w:type="dxa"/>
        <w:tblLayout w:type="autofit"/>
        <w:tblCellMar>
          <w:top w:w="0" w:type="dxa"/>
          <w:left w:w="0" w:type="dxa"/>
          <w:bottom w:w="0" w:type="dxa"/>
          <w:right w:w="0" w:type="dxa"/>
        </w:tblCellMar>
      </w:tblPr>
      <w:tblGrid>
        <w:gridCol w:w="924"/>
        <w:gridCol w:w="2972"/>
        <w:gridCol w:w="5542"/>
      </w:tblGrid>
      <w:tr>
        <w:tblPrEx>
          <w:tblCellMar>
            <w:top w:w="0" w:type="dxa"/>
            <w:left w:w="0" w:type="dxa"/>
            <w:bottom w:w="0" w:type="dxa"/>
            <w:right w:w="0" w:type="dxa"/>
          </w:tblCellMar>
        </w:tblPrEx>
        <w:trPr>
          <w:trHeight w:val="958" w:hRule="atLeast"/>
        </w:trPr>
        <w:tc>
          <w:tcPr>
            <w:tcW w:w="9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序号</w:t>
            </w:r>
          </w:p>
        </w:tc>
        <w:tc>
          <w:tcPr>
            <w:tcW w:w="29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设备名称及规格</w:t>
            </w:r>
          </w:p>
        </w:tc>
        <w:tc>
          <w:tcPr>
            <w:tcW w:w="55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推荐品牌</w:t>
            </w:r>
          </w:p>
        </w:tc>
      </w:tr>
      <w:tr>
        <w:tblPrEx>
          <w:tblCellMar>
            <w:top w:w="0" w:type="dxa"/>
            <w:left w:w="0" w:type="dxa"/>
            <w:bottom w:w="0" w:type="dxa"/>
            <w:right w:w="0" w:type="dxa"/>
          </w:tblCellMar>
        </w:tblPrEx>
        <w:trPr>
          <w:trHeight w:val="813" w:hRule="atLeast"/>
        </w:trPr>
        <w:tc>
          <w:tcPr>
            <w:tcW w:w="9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一</w:t>
            </w:r>
          </w:p>
        </w:tc>
        <w:tc>
          <w:tcPr>
            <w:tcW w:w="29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更换卧式离心泵</w:t>
            </w:r>
          </w:p>
        </w:tc>
        <w:tc>
          <w:tcPr>
            <w:tcW w:w="55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FF0000"/>
                <w:sz w:val="24"/>
                <w:szCs w:val="24"/>
              </w:rPr>
            </w:pPr>
            <w:r>
              <w:rPr>
                <w:rFonts w:hint="eastAsia" w:ascii="宋体" w:hAnsi="宋体"/>
                <w:color w:val="FF0000"/>
                <w:szCs w:val="21"/>
              </w:rPr>
              <w:t>推荐品牌：佛山安德里茨、</w:t>
            </w:r>
            <w:r>
              <w:rPr>
                <w:rFonts w:hint="eastAsia" w:ascii="宋体" w:hAnsi="宋体"/>
                <w:color w:val="FF0000"/>
                <w:szCs w:val="21"/>
                <w:lang w:val="en-US" w:eastAsia="zh-CN"/>
              </w:rPr>
              <w:t>格兰富</w:t>
            </w:r>
            <w:r>
              <w:rPr>
                <w:rFonts w:hint="eastAsia" w:ascii="宋体" w:hAnsi="宋体"/>
                <w:color w:val="FF0000"/>
                <w:szCs w:val="21"/>
              </w:rPr>
              <w:t>、上海凯士比</w:t>
            </w:r>
          </w:p>
        </w:tc>
      </w:tr>
      <w:tr>
        <w:tblPrEx>
          <w:tblCellMar>
            <w:top w:w="0" w:type="dxa"/>
            <w:left w:w="0" w:type="dxa"/>
            <w:bottom w:w="0" w:type="dxa"/>
            <w:right w:w="0" w:type="dxa"/>
          </w:tblCellMar>
        </w:tblPrEx>
        <w:trPr>
          <w:trHeight w:val="795" w:hRule="atLeast"/>
        </w:trPr>
        <w:tc>
          <w:tcPr>
            <w:tcW w:w="9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二</w:t>
            </w:r>
          </w:p>
        </w:tc>
        <w:tc>
          <w:tcPr>
            <w:tcW w:w="29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配套电机</w:t>
            </w:r>
          </w:p>
        </w:tc>
        <w:tc>
          <w:tcPr>
            <w:tcW w:w="55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olor w:val="FF0000"/>
                <w:szCs w:val="21"/>
              </w:rPr>
            </w:pPr>
            <w:r>
              <w:rPr>
                <w:rFonts w:hint="eastAsia" w:ascii="宋体" w:hAnsi="宋体"/>
                <w:color w:val="FF0000"/>
                <w:szCs w:val="21"/>
                <w:lang w:val="en-US" w:eastAsia="zh-CN"/>
              </w:rPr>
              <w:t>配套</w:t>
            </w:r>
            <w:r>
              <w:rPr>
                <w:rFonts w:hint="eastAsia" w:ascii="宋体" w:hAnsi="宋体"/>
                <w:color w:val="FF0000"/>
                <w:szCs w:val="21"/>
              </w:rPr>
              <w:t>品牌：西门子</w:t>
            </w:r>
          </w:p>
        </w:tc>
      </w:tr>
      <w:tr>
        <w:tblPrEx>
          <w:tblCellMar>
            <w:top w:w="0" w:type="dxa"/>
            <w:left w:w="0" w:type="dxa"/>
            <w:bottom w:w="0" w:type="dxa"/>
            <w:right w:w="0" w:type="dxa"/>
          </w:tblCellMar>
        </w:tblPrEx>
        <w:trPr>
          <w:trHeight w:val="909" w:hRule="atLeast"/>
        </w:trPr>
        <w:tc>
          <w:tcPr>
            <w:tcW w:w="9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三</w:t>
            </w:r>
          </w:p>
        </w:tc>
        <w:tc>
          <w:tcPr>
            <w:tcW w:w="29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在线仪表</w:t>
            </w:r>
          </w:p>
        </w:tc>
        <w:tc>
          <w:tcPr>
            <w:tcW w:w="55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olor w:val="FF0000"/>
                <w:szCs w:val="21"/>
              </w:rPr>
            </w:pPr>
            <w:r>
              <w:rPr>
                <w:rFonts w:hint="eastAsia" w:ascii="宋体" w:hAnsi="宋体"/>
                <w:color w:val="FF0000"/>
                <w:szCs w:val="21"/>
                <w:lang w:val="en-US" w:eastAsia="zh-CN"/>
              </w:rPr>
              <w:t>推荐品牌：哈希、E+H、SWAN</w:t>
            </w:r>
          </w:p>
        </w:tc>
      </w:tr>
      <w:tr>
        <w:tblPrEx>
          <w:tblCellMar>
            <w:top w:w="0" w:type="dxa"/>
            <w:left w:w="0" w:type="dxa"/>
            <w:bottom w:w="0" w:type="dxa"/>
            <w:right w:w="0" w:type="dxa"/>
          </w:tblCellMar>
        </w:tblPrEx>
        <w:trPr>
          <w:trHeight w:val="996" w:hRule="atLeast"/>
        </w:trPr>
        <w:tc>
          <w:tcPr>
            <w:tcW w:w="9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FF0000"/>
                <w:sz w:val="24"/>
                <w:szCs w:val="24"/>
                <w:lang w:val="en-US" w:eastAsia="zh-CN"/>
              </w:rPr>
            </w:pPr>
            <w:r>
              <w:rPr>
                <w:rFonts w:hint="eastAsia" w:ascii="宋体" w:hAnsi="宋体" w:cs="宋体"/>
                <w:color w:val="FF0000"/>
                <w:sz w:val="24"/>
                <w:szCs w:val="24"/>
                <w:lang w:val="en-US" w:eastAsia="zh-CN"/>
              </w:rPr>
              <w:t>四</w:t>
            </w:r>
          </w:p>
        </w:tc>
        <w:tc>
          <w:tcPr>
            <w:tcW w:w="29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PLC</w:t>
            </w:r>
          </w:p>
        </w:tc>
        <w:tc>
          <w:tcPr>
            <w:tcW w:w="55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olor w:val="FF0000"/>
                <w:szCs w:val="21"/>
                <w:lang w:val="en-US" w:eastAsia="zh-CN"/>
              </w:rPr>
            </w:pPr>
            <w:r>
              <w:rPr>
                <w:rFonts w:hint="eastAsia" w:ascii="宋体" w:hAnsi="宋体"/>
                <w:color w:val="FF0000"/>
                <w:szCs w:val="21"/>
                <w:lang w:val="en-US" w:eastAsia="zh-CN"/>
              </w:rPr>
              <w:t>推荐品牌：西门子、AB、施耐德</w:t>
            </w:r>
          </w:p>
        </w:tc>
      </w:tr>
    </w:tbl>
    <w:p>
      <w:pPr>
        <w:rPr>
          <w:rFonts w:hint="eastAsia"/>
        </w:rPr>
        <w:sectPr>
          <w:headerReference r:id="rId3" w:type="default"/>
          <w:footerReference r:id="rId4" w:type="default"/>
          <w:footerReference r:id="rId5" w:type="even"/>
          <w:pgSz w:w="11906" w:h="16838"/>
          <w:pgMar w:top="1246" w:right="1106" w:bottom="1440" w:left="1440" w:header="851" w:footer="992" w:gutter="0"/>
          <w:cols w:space="720" w:num="1"/>
          <w:docGrid w:type="lines" w:linePitch="312" w:charSpace="0"/>
        </w:sectPr>
      </w:pPr>
    </w:p>
    <w:p>
      <w:pPr>
        <w:spacing w:line="400" w:lineRule="exact"/>
        <w:jc w:val="center"/>
        <w:rPr>
          <w:rFonts w:hint="eastAsia" w:ascii="新宋体" w:hAnsi="新宋体" w:eastAsia="新宋体"/>
          <w:b/>
          <w:sz w:val="32"/>
          <w:szCs w:val="32"/>
        </w:rPr>
      </w:pPr>
      <w:r>
        <w:rPr>
          <w:rFonts w:hint="eastAsia" w:ascii="新宋体" w:hAnsi="新宋体" w:eastAsia="新宋体"/>
          <w:b/>
          <w:sz w:val="32"/>
          <w:szCs w:val="32"/>
        </w:rPr>
        <w:t>第四章  合同主要条款</w:t>
      </w:r>
    </w:p>
    <w:p>
      <w:pPr>
        <w:spacing w:line="360" w:lineRule="exact"/>
        <w:rPr>
          <w:rFonts w:hint="eastAsia" w:ascii="宋体" w:hAnsi="宋体"/>
          <w:szCs w:val="21"/>
        </w:rPr>
      </w:pPr>
      <w:r>
        <w:rPr>
          <w:rFonts w:hint="eastAsia" w:ascii="新宋体" w:hAnsi="新宋体" w:eastAsia="新宋体"/>
          <w:sz w:val="24"/>
        </w:rPr>
        <w:t xml:space="preserve">  </w:t>
      </w:r>
      <w:r>
        <w:rPr>
          <w:rFonts w:hint="eastAsia" w:ascii="新宋体" w:hAnsi="新宋体" w:eastAsia="新宋体"/>
          <w:sz w:val="22"/>
          <w:szCs w:val="22"/>
        </w:rPr>
        <w:t xml:space="preserve">  </w:t>
      </w:r>
      <w:r>
        <w:rPr>
          <w:rFonts w:hint="eastAsia" w:ascii="宋体" w:hAnsi="宋体"/>
          <w:szCs w:val="21"/>
        </w:rPr>
        <w:t>本条款为采购人及中标供应商双方必须遵守的基本条款，双方也可根据实际情况另行约定，正式合同以双方签字盖章的文本为准。</w:t>
      </w:r>
    </w:p>
    <w:p>
      <w:pPr>
        <w:spacing w:line="360" w:lineRule="exact"/>
        <w:rPr>
          <w:rFonts w:hint="eastAsia" w:ascii="宋体" w:hAnsi="宋体"/>
          <w:szCs w:val="21"/>
          <w:u w:val="single"/>
        </w:rPr>
      </w:pPr>
      <w:r>
        <w:rPr>
          <w:rFonts w:hint="eastAsia" w:ascii="宋体" w:hAnsi="宋体"/>
          <w:szCs w:val="21"/>
        </w:rPr>
        <w:t xml:space="preserve">    采购人：</w:t>
      </w:r>
      <w:r>
        <w:rPr>
          <w:rFonts w:hint="eastAsia" w:ascii="宋体" w:hAnsi="宋体"/>
          <w:szCs w:val="21"/>
          <w:u w:val="single"/>
        </w:rPr>
        <w:t xml:space="preserve">                              </w:t>
      </w:r>
    </w:p>
    <w:p>
      <w:pPr>
        <w:spacing w:line="360" w:lineRule="exact"/>
        <w:rPr>
          <w:rFonts w:hint="eastAsia" w:ascii="宋体" w:hAnsi="宋体"/>
          <w:szCs w:val="21"/>
          <w:u w:val="single"/>
        </w:rPr>
      </w:pPr>
      <w:r>
        <w:rPr>
          <w:rFonts w:hint="eastAsia" w:ascii="宋体" w:hAnsi="宋体"/>
          <w:szCs w:val="21"/>
        </w:rPr>
        <w:t xml:space="preserve">    中标供应商：</w:t>
      </w:r>
      <w:r>
        <w:rPr>
          <w:rFonts w:hint="eastAsia" w:ascii="宋体" w:hAnsi="宋体"/>
          <w:szCs w:val="21"/>
          <w:u w:val="single"/>
        </w:rPr>
        <w:t xml:space="preserve">                               </w:t>
      </w:r>
    </w:p>
    <w:p>
      <w:pPr>
        <w:spacing w:line="360" w:lineRule="exact"/>
        <w:rPr>
          <w:rFonts w:hint="eastAsia" w:ascii="宋体" w:hAnsi="宋体"/>
          <w:szCs w:val="21"/>
        </w:rPr>
      </w:pPr>
      <w:r>
        <w:rPr>
          <w:rFonts w:hint="eastAsia" w:ascii="宋体" w:hAnsi="宋体"/>
          <w:szCs w:val="21"/>
        </w:rPr>
        <w:t xml:space="preserve">    鉴于采购人于2021年   月   日接受中标供应商对</w:t>
      </w:r>
      <w:r>
        <w:rPr>
          <w:rFonts w:hint="eastAsia" w:ascii="宋体" w:hAnsi="宋体"/>
          <w:szCs w:val="21"/>
          <w:u w:val="single"/>
        </w:rPr>
        <w:t xml:space="preserve">                      </w:t>
      </w:r>
      <w:r>
        <w:rPr>
          <w:rFonts w:hint="eastAsia" w:ascii="宋体" w:hAnsi="宋体"/>
          <w:szCs w:val="21"/>
        </w:rPr>
        <w:t>的投标，双方根据《中华人民共和国合同法》和本项目的招标文件、投标文件及其投标中的承诺，经双方协商，同意签订本合同，共同遵守：</w:t>
      </w:r>
    </w:p>
    <w:p>
      <w:pPr>
        <w:spacing w:line="360" w:lineRule="exact"/>
        <w:rPr>
          <w:rFonts w:hint="eastAsia" w:ascii="新宋体" w:hAnsi="新宋体" w:eastAsia="新宋体"/>
          <w:sz w:val="22"/>
          <w:szCs w:val="22"/>
        </w:rPr>
      </w:pPr>
      <w:r>
        <w:rPr>
          <w:rFonts w:hint="eastAsia" w:ascii="宋体" w:hAnsi="宋体"/>
          <w:b/>
          <w:bCs/>
          <w:szCs w:val="21"/>
        </w:rPr>
        <w:t>1．  合同内容</w:t>
      </w:r>
      <w:r>
        <w:rPr>
          <w:rFonts w:hint="eastAsia" w:ascii="宋体" w:hAnsi="宋体"/>
          <w:szCs w:val="21"/>
        </w:rPr>
        <w:t>：依据招标文件内容</w:t>
      </w:r>
      <w:r>
        <w:rPr>
          <w:rFonts w:hint="eastAsia" w:ascii="新宋体" w:hAnsi="新宋体" w:eastAsia="新宋体"/>
          <w:sz w:val="22"/>
          <w:szCs w:val="22"/>
        </w:rPr>
        <w:t>。</w:t>
      </w:r>
    </w:p>
    <w:p>
      <w:pPr>
        <w:spacing w:line="360" w:lineRule="exact"/>
        <w:rPr>
          <w:rFonts w:hint="eastAsia" w:ascii="宋体" w:hAnsi="宋体"/>
          <w:b/>
          <w:bCs/>
          <w:szCs w:val="21"/>
        </w:rPr>
      </w:pPr>
      <w:r>
        <w:rPr>
          <w:rFonts w:hint="eastAsia" w:ascii="宋体" w:hAnsi="宋体"/>
          <w:b/>
          <w:bCs/>
          <w:szCs w:val="21"/>
        </w:rPr>
        <w:t>2．  合同价格：</w:t>
      </w:r>
    </w:p>
    <w:p>
      <w:pPr>
        <w:spacing w:line="360" w:lineRule="exact"/>
        <w:ind w:firstLine="525" w:firstLineChars="250"/>
        <w:rPr>
          <w:rFonts w:hint="eastAsia" w:ascii="宋体" w:hAnsi="宋体"/>
          <w:b/>
          <w:bCs/>
          <w:szCs w:val="21"/>
        </w:rPr>
      </w:pPr>
      <w:r>
        <w:rPr>
          <w:rFonts w:hint="eastAsia" w:ascii="宋体" w:hAnsi="宋体"/>
          <w:szCs w:val="21"/>
        </w:rPr>
        <w:t>本合同总价为人民币</w:t>
      </w:r>
      <w:r>
        <w:rPr>
          <w:rFonts w:hint="eastAsia" w:ascii="宋体" w:hAnsi="宋体"/>
          <w:szCs w:val="21"/>
          <w:u w:val="single"/>
        </w:rPr>
        <w:t xml:space="preserve">           </w:t>
      </w:r>
      <w:r>
        <w:rPr>
          <w:rFonts w:hint="eastAsia" w:ascii="宋体" w:hAnsi="宋体"/>
          <w:szCs w:val="21"/>
        </w:rPr>
        <w:t>元。</w:t>
      </w:r>
    </w:p>
    <w:p>
      <w:pPr>
        <w:spacing w:line="360" w:lineRule="exact"/>
        <w:ind w:left="525" w:leftChars="250"/>
        <w:rPr>
          <w:rFonts w:hint="eastAsia" w:ascii="宋体" w:hAnsi="宋体"/>
          <w:szCs w:val="21"/>
        </w:rPr>
      </w:pPr>
      <w:r>
        <w:rPr>
          <w:rFonts w:hint="eastAsia" w:ascii="宋体" w:hAnsi="宋体"/>
          <w:szCs w:val="21"/>
        </w:rPr>
        <w:t>本合同总价为供货、运输、保险、检验、安装、调试、远程试运行、售后服务等内容的全部费用，实行固定费用总价包干。</w:t>
      </w:r>
    </w:p>
    <w:p>
      <w:pPr>
        <w:spacing w:line="360" w:lineRule="exact"/>
        <w:rPr>
          <w:rFonts w:hint="eastAsia" w:ascii="宋体" w:hAnsi="宋体"/>
          <w:b/>
          <w:bCs/>
          <w:szCs w:val="21"/>
        </w:rPr>
      </w:pPr>
      <w:r>
        <w:rPr>
          <w:rFonts w:hint="eastAsia" w:ascii="宋体" w:hAnsi="宋体"/>
          <w:b/>
          <w:bCs/>
          <w:szCs w:val="21"/>
        </w:rPr>
        <w:t>3．  货物、材料供应</w:t>
      </w:r>
    </w:p>
    <w:p>
      <w:pPr>
        <w:spacing w:line="360" w:lineRule="exact"/>
        <w:ind w:left="550" w:leftChars="262"/>
        <w:rPr>
          <w:rFonts w:hint="eastAsia" w:ascii="宋体" w:hAnsi="宋体"/>
          <w:b/>
          <w:bCs/>
          <w:szCs w:val="21"/>
        </w:rPr>
      </w:pPr>
      <w:r>
        <w:rPr>
          <w:rFonts w:hint="eastAsia" w:ascii="宋体" w:hAnsi="宋体"/>
          <w:szCs w:val="21"/>
        </w:rPr>
        <w:t>本合同范围内所需的货物、材料全部由中标供应商提供，但必须附有清单及合格证等相关技术资料，如发现不合格的货物、材料由中标供应商承担由此而引发的全部责任。</w:t>
      </w:r>
    </w:p>
    <w:p>
      <w:pPr>
        <w:spacing w:line="360" w:lineRule="exact"/>
        <w:rPr>
          <w:rFonts w:hint="eastAsia" w:ascii="宋体" w:hAnsi="宋体"/>
          <w:b/>
          <w:bCs/>
          <w:szCs w:val="21"/>
        </w:rPr>
      </w:pPr>
      <w:r>
        <w:rPr>
          <w:rFonts w:hint="eastAsia" w:ascii="宋体" w:hAnsi="宋体"/>
          <w:b/>
          <w:bCs/>
          <w:szCs w:val="21"/>
        </w:rPr>
        <w:t>4．  质量保证</w:t>
      </w:r>
    </w:p>
    <w:p>
      <w:pPr>
        <w:spacing w:line="360" w:lineRule="exact"/>
        <w:ind w:left="525" w:hanging="525" w:hangingChars="250"/>
        <w:rPr>
          <w:rFonts w:hint="eastAsia" w:ascii="宋体" w:hAnsi="宋体"/>
          <w:szCs w:val="21"/>
        </w:rPr>
      </w:pPr>
      <w:r>
        <w:rPr>
          <w:rFonts w:hint="eastAsia" w:ascii="宋体" w:hAnsi="宋体"/>
          <w:szCs w:val="21"/>
        </w:rPr>
        <w:t>4.1  中标供应商所提供的货物应保证是全新的、未使用过的且原包装未拆封的，并完全符合合同规定的质量、规格和性能要求，采购人将在现场拆封验收。中标供应商应保证所提供的货物经正确安装、正常运行和保养，在其使用寿命期内应具有使采购人满意的性能，并且确保一次性通过各项检验和测试。在货物质量保证期内中标供应商应对由于材料和配套件的缺陷所产生的任何不足或故障负责。</w:t>
      </w:r>
    </w:p>
    <w:p>
      <w:pPr>
        <w:spacing w:line="360" w:lineRule="exact"/>
        <w:ind w:left="525" w:hanging="525" w:hangingChars="250"/>
        <w:rPr>
          <w:rFonts w:hint="eastAsia" w:ascii="宋体" w:hAnsi="宋体"/>
          <w:szCs w:val="21"/>
        </w:rPr>
      </w:pPr>
      <w:r>
        <w:rPr>
          <w:rFonts w:hint="eastAsia" w:ascii="宋体" w:hAnsi="宋体"/>
          <w:szCs w:val="21"/>
        </w:rPr>
        <w:t>4.2  根据中标供应商按国家检验标准检验的结果或当地质检部门检验的结果，或者在质量保证期内，发现货物的数量、质量或规格与合同不符，或证实货物是有缺陷的，包括潜在的缺陷或使用不符合要求的材料等，采购人尽快以书面形式通知卖方，提出索赔。</w:t>
      </w:r>
    </w:p>
    <w:p>
      <w:pPr>
        <w:spacing w:line="360" w:lineRule="exact"/>
        <w:ind w:left="525" w:hanging="525" w:hangingChars="250"/>
        <w:rPr>
          <w:rFonts w:hint="eastAsia" w:ascii="宋体" w:hAnsi="宋体"/>
          <w:szCs w:val="21"/>
        </w:rPr>
      </w:pPr>
      <w:r>
        <w:rPr>
          <w:rFonts w:hint="eastAsia" w:ascii="宋体" w:hAnsi="宋体"/>
          <w:szCs w:val="21"/>
        </w:rPr>
        <w:t>4.3  中标供应商在收到通知后，应在规定期限内免费维修或更换有缺陷的货物或部件。</w:t>
      </w:r>
    </w:p>
    <w:p>
      <w:pPr>
        <w:spacing w:line="360" w:lineRule="exact"/>
        <w:ind w:left="527" w:hanging="527" w:hangingChars="250"/>
        <w:rPr>
          <w:rFonts w:hint="eastAsia" w:ascii="宋体" w:hAnsi="宋体"/>
          <w:b/>
          <w:szCs w:val="21"/>
        </w:rPr>
      </w:pPr>
      <w:r>
        <w:rPr>
          <w:rFonts w:hint="eastAsia" w:ascii="宋体" w:hAnsi="宋体"/>
          <w:b/>
          <w:szCs w:val="21"/>
        </w:rPr>
        <w:t>4.4  所供设备质量保证期起算时间以设备安装调试验收合格后开始计算。</w:t>
      </w:r>
    </w:p>
    <w:p>
      <w:pPr>
        <w:spacing w:line="360" w:lineRule="exact"/>
        <w:ind w:left="527" w:hanging="527" w:hangingChars="250"/>
        <w:rPr>
          <w:rFonts w:hint="eastAsia" w:ascii="宋体" w:hAnsi="宋体"/>
          <w:b/>
          <w:szCs w:val="21"/>
        </w:rPr>
      </w:pPr>
      <w:r>
        <w:rPr>
          <w:rFonts w:hint="eastAsia" w:ascii="宋体" w:hAnsi="宋体"/>
          <w:b/>
          <w:szCs w:val="21"/>
        </w:rPr>
        <w:t>4.5  中标供应商若没有机电工程施工总承包资质的，必须委托给相应资质且具有安全生产许可证的施工单位进行施工并附施工企业的项目证书等内容。</w:t>
      </w:r>
    </w:p>
    <w:p>
      <w:pPr>
        <w:spacing w:line="360" w:lineRule="exact"/>
        <w:ind w:left="514" w:hanging="514" w:hangingChars="244"/>
        <w:rPr>
          <w:rFonts w:hint="eastAsia" w:ascii="宋体" w:hAnsi="宋体"/>
          <w:b/>
          <w:bCs/>
          <w:szCs w:val="21"/>
        </w:rPr>
      </w:pPr>
      <w:r>
        <w:rPr>
          <w:rFonts w:hint="eastAsia" w:ascii="宋体" w:hAnsi="宋体"/>
          <w:b/>
          <w:bCs/>
          <w:szCs w:val="21"/>
        </w:rPr>
        <w:t>5．  专利权</w:t>
      </w:r>
    </w:p>
    <w:p>
      <w:pPr>
        <w:spacing w:line="360" w:lineRule="exact"/>
        <w:ind w:left="525" w:hanging="525" w:hangingChars="250"/>
        <w:rPr>
          <w:rFonts w:hint="eastAsia" w:ascii="宋体" w:hAnsi="宋体"/>
          <w:szCs w:val="21"/>
        </w:rPr>
      </w:pPr>
      <w:r>
        <w:rPr>
          <w:rFonts w:hint="eastAsia" w:ascii="宋体" w:hAnsi="宋体"/>
          <w:szCs w:val="21"/>
        </w:rPr>
        <w:t>5.1  中标供应商应保证采购人在使用该产品或产品的任何一部分免受第三方提出的侵犯其专利权、商标权、著作权或其他知识产权的纠纷。</w:t>
      </w:r>
    </w:p>
    <w:p>
      <w:pPr>
        <w:spacing w:line="360" w:lineRule="exact"/>
        <w:ind w:left="525" w:hanging="525" w:hangingChars="250"/>
        <w:rPr>
          <w:rFonts w:hint="eastAsia" w:ascii="宋体" w:hAnsi="宋体"/>
          <w:szCs w:val="21"/>
        </w:rPr>
      </w:pPr>
      <w:r>
        <w:rPr>
          <w:rFonts w:hint="eastAsia" w:ascii="宋体" w:hAnsi="宋体"/>
          <w:szCs w:val="21"/>
        </w:rPr>
        <w:t>5.2  中标供应商应承担侵犯专利权、商标权、著作权或其他知识产权的相关责任和费用。</w:t>
      </w:r>
    </w:p>
    <w:p>
      <w:pPr>
        <w:spacing w:line="360" w:lineRule="exact"/>
        <w:ind w:left="442" w:hanging="442" w:hangingChars="200"/>
        <w:rPr>
          <w:rFonts w:hint="eastAsia" w:ascii="宋体" w:hAnsi="宋体"/>
          <w:b/>
          <w:szCs w:val="21"/>
        </w:rPr>
      </w:pPr>
      <w:r>
        <w:rPr>
          <w:rFonts w:hint="eastAsia" w:ascii="新宋体" w:hAnsi="新宋体" w:eastAsia="新宋体"/>
          <w:b/>
          <w:sz w:val="22"/>
          <w:szCs w:val="22"/>
        </w:rPr>
        <w:t>6、</w:t>
      </w:r>
      <w:r>
        <w:rPr>
          <w:rFonts w:hint="eastAsia" w:ascii="宋体" w:hAnsi="宋体"/>
          <w:b/>
          <w:szCs w:val="21"/>
        </w:rPr>
        <w:t xml:space="preserve">  检验和测试</w:t>
      </w:r>
    </w:p>
    <w:p>
      <w:pPr>
        <w:spacing w:line="360" w:lineRule="exact"/>
        <w:ind w:left="525" w:hanging="525" w:hangingChars="250"/>
        <w:rPr>
          <w:rFonts w:hint="eastAsia" w:ascii="宋体" w:hAnsi="宋体"/>
          <w:szCs w:val="21"/>
        </w:rPr>
      </w:pPr>
      <w:r>
        <w:rPr>
          <w:rFonts w:hint="eastAsia" w:ascii="宋体" w:hAnsi="宋体"/>
          <w:szCs w:val="21"/>
        </w:rPr>
        <w:t>6.1  采购人或其代表有权检验和测试货物,以确认货物是否符合合同规定的要求,并且不承担额外的费用。</w:t>
      </w:r>
    </w:p>
    <w:p>
      <w:pPr>
        <w:spacing w:line="360" w:lineRule="exact"/>
        <w:ind w:left="525" w:hanging="525" w:hangingChars="250"/>
        <w:rPr>
          <w:rFonts w:hint="eastAsia" w:ascii="宋体" w:hAnsi="宋体"/>
          <w:szCs w:val="21"/>
        </w:rPr>
      </w:pPr>
      <w:r>
        <w:rPr>
          <w:rFonts w:hint="eastAsia" w:ascii="宋体" w:hAnsi="宋体"/>
          <w:szCs w:val="21"/>
        </w:rPr>
        <w:t>6.2  检验和测试可以在中标供应商交货地点或货物的最终目的地进行。如果在中标供应商现场进行，检测人员应得到中标供应商提供的全部合理的设施和协助，采购人不应承担费用。</w:t>
      </w:r>
    </w:p>
    <w:p>
      <w:pPr>
        <w:spacing w:line="360" w:lineRule="exact"/>
        <w:ind w:left="525" w:hanging="525" w:hangingChars="250"/>
        <w:rPr>
          <w:rFonts w:hint="eastAsia" w:ascii="宋体" w:hAnsi="宋体"/>
          <w:szCs w:val="21"/>
        </w:rPr>
      </w:pPr>
      <w:r>
        <w:rPr>
          <w:rFonts w:hint="eastAsia" w:ascii="宋体" w:hAnsi="宋体"/>
          <w:szCs w:val="21"/>
        </w:rPr>
        <w:t>6.3  如果任何被检验或测试的货物不能满足技术规格的要求,采购人可以拒绝接受该货物,中标供应商应更换被拒绝的货物或者免费进行必要的修改以满足技术规格的要求。</w:t>
      </w:r>
    </w:p>
    <w:p>
      <w:pPr>
        <w:spacing w:line="360" w:lineRule="exact"/>
        <w:ind w:left="525" w:hanging="525" w:hangingChars="250"/>
        <w:rPr>
          <w:rFonts w:hint="eastAsia" w:ascii="宋体" w:hAnsi="宋体"/>
          <w:szCs w:val="21"/>
        </w:rPr>
      </w:pPr>
      <w:r>
        <w:rPr>
          <w:rFonts w:hint="eastAsia" w:ascii="宋体" w:hAnsi="宋体"/>
          <w:szCs w:val="21"/>
        </w:rPr>
        <w:t>6.4  在交货前，中标供应商应让制造商对货物的质量、规格、数量、性能和重量等进行详细而全面的检验，并且出具一份证明货物符合合同规定的检验证书，附在交付的货物内。检验证书是付款时的依据和组成部分，但不能作为有关质量、规格、性能、数量或重量的最终检验。</w:t>
      </w:r>
    </w:p>
    <w:p>
      <w:pPr>
        <w:spacing w:line="360" w:lineRule="exact"/>
        <w:ind w:left="525" w:hanging="525" w:hangingChars="250"/>
        <w:rPr>
          <w:rFonts w:hint="eastAsia" w:ascii="宋体" w:hAnsi="宋体"/>
          <w:szCs w:val="21"/>
        </w:rPr>
      </w:pPr>
      <w:r>
        <w:rPr>
          <w:rFonts w:hint="eastAsia" w:ascii="宋体" w:hAnsi="宋体"/>
          <w:szCs w:val="21"/>
        </w:rPr>
        <w:t>7、  标准</w:t>
      </w:r>
    </w:p>
    <w:p>
      <w:pPr>
        <w:spacing w:line="360" w:lineRule="exact"/>
        <w:ind w:left="525" w:hanging="525" w:hangingChars="250"/>
        <w:rPr>
          <w:rFonts w:hint="eastAsia" w:ascii="宋体" w:hAnsi="宋体"/>
          <w:b/>
          <w:bCs/>
          <w:szCs w:val="21"/>
        </w:rPr>
      </w:pPr>
      <w:r>
        <w:rPr>
          <w:rFonts w:hint="eastAsia" w:ascii="宋体" w:hAnsi="宋体"/>
          <w:szCs w:val="21"/>
        </w:rPr>
        <w:t>7.1  合同货物的质量、技术标准如在招标文件中无相应说明，则按中华人民共和国颁布的最新国家标准或行业（部）标准或相应的国际标准执行。没有国家或行业（部）标准的则按企业标准执行。</w:t>
      </w:r>
    </w:p>
    <w:p>
      <w:pPr>
        <w:tabs>
          <w:tab w:val="left" w:pos="540"/>
        </w:tabs>
        <w:spacing w:line="360" w:lineRule="exact"/>
        <w:rPr>
          <w:rFonts w:hint="eastAsia" w:ascii="宋体" w:hAnsi="宋体"/>
          <w:b/>
          <w:bCs/>
          <w:szCs w:val="21"/>
        </w:rPr>
      </w:pPr>
      <w:r>
        <w:rPr>
          <w:rFonts w:hint="eastAsia" w:ascii="宋体" w:hAnsi="宋体"/>
          <w:b/>
          <w:bCs/>
          <w:szCs w:val="21"/>
        </w:rPr>
        <w:t>8．  包装要求</w:t>
      </w:r>
    </w:p>
    <w:p>
      <w:pPr>
        <w:spacing w:line="360" w:lineRule="exact"/>
        <w:ind w:left="525" w:hanging="525" w:hangingChars="250"/>
        <w:rPr>
          <w:rFonts w:hint="eastAsia" w:ascii="宋体" w:hAnsi="宋体"/>
          <w:szCs w:val="21"/>
        </w:rPr>
      </w:pPr>
      <w:r>
        <w:rPr>
          <w:rFonts w:hint="eastAsia" w:ascii="宋体" w:hAnsi="宋体"/>
          <w:szCs w:val="21"/>
        </w:rPr>
        <w:t>8.1  除合同另有规定外，中标供应商提供的货物，均采用国家或专业标准保护措施进行包装，使包装适用于海运、空运或陆上的长途运输，并有良好的防潮、防震、防锈和防粗暴装卸等保护措施，确保货物安全无损运抵现场。对由于包装不善而引起的货物锈蚀、损坏或损失中标供应商应承担相应责任。</w:t>
      </w:r>
    </w:p>
    <w:p>
      <w:pPr>
        <w:spacing w:line="360" w:lineRule="exact"/>
        <w:ind w:left="525" w:hanging="525" w:hangingChars="250"/>
        <w:rPr>
          <w:rFonts w:hint="eastAsia" w:ascii="宋体" w:hAnsi="宋体"/>
          <w:szCs w:val="21"/>
        </w:rPr>
      </w:pPr>
      <w:r>
        <w:rPr>
          <w:rFonts w:hint="eastAsia" w:ascii="宋体" w:hAnsi="宋体"/>
          <w:szCs w:val="21"/>
        </w:rPr>
        <w:t>8.2  每一包装箱内必须附有装箱清单、合格证、质量保证书和保修保养卡。</w:t>
      </w:r>
    </w:p>
    <w:p>
      <w:pPr>
        <w:spacing w:line="360" w:lineRule="exact"/>
        <w:ind w:left="527" w:hanging="527" w:hangingChars="250"/>
        <w:rPr>
          <w:rFonts w:hint="eastAsia" w:ascii="宋体" w:hAnsi="宋体"/>
          <w:szCs w:val="21"/>
        </w:rPr>
      </w:pPr>
      <w:r>
        <w:rPr>
          <w:rFonts w:hint="eastAsia" w:ascii="宋体" w:hAnsi="宋体"/>
          <w:b/>
          <w:bCs/>
          <w:szCs w:val="21"/>
        </w:rPr>
        <w:t>9．  装运标志：无</w:t>
      </w:r>
    </w:p>
    <w:p>
      <w:pPr>
        <w:spacing w:line="360" w:lineRule="exact"/>
        <w:ind w:left="527" w:hanging="527" w:hangingChars="250"/>
        <w:rPr>
          <w:rFonts w:hint="eastAsia" w:ascii="宋体" w:hAnsi="宋体"/>
          <w:b/>
          <w:szCs w:val="21"/>
          <w:u w:val="single"/>
        </w:rPr>
      </w:pPr>
      <w:r>
        <w:rPr>
          <w:rFonts w:hint="eastAsia" w:ascii="宋体" w:hAnsi="宋体"/>
          <w:b/>
          <w:bCs/>
          <w:szCs w:val="21"/>
        </w:rPr>
        <w:t xml:space="preserve">10． </w:t>
      </w:r>
      <w:r>
        <w:rPr>
          <w:rFonts w:hint="eastAsia" w:ascii="宋体" w:hAnsi="宋体"/>
          <w:b/>
          <w:szCs w:val="21"/>
          <w:u w:val="single"/>
        </w:rPr>
        <w:t>本次采购的所有货物及服务在质保期内提供免费上门服务。</w:t>
      </w:r>
    </w:p>
    <w:p>
      <w:pPr>
        <w:spacing w:line="360" w:lineRule="exact"/>
        <w:ind w:left="527" w:hanging="527" w:hangingChars="250"/>
        <w:rPr>
          <w:rFonts w:hint="eastAsia" w:ascii="宋体" w:hAnsi="宋体"/>
          <w:b/>
          <w:szCs w:val="21"/>
        </w:rPr>
      </w:pPr>
      <w:r>
        <w:rPr>
          <w:rFonts w:hint="eastAsia" w:ascii="宋体" w:hAnsi="宋体"/>
          <w:b/>
          <w:bCs/>
          <w:szCs w:val="21"/>
        </w:rPr>
        <w:t xml:space="preserve">11． </w:t>
      </w:r>
      <w:r>
        <w:rPr>
          <w:rFonts w:hint="eastAsia" w:ascii="宋体" w:hAnsi="宋体"/>
          <w:b/>
          <w:szCs w:val="21"/>
        </w:rPr>
        <w:t>交货方式</w:t>
      </w:r>
    </w:p>
    <w:p>
      <w:pPr>
        <w:spacing w:line="360" w:lineRule="exact"/>
        <w:ind w:left="525" w:hanging="525" w:hangingChars="250"/>
        <w:rPr>
          <w:rFonts w:hint="eastAsia" w:ascii="宋体" w:hAnsi="宋体"/>
          <w:szCs w:val="21"/>
        </w:rPr>
      </w:pPr>
      <w:r>
        <w:rPr>
          <w:rFonts w:hint="eastAsia" w:ascii="宋体" w:hAnsi="宋体"/>
          <w:szCs w:val="21"/>
        </w:rPr>
        <w:t>11.1 现场交货，中标供应商负责办理运输和保险，将货物运抵现场并落地。有关运输和保险的一切费用由中标供应商承担，所有货物运抵现场日期为交货日期。</w:t>
      </w:r>
    </w:p>
    <w:p>
      <w:pPr>
        <w:spacing w:line="360" w:lineRule="exact"/>
        <w:ind w:left="525" w:hanging="525" w:hangingChars="250"/>
        <w:rPr>
          <w:rFonts w:hint="eastAsia" w:ascii="宋体" w:hAnsi="宋体"/>
          <w:b/>
          <w:bCs/>
          <w:szCs w:val="21"/>
        </w:rPr>
      </w:pPr>
      <w:r>
        <w:rPr>
          <w:rFonts w:hint="eastAsia" w:ascii="宋体" w:hAnsi="宋体"/>
          <w:szCs w:val="21"/>
        </w:rPr>
        <w:t>11.2 中标供应商应在合同规定的交货期前3天，以书面形式将合同号、货物名称、数量、包装箱件数、总毛重、总体积及交货日期通知买方，以便采购人做好接货准备。</w:t>
      </w:r>
    </w:p>
    <w:p>
      <w:pPr>
        <w:spacing w:line="360" w:lineRule="exact"/>
        <w:rPr>
          <w:rFonts w:hint="eastAsia" w:ascii="宋体" w:hAnsi="宋体"/>
          <w:szCs w:val="21"/>
        </w:rPr>
      </w:pPr>
      <w:r>
        <w:rPr>
          <w:rFonts w:hint="eastAsia" w:ascii="宋体" w:hAnsi="宋体"/>
          <w:b/>
          <w:bCs/>
          <w:szCs w:val="21"/>
        </w:rPr>
        <w:t>12． 档案资料</w:t>
      </w:r>
    </w:p>
    <w:p>
      <w:pPr>
        <w:spacing w:line="360" w:lineRule="exact"/>
        <w:ind w:left="588" w:leftChars="280"/>
        <w:rPr>
          <w:rFonts w:hint="eastAsia" w:ascii="宋体" w:hAnsi="宋体"/>
          <w:szCs w:val="21"/>
        </w:rPr>
      </w:pPr>
      <w:r>
        <w:rPr>
          <w:rFonts w:hint="eastAsia" w:ascii="宋体" w:hAnsi="宋体"/>
          <w:szCs w:val="21"/>
        </w:rPr>
        <w:t>货物的档案资料，包括：货物的数量、型号、规格、生产厂家的产品检测证书、出厂检验报告、合格证书、产品说明书等有关资料。（进口货物交货时，中标供应商必须提交原产地证明、海关商检证明、完税证明等相应的证明文件）。货物开箱后的全部随机资料所有权归采购人。</w:t>
      </w:r>
    </w:p>
    <w:p>
      <w:pPr>
        <w:spacing w:line="360" w:lineRule="exact"/>
        <w:rPr>
          <w:rFonts w:hint="eastAsia" w:ascii="宋体" w:hAnsi="宋体"/>
          <w:b/>
          <w:bCs/>
          <w:szCs w:val="21"/>
        </w:rPr>
      </w:pPr>
      <w:r>
        <w:rPr>
          <w:rFonts w:hint="eastAsia" w:ascii="宋体" w:hAnsi="宋体"/>
          <w:b/>
          <w:bCs/>
          <w:szCs w:val="21"/>
        </w:rPr>
        <w:t>13.  技术资料</w:t>
      </w:r>
    </w:p>
    <w:p>
      <w:pPr>
        <w:spacing w:line="360" w:lineRule="exact"/>
        <w:ind w:left="567" w:leftChars="270"/>
        <w:rPr>
          <w:rFonts w:hint="eastAsia" w:ascii="宋体" w:hAnsi="宋体"/>
          <w:b/>
          <w:bCs/>
          <w:szCs w:val="21"/>
        </w:rPr>
      </w:pPr>
      <w:r>
        <w:rPr>
          <w:rFonts w:hint="eastAsia" w:ascii="宋体" w:hAnsi="宋体"/>
          <w:szCs w:val="21"/>
        </w:rPr>
        <w:t>技术资料包括：设备及系统的技术说明书和原理图、设备及系统安装线路图、安装手册、操作和维修手册及其他必须提供的技术资料。</w:t>
      </w:r>
    </w:p>
    <w:p>
      <w:pPr>
        <w:spacing w:line="360" w:lineRule="exact"/>
        <w:rPr>
          <w:rFonts w:hint="eastAsia" w:ascii="宋体" w:hAnsi="宋体"/>
          <w:b/>
          <w:bCs/>
          <w:szCs w:val="21"/>
        </w:rPr>
      </w:pPr>
      <w:r>
        <w:rPr>
          <w:rFonts w:hint="eastAsia" w:ascii="新宋体" w:hAnsi="新宋体" w:eastAsia="新宋体"/>
          <w:b/>
          <w:bCs/>
          <w:sz w:val="22"/>
          <w:szCs w:val="22"/>
        </w:rPr>
        <w:t xml:space="preserve">14． </w:t>
      </w:r>
      <w:r>
        <w:rPr>
          <w:rFonts w:hint="eastAsia" w:ascii="新宋体" w:hAnsi="新宋体" w:eastAsia="新宋体"/>
          <w:b/>
          <w:sz w:val="22"/>
          <w:szCs w:val="22"/>
        </w:rPr>
        <w:t>完工</w:t>
      </w:r>
      <w:r>
        <w:rPr>
          <w:rFonts w:hint="eastAsia" w:ascii="宋体" w:hAnsi="宋体"/>
          <w:b/>
          <w:bCs/>
          <w:szCs w:val="21"/>
        </w:rPr>
        <w:t>时间：</w:t>
      </w:r>
      <w:r>
        <w:rPr>
          <w:rFonts w:hint="eastAsia" w:ascii="宋体" w:hAnsi="宋体"/>
          <w:b/>
          <w:bCs/>
          <w:szCs w:val="21"/>
          <w:u w:val="single"/>
        </w:rPr>
        <w:t xml:space="preserve">    /    </w:t>
      </w:r>
      <w:r>
        <w:rPr>
          <w:rFonts w:hint="eastAsia" w:ascii="宋体" w:hAnsi="宋体"/>
          <w:b/>
          <w:bCs/>
          <w:szCs w:val="21"/>
        </w:rPr>
        <w:t>年</w:t>
      </w:r>
      <w:r>
        <w:rPr>
          <w:rFonts w:hint="eastAsia" w:ascii="宋体" w:hAnsi="宋体"/>
          <w:b/>
          <w:bCs/>
          <w:szCs w:val="21"/>
          <w:u w:val="single"/>
        </w:rPr>
        <w:t xml:space="preserve">   /  </w:t>
      </w:r>
      <w:r>
        <w:rPr>
          <w:rFonts w:hint="eastAsia" w:ascii="宋体" w:hAnsi="宋体"/>
          <w:b/>
          <w:bCs/>
          <w:szCs w:val="21"/>
        </w:rPr>
        <w:t>月</w:t>
      </w:r>
      <w:r>
        <w:rPr>
          <w:rFonts w:hint="eastAsia" w:ascii="宋体" w:hAnsi="宋体"/>
          <w:b/>
          <w:bCs/>
          <w:szCs w:val="21"/>
          <w:u w:val="single"/>
        </w:rPr>
        <w:t xml:space="preserve">   /  </w:t>
      </w:r>
      <w:r>
        <w:rPr>
          <w:rFonts w:hint="eastAsia" w:ascii="宋体" w:hAnsi="宋体"/>
          <w:b/>
          <w:bCs/>
          <w:szCs w:val="21"/>
        </w:rPr>
        <w:t>日</w:t>
      </w:r>
    </w:p>
    <w:p>
      <w:pPr>
        <w:spacing w:line="360" w:lineRule="exact"/>
        <w:ind w:left="517" w:hanging="517" w:hangingChars="245"/>
        <w:rPr>
          <w:rFonts w:hint="eastAsia" w:ascii="宋体" w:hAnsi="宋体"/>
          <w:szCs w:val="21"/>
        </w:rPr>
      </w:pPr>
      <w:r>
        <w:rPr>
          <w:rFonts w:hint="eastAsia" w:ascii="宋体" w:hAnsi="宋体"/>
          <w:b/>
          <w:bCs/>
          <w:szCs w:val="21"/>
        </w:rPr>
        <w:t xml:space="preserve">     </w:t>
      </w:r>
      <w:r>
        <w:rPr>
          <w:rFonts w:hint="eastAsia" w:ascii="宋体" w:hAnsi="宋体"/>
          <w:szCs w:val="21"/>
        </w:rPr>
        <w:t>本次采购的货物要求分批次交货，合同签订生效后中标供应商接采购人通知日起15日内根据采购人要求规格、数量供货。采购人有权根据实际需要对采购的数量进行增加或减少，中标供应商应无条件接受，每次交货的结算价根据交货的数量乘以中标的综合单价计算的总价进行支付货款，无论供货时间的延长或缩短，中标的货物综合单价不予调整，货物数量按实际进行结算。</w:t>
      </w:r>
    </w:p>
    <w:p>
      <w:pPr>
        <w:spacing w:line="360" w:lineRule="exact"/>
        <w:rPr>
          <w:rFonts w:hint="eastAsia" w:ascii="宋体" w:hAnsi="宋体"/>
          <w:b/>
          <w:bCs/>
          <w:szCs w:val="21"/>
        </w:rPr>
      </w:pPr>
      <w:r>
        <w:rPr>
          <w:rFonts w:hint="eastAsia" w:ascii="宋体" w:hAnsi="宋体"/>
          <w:b/>
          <w:bCs/>
          <w:szCs w:val="21"/>
        </w:rPr>
        <w:t>15． 双方责任</w:t>
      </w:r>
    </w:p>
    <w:p>
      <w:pPr>
        <w:spacing w:line="360" w:lineRule="exact"/>
        <w:rPr>
          <w:rFonts w:hint="eastAsia" w:ascii="宋体" w:hAnsi="宋体"/>
          <w:szCs w:val="21"/>
        </w:rPr>
      </w:pPr>
      <w:r>
        <w:rPr>
          <w:rFonts w:hint="eastAsia" w:ascii="宋体" w:hAnsi="宋体"/>
          <w:szCs w:val="21"/>
        </w:rPr>
        <w:t>15.1 采购人</w:t>
      </w:r>
    </w:p>
    <w:p>
      <w:pPr>
        <w:spacing w:line="360" w:lineRule="exact"/>
        <w:rPr>
          <w:rFonts w:hint="eastAsia" w:ascii="宋体" w:hAnsi="宋体"/>
          <w:szCs w:val="21"/>
        </w:rPr>
      </w:pPr>
      <w:r>
        <w:rPr>
          <w:rFonts w:hint="eastAsia" w:ascii="宋体" w:hAnsi="宋体"/>
          <w:szCs w:val="21"/>
        </w:rPr>
        <w:t>（1）按合同规定向卖方支付货款。</w:t>
      </w:r>
    </w:p>
    <w:p>
      <w:pPr>
        <w:spacing w:line="360" w:lineRule="exact"/>
        <w:rPr>
          <w:rFonts w:hint="eastAsia" w:ascii="宋体" w:hAnsi="宋体"/>
          <w:szCs w:val="21"/>
        </w:rPr>
      </w:pPr>
      <w:r>
        <w:rPr>
          <w:rFonts w:hint="eastAsia" w:ascii="宋体" w:hAnsi="宋体"/>
          <w:szCs w:val="21"/>
        </w:rPr>
        <w:t>（2）组织对货物的验收。</w:t>
      </w:r>
    </w:p>
    <w:p>
      <w:pPr>
        <w:spacing w:line="360" w:lineRule="exact"/>
        <w:rPr>
          <w:rFonts w:hint="eastAsia" w:ascii="宋体" w:hAnsi="宋体"/>
          <w:szCs w:val="21"/>
        </w:rPr>
      </w:pPr>
      <w:r>
        <w:rPr>
          <w:rFonts w:hint="eastAsia" w:ascii="宋体" w:hAnsi="宋体"/>
          <w:szCs w:val="21"/>
        </w:rPr>
        <w:t>15.2 中标供应商</w:t>
      </w:r>
    </w:p>
    <w:p>
      <w:pPr>
        <w:spacing w:line="360" w:lineRule="exact"/>
        <w:ind w:left="525" w:hanging="525" w:hangingChars="250"/>
        <w:rPr>
          <w:rFonts w:hint="eastAsia" w:ascii="宋体" w:hAnsi="宋体"/>
          <w:szCs w:val="21"/>
        </w:rPr>
      </w:pPr>
      <w:r>
        <w:rPr>
          <w:rFonts w:hint="eastAsia" w:ascii="宋体" w:hAnsi="宋体"/>
          <w:szCs w:val="21"/>
        </w:rPr>
        <w:t>（1）按合同要求提供货物、技术服务和售后服务。</w:t>
      </w:r>
    </w:p>
    <w:p>
      <w:pPr>
        <w:spacing w:line="360" w:lineRule="exact"/>
        <w:rPr>
          <w:rFonts w:hint="eastAsia" w:ascii="宋体" w:hAnsi="宋体"/>
          <w:szCs w:val="21"/>
        </w:rPr>
      </w:pPr>
      <w:r>
        <w:rPr>
          <w:rFonts w:hint="eastAsia" w:ascii="宋体" w:hAnsi="宋体"/>
          <w:szCs w:val="21"/>
        </w:rPr>
        <w:t>（2）对所提供货物的质量问题无条件负责处理。</w:t>
      </w:r>
    </w:p>
    <w:p>
      <w:pPr>
        <w:spacing w:line="360" w:lineRule="exact"/>
        <w:rPr>
          <w:rFonts w:hint="eastAsia" w:ascii="宋体" w:hAnsi="宋体"/>
          <w:szCs w:val="21"/>
        </w:rPr>
      </w:pPr>
      <w:r>
        <w:rPr>
          <w:rFonts w:hint="eastAsia" w:ascii="宋体" w:hAnsi="宋体"/>
          <w:szCs w:val="21"/>
        </w:rPr>
        <w:t>（3）为中标供应商提供人员培训服务：</w:t>
      </w:r>
    </w:p>
    <w:p>
      <w:pPr>
        <w:spacing w:line="360" w:lineRule="exact"/>
        <w:ind w:left="525" w:hanging="525" w:hangingChars="250"/>
        <w:rPr>
          <w:rFonts w:hint="eastAsia" w:ascii="宋体" w:hAnsi="宋体"/>
          <w:szCs w:val="21"/>
        </w:rPr>
      </w:pPr>
      <w:r>
        <w:rPr>
          <w:rFonts w:hint="eastAsia" w:ascii="宋体" w:hAnsi="宋体"/>
          <w:szCs w:val="21"/>
        </w:rPr>
        <w:t xml:space="preserve">  1）中标供应商应对采购人指派的操作维修人员进行培训，培训内容包括理论培训和实际操作培训、安全知识培训。（中标供应商应在投标文件中提出具体的人员培训计划，包括时间、地点、培训费用）。全部费用应单列并纳入投标总报价中。</w:t>
      </w:r>
    </w:p>
    <w:p>
      <w:pPr>
        <w:spacing w:line="360" w:lineRule="exact"/>
        <w:ind w:firstLine="231" w:firstLineChars="110"/>
        <w:rPr>
          <w:rFonts w:hint="eastAsia" w:ascii="宋体" w:hAnsi="宋体"/>
          <w:szCs w:val="21"/>
        </w:rPr>
      </w:pPr>
      <w:r>
        <w:rPr>
          <w:rFonts w:hint="eastAsia" w:ascii="宋体" w:hAnsi="宋体"/>
          <w:szCs w:val="21"/>
        </w:rPr>
        <w:t>2）中标供应商负责使参与培训的人员达到能正确操作和维护的上岗资格。</w:t>
      </w:r>
    </w:p>
    <w:p>
      <w:pPr>
        <w:spacing w:line="360" w:lineRule="exact"/>
        <w:ind w:left="554" w:leftChars="114" w:hanging="315" w:hangingChars="150"/>
        <w:rPr>
          <w:rFonts w:hint="eastAsia" w:ascii="宋体" w:hAnsi="宋体"/>
          <w:szCs w:val="21"/>
        </w:rPr>
      </w:pPr>
      <w:r>
        <w:rPr>
          <w:rFonts w:hint="eastAsia" w:ascii="宋体" w:hAnsi="宋体"/>
          <w:szCs w:val="21"/>
        </w:rPr>
        <w:t>3）货物验收后，中标供应商应协助采购人建立和健全维修保养制度，制订安全防范措施。</w:t>
      </w:r>
    </w:p>
    <w:p>
      <w:pPr>
        <w:tabs>
          <w:tab w:val="left" w:pos="540"/>
        </w:tabs>
        <w:spacing w:line="360" w:lineRule="exact"/>
        <w:rPr>
          <w:rFonts w:hint="eastAsia" w:ascii="宋体" w:hAnsi="宋体"/>
          <w:b/>
          <w:bCs/>
          <w:szCs w:val="21"/>
        </w:rPr>
      </w:pPr>
      <w:r>
        <w:rPr>
          <w:rFonts w:hint="eastAsia" w:ascii="宋体" w:hAnsi="宋体"/>
          <w:b/>
          <w:bCs/>
          <w:szCs w:val="21"/>
        </w:rPr>
        <w:t>16． 付款方式与结算</w:t>
      </w:r>
    </w:p>
    <w:p>
      <w:pPr>
        <w:spacing w:line="360" w:lineRule="exact"/>
        <w:ind w:firstLine="211" w:firstLineChars="100"/>
        <w:rPr>
          <w:rFonts w:hint="eastAsia" w:ascii="宋体" w:hAnsi="宋体"/>
          <w:b/>
          <w:bCs/>
          <w:color w:val="FF0000"/>
          <w:szCs w:val="21"/>
          <w:lang w:eastAsia="zh-CN"/>
        </w:rPr>
      </w:pPr>
      <w:r>
        <w:rPr>
          <w:rFonts w:hint="eastAsia" w:ascii="宋体" w:hAnsi="宋体"/>
          <w:b/>
          <w:bCs/>
          <w:color w:val="FF0000"/>
          <w:szCs w:val="21"/>
          <w:lang w:val="en-US" w:eastAsia="zh-CN"/>
        </w:rPr>
        <w:t>1）</w:t>
      </w:r>
      <w:r>
        <w:rPr>
          <w:rFonts w:hint="eastAsia" w:ascii="宋体" w:hAnsi="宋体"/>
          <w:b/>
          <w:bCs/>
          <w:color w:val="FF0000"/>
          <w:szCs w:val="21"/>
        </w:rPr>
        <w:t>中标供应商应</w:t>
      </w:r>
      <w:r>
        <w:rPr>
          <w:rFonts w:hint="eastAsia" w:ascii="新宋体" w:hAnsi="新宋体" w:eastAsia="新宋体"/>
          <w:b/>
          <w:bCs/>
          <w:color w:val="FF0000"/>
          <w:szCs w:val="21"/>
        </w:rPr>
        <w:t>提交合同总价</w:t>
      </w:r>
      <w:r>
        <w:rPr>
          <w:rFonts w:hint="eastAsia" w:ascii="新宋体" w:hAnsi="新宋体" w:eastAsia="新宋体"/>
          <w:b/>
          <w:bCs/>
          <w:color w:val="FF0000"/>
          <w:szCs w:val="21"/>
          <w:u w:val="single"/>
        </w:rPr>
        <w:t>5%</w:t>
      </w:r>
      <w:r>
        <w:rPr>
          <w:rFonts w:hint="eastAsia" w:ascii="新宋体" w:hAnsi="新宋体" w:eastAsia="新宋体"/>
          <w:b/>
          <w:bCs/>
          <w:color w:val="FF0000"/>
          <w:szCs w:val="21"/>
        </w:rPr>
        <w:t>的</w:t>
      </w:r>
      <w:r>
        <w:rPr>
          <w:rFonts w:hint="eastAsia" w:ascii="宋体" w:hAnsi="宋体"/>
          <w:b/>
          <w:bCs/>
          <w:color w:val="FF0000"/>
          <w:szCs w:val="21"/>
        </w:rPr>
        <w:t>履约保证金，采用现金或</w:t>
      </w:r>
      <w:r>
        <w:rPr>
          <w:rFonts w:hint="eastAsia" w:ascii="宋体" w:hAnsi="宋体"/>
          <w:b/>
          <w:bCs/>
          <w:color w:val="FF0000"/>
          <w:szCs w:val="21"/>
          <w:lang w:val="en-US" w:eastAsia="zh-CN"/>
        </w:rPr>
        <w:t>银行保函</w:t>
      </w:r>
      <w:r>
        <w:rPr>
          <w:rFonts w:hint="eastAsia" w:ascii="宋体" w:hAnsi="宋体"/>
          <w:b/>
          <w:bCs/>
          <w:color w:val="FF0000"/>
          <w:szCs w:val="21"/>
        </w:rPr>
        <w:t>的形式予以提供</w:t>
      </w:r>
      <w:r>
        <w:rPr>
          <w:rFonts w:hint="eastAsia" w:ascii="宋体" w:hAnsi="宋体"/>
          <w:b/>
          <w:bCs/>
          <w:color w:val="FF0000"/>
          <w:szCs w:val="21"/>
          <w:lang w:eastAsia="zh-CN"/>
        </w:rPr>
        <w:t>。</w:t>
      </w:r>
    </w:p>
    <w:p>
      <w:pPr>
        <w:spacing w:line="360" w:lineRule="exact"/>
        <w:ind w:firstLine="211" w:firstLineChars="100"/>
        <w:rPr>
          <w:rFonts w:hint="eastAsia" w:ascii="宋体" w:hAnsi="宋体"/>
          <w:b/>
          <w:bCs/>
          <w:color w:val="FF0000"/>
          <w:szCs w:val="21"/>
        </w:rPr>
      </w:pPr>
      <w:r>
        <w:rPr>
          <w:rFonts w:hint="eastAsia" w:ascii="宋体" w:hAnsi="宋体"/>
          <w:b/>
          <w:bCs/>
          <w:color w:val="FF0000"/>
          <w:szCs w:val="21"/>
          <w:lang w:val="en-US" w:eastAsia="zh-CN"/>
        </w:rPr>
        <w:t>2）</w:t>
      </w:r>
      <w:r>
        <w:rPr>
          <w:rFonts w:hint="eastAsia" w:ascii="宋体" w:hAnsi="宋体"/>
          <w:b/>
          <w:bCs/>
          <w:color w:val="FF0000"/>
          <w:szCs w:val="21"/>
        </w:rPr>
        <w:t>本次设备采购采用分期付款的方式，1）签订合同后五个工作日内支付合同价30%的预付款，设备供应至采购人指定地点后，七日内支付到合同金额的50%；2）设备安装后并验收合格后十五个工作日内支付到合同金额的80%，采购人向中标供应商退还履约保证金；3）质保期间半年后的七日内支付合同金额额的10%（中标供应商必须开具合同金额100%的正式税务发票）；5）剩余的10%</w:t>
      </w:r>
      <w:r>
        <w:rPr>
          <w:rFonts w:hint="eastAsia" w:ascii="宋体" w:hAnsi="宋体"/>
          <w:b/>
          <w:bCs/>
          <w:color w:val="FF0000"/>
          <w:szCs w:val="21"/>
          <w:lang w:val="en-US" w:eastAsia="zh-CN"/>
        </w:rPr>
        <w:t>在</w:t>
      </w:r>
      <w:r>
        <w:rPr>
          <w:rFonts w:hint="eastAsia" w:ascii="宋体" w:hAnsi="宋体"/>
          <w:b/>
          <w:bCs/>
          <w:color w:val="FF0000"/>
          <w:szCs w:val="21"/>
        </w:rPr>
        <w:t>质保期满后无质量问题五个工作日内一次付清。</w:t>
      </w:r>
    </w:p>
    <w:p>
      <w:pPr>
        <w:spacing w:line="360" w:lineRule="exact"/>
        <w:rPr>
          <w:rFonts w:hint="eastAsia" w:ascii="宋体" w:hAnsi="宋体"/>
          <w:szCs w:val="21"/>
        </w:rPr>
      </w:pPr>
      <w:r>
        <w:rPr>
          <w:rFonts w:hint="eastAsia" w:ascii="宋体" w:hAnsi="宋体"/>
          <w:b/>
          <w:bCs/>
          <w:szCs w:val="21"/>
        </w:rPr>
        <w:t>17． 违约责任</w:t>
      </w:r>
    </w:p>
    <w:p>
      <w:pPr>
        <w:spacing w:line="360" w:lineRule="exact"/>
        <w:rPr>
          <w:rFonts w:hint="eastAsia" w:ascii="宋体" w:hAnsi="宋体"/>
          <w:szCs w:val="21"/>
        </w:rPr>
      </w:pPr>
      <w:r>
        <w:rPr>
          <w:rFonts w:hint="eastAsia" w:ascii="宋体" w:hAnsi="宋体"/>
          <w:szCs w:val="21"/>
        </w:rPr>
        <w:t>17.1 货物的质量责任</w:t>
      </w:r>
    </w:p>
    <w:p>
      <w:pPr>
        <w:spacing w:line="360" w:lineRule="exact"/>
        <w:ind w:left="525" w:hanging="525" w:hangingChars="250"/>
        <w:rPr>
          <w:rFonts w:hint="eastAsia" w:ascii="宋体" w:hAnsi="宋体"/>
          <w:szCs w:val="21"/>
        </w:rPr>
      </w:pPr>
      <w:r>
        <w:rPr>
          <w:rFonts w:hint="eastAsia" w:ascii="宋体" w:hAnsi="宋体"/>
          <w:szCs w:val="21"/>
        </w:rPr>
        <w:t>（1）在质量保证期内，凡货物在开箱检验、安装调试、试运转过程中出现的质量问题，由中标供应商负责处理，实行包修、包换、包退，直至产品符合质量要求。中标供应商承担因修理、调换、退货发生的一切费用和因此而造成的一切直接经济损失。</w:t>
      </w:r>
    </w:p>
    <w:p>
      <w:pPr>
        <w:spacing w:line="360" w:lineRule="exact"/>
        <w:ind w:left="546" w:leftChars="10" w:hanging="525" w:hangingChars="250"/>
        <w:rPr>
          <w:rFonts w:hint="eastAsia" w:ascii="宋体" w:hAnsi="宋体"/>
          <w:szCs w:val="21"/>
        </w:rPr>
      </w:pPr>
      <w:r>
        <w:rPr>
          <w:rFonts w:hint="eastAsia" w:ascii="宋体" w:hAnsi="宋体"/>
          <w:szCs w:val="21"/>
        </w:rPr>
        <w:t>（2）中标供应商在接到采购人通知后，应迅速作出反应，</w:t>
      </w:r>
      <w:r>
        <w:rPr>
          <w:rFonts w:hint="eastAsia" w:ascii="宋体" w:hAnsi="宋体"/>
          <w:szCs w:val="21"/>
          <w:lang w:val="en-US" w:eastAsia="zh-CN"/>
        </w:rPr>
        <w:t>龙港市、</w:t>
      </w:r>
      <w:r>
        <w:rPr>
          <w:rFonts w:hint="eastAsia" w:ascii="宋体" w:hAnsi="宋体"/>
          <w:szCs w:val="21"/>
        </w:rPr>
        <w:t>苍南县及附近地区4小时内、其它地区8小时内派人到达现场处理问题，免费维修或更换有缺陷的货物或部件，直至用户满意为止。</w:t>
      </w:r>
    </w:p>
    <w:p>
      <w:pPr>
        <w:spacing w:line="360" w:lineRule="exact"/>
        <w:ind w:left="546" w:leftChars="10" w:hanging="525" w:hangingChars="250"/>
        <w:rPr>
          <w:rFonts w:hint="eastAsia" w:ascii="宋体" w:hAnsi="宋体"/>
          <w:szCs w:val="21"/>
        </w:rPr>
      </w:pPr>
      <w:r>
        <w:rPr>
          <w:rFonts w:hint="eastAsia" w:ascii="宋体" w:hAnsi="宋体"/>
          <w:szCs w:val="21"/>
        </w:rPr>
        <w:t>（3）由于采购人保管不善或使用不当造成货物短缺、故障或损坏，由买方负责。但中标供应商保证及时给予补齐或修复。</w:t>
      </w:r>
    </w:p>
    <w:p>
      <w:pPr>
        <w:spacing w:line="360" w:lineRule="exact"/>
        <w:rPr>
          <w:rFonts w:hint="eastAsia" w:ascii="宋体" w:hAnsi="宋体"/>
          <w:szCs w:val="21"/>
        </w:rPr>
      </w:pPr>
      <w:r>
        <w:rPr>
          <w:rFonts w:hint="eastAsia" w:ascii="宋体" w:hAnsi="宋体"/>
          <w:szCs w:val="21"/>
        </w:rPr>
        <w:t>17.2  违约赔偿</w:t>
      </w:r>
    </w:p>
    <w:p>
      <w:pPr>
        <w:spacing w:line="360" w:lineRule="exact"/>
        <w:ind w:left="640" w:leftChars="305"/>
        <w:rPr>
          <w:rFonts w:hint="eastAsia" w:ascii="宋体" w:hAnsi="宋体"/>
          <w:szCs w:val="21"/>
        </w:rPr>
      </w:pPr>
      <w:r>
        <w:rPr>
          <w:rFonts w:hint="eastAsia" w:ascii="宋体" w:hAnsi="宋体"/>
          <w:szCs w:val="21"/>
        </w:rPr>
        <w:t>除不可抗力（指战争、严重火灾、水灾、破坏性台风和地震）外，如中标供应商发生不能按期</w:t>
      </w:r>
      <w:r>
        <w:rPr>
          <w:rFonts w:hint="eastAsia" w:ascii="宋体" w:hAnsi="宋体"/>
          <w:szCs w:val="21"/>
          <w:lang w:val="en-US" w:eastAsia="zh-CN"/>
        </w:rPr>
        <w:t>完工</w:t>
      </w:r>
      <w:r>
        <w:rPr>
          <w:rFonts w:hint="eastAsia" w:ascii="宋体" w:hAnsi="宋体"/>
          <w:szCs w:val="21"/>
        </w:rPr>
        <w:t>或提供服务，采购人发生中途退货等情况，应及时以书面形式通知对方。双方应本着友好的态度进行协商，如协商无效，按下列规定处以罚金：</w:t>
      </w:r>
    </w:p>
    <w:p>
      <w:pPr>
        <w:spacing w:line="360" w:lineRule="exact"/>
        <w:rPr>
          <w:rFonts w:hint="eastAsia" w:ascii="宋体" w:hAnsi="宋体" w:eastAsia="宋体"/>
          <w:color w:val="FF0000"/>
          <w:szCs w:val="21"/>
          <w:lang w:eastAsia="zh-CN"/>
        </w:rPr>
      </w:pPr>
      <w:r>
        <w:rPr>
          <w:rFonts w:hint="eastAsia" w:ascii="宋体" w:hAnsi="宋体"/>
          <w:color w:val="FF0000"/>
          <w:szCs w:val="21"/>
        </w:rPr>
        <w:t>（1） 逾期</w:t>
      </w:r>
      <w:r>
        <w:rPr>
          <w:rFonts w:hint="eastAsia" w:ascii="宋体" w:hAnsi="宋体"/>
          <w:color w:val="FF0000"/>
          <w:szCs w:val="21"/>
          <w:lang w:val="en-US" w:eastAsia="zh-CN"/>
        </w:rPr>
        <w:t>完工</w:t>
      </w:r>
    </w:p>
    <w:p>
      <w:pPr>
        <w:spacing w:line="360" w:lineRule="exact"/>
        <w:ind w:left="683" w:leftChars="325"/>
        <w:rPr>
          <w:rFonts w:hint="eastAsia" w:ascii="宋体" w:hAnsi="宋体"/>
          <w:color w:val="FF0000"/>
          <w:szCs w:val="21"/>
        </w:rPr>
      </w:pPr>
      <w:r>
        <w:rPr>
          <w:rFonts w:hint="eastAsia" w:ascii="宋体" w:hAnsi="宋体"/>
          <w:color w:val="FF0000"/>
          <w:szCs w:val="21"/>
        </w:rPr>
        <w:t>中标供应商逾期</w:t>
      </w:r>
      <w:r>
        <w:rPr>
          <w:rFonts w:hint="eastAsia" w:ascii="宋体" w:hAnsi="宋体"/>
          <w:color w:val="FF0000"/>
          <w:szCs w:val="21"/>
          <w:lang w:val="en-US" w:eastAsia="zh-CN"/>
        </w:rPr>
        <w:t>完工</w:t>
      </w:r>
      <w:r>
        <w:rPr>
          <w:rFonts w:hint="eastAsia" w:ascii="宋体" w:hAnsi="宋体"/>
          <w:color w:val="FF0000"/>
          <w:szCs w:val="21"/>
        </w:rPr>
        <w:t>，应向采购人偿付违约金，每逾一周违约罚款</w:t>
      </w:r>
      <w:r>
        <w:rPr>
          <w:rFonts w:hint="eastAsia" w:ascii="宋体" w:hAnsi="宋体"/>
          <w:color w:val="FF0000"/>
          <w:szCs w:val="21"/>
          <w:lang w:val="en-US" w:eastAsia="zh-CN"/>
        </w:rPr>
        <w:t>按合同总价</w:t>
      </w:r>
      <w:r>
        <w:rPr>
          <w:rFonts w:hint="eastAsia" w:ascii="宋体" w:hAnsi="宋体"/>
          <w:color w:val="FF0000"/>
          <w:szCs w:val="21"/>
        </w:rPr>
        <w:t>的0.5%计收，直至</w:t>
      </w:r>
      <w:r>
        <w:rPr>
          <w:rFonts w:hint="eastAsia" w:ascii="宋体" w:hAnsi="宋体"/>
          <w:color w:val="FF0000"/>
          <w:szCs w:val="21"/>
          <w:lang w:val="en-US" w:eastAsia="zh-CN"/>
        </w:rPr>
        <w:t>完工</w:t>
      </w:r>
      <w:r>
        <w:rPr>
          <w:rFonts w:hint="eastAsia" w:ascii="宋体" w:hAnsi="宋体"/>
          <w:color w:val="FF0000"/>
          <w:szCs w:val="21"/>
        </w:rPr>
        <w:t xml:space="preserve">为止。（一周按7天计算，不足一周按一周计算） </w:t>
      </w:r>
    </w:p>
    <w:p>
      <w:pPr>
        <w:spacing w:line="360" w:lineRule="exact"/>
        <w:rPr>
          <w:rFonts w:hint="eastAsia" w:ascii="宋体" w:hAnsi="宋体"/>
          <w:szCs w:val="21"/>
        </w:rPr>
      </w:pPr>
      <w:r>
        <w:rPr>
          <w:rFonts w:hint="eastAsia" w:ascii="宋体" w:hAnsi="宋体"/>
          <w:szCs w:val="21"/>
        </w:rPr>
        <w:t>（2） 采购人不能交货，或采购人中途退货</w:t>
      </w:r>
    </w:p>
    <w:p>
      <w:pPr>
        <w:spacing w:line="360" w:lineRule="exact"/>
        <w:ind w:left="622" w:leftChars="296" w:firstLine="63" w:firstLineChars="30"/>
        <w:rPr>
          <w:rFonts w:hint="eastAsia" w:ascii="宋体" w:hAnsi="宋体"/>
          <w:szCs w:val="21"/>
        </w:rPr>
      </w:pPr>
      <w:r>
        <w:rPr>
          <w:rFonts w:hint="eastAsia" w:ascii="宋体" w:hAnsi="宋体"/>
          <w:szCs w:val="21"/>
        </w:rPr>
        <w:t>中标供应商不能交货，应向采购人偿付违约金。违约金按合同总价的</w:t>
      </w:r>
      <w:r>
        <w:rPr>
          <w:rFonts w:hint="eastAsia" w:ascii="宋体" w:hAnsi="宋体"/>
          <w:b/>
          <w:bCs/>
          <w:szCs w:val="21"/>
        </w:rPr>
        <w:t>10%</w:t>
      </w:r>
      <w:r>
        <w:rPr>
          <w:rFonts w:hint="eastAsia" w:ascii="宋体" w:hAnsi="宋体"/>
          <w:szCs w:val="21"/>
        </w:rPr>
        <w:t>计算。</w:t>
      </w:r>
    </w:p>
    <w:p>
      <w:pPr>
        <w:spacing w:line="360" w:lineRule="exact"/>
        <w:ind w:left="622" w:leftChars="296" w:firstLine="63" w:firstLineChars="30"/>
        <w:rPr>
          <w:rFonts w:hint="eastAsia" w:ascii="宋体" w:hAnsi="宋体"/>
          <w:szCs w:val="21"/>
        </w:rPr>
      </w:pPr>
      <w:r>
        <w:rPr>
          <w:rFonts w:hint="eastAsia" w:ascii="宋体" w:hAnsi="宋体"/>
          <w:szCs w:val="21"/>
        </w:rPr>
        <w:t xml:space="preserve">采购人中途退货，应向中标供应商支付与上述相同的违约金。 </w:t>
      </w:r>
    </w:p>
    <w:p>
      <w:pPr>
        <w:spacing w:line="360" w:lineRule="exact"/>
        <w:ind w:left="630" w:leftChars="-100" w:hanging="840" w:hangingChars="400"/>
        <w:rPr>
          <w:rFonts w:hint="eastAsia" w:ascii="宋体" w:hAnsi="宋体"/>
          <w:szCs w:val="21"/>
        </w:rPr>
      </w:pPr>
      <w:r>
        <w:rPr>
          <w:rFonts w:hint="eastAsia" w:ascii="宋体" w:hAnsi="宋体"/>
          <w:szCs w:val="21"/>
        </w:rPr>
        <w:t xml:space="preserve">  （3） 逾期</w:t>
      </w:r>
      <w:r>
        <w:rPr>
          <w:rFonts w:hint="eastAsia" w:ascii="宋体" w:hAnsi="宋体"/>
          <w:szCs w:val="21"/>
          <w:lang w:val="en-US" w:eastAsia="zh-CN"/>
        </w:rPr>
        <w:t>完工</w:t>
      </w:r>
      <w:r>
        <w:rPr>
          <w:rFonts w:hint="eastAsia" w:ascii="宋体" w:hAnsi="宋体"/>
          <w:szCs w:val="21"/>
        </w:rPr>
        <w:t>的违约赔偿最高限额为货物合同总价的</w:t>
      </w:r>
      <w:r>
        <w:rPr>
          <w:rFonts w:hint="eastAsia" w:ascii="宋体" w:hAnsi="宋体"/>
          <w:b/>
          <w:bCs/>
          <w:szCs w:val="21"/>
        </w:rPr>
        <w:t>5%</w:t>
      </w:r>
      <w:r>
        <w:rPr>
          <w:rFonts w:hint="eastAsia" w:ascii="宋体" w:hAnsi="宋体"/>
          <w:szCs w:val="21"/>
        </w:rPr>
        <w:t>，如违约金达到最高限额时中标供应商仍不能</w:t>
      </w:r>
      <w:r>
        <w:rPr>
          <w:rFonts w:hint="eastAsia" w:ascii="宋体" w:hAnsi="宋体"/>
          <w:szCs w:val="21"/>
          <w:lang w:val="en-US" w:eastAsia="zh-CN"/>
        </w:rPr>
        <w:t>完工</w:t>
      </w:r>
      <w:r>
        <w:rPr>
          <w:rFonts w:hint="eastAsia" w:ascii="宋体" w:hAnsi="宋体"/>
          <w:szCs w:val="21"/>
        </w:rPr>
        <w:t>，采购人可考虑终止合同。</w:t>
      </w:r>
    </w:p>
    <w:p>
      <w:pPr>
        <w:spacing w:line="360" w:lineRule="exact"/>
        <w:ind w:left="525" w:leftChars="25" w:hanging="472" w:hangingChars="225"/>
        <w:rPr>
          <w:rFonts w:hint="eastAsia" w:ascii="宋体" w:hAnsi="宋体"/>
          <w:szCs w:val="21"/>
        </w:rPr>
      </w:pPr>
      <w:r>
        <w:rPr>
          <w:rFonts w:hint="eastAsia" w:ascii="宋体" w:hAnsi="宋体"/>
          <w:szCs w:val="21"/>
        </w:rPr>
        <w:t>（4） 经双方友好协商同意延期交货或经双方友好协商同意退货无须罚款者不在此例。</w:t>
      </w:r>
    </w:p>
    <w:p>
      <w:pPr>
        <w:spacing w:line="360" w:lineRule="exact"/>
        <w:rPr>
          <w:rFonts w:hint="eastAsia" w:ascii="宋体" w:hAnsi="宋体"/>
          <w:b/>
          <w:bCs/>
          <w:sz w:val="22"/>
          <w:szCs w:val="22"/>
        </w:rPr>
      </w:pPr>
      <w:r>
        <w:rPr>
          <w:rFonts w:hint="eastAsia" w:ascii="宋体" w:hAnsi="宋体"/>
          <w:b/>
          <w:szCs w:val="21"/>
        </w:rPr>
        <w:t>18.</w:t>
      </w:r>
      <w:r>
        <w:rPr>
          <w:rFonts w:hint="eastAsia" w:ascii="宋体" w:hAnsi="宋体"/>
          <w:b/>
          <w:bCs/>
          <w:sz w:val="22"/>
          <w:szCs w:val="22"/>
        </w:rPr>
        <w:t xml:space="preserve"> 违约终止合同</w:t>
      </w:r>
    </w:p>
    <w:p>
      <w:pPr>
        <w:spacing w:line="360" w:lineRule="exact"/>
        <w:ind w:left="491" w:leftChars="209" w:hanging="52" w:hangingChars="25"/>
        <w:rPr>
          <w:rFonts w:hint="eastAsia" w:ascii="宋体" w:hAnsi="宋体"/>
          <w:szCs w:val="21"/>
        </w:rPr>
      </w:pPr>
      <w:r>
        <w:rPr>
          <w:rFonts w:hint="eastAsia" w:ascii="宋体" w:hAnsi="宋体"/>
          <w:szCs w:val="21"/>
        </w:rPr>
        <w:t>采购人在中标投标人违约的情况下，如发生下列情况之一，可考虑终止部分或全部合同：</w:t>
      </w:r>
    </w:p>
    <w:p>
      <w:pPr>
        <w:spacing w:line="360" w:lineRule="exact"/>
        <w:ind w:left="491" w:leftChars="9" w:hanging="472" w:hangingChars="225"/>
        <w:rPr>
          <w:rFonts w:hint="eastAsia" w:ascii="宋体" w:hAnsi="宋体"/>
          <w:szCs w:val="21"/>
        </w:rPr>
      </w:pPr>
      <w:r>
        <w:rPr>
          <w:rFonts w:hint="eastAsia" w:ascii="宋体" w:hAnsi="宋体"/>
          <w:szCs w:val="21"/>
        </w:rPr>
        <w:t>18.1 中标投标人未能在合同规定的期限内或采购人同意延长的期限内提供全部或部分货物；</w:t>
      </w:r>
    </w:p>
    <w:p>
      <w:pPr>
        <w:spacing w:line="360" w:lineRule="exact"/>
        <w:ind w:left="491" w:leftChars="9" w:hanging="472" w:hangingChars="225"/>
        <w:rPr>
          <w:rFonts w:hint="eastAsia" w:ascii="宋体" w:hAnsi="宋体"/>
          <w:szCs w:val="21"/>
        </w:rPr>
      </w:pPr>
      <w:r>
        <w:rPr>
          <w:rFonts w:hint="eastAsia" w:ascii="宋体" w:hAnsi="宋体"/>
          <w:szCs w:val="21"/>
        </w:rPr>
        <w:t>18.2中标投标人未能履行合同规定的任何其他义务。中标投标人在收到采购人发出的违约通知后30天内，或经采购人书面认可延长的时间内未能纠正其过失。采购人可向中标投标人发出书面通知，终止部分或合同全部，通知到达中标投标人时合同即行解除。在这种情况下，并不影响采购人向中标投标人提出的索赔。</w:t>
      </w:r>
    </w:p>
    <w:p>
      <w:pPr>
        <w:spacing w:line="360" w:lineRule="exact"/>
        <w:rPr>
          <w:rFonts w:hint="eastAsia" w:ascii="宋体" w:hAnsi="宋体"/>
          <w:b/>
          <w:szCs w:val="21"/>
        </w:rPr>
      </w:pPr>
      <w:r>
        <w:rPr>
          <w:rFonts w:hint="eastAsia" w:ascii="宋体" w:hAnsi="宋体"/>
          <w:b/>
          <w:szCs w:val="21"/>
        </w:rPr>
        <w:t>19．  税费</w:t>
      </w:r>
    </w:p>
    <w:p>
      <w:pPr>
        <w:spacing w:line="360" w:lineRule="exact"/>
        <w:ind w:left="491" w:leftChars="9" w:hanging="472" w:hangingChars="225"/>
        <w:rPr>
          <w:rFonts w:hint="eastAsia" w:ascii="宋体" w:hAnsi="宋体"/>
          <w:szCs w:val="21"/>
        </w:rPr>
      </w:pPr>
      <w:r>
        <w:rPr>
          <w:rFonts w:hint="eastAsia" w:ascii="宋体" w:hAnsi="宋体"/>
          <w:szCs w:val="21"/>
        </w:rPr>
        <w:t>19.1  根据国家现行税法对卖方征收的与本合同有关的一切税费均由卖方负担。</w:t>
      </w:r>
    </w:p>
    <w:p>
      <w:pPr>
        <w:spacing w:line="360" w:lineRule="exact"/>
        <w:ind w:left="491" w:leftChars="9" w:hanging="472" w:hangingChars="225"/>
        <w:rPr>
          <w:rFonts w:hint="eastAsia" w:ascii="宋体" w:hAnsi="宋体"/>
          <w:szCs w:val="21"/>
        </w:rPr>
      </w:pPr>
      <w:r>
        <w:rPr>
          <w:rFonts w:hint="eastAsia" w:ascii="宋体" w:hAnsi="宋体"/>
          <w:szCs w:val="21"/>
        </w:rPr>
        <w:t>19.2  根据国家现行税法对买方征收的与本合同有关的一切税费均由买方负担。</w:t>
      </w:r>
    </w:p>
    <w:p>
      <w:pPr>
        <w:spacing w:line="360" w:lineRule="exact"/>
        <w:rPr>
          <w:rFonts w:hint="eastAsia" w:ascii="宋体" w:hAnsi="宋体"/>
          <w:szCs w:val="21"/>
        </w:rPr>
      </w:pPr>
      <w:r>
        <w:rPr>
          <w:rFonts w:hint="eastAsia" w:ascii="宋体" w:hAnsi="宋体"/>
          <w:szCs w:val="21"/>
        </w:rPr>
        <w:t>19.3  在中国境外发生的与本合同执行有关的一切税费均由卖方负担。</w:t>
      </w:r>
    </w:p>
    <w:p>
      <w:pPr>
        <w:spacing w:line="360" w:lineRule="exact"/>
        <w:rPr>
          <w:rFonts w:hint="eastAsia" w:ascii="宋体" w:hAnsi="宋体"/>
          <w:b/>
          <w:bCs/>
          <w:szCs w:val="21"/>
        </w:rPr>
      </w:pPr>
      <w:r>
        <w:rPr>
          <w:rFonts w:hint="eastAsia" w:ascii="宋体" w:hAnsi="宋体"/>
          <w:b/>
          <w:bCs/>
          <w:szCs w:val="21"/>
        </w:rPr>
        <w:t>20．  履约保证金的罚没</w:t>
      </w:r>
    </w:p>
    <w:p>
      <w:pPr>
        <w:spacing w:line="360" w:lineRule="exact"/>
        <w:ind w:left="514" w:hanging="514" w:hangingChars="245"/>
        <w:rPr>
          <w:rFonts w:hint="eastAsia" w:ascii="宋体" w:hAnsi="宋体"/>
          <w:szCs w:val="21"/>
        </w:rPr>
      </w:pPr>
      <w:r>
        <w:rPr>
          <w:rFonts w:hint="eastAsia" w:ascii="宋体" w:hAnsi="宋体"/>
          <w:szCs w:val="21"/>
        </w:rPr>
        <w:t>20.1  如中标供应商未能履行合同规定的任何义务，采购人有权从履约保证金中得到补偿。</w:t>
      </w:r>
    </w:p>
    <w:p>
      <w:pPr>
        <w:spacing w:line="360" w:lineRule="exact"/>
        <w:ind w:left="630" w:hanging="630" w:hangingChars="300"/>
        <w:rPr>
          <w:rFonts w:hint="eastAsia" w:ascii="宋体" w:hAnsi="宋体"/>
          <w:szCs w:val="21"/>
        </w:rPr>
      </w:pPr>
      <w:r>
        <w:rPr>
          <w:rFonts w:hint="eastAsia" w:ascii="宋体" w:hAnsi="宋体"/>
          <w:szCs w:val="21"/>
        </w:rPr>
        <w:t>20.2  如果中标供应商毫无理由地拖延</w:t>
      </w:r>
      <w:r>
        <w:rPr>
          <w:rFonts w:hint="eastAsia" w:ascii="宋体" w:hAnsi="宋体"/>
          <w:szCs w:val="21"/>
          <w:lang w:val="en-US" w:eastAsia="zh-CN"/>
        </w:rPr>
        <w:t>完工</w:t>
      </w:r>
      <w:r>
        <w:rPr>
          <w:rFonts w:hint="eastAsia" w:ascii="宋体" w:hAnsi="宋体"/>
          <w:szCs w:val="21"/>
        </w:rPr>
        <w:t>或拒绝履行合同规定的任何义务，履约保证金将被没收，并加收赔偿金。</w:t>
      </w:r>
    </w:p>
    <w:p>
      <w:pPr>
        <w:spacing w:line="360" w:lineRule="exact"/>
        <w:ind w:left="630" w:hanging="630" w:hangingChars="300"/>
        <w:rPr>
          <w:rFonts w:hint="eastAsia" w:ascii="宋体" w:hAnsi="宋体"/>
          <w:szCs w:val="21"/>
        </w:rPr>
      </w:pPr>
      <w:r>
        <w:rPr>
          <w:rFonts w:hint="eastAsia" w:ascii="宋体" w:hAnsi="宋体"/>
          <w:szCs w:val="21"/>
        </w:rPr>
        <w:t>20.3  采购人提供的货物须和投标文件中所承诺的货物规格、数量、型号等相符（合同中另有规定除外）如不符，除追究中标供应商责任外，其履约保证金将被没收。</w:t>
      </w:r>
    </w:p>
    <w:p>
      <w:pPr>
        <w:spacing w:line="360" w:lineRule="exact"/>
        <w:ind w:left="632" w:hanging="632" w:hangingChars="300"/>
        <w:rPr>
          <w:rFonts w:hint="eastAsia" w:ascii="宋体" w:hAnsi="宋体"/>
          <w:szCs w:val="21"/>
        </w:rPr>
      </w:pPr>
      <w:r>
        <w:rPr>
          <w:rFonts w:hint="eastAsia" w:ascii="宋体" w:hAnsi="宋体"/>
          <w:b/>
          <w:bCs/>
          <w:szCs w:val="21"/>
        </w:rPr>
        <w:t>21</w:t>
      </w:r>
      <w:r>
        <w:rPr>
          <w:rFonts w:hint="eastAsia" w:ascii="宋体" w:hAnsi="宋体"/>
          <w:szCs w:val="21"/>
        </w:rPr>
        <w:t xml:space="preserve">、  </w:t>
      </w:r>
      <w:r>
        <w:rPr>
          <w:rFonts w:hint="eastAsia" w:ascii="宋体" w:hAnsi="宋体"/>
          <w:b/>
          <w:szCs w:val="21"/>
        </w:rPr>
        <w:t>转让和分包</w:t>
      </w:r>
    </w:p>
    <w:p>
      <w:pPr>
        <w:spacing w:line="360" w:lineRule="exact"/>
        <w:ind w:left="630" w:hanging="630" w:hangingChars="300"/>
        <w:rPr>
          <w:rFonts w:hint="eastAsia" w:ascii="宋体" w:hAnsi="宋体"/>
          <w:szCs w:val="21"/>
        </w:rPr>
      </w:pPr>
      <w:r>
        <w:rPr>
          <w:rFonts w:hint="eastAsia" w:ascii="宋体" w:hAnsi="宋体"/>
          <w:bCs/>
          <w:szCs w:val="21"/>
        </w:rPr>
        <w:t>21</w:t>
      </w:r>
      <w:r>
        <w:rPr>
          <w:rFonts w:hint="eastAsia" w:ascii="宋体" w:hAnsi="宋体"/>
          <w:szCs w:val="21"/>
        </w:rPr>
        <w:t>.1  未经采购人事先书面同意，中标供应商不得部分转让或分包或全部转让其应履行的合同义务。</w:t>
      </w:r>
    </w:p>
    <w:p>
      <w:pPr>
        <w:spacing w:line="360" w:lineRule="exact"/>
        <w:ind w:left="474" w:hanging="474" w:hangingChars="225"/>
        <w:rPr>
          <w:rFonts w:hint="eastAsia" w:ascii="宋体" w:hAnsi="宋体"/>
          <w:b/>
          <w:bCs/>
          <w:szCs w:val="21"/>
        </w:rPr>
      </w:pPr>
      <w:r>
        <w:rPr>
          <w:rFonts w:hint="eastAsia" w:ascii="宋体" w:hAnsi="宋体"/>
          <w:b/>
          <w:bCs/>
          <w:szCs w:val="21"/>
        </w:rPr>
        <w:t>22.   争端的解决</w:t>
      </w:r>
    </w:p>
    <w:p>
      <w:pPr>
        <w:spacing w:line="360" w:lineRule="exact"/>
        <w:ind w:left="630" w:hanging="630" w:hangingChars="300"/>
        <w:rPr>
          <w:rFonts w:hint="eastAsia" w:ascii="宋体" w:hAnsi="宋体"/>
          <w:szCs w:val="21"/>
        </w:rPr>
      </w:pPr>
      <w:r>
        <w:rPr>
          <w:rFonts w:hint="eastAsia" w:ascii="宋体" w:hAnsi="宋体"/>
          <w:szCs w:val="21"/>
        </w:rPr>
        <w:t>22.1  合同实施或与合同有关的一切争端，双方首先应通过友好协商解决，如果协商仍得不到解决，任何一方可向履行合同所在地或合同签约地申请仲裁（应先有约定）或诉讼。</w:t>
      </w:r>
    </w:p>
    <w:p>
      <w:pPr>
        <w:spacing w:line="360" w:lineRule="exact"/>
        <w:rPr>
          <w:rFonts w:hint="eastAsia" w:ascii="宋体" w:hAnsi="宋体"/>
          <w:szCs w:val="21"/>
        </w:rPr>
      </w:pPr>
      <w:r>
        <w:rPr>
          <w:rFonts w:hint="eastAsia" w:ascii="宋体" w:hAnsi="宋体"/>
          <w:szCs w:val="21"/>
        </w:rPr>
        <w:t>22.2  仲裁裁决应为最终裁决，对双方均有约束力。</w:t>
      </w:r>
    </w:p>
    <w:p>
      <w:pPr>
        <w:spacing w:line="360" w:lineRule="exact"/>
        <w:rPr>
          <w:rFonts w:hint="eastAsia" w:ascii="宋体" w:hAnsi="宋体"/>
          <w:szCs w:val="21"/>
        </w:rPr>
      </w:pPr>
      <w:r>
        <w:rPr>
          <w:rFonts w:hint="eastAsia" w:ascii="宋体" w:hAnsi="宋体"/>
          <w:szCs w:val="21"/>
        </w:rPr>
        <w:t>22.3  仲裁费用除仲裁机构另有裁决外应由败诉方承担。</w:t>
      </w:r>
    </w:p>
    <w:p>
      <w:pPr>
        <w:spacing w:line="360" w:lineRule="exact"/>
        <w:rPr>
          <w:rFonts w:hint="eastAsia" w:ascii="宋体" w:hAnsi="宋体"/>
          <w:szCs w:val="21"/>
        </w:rPr>
      </w:pPr>
      <w:r>
        <w:rPr>
          <w:rFonts w:hint="eastAsia" w:ascii="宋体" w:hAnsi="宋体"/>
          <w:szCs w:val="21"/>
        </w:rPr>
        <w:t>22.4  在仲裁期间，除正在执行仲裁部分外，本合同的其他部分应继续执行。</w:t>
      </w:r>
    </w:p>
    <w:p>
      <w:pPr>
        <w:spacing w:line="360" w:lineRule="exact"/>
        <w:rPr>
          <w:rFonts w:hint="eastAsia" w:ascii="宋体" w:hAnsi="宋体"/>
          <w:b/>
          <w:bCs/>
          <w:szCs w:val="21"/>
        </w:rPr>
      </w:pPr>
      <w:r>
        <w:rPr>
          <w:rFonts w:hint="eastAsia" w:ascii="宋体" w:hAnsi="宋体"/>
          <w:b/>
          <w:bCs/>
          <w:szCs w:val="21"/>
        </w:rPr>
        <w:t>23．  适用法律</w:t>
      </w:r>
    </w:p>
    <w:p>
      <w:pPr>
        <w:spacing w:line="360" w:lineRule="exact"/>
        <w:ind w:firstLine="621" w:firstLineChars="296"/>
        <w:rPr>
          <w:rFonts w:hint="eastAsia" w:ascii="宋体" w:hAnsi="宋体"/>
          <w:szCs w:val="21"/>
        </w:rPr>
      </w:pPr>
      <w:r>
        <w:rPr>
          <w:rFonts w:hint="eastAsia" w:ascii="宋体" w:hAnsi="宋体"/>
          <w:szCs w:val="21"/>
        </w:rPr>
        <w:t>本合同按照中华人民共和国的法律进行解释。</w:t>
      </w:r>
    </w:p>
    <w:p>
      <w:pPr>
        <w:spacing w:line="360" w:lineRule="exact"/>
        <w:rPr>
          <w:rFonts w:hint="eastAsia" w:ascii="宋体" w:hAnsi="宋体"/>
          <w:b/>
          <w:bCs/>
          <w:szCs w:val="21"/>
        </w:rPr>
      </w:pPr>
      <w:r>
        <w:rPr>
          <w:rFonts w:hint="eastAsia" w:ascii="宋体" w:hAnsi="宋体"/>
          <w:b/>
          <w:bCs/>
          <w:szCs w:val="21"/>
        </w:rPr>
        <w:t>24．  合同生效及其他</w:t>
      </w:r>
    </w:p>
    <w:p>
      <w:pPr>
        <w:spacing w:line="360" w:lineRule="exact"/>
        <w:rPr>
          <w:rFonts w:hint="eastAsia" w:ascii="宋体" w:hAnsi="宋体"/>
          <w:szCs w:val="21"/>
        </w:rPr>
      </w:pPr>
      <w:r>
        <w:rPr>
          <w:rFonts w:hint="eastAsia" w:ascii="宋体" w:hAnsi="宋体"/>
          <w:szCs w:val="21"/>
        </w:rPr>
        <w:t>24.1  合同应在双方签字盖章并在买方收到卖方提供的履约保证金后开始生效。</w:t>
      </w:r>
    </w:p>
    <w:p>
      <w:pPr>
        <w:spacing w:line="360" w:lineRule="exact"/>
        <w:rPr>
          <w:rFonts w:hint="eastAsia" w:ascii="宋体" w:hAnsi="宋体"/>
          <w:szCs w:val="21"/>
        </w:rPr>
      </w:pPr>
      <w:r>
        <w:rPr>
          <w:rFonts w:hint="eastAsia" w:ascii="宋体" w:hAnsi="宋体"/>
          <w:szCs w:val="21"/>
        </w:rPr>
        <w:t>24.2  本合同一式四份，双方各执一份，具有同等效力，另两份送县公共资源交易中心备案。</w:t>
      </w:r>
    </w:p>
    <w:p>
      <w:pPr>
        <w:spacing w:line="360" w:lineRule="exact"/>
        <w:rPr>
          <w:rFonts w:hint="eastAsia" w:ascii="宋体" w:hAnsi="宋体"/>
          <w:szCs w:val="21"/>
        </w:rPr>
      </w:pPr>
      <w:r>
        <w:rPr>
          <w:rFonts w:hint="eastAsia" w:ascii="宋体" w:hAnsi="宋体"/>
          <w:szCs w:val="21"/>
        </w:rPr>
        <w:t>24.3  如需修改或补充合同内容，经协商，双方应签署书面修改或补充协议，该协议将作为本合同的一个组成部分。</w:t>
      </w:r>
    </w:p>
    <w:p>
      <w:pPr>
        <w:pStyle w:val="3"/>
        <w:keepNext w:val="0"/>
        <w:keepLines w:val="0"/>
        <w:pageBreakBefore/>
        <w:spacing w:line="240" w:lineRule="auto"/>
        <w:ind w:firstLine="2570" w:firstLineChars="800"/>
        <w:rPr>
          <w:rFonts w:hint="eastAsia" w:ascii="新宋体" w:hAnsi="新宋体" w:eastAsia="新宋体"/>
          <w:sz w:val="32"/>
        </w:rPr>
      </w:pPr>
      <w:bookmarkStart w:id="90" w:name="_Toc3666758"/>
      <w:bookmarkStart w:id="91" w:name="_Toc90176543"/>
      <w:bookmarkStart w:id="92" w:name="_Toc503675623"/>
      <w:r>
        <w:rPr>
          <w:rFonts w:hint="eastAsia" w:ascii="新宋体" w:hAnsi="新宋体" w:eastAsia="新宋体"/>
          <w:sz w:val="32"/>
        </w:rPr>
        <w:t>第五</w:t>
      </w:r>
      <w:bookmarkStart w:id="93" w:name="_Toc3666757"/>
      <w:bookmarkStart w:id="94" w:name="_Toc3664628"/>
      <w:r>
        <w:rPr>
          <w:rFonts w:hint="eastAsia" w:ascii="新宋体" w:hAnsi="新宋体" w:eastAsia="新宋体"/>
          <w:sz w:val="32"/>
        </w:rPr>
        <w:t>章  投标文件格式</w:t>
      </w:r>
      <w:bookmarkEnd w:id="93"/>
      <w:bookmarkEnd w:id="94"/>
    </w:p>
    <w:p>
      <w:pPr>
        <w:snapToGrid w:val="0"/>
        <w:jc w:val="center"/>
        <w:rPr>
          <w:rFonts w:hint="eastAsia" w:ascii="新宋体" w:hAnsi="新宋体" w:eastAsia="新宋体"/>
          <w:b/>
          <w:bCs/>
          <w:sz w:val="28"/>
        </w:rPr>
      </w:pPr>
      <w:r>
        <w:rPr>
          <w:rFonts w:hint="eastAsia" w:ascii="新宋体" w:hAnsi="新宋体" w:eastAsia="新宋体"/>
          <w:b/>
          <w:bCs/>
          <w:sz w:val="28"/>
        </w:rPr>
        <w:t>投标人提交投标文件须知</w:t>
      </w:r>
    </w:p>
    <w:p>
      <w:pPr>
        <w:snapToGrid w:val="0"/>
        <w:rPr>
          <w:rFonts w:hint="eastAsia" w:ascii="新宋体" w:hAnsi="新宋体" w:eastAsia="新宋体"/>
          <w:szCs w:val="21"/>
        </w:rPr>
      </w:pPr>
    </w:p>
    <w:p>
      <w:pPr>
        <w:snapToGrid w:val="0"/>
        <w:rPr>
          <w:rFonts w:ascii="新宋体" w:hAnsi="新宋体" w:eastAsia="新宋体"/>
          <w:szCs w:val="21"/>
        </w:rPr>
      </w:pPr>
    </w:p>
    <w:p>
      <w:pPr>
        <w:snapToGrid w:val="0"/>
        <w:spacing w:line="480" w:lineRule="auto"/>
        <w:ind w:left="431" w:leftChars="48" w:hanging="330" w:hangingChars="150"/>
        <w:rPr>
          <w:rFonts w:hint="eastAsia" w:ascii="宋体" w:hAnsi="宋体"/>
          <w:szCs w:val="21"/>
        </w:rPr>
      </w:pPr>
      <w:r>
        <w:rPr>
          <w:rFonts w:hint="eastAsia" w:ascii="新宋体" w:hAnsi="新宋体" w:eastAsia="新宋体"/>
          <w:sz w:val="22"/>
          <w:szCs w:val="22"/>
        </w:rPr>
        <w:t>1、</w:t>
      </w:r>
      <w:r>
        <w:rPr>
          <w:rFonts w:ascii="宋体" w:hAnsi="宋体"/>
          <w:szCs w:val="21"/>
        </w:rPr>
        <w:t>投标</w:t>
      </w:r>
      <w:r>
        <w:rPr>
          <w:rFonts w:hint="eastAsia" w:ascii="宋体" w:hAnsi="宋体"/>
          <w:szCs w:val="21"/>
        </w:rPr>
        <w:t>人</w:t>
      </w:r>
      <w:r>
        <w:rPr>
          <w:rFonts w:ascii="宋体" w:hAnsi="宋体"/>
          <w:szCs w:val="21"/>
        </w:rPr>
        <w:t>应严格按照</w:t>
      </w:r>
      <w:r>
        <w:rPr>
          <w:rFonts w:hint="eastAsia" w:ascii="宋体" w:hAnsi="宋体"/>
          <w:szCs w:val="21"/>
        </w:rPr>
        <w:t>投标文件的组成</w:t>
      </w:r>
      <w:r>
        <w:rPr>
          <w:rFonts w:ascii="宋体" w:hAnsi="宋体"/>
          <w:szCs w:val="21"/>
        </w:rPr>
        <w:t>提交下述规定的全部格式文件以及其他有关资料，混乱的编排导致投标文件被误读或</w:t>
      </w:r>
      <w:r>
        <w:rPr>
          <w:rFonts w:hint="eastAsia" w:ascii="宋体" w:hAnsi="宋体"/>
          <w:szCs w:val="21"/>
        </w:rPr>
        <w:t>采购人</w:t>
      </w:r>
      <w:r>
        <w:rPr>
          <w:rFonts w:ascii="宋体" w:hAnsi="宋体"/>
          <w:szCs w:val="21"/>
        </w:rPr>
        <w:t>查找不到有效文件是投标</w:t>
      </w:r>
      <w:r>
        <w:rPr>
          <w:rFonts w:hint="eastAsia" w:ascii="宋体" w:hAnsi="宋体"/>
          <w:szCs w:val="21"/>
        </w:rPr>
        <w:t>人</w:t>
      </w:r>
      <w:r>
        <w:rPr>
          <w:rFonts w:ascii="宋体" w:hAnsi="宋体"/>
          <w:szCs w:val="21"/>
        </w:rPr>
        <w:t>的风险。</w:t>
      </w:r>
    </w:p>
    <w:p>
      <w:pPr>
        <w:snapToGrid w:val="0"/>
        <w:spacing w:line="480" w:lineRule="auto"/>
        <w:ind w:firstLine="96" w:firstLineChars="46"/>
        <w:rPr>
          <w:rFonts w:hint="eastAsia" w:ascii="宋体" w:hAnsi="宋体"/>
          <w:szCs w:val="21"/>
        </w:rPr>
      </w:pPr>
      <w:r>
        <w:rPr>
          <w:rFonts w:hint="eastAsia" w:ascii="宋体" w:hAnsi="宋体"/>
          <w:szCs w:val="21"/>
        </w:rPr>
        <w:t>2、</w:t>
      </w:r>
      <w:r>
        <w:rPr>
          <w:rFonts w:ascii="宋体" w:hAnsi="宋体"/>
          <w:szCs w:val="21"/>
        </w:rPr>
        <w:t>所附表格中要求回答的全部问题和/或信息都必须正面回答。</w:t>
      </w:r>
    </w:p>
    <w:p>
      <w:pPr>
        <w:snapToGrid w:val="0"/>
        <w:spacing w:line="480" w:lineRule="auto"/>
        <w:ind w:firstLine="96" w:firstLineChars="46"/>
        <w:rPr>
          <w:rFonts w:hint="eastAsia" w:ascii="宋体" w:hAnsi="宋体"/>
          <w:szCs w:val="21"/>
        </w:rPr>
      </w:pPr>
      <w:r>
        <w:rPr>
          <w:rFonts w:hint="eastAsia" w:ascii="宋体" w:hAnsi="宋体"/>
          <w:szCs w:val="21"/>
        </w:rPr>
        <w:t>3、</w:t>
      </w:r>
      <w:r>
        <w:rPr>
          <w:rFonts w:ascii="宋体" w:hAnsi="宋体"/>
          <w:szCs w:val="21"/>
        </w:rPr>
        <w:t>本资格声明的签字人应保证全部声明和问题的回答是真实的和准确的。</w:t>
      </w:r>
    </w:p>
    <w:p>
      <w:pPr>
        <w:snapToGrid w:val="0"/>
        <w:spacing w:line="480" w:lineRule="auto"/>
        <w:ind w:left="416" w:leftChars="48" w:hanging="315" w:hangingChars="150"/>
        <w:rPr>
          <w:rFonts w:hint="eastAsia" w:ascii="宋体" w:hAnsi="宋体"/>
          <w:szCs w:val="21"/>
        </w:rPr>
      </w:pPr>
      <w:r>
        <w:rPr>
          <w:rFonts w:hint="eastAsia" w:ascii="宋体" w:hAnsi="宋体"/>
          <w:szCs w:val="21"/>
        </w:rPr>
        <w:t>4、采购人</w:t>
      </w:r>
      <w:r>
        <w:rPr>
          <w:rFonts w:ascii="宋体" w:hAnsi="宋体"/>
          <w:szCs w:val="21"/>
        </w:rPr>
        <w:t>将应用投标</w:t>
      </w:r>
      <w:r>
        <w:rPr>
          <w:rFonts w:hint="eastAsia" w:ascii="宋体" w:hAnsi="宋体"/>
          <w:szCs w:val="21"/>
        </w:rPr>
        <w:t>人</w:t>
      </w:r>
      <w:r>
        <w:rPr>
          <w:rFonts w:ascii="宋体" w:hAnsi="宋体"/>
          <w:szCs w:val="21"/>
        </w:rPr>
        <w:t>提交的资料根据自己的判断和考虑决定投标</w:t>
      </w:r>
      <w:r>
        <w:rPr>
          <w:rFonts w:hint="eastAsia" w:ascii="宋体" w:hAnsi="宋体"/>
          <w:szCs w:val="21"/>
        </w:rPr>
        <w:t>人</w:t>
      </w:r>
      <w:r>
        <w:rPr>
          <w:rFonts w:ascii="宋体" w:hAnsi="宋体"/>
          <w:szCs w:val="21"/>
        </w:rPr>
        <w:t>履行合同的合格性及能力。</w:t>
      </w:r>
    </w:p>
    <w:p>
      <w:pPr>
        <w:snapToGrid w:val="0"/>
        <w:spacing w:line="480" w:lineRule="auto"/>
        <w:ind w:firstLine="96" w:firstLineChars="46"/>
        <w:rPr>
          <w:rFonts w:hint="eastAsia" w:ascii="宋体" w:hAnsi="宋体"/>
          <w:szCs w:val="21"/>
        </w:rPr>
      </w:pPr>
      <w:r>
        <w:rPr>
          <w:rFonts w:hint="eastAsia" w:ascii="宋体" w:hAnsi="宋体"/>
          <w:szCs w:val="21"/>
        </w:rPr>
        <w:t>5、</w:t>
      </w:r>
      <w:r>
        <w:rPr>
          <w:rFonts w:ascii="宋体" w:hAnsi="宋体"/>
          <w:szCs w:val="21"/>
        </w:rPr>
        <w:t>投标</w:t>
      </w:r>
      <w:r>
        <w:rPr>
          <w:rFonts w:hint="eastAsia" w:ascii="宋体" w:hAnsi="宋体"/>
          <w:szCs w:val="21"/>
        </w:rPr>
        <w:t>人</w:t>
      </w:r>
      <w:r>
        <w:rPr>
          <w:rFonts w:ascii="宋体" w:hAnsi="宋体"/>
          <w:szCs w:val="21"/>
        </w:rPr>
        <w:t>提交的材料将被保密保存，但不退还。</w:t>
      </w:r>
    </w:p>
    <w:p>
      <w:pPr>
        <w:snapToGrid w:val="0"/>
        <w:spacing w:line="480" w:lineRule="auto"/>
        <w:ind w:firstLine="96" w:firstLineChars="46"/>
        <w:rPr>
          <w:rFonts w:hint="eastAsia" w:ascii="宋体" w:hAnsi="宋体"/>
          <w:szCs w:val="21"/>
        </w:rPr>
      </w:pPr>
      <w:r>
        <w:rPr>
          <w:rFonts w:hint="eastAsia" w:ascii="宋体" w:hAnsi="宋体"/>
          <w:szCs w:val="21"/>
        </w:rPr>
        <w:t>6、</w:t>
      </w:r>
      <w:r>
        <w:rPr>
          <w:rFonts w:ascii="宋体" w:hAnsi="宋体"/>
          <w:szCs w:val="21"/>
        </w:rPr>
        <w:t>全部文件应按投标</w:t>
      </w:r>
      <w:r>
        <w:rPr>
          <w:rFonts w:hint="eastAsia" w:ascii="宋体" w:hAnsi="宋体"/>
          <w:szCs w:val="21"/>
        </w:rPr>
        <w:t>人</w:t>
      </w:r>
      <w:r>
        <w:rPr>
          <w:rFonts w:ascii="宋体" w:hAnsi="宋体"/>
          <w:szCs w:val="21"/>
        </w:rPr>
        <w:t>须知中规定的语言和份数提交</w:t>
      </w:r>
      <w:r>
        <w:rPr>
          <w:rFonts w:hint="eastAsia" w:ascii="宋体" w:hAnsi="宋体"/>
          <w:szCs w:val="21"/>
        </w:rPr>
        <w:t>。</w:t>
      </w:r>
    </w:p>
    <w:p>
      <w:pPr>
        <w:pStyle w:val="5"/>
        <w:tabs>
          <w:tab w:val="left" w:pos="3600"/>
        </w:tabs>
        <w:spacing w:before="0" w:after="120" w:line="700" w:lineRule="exact"/>
        <w:rPr>
          <w:rFonts w:hint="eastAsia" w:ascii="宋体" w:hAnsi="宋体" w:cs="宋体"/>
        </w:rPr>
      </w:pPr>
      <w:bookmarkStart w:id="95" w:name="_Toc3666766"/>
      <w:bookmarkStart w:id="96" w:name="_Toc503675634"/>
      <w:r>
        <w:rPr>
          <w:rFonts w:hint="eastAsia" w:ascii="宋体" w:hAnsi="宋体" w:cs="宋体"/>
        </w:rPr>
        <w:br w:type="page"/>
      </w:r>
      <w:r>
        <w:rPr>
          <w:rFonts w:hint="eastAsia" w:ascii="宋体" w:hAnsi="宋体" w:cs="宋体"/>
        </w:rPr>
        <w:t>商务部分</w:t>
      </w:r>
    </w:p>
    <w:p>
      <w:pPr>
        <w:adjustRightInd w:val="0"/>
        <w:snapToGrid w:val="0"/>
        <w:spacing w:line="460" w:lineRule="atLeast"/>
        <w:ind w:left="360" w:hanging="360" w:hangingChars="100"/>
        <w:rPr>
          <w:rFonts w:hint="eastAsia" w:ascii="宋体" w:hAnsi="宋体" w:cs="宋体"/>
          <w:spacing w:val="20"/>
          <w:sz w:val="32"/>
          <w:szCs w:val="32"/>
        </w:rPr>
      </w:pPr>
      <w:r>
        <w:rPr>
          <w:rFonts w:hint="eastAsia" w:ascii="宋体" w:hAnsi="宋体" w:cs="宋体"/>
          <w:spacing w:val="20"/>
          <w:sz w:val="32"/>
          <w:szCs w:val="32"/>
        </w:rPr>
        <w:t>（密封封面格式）（仅供参考）</w:t>
      </w:r>
    </w:p>
    <w:p>
      <w:pPr>
        <w:adjustRightInd w:val="0"/>
        <w:snapToGrid w:val="0"/>
        <w:spacing w:line="460" w:lineRule="atLeast"/>
        <w:ind w:left="360" w:hanging="360" w:hangingChars="100"/>
        <w:rPr>
          <w:rFonts w:hint="eastAsia" w:ascii="宋体" w:hAnsi="宋体" w:cs="宋体"/>
          <w:spacing w:val="20"/>
          <w:sz w:val="32"/>
          <w:szCs w:val="32"/>
        </w:rPr>
      </w:pPr>
    </w:p>
    <w:p>
      <w:pPr>
        <w:adjustRightInd w:val="0"/>
        <w:snapToGrid w:val="0"/>
        <w:spacing w:line="460" w:lineRule="atLeast"/>
        <w:rPr>
          <w:rFonts w:hint="eastAsia" w:ascii="宋体" w:hAnsi="宋体" w:cs="宋体"/>
          <w:spacing w:val="20"/>
          <w:sz w:val="36"/>
          <w:szCs w:val="36"/>
        </w:rPr>
      </w:pPr>
    </w:p>
    <w:p>
      <w:pPr>
        <w:spacing w:line="360" w:lineRule="auto"/>
        <w:jc w:val="center"/>
        <w:rPr>
          <w:rFonts w:hint="eastAsia" w:ascii="宋体" w:hAnsi="宋体" w:cs="宋体"/>
          <w:sz w:val="96"/>
          <w:szCs w:val="22"/>
        </w:rPr>
      </w:pPr>
      <w:r>
        <w:rPr>
          <w:rFonts w:hint="eastAsia" w:ascii="宋体" w:hAnsi="宋体" w:cs="宋体"/>
          <w:sz w:val="96"/>
          <w:szCs w:val="22"/>
        </w:rPr>
        <w:t>商务报价投标文件</w:t>
      </w:r>
    </w:p>
    <w:p>
      <w:pPr>
        <w:spacing w:line="360" w:lineRule="auto"/>
        <w:jc w:val="center"/>
        <w:rPr>
          <w:rFonts w:hint="eastAsia" w:ascii="宋体" w:hAnsi="宋体" w:cs="宋体"/>
          <w:sz w:val="44"/>
          <w:szCs w:val="44"/>
        </w:rPr>
      </w:pPr>
      <w:r>
        <w:rPr>
          <w:rFonts w:hint="eastAsia" w:ascii="宋体" w:hAnsi="宋体" w:cs="宋体"/>
          <w:sz w:val="44"/>
          <w:szCs w:val="44"/>
        </w:rPr>
        <w:t>开标时启封</w:t>
      </w:r>
    </w:p>
    <w:p>
      <w:pPr>
        <w:pStyle w:val="7"/>
        <w:rPr>
          <w:rFonts w:hint="eastAsia" w:ascii="宋体" w:hAnsi="宋体" w:cs="宋体"/>
          <w:b/>
          <w:sz w:val="32"/>
        </w:rPr>
      </w:pPr>
    </w:p>
    <w:p>
      <w:pPr>
        <w:adjustRightInd w:val="0"/>
        <w:snapToGrid w:val="0"/>
        <w:spacing w:line="360" w:lineRule="auto"/>
        <w:jc w:val="center"/>
        <w:rPr>
          <w:rFonts w:hint="eastAsia" w:ascii="宋体" w:hAnsi="宋体" w:cs="宋体"/>
          <w:sz w:val="44"/>
          <w:szCs w:val="44"/>
        </w:rPr>
      </w:pPr>
    </w:p>
    <w:p>
      <w:pPr>
        <w:adjustRightInd w:val="0"/>
        <w:snapToGrid w:val="0"/>
        <w:spacing w:line="360" w:lineRule="auto"/>
        <w:ind w:firstLine="1271" w:firstLineChars="454"/>
        <w:rPr>
          <w:rFonts w:hint="eastAsia" w:ascii="宋体" w:hAnsi="宋体" w:cs="宋体"/>
          <w:sz w:val="36"/>
          <w:szCs w:val="22"/>
          <w:u w:val="single"/>
        </w:rPr>
      </w:pPr>
      <w:r>
        <w:rPr>
          <w:rFonts w:hint="eastAsia" w:ascii="宋体" w:hAnsi="宋体" w:cs="宋体"/>
          <w:sz w:val="28"/>
          <w:szCs w:val="22"/>
        </w:rPr>
        <w:t>项目名称：</w:t>
      </w:r>
      <w:r>
        <w:rPr>
          <w:rFonts w:hint="eastAsia" w:ascii="宋体" w:hAnsi="宋体" w:cs="宋体"/>
          <w:sz w:val="28"/>
          <w:szCs w:val="22"/>
          <w:u w:val="single"/>
        </w:rPr>
        <w:t xml:space="preserve">                                  </w:t>
      </w:r>
    </w:p>
    <w:p>
      <w:pPr>
        <w:adjustRightInd w:val="0"/>
        <w:snapToGrid w:val="0"/>
        <w:spacing w:line="360" w:lineRule="auto"/>
        <w:ind w:firstLine="1271" w:firstLineChars="454"/>
        <w:rPr>
          <w:rFonts w:hint="eastAsia" w:ascii="宋体" w:hAnsi="宋体" w:cs="宋体"/>
          <w:sz w:val="28"/>
          <w:szCs w:val="22"/>
          <w:u w:val="single"/>
        </w:rPr>
      </w:pPr>
      <w:r>
        <w:rPr>
          <w:rFonts w:hint="eastAsia" w:ascii="宋体" w:hAnsi="宋体" w:cs="宋体"/>
          <w:sz w:val="28"/>
          <w:szCs w:val="22"/>
        </w:rPr>
        <w:t>项目编号：</w:t>
      </w:r>
      <w:r>
        <w:rPr>
          <w:rFonts w:hint="eastAsia" w:ascii="宋体" w:hAnsi="宋体" w:cs="宋体"/>
          <w:sz w:val="28"/>
          <w:szCs w:val="22"/>
          <w:u w:val="single"/>
        </w:rPr>
        <w:t xml:space="preserve">                                  </w:t>
      </w:r>
    </w:p>
    <w:p>
      <w:pPr>
        <w:adjustRightInd w:val="0"/>
        <w:snapToGrid w:val="0"/>
        <w:spacing w:line="360" w:lineRule="auto"/>
        <w:ind w:firstLine="1271" w:firstLineChars="454"/>
        <w:rPr>
          <w:rFonts w:hint="eastAsia" w:ascii="宋体" w:hAnsi="宋体" w:cs="宋体"/>
          <w:sz w:val="28"/>
          <w:szCs w:val="22"/>
        </w:rPr>
      </w:pPr>
      <w:r>
        <w:rPr>
          <w:rFonts w:hint="eastAsia" w:ascii="宋体" w:hAnsi="宋体" w:cs="宋体"/>
          <w:sz w:val="28"/>
          <w:szCs w:val="22"/>
        </w:rPr>
        <w:t>采 购 人：</w:t>
      </w:r>
      <w:r>
        <w:rPr>
          <w:rFonts w:hint="eastAsia" w:ascii="宋体" w:hAnsi="宋体" w:cs="宋体"/>
          <w:sz w:val="28"/>
          <w:szCs w:val="22"/>
          <w:u w:val="single"/>
        </w:rPr>
        <w:t xml:space="preserve">                                  </w:t>
      </w:r>
    </w:p>
    <w:p>
      <w:pPr>
        <w:adjustRightInd w:val="0"/>
        <w:snapToGrid w:val="0"/>
        <w:spacing w:line="360" w:lineRule="auto"/>
        <w:ind w:firstLine="1271" w:firstLineChars="454"/>
        <w:rPr>
          <w:rFonts w:hint="eastAsia" w:ascii="宋体" w:hAnsi="宋体" w:cs="宋体"/>
          <w:sz w:val="28"/>
          <w:szCs w:val="22"/>
          <w:u w:val="single"/>
        </w:rPr>
      </w:pPr>
      <w:r>
        <w:rPr>
          <w:rFonts w:hint="eastAsia" w:ascii="宋体" w:hAnsi="宋体" w:cs="宋体"/>
          <w:sz w:val="28"/>
          <w:szCs w:val="22"/>
        </w:rPr>
        <w:t>投标单位（盖章）：</w:t>
      </w:r>
      <w:r>
        <w:rPr>
          <w:rFonts w:hint="eastAsia" w:ascii="宋体" w:hAnsi="宋体" w:cs="宋体"/>
          <w:sz w:val="28"/>
          <w:szCs w:val="22"/>
          <w:u w:val="single"/>
        </w:rPr>
        <w:t xml:space="preserve">                          </w:t>
      </w:r>
    </w:p>
    <w:p>
      <w:pPr>
        <w:adjustRightInd w:val="0"/>
        <w:snapToGrid w:val="0"/>
        <w:spacing w:line="360" w:lineRule="auto"/>
        <w:ind w:firstLine="1271" w:firstLineChars="454"/>
        <w:rPr>
          <w:rFonts w:hint="eastAsia" w:ascii="宋体" w:hAnsi="宋体" w:cs="宋体"/>
          <w:sz w:val="28"/>
          <w:szCs w:val="22"/>
          <w:u w:val="single"/>
        </w:rPr>
      </w:pPr>
      <w:r>
        <w:rPr>
          <w:rFonts w:hint="eastAsia" w:ascii="宋体" w:hAnsi="宋体" w:cs="宋体"/>
          <w:sz w:val="28"/>
          <w:szCs w:val="22"/>
        </w:rPr>
        <w:t>投标人地址：</w:t>
      </w:r>
      <w:r>
        <w:rPr>
          <w:rFonts w:hint="eastAsia" w:ascii="宋体" w:hAnsi="宋体" w:cs="宋体"/>
          <w:sz w:val="28"/>
          <w:szCs w:val="22"/>
          <w:u w:val="single"/>
        </w:rPr>
        <w:t xml:space="preserve">                                </w:t>
      </w:r>
    </w:p>
    <w:p>
      <w:pPr>
        <w:adjustRightInd w:val="0"/>
        <w:snapToGrid w:val="0"/>
        <w:spacing w:line="360" w:lineRule="auto"/>
        <w:ind w:firstLine="1271" w:firstLineChars="454"/>
        <w:rPr>
          <w:rFonts w:hint="eastAsia" w:ascii="宋体" w:hAnsi="宋体" w:cs="宋体"/>
          <w:sz w:val="28"/>
          <w:szCs w:val="22"/>
          <w:u w:val="single"/>
        </w:rPr>
      </w:pPr>
      <w:r>
        <w:rPr>
          <w:rFonts w:hint="eastAsia" w:ascii="宋体" w:hAnsi="宋体" w:cs="宋体"/>
          <w:sz w:val="28"/>
          <w:szCs w:val="22"/>
        </w:rPr>
        <w:t>授权代表（签字或盖章）：</w:t>
      </w:r>
      <w:r>
        <w:rPr>
          <w:rFonts w:hint="eastAsia" w:ascii="宋体" w:hAnsi="宋体" w:cs="宋体"/>
          <w:sz w:val="28"/>
          <w:szCs w:val="22"/>
          <w:u w:val="single"/>
        </w:rPr>
        <w:t xml:space="preserve">                    </w:t>
      </w:r>
    </w:p>
    <w:p>
      <w:pPr>
        <w:adjustRightInd w:val="0"/>
        <w:snapToGrid w:val="0"/>
        <w:spacing w:line="360" w:lineRule="auto"/>
        <w:ind w:firstLine="1271" w:firstLineChars="454"/>
        <w:rPr>
          <w:rFonts w:hint="eastAsia" w:ascii="宋体" w:hAnsi="宋体" w:cs="宋体"/>
          <w:sz w:val="28"/>
          <w:szCs w:val="22"/>
          <w:u w:val="single"/>
        </w:rPr>
      </w:pPr>
      <w:r>
        <w:rPr>
          <w:rFonts w:hint="eastAsia" w:ascii="宋体" w:hAnsi="宋体" w:cs="宋体"/>
          <w:sz w:val="28"/>
          <w:szCs w:val="22"/>
        </w:rPr>
        <w:t>日期：</w:t>
      </w:r>
      <w:r>
        <w:rPr>
          <w:rFonts w:hint="eastAsia" w:ascii="宋体" w:hAnsi="宋体" w:cs="宋体"/>
          <w:sz w:val="28"/>
          <w:szCs w:val="22"/>
          <w:u w:val="single"/>
        </w:rPr>
        <w:t xml:space="preserve">                                      </w:t>
      </w:r>
    </w:p>
    <w:p>
      <w:pPr>
        <w:pStyle w:val="11"/>
        <w:adjustRightInd w:val="0"/>
        <w:snapToGrid w:val="0"/>
        <w:spacing w:line="460" w:lineRule="atLeast"/>
        <w:rPr>
          <w:rFonts w:hint="eastAsia" w:hAnsi="宋体" w:cs="宋体"/>
          <w:b/>
          <w:bCs/>
          <w:color w:val="000000"/>
          <w:sz w:val="28"/>
          <w:szCs w:val="28"/>
        </w:rPr>
      </w:pPr>
    </w:p>
    <w:p>
      <w:pPr>
        <w:pStyle w:val="12"/>
        <w:rPr>
          <w:rFonts w:hint="eastAsia" w:ascii="宋体" w:hAnsi="宋体" w:cs="宋体"/>
          <w:b/>
          <w:bCs/>
          <w:color w:val="000000"/>
          <w:sz w:val="28"/>
          <w:szCs w:val="28"/>
        </w:rPr>
      </w:pPr>
    </w:p>
    <w:p>
      <w:pPr>
        <w:rPr>
          <w:rFonts w:hint="eastAsia" w:ascii="宋体" w:hAnsi="宋体" w:cs="宋体"/>
          <w:b/>
          <w:bCs/>
          <w:color w:val="000000"/>
          <w:sz w:val="28"/>
          <w:szCs w:val="28"/>
        </w:rPr>
      </w:pPr>
    </w:p>
    <w:p>
      <w:pPr>
        <w:pStyle w:val="5"/>
        <w:tabs>
          <w:tab w:val="left" w:pos="3600"/>
        </w:tabs>
        <w:spacing w:before="0" w:after="120" w:line="700" w:lineRule="exact"/>
        <w:rPr>
          <w:rFonts w:hint="eastAsia" w:ascii="宋体" w:hAnsi="宋体" w:cs="宋体"/>
        </w:rPr>
      </w:pPr>
    </w:p>
    <w:p>
      <w:pPr>
        <w:pStyle w:val="5"/>
        <w:pageBreakBefore/>
        <w:jc w:val="center"/>
        <w:rPr>
          <w:rFonts w:hint="eastAsia" w:ascii="宋体" w:hAnsi="宋体"/>
          <w:b w:val="0"/>
        </w:rPr>
      </w:pPr>
      <w:r>
        <w:rPr>
          <w:rFonts w:hint="eastAsia"/>
          <w:b w:val="0"/>
        </w:rPr>
        <w:t>附件一    开标一览表（报价表）</w:t>
      </w:r>
    </w:p>
    <w:p>
      <w:pPr>
        <w:spacing w:line="460" w:lineRule="exact"/>
        <w:ind w:left="239" w:leftChars="114"/>
        <w:jc w:val="left"/>
        <w:rPr>
          <w:rFonts w:hint="eastAsia" w:ascii="新宋体" w:hAnsi="新宋体" w:eastAsia="新宋体"/>
          <w:sz w:val="24"/>
        </w:rPr>
      </w:pPr>
      <w:r>
        <w:rPr>
          <w:rFonts w:hint="eastAsia" w:ascii="宋体" w:hAnsi="宋体"/>
          <w:sz w:val="24"/>
        </w:rPr>
        <w:t xml:space="preserve">采购单位：                                  项目编号： </w:t>
      </w:r>
    </w:p>
    <w:tbl>
      <w:tblPr>
        <w:tblStyle w:val="19"/>
        <w:tblW w:w="9166"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4500"/>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497" w:type="dxa"/>
            <w:noWrap w:val="0"/>
            <w:vAlign w:val="center"/>
          </w:tcPr>
          <w:p>
            <w:pPr>
              <w:pStyle w:val="11"/>
              <w:snapToGrid w:val="0"/>
              <w:spacing w:line="460" w:lineRule="atLeast"/>
              <w:jc w:val="center"/>
              <w:rPr>
                <w:rFonts w:hint="eastAsia" w:hAnsi="宋体"/>
                <w:b/>
                <w:sz w:val="22"/>
                <w:szCs w:val="22"/>
              </w:rPr>
            </w:pPr>
            <w:r>
              <w:rPr>
                <w:rFonts w:hint="eastAsia" w:hAnsi="宋体"/>
                <w:b/>
                <w:sz w:val="22"/>
                <w:szCs w:val="22"/>
              </w:rPr>
              <w:t>项目名称</w:t>
            </w:r>
          </w:p>
        </w:tc>
        <w:tc>
          <w:tcPr>
            <w:tcW w:w="4500" w:type="dxa"/>
            <w:noWrap w:val="0"/>
            <w:vAlign w:val="center"/>
          </w:tcPr>
          <w:p>
            <w:pPr>
              <w:pStyle w:val="11"/>
              <w:snapToGrid w:val="0"/>
              <w:spacing w:line="460" w:lineRule="atLeast"/>
              <w:jc w:val="center"/>
              <w:rPr>
                <w:rFonts w:hint="eastAsia" w:hAnsi="宋体"/>
                <w:b/>
                <w:sz w:val="22"/>
                <w:szCs w:val="22"/>
              </w:rPr>
            </w:pPr>
            <w:r>
              <w:rPr>
                <w:rFonts w:hint="eastAsia" w:hAnsi="宋体"/>
                <w:b/>
                <w:sz w:val="22"/>
                <w:szCs w:val="22"/>
              </w:rPr>
              <w:t>投标总价</w:t>
            </w:r>
          </w:p>
          <w:p>
            <w:pPr>
              <w:pStyle w:val="11"/>
              <w:snapToGrid w:val="0"/>
              <w:spacing w:line="460" w:lineRule="atLeast"/>
              <w:jc w:val="center"/>
              <w:rPr>
                <w:rFonts w:hint="eastAsia" w:hAnsi="宋体"/>
                <w:b/>
                <w:sz w:val="22"/>
                <w:szCs w:val="22"/>
              </w:rPr>
            </w:pPr>
            <w:r>
              <w:rPr>
                <w:rFonts w:hint="eastAsia" w:hAnsi="宋体"/>
                <w:b/>
                <w:sz w:val="22"/>
                <w:szCs w:val="22"/>
              </w:rPr>
              <w:t>（元人民币）</w:t>
            </w:r>
          </w:p>
        </w:tc>
        <w:tc>
          <w:tcPr>
            <w:tcW w:w="2169" w:type="dxa"/>
            <w:noWrap w:val="0"/>
            <w:vAlign w:val="center"/>
          </w:tcPr>
          <w:p>
            <w:pPr>
              <w:pStyle w:val="11"/>
              <w:snapToGrid w:val="0"/>
              <w:spacing w:line="460" w:lineRule="atLeast"/>
              <w:jc w:val="center"/>
              <w:rPr>
                <w:rFonts w:hint="eastAsia" w:hAnsi="宋体"/>
                <w:b/>
                <w:sz w:val="22"/>
                <w:szCs w:val="22"/>
              </w:rPr>
            </w:pPr>
            <w:r>
              <w:rPr>
                <w:rFonts w:hint="eastAsia" w:hAnsi="宋体"/>
                <w:b/>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3" w:hRule="atLeast"/>
        </w:trPr>
        <w:tc>
          <w:tcPr>
            <w:tcW w:w="2497" w:type="dxa"/>
            <w:noWrap w:val="0"/>
            <w:vAlign w:val="center"/>
          </w:tcPr>
          <w:p>
            <w:pPr>
              <w:pStyle w:val="11"/>
              <w:snapToGrid w:val="0"/>
              <w:spacing w:line="460" w:lineRule="atLeast"/>
              <w:jc w:val="center"/>
              <w:rPr>
                <w:rFonts w:hint="eastAsia" w:hAnsi="宋体"/>
                <w:sz w:val="24"/>
                <w:szCs w:val="24"/>
              </w:rPr>
            </w:pPr>
            <w:r>
              <w:rPr>
                <w:rFonts w:hint="eastAsia" w:hAnsi="宋体"/>
                <w:sz w:val="22"/>
                <w:szCs w:val="18"/>
                <w:lang w:val="zh-CN"/>
              </w:rPr>
              <w:t>平苍引水北山泵站二次扩容改造工程设备采购及安装项目</w:t>
            </w:r>
          </w:p>
        </w:tc>
        <w:tc>
          <w:tcPr>
            <w:tcW w:w="4500" w:type="dxa"/>
            <w:noWrap w:val="0"/>
            <w:vAlign w:val="center"/>
          </w:tcPr>
          <w:p>
            <w:pPr>
              <w:pStyle w:val="11"/>
              <w:snapToGrid w:val="0"/>
              <w:spacing w:line="460" w:lineRule="atLeast"/>
              <w:rPr>
                <w:rFonts w:hint="eastAsia" w:hAnsi="宋体"/>
                <w:sz w:val="22"/>
                <w:szCs w:val="22"/>
              </w:rPr>
            </w:pPr>
            <w:r>
              <w:rPr>
                <w:rFonts w:hint="eastAsia" w:hAnsi="宋体"/>
                <w:sz w:val="22"/>
                <w:szCs w:val="22"/>
              </w:rPr>
              <w:t>大写：</w:t>
            </w:r>
          </w:p>
          <w:p>
            <w:pPr>
              <w:pStyle w:val="11"/>
              <w:snapToGrid w:val="0"/>
              <w:spacing w:line="460" w:lineRule="atLeast"/>
              <w:rPr>
                <w:rFonts w:hint="eastAsia" w:hAnsi="宋体"/>
                <w:b/>
                <w:sz w:val="22"/>
                <w:szCs w:val="22"/>
              </w:rPr>
            </w:pPr>
            <w:r>
              <w:rPr>
                <w:rFonts w:hint="eastAsia" w:hAnsi="宋体"/>
                <w:sz w:val="22"/>
                <w:szCs w:val="22"/>
              </w:rPr>
              <w:t>小写：</w:t>
            </w:r>
          </w:p>
        </w:tc>
        <w:tc>
          <w:tcPr>
            <w:tcW w:w="2169" w:type="dxa"/>
            <w:noWrap w:val="0"/>
            <w:vAlign w:val="center"/>
          </w:tcPr>
          <w:p>
            <w:pPr>
              <w:pStyle w:val="11"/>
              <w:snapToGrid w:val="0"/>
              <w:spacing w:line="460" w:lineRule="atLeast"/>
              <w:rPr>
                <w:rFonts w:hint="eastAsia" w:hAnsi="宋体"/>
                <w:szCs w:val="21"/>
              </w:rPr>
            </w:pPr>
            <w:r>
              <w:rPr>
                <w:rFonts w:hint="eastAsia" w:hAnsi="宋体"/>
                <w:sz w:val="22"/>
                <w:szCs w:val="18"/>
                <w:lang w:val="zh-CN"/>
              </w:rPr>
              <w:t>本企业□是/□否小型、微型企业。（请打钩确认，并提供相关证明文件；）</w:t>
            </w:r>
          </w:p>
        </w:tc>
      </w:tr>
    </w:tbl>
    <w:p>
      <w:pPr>
        <w:spacing w:line="300" w:lineRule="exact"/>
        <w:rPr>
          <w:rFonts w:hint="eastAsia" w:ascii="宋体" w:hAnsi="宋体"/>
          <w:bCs/>
          <w:szCs w:val="21"/>
        </w:rPr>
      </w:pPr>
    </w:p>
    <w:p>
      <w:pPr>
        <w:spacing w:line="360" w:lineRule="auto"/>
        <w:ind w:firstLine="420" w:firstLineChars="200"/>
        <w:rPr>
          <w:rFonts w:hint="eastAsia" w:ascii="宋体" w:hAnsi="宋体" w:cs="宋体"/>
          <w:szCs w:val="21"/>
        </w:rPr>
      </w:pPr>
      <w:r>
        <w:rPr>
          <w:rFonts w:hint="eastAsia" w:ascii="宋体" w:hAnsi="宋体" w:cs="宋体"/>
          <w:szCs w:val="21"/>
        </w:rPr>
        <w:t>注：1.此栏内投标总价应与附件二“投标报价明细表”中投标总计价相一致。</w:t>
      </w:r>
    </w:p>
    <w:p>
      <w:pPr>
        <w:spacing w:line="360" w:lineRule="auto"/>
        <w:ind w:firstLine="420" w:firstLineChars="200"/>
        <w:rPr>
          <w:rFonts w:hint="eastAsia" w:ascii="宋体" w:hAnsi="宋体" w:cs="宋体"/>
          <w:szCs w:val="21"/>
        </w:rPr>
      </w:pPr>
      <w:r>
        <w:rPr>
          <w:rFonts w:hint="eastAsia" w:ascii="宋体" w:hAnsi="宋体" w:cs="宋体"/>
          <w:szCs w:val="21"/>
        </w:rPr>
        <w:t>2.开标一览表中投标价为符合招标文件要求的总价（含税、运保、随机工具、随机附件等费用），同时包括设备技术服务费（含设备调试直至能够正常使用的费用）、材料费、税金、系统集成费、安装费、调试费、人工费、技术培训费、验收费、质保期保障等相关服务的全部费用。</w:t>
      </w:r>
    </w:p>
    <w:p>
      <w:pPr>
        <w:spacing w:line="360" w:lineRule="auto"/>
        <w:ind w:firstLine="420" w:firstLineChars="200"/>
        <w:rPr>
          <w:rFonts w:hint="eastAsia" w:ascii="宋体" w:hAnsi="宋体" w:cs="宋体"/>
          <w:szCs w:val="21"/>
        </w:rPr>
      </w:pPr>
      <w:r>
        <w:rPr>
          <w:rFonts w:hint="eastAsia" w:ascii="宋体" w:hAnsi="宋体" w:cs="宋体"/>
          <w:szCs w:val="21"/>
        </w:rPr>
        <w:t xml:space="preserve">3.如果投标人提出优惠条款，请在备注栏内注明。        </w:t>
      </w:r>
    </w:p>
    <w:p>
      <w:pPr>
        <w:spacing w:line="360" w:lineRule="auto"/>
        <w:ind w:firstLine="420" w:firstLineChars="200"/>
        <w:rPr>
          <w:rFonts w:hint="eastAsia" w:ascii="宋体" w:hAnsi="宋体" w:cs="宋体"/>
          <w:szCs w:val="21"/>
        </w:rPr>
      </w:pPr>
      <w:r>
        <w:rPr>
          <w:rFonts w:hint="eastAsia" w:ascii="宋体" w:hAnsi="宋体" w:cs="宋体"/>
          <w:szCs w:val="21"/>
        </w:rPr>
        <w:t>4.此表不得自行增减内容，不提供此表格将被视为没有实质性响应招标文件，其投标文件将被拒绝</w:t>
      </w:r>
    </w:p>
    <w:p>
      <w:pPr>
        <w:spacing w:line="400" w:lineRule="exact"/>
        <w:ind w:left="500" w:leftChars="238"/>
        <w:rPr>
          <w:rFonts w:hint="eastAsia" w:ascii="宋体" w:hAnsi="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授权代表（签字或盖章）：</w:t>
      </w:r>
    </w:p>
    <w:p>
      <w:pPr>
        <w:spacing w:line="360" w:lineRule="auto"/>
        <w:ind w:firstLine="420" w:firstLineChars="200"/>
        <w:rPr>
          <w:rFonts w:hint="eastAsia"/>
        </w:rPr>
      </w:pPr>
      <w:r>
        <w:rPr>
          <w:rFonts w:hint="eastAsia" w:ascii="宋体" w:hAnsi="宋体" w:cs="宋体"/>
          <w:szCs w:val="21"/>
        </w:rPr>
        <w:t>日    期：   年     月     日</w:t>
      </w:r>
      <w:r>
        <w:rPr>
          <w:rFonts w:hint="eastAsia" w:ascii="宋体" w:hAnsi="宋体" w:cs="宋体"/>
          <w:szCs w:val="21"/>
        </w:rPr>
        <w:tab/>
      </w:r>
      <w:r>
        <w:rPr>
          <w:rFonts w:hint="eastAsia" w:ascii="宋体" w:hAnsi="宋体" w:cs="宋体"/>
          <w:szCs w:val="21"/>
        </w:rPr>
        <w:t xml:space="preserve">   </w:t>
      </w:r>
      <w:r>
        <w:rPr>
          <w:rFonts w:hint="eastAsia" w:ascii="宋体" w:hAnsi="宋体" w:cs="宋体"/>
          <w:sz w:val="24"/>
        </w:rPr>
        <w:t xml:space="preserve"> </w:t>
      </w:r>
      <w:r>
        <w:rPr>
          <w:rFonts w:hint="eastAsia"/>
        </w:rPr>
        <w:t xml:space="preserve">                                                                                      </w:t>
      </w:r>
    </w:p>
    <w:p>
      <w:pPr>
        <w:pStyle w:val="4"/>
        <w:sectPr>
          <w:headerReference r:id="rId7" w:type="first"/>
          <w:footerReference r:id="rId10" w:type="first"/>
          <w:headerReference r:id="rId6" w:type="default"/>
          <w:footerReference r:id="rId8" w:type="default"/>
          <w:footerReference r:id="rId9" w:type="even"/>
          <w:pgSz w:w="11907" w:h="16840"/>
          <w:pgMar w:top="1304" w:right="1531" w:bottom="1418" w:left="1304" w:header="720" w:footer="720" w:gutter="0"/>
          <w:cols w:space="720" w:num="1"/>
          <w:docGrid w:linePitch="380" w:charSpace="0"/>
        </w:sectPr>
      </w:pPr>
    </w:p>
    <w:p>
      <w:pPr>
        <w:spacing w:line="400" w:lineRule="exact"/>
        <w:ind w:left="500" w:leftChars="238"/>
        <w:jc w:val="center"/>
        <w:rPr>
          <w:sz w:val="32"/>
          <w:szCs w:val="32"/>
        </w:rPr>
      </w:pPr>
      <w:r>
        <w:rPr>
          <w:rFonts w:hint="eastAsia"/>
          <w:sz w:val="32"/>
          <w:szCs w:val="32"/>
        </w:rPr>
        <w:t>附件二、</w:t>
      </w:r>
      <w:r>
        <w:rPr>
          <w:rFonts w:hint="eastAsia"/>
          <w:bCs/>
          <w:sz w:val="32"/>
          <w:szCs w:val="32"/>
        </w:rPr>
        <w:t>投标报价明细表</w:t>
      </w:r>
    </w:p>
    <w:p>
      <w:pPr>
        <w:spacing w:line="400" w:lineRule="exact"/>
        <w:ind w:left="500" w:leftChars="238"/>
        <w:jc w:val="center"/>
        <w:rPr>
          <w:sz w:val="32"/>
          <w:szCs w:val="32"/>
        </w:rPr>
      </w:pPr>
    </w:p>
    <w:p>
      <w:pPr>
        <w:spacing w:line="400" w:lineRule="exact"/>
        <w:rPr>
          <w:b/>
        </w:rPr>
      </w:pPr>
      <w:r>
        <w:rPr>
          <w:rFonts w:hint="eastAsia" w:ascii="宋体" w:hAnsi="宋体"/>
          <w:b/>
          <w:sz w:val="24"/>
        </w:rPr>
        <w:t xml:space="preserve">采购单位：                           项目编号： </w:t>
      </w:r>
    </w:p>
    <w:tbl>
      <w:tblPr>
        <w:tblStyle w:val="19"/>
        <w:tblW w:w="9858"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31"/>
        <w:gridCol w:w="1455"/>
        <w:gridCol w:w="3632"/>
        <w:gridCol w:w="972"/>
        <w:gridCol w:w="1134"/>
        <w:gridCol w:w="1136"/>
        <w:gridCol w:w="6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831" w:type="dxa"/>
            <w:noWrap w:val="0"/>
            <w:vAlign w:val="center"/>
          </w:tcPr>
          <w:p>
            <w:pPr>
              <w:jc w:val="center"/>
              <w:rPr>
                <w:rFonts w:ascii="宋体" w:hAnsi="宋体"/>
                <w:b/>
                <w:sz w:val="22"/>
                <w:szCs w:val="22"/>
              </w:rPr>
            </w:pPr>
            <w:r>
              <w:rPr>
                <w:rFonts w:hint="eastAsia" w:ascii="宋体" w:hAnsi="宋体"/>
                <w:b/>
                <w:sz w:val="22"/>
                <w:szCs w:val="22"/>
              </w:rPr>
              <w:t>序号</w:t>
            </w:r>
          </w:p>
        </w:tc>
        <w:tc>
          <w:tcPr>
            <w:tcW w:w="1455" w:type="dxa"/>
            <w:noWrap w:val="0"/>
            <w:vAlign w:val="center"/>
          </w:tcPr>
          <w:p>
            <w:pPr>
              <w:jc w:val="center"/>
              <w:rPr>
                <w:rFonts w:ascii="宋体" w:hAnsi="宋体"/>
                <w:b/>
                <w:sz w:val="22"/>
                <w:szCs w:val="22"/>
              </w:rPr>
            </w:pPr>
            <w:r>
              <w:rPr>
                <w:rFonts w:hint="eastAsia" w:ascii="宋体" w:hAnsi="宋体"/>
                <w:b/>
                <w:sz w:val="22"/>
                <w:szCs w:val="22"/>
              </w:rPr>
              <w:t>名称</w:t>
            </w:r>
          </w:p>
        </w:tc>
        <w:tc>
          <w:tcPr>
            <w:tcW w:w="3632" w:type="dxa"/>
            <w:noWrap w:val="0"/>
            <w:vAlign w:val="center"/>
          </w:tcPr>
          <w:p>
            <w:pPr>
              <w:jc w:val="center"/>
              <w:rPr>
                <w:rFonts w:ascii="宋体" w:hAnsi="宋体"/>
                <w:b/>
                <w:sz w:val="22"/>
                <w:szCs w:val="22"/>
              </w:rPr>
            </w:pPr>
            <w:r>
              <w:rPr>
                <w:rFonts w:hint="eastAsia" w:ascii="宋体" w:hAnsi="宋体"/>
                <w:b/>
                <w:sz w:val="22"/>
                <w:szCs w:val="22"/>
              </w:rPr>
              <w:t>品牌型号</w:t>
            </w:r>
          </w:p>
        </w:tc>
        <w:tc>
          <w:tcPr>
            <w:tcW w:w="972" w:type="dxa"/>
            <w:noWrap w:val="0"/>
            <w:vAlign w:val="center"/>
          </w:tcPr>
          <w:p>
            <w:pPr>
              <w:jc w:val="center"/>
              <w:rPr>
                <w:rFonts w:ascii="宋体" w:hAnsi="宋体"/>
                <w:b/>
                <w:sz w:val="22"/>
                <w:szCs w:val="22"/>
              </w:rPr>
            </w:pPr>
            <w:r>
              <w:rPr>
                <w:rFonts w:hint="eastAsia" w:ascii="宋体" w:hAnsi="宋体"/>
                <w:b/>
                <w:sz w:val="22"/>
                <w:szCs w:val="22"/>
              </w:rPr>
              <w:t>数量</w:t>
            </w:r>
          </w:p>
        </w:tc>
        <w:tc>
          <w:tcPr>
            <w:tcW w:w="1134" w:type="dxa"/>
            <w:noWrap w:val="0"/>
            <w:vAlign w:val="center"/>
          </w:tcPr>
          <w:p>
            <w:pPr>
              <w:jc w:val="center"/>
              <w:rPr>
                <w:rFonts w:ascii="宋体" w:hAnsi="宋体"/>
                <w:b/>
                <w:sz w:val="22"/>
                <w:szCs w:val="22"/>
              </w:rPr>
            </w:pPr>
            <w:r>
              <w:rPr>
                <w:rFonts w:hint="eastAsia" w:ascii="宋体" w:hAnsi="宋体"/>
                <w:b/>
                <w:sz w:val="22"/>
                <w:szCs w:val="22"/>
              </w:rPr>
              <w:t>单价</w:t>
            </w:r>
          </w:p>
        </w:tc>
        <w:tc>
          <w:tcPr>
            <w:tcW w:w="1136" w:type="dxa"/>
            <w:noWrap w:val="0"/>
            <w:vAlign w:val="center"/>
          </w:tcPr>
          <w:p>
            <w:pPr>
              <w:jc w:val="center"/>
              <w:rPr>
                <w:rFonts w:ascii="宋体" w:hAnsi="宋体"/>
                <w:b/>
                <w:sz w:val="22"/>
                <w:szCs w:val="22"/>
              </w:rPr>
            </w:pPr>
            <w:r>
              <w:rPr>
                <w:rFonts w:hint="eastAsia" w:ascii="宋体" w:hAnsi="宋体"/>
                <w:b/>
                <w:sz w:val="22"/>
                <w:szCs w:val="22"/>
              </w:rPr>
              <w:t>合价</w:t>
            </w:r>
          </w:p>
        </w:tc>
        <w:tc>
          <w:tcPr>
            <w:tcW w:w="698" w:type="dxa"/>
            <w:noWrap w:val="0"/>
            <w:vAlign w:val="center"/>
          </w:tcPr>
          <w:p>
            <w:pPr>
              <w:jc w:val="center"/>
              <w:rPr>
                <w:rFonts w:ascii="宋体" w:hAnsi="宋体"/>
                <w:b/>
                <w:sz w:val="22"/>
                <w:szCs w:val="22"/>
              </w:rPr>
            </w:pPr>
            <w:r>
              <w:rPr>
                <w:rFonts w:hint="eastAsia" w:ascii="宋体" w:hAnsi="宋体"/>
                <w:b/>
                <w:sz w:val="22"/>
                <w:szCs w:val="22"/>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831" w:type="dxa"/>
            <w:noWrap w:val="0"/>
            <w:vAlign w:val="center"/>
          </w:tcPr>
          <w:p>
            <w:pPr>
              <w:ind w:right="496" w:rightChars="236"/>
              <w:jc w:val="center"/>
              <w:rPr>
                <w:rFonts w:ascii="宋体" w:hAnsi="宋体"/>
                <w:b/>
                <w:sz w:val="22"/>
                <w:szCs w:val="22"/>
              </w:rPr>
            </w:pPr>
          </w:p>
        </w:tc>
        <w:tc>
          <w:tcPr>
            <w:tcW w:w="1455" w:type="dxa"/>
            <w:noWrap w:val="0"/>
            <w:vAlign w:val="center"/>
          </w:tcPr>
          <w:p>
            <w:pPr>
              <w:ind w:right="496" w:rightChars="236"/>
              <w:jc w:val="center"/>
              <w:rPr>
                <w:rFonts w:ascii="宋体" w:hAnsi="宋体"/>
                <w:b/>
                <w:sz w:val="22"/>
                <w:szCs w:val="22"/>
              </w:rPr>
            </w:pPr>
          </w:p>
        </w:tc>
        <w:tc>
          <w:tcPr>
            <w:tcW w:w="3632" w:type="dxa"/>
            <w:noWrap w:val="0"/>
            <w:vAlign w:val="center"/>
          </w:tcPr>
          <w:p>
            <w:pPr>
              <w:jc w:val="center"/>
              <w:rPr>
                <w:rFonts w:ascii="宋体" w:hAnsi="宋体"/>
                <w:b/>
                <w:sz w:val="22"/>
                <w:szCs w:val="22"/>
              </w:rPr>
            </w:pPr>
          </w:p>
        </w:tc>
        <w:tc>
          <w:tcPr>
            <w:tcW w:w="972" w:type="dxa"/>
            <w:noWrap w:val="0"/>
            <w:vAlign w:val="center"/>
          </w:tcPr>
          <w:p>
            <w:pPr>
              <w:snapToGrid w:val="0"/>
              <w:spacing w:line="400" w:lineRule="atLeast"/>
              <w:jc w:val="center"/>
              <w:rPr>
                <w:rFonts w:ascii="宋体" w:hAnsi="宋体"/>
                <w:b/>
                <w:sz w:val="22"/>
                <w:szCs w:val="22"/>
              </w:rPr>
            </w:pPr>
          </w:p>
        </w:tc>
        <w:tc>
          <w:tcPr>
            <w:tcW w:w="1134" w:type="dxa"/>
            <w:noWrap w:val="0"/>
            <w:vAlign w:val="center"/>
          </w:tcPr>
          <w:p>
            <w:pPr>
              <w:jc w:val="center"/>
              <w:rPr>
                <w:rFonts w:ascii="宋体" w:hAnsi="宋体"/>
                <w:b/>
                <w:sz w:val="22"/>
                <w:szCs w:val="22"/>
              </w:rPr>
            </w:pPr>
          </w:p>
        </w:tc>
        <w:tc>
          <w:tcPr>
            <w:tcW w:w="1136" w:type="dxa"/>
            <w:noWrap w:val="0"/>
            <w:vAlign w:val="center"/>
          </w:tcPr>
          <w:p>
            <w:pPr>
              <w:jc w:val="center"/>
              <w:rPr>
                <w:rFonts w:ascii="宋体" w:hAnsi="宋体"/>
                <w:b/>
                <w:sz w:val="22"/>
                <w:szCs w:val="22"/>
              </w:rPr>
            </w:pPr>
          </w:p>
        </w:tc>
        <w:tc>
          <w:tcPr>
            <w:tcW w:w="698" w:type="dxa"/>
            <w:noWrap w:val="0"/>
            <w:vAlign w:val="center"/>
          </w:tcPr>
          <w:p>
            <w:pPr>
              <w:jc w:val="center"/>
              <w:rPr>
                <w:rFonts w:ascii="宋体" w:hAnsi="宋体"/>
                <w:b/>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831" w:type="dxa"/>
            <w:noWrap w:val="0"/>
            <w:vAlign w:val="center"/>
          </w:tcPr>
          <w:p>
            <w:pPr>
              <w:ind w:right="496" w:rightChars="236"/>
              <w:jc w:val="center"/>
              <w:rPr>
                <w:rFonts w:ascii="宋体" w:hAnsi="宋体"/>
                <w:b/>
                <w:sz w:val="22"/>
                <w:szCs w:val="22"/>
              </w:rPr>
            </w:pPr>
          </w:p>
        </w:tc>
        <w:tc>
          <w:tcPr>
            <w:tcW w:w="1455" w:type="dxa"/>
            <w:noWrap w:val="0"/>
            <w:vAlign w:val="center"/>
          </w:tcPr>
          <w:p>
            <w:pPr>
              <w:ind w:right="496" w:rightChars="236"/>
              <w:jc w:val="center"/>
              <w:rPr>
                <w:rFonts w:ascii="宋体" w:hAnsi="宋体"/>
                <w:b/>
                <w:sz w:val="22"/>
                <w:szCs w:val="22"/>
              </w:rPr>
            </w:pPr>
          </w:p>
        </w:tc>
        <w:tc>
          <w:tcPr>
            <w:tcW w:w="3632" w:type="dxa"/>
            <w:noWrap w:val="0"/>
            <w:vAlign w:val="center"/>
          </w:tcPr>
          <w:p>
            <w:pPr>
              <w:jc w:val="center"/>
              <w:rPr>
                <w:rFonts w:ascii="宋体" w:hAnsi="宋体"/>
                <w:b/>
                <w:sz w:val="22"/>
                <w:szCs w:val="22"/>
              </w:rPr>
            </w:pPr>
          </w:p>
        </w:tc>
        <w:tc>
          <w:tcPr>
            <w:tcW w:w="972" w:type="dxa"/>
            <w:noWrap w:val="0"/>
            <w:vAlign w:val="center"/>
          </w:tcPr>
          <w:p>
            <w:pPr>
              <w:snapToGrid w:val="0"/>
              <w:spacing w:line="400" w:lineRule="atLeast"/>
              <w:jc w:val="center"/>
              <w:rPr>
                <w:rFonts w:ascii="宋体" w:hAnsi="宋体"/>
                <w:b/>
                <w:sz w:val="22"/>
                <w:szCs w:val="22"/>
              </w:rPr>
            </w:pPr>
          </w:p>
        </w:tc>
        <w:tc>
          <w:tcPr>
            <w:tcW w:w="1134" w:type="dxa"/>
            <w:noWrap w:val="0"/>
            <w:vAlign w:val="center"/>
          </w:tcPr>
          <w:p>
            <w:pPr>
              <w:jc w:val="center"/>
              <w:rPr>
                <w:rFonts w:ascii="宋体" w:hAnsi="宋体"/>
                <w:b/>
                <w:sz w:val="22"/>
                <w:szCs w:val="22"/>
              </w:rPr>
            </w:pPr>
          </w:p>
        </w:tc>
        <w:tc>
          <w:tcPr>
            <w:tcW w:w="1136" w:type="dxa"/>
            <w:noWrap w:val="0"/>
            <w:vAlign w:val="center"/>
          </w:tcPr>
          <w:p>
            <w:pPr>
              <w:jc w:val="center"/>
              <w:rPr>
                <w:rFonts w:ascii="宋体" w:hAnsi="宋体"/>
                <w:b/>
                <w:sz w:val="22"/>
                <w:szCs w:val="22"/>
              </w:rPr>
            </w:pPr>
          </w:p>
        </w:tc>
        <w:tc>
          <w:tcPr>
            <w:tcW w:w="698" w:type="dxa"/>
            <w:noWrap w:val="0"/>
            <w:vAlign w:val="center"/>
          </w:tcPr>
          <w:p>
            <w:pPr>
              <w:jc w:val="center"/>
              <w:rPr>
                <w:rFonts w:ascii="宋体" w:hAnsi="宋体"/>
                <w:b/>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831" w:type="dxa"/>
            <w:noWrap w:val="0"/>
            <w:vAlign w:val="center"/>
          </w:tcPr>
          <w:p>
            <w:pPr>
              <w:ind w:right="496" w:rightChars="236"/>
              <w:jc w:val="center"/>
              <w:rPr>
                <w:rFonts w:ascii="宋体" w:hAnsi="宋体"/>
                <w:b/>
                <w:sz w:val="22"/>
                <w:szCs w:val="22"/>
              </w:rPr>
            </w:pPr>
          </w:p>
        </w:tc>
        <w:tc>
          <w:tcPr>
            <w:tcW w:w="1455" w:type="dxa"/>
            <w:noWrap w:val="0"/>
            <w:vAlign w:val="center"/>
          </w:tcPr>
          <w:p>
            <w:pPr>
              <w:ind w:right="496" w:rightChars="236"/>
              <w:jc w:val="center"/>
              <w:rPr>
                <w:rFonts w:ascii="宋体" w:hAnsi="宋体"/>
                <w:b/>
                <w:sz w:val="22"/>
                <w:szCs w:val="22"/>
              </w:rPr>
            </w:pPr>
          </w:p>
        </w:tc>
        <w:tc>
          <w:tcPr>
            <w:tcW w:w="3632" w:type="dxa"/>
            <w:noWrap w:val="0"/>
            <w:vAlign w:val="center"/>
          </w:tcPr>
          <w:p>
            <w:pPr>
              <w:jc w:val="center"/>
              <w:rPr>
                <w:rFonts w:ascii="宋体" w:hAnsi="宋体"/>
                <w:b/>
                <w:sz w:val="22"/>
                <w:szCs w:val="22"/>
              </w:rPr>
            </w:pPr>
          </w:p>
        </w:tc>
        <w:tc>
          <w:tcPr>
            <w:tcW w:w="972" w:type="dxa"/>
            <w:noWrap w:val="0"/>
            <w:vAlign w:val="center"/>
          </w:tcPr>
          <w:p>
            <w:pPr>
              <w:snapToGrid w:val="0"/>
              <w:spacing w:line="400" w:lineRule="atLeast"/>
              <w:jc w:val="center"/>
              <w:rPr>
                <w:rFonts w:ascii="宋体" w:hAnsi="宋体"/>
                <w:b/>
                <w:sz w:val="22"/>
                <w:szCs w:val="22"/>
              </w:rPr>
            </w:pPr>
          </w:p>
        </w:tc>
        <w:tc>
          <w:tcPr>
            <w:tcW w:w="1134" w:type="dxa"/>
            <w:noWrap w:val="0"/>
            <w:vAlign w:val="center"/>
          </w:tcPr>
          <w:p>
            <w:pPr>
              <w:jc w:val="center"/>
              <w:rPr>
                <w:rFonts w:ascii="宋体" w:hAnsi="宋体"/>
                <w:b/>
                <w:sz w:val="22"/>
                <w:szCs w:val="22"/>
              </w:rPr>
            </w:pPr>
          </w:p>
        </w:tc>
        <w:tc>
          <w:tcPr>
            <w:tcW w:w="1136" w:type="dxa"/>
            <w:noWrap w:val="0"/>
            <w:vAlign w:val="center"/>
          </w:tcPr>
          <w:p>
            <w:pPr>
              <w:jc w:val="center"/>
              <w:rPr>
                <w:rFonts w:ascii="宋体" w:hAnsi="宋体"/>
                <w:b/>
                <w:sz w:val="22"/>
                <w:szCs w:val="22"/>
              </w:rPr>
            </w:pPr>
          </w:p>
        </w:tc>
        <w:tc>
          <w:tcPr>
            <w:tcW w:w="698" w:type="dxa"/>
            <w:noWrap w:val="0"/>
            <w:vAlign w:val="center"/>
          </w:tcPr>
          <w:p>
            <w:pPr>
              <w:jc w:val="center"/>
              <w:rPr>
                <w:rFonts w:ascii="宋体" w:hAnsi="宋体"/>
                <w:b/>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831" w:type="dxa"/>
            <w:noWrap w:val="0"/>
            <w:vAlign w:val="center"/>
          </w:tcPr>
          <w:p>
            <w:pPr>
              <w:ind w:right="496" w:rightChars="236"/>
              <w:jc w:val="center"/>
              <w:rPr>
                <w:rFonts w:ascii="宋体" w:hAnsi="宋体"/>
                <w:b/>
                <w:sz w:val="22"/>
                <w:szCs w:val="22"/>
              </w:rPr>
            </w:pPr>
          </w:p>
        </w:tc>
        <w:tc>
          <w:tcPr>
            <w:tcW w:w="1455" w:type="dxa"/>
            <w:noWrap w:val="0"/>
            <w:vAlign w:val="center"/>
          </w:tcPr>
          <w:p>
            <w:pPr>
              <w:ind w:right="496" w:rightChars="236"/>
              <w:jc w:val="center"/>
              <w:rPr>
                <w:rFonts w:ascii="宋体" w:hAnsi="宋体"/>
                <w:b/>
                <w:sz w:val="22"/>
                <w:szCs w:val="22"/>
              </w:rPr>
            </w:pPr>
          </w:p>
        </w:tc>
        <w:tc>
          <w:tcPr>
            <w:tcW w:w="3632" w:type="dxa"/>
            <w:noWrap w:val="0"/>
            <w:vAlign w:val="center"/>
          </w:tcPr>
          <w:p>
            <w:pPr>
              <w:jc w:val="center"/>
              <w:rPr>
                <w:rFonts w:ascii="宋体" w:hAnsi="宋体"/>
                <w:b/>
                <w:sz w:val="22"/>
                <w:szCs w:val="22"/>
              </w:rPr>
            </w:pPr>
          </w:p>
        </w:tc>
        <w:tc>
          <w:tcPr>
            <w:tcW w:w="972" w:type="dxa"/>
            <w:noWrap w:val="0"/>
            <w:vAlign w:val="center"/>
          </w:tcPr>
          <w:p>
            <w:pPr>
              <w:snapToGrid w:val="0"/>
              <w:spacing w:line="400" w:lineRule="atLeast"/>
              <w:jc w:val="center"/>
              <w:rPr>
                <w:rFonts w:ascii="宋体" w:hAnsi="宋体"/>
                <w:b/>
                <w:sz w:val="22"/>
                <w:szCs w:val="22"/>
              </w:rPr>
            </w:pPr>
          </w:p>
        </w:tc>
        <w:tc>
          <w:tcPr>
            <w:tcW w:w="1134" w:type="dxa"/>
            <w:noWrap w:val="0"/>
            <w:vAlign w:val="center"/>
          </w:tcPr>
          <w:p>
            <w:pPr>
              <w:jc w:val="center"/>
              <w:rPr>
                <w:rFonts w:ascii="宋体" w:hAnsi="宋体"/>
                <w:b/>
                <w:sz w:val="22"/>
                <w:szCs w:val="22"/>
              </w:rPr>
            </w:pPr>
          </w:p>
        </w:tc>
        <w:tc>
          <w:tcPr>
            <w:tcW w:w="1136" w:type="dxa"/>
            <w:noWrap w:val="0"/>
            <w:vAlign w:val="center"/>
          </w:tcPr>
          <w:p>
            <w:pPr>
              <w:jc w:val="center"/>
              <w:rPr>
                <w:rFonts w:ascii="宋体" w:hAnsi="宋体"/>
                <w:b/>
                <w:sz w:val="22"/>
                <w:szCs w:val="22"/>
              </w:rPr>
            </w:pPr>
          </w:p>
        </w:tc>
        <w:tc>
          <w:tcPr>
            <w:tcW w:w="698" w:type="dxa"/>
            <w:noWrap w:val="0"/>
            <w:vAlign w:val="center"/>
          </w:tcPr>
          <w:p>
            <w:pPr>
              <w:jc w:val="center"/>
              <w:rPr>
                <w:rFonts w:ascii="宋体" w:hAnsi="宋体"/>
                <w:b/>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831" w:type="dxa"/>
            <w:noWrap w:val="0"/>
            <w:vAlign w:val="center"/>
          </w:tcPr>
          <w:p>
            <w:pPr>
              <w:ind w:right="496" w:rightChars="236"/>
              <w:jc w:val="center"/>
              <w:rPr>
                <w:rFonts w:ascii="宋体" w:hAnsi="宋体"/>
                <w:b/>
                <w:sz w:val="22"/>
                <w:szCs w:val="22"/>
              </w:rPr>
            </w:pPr>
          </w:p>
        </w:tc>
        <w:tc>
          <w:tcPr>
            <w:tcW w:w="1455" w:type="dxa"/>
            <w:noWrap w:val="0"/>
            <w:vAlign w:val="center"/>
          </w:tcPr>
          <w:p>
            <w:pPr>
              <w:ind w:right="496" w:rightChars="236"/>
              <w:jc w:val="center"/>
              <w:rPr>
                <w:rFonts w:ascii="宋体" w:hAnsi="宋体"/>
                <w:b/>
                <w:sz w:val="22"/>
                <w:szCs w:val="22"/>
              </w:rPr>
            </w:pPr>
          </w:p>
        </w:tc>
        <w:tc>
          <w:tcPr>
            <w:tcW w:w="3632" w:type="dxa"/>
            <w:noWrap w:val="0"/>
            <w:vAlign w:val="center"/>
          </w:tcPr>
          <w:p>
            <w:pPr>
              <w:jc w:val="center"/>
              <w:rPr>
                <w:rFonts w:ascii="宋体" w:hAnsi="宋体"/>
                <w:b/>
                <w:sz w:val="22"/>
                <w:szCs w:val="22"/>
              </w:rPr>
            </w:pPr>
          </w:p>
        </w:tc>
        <w:tc>
          <w:tcPr>
            <w:tcW w:w="972" w:type="dxa"/>
            <w:noWrap w:val="0"/>
            <w:vAlign w:val="center"/>
          </w:tcPr>
          <w:p>
            <w:pPr>
              <w:snapToGrid w:val="0"/>
              <w:spacing w:line="400" w:lineRule="atLeast"/>
              <w:jc w:val="center"/>
              <w:rPr>
                <w:rFonts w:ascii="宋体" w:hAnsi="宋体"/>
                <w:b/>
                <w:sz w:val="22"/>
                <w:szCs w:val="22"/>
              </w:rPr>
            </w:pPr>
          </w:p>
        </w:tc>
        <w:tc>
          <w:tcPr>
            <w:tcW w:w="1134" w:type="dxa"/>
            <w:noWrap w:val="0"/>
            <w:vAlign w:val="center"/>
          </w:tcPr>
          <w:p>
            <w:pPr>
              <w:jc w:val="center"/>
              <w:rPr>
                <w:rFonts w:ascii="宋体" w:hAnsi="宋体"/>
                <w:b/>
                <w:sz w:val="22"/>
                <w:szCs w:val="22"/>
              </w:rPr>
            </w:pPr>
          </w:p>
        </w:tc>
        <w:tc>
          <w:tcPr>
            <w:tcW w:w="1136" w:type="dxa"/>
            <w:noWrap w:val="0"/>
            <w:vAlign w:val="center"/>
          </w:tcPr>
          <w:p>
            <w:pPr>
              <w:jc w:val="center"/>
              <w:rPr>
                <w:rFonts w:ascii="宋体" w:hAnsi="宋体"/>
                <w:b/>
                <w:sz w:val="22"/>
                <w:szCs w:val="22"/>
              </w:rPr>
            </w:pPr>
          </w:p>
        </w:tc>
        <w:tc>
          <w:tcPr>
            <w:tcW w:w="698" w:type="dxa"/>
            <w:noWrap w:val="0"/>
            <w:vAlign w:val="center"/>
          </w:tcPr>
          <w:p>
            <w:pPr>
              <w:jc w:val="center"/>
              <w:rPr>
                <w:rFonts w:ascii="宋体" w:hAnsi="宋体"/>
                <w:b/>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831" w:type="dxa"/>
            <w:noWrap w:val="0"/>
            <w:vAlign w:val="center"/>
          </w:tcPr>
          <w:p>
            <w:pPr>
              <w:ind w:right="496" w:rightChars="236"/>
              <w:jc w:val="center"/>
              <w:rPr>
                <w:rFonts w:ascii="宋体" w:hAnsi="宋体"/>
                <w:b/>
                <w:sz w:val="22"/>
                <w:szCs w:val="22"/>
              </w:rPr>
            </w:pPr>
          </w:p>
        </w:tc>
        <w:tc>
          <w:tcPr>
            <w:tcW w:w="1455" w:type="dxa"/>
            <w:noWrap w:val="0"/>
            <w:vAlign w:val="center"/>
          </w:tcPr>
          <w:p>
            <w:pPr>
              <w:ind w:right="496" w:rightChars="236"/>
              <w:jc w:val="center"/>
              <w:rPr>
                <w:rFonts w:ascii="宋体" w:hAnsi="宋体"/>
                <w:b/>
                <w:sz w:val="22"/>
                <w:szCs w:val="22"/>
              </w:rPr>
            </w:pPr>
          </w:p>
        </w:tc>
        <w:tc>
          <w:tcPr>
            <w:tcW w:w="3632" w:type="dxa"/>
            <w:noWrap w:val="0"/>
            <w:vAlign w:val="center"/>
          </w:tcPr>
          <w:p>
            <w:pPr>
              <w:jc w:val="center"/>
              <w:rPr>
                <w:rFonts w:ascii="宋体" w:hAnsi="宋体"/>
                <w:b/>
                <w:sz w:val="22"/>
                <w:szCs w:val="22"/>
              </w:rPr>
            </w:pPr>
          </w:p>
        </w:tc>
        <w:tc>
          <w:tcPr>
            <w:tcW w:w="972" w:type="dxa"/>
            <w:noWrap w:val="0"/>
            <w:vAlign w:val="center"/>
          </w:tcPr>
          <w:p>
            <w:pPr>
              <w:snapToGrid w:val="0"/>
              <w:spacing w:line="400" w:lineRule="atLeast"/>
              <w:jc w:val="center"/>
              <w:rPr>
                <w:rFonts w:ascii="宋体" w:hAnsi="宋体"/>
                <w:b/>
                <w:sz w:val="22"/>
                <w:szCs w:val="22"/>
              </w:rPr>
            </w:pPr>
          </w:p>
        </w:tc>
        <w:tc>
          <w:tcPr>
            <w:tcW w:w="1134" w:type="dxa"/>
            <w:noWrap w:val="0"/>
            <w:vAlign w:val="center"/>
          </w:tcPr>
          <w:p>
            <w:pPr>
              <w:jc w:val="center"/>
              <w:rPr>
                <w:rFonts w:ascii="宋体" w:hAnsi="宋体"/>
                <w:b/>
                <w:sz w:val="22"/>
                <w:szCs w:val="22"/>
              </w:rPr>
            </w:pPr>
          </w:p>
        </w:tc>
        <w:tc>
          <w:tcPr>
            <w:tcW w:w="1136" w:type="dxa"/>
            <w:noWrap w:val="0"/>
            <w:vAlign w:val="center"/>
          </w:tcPr>
          <w:p>
            <w:pPr>
              <w:jc w:val="center"/>
              <w:rPr>
                <w:rFonts w:ascii="宋体" w:hAnsi="宋体"/>
                <w:b/>
                <w:sz w:val="22"/>
                <w:szCs w:val="22"/>
              </w:rPr>
            </w:pPr>
          </w:p>
        </w:tc>
        <w:tc>
          <w:tcPr>
            <w:tcW w:w="698" w:type="dxa"/>
            <w:noWrap w:val="0"/>
            <w:vAlign w:val="center"/>
          </w:tcPr>
          <w:p>
            <w:pPr>
              <w:jc w:val="center"/>
              <w:rPr>
                <w:rFonts w:ascii="宋体" w:hAnsi="宋体"/>
                <w:b/>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831" w:type="dxa"/>
            <w:noWrap w:val="0"/>
            <w:vAlign w:val="center"/>
          </w:tcPr>
          <w:p>
            <w:pPr>
              <w:jc w:val="center"/>
              <w:rPr>
                <w:rFonts w:ascii="宋体" w:hAnsi="宋体"/>
                <w:b/>
                <w:sz w:val="22"/>
                <w:szCs w:val="22"/>
              </w:rPr>
            </w:pPr>
          </w:p>
        </w:tc>
        <w:tc>
          <w:tcPr>
            <w:tcW w:w="1455" w:type="dxa"/>
            <w:noWrap w:val="0"/>
            <w:vAlign w:val="center"/>
          </w:tcPr>
          <w:p>
            <w:pPr>
              <w:jc w:val="center"/>
              <w:rPr>
                <w:rFonts w:ascii="宋体" w:hAnsi="宋体"/>
                <w:b/>
                <w:sz w:val="22"/>
                <w:szCs w:val="22"/>
              </w:rPr>
            </w:pPr>
          </w:p>
        </w:tc>
        <w:tc>
          <w:tcPr>
            <w:tcW w:w="3632" w:type="dxa"/>
            <w:noWrap w:val="0"/>
            <w:vAlign w:val="center"/>
          </w:tcPr>
          <w:p>
            <w:pPr>
              <w:jc w:val="center"/>
              <w:rPr>
                <w:rFonts w:ascii="宋体" w:hAnsi="宋体"/>
                <w:b/>
                <w:sz w:val="22"/>
                <w:szCs w:val="22"/>
              </w:rPr>
            </w:pPr>
          </w:p>
        </w:tc>
        <w:tc>
          <w:tcPr>
            <w:tcW w:w="972" w:type="dxa"/>
            <w:noWrap w:val="0"/>
            <w:vAlign w:val="center"/>
          </w:tcPr>
          <w:p>
            <w:pPr>
              <w:snapToGrid w:val="0"/>
              <w:spacing w:line="400" w:lineRule="atLeast"/>
              <w:jc w:val="center"/>
              <w:rPr>
                <w:rFonts w:ascii="宋体" w:hAnsi="宋体"/>
                <w:b/>
                <w:sz w:val="22"/>
                <w:szCs w:val="22"/>
              </w:rPr>
            </w:pPr>
          </w:p>
        </w:tc>
        <w:tc>
          <w:tcPr>
            <w:tcW w:w="1134" w:type="dxa"/>
            <w:noWrap w:val="0"/>
            <w:vAlign w:val="center"/>
          </w:tcPr>
          <w:p>
            <w:pPr>
              <w:jc w:val="center"/>
              <w:rPr>
                <w:rFonts w:ascii="宋体" w:hAnsi="宋体"/>
                <w:b/>
                <w:sz w:val="22"/>
                <w:szCs w:val="22"/>
              </w:rPr>
            </w:pPr>
          </w:p>
        </w:tc>
        <w:tc>
          <w:tcPr>
            <w:tcW w:w="1136" w:type="dxa"/>
            <w:noWrap w:val="0"/>
            <w:vAlign w:val="center"/>
          </w:tcPr>
          <w:p>
            <w:pPr>
              <w:jc w:val="center"/>
              <w:rPr>
                <w:rFonts w:ascii="宋体" w:hAnsi="宋体"/>
                <w:b/>
                <w:sz w:val="22"/>
                <w:szCs w:val="22"/>
              </w:rPr>
            </w:pPr>
          </w:p>
        </w:tc>
        <w:tc>
          <w:tcPr>
            <w:tcW w:w="698" w:type="dxa"/>
            <w:noWrap w:val="0"/>
            <w:vAlign w:val="center"/>
          </w:tcPr>
          <w:p>
            <w:pPr>
              <w:jc w:val="center"/>
              <w:rPr>
                <w:rFonts w:ascii="宋体" w:hAnsi="宋体"/>
                <w:b/>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4" w:hRule="atLeast"/>
        </w:trPr>
        <w:tc>
          <w:tcPr>
            <w:tcW w:w="831" w:type="dxa"/>
            <w:noWrap w:val="0"/>
            <w:vAlign w:val="center"/>
          </w:tcPr>
          <w:p>
            <w:pPr>
              <w:jc w:val="center"/>
              <w:rPr>
                <w:rFonts w:ascii="宋体" w:hAnsi="宋体"/>
                <w:b/>
                <w:sz w:val="22"/>
                <w:szCs w:val="22"/>
              </w:rPr>
            </w:pPr>
          </w:p>
        </w:tc>
        <w:tc>
          <w:tcPr>
            <w:tcW w:w="1455" w:type="dxa"/>
            <w:noWrap w:val="0"/>
            <w:vAlign w:val="center"/>
          </w:tcPr>
          <w:p>
            <w:pPr>
              <w:jc w:val="center"/>
              <w:rPr>
                <w:rFonts w:ascii="宋体" w:hAnsi="宋体"/>
                <w:b/>
                <w:sz w:val="22"/>
                <w:szCs w:val="22"/>
              </w:rPr>
            </w:pPr>
          </w:p>
        </w:tc>
        <w:tc>
          <w:tcPr>
            <w:tcW w:w="3632" w:type="dxa"/>
            <w:noWrap w:val="0"/>
            <w:vAlign w:val="center"/>
          </w:tcPr>
          <w:p>
            <w:pPr>
              <w:jc w:val="center"/>
              <w:rPr>
                <w:rFonts w:ascii="宋体" w:hAnsi="宋体"/>
                <w:b/>
                <w:sz w:val="22"/>
                <w:szCs w:val="22"/>
              </w:rPr>
            </w:pPr>
          </w:p>
        </w:tc>
        <w:tc>
          <w:tcPr>
            <w:tcW w:w="972" w:type="dxa"/>
            <w:noWrap w:val="0"/>
            <w:vAlign w:val="center"/>
          </w:tcPr>
          <w:p>
            <w:pPr>
              <w:snapToGrid w:val="0"/>
              <w:spacing w:line="400" w:lineRule="atLeast"/>
              <w:jc w:val="center"/>
              <w:rPr>
                <w:rFonts w:ascii="宋体" w:hAnsi="宋体"/>
                <w:b/>
                <w:sz w:val="22"/>
                <w:szCs w:val="22"/>
              </w:rPr>
            </w:pPr>
          </w:p>
        </w:tc>
        <w:tc>
          <w:tcPr>
            <w:tcW w:w="1134" w:type="dxa"/>
            <w:noWrap w:val="0"/>
            <w:vAlign w:val="center"/>
          </w:tcPr>
          <w:p>
            <w:pPr>
              <w:jc w:val="center"/>
              <w:rPr>
                <w:rFonts w:ascii="宋体" w:hAnsi="宋体"/>
                <w:b/>
                <w:sz w:val="22"/>
                <w:szCs w:val="22"/>
              </w:rPr>
            </w:pPr>
          </w:p>
        </w:tc>
        <w:tc>
          <w:tcPr>
            <w:tcW w:w="1136" w:type="dxa"/>
            <w:noWrap w:val="0"/>
            <w:vAlign w:val="center"/>
          </w:tcPr>
          <w:p>
            <w:pPr>
              <w:jc w:val="center"/>
              <w:rPr>
                <w:rFonts w:ascii="宋体" w:hAnsi="宋体"/>
                <w:b/>
                <w:sz w:val="22"/>
                <w:szCs w:val="22"/>
              </w:rPr>
            </w:pPr>
          </w:p>
        </w:tc>
        <w:tc>
          <w:tcPr>
            <w:tcW w:w="698" w:type="dxa"/>
            <w:noWrap w:val="0"/>
            <w:vAlign w:val="center"/>
          </w:tcPr>
          <w:p>
            <w:pPr>
              <w:jc w:val="center"/>
              <w:rPr>
                <w:rFonts w:ascii="宋体" w:hAnsi="宋体"/>
                <w:b/>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4" w:hRule="atLeast"/>
        </w:trPr>
        <w:tc>
          <w:tcPr>
            <w:tcW w:w="831" w:type="dxa"/>
            <w:noWrap w:val="0"/>
            <w:vAlign w:val="center"/>
          </w:tcPr>
          <w:p>
            <w:pPr>
              <w:jc w:val="center"/>
              <w:rPr>
                <w:rFonts w:ascii="宋体" w:hAnsi="宋体"/>
                <w:b/>
                <w:sz w:val="22"/>
                <w:szCs w:val="22"/>
              </w:rPr>
            </w:pPr>
          </w:p>
        </w:tc>
        <w:tc>
          <w:tcPr>
            <w:tcW w:w="1455" w:type="dxa"/>
            <w:noWrap w:val="0"/>
            <w:vAlign w:val="center"/>
          </w:tcPr>
          <w:p>
            <w:pPr>
              <w:jc w:val="center"/>
              <w:rPr>
                <w:rFonts w:ascii="宋体" w:hAnsi="宋体"/>
                <w:b/>
                <w:sz w:val="22"/>
                <w:szCs w:val="22"/>
              </w:rPr>
            </w:pPr>
          </w:p>
        </w:tc>
        <w:tc>
          <w:tcPr>
            <w:tcW w:w="3632" w:type="dxa"/>
            <w:noWrap w:val="0"/>
            <w:vAlign w:val="center"/>
          </w:tcPr>
          <w:p>
            <w:pPr>
              <w:jc w:val="center"/>
              <w:rPr>
                <w:rFonts w:ascii="宋体" w:hAnsi="宋体"/>
                <w:b/>
                <w:sz w:val="22"/>
                <w:szCs w:val="22"/>
              </w:rPr>
            </w:pPr>
          </w:p>
        </w:tc>
        <w:tc>
          <w:tcPr>
            <w:tcW w:w="972" w:type="dxa"/>
            <w:noWrap w:val="0"/>
            <w:vAlign w:val="center"/>
          </w:tcPr>
          <w:p>
            <w:pPr>
              <w:snapToGrid w:val="0"/>
              <w:spacing w:line="400" w:lineRule="atLeast"/>
              <w:jc w:val="center"/>
              <w:rPr>
                <w:rFonts w:ascii="宋体" w:hAnsi="宋体"/>
                <w:b/>
                <w:sz w:val="22"/>
                <w:szCs w:val="22"/>
              </w:rPr>
            </w:pPr>
          </w:p>
        </w:tc>
        <w:tc>
          <w:tcPr>
            <w:tcW w:w="1134" w:type="dxa"/>
            <w:noWrap w:val="0"/>
            <w:vAlign w:val="center"/>
          </w:tcPr>
          <w:p>
            <w:pPr>
              <w:jc w:val="center"/>
              <w:rPr>
                <w:rFonts w:ascii="宋体" w:hAnsi="宋体"/>
                <w:b/>
                <w:sz w:val="22"/>
                <w:szCs w:val="22"/>
              </w:rPr>
            </w:pPr>
          </w:p>
        </w:tc>
        <w:tc>
          <w:tcPr>
            <w:tcW w:w="1136" w:type="dxa"/>
            <w:noWrap w:val="0"/>
            <w:vAlign w:val="center"/>
          </w:tcPr>
          <w:p>
            <w:pPr>
              <w:jc w:val="center"/>
              <w:rPr>
                <w:rFonts w:ascii="宋体" w:hAnsi="宋体"/>
                <w:b/>
                <w:sz w:val="22"/>
                <w:szCs w:val="22"/>
              </w:rPr>
            </w:pPr>
          </w:p>
        </w:tc>
        <w:tc>
          <w:tcPr>
            <w:tcW w:w="698" w:type="dxa"/>
            <w:noWrap w:val="0"/>
            <w:vAlign w:val="center"/>
          </w:tcPr>
          <w:p>
            <w:pPr>
              <w:jc w:val="center"/>
              <w:rPr>
                <w:rFonts w:ascii="宋体" w:hAnsi="宋体"/>
                <w:b/>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8" w:hRule="atLeast"/>
        </w:trPr>
        <w:tc>
          <w:tcPr>
            <w:tcW w:w="5918" w:type="dxa"/>
            <w:gridSpan w:val="3"/>
            <w:noWrap w:val="0"/>
            <w:vAlign w:val="center"/>
          </w:tcPr>
          <w:p>
            <w:pPr>
              <w:jc w:val="center"/>
              <w:rPr>
                <w:rFonts w:ascii="宋体" w:hAnsi="宋体"/>
                <w:b/>
                <w:sz w:val="22"/>
                <w:szCs w:val="22"/>
              </w:rPr>
            </w:pPr>
            <w:r>
              <w:rPr>
                <w:rFonts w:hint="eastAsia" w:ascii="宋体" w:hAnsi="宋体"/>
                <w:b/>
                <w:sz w:val="22"/>
                <w:szCs w:val="22"/>
              </w:rPr>
              <w:t>合计报价</w:t>
            </w:r>
          </w:p>
        </w:tc>
        <w:tc>
          <w:tcPr>
            <w:tcW w:w="3940" w:type="dxa"/>
            <w:gridSpan w:val="4"/>
            <w:noWrap w:val="0"/>
            <w:vAlign w:val="center"/>
          </w:tcPr>
          <w:p>
            <w:pPr>
              <w:jc w:val="center"/>
              <w:rPr>
                <w:rFonts w:ascii="宋体" w:hAnsi="宋体"/>
                <w:b/>
                <w:sz w:val="22"/>
                <w:szCs w:val="22"/>
              </w:rPr>
            </w:pPr>
          </w:p>
        </w:tc>
      </w:tr>
    </w:tbl>
    <w:p>
      <w:pPr>
        <w:spacing w:line="276" w:lineRule="auto"/>
        <w:rPr>
          <w:rFonts w:ascii="宋体" w:hAnsi="宋体"/>
          <w:szCs w:val="21"/>
        </w:rPr>
      </w:pPr>
    </w:p>
    <w:p>
      <w:pPr>
        <w:spacing w:line="276"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投标人全称（盖章）：</w:t>
      </w:r>
    </w:p>
    <w:p>
      <w:pPr>
        <w:spacing w:line="360" w:lineRule="auto"/>
        <w:rPr>
          <w:rFonts w:hint="eastAsia" w:ascii="宋体" w:hAnsi="宋体"/>
          <w:szCs w:val="21"/>
        </w:rPr>
      </w:pPr>
      <w:r>
        <w:rPr>
          <w:rFonts w:hint="eastAsia" w:ascii="宋体" w:hAnsi="宋体"/>
          <w:szCs w:val="21"/>
        </w:rPr>
        <w:t>授权代表（签字或盖章）：</w:t>
      </w:r>
    </w:p>
    <w:p>
      <w:pPr>
        <w:spacing w:line="360" w:lineRule="auto"/>
        <w:rPr>
          <w:rFonts w:hint="eastAsia"/>
        </w:rPr>
      </w:pPr>
      <w:r>
        <w:rPr>
          <w:rFonts w:hint="eastAsia" w:ascii="宋体" w:hAnsi="宋体"/>
          <w:szCs w:val="21"/>
        </w:rPr>
        <w:t>日    期：   年     月     日</w:t>
      </w:r>
      <w:r>
        <w:tab/>
      </w:r>
    </w:p>
    <w:p>
      <w:pPr>
        <w:rPr>
          <w:rFonts w:ascii="宋体" w:hAnsi="宋体" w:cs="宋体"/>
          <w:bCs/>
          <w:kern w:val="0"/>
          <w:sz w:val="28"/>
          <w:szCs w:val="28"/>
        </w:rPr>
      </w:pPr>
    </w:p>
    <w:p>
      <w:pPr>
        <w:rPr>
          <w:rFonts w:hint="eastAsia" w:ascii="宋体" w:hAnsi="宋体" w:cs="宋体"/>
          <w:bCs/>
          <w:kern w:val="0"/>
          <w:szCs w:val="21"/>
        </w:rPr>
      </w:pPr>
      <w:r>
        <w:rPr>
          <w:rFonts w:hint="eastAsia" w:ascii="宋体" w:hAnsi="宋体" w:cs="宋体"/>
          <w:bCs/>
          <w:kern w:val="0"/>
          <w:szCs w:val="21"/>
        </w:rPr>
        <w:t>注:1.如果按单价计算的结果与总价不一致,以单价为准修正总价。</w:t>
      </w:r>
    </w:p>
    <w:p>
      <w:pPr>
        <w:rPr>
          <w:rFonts w:hint="eastAsia" w:ascii="宋体" w:hAnsi="宋体" w:cs="宋体"/>
          <w:bCs/>
          <w:kern w:val="0"/>
          <w:szCs w:val="21"/>
        </w:rPr>
      </w:pPr>
      <w:r>
        <w:rPr>
          <w:rFonts w:hint="eastAsia" w:ascii="宋体" w:hAnsi="宋体" w:cs="宋体"/>
          <w:bCs/>
          <w:kern w:val="0"/>
          <w:szCs w:val="21"/>
        </w:rPr>
        <w:t xml:space="preserve">   2.如果不提供详细货物明细报价将视为没有实质性响应招标文件。</w:t>
      </w:r>
    </w:p>
    <w:p>
      <w:pPr>
        <w:rPr>
          <w:rFonts w:hint="eastAsia" w:ascii="宋体" w:hAnsi="宋体" w:cs="宋体"/>
          <w:bCs/>
          <w:kern w:val="0"/>
          <w:szCs w:val="21"/>
        </w:rPr>
      </w:pPr>
      <w:r>
        <w:rPr>
          <w:rFonts w:hint="eastAsia" w:ascii="宋体" w:hAnsi="宋体" w:cs="宋体"/>
          <w:bCs/>
          <w:kern w:val="0"/>
          <w:szCs w:val="21"/>
        </w:rPr>
        <w:t xml:space="preserve">   3.上述各项的详细分项报价，应另页描述。</w:t>
      </w:r>
    </w:p>
    <w:p>
      <w:pPr>
        <w:ind w:firstLine="210" w:firstLineChars="100"/>
        <w:rPr>
          <w:rFonts w:hint="eastAsia" w:ascii="宋体" w:hAnsi="宋体" w:cs="宋体"/>
          <w:bCs/>
          <w:kern w:val="0"/>
          <w:szCs w:val="21"/>
        </w:rPr>
      </w:pPr>
      <w:r>
        <w:rPr>
          <w:rFonts w:hint="eastAsia" w:ascii="宋体" w:hAnsi="宋体" w:cs="宋体"/>
          <w:bCs/>
          <w:kern w:val="0"/>
          <w:szCs w:val="21"/>
        </w:rPr>
        <w:t>详细货物明细报价要求：</w:t>
      </w:r>
    </w:p>
    <w:p>
      <w:pPr>
        <w:ind w:firstLine="525" w:firstLineChars="250"/>
        <w:rPr>
          <w:rFonts w:hint="eastAsia" w:ascii="宋体" w:hAnsi="宋体" w:cs="宋体"/>
          <w:bCs/>
          <w:kern w:val="0"/>
          <w:szCs w:val="21"/>
        </w:rPr>
      </w:pPr>
      <w:r>
        <w:rPr>
          <w:rFonts w:hint="eastAsia" w:ascii="宋体" w:hAnsi="宋体" w:cs="宋体"/>
          <w:bCs/>
          <w:kern w:val="0"/>
          <w:szCs w:val="21"/>
        </w:rPr>
        <w:t>投标书中的报价必须具体详细，应说明系统配套装置内容，如各项功能、系统软件、配件、组件、附件等。</w:t>
      </w:r>
    </w:p>
    <w:p>
      <w:pPr>
        <w:ind w:firstLine="525" w:firstLineChars="250"/>
        <w:rPr>
          <w:rFonts w:hint="eastAsia" w:ascii="宋体" w:hAnsi="宋体" w:cs="宋体"/>
          <w:bCs/>
          <w:kern w:val="0"/>
          <w:szCs w:val="21"/>
        </w:rPr>
      </w:pPr>
      <w:r>
        <w:rPr>
          <w:rFonts w:hint="eastAsia" w:ascii="Arial" w:hAnsi="Arial" w:cs="Arial"/>
          <w:color w:val="000000"/>
          <w:szCs w:val="21"/>
          <w:shd w:val="clear" w:color="auto" w:fill="FFFFFF"/>
        </w:rPr>
        <w:t>4.</w:t>
      </w:r>
      <w:r>
        <w:rPr>
          <w:rFonts w:ascii="Arial" w:hAnsi="Arial" w:cs="Arial"/>
          <w:color w:val="000000"/>
          <w:szCs w:val="21"/>
          <w:shd w:val="clear" w:color="auto" w:fill="FFFFFF"/>
        </w:rPr>
        <w:t xml:space="preserve"> 备品备件</w:t>
      </w:r>
      <w:r>
        <w:rPr>
          <w:rFonts w:hint="eastAsia" w:ascii="Arial" w:hAnsi="Arial" w:cs="Arial"/>
          <w:color w:val="000000"/>
          <w:szCs w:val="21"/>
          <w:shd w:val="clear" w:color="auto" w:fill="FFFFFF"/>
        </w:rPr>
        <w:t>必须响应本招标文件要求。</w:t>
      </w:r>
    </w:p>
    <w:p>
      <w:pPr>
        <w:ind w:firstLine="525" w:firstLineChars="250"/>
        <w:rPr>
          <w:rFonts w:hint="eastAsia" w:ascii="宋体" w:hAnsi="宋体" w:cs="宋体"/>
          <w:bCs/>
          <w:kern w:val="0"/>
          <w:szCs w:val="21"/>
        </w:rPr>
      </w:pPr>
      <w:r>
        <w:rPr>
          <w:rFonts w:hint="eastAsia" w:ascii="宋体" w:hAnsi="宋体" w:cs="宋体"/>
          <w:bCs/>
          <w:kern w:val="0"/>
          <w:szCs w:val="21"/>
        </w:rPr>
        <w:t>报价方式：人民币报价。</w:t>
      </w:r>
    </w:p>
    <w:p>
      <w:pPr>
        <w:rPr>
          <w:rFonts w:hint="eastAsia" w:ascii="宋体" w:hAnsi="宋体" w:cs="宋体"/>
          <w:bCs/>
          <w:kern w:val="0"/>
          <w:szCs w:val="21"/>
        </w:rPr>
        <w:sectPr>
          <w:pgSz w:w="11907" w:h="16840"/>
          <w:pgMar w:top="1304" w:right="1247" w:bottom="1418" w:left="1304" w:header="720" w:footer="720" w:gutter="0"/>
          <w:cols w:space="720" w:num="1"/>
          <w:docGrid w:linePitch="380" w:charSpace="0"/>
        </w:sectPr>
      </w:pPr>
    </w:p>
    <w:p>
      <w:pPr>
        <w:pStyle w:val="5"/>
        <w:tabs>
          <w:tab w:val="left" w:pos="3600"/>
        </w:tabs>
        <w:spacing w:before="0" w:after="120" w:line="700" w:lineRule="exact"/>
        <w:rPr>
          <w:rFonts w:hint="eastAsia" w:ascii="宋体" w:hAnsi="宋体" w:cs="宋体"/>
        </w:rPr>
      </w:pPr>
      <w:r>
        <w:rPr>
          <w:rFonts w:hint="eastAsia" w:ascii="宋体" w:hAnsi="宋体" w:cs="宋体"/>
        </w:rPr>
        <w:t>技术部分</w:t>
      </w:r>
    </w:p>
    <w:p>
      <w:pPr>
        <w:adjustRightInd w:val="0"/>
        <w:snapToGrid w:val="0"/>
        <w:spacing w:line="460" w:lineRule="atLeast"/>
        <w:ind w:left="360" w:hanging="360" w:hangingChars="100"/>
        <w:rPr>
          <w:rFonts w:hint="eastAsia" w:ascii="宋体" w:hAnsi="宋体" w:cs="宋体"/>
          <w:spacing w:val="20"/>
          <w:sz w:val="32"/>
          <w:szCs w:val="32"/>
        </w:rPr>
      </w:pPr>
      <w:r>
        <w:rPr>
          <w:rFonts w:hint="eastAsia" w:ascii="宋体" w:hAnsi="宋体" w:cs="宋体"/>
          <w:spacing w:val="20"/>
          <w:sz w:val="32"/>
          <w:szCs w:val="32"/>
        </w:rPr>
        <w:t>（密封封面格式）（仅供参考）</w:t>
      </w:r>
    </w:p>
    <w:p>
      <w:pPr>
        <w:adjustRightInd w:val="0"/>
        <w:snapToGrid w:val="0"/>
        <w:spacing w:line="460" w:lineRule="atLeast"/>
        <w:ind w:left="360" w:hanging="360" w:hangingChars="100"/>
        <w:rPr>
          <w:rFonts w:hint="eastAsia" w:ascii="宋体" w:hAnsi="宋体" w:cs="宋体"/>
          <w:spacing w:val="20"/>
          <w:sz w:val="32"/>
          <w:szCs w:val="32"/>
        </w:rPr>
      </w:pPr>
    </w:p>
    <w:p>
      <w:pPr>
        <w:adjustRightInd w:val="0"/>
        <w:snapToGrid w:val="0"/>
        <w:spacing w:line="460" w:lineRule="atLeast"/>
        <w:ind w:left="360" w:hanging="360" w:hangingChars="100"/>
        <w:rPr>
          <w:rFonts w:hint="eastAsia" w:ascii="宋体" w:hAnsi="宋体" w:cs="宋体"/>
          <w:spacing w:val="20"/>
          <w:sz w:val="32"/>
          <w:szCs w:val="32"/>
        </w:rPr>
      </w:pPr>
    </w:p>
    <w:p>
      <w:pPr>
        <w:adjustRightInd w:val="0"/>
        <w:snapToGrid w:val="0"/>
        <w:spacing w:line="460" w:lineRule="atLeast"/>
        <w:ind w:left="400" w:hanging="400" w:hangingChars="100"/>
        <w:rPr>
          <w:rFonts w:hint="eastAsia" w:ascii="宋体" w:hAnsi="宋体" w:cs="宋体"/>
          <w:spacing w:val="20"/>
          <w:sz w:val="36"/>
          <w:szCs w:val="36"/>
        </w:rPr>
      </w:pPr>
    </w:p>
    <w:p>
      <w:pPr>
        <w:spacing w:line="360" w:lineRule="auto"/>
        <w:jc w:val="center"/>
        <w:rPr>
          <w:rFonts w:hint="eastAsia" w:ascii="宋体" w:hAnsi="宋体" w:cs="宋体"/>
          <w:sz w:val="96"/>
          <w:szCs w:val="22"/>
        </w:rPr>
      </w:pPr>
      <w:r>
        <w:rPr>
          <w:rFonts w:hint="eastAsia" w:ascii="宋体" w:hAnsi="宋体" w:cs="宋体"/>
          <w:sz w:val="96"/>
          <w:szCs w:val="22"/>
        </w:rPr>
        <w:t>技术资信投标文件</w:t>
      </w:r>
    </w:p>
    <w:p>
      <w:pPr>
        <w:spacing w:line="360" w:lineRule="auto"/>
        <w:jc w:val="center"/>
        <w:rPr>
          <w:rFonts w:hint="eastAsia" w:ascii="宋体" w:hAnsi="宋体" w:cs="宋体"/>
          <w:sz w:val="44"/>
          <w:szCs w:val="44"/>
        </w:rPr>
      </w:pPr>
      <w:r>
        <w:rPr>
          <w:rFonts w:hint="eastAsia" w:ascii="宋体" w:hAnsi="宋体" w:cs="宋体"/>
          <w:sz w:val="44"/>
          <w:szCs w:val="44"/>
        </w:rPr>
        <w:t>开标时启封</w:t>
      </w:r>
    </w:p>
    <w:p>
      <w:pPr>
        <w:spacing w:line="360" w:lineRule="auto"/>
        <w:rPr>
          <w:rFonts w:hint="eastAsia" w:ascii="宋体" w:hAnsi="宋体" w:cs="宋体"/>
          <w:szCs w:val="22"/>
        </w:rPr>
      </w:pPr>
    </w:p>
    <w:p>
      <w:pPr>
        <w:spacing w:line="360" w:lineRule="auto"/>
        <w:ind w:firstLine="1271" w:firstLineChars="454"/>
        <w:rPr>
          <w:rFonts w:hint="eastAsia" w:ascii="宋体" w:hAnsi="宋体" w:cs="宋体"/>
          <w:sz w:val="36"/>
          <w:szCs w:val="22"/>
          <w:u w:val="single"/>
        </w:rPr>
      </w:pPr>
      <w:r>
        <w:rPr>
          <w:rFonts w:hint="eastAsia" w:ascii="宋体" w:hAnsi="宋体" w:cs="宋体"/>
          <w:sz w:val="28"/>
          <w:szCs w:val="22"/>
        </w:rPr>
        <w:t>项目名称：</w:t>
      </w:r>
      <w:r>
        <w:rPr>
          <w:rFonts w:hint="eastAsia" w:ascii="宋体" w:hAnsi="宋体" w:cs="宋体"/>
          <w:sz w:val="28"/>
          <w:szCs w:val="22"/>
          <w:u w:val="single"/>
        </w:rPr>
        <w:t xml:space="preserve">                                  </w:t>
      </w:r>
    </w:p>
    <w:p>
      <w:pPr>
        <w:spacing w:line="360" w:lineRule="auto"/>
        <w:ind w:firstLine="1271" w:firstLineChars="454"/>
        <w:rPr>
          <w:rFonts w:hint="eastAsia" w:ascii="宋体" w:hAnsi="宋体" w:cs="宋体"/>
          <w:sz w:val="28"/>
          <w:szCs w:val="22"/>
          <w:u w:val="single"/>
        </w:rPr>
      </w:pPr>
      <w:r>
        <w:rPr>
          <w:rFonts w:hint="eastAsia" w:ascii="宋体" w:hAnsi="宋体" w:cs="宋体"/>
          <w:sz w:val="28"/>
          <w:szCs w:val="22"/>
        </w:rPr>
        <w:t>项目编号：</w:t>
      </w:r>
      <w:r>
        <w:rPr>
          <w:rFonts w:hint="eastAsia" w:ascii="宋体" w:hAnsi="宋体" w:cs="宋体"/>
          <w:sz w:val="28"/>
          <w:szCs w:val="22"/>
          <w:u w:val="single"/>
        </w:rPr>
        <w:t xml:space="preserve">                                  </w:t>
      </w:r>
    </w:p>
    <w:p>
      <w:pPr>
        <w:spacing w:line="360" w:lineRule="auto"/>
        <w:ind w:firstLine="1271" w:firstLineChars="454"/>
        <w:rPr>
          <w:rFonts w:hint="eastAsia" w:ascii="宋体" w:hAnsi="宋体" w:cs="宋体"/>
          <w:sz w:val="28"/>
          <w:szCs w:val="22"/>
        </w:rPr>
      </w:pPr>
      <w:r>
        <w:rPr>
          <w:rFonts w:hint="eastAsia" w:ascii="宋体" w:hAnsi="宋体" w:cs="宋体"/>
          <w:sz w:val="28"/>
          <w:szCs w:val="22"/>
        </w:rPr>
        <w:t>采 购 人：</w:t>
      </w:r>
      <w:r>
        <w:rPr>
          <w:rFonts w:hint="eastAsia" w:ascii="宋体" w:hAnsi="宋体" w:cs="宋体"/>
          <w:sz w:val="28"/>
          <w:szCs w:val="22"/>
          <w:u w:val="single"/>
        </w:rPr>
        <w:t xml:space="preserve">                                  </w:t>
      </w:r>
    </w:p>
    <w:p>
      <w:pPr>
        <w:spacing w:line="360" w:lineRule="auto"/>
        <w:ind w:firstLine="1271" w:firstLineChars="454"/>
        <w:rPr>
          <w:rFonts w:hint="eastAsia" w:ascii="宋体" w:hAnsi="宋体" w:cs="宋体"/>
          <w:sz w:val="28"/>
          <w:szCs w:val="22"/>
          <w:u w:val="single"/>
        </w:rPr>
      </w:pPr>
      <w:r>
        <w:rPr>
          <w:rFonts w:hint="eastAsia" w:ascii="宋体" w:hAnsi="宋体" w:cs="宋体"/>
          <w:sz w:val="28"/>
          <w:szCs w:val="22"/>
        </w:rPr>
        <w:t>投标单位（盖章）：</w:t>
      </w:r>
      <w:r>
        <w:rPr>
          <w:rFonts w:hint="eastAsia" w:ascii="宋体" w:hAnsi="宋体" w:cs="宋体"/>
          <w:sz w:val="28"/>
          <w:szCs w:val="22"/>
          <w:u w:val="single"/>
        </w:rPr>
        <w:t xml:space="preserve">                          </w:t>
      </w:r>
    </w:p>
    <w:p>
      <w:pPr>
        <w:spacing w:line="360" w:lineRule="auto"/>
        <w:ind w:firstLine="1271" w:firstLineChars="454"/>
        <w:rPr>
          <w:rFonts w:hint="eastAsia" w:ascii="宋体" w:hAnsi="宋体" w:cs="宋体"/>
          <w:sz w:val="28"/>
          <w:szCs w:val="22"/>
          <w:u w:val="single"/>
        </w:rPr>
      </w:pPr>
      <w:r>
        <w:rPr>
          <w:rFonts w:hint="eastAsia" w:ascii="宋体" w:hAnsi="宋体" w:cs="宋体"/>
          <w:sz w:val="28"/>
          <w:szCs w:val="22"/>
        </w:rPr>
        <w:t>投标人地址：</w:t>
      </w:r>
      <w:r>
        <w:rPr>
          <w:rFonts w:hint="eastAsia" w:ascii="宋体" w:hAnsi="宋体" w:cs="宋体"/>
          <w:sz w:val="28"/>
          <w:szCs w:val="22"/>
          <w:u w:val="single"/>
        </w:rPr>
        <w:t xml:space="preserve">                                </w:t>
      </w:r>
    </w:p>
    <w:p>
      <w:pPr>
        <w:spacing w:line="360" w:lineRule="auto"/>
        <w:ind w:firstLine="1271" w:firstLineChars="454"/>
        <w:rPr>
          <w:rFonts w:hint="eastAsia" w:ascii="宋体" w:hAnsi="宋体" w:cs="宋体"/>
          <w:sz w:val="28"/>
          <w:szCs w:val="22"/>
          <w:u w:val="single"/>
        </w:rPr>
      </w:pPr>
      <w:r>
        <w:rPr>
          <w:rFonts w:hint="eastAsia" w:ascii="宋体" w:hAnsi="宋体" w:cs="宋体"/>
          <w:sz w:val="28"/>
          <w:szCs w:val="22"/>
        </w:rPr>
        <w:t>授权代表（签字或盖章）：</w:t>
      </w:r>
      <w:r>
        <w:rPr>
          <w:rFonts w:hint="eastAsia" w:ascii="宋体" w:hAnsi="宋体" w:cs="宋体"/>
          <w:sz w:val="28"/>
          <w:szCs w:val="22"/>
          <w:u w:val="single"/>
        </w:rPr>
        <w:t xml:space="preserve">                    </w:t>
      </w:r>
    </w:p>
    <w:p>
      <w:pPr>
        <w:spacing w:line="360" w:lineRule="auto"/>
        <w:ind w:firstLine="1271" w:firstLineChars="454"/>
        <w:rPr>
          <w:rFonts w:hint="eastAsia" w:ascii="宋体" w:hAnsi="宋体" w:cs="宋体"/>
          <w:sz w:val="28"/>
          <w:szCs w:val="22"/>
          <w:u w:val="single"/>
        </w:rPr>
      </w:pPr>
      <w:r>
        <w:rPr>
          <w:rFonts w:hint="eastAsia" w:ascii="宋体" w:hAnsi="宋体" w:cs="宋体"/>
          <w:sz w:val="28"/>
          <w:szCs w:val="22"/>
        </w:rPr>
        <w:t>日期：</w:t>
      </w:r>
      <w:r>
        <w:rPr>
          <w:rFonts w:hint="eastAsia" w:ascii="宋体" w:hAnsi="宋体" w:cs="宋体"/>
          <w:sz w:val="28"/>
          <w:szCs w:val="22"/>
          <w:u w:val="single"/>
        </w:rPr>
        <w:t xml:space="preserve">                                      </w:t>
      </w:r>
    </w:p>
    <w:p>
      <w:pPr>
        <w:pStyle w:val="5"/>
        <w:pageBreakBefore/>
        <w:ind w:firstLine="218" w:firstLineChars="68"/>
        <w:jc w:val="center"/>
        <w:rPr>
          <w:rFonts w:hint="eastAsia" w:ascii="宋体" w:hAnsi="宋体"/>
        </w:rPr>
      </w:pPr>
      <w:r>
        <w:rPr>
          <w:rFonts w:hint="eastAsia"/>
        </w:rPr>
        <w:t>附件三  投标函</w:t>
      </w:r>
    </w:p>
    <w:p>
      <w:pPr>
        <w:pStyle w:val="11"/>
        <w:adjustRightInd w:val="0"/>
        <w:snapToGrid w:val="0"/>
        <w:spacing w:line="500" w:lineRule="exact"/>
        <w:rPr>
          <w:rFonts w:hint="eastAsia" w:hAnsi="宋体" w:cs="宋体"/>
          <w:szCs w:val="21"/>
          <w:u w:val="single"/>
        </w:rPr>
      </w:pPr>
      <w:r>
        <w:rPr>
          <w:rFonts w:hint="eastAsia" w:hAnsi="宋体" w:cs="宋体"/>
          <w:szCs w:val="21"/>
          <w:u w:val="single"/>
        </w:rPr>
        <w:t>温州平苍引水有限公司：</w:t>
      </w:r>
    </w:p>
    <w:p>
      <w:pPr>
        <w:autoSpaceDE w:val="0"/>
        <w:autoSpaceDN w:val="0"/>
        <w:adjustRightInd w:val="0"/>
        <w:spacing w:line="440" w:lineRule="atLeast"/>
        <w:rPr>
          <w:rFonts w:hint="eastAsia" w:ascii="宋体" w:hAnsi="宋体" w:cs="宋体"/>
          <w:szCs w:val="21"/>
          <w:lang w:val="zh-CN"/>
        </w:rPr>
      </w:pPr>
      <w:r>
        <w:rPr>
          <w:rFonts w:hint="eastAsia" w:ascii="宋体" w:hAnsi="宋体" w:cs="宋体"/>
          <w:szCs w:val="21"/>
        </w:rPr>
        <w:t xml:space="preserve">    </w:t>
      </w:r>
      <w:r>
        <w:rPr>
          <w:rFonts w:hint="eastAsia" w:ascii="宋体" w:hAnsi="宋体" w:cs="宋体"/>
          <w:szCs w:val="21"/>
          <w:lang w:val="zh-CN"/>
        </w:rPr>
        <w:t xml:space="preserve"> </w:t>
      </w:r>
      <w:r>
        <w:rPr>
          <w:rFonts w:hint="eastAsia" w:ascii="宋体" w:hAnsi="宋体" w:cs="宋体"/>
          <w:szCs w:val="21"/>
          <w:u w:val="single"/>
          <w:lang w:val="zh-CN"/>
        </w:rPr>
        <w:t xml:space="preserve">                    </w:t>
      </w:r>
      <w:r>
        <w:rPr>
          <w:rFonts w:hint="eastAsia" w:ascii="宋体" w:hAnsi="宋体" w:cs="宋体"/>
          <w:szCs w:val="21"/>
          <w:lang w:val="zh-CN"/>
        </w:rPr>
        <w:t>（供应商全称）授权</w:t>
      </w:r>
      <w:r>
        <w:rPr>
          <w:rFonts w:hint="eastAsia" w:ascii="宋体" w:hAnsi="宋体" w:cs="宋体"/>
          <w:szCs w:val="21"/>
          <w:u w:val="single"/>
          <w:lang w:val="zh-CN"/>
        </w:rPr>
        <w:t xml:space="preserve">              </w:t>
      </w:r>
      <w:r>
        <w:rPr>
          <w:rFonts w:hint="eastAsia" w:ascii="宋体" w:hAnsi="宋体" w:cs="宋体"/>
          <w:szCs w:val="21"/>
          <w:lang w:val="zh-CN"/>
        </w:rPr>
        <w:t xml:space="preserve"> （授权代表名称）</w:t>
      </w:r>
      <w:r>
        <w:rPr>
          <w:rFonts w:hint="eastAsia" w:ascii="宋体" w:hAnsi="宋体" w:cs="宋体"/>
          <w:szCs w:val="21"/>
          <w:u w:val="single"/>
          <w:lang w:val="zh-CN"/>
        </w:rPr>
        <w:t xml:space="preserve">         </w:t>
      </w:r>
      <w:r>
        <w:rPr>
          <w:rFonts w:hint="eastAsia" w:ascii="宋体" w:hAnsi="宋体" w:cs="宋体"/>
          <w:szCs w:val="21"/>
          <w:lang w:val="zh-CN"/>
        </w:rPr>
        <w:t>（职务、职称）为授权代表，参加贵方组织的</w:t>
      </w:r>
      <w:r>
        <w:rPr>
          <w:rFonts w:hint="eastAsia" w:ascii="宋体" w:hAnsi="宋体" w:cs="宋体"/>
          <w:szCs w:val="21"/>
          <w:u w:val="single"/>
          <w:lang w:val="zh-CN"/>
        </w:rPr>
        <w:t xml:space="preserve">           </w:t>
      </w:r>
      <w:r>
        <w:rPr>
          <w:rFonts w:hint="eastAsia" w:ascii="宋体" w:hAnsi="宋体" w:cs="宋体"/>
          <w:szCs w:val="21"/>
          <w:lang w:val="zh-CN"/>
        </w:rPr>
        <w:t>（招标项目名称）（括号内填投标编号）招标的有关活动，为此：并对</w:t>
      </w:r>
      <w:r>
        <w:rPr>
          <w:rFonts w:hint="eastAsia" w:ascii="宋体" w:hAnsi="宋体" w:cs="宋体"/>
          <w:szCs w:val="21"/>
          <w:u w:val="single"/>
          <w:lang w:val="zh-CN"/>
        </w:rPr>
        <w:t xml:space="preserve">            </w:t>
      </w:r>
      <w:r>
        <w:rPr>
          <w:rFonts w:hint="eastAsia" w:ascii="宋体" w:hAnsi="宋体" w:cs="宋体"/>
          <w:szCs w:val="21"/>
          <w:lang w:val="zh-CN"/>
        </w:rPr>
        <w:t xml:space="preserve">项目（采购项目名称）进行投标。   </w:t>
      </w:r>
    </w:p>
    <w:p>
      <w:pPr>
        <w:autoSpaceDE w:val="0"/>
        <w:autoSpaceDN w:val="0"/>
        <w:adjustRightInd w:val="0"/>
        <w:spacing w:line="440" w:lineRule="atLeast"/>
        <w:ind w:left="1" w:firstLine="558" w:firstLineChars="266"/>
        <w:rPr>
          <w:rFonts w:hint="eastAsia" w:ascii="宋体" w:hAnsi="宋体" w:cs="宋体"/>
          <w:szCs w:val="21"/>
          <w:lang w:val="zh-CN"/>
        </w:rPr>
      </w:pPr>
      <w:r>
        <w:rPr>
          <w:rFonts w:hint="eastAsia" w:ascii="宋体" w:hAnsi="宋体" w:cs="宋体"/>
          <w:szCs w:val="21"/>
          <w:lang w:val="zh-CN"/>
        </w:rPr>
        <w:t>1、提供供应商须知规定的全部响应文件：</w:t>
      </w:r>
    </w:p>
    <w:p>
      <w:pPr>
        <w:autoSpaceDE w:val="0"/>
        <w:autoSpaceDN w:val="0"/>
        <w:adjustRightInd w:val="0"/>
        <w:spacing w:line="440" w:lineRule="atLeast"/>
        <w:ind w:left="1" w:firstLine="558" w:firstLineChars="266"/>
        <w:rPr>
          <w:rFonts w:hint="eastAsia" w:ascii="宋体" w:hAnsi="宋体" w:cs="宋体"/>
          <w:szCs w:val="21"/>
          <w:lang w:val="zh-CN"/>
        </w:rPr>
      </w:pPr>
      <w:r>
        <w:rPr>
          <w:rFonts w:hint="eastAsia" w:ascii="宋体" w:hAnsi="宋体" w:cs="宋体"/>
          <w:szCs w:val="21"/>
          <w:lang w:val="zh-CN"/>
        </w:rPr>
        <w:t>2、保证遵守招标文件中的有关规定和收费标准。</w:t>
      </w:r>
    </w:p>
    <w:p>
      <w:pPr>
        <w:autoSpaceDE w:val="0"/>
        <w:autoSpaceDN w:val="0"/>
        <w:adjustRightInd w:val="0"/>
        <w:spacing w:line="440" w:lineRule="atLeast"/>
        <w:ind w:left="1" w:firstLine="558" w:firstLineChars="266"/>
        <w:rPr>
          <w:rFonts w:hint="eastAsia" w:ascii="宋体" w:hAnsi="宋体" w:cs="宋体"/>
          <w:szCs w:val="21"/>
          <w:lang w:val="zh-CN"/>
        </w:rPr>
      </w:pPr>
      <w:r>
        <w:rPr>
          <w:rFonts w:hint="eastAsia" w:ascii="宋体" w:hAnsi="宋体" w:cs="宋体"/>
          <w:szCs w:val="21"/>
          <w:lang w:val="zh-CN"/>
        </w:rPr>
        <w:t>3、保证忠实地执行采购人、中标供应商双方所签的合同， 并承担合同规定的责任义务。</w:t>
      </w:r>
    </w:p>
    <w:p>
      <w:pPr>
        <w:autoSpaceDE w:val="0"/>
        <w:autoSpaceDN w:val="0"/>
        <w:adjustRightInd w:val="0"/>
        <w:spacing w:line="440" w:lineRule="atLeast"/>
        <w:ind w:left="1" w:firstLine="558" w:firstLineChars="266"/>
        <w:rPr>
          <w:rFonts w:hint="eastAsia" w:ascii="宋体" w:hAnsi="宋体" w:cs="宋体"/>
          <w:szCs w:val="21"/>
          <w:lang w:val="zh-CN"/>
        </w:rPr>
      </w:pPr>
      <w:r>
        <w:rPr>
          <w:rFonts w:hint="eastAsia" w:ascii="宋体" w:hAnsi="宋体" w:cs="宋体"/>
          <w:szCs w:val="21"/>
          <w:lang w:val="zh-CN"/>
        </w:rPr>
        <w:t>4、我方承诺在合同生效后，</w:t>
      </w:r>
      <w:r>
        <w:rPr>
          <w:rFonts w:hint="eastAsia" w:ascii="宋体" w:hAnsi="宋体" w:cs="宋体"/>
          <w:b/>
          <w:szCs w:val="21"/>
          <w:u w:val="single"/>
          <w:lang w:val="zh-CN"/>
        </w:rPr>
        <w:t>按采购人要求完成本项目</w:t>
      </w:r>
      <w:r>
        <w:rPr>
          <w:rFonts w:hint="eastAsia" w:ascii="宋体" w:hAnsi="宋体" w:cs="宋体"/>
          <w:szCs w:val="21"/>
          <w:lang w:val="zh-CN"/>
        </w:rPr>
        <w:t>。</w:t>
      </w:r>
    </w:p>
    <w:p>
      <w:pPr>
        <w:autoSpaceDE w:val="0"/>
        <w:autoSpaceDN w:val="0"/>
        <w:adjustRightInd w:val="0"/>
        <w:spacing w:line="440" w:lineRule="atLeast"/>
        <w:ind w:left="1" w:firstLine="558" w:firstLineChars="266"/>
        <w:rPr>
          <w:rFonts w:hint="eastAsia" w:ascii="宋体" w:hAnsi="宋体" w:cs="宋体"/>
          <w:szCs w:val="21"/>
          <w:lang w:val="zh-CN"/>
        </w:rPr>
      </w:pPr>
      <w:r>
        <w:rPr>
          <w:rFonts w:hint="eastAsia" w:ascii="宋体" w:hAnsi="宋体" w:cs="宋体"/>
          <w:szCs w:val="21"/>
          <w:lang w:val="zh-CN"/>
        </w:rPr>
        <w:t>5、供应商已详细审查全部招标文件，包括招标文件补充文件（如果有的话）。我方完全理解并同意放弃对这方面有不明及误解的权力。如果招标文件有相互矛盾之处，我方同意按采购人的理解处理。</w:t>
      </w:r>
    </w:p>
    <w:p>
      <w:pPr>
        <w:spacing w:line="340" w:lineRule="exact"/>
        <w:ind w:left="1" w:firstLine="558" w:firstLineChars="266"/>
        <w:rPr>
          <w:rFonts w:hint="eastAsia" w:ascii="宋体" w:hAnsi="宋体" w:cs="宋体"/>
          <w:szCs w:val="21"/>
        </w:rPr>
      </w:pPr>
      <w:r>
        <w:rPr>
          <w:rFonts w:hint="eastAsia" w:ascii="宋体" w:hAnsi="宋体" w:cs="宋体"/>
          <w:szCs w:val="21"/>
        </w:rPr>
        <w:t>6、利益冲突：近三年内直至目前，我公司与本项目的采购人、招标代理机构没有任何的隶属关系。</w:t>
      </w:r>
    </w:p>
    <w:p>
      <w:pPr>
        <w:autoSpaceDE w:val="0"/>
        <w:autoSpaceDN w:val="0"/>
        <w:adjustRightInd w:val="0"/>
        <w:spacing w:line="440" w:lineRule="atLeast"/>
        <w:ind w:left="1" w:firstLine="558" w:firstLineChars="266"/>
        <w:rPr>
          <w:rFonts w:hint="eastAsia" w:ascii="宋体" w:hAnsi="宋体" w:cs="宋体"/>
          <w:szCs w:val="21"/>
          <w:lang w:val="zh-CN"/>
        </w:rPr>
      </w:pPr>
      <w:r>
        <w:rPr>
          <w:rFonts w:hint="eastAsia" w:ascii="宋体" w:hAnsi="宋体" w:cs="宋体"/>
          <w:szCs w:val="21"/>
        </w:rPr>
        <w:t>7、</w:t>
      </w:r>
      <w:r>
        <w:rPr>
          <w:rFonts w:hint="eastAsia" w:ascii="宋体" w:hAnsi="宋体" w:cs="宋体"/>
          <w:bCs/>
          <w:szCs w:val="21"/>
        </w:rPr>
        <w:t>我公司没有被浙江省财政厅、温州市财政局及本项目所在地的政府采购管理部门限制参加投标。</w:t>
      </w:r>
    </w:p>
    <w:p>
      <w:pPr>
        <w:autoSpaceDE w:val="0"/>
        <w:autoSpaceDN w:val="0"/>
        <w:adjustRightInd w:val="0"/>
        <w:spacing w:line="440" w:lineRule="atLeast"/>
        <w:ind w:left="1" w:firstLine="558" w:firstLineChars="266"/>
        <w:rPr>
          <w:rFonts w:hint="eastAsia" w:ascii="宋体" w:hAnsi="宋体" w:cs="宋体"/>
          <w:szCs w:val="21"/>
          <w:lang w:val="zh-CN"/>
        </w:rPr>
      </w:pPr>
      <w:r>
        <w:rPr>
          <w:rFonts w:hint="eastAsia" w:ascii="宋体" w:hAnsi="宋体" w:cs="宋体"/>
          <w:szCs w:val="21"/>
          <w:lang w:val="zh-CN"/>
        </w:rPr>
        <w:t>8、愿意向贵方提供任何与该项投标有关的数据、情况和技术资料，完全理解贵方不一定接受最低价的投标或收到的任何投标。</w:t>
      </w:r>
    </w:p>
    <w:p>
      <w:pPr>
        <w:autoSpaceDE w:val="0"/>
        <w:autoSpaceDN w:val="0"/>
        <w:adjustRightInd w:val="0"/>
        <w:spacing w:line="440" w:lineRule="atLeast"/>
        <w:ind w:left="1" w:firstLine="558" w:firstLineChars="266"/>
        <w:rPr>
          <w:rFonts w:hint="eastAsia" w:ascii="宋体" w:hAnsi="宋体" w:cs="宋体"/>
          <w:szCs w:val="21"/>
          <w:lang w:val="zh-CN"/>
        </w:rPr>
      </w:pPr>
      <w:r>
        <w:rPr>
          <w:rFonts w:hint="eastAsia" w:ascii="宋体" w:hAnsi="宋体" w:cs="宋体"/>
          <w:szCs w:val="21"/>
          <w:lang w:val="zh-CN"/>
        </w:rPr>
        <w:t>9、本投标自开标之日起</w:t>
      </w:r>
      <w:r>
        <w:rPr>
          <w:rFonts w:hint="eastAsia" w:ascii="宋体" w:hAnsi="宋体" w:cs="宋体"/>
          <w:szCs w:val="21"/>
        </w:rPr>
        <w:t>90</w:t>
      </w:r>
      <w:r>
        <w:rPr>
          <w:rFonts w:hint="eastAsia" w:ascii="宋体" w:hAnsi="宋体" w:cs="宋体"/>
          <w:szCs w:val="21"/>
          <w:lang w:val="zh-CN"/>
        </w:rPr>
        <w:t>天内有效。</w:t>
      </w:r>
    </w:p>
    <w:p>
      <w:pPr>
        <w:autoSpaceDE w:val="0"/>
        <w:autoSpaceDN w:val="0"/>
        <w:adjustRightInd w:val="0"/>
        <w:spacing w:line="440" w:lineRule="atLeast"/>
        <w:ind w:left="1" w:firstLine="558" w:firstLineChars="266"/>
        <w:rPr>
          <w:rFonts w:hint="eastAsia" w:ascii="宋体" w:hAnsi="宋体" w:cs="宋体"/>
          <w:szCs w:val="21"/>
          <w:lang w:val="zh-CN"/>
        </w:rPr>
      </w:pPr>
      <w:r>
        <w:rPr>
          <w:rFonts w:hint="eastAsia" w:ascii="宋体" w:hAnsi="宋体" w:cs="宋体"/>
          <w:szCs w:val="21"/>
          <w:lang w:val="zh-CN"/>
        </w:rPr>
        <w:t>10、与本投标有关的一切往来通讯请寄：</w:t>
      </w:r>
    </w:p>
    <w:p>
      <w:pPr>
        <w:autoSpaceDE w:val="0"/>
        <w:autoSpaceDN w:val="0"/>
        <w:adjustRightInd w:val="0"/>
        <w:spacing w:line="440" w:lineRule="atLeast"/>
        <w:ind w:firstLine="558" w:firstLineChars="266"/>
        <w:rPr>
          <w:rFonts w:hint="eastAsia" w:ascii="宋体" w:hAnsi="宋体" w:cs="宋体"/>
          <w:szCs w:val="21"/>
          <w:lang w:val="zh-CN"/>
        </w:rPr>
      </w:pPr>
      <w:r>
        <w:rPr>
          <w:rFonts w:hint="eastAsia" w:ascii="宋体" w:hAnsi="宋体" w:cs="宋体"/>
          <w:szCs w:val="21"/>
          <w:lang w:val="zh-CN"/>
        </w:rPr>
        <w:t>地址：</w:t>
      </w:r>
      <w:r>
        <w:rPr>
          <w:rFonts w:hint="eastAsia" w:ascii="宋体" w:hAnsi="宋体" w:cs="宋体"/>
          <w:szCs w:val="21"/>
          <w:u w:val="single"/>
          <w:lang w:val="zh-CN"/>
        </w:rPr>
        <w:t xml:space="preserve">                                 </w:t>
      </w:r>
    </w:p>
    <w:p>
      <w:pPr>
        <w:autoSpaceDE w:val="0"/>
        <w:autoSpaceDN w:val="0"/>
        <w:adjustRightInd w:val="0"/>
        <w:spacing w:line="440" w:lineRule="atLeast"/>
        <w:ind w:firstLine="558" w:firstLineChars="266"/>
        <w:rPr>
          <w:rFonts w:hint="eastAsia" w:ascii="宋体" w:hAnsi="宋体" w:cs="宋体"/>
          <w:szCs w:val="21"/>
          <w:lang w:val="zh-CN"/>
        </w:rPr>
      </w:pPr>
      <w:r>
        <w:rPr>
          <w:rFonts w:hint="eastAsia" w:ascii="宋体" w:hAnsi="宋体" w:cs="宋体"/>
          <w:szCs w:val="21"/>
          <w:lang w:val="zh-CN"/>
        </w:rPr>
        <w:t>邮编：</w:t>
      </w:r>
      <w:r>
        <w:rPr>
          <w:rFonts w:hint="eastAsia" w:ascii="宋体" w:hAnsi="宋体" w:cs="宋体"/>
          <w:szCs w:val="21"/>
          <w:u w:val="single"/>
          <w:lang w:val="zh-CN"/>
        </w:rPr>
        <w:t xml:space="preserve">               </w:t>
      </w:r>
      <w:r>
        <w:rPr>
          <w:rFonts w:hint="eastAsia" w:ascii="宋体" w:hAnsi="宋体" w:cs="宋体"/>
          <w:szCs w:val="21"/>
          <w:lang w:val="zh-CN"/>
        </w:rPr>
        <w:t>电话：</w:t>
      </w:r>
      <w:r>
        <w:rPr>
          <w:rFonts w:hint="eastAsia" w:ascii="宋体" w:hAnsi="宋体" w:cs="宋体"/>
          <w:szCs w:val="21"/>
          <w:u w:val="single"/>
          <w:lang w:val="zh-CN"/>
        </w:rPr>
        <w:t xml:space="preserve">                 </w:t>
      </w:r>
      <w:r>
        <w:rPr>
          <w:rFonts w:hint="eastAsia" w:ascii="宋体" w:hAnsi="宋体" w:cs="宋体"/>
          <w:szCs w:val="21"/>
          <w:lang w:val="zh-CN"/>
        </w:rPr>
        <w:t>传真：</w:t>
      </w:r>
      <w:r>
        <w:rPr>
          <w:rFonts w:hint="eastAsia" w:ascii="宋体" w:hAnsi="宋体" w:cs="宋体"/>
          <w:szCs w:val="21"/>
          <w:u w:val="single"/>
          <w:lang w:val="zh-CN"/>
        </w:rPr>
        <w:t xml:space="preserve">                 </w:t>
      </w:r>
    </w:p>
    <w:p>
      <w:pPr>
        <w:autoSpaceDE w:val="0"/>
        <w:autoSpaceDN w:val="0"/>
        <w:adjustRightInd w:val="0"/>
        <w:spacing w:line="440" w:lineRule="atLeast"/>
        <w:ind w:firstLine="1890" w:firstLineChars="900"/>
        <w:rPr>
          <w:rFonts w:hint="eastAsia" w:ascii="宋体" w:hAnsi="宋体" w:cs="宋体"/>
          <w:szCs w:val="21"/>
          <w:lang w:val="zh-CN"/>
        </w:rPr>
      </w:pPr>
    </w:p>
    <w:p>
      <w:pPr>
        <w:autoSpaceDE w:val="0"/>
        <w:autoSpaceDN w:val="0"/>
        <w:adjustRightInd w:val="0"/>
        <w:spacing w:line="440" w:lineRule="atLeast"/>
        <w:ind w:firstLine="598" w:firstLineChars="285"/>
        <w:rPr>
          <w:rFonts w:hint="eastAsia" w:ascii="宋体" w:hAnsi="宋体" w:cs="宋体"/>
          <w:szCs w:val="21"/>
          <w:lang w:val="zh-CN"/>
        </w:rPr>
      </w:pPr>
      <w:r>
        <w:rPr>
          <w:rFonts w:hint="eastAsia" w:ascii="宋体" w:hAnsi="宋体" w:cs="宋体"/>
          <w:szCs w:val="21"/>
          <w:lang w:val="zh-CN"/>
        </w:rPr>
        <w:t>供应商全称（盖章）：</w:t>
      </w:r>
    </w:p>
    <w:p>
      <w:pPr>
        <w:autoSpaceDE w:val="0"/>
        <w:autoSpaceDN w:val="0"/>
        <w:adjustRightInd w:val="0"/>
        <w:spacing w:line="440" w:lineRule="atLeast"/>
        <w:ind w:firstLine="598" w:firstLineChars="285"/>
        <w:rPr>
          <w:rFonts w:hint="eastAsia" w:ascii="宋体" w:hAnsi="宋体" w:cs="宋体"/>
          <w:szCs w:val="21"/>
          <w:lang w:val="zh-CN"/>
        </w:rPr>
      </w:pPr>
      <w:r>
        <w:rPr>
          <w:rFonts w:hint="eastAsia" w:ascii="宋体" w:hAnsi="宋体" w:cs="宋体"/>
          <w:szCs w:val="21"/>
          <w:lang w:val="zh-CN"/>
        </w:rPr>
        <w:t>法定代表人或授权代表人（签字或盖章）：</w:t>
      </w:r>
    </w:p>
    <w:p>
      <w:pPr>
        <w:autoSpaceDE w:val="0"/>
        <w:autoSpaceDN w:val="0"/>
        <w:adjustRightInd w:val="0"/>
        <w:spacing w:line="440" w:lineRule="atLeast"/>
        <w:ind w:firstLine="598" w:firstLineChars="285"/>
        <w:rPr>
          <w:rFonts w:hint="eastAsia" w:ascii="宋体" w:hAnsi="宋体" w:cs="宋体"/>
          <w:szCs w:val="21"/>
          <w:lang w:val="zh-CN"/>
        </w:rPr>
      </w:pPr>
      <w:r>
        <w:rPr>
          <w:rFonts w:hint="eastAsia" w:ascii="宋体" w:hAnsi="宋体" w:cs="宋体"/>
          <w:szCs w:val="21"/>
          <w:lang w:val="zh-CN"/>
        </w:rPr>
        <w:t>日期：</w:t>
      </w:r>
    </w:p>
    <w:p>
      <w:pPr>
        <w:autoSpaceDE w:val="0"/>
        <w:autoSpaceDN w:val="0"/>
        <w:adjustRightInd w:val="0"/>
        <w:spacing w:line="440" w:lineRule="atLeast"/>
        <w:ind w:firstLine="601" w:firstLineChars="285"/>
        <w:outlineLvl w:val="0"/>
        <w:rPr>
          <w:rFonts w:hint="eastAsia" w:ascii="宋体" w:hAnsi="宋体" w:cs="宋体"/>
          <w:sz w:val="24"/>
        </w:rPr>
        <w:sectPr>
          <w:footerReference r:id="rId12" w:type="first"/>
          <w:footerReference r:id="rId11" w:type="default"/>
          <w:pgSz w:w="11900" w:h="16838"/>
          <w:pgMar w:top="1134" w:right="1134" w:bottom="1134" w:left="1134" w:header="0" w:footer="6" w:gutter="0"/>
          <w:cols w:space="720" w:num="1"/>
          <w:titlePg/>
          <w:docGrid w:linePitch="312" w:charSpace="0"/>
        </w:sectPr>
      </w:pPr>
      <w:r>
        <w:rPr>
          <w:rFonts w:hint="eastAsia" w:ascii="宋体" w:hAnsi="宋体" w:cs="宋体"/>
          <w:b/>
          <w:szCs w:val="21"/>
          <w:u w:val="single"/>
        </w:rPr>
        <w:t>不提供本函做无效投标处理。</w:t>
      </w:r>
    </w:p>
    <w:p>
      <w:pPr>
        <w:pStyle w:val="5"/>
        <w:jc w:val="center"/>
        <w:rPr>
          <w:rFonts w:hint="eastAsia" w:ascii="宋体" w:hAnsi="宋体"/>
          <w:b w:val="0"/>
          <w:bCs w:val="0"/>
        </w:rPr>
      </w:pPr>
      <w:r>
        <w:rPr>
          <w:rFonts w:hint="eastAsia" w:ascii="宋体" w:hAnsi="宋体"/>
          <w:b w:val="0"/>
          <w:bCs w:val="0"/>
        </w:rPr>
        <w:t>附件四、技术规格表</w:t>
      </w:r>
    </w:p>
    <w:p>
      <w:pPr>
        <w:spacing w:line="400" w:lineRule="exact"/>
        <w:jc w:val="left"/>
        <w:rPr>
          <w:rFonts w:hint="eastAsia"/>
        </w:rPr>
      </w:pPr>
      <w:r>
        <w:rPr>
          <w:rFonts w:hint="eastAsia" w:ascii="宋体" w:hAnsi="宋体"/>
          <w:b/>
          <w:sz w:val="24"/>
        </w:rPr>
        <w:t xml:space="preserve">采购单位                       项目编号：  </w:t>
      </w:r>
    </w:p>
    <w:tbl>
      <w:tblPr>
        <w:tblStyle w:val="19"/>
        <w:tblW w:w="9392"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73"/>
        <w:gridCol w:w="2520"/>
        <w:gridCol w:w="1995"/>
        <w:gridCol w:w="1927"/>
        <w:gridCol w:w="147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b/>
                <w:spacing w:val="20"/>
                <w:sz w:val="22"/>
                <w:szCs w:val="22"/>
              </w:rPr>
            </w:pPr>
            <w:r>
              <w:rPr>
                <w:rFonts w:hint="eastAsia" w:ascii="宋体"/>
                <w:b/>
                <w:spacing w:val="20"/>
                <w:sz w:val="22"/>
                <w:szCs w:val="22"/>
              </w:rPr>
              <w:t>序号</w:t>
            </w:r>
          </w:p>
        </w:tc>
        <w:tc>
          <w:tcPr>
            <w:tcW w:w="2520" w:type="dxa"/>
            <w:noWrap w:val="0"/>
            <w:vAlign w:val="center"/>
          </w:tcPr>
          <w:p>
            <w:pPr>
              <w:jc w:val="center"/>
              <w:rPr>
                <w:rFonts w:hint="eastAsia" w:ascii="宋体"/>
                <w:b/>
                <w:spacing w:val="20"/>
                <w:sz w:val="22"/>
                <w:szCs w:val="22"/>
              </w:rPr>
            </w:pPr>
            <w:r>
              <w:rPr>
                <w:rFonts w:hint="eastAsia" w:ascii="宋体"/>
                <w:b/>
                <w:spacing w:val="20"/>
                <w:sz w:val="22"/>
                <w:szCs w:val="22"/>
              </w:rPr>
              <w:t>货物名称</w:t>
            </w:r>
          </w:p>
        </w:tc>
        <w:tc>
          <w:tcPr>
            <w:tcW w:w="1995" w:type="dxa"/>
            <w:noWrap w:val="0"/>
            <w:vAlign w:val="center"/>
          </w:tcPr>
          <w:p>
            <w:pPr>
              <w:jc w:val="center"/>
              <w:rPr>
                <w:rFonts w:hint="eastAsia" w:ascii="宋体"/>
                <w:b/>
                <w:spacing w:val="20"/>
                <w:sz w:val="22"/>
                <w:szCs w:val="22"/>
              </w:rPr>
            </w:pPr>
            <w:r>
              <w:rPr>
                <w:rFonts w:hint="eastAsia" w:ascii="宋体"/>
                <w:b/>
                <w:spacing w:val="20"/>
                <w:sz w:val="22"/>
                <w:szCs w:val="22"/>
              </w:rPr>
              <w:t>品牌产地</w:t>
            </w:r>
          </w:p>
        </w:tc>
        <w:tc>
          <w:tcPr>
            <w:tcW w:w="1927" w:type="dxa"/>
            <w:noWrap w:val="0"/>
            <w:vAlign w:val="center"/>
          </w:tcPr>
          <w:p>
            <w:pPr>
              <w:jc w:val="center"/>
              <w:rPr>
                <w:rFonts w:hint="eastAsia" w:ascii="宋体"/>
                <w:b/>
                <w:spacing w:val="20"/>
                <w:sz w:val="22"/>
                <w:szCs w:val="22"/>
              </w:rPr>
            </w:pPr>
            <w:r>
              <w:rPr>
                <w:rFonts w:hint="eastAsia" w:ascii="宋体"/>
                <w:b/>
                <w:spacing w:val="20"/>
                <w:sz w:val="22"/>
                <w:szCs w:val="22"/>
              </w:rPr>
              <w:t>主要规格</w:t>
            </w:r>
          </w:p>
        </w:tc>
        <w:tc>
          <w:tcPr>
            <w:tcW w:w="1477" w:type="dxa"/>
            <w:noWrap w:val="0"/>
            <w:vAlign w:val="center"/>
          </w:tcPr>
          <w:p>
            <w:pPr>
              <w:jc w:val="center"/>
              <w:rPr>
                <w:rFonts w:hint="eastAsia" w:ascii="宋体"/>
                <w:b/>
                <w:spacing w:val="20"/>
                <w:sz w:val="22"/>
                <w:szCs w:val="22"/>
              </w:rPr>
            </w:pPr>
            <w:r>
              <w:rPr>
                <w:rFonts w:hint="eastAsia" w:ascii="宋体"/>
                <w:b/>
                <w:spacing w:val="20"/>
                <w:sz w:val="22"/>
                <w:szCs w:val="22"/>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spacing w:val="20"/>
                <w:sz w:val="22"/>
                <w:szCs w:val="22"/>
              </w:rPr>
            </w:pPr>
          </w:p>
        </w:tc>
        <w:tc>
          <w:tcPr>
            <w:tcW w:w="2520" w:type="dxa"/>
            <w:noWrap w:val="0"/>
            <w:vAlign w:val="center"/>
          </w:tcPr>
          <w:p>
            <w:pPr>
              <w:jc w:val="center"/>
              <w:rPr>
                <w:rFonts w:hint="eastAsia" w:ascii="宋体"/>
                <w:spacing w:val="20"/>
                <w:sz w:val="22"/>
                <w:szCs w:val="22"/>
              </w:rPr>
            </w:pPr>
          </w:p>
        </w:tc>
        <w:tc>
          <w:tcPr>
            <w:tcW w:w="1995" w:type="dxa"/>
            <w:noWrap w:val="0"/>
            <w:vAlign w:val="center"/>
          </w:tcPr>
          <w:p>
            <w:pPr>
              <w:jc w:val="center"/>
              <w:rPr>
                <w:rFonts w:hint="eastAsia" w:ascii="宋体"/>
                <w:spacing w:val="20"/>
                <w:sz w:val="22"/>
                <w:szCs w:val="22"/>
              </w:rPr>
            </w:pPr>
          </w:p>
        </w:tc>
        <w:tc>
          <w:tcPr>
            <w:tcW w:w="1927" w:type="dxa"/>
            <w:noWrap w:val="0"/>
            <w:vAlign w:val="center"/>
          </w:tcPr>
          <w:p>
            <w:pPr>
              <w:jc w:val="center"/>
              <w:rPr>
                <w:rFonts w:hint="eastAsia" w:ascii="宋体"/>
                <w:spacing w:val="20"/>
                <w:sz w:val="22"/>
                <w:szCs w:val="22"/>
              </w:rPr>
            </w:pPr>
          </w:p>
        </w:tc>
        <w:tc>
          <w:tcPr>
            <w:tcW w:w="1477" w:type="dxa"/>
            <w:noWrap w:val="0"/>
            <w:vAlign w:val="center"/>
          </w:tcPr>
          <w:p>
            <w:pPr>
              <w:jc w:val="center"/>
              <w:rPr>
                <w:rFonts w:hint="eastAsia" w:ascii="宋体"/>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spacing w:val="20"/>
                <w:sz w:val="22"/>
                <w:szCs w:val="22"/>
              </w:rPr>
            </w:pPr>
          </w:p>
        </w:tc>
        <w:tc>
          <w:tcPr>
            <w:tcW w:w="2520" w:type="dxa"/>
            <w:noWrap w:val="0"/>
            <w:vAlign w:val="center"/>
          </w:tcPr>
          <w:p>
            <w:pPr>
              <w:jc w:val="center"/>
              <w:rPr>
                <w:rFonts w:hint="eastAsia" w:ascii="宋体"/>
                <w:spacing w:val="20"/>
                <w:sz w:val="22"/>
                <w:szCs w:val="22"/>
              </w:rPr>
            </w:pPr>
          </w:p>
        </w:tc>
        <w:tc>
          <w:tcPr>
            <w:tcW w:w="1995" w:type="dxa"/>
            <w:noWrap w:val="0"/>
            <w:vAlign w:val="center"/>
          </w:tcPr>
          <w:p>
            <w:pPr>
              <w:jc w:val="center"/>
              <w:rPr>
                <w:rFonts w:hint="eastAsia" w:ascii="宋体"/>
                <w:spacing w:val="20"/>
                <w:sz w:val="22"/>
                <w:szCs w:val="22"/>
              </w:rPr>
            </w:pPr>
          </w:p>
        </w:tc>
        <w:tc>
          <w:tcPr>
            <w:tcW w:w="1927" w:type="dxa"/>
            <w:noWrap w:val="0"/>
            <w:vAlign w:val="center"/>
          </w:tcPr>
          <w:p>
            <w:pPr>
              <w:jc w:val="center"/>
              <w:rPr>
                <w:rFonts w:hint="eastAsia" w:ascii="宋体"/>
                <w:spacing w:val="20"/>
                <w:sz w:val="22"/>
                <w:szCs w:val="22"/>
              </w:rPr>
            </w:pPr>
          </w:p>
        </w:tc>
        <w:tc>
          <w:tcPr>
            <w:tcW w:w="1477" w:type="dxa"/>
            <w:noWrap w:val="0"/>
            <w:vAlign w:val="center"/>
          </w:tcPr>
          <w:p>
            <w:pPr>
              <w:jc w:val="center"/>
              <w:rPr>
                <w:rFonts w:hint="eastAsia" w:ascii="宋体"/>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spacing w:val="20"/>
                <w:sz w:val="22"/>
                <w:szCs w:val="22"/>
              </w:rPr>
            </w:pPr>
          </w:p>
        </w:tc>
        <w:tc>
          <w:tcPr>
            <w:tcW w:w="2520" w:type="dxa"/>
            <w:noWrap w:val="0"/>
            <w:vAlign w:val="center"/>
          </w:tcPr>
          <w:p>
            <w:pPr>
              <w:jc w:val="center"/>
              <w:rPr>
                <w:rFonts w:hint="eastAsia" w:ascii="宋体"/>
                <w:spacing w:val="20"/>
                <w:sz w:val="22"/>
                <w:szCs w:val="22"/>
              </w:rPr>
            </w:pPr>
          </w:p>
        </w:tc>
        <w:tc>
          <w:tcPr>
            <w:tcW w:w="1995" w:type="dxa"/>
            <w:noWrap w:val="0"/>
            <w:vAlign w:val="center"/>
          </w:tcPr>
          <w:p>
            <w:pPr>
              <w:jc w:val="center"/>
              <w:rPr>
                <w:rFonts w:hint="eastAsia" w:ascii="宋体"/>
                <w:spacing w:val="20"/>
                <w:sz w:val="22"/>
                <w:szCs w:val="22"/>
              </w:rPr>
            </w:pPr>
          </w:p>
        </w:tc>
        <w:tc>
          <w:tcPr>
            <w:tcW w:w="1927" w:type="dxa"/>
            <w:noWrap w:val="0"/>
            <w:vAlign w:val="center"/>
          </w:tcPr>
          <w:p>
            <w:pPr>
              <w:jc w:val="center"/>
              <w:rPr>
                <w:rFonts w:hint="eastAsia" w:ascii="宋体"/>
                <w:spacing w:val="20"/>
                <w:sz w:val="22"/>
                <w:szCs w:val="22"/>
              </w:rPr>
            </w:pPr>
          </w:p>
        </w:tc>
        <w:tc>
          <w:tcPr>
            <w:tcW w:w="1477" w:type="dxa"/>
            <w:noWrap w:val="0"/>
            <w:vAlign w:val="center"/>
          </w:tcPr>
          <w:p>
            <w:pPr>
              <w:jc w:val="center"/>
              <w:rPr>
                <w:rFonts w:hint="eastAsia" w:ascii="宋体"/>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spacing w:val="20"/>
                <w:sz w:val="22"/>
                <w:szCs w:val="22"/>
              </w:rPr>
            </w:pPr>
          </w:p>
        </w:tc>
        <w:tc>
          <w:tcPr>
            <w:tcW w:w="2520" w:type="dxa"/>
            <w:noWrap w:val="0"/>
            <w:vAlign w:val="center"/>
          </w:tcPr>
          <w:p>
            <w:pPr>
              <w:jc w:val="center"/>
              <w:rPr>
                <w:rFonts w:hint="eastAsia" w:ascii="宋体"/>
                <w:spacing w:val="20"/>
                <w:sz w:val="22"/>
                <w:szCs w:val="22"/>
              </w:rPr>
            </w:pPr>
          </w:p>
        </w:tc>
        <w:tc>
          <w:tcPr>
            <w:tcW w:w="1995" w:type="dxa"/>
            <w:noWrap w:val="0"/>
            <w:vAlign w:val="center"/>
          </w:tcPr>
          <w:p>
            <w:pPr>
              <w:jc w:val="center"/>
              <w:rPr>
                <w:rFonts w:hint="eastAsia" w:ascii="宋体"/>
                <w:spacing w:val="20"/>
                <w:sz w:val="22"/>
                <w:szCs w:val="22"/>
              </w:rPr>
            </w:pPr>
          </w:p>
        </w:tc>
        <w:tc>
          <w:tcPr>
            <w:tcW w:w="1927" w:type="dxa"/>
            <w:noWrap w:val="0"/>
            <w:vAlign w:val="center"/>
          </w:tcPr>
          <w:p>
            <w:pPr>
              <w:jc w:val="center"/>
              <w:rPr>
                <w:rFonts w:hint="eastAsia" w:ascii="宋体"/>
                <w:spacing w:val="20"/>
                <w:sz w:val="22"/>
                <w:szCs w:val="22"/>
              </w:rPr>
            </w:pPr>
          </w:p>
        </w:tc>
        <w:tc>
          <w:tcPr>
            <w:tcW w:w="1477" w:type="dxa"/>
            <w:noWrap w:val="0"/>
            <w:vAlign w:val="center"/>
          </w:tcPr>
          <w:p>
            <w:pPr>
              <w:jc w:val="center"/>
              <w:rPr>
                <w:rFonts w:hint="eastAsia" w:ascii="宋体"/>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spacing w:val="20"/>
                <w:sz w:val="22"/>
                <w:szCs w:val="22"/>
              </w:rPr>
            </w:pPr>
          </w:p>
        </w:tc>
        <w:tc>
          <w:tcPr>
            <w:tcW w:w="2520" w:type="dxa"/>
            <w:noWrap w:val="0"/>
            <w:vAlign w:val="center"/>
          </w:tcPr>
          <w:p>
            <w:pPr>
              <w:jc w:val="center"/>
              <w:rPr>
                <w:rFonts w:hint="eastAsia" w:ascii="宋体"/>
                <w:spacing w:val="20"/>
                <w:sz w:val="22"/>
                <w:szCs w:val="22"/>
              </w:rPr>
            </w:pPr>
          </w:p>
        </w:tc>
        <w:tc>
          <w:tcPr>
            <w:tcW w:w="1995" w:type="dxa"/>
            <w:noWrap w:val="0"/>
            <w:vAlign w:val="center"/>
          </w:tcPr>
          <w:p>
            <w:pPr>
              <w:jc w:val="center"/>
              <w:rPr>
                <w:rFonts w:hint="eastAsia" w:ascii="宋体"/>
                <w:spacing w:val="20"/>
                <w:sz w:val="22"/>
                <w:szCs w:val="22"/>
              </w:rPr>
            </w:pPr>
          </w:p>
        </w:tc>
        <w:tc>
          <w:tcPr>
            <w:tcW w:w="1927" w:type="dxa"/>
            <w:noWrap w:val="0"/>
            <w:vAlign w:val="center"/>
          </w:tcPr>
          <w:p>
            <w:pPr>
              <w:jc w:val="center"/>
              <w:rPr>
                <w:rFonts w:hint="eastAsia" w:ascii="宋体"/>
                <w:spacing w:val="20"/>
                <w:sz w:val="22"/>
                <w:szCs w:val="22"/>
              </w:rPr>
            </w:pPr>
          </w:p>
        </w:tc>
        <w:tc>
          <w:tcPr>
            <w:tcW w:w="1477" w:type="dxa"/>
            <w:noWrap w:val="0"/>
            <w:vAlign w:val="center"/>
          </w:tcPr>
          <w:p>
            <w:pPr>
              <w:jc w:val="center"/>
              <w:rPr>
                <w:rFonts w:hint="eastAsia" w:ascii="宋体"/>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spacing w:val="20"/>
                <w:sz w:val="22"/>
                <w:szCs w:val="22"/>
              </w:rPr>
            </w:pPr>
          </w:p>
        </w:tc>
        <w:tc>
          <w:tcPr>
            <w:tcW w:w="2520" w:type="dxa"/>
            <w:noWrap w:val="0"/>
            <w:vAlign w:val="center"/>
          </w:tcPr>
          <w:p>
            <w:pPr>
              <w:jc w:val="center"/>
              <w:rPr>
                <w:rFonts w:hint="eastAsia" w:ascii="宋体"/>
                <w:spacing w:val="20"/>
                <w:sz w:val="22"/>
                <w:szCs w:val="22"/>
              </w:rPr>
            </w:pPr>
          </w:p>
        </w:tc>
        <w:tc>
          <w:tcPr>
            <w:tcW w:w="1995" w:type="dxa"/>
            <w:noWrap w:val="0"/>
            <w:vAlign w:val="center"/>
          </w:tcPr>
          <w:p>
            <w:pPr>
              <w:jc w:val="center"/>
              <w:rPr>
                <w:rFonts w:hint="eastAsia" w:ascii="宋体"/>
                <w:spacing w:val="20"/>
                <w:sz w:val="22"/>
                <w:szCs w:val="22"/>
              </w:rPr>
            </w:pPr>
          </w:p>
        </w:tc>
        <w:tc>
          <w:tcPr>
            <w:tcW w:w="1927" w:type="dxa"/>
            <w:noWrap w:val="0"/>
            <w:vAlign w:val="center"/>
          </w:tcPr>
          <w:p>
            <w:pPr>
              <w:jc w:val="center"/>
              <w:rPr>
                <w:rFonts w:hint="eastAsia" w:ascii="宋体"/>
                <w:spacing w:val="20"/>
                <w:sz w:val="22"/>
                <w:szCs w:val="22"/>
              </w:rPr>
            </w:pPr>
          </w:p>
        </w:tc>
        <w:tc>
          <w:tcPr>
            <w:tcW w:w="1477" w:type="dxa"/>
            <w:noWrap w:val="0"/>
            <w:vAlign w:val="center"/>
          </w:tcPr>
          <w:p>
            <w:pPr>
              <w:jc w:val="center"/>
              <w:rPr>
                <w:rFonts w:hint="eastAsia" w:ascii="宋体"/>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spacing w:val="20"/>
                <w:sz w:val="22"/>
                <w:szCs w:val="22"/>
              </w:rPr>
            </w:pPr>
          </w:p>
        </w:tc>
        <w:tc>
          <w:tcPr>
            <w:tcW w:w="2520" w:type="dxa"/>
            <w:noWrap w:val="0"/>
            <w:vAlign w:val="center"/>
          </w:tcPr>
          <w:p>
            <w:pPr>
              <w:jc w:val="center"/>
              <w:rPr>
                <w:rFonts w:hint="eastAsia" w:ascii="宋体"/>
                <w:spacing w:val="20"/>
                <w:sz w:val="22"/>
                <w:szCs w:val="22"/>
              </w:rPr>
            </w:pPr>
          </w:p>
        </w:tc>
        <w:tc>
          <w:tcPr>
            <w:tcW w:w="1995" w:type="dxa"/>
            <w:noWrap w:val="0"/>
            <w:vAlign w:val="center"/>
          </w:tcPr>
          <w:p>
            <w:pPr>
              <w:jc w:val="center"/>
              <w:rPr>
                <w:rFonts w:hint="eastAsia" w:ascii="宋体"/>
                <w:spacing w:val="20"/>
                <w:sz w:val="22"/>
                <w:szCs w:val="22"/>
              </w:rPr>
            </w:pPr>
          </w:p>
        </w:tc>
        <w:tc>
          <w:tcPr>
            <w:tcW w:w="1927" w:type="dxa"/>
            <w:noWrap w:val="0"/>
            <w:vAlign w:val="center"/>
          </w:tcPr>
          <w:p>
            <w:pPr>
              <w:jc w:val="center"/>
              <w:rPr>
                <w:rFonts w:hint="eastAsia" w:ascii="宋体"/>
                <w:spacing w:val="20"/>
                <w:sz w:val="22"/>
                <w:szCs w:val="22"/>
              </w:rPr>
            </w:pPr>
          </w:p>
        </w:tc>
        <w:tc>
          <w:tcPr>
            <w:tcW w:w="1477" w:type="dxa"/>
            <w:noWrap w:val="0"/>
            <w:vAlign w:val="center"/>
          </w:tcPr>
          <w:p>
            <w:pPr>
              <w:jc w:val="center"/>
              <w:rPr>
                <w:rFonts w:hint="eastAsia" w:ascii="宋体"/>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spacing w:val="20"/>
                <w:sz w:val="22"/>
                <w:szCs w:val="22"/>
              </w:rPr>
            </w:pPr>
          </w:p>
        </w:tc>
        <w:tc>
          <w:tcPr>
            <w:tcW w:w="2520" w:type="dxa"/>
            <w:noWrap w:val="0"/>
            <w:vAlign w:val="center"/>
          </w:tcPr>
          <w:p>
            <w:pPr>
              <w:jc w:val="center"/>
              <w:rPr>
                <w:rFonts w:hint="eastAsia" w:ascii="宋体"/>
                <w:spacing w:val="20"/>
                <w:sz w:val="22"/>
                <w:szCs w:val="22"/>
              </w:rPr>
            </w:pPr>
          </w:p>
        </w:tc>
        <w:tc>
          <w:tcPr>
            <w:tcW w:w="1995" w:type="dxa"/>
            <w:noWrap w:val="0"/>
            <w:vAlign w:val="center"/>
          </w:tcPr>
          <w:p>
            <w:pPr>
              <w:jc w:val="center"/>
              <w:rPr>
                <w:rFonts w:hint="eastAsia" w:ascii="宋体"/>
                <w:spacing w:val="20"/>
                <w:sz w:val="22"/>
                <w:szCs w:val="22"/>
              </w:rPr>
            </w:pPr>
          </w:p>
        </w:tc>
        <w:tc>
          <w:tcPr>
            <w:tcW w:w="1927" w:type="dxa"/>
            <w:noWrap w:val="0"/>
            <w:vAlign w:val="center"/>
          </w:tcPr>
          <w:p>
            <w:pPr>
              <w:jc w:val="center"/>
              <w:rPr>
                <w:rFonts w:hint="eastAsia" w:ascii="宋体"/>
                <w:spacing w:val="20"/>
                <w:sz w:val="22"/>
                <w:szCs w:val="22"/>
              </w:rPr>
            </w:pPr>
          </w:p>
        </w:tc>
        <w:tc>
          <w:tcPr>
            <w:tcW w:w="1477" w:type="dxa"/>
            <w:noWrap w:val="0"/>
            <w:vAlign w:val="center"/>
          </w:tcPr>
          <w:p>
            <w:pPr>
              <w:jc w:val="center"/>
              <w:rPr>
                <w:rFonts w:hint="eastAsia" w:ascii="宋体"/>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spacing w:val="20"/>
                <w:sz w:val="22"/>
                <w:szCs w:val="22"/>
              </w:rPr>
            </w:pPr>
          </w:p>
        </w:tc>
        <w:tc>
          <w:tcPr>
            <w:tcW w:w="2520" w:type="dxa"/>
            <w:noWrap w:val="0"/>
            <w:vAlign w:val="center"/>
          </w:tcPr>
          <w:p>
            <w:pPr>
              <w:jc w:val="center"/>
              <w:rPr>
                <w:rFonts w:hint="eastAsia" w:ascii="宋体"/>
                <w:spacing w:val="20"/>
                <w:sz w:val="22"/>
                <w:szCs w:val="22"/>
              </w:rPr>
            </w:pPr>
          </w:p>
        </w:tc>
        <w:tc>
          <w:tcPr>
            <w:tcW w:w="1995" w:type="dxa"/>
            <w:noWrap w:val="0"/>
            <w:vAlign w:val="center"/>
          </w:tcPr>
          <w:p>
            <w:pPr>
              <w:jc w:val="center"/>
              <w:rPr>
                <w:rFonts w:hint="eastAsia" w:ascii="宋体"/>
                <w:spacing w:val="20"/>
                <w:sz w:val="22"/>
                <w:szCs w:val="22"/>
              </w:rPr>
            </w:pPr>
          </w:p>
        </w:tc>
        <w:tc>
          <w:tcPr>
            <w:tcW w:w="1927" w:type="dxa"/>
            <w:noWrap w:val="0"/>
            <w:vAlign w:val="center"/>
          </w:tcPr>
          <w:p>
            <w:pPr>
              <w:jc w:val="center"/>
              <w:rPr>
                <w:rFonts w:hint="eastAsia" w:ascii="宋体"/>
                <w:spacing w:val="20"/>
                <w:sz w:val="22"/>
                <w:szCs w:val="22"/>
              </w:rPr>
            </w:pPr>
          </w:p>
        </w:tc>
        <w:tc>
          <w:tcPr>
            <w:tcW w:w="1477" w:type="dxa"/>
            <w:noWrap w:val="0"/>
            <w:vAlign w:val="center"/>
          </w:tcPr>
          <w:p>
            <w:pPr>
              <w:jc w:val="center"/>
              <w:rPr>
                <w:rFonts w:hint="eastAsia" w:ascii="宋体"/>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spacing w:val="20"/>
                <w:sz w:val="22"/>
                <w:szCs w:val="22"/>
              </w:rPr>
            </w:pPr>
          </w:p>
        </w:tc>
        <w:tc>
          <w:tcPr>
            <w:tcW w:w="2520" w:type="dxa"/>
            <w:noWrap w:val="0"/>
            <w:vAlign w:val="center"/>
          </w:tcPr>
          <w:p>
            <w:pPr>
              <w:jc w:val="center"/>
              <w:rPr>
                <w:rFonts w:hint="eastAsia" w:ascii="宋体"/>
                <w:spacing w:val="20"/>
                <w:sz w:val="22"/>
                <w:szCs w:val="22"/>
              </w:rPr>
            </w:pPr>
          </w:p>
        </w:tc>
        <w:tc>
          <w:tcPr>
            <w:tcW w:w="1995" w:type="dxa"/>
            <w:noWrap w:val="0"/>
            <w:vAlign w:val="center"/>
          </w:tcPr>
          <w:p>
            <w:pPr>
              <w:jc w:val="center"/>
              <w:rPr>
                <w:rFonts w:hint="eastAsia" w:ascii="宋体"/>
                <w:spacing w:val="20"/>
                <w:sz w:val="22"/>
                <w:szCs w:val="22"/>
              </w:rPr>
            </w:pPr>
          </w:p>
        </w:tc>
        <w:tc>
          <w:tcPr>
            <w:tcW w:w="1927" w:type="dxa"/>
            <w:noWrap w:val="0"/>
            <w:vAlign w:val="center"/>
          </w:tcPr>
          <w:p>
            <w:pPr>
              <w:jc w:val="center"/>
              <w:rPr>
                <w:rFonts w:hint="eastAsia" w:ascii="宋体"/>
                <w:spacing w:val="20"/>
                <w:sz w:val="22"/>
                <w:szCs w:val="22"/>
              </w:rPr>
            </w:pPr>
          </w:p>
        </w:tc>
        <w:tc>
          <w:tcPr>
            <w:tcW w:w="1477" w:type="dxa"/>
            <w:noWrap w:val="0"/>
            <w:vAlign w:val="center"/>
          </w:tcPr>
          <w:p>
            <w:pPr>
              <w:jc w:val="center"/>
              <w:rPr>
                <w:rFonts w:hint="eastAsia" w:ascii="宋体"/>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spacing w:val="20"/>
                <w:sz w:val="22"/>
                <w:szCs w:val="22"/>
              </w:rPr>
            </w:pPr>
          </w:p>
        </w:tc>
        <w:tc>
          <w:tcPr>
            <w:tcW w:w="2520" w:type="dxa"/>
            <w:noWrap w:val="0"/>
            <w:vAlign w:val="center"/>
          </w:tcPr>
          <w:p>
            <w:pPr>
              <w:jc w:val="center"/>
              <w:rPr>
                <w:rFonts w:hint="eastAsia" w:ascii="宋体"/>
                <w:spacing w:val="20"/>
                <w:sz w:val="22"/>
                <w:szCs w:val="22"/>
              </w:rPr>
            </w:pPr>
          </w:p>
        </w:tc>
        <w:tc>
          <w:tcPr>
            <w:tcW w:w="1995" w:type="dxa"/>
            <w:noWrap w:val="0"/>
            <w:vAlign w:val="center"/>
          </w:tcPr>
          <w:p>
            <w:pPr>
              <w:jc w:val="center"/>
              <w:rPr>
                <w:rFonts w:hint="eastAsia" w:ascii="宋体"/>
                <w:spacing w:val="20"/>
                <w:sz w:val="22"/>
                <w:szCs w:val="22"/>
              </w:rPr>
            </w:pPr>
          </w:p>
        </w:tc>
        <w:tc>
          <w:tcPr>
            <w:tcW w:w="1927" w:type="dxa"/>
            <w:noWrap w:val="0"/>
            <w:vAlign w:val="center"/>
          </w:tcPr>
          <w:p>
            <w:pPr>
              <w:jc w:val="center"/>
              <w:rPr>
                <w:rFonts w:hint="eastAsia" w:ascii="宋体"/>
                <w:spacing w:val="20"/>
                <w:sz w:val="22"/>
                <w:szCs w:val="22"/>
              </w:rPr>
            </w:pPr>
          </w:p>
        </w:tc>
        <w:tc>
          <w:tcPr>
            <w:tcW w:w="1477" w:type="dxa"/>
            <w:noWrap w:val="0"/>
            <w:vAlign w:val="center"/>
          </w:tcPr>
          <w:p>
            <w:pPr>
              <w:jc w:val="center"/>
              <w:rPr>
                <w:rFonts w:hint="eastAsia" w:ascii="宋体"/>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spacing w:val="20"/>
                <w:sz w:val="22"/>
                <w:szCs w:val="22"/>
              </w:rPr>
            </w:pPr>
          </w:p>
        </w:tc>
        <w:tc>
          <w:tcPr>
            <w:tcW w:w="2520" w:type="dxa"/>
            <w:noWrap w:val="0"/>
            <w:vAlign w:val="center"/>
          </w:tcPr>
          <w:p>
            <w:pPr>
              <w:jc w:val="center"/>
              <w:rPr>
                <w:rFonts w:hint="eastAsia" w:ascii="宋体"/>
                <w:spacing w:val="20"/>
                <w:sz w:val="22"/>
                <w:szCs w:val="22"/>
              </w:rPr>
            </w:pPr>
          </w:p>
        </w:tc>
        <w:tc>
          <w:tcPr>
            <w:tcW w:w="1995" w:type="dxa"/>
            <w:noWrap w:val="0"/>
            <w:vAlign w:val="center"/>
          </w:tcPr>
          <w:p>
            <w:pPr>
              <w:jc w:val="center"/>
              <w:rPr>
                <w:rFonts w:hint="eastAsia" w:ascii="宋体"/>
                <w:spacing w:val="20"/>
                <w:sz w:val="22"/>
                <w:szCs w:val="22"/>
              </w:rPr>
            </w:pPr>
          </w:p>
        </w:tc>
        <w:tc>
          <w:tcPr>
            <w:tcW w:w="1927" w:type="dxa"/>
            <w:noWrap w:val="0"/>
            <w:vAlign w:val="center"/>
          </w:tcPr>
          <w:p>
            <w:pPr>
              <w:jc w:val="center"/>
              <w:rPr>
                <w:rFonts w:hint="eastAsia" w:ascii="宋体"/>
                <w:spacing w:val="20"/>
                <w:sz w:val="22"/>
                <w:szCs w:val="22"/>
              </w:rPr>
            </w:pPr>
          </w:p>
        </w:tc>
        <w:tc>
          <w:tcPr>
            <w:tcW w:w="1477" w:type="dxa"/>
            <w:noWrap w:val="0"/>
            <w:vAlign w:val="center"/>
          </w:tcPr>
          <w:p>
            <w:pPr>
              <w:jc w:val="center"/>
              <w:rPr>
                <w:rFonts w:hint="eastAsia" w:ascii="宋体"/>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spacing w:val="20"/>
                <w:sz w:val="22"/>
                <w:szCs w:val="22"/>
              </w:rPr>
            </w:pPr>
          </w:p>
        </w:tc>
        <w:tc>
          <w:tcPr>
            <w:tcW w:w="2520" w:type="dxa"/>
            <w:noWrap w:val="0"/>
            <w:vAlign w:val="center"/>
          </w:tcPr>
          <w:p>
            <w:pPr>
              <w:jc w:val="center"/>
              <w:rPr>
                <w:rFonts w:hint="eastAsia" w:ascii="宋体"/>
                <w:spacing w:val="20"/>
                <w:sz w:val="22"/>
                <w:szCs w:val="22"/>
              </w:rPr>
            </w:pPr>
          </w:p>
        </w:tc>
        <w:tc>
          <w:tcPr>
            <w:tcW w:w="1995" w:type="dxa"/>
            <w:noWrap w:val="0"/>
            <w:vAlign w:val="center"/>
          </w:tcPr>
          <w:p>
            <w:pPr>
              <w:jc w:val="center"/>
              <w:rPr>
                <w:rFonts w:hint="eastAsia" w:ascii="宋体"/>
                <w:spacing w:val="20"/>
                <w:sz w:val="22"/>
                <w:szCs w:val="22"/>
              </w:rPr>
            </w:pPr>
          </w:p>
        </w:tc>
        <w:tc>
          <w:tcPr>
            <w:tcW w:w="1927" w:type="dxa"/>
            <w:noWrap w:val="0"/>
            <w:vAlign w:val="center"/>
          </w:tcPr>
          <w:p>
            <w:pPr>
              <w:jc w:val="center"/>
              <w:rPr>
                <w:rFonts w:hint="eastAsia" w:ascii="宋体"/>
                <w:spacing w:val="20"/>
                <w:sz w:val="22"/>
                <w:szCs w:val="22"/>
              </w:rPr>
            </w:pPr>
          </w:p>
        </w:tc>
        <w:tc>
          <w:tcPr>
            <w:tcW w:w="1477" w:type="dxa"/>
            <w:noWrap w:val="0"/>
            <w:vAlign w:val="center"/>
          </w:tcPr>
          <w:p>
            <w:pPr>
              <w:jc w:val="center"/>
              <w:rPr>
                <w:rFonts w:hint="eastAsia" w:ascii="宋体"/>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spacing w:val="20"/>
                <w:sz w:val="22"/>
                <w:szCs w:val="22"/>
              </w:rPr>
            </w:pPr>
          </w:p>
        </w:tc>
        <w:tc>
          <w:tcPr>
            <w:tcW w:w="2520" w:type="dxa"/>
            <w:noWrap w:val="0"/>
            <w:vAlign w:val="center"/>
          </w:tcPr>
          <w:p>
            <w:pPr>
              <w:jc w:val="center"/>
              <w:rPr>
                <w:rFonts w:hint="eastAsia" w:ascii="宋体"/>
                <w:spacing w:val="20"/>
                <w:sz w:val="22"/>
                <w:szCs w:val="22"/>
              </w:rPr>
            </w:pPr>
          </w:p>
        </w:tc>
        <w:tc>
          <w:tcPr>
            <w:tcW w:w="1995" w:type="dxa"/>
            <w:noWrap w:val="0"/>
            <w:vAlign w:val="center"/>
          </w:tcPr>
          <w:p>
            <w:pPr>
              <w:jc w:val="center"/>
              <w:rPr>
                <w:rFonts w:hint="eastAsia" w:ascii="宋体"/>
                <w:spacing w:val="20"/>
                <w:sz w:val="22"/>
                <w:szCs w:val="22"/>
              </w:rPr>
            </w:pPr>
          </w:p>
        </w:tc>
        <w:tc>
          <w:tcPr>
            <w:tcW w:w="1927" w:type="dxa"/>
            <w:noWrap w:val="0"/>
            <w:vAlign w:val="center"/>
          </w:tcPr>
          <w:p>
            <w:pPr>
              <w:jc w:val="center"/>
              <w:rPr>
                <w:rFonts w:hint="eastAsia" w:ascii="宋体"/>
                <w:spacing w:val="20"/>
                <w:sz w:val="22"/>
                <w:szCs w:val="22"/>
              </w:rPr>
            </w:pPr>
          </w:p>
        </w:tc>
        <w:tc>
          <w:tcPr>
            <w:tcW w:w="1477" w:type="dxa"/>
            <w:noWrap w:val="0"/>
            <w:vAlign w:val="center"/>
          </w:tcPr>
          <w:p>
            <w:pPr>
              <w:jc w:val="center"/>
              <w:rPr>
                <w:rFonts w:hint="eastAsia" w:ascii="宋体"/>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spacing w:val="20"/>
                <w:sz w:val="22"/>
                <w:szCs w:val="22"/>
              </w:rPr>
            </w:pPr>
          </w:p>
        </w:tc>
        <w:tc>
          <w:tcPr>
            <w:tcW w:w="2520" w:type="dxa"/>
            <w:noWrap w:val="0"/>
            <w:vAlign w:val="center"/>
          </w:tcPr>
          <w:p>
            <w:pPr>
              <w:jc w:val="center"/>
              <w:rPr>
                <w:rFonts w:hint="eastAsia" w:ascii="宋体"/>
                <w:spacing w:val="20"/>
                <w:sz w:val="22"/>
                <w:szCs w:val="22"/>
              </w:rPr>
            </w:pPr>
          </w:p>
        </w:tc>
        <w:tc>
          <w:tcPr>
            <w:tcW w:w="1995" w:type="dxa"/>
            <w:noWrap w:val="0"/>
            <w:vAlign w:val="center"/>
          </w:tcPr>
          <w:p>
            <w:pPr>
              <w:jc w:val="center"/>
              <w:rPr>
                <w:rFonts w:hint="eastAsia" w:ascii="宋体"/>
                <w:spacing w:val="20"/>
                <w:sz w:val="22"/>
                <w:szCs w:val="22"/>
              </w:rPr>
            </w:pPr>
          </w:p>
        </w:tc>
        <w:tc>
          <w:tcPr>
            <w:tcW w:w="1927" w:type="dxa"/>
            <w:noWrap w:val="0"/>
            <w:vAlign w:val="center"/>
          </w:tcPr>
          <w:p>
            <w:pPr>
              <w:jc w:val="center"/>
              <w:rPr>
                <w:rFonts w:hint="eastAsia" w:ascii="宋体"/>
                <w:spacing w:val="20"/>
                <w:sz w:val="22"/>
                <w:szCs w:val="22"/>
              </w:rPr>
            </w:pPr>
          </w:p>
        </w:tc>
        <w:tc>
          <w:tcPr>
            <w:tcW w:w="1477" w:type="dxa"/>
            <w:noWrap w:val="0"/>
            <w:vAlign w:val="center"/>
          </w:tcPr>
          <w:p>
            <w:pPr>
              <w:jc w:val="center"/>
              <w:rPr>
                <w:rFonts w:hint="eastAsia" w:ascii="宋体"/>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spacing w:val="20"/>
                <w:sz w:val="22"/>
                <w:szCs w:val="22"/>
              </w:rPr>
            </w:pPr>
          </w:p>
        </w:tc>
        <w:tc>
          <w:tcPr>
            <w:tcW w:w="2520" w:type="dxa"/>
            <w:noWrap w:val="0"/>
            <w:vAlign w:val="center"/>
          </w:tcPr>
          <w:p>
            <w:pPr>
              <w:jc w:val="center"/>
              <w:rPr>
                <w:rFonts w:hint="eastAsia" w:ascii="宋体"/>
                <w:spacing w:val="20"/>
                <w:sz w:val="22"/>
                <w:szCs w:val="22"/>
              </w:rPr>
            </w:pPr>
          </w:p>
        </w:tc>
        <w:tc>
          <w:tcPr>
            <w:tcW w:w="1995" w:type="dxa"/>
            <w:noWrap w:val="0"/>
            <w:vAlign w:val="center"/>
          </w:tcPr>
          <w:p>
            <w:pPr>
              <w:jc w:val="center"/>
              <w:rPr>
                <w:rFonts w:hint="eastAsia" w:ascii="宋体"/>
                <w:spacing w:val="20"/>
                <w:sz w:val="22"/>
                <w:szCs w:val="22"/>
              </w:rPr>
            </w:pPr>
          </w:p>
        </w:tc>
        <w:tc>
          <w:tcPr>
            <w:tcW w:w="1927" w:type="dxa"/>
            <w:noWrap w:val="0"/>
            <w:vAlign w:val="center"/>
          </w:tcPr>
          <w:p>
            <w:pPr>
              <w:jc w:val="center"/>
              <w:rPr>
                <w:rFonts w:hint="eastAsia" w:ascii="宋体"/>
                <w:spacing w:val="20"/>
                <w:sz w:val="22"/>
                <w:szCs w:val="22"/>
              </w:rPr>
            </w:pPr>
          </w:p>
        </w:tc>
        <w:tc>
          <w:tcPr>
            <w:tcW w:w="1477" w:type="dxa"/>
            <w:noWrap w:val="0"/>
            <w:vAlign w:val="center"/>
          </w:tcPr>
          <w:p>
            <w:pPr>
              <w:jc w:val="center"/>
              <w:rPr>
                <w:rFonts w:hint="eastAsia" w:ascii="宋体"/>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spacing w:val="20"/>
                <w:sz w:val="22"/>
                <w:szCs w:val="22"/>
              </w:rPr>
            </w:pPr>
          </w:p>
        </w:tc>
        <w:tc>
          <w:tcPr>
            <w:tcW w:w="2520" w:type="dxa"/>
            <w:noWrap w:val="0"/>
            <w:vAlign w:val="center"/>
          </w:tcPr>
          <w:p>
            <w:pPr>
              <w:jc w:val="center"/>
              <w:rPr>
                <w:rFonts w:hint="eastAsia" w:ascii="宋体"/>
                <w:spacing w:val="20"/>
                <w:sz w:val="22"/>
                <w:szCs w:val="22"/>
              </w:rPr>
            </w:pPr>
          </w:p>
        </w:tc>
        <w:tc>
          <w:tcPr>
            <w:tcW w:w="1995" w:type="dxa"/>
            <w:noWrap w:val="0"/>
            <w:vAlign w:val="center"/>
          </w:tcPr>
          <w:p>
            <w:pPr>
              <w:jc w:val="center"/>
              <w:rPr>
                <w:rFonts w:hint="eastAsia" w:ascii="宋体"/>
                <w:spacing w:val="20"/>
                <w:sz w:val="22"/>
                <w:szCs w:val="22"/>
              </w:rPr>
            </w:pPr>
          </w:p>
        </w:tc>
        <w:tc>
          <w:tcPr>
            <w:tcW w:w="1927" w:type="dxa"/>
            <w:noWrap w:val="0"/>
            <w:vAlign w:val="center"/>
          </w:tcPr>
          <w:p>
            <w:pPr>
              <w:jc w:val="center"/>
              <w:rPr>
                <w:rFonts w:hint="eastAsia" w:ascii="宋体"/>
                <w:spacing w:val="20"/>
                <w:sz w:val="22"/>
                <w:szCs w:val="22"/>
              </w:rPr>
            </w:pPr>
          </w:p>
        </w:tc>
        <w:tc>
          <w:tcPr>
            <w:tcW w:w="1477" w:type="dxa"/>
            <w:noWrap w:val="0"/>
            <w:vAlign w:val="center"/>
          </w:tcPr>
          <w:p>
            <w:pPr>
              <w:jc w:val="center"/>
              <w:rPr>
                <w:rFonts w:hint="eastAsia" w:ascii="宋体"/>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spacing w:val="20"/>
                <w:sz w:val="22"/>
                <w:szCs w:val="22"/>
              </w:rPr>
            </w:pPr>
          </w:p>
        </w:tc>
        <w:tc>
          <w:tcPr>
            <w:tcW w:w="2520" w:type="dxa"/>
            <w:noWrap w:val="0"/>
            <w:vAlign w:val="center"/>
          </w:tcPr>
          <w:p>
            <w:pPr>
              <w:jc w:val="center"/>
              <w:rPr>
                <w:rFonts w:hint="eastAsia" w:ascii="宋体"/>
                <w:spacing w:val="20"/>
                <w:sz w:val="22"/>
                <w:szCs w:val="22"/>
              </w:rPr>
            </w:pPr>
          </w:p>
        </w:tc>
        <w:tc>
          <w:tcPr>
            <w:tcW w:w="1995" w:type="dxa"/>
            <w:noWrap w:val="0"/>
            <w:vAlign w:val="center"/>
          </w:tcPr>
          <w:p>
            <w:pPr>
              <w:jc w:val="center"/>
              <w:rPr>
                <w:rFonts w:hint="eastAsia" w:ascii="宋体"/>
                <w:spacing w:val="20"/>
                <w:sz w:val="22"/>
                <w:szCs w:val="22"/>
              </w:rPr>
            </w:pPr>
          </w:p>
        </w:tc>
        <w:tc>
          <w:tcPr>
            <w:tcW w:w="1927" w:type="dxa"/>
            <w:noWrap w:val="0"/>
            <w:vAlign w:val="center"/>
          </w:tcPr>
          <w:p>
            <w:pPr>
              <w:jc w:val="center"/>
              <w:rPr>
                <w:rFonts w:hint="eastAsia" w:ascii="宋体"/>
                <w:spacing w:val="20"/>
                <w:sz w:val="22"/>
                <w:szCs w:val="22"/>
              </w:rPr>
            </w:pPr>
          </w:p>
        </w:tc>
        <w:tc>
          <w:tcPr>
            <w:tcW w:w="1477" w:type="dxa"/>
            <w:noWrap w:val="0"/>
            <w:vAlign w:val="center"/>
          </w:tcPr>
          <w:p>
            <w:pPr>
              <w:jc w:val="center"/>
              <w:rPr>
                <w:rFonts w:hint="eastAsia" w:ascii="宋体"/>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spacing w:val="20"/>
                <w:sz w:val="22"/>
                <w:szCs w:val="22"/>
              </w:rPr>
            </w:pPr>
          </w:p>
        </w:tc>
        <w:tc>
          <w:tcPr>
            <w:tcW w:w="2520" w:type="dxa"/>
            <w:noWrap w:val="0"/>
            <w:vAlign w:val="center"/>
          </w:tcPr>
          <w:p>
            <w:pPr>
              <w:jc w:val="center"/>
              <w:rPr>
                <w:rFonts w:hint="eastAsia" w:ascii="宋体"/>
                <w:spacing w:val="20"/>
                <w:sz w:val="22"/>
                <w:szCs w:val="22"/>
              </w:rPr>
            </w:pPr>
          </w:p>
        </w:tc>
        <w:tc>
          <w:tcPr>
            <w:tcW w:w="1995" w:type="dxa"/>
            <w:noWrap w:val="0"/>
            <w:vAlign w:val="center"/>
          </w:tcPr>
          <w:p>
            <w:pPr>
              <w:jc w:val="center"/>
              <w:rPr>
                <w:rFonts w:hint="eastAsia" w:ascii="宋体"/>
                <w:spacing w:val="20"/>
                <w:sz w:val="22"/>
                <w:szCs w:val="22"/>
              </w:rPr>
            </w:pPr>
          </w:p>
        </w:tc>
        <w:tc>
          <w:tcPr>
            <w:tcW w:w="1927" w:type="dxa"/>
            <w:noWrap w:val="0"/>
            <w:vAlign w:val="center"/>
          </w:tcPr>
          <w:p>
            <w:pPr>
              <w:jc w:val="center"/>
              <w:rPr>
                <w:rFonts w:hint="eastAsia" w:ascii="宋体"/>
                <w:spacing w:val="20"/>
                <w:sz w:val="22"/>
                <w:szCs w:val="22"/>
              </w:rPr>
            </w:pPr>
          </w:p>
        </w:tc>
        <w:tc>
          <w:tcPr>
            <w:tcW w:w="1477" w:type="dxa"/>
            <w:noWrap w:val="0"/>
            <w:vAlign w:val="center"/>
          </w:tcPr>
          <w:p>
            <w:pPr>
              <w:jc w:val="center"/>
              <w:rPr>
                <w:rFonts w:hint="eastAsia" w:ascii="宋体"/>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spacing w:val="20"/>
                <w:sz w:val="22"/>
                <w:szCs w:val="22"/>
              </w:rPr>
            </w:pPr>
          </w:p>
        </w:tc>
        <w:tc>
          <w:tcPr>
            <w:tcW w:w="2520" w:type="dxa"/>
            <w:noWrap w:val="0"/>
            <w:vAlign w:val="center"/>
          </w:tcPr>
          <w:p>
            <w:pPr>
              <w:jc w:val="center"/>
              <w:rPr>
                <w:rFonts w:hint="eastAsia" w:ascii="宋体"/>
                <w:spacing w:val="20"/>
                <w:sz w:val="22"/>
                <w:szCs w:val="22"/>
              </w:rPr>
            </w:pPr>
          </w:p>
        </w:tc>
        <w:tc>
          <w:tcPr>
            <w:tcW w:w="1995" w:type="dxa"/>
            <w:noWrap w:val="0"/>
            <w:vAlign w:val="center"/>
          </w:tcPr>
          <w:p>
            <w:pPr>
              <w:jc w:val="center"/>
              <w:rPr>
                <w:rFonts w:hint="eastAsia" w:ascii="宋体"/>
                <w:spacing w:val="20"/>
                <w:sz w:val="22"/>
                <w:szCs w:val="22"/>
              </w:rPr>
            </w:pPr>
          </w:p>
        </w:tc>
        <w:tc>
          <w:tcPr>
            <w:tcW w:w="1927" w:type="dxa"/>
            <w:noWrap w:val="0"/>
            <w:vAlign w:val="center"/>
          </w:tcPr>
          <w:p>
            <w:pPr>
              <w:jc w:val="center"/>
              <w:rPr>
                <w:rFonts w:hint="eastAsia" w:ascii="宋体"/>
                <w:spacing w:val="20"/>
                <w:sz w:val="22"/>
                <w:szCs w:val="22"/>
              </w:rPr>
            </w:pPr>
          </w:p>
        </w:tc>
        <w:tc>
          <w:tcPr>
            <w:tcW w:w="1477" w:type="dxa"/>
            <w:noWrap w:val="0"/>
            <w:vAlign w:val="center"/>
          </w:tcPr>
          <w:p>
            <w:pPr>
              <w:jc w:val="center"/>
              <w:rPr>
                <w:rFonts w:hint="eastAsia" w:ascii="宋体"/>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spacing w:val="20"/>
                <w:sz w:val="22"/>
                <w:szCs w:val="22"/>
              </w:rPr>
            </w:pPr>
          </w:p>
        </w:tc>
        <w:tc>
          <w:tcPr>
            <w:tcW w:w="2520" w:type="dxa"/>
            <w:noWrap w:val="0"/>
            <w:vAlign w:val="center"/>
          </w:tcPr>
          <w:p>
            <w:pPr>
              <w:jc w:val="center"/>
              <w:rPr>
                <w:rFonts w:hint="eastAsia" w:ascii="宋体"/>
                <w:spacing w:val="20"/>
                <w:sz w:val="22"/>
                <w:szCs w:val="22"/>
              </w:rPr>
            </w:pPr>
          </w:p>
        </w:tc>
        <w:tc>
          <w:tcPr>
            <w:tcW w:w="1995" w:type="dxa"/>
            <w:noWrap w:val="0"/>
            <w:vAlign w:val="center"/>
          </w:tcPr>
          <w:p>
            <w:pPr>
              <w:jc w:val="center"/>
              <w:rPr>
                <w:rFonts w:hint="eastAsia" w:ascii="宋体"/>
                <w:spacing w:val="20"/>
                <w:sz w:val="22"/>
                <w:szCs w:val="22"/>
              </w:rPr>
            </w:pPr>
          </w:p>
        </w:tc>
        <w:tc>
          <w:tcPr>
            <w:tcW w:w="1927" w:type="dxa"/>
            <w:noWrap w:val="0"/>
            <w:vAlign w:val="center"/>
          </w:tcPr>
          <w:p>
            <w:pPr>
              <w:jc w:val="center"/>
              <w:rPr>
                <w:rFonts w:hint="eastAsia" w:ascii="宋体"/>
                <w:spacing w:val="20"/>
                <w:sz w:val="22"/>
                <w:szCs w:val="22"/>
              </w:rPr>
            </w:pPr>
          </w:p>
        </w:tc>
        <w:tc>
          <w:tcPr>
            <w:tcW w:w="1477" w:type="dxa"/>
            <w:noWrap w:val="0"/>
            <w:vAlign w:val="center"/>
          </w:tcPr>
          <w:p>
            <w:pPr>
              <w:jc w:val="center"/>
              <w:rPr>
                <w:rFonts w:hint="eastAsia" w:ascii="宋体"/>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spacing w:val="20"/>
                <w:sz w:val="22"/>
                <w:szCs w:val="22"/>
              </w:rPr>
            </w:pPr>
          </w:p>
        </w:tc>
        <w:tc>
          <w:tcPr>
            <w:tcW w:w="2520" w:type="dxa"/>
            <w:noWrap w:val="0"/>
            <w:vAlign w:val="center"/>
          </w:tcPr>
          <w:p>
            <w:pPr>
              <w:jc w:val="center"/>
              <w:rPr>
                <w:rFonts w:hint="eastAsia" w:ascii="宋体"/>
                <w:spacing w:val="20"/>
                <w:sz w:val="22"/>
                <w:szCs w:val="22"/>
              </w:rPr>
            </w:pPr>
          </w:p>
        </w:tc>
        <w:tc>
          <w:tcPr>
            <w:tcW w:w="1995" w:type="dxa"/>
            <w:noWrap w:val="0"/>
            <w:vAlign w:val="center"/>
          </w:tcPr>
          <w:p>
            <w:pPr>
              <w:jc w:val="center"/>
              <w:rPr>
                <w:rFonts w:hint="eastAsia" w:ascii="宋体"/>
                <w:spacing w:val="20"/>
                <w:sz w:val="22"/>
                <w:szCs w:val="22"/>
              </w:rPr>
            </w:pPr>
          </w:p>
        </w:tc>
        <w:tc>
          <w:tcPr>
            <w:tcW w:w="1927" w:type="dxa"/>
            <w:noWrap w:val="0"/>
            <w:vAlign w:val="center"/>
          </w:tcPr>
          <w:p>
            <w:pPr>
              <w:jc w:val="center"/>
              <w:rPr>
                <w:rFonts w:hint="eastAsia" w:ascii="宋体"/>
                <w:spacing w:val="20"/>
                <w:sz w:val="22"/>
                <w:szCs w:val="22"/>
              </w:rPr>
            </w:pPr>
          </w:p>
        </w:tc>
        <w:tc>
          <w:tcPr>
            <w:tcW w:w="1477" w:type="dxa"/>
            <w:noWrap w:val="0"/>
            <w:vAlign w:val="center"/>
          </w:tcPr>
          <w:p>
            <w:pPr>
              <w:jc w:val="center"/>
              <w:rPr>
                <w:rFonts w:hint="eastAsia" w:ascii="宋体"/>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spacing w:val="20"/>
                <w:sz w:val="22"/>
                <w:szCs w:val="22"/>
              </w:rPr>
            </w:pPr>
          </w:p>
        </w:tc>
        <w:tc>
          <w:tcPr>
            <w:tcW w:w="2520" w:type="dxa"/>
            <w:noWrap w:val="0"/>
            <w:vAlign w:val="center"/>
          </w:tcPr>
          <w:p>
            <w:pPr>
              <w:jc w:val="center"/>
              <w:rPr>
                <w:rFonts w:hint="eastAsia" w:ascii="宋体"/>
                <w:spacing w:val="20"/>
                <w:sz w:val="22"/>
                <w:szCs w:val="22"/>
              </w:rPr>
            </w:pPr>
          </w:p>
        </w:tc>
        <w:tc>
          <w:tcPr>
            <w:tcW w:w="1995" w:type="dxa"/>
            <w:noWrap w:val="0"/>
            <w:vAlign w:val="center"/>
          </w:tcPr>
          <w:p>
            <w:pPr>
              <w:jc w:val="center"/>
              <w:rPr>
                <w:rFonts w:hint="eastAsia" w:ascii="宋体"/>
                <w:spacing w:val="20"/>
                <w:sz w:val="22"/>
                <w:szCs w:val="22"/>
              </w:rPr>
            </w:pPr>
          </w:p>
        </w:tc>
        <w:tc>
          <w:tcPr>
            <w:tcW w:w="1927" w:type="dxa"/>
            <w:noWrap w:val="0"/>
            <w:vAlign w:val="center"/>
          </w:tcPr>
          <w:p>
            <w:pPr>
              <w:jc w:val="center"/>
              <w:rPr>
                <w:rFonts w:hint="eastAsia" w:ascii="宋体"/>
                <w:spacing w:val="20"/>
                <w:sz w:val="22"/>
                <w:szCs w:val="22"/>
              </w:rPr>
            </w:pPr>
          </w:p>
        </w:tc>
        <w:tc>
          <w:tcPr>
            <w:tcW w:w="1477" w:type="dxa"/>
            <w:noWrap w:val="0"/>
            <w:vAlign w:val="center"/>
          </w:tcPr>
          <w:p>
            <w:pPr>
              <w:jc w:val="center"/>
              <w:rPr>
                <w:rFonts w:hint="eastAsia" w:ascii="宋体"/>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spacing w:val="20"/>
                <w:sz w:val="22"/>
                <w:szCs w:val="22"/>
              </w:rPr>
            </w:pPr>
          </w:p>
        </w:tc>
        <w:tc>
          <w:tcPr>
            <w:tcW w:w="2520" w:type="dxa"/>
            <w:noWrap w:val="0"/>
            <w:vAlign w:val="center"/>
          </w:tcPr>
          <w:p>
            <w:pPr>
              <w:jc w:val="center"/>
              <w:rPr>
                <w:rFonts w:hint="eastAsia" w:ascii="宋体"/>
                <w:spacing w:val="20"/>
                <w:sz w:val="22"/>
                <w:szCs w:val="22"/>
              </w:rPr>
            </w:pPr>
          </w:p>
        </w:tc>
        <w:tc>
          <w:tcPr>
            <w:tcW w:w="1995" w:type="dxa"/>
            <w:noWrap w:val="0"/>
            <w:vAlign w:val="center"/>
          </w:tcPr>
          <w:p>
            <w:pPr>
              <w:jc w:val="center"/>
              <w:rPr>
                <w:rFonts w:hint="eastAsia" w:ascii="宋体"/>
                <w:spacing w:val="20"/>
                <w:sz w:val="22"/>
                <w:szCs w:val="22"/>
              </w:rPr>
            </w:pPr>
          </w:p>
        </w:tc>
        <w:tc>
          <w:tcPr>
            <w:tcW w:w="1927" w:type="dxa"/>
            <w:noWrap w:val="0"/>
            <w:vAlign w:val="center"/>
          </w:tcPr>
          <w:p>
            <w:pPr>
              <w:jc w:val="center"/>
              <w:rPr>
                <w:rFonts w:hint="eastAsia" w:ascii="宋体"/>
                <w:spacing w:val="20"/>
                <w:sz w:val="22"/>
                <w:szCs w:val="22"/>
              </w:rPr>
            </w:pPr>
          </w:p>
        </w:tc>
        <w:tc>
          <w:tcPr>
            <w:tcW w:w="1477" w:type="dxa"/>
            <w:noWrap w:val="0"/>
            <w:vAlign w:val="center"/>
          </w:tcPr>
          <w:p>
            <w:pPr>
              <w:jc w:val="center"/>
              <w:rPr>
                <w:rFonts w:hint="eastAsia" w:ascii="宋体"/>
                <w:spacing w:val="20"/>
                <w:sz w:val="22"/>
                <w:szCs w:val="22"/>
              </w:rPr>
            </w:pPr>
          </w:p>
        </w:tc>
      </w:tr>
    </w:tbl>
    <w:p>
      <w:pPr>
        <w:spacing w:line="500" w:lineRule="exact"/>
        <w:rPr>
          <w:rFonts w:hint="eastAsia" w:ascii="宋体" w:hAnsi="宋体"/>
          <w:b/>
          <w:szCs w:val="21"/>
        </w:rPr>
      </w:pPr>
      <w:r>
        <w:rPr>
          <w:rFonts w:hint="eastAsia" w:ascii="新宋体" w:hAnsi="新宋体" w:eastAsia="新宋体"/>
          <w:sz w:val="22"/>
          <w:szCs w:val="22"/>
        </w:rPr>
        <w:t>注：此表可按原有格式进行复制。</w:t>
      </w:r>
    </w:p>
    <w:p>
      <w:pPr>
        <w:spacing w:line="500" w:lineRule="exact"/>
        <w:rPr>
          <w:rFonts w:hint="eastAsia" w:ascii="宋体" w:hAnsi="宋体"/>
          <w:szCs w:val="21"/>
        </w:rPr>
      </w:pPr>
      <w:r>
        <w:rPr>
          <w:rFonts w:hint="eastAsia" w:ascii="宋体" w:hAnsi="宋体"/>
          <w:szCs w:val="21"/>
        </w:rPr>
        <w:t>投标人全称（盖章）：</w:t>
      </w:r>
    </w:p>
    <w:p>
      <w:pPr>
        <w:spacing w:line="500" w:lineRule="exact"/>
        <w:rPr>
          <w:rFonts w:hint="eastAsia" w:ascii="宋体" w:hAnsi="宋体"/>
          <w:szCs w:val="21"/>
        </w:rPr>
      </w:pPr>
      <w:r>
        <w:rPr>
          <w:rFonts w:hint="eastAsia" w:ascii="宋体" w:hAnsi="宋体"/>
          <w:szCs w:val="21"/>
        </w:rPr>
        <w:t>授权代表（签字或盖章）：</w:t>
      </w:r>
    </w:p>
    <w:p>
      <w:pPr>
        <w:spacing w:line="400" w:lineRule="exact"/>
        <w:rPr>
          <w:rFonts w:hint="eastAsia" w:ascii="宋体" w:hAnsi="宋体"/>
          <w:szCs w:val="21"/>
        </w:rPr>
      </w:pPr>
      <w:r>
        <w:rPr>
          <w:rFonts w:hint="eastAsia" w:ascii="宋体" w:hAnsi="宋体"/>
          <w:szCs w:val="21"/>
        </w:rPr>
        <w:t>日    期：    年   月   日</w:t>
      </w:r>
    </w:p>
    <w:p>
      <w:pPr>
        <w:spacing w:line="400" w:lineRule="exact"/>
        <w:rPr>
          <w:rFonts w:ascii="宋体" w:hAnsi="宋体"/>
          <w:szCs w:val="21"/>
        </w:rPr>
      </w:pPr>
    </w:p>
    <w:p>
      <w:pPr>
        <w:spacing w:line="400" w:lineRule="exact"/>
        <w:rPr>
          <w:rFonts w:hint="eastAsia" w:ascii="宋体" w:hAnsi="宋体"/>
          <w:sz w:val="32"/>
          <w:szCs w:val="32"/>
        </w:rPr>
      </w:pPr>
      <w:r>
        <w:rPr>
          <w:rFonts w:hint="eastAsia" w:ascii="宋体" w:hAnsi="宋体"/>
          <w:szCs w:val="21"/>
        </w:rPr>
        <w:t xml:space="preserve">                             </w:t>
      </w:r>
      <w:r>
        <w:rPr>
          <w:rFonts w:hint="eastAsia" w:ascii="宋体" w:hAnsi="宋体"/>
          <w:sz w:val="32"/>
          <w:szCs w:val="32"/>
        </w:rPr>
        <w:t>附件五、  技术、商务偏离表</w:t>
      </w:r>
    </w:p>
    <w:p>
      <w:pPr>
        <w:spacing w:line="560" w:lineRule="exact"/>
        <w:rPr>
          <w:rFonts w:hint="eastAsia"/>
        </w:rPr>
      </w:pPr>
      <w:r>
        <w:rPr>
          <w:rFonts w:hint="eastAsia" w:ascii="宋体" w:hAnsi="宋体"/>
          <w:b/>
          <w:sz w:val="24"/>
        </w:rPr>
        <w:t>采购单位：                            项目编号：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54"/>
        <w:gridCol w:w="2078"/>
        <w:gridCol w:w="21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496" w:type="dxa"/>
            <w:noWrap w:val="0"/>
            <w:vAlign w:val="center"/>
          </w:tcPr>
          <w:p>
            <w:pPr>
              <w:jc w:val="center"/>
              <w:rPr>
                <w:rFonts w:hint="eastAsia" w:ascii="宋体" w:hAnsi="宋体"/>
                <w:szCs w:val="21"/>
              </w:rPr>
            </w:pPr>
            <w:r>
              <w:rPr>
                <w:rFonts w:hint="eastAsia" w:ascii="宋体" w:hAnsi="宋体"/>
                <w:szCs w:val="21"/>
              </w:rPr>
              <w:t>内容</w:t>
            </w:r>
          </w:p>
        </w:tc>
        <w:tc>
          <w:tcPr>
            <w:tcW w:w="1754" w:type="dxa"/>
            <w:noWrap w:val="0"/>
            <w:vAlign w:val="center"/>
          </w:tcPr>
          <w:p>
            <w:pPr>
              <w:jc w:val="center"/>
              <w:rPr>
                <w:rFonts w:hint="eastAsia" w:ascii="宋体" w:hAnsi="宋体"/>
                <w:szCs w:val="21"/>
              </w:rPr>
            </w:pPr>
            <w:r>
              <w:rPr>
                <w:rFonts w:hint="eastAsia" w:ascii="宋体" w:hAnsi="宋体"/>
                <w:szCs w:val="21"/>
              </w:rPr>
              <w:t>招标文件</w:t>
            </w:r>
          </w:p>
          <w:p>
            <w:pPr>
              <w:jc w:val="center"/>
              <w:rPr>
                <w:rFonts w:hint="eastAsia" w:ascii="宋体" w:hAnsi="宋体"/>
                <w:szCs w:val="21"/>
              </w:rPr>
            </w:pPr>
            <w:r>
              <w:rPr>
                <w:rFonts w:hint="eastAsia" w:ascii="宋体" w:hAnsi="宋体"/>
                <w:szCs w:val="21"/>
              </w:rPr>
              <w:t>条目号</w:t>
            </w:r>
          </w:p>
        </w:tc>
        <w:tc>
          <w:tcPr>
            <w:tcW w:w="2078" w:type="dxa"/>
            <w:noWrap w:val="0"/>
            <w:vAlign w:val="center"/>
          </w:tcPr>
          <w:p>
            <w:pPr>
              <w:jc w:val="center"/>
              <w:rPr>
                <w:rFonts w:hint="eastAsia" w:ascii="宋体" w:hAnsi="宋体"/>
                <w:szCs w:val="21"/>
              </w:rPr>
            </w:pPr>
            <w:r>
              <w:rPr>
                <w:rFonts w:hint="eastAsia" w:ascii="宋体" w:hAnsi="宋体"/>
                <w:szCs w:val="21"/>
              </w:rPr>
              <w:t>招标规格</w:t>
            </w:r>
          </w:p>
        </w:tc>
        <w:tc>
          <w:tcPr>
            <w:tcW w:w="2160" w:type="dxa"/>
            <w:noWrap w:val="0"/>
            <w:vAlign w:val="center"/>
          </w:tcPr>
          <w:p>
            <w:pPr>
              <w:jc w:val="center"/>
              <w:rPr>
                <w:rFonts w:hint="eastAsia" w:ascii="宋体" w:hAnsi="宋体"/>
                <w:szCs w:val="21"/>
              </w:rPr>
            </w:pPr>
            <w:r>
              <w:rPr>
                <w:rFonts w:hint="eastAsia" w:ascii="宋体" w:hAnsi="宋体"/>
                <w:szCs w:val="21"/>
              </w:rPr>
              <w:t>投标规格</w:t>
            </w:r>
          </w:p>
        </w:tc>
        <w:tc>
          <w:tcPr>
            <w:tcW w:w="1800" w:type="dxa"/>
            <w:noWrap w:val="0"/>
            <w:vAlign w:val="center"/>
          </w:tcPr>
          <w:p>
            <w:pPr>
              <w:jc w:val="center"/>
              <w:rPr>
                <w:rFonts w:hint="eastAsia"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restart"/>
            <w:noWrap w:val="0"/>
            <w:vAlign w:val="center"/>
          </w:tcPr>
          <w:p>
            <w:pPr>
              <w:jc w:val="center"/>
              <w:rPr>
                <w:rFonts w:hint="eastAsia" w:ascii="宋体" w:hAnsi="宋体"/>
                <w:szCs w:val="21"/>
              </w:rPr>
            </w:pPr>
            <w:r>
              <w:rPr>
                <w:rFonts w:hint="eastAsia" w:ascii="宋体" w:hAnsi="宋体"/>
                <w:szCs w:val="21"/>
              </w:rPr>
              <w:t xml:space="preserve">技  术  </w:t>
            </w:r>
          </w:p>
          <w:p>
            <w:pPr>
              <w:jc w:val="center"/>
              <w:rPr>
                <w:rFonts w:hint="eastAsia" w:ascii="宋体" w:hAnsi="宋体"/>
                <w:szCs w:val="21"/>
              </w:rPr>
            </w:pPr>
            <w:r>
              <w:rPr>
                <w:rFonts w:hint="eastAsia" w:ascii="宋体" w:hAnsi="宋体"/>
                <w:szCs w:val="21"/>
              </w:rPr>
              <w:t>偏  离</w:t>
            </w:r>
          </w:p>
        </w:tc>
        <w:tc>
          <w:tcPr>
            <w:tcW w:w="1754" w:type="dxa"/>
            <w:noWrap w:val="0"/>
            <w:vAlign w:val="center"/>
          </w:tcPr>
          <w:p>
            <w:pPr>
              <w:jc w:val="center"/>
              <w:rPr>
                <w:rFonts w:hint="eastAsia" w:ascii="宋体" w:hAnsi="宋体"/>
                <w:szCs w:val="21"/>
              </w:rPr>
            </w:pPr>
          </w:p>
        </w:tc>
        <w:tc>
          <w:tcPr>
            <w:tcW w:w="2078" w:type="dxa"/>
            <w:noWrap w:val="0"/>
            <w:vAlign w:val="center"/>
          </w:tcPr>
          <w:p>
            <w:pPr>
              <w:jc w:val="center"/>
              <w:rPr>
                <w:rFonts w:hint="eastAsia" w:ascii="宋体" w:hAnsi="宋体"/>
                <w:szCs w:val="21"/>
              </w:rPr>
            </w:pPr>
          </w:p>
        </w:tc>
        <w:tc>
          <w:tcPr>
            <w:tcW w:w="2160" w:type="dxa"/>
            <w:noWrap w:val="0"/>
            <w:vAlign w:val="center"/>
          </w:tcPr>
          <w:p>
            <w:pPr>
              <w:jc w:val="center"/>
              <w:rPr>
                <w:rFonts w:hint="eastAsia" w:ascii="宋体" w:hAnsi="宋体"/>
                <w:szCs w:val="21"/>
              </w:rPr>
            </w:pPr>
          </w:p>
        </w:tc>
        <w:tc>
          <w:tcPr>
            <w:tcW w:w="180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noWrap w:val="0"/>
            <w:vAlign w:val="center"/>
          </w:tcPr>
          <w:p>
            <w:pPr>
              <w:jc w:val="center"/>
              <w:rPr>
                <w:rFonts w:hint="eastAsia" w:ascii="宋体" w:hAnsi="宋体"/>
                <w:szCs w:val="21"/>
              </w:rPr>
            </w:pPr>
          </w:p>
        </w:tc>
        <w:tc>
          <w:tcPr>
            <w:tcW w:w="1754" w:type="dxa"/>
            <w:noWrap w:val="0"/>
            <w:vAlign w:val="center"/>
          </w:tcPr>
          <w:p>
            <w:pPr>
              <w:jc w:val="center"/>
              <w:rPr>
                <w:rFonts w:hint="eastAsia" w:ascii="宋体" w:hAnsi="宋体"/>
                <w:szCs w:val="21"/>
              </w:rPr>
            </w:pPr>
          </w:p>
        </w:tc>
        <w:tc>
          <w:tcPr>
            <w:tcW w:w="2078" w:type="dxa"/>
            <w:noWrap w:val="0"/>
            <w:vAlign w:val="center"/>
          </w:tcPr>
          <w:p>
            <w:pPr>
              <w:jc w:val="center"/>
              <w:rPr>
                <w:rFonts w:hint="eastAsia" w:ascii="宋体" w:hAnsi="宋体"/>
                <w:szCs w:val="21"/>
              </w:rPr>
            </w:pPr>
          </w:p>
        </w:tc>
        <w:tc>
          <w:tcPr>
            <w:tcW w:w="2160" w:type="dxa"/>
            <w:noWrap w:val="0"/>
            <w:vAlign w:val="center"/>
          </w:tcPr>
          <w:p>
            <w:pPr>
              <w:jc w:val="center"/>
              <w:rPr>
                <w:rFonts w:hint="eastAsia" w:ascii="宋体" w:hAnsi="宋体"/>
                <w:szCs w:val="21"/>
              </w:rPr>
            </w:pPr>
          </w:p>
        </w:tc>
        <w:tc>
          <w:tcPr>
            <w:tcW w:w="180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noWrap w:val="0"/>
            <w:vAlign w:val="center"/>
          </w:tcPr>
          <w:p>
            <w:pPr>
              <w:jc w:val="center"/>
              <w:rPr>
                <w:rFonts w:hint="eastAsia" w:ascii="宋体" w:hAnsi="宋体"/>
                <w:szCs w:val="21"/>
              </w:rPr>
            </w:pPr>
          </w:p>
        </w:tc>
        <w:tc>
          <w:tcPr>
            <w:tcW w:w="1754" w:type="dxa"/>
            <w:noWrap w:val="0"/>
            <w:vAlign w:val="center"/>
          </w:tcPr>
          <w:p>
            <w:pPr>
              <w:jc w:val="center"/>
              <w:rPr>
                <w:rFonts w:hint="eastAsia" w:ascii="宋体" w:hAnsi="宋体"/>
                <w:szCs w:val="21"/>
              </w:rPr>
            </w:pPr>
          </w:p>
        </w:tc>
        <w:tc>
          <w:tcPr>
            <w:tcW w:w="2078" w:type="dxa"/>
            <w:noWrap w:val="0"/>
            <w:vAlign w:val="center"/>
          </w:tcPr>
          <w:p>
            <w:pPr>
              <w:jc w:val="center"/>
              <w:rPr>
                <w:rFonts w:hint="eastAsia" w:ascii="宋体" w:hAnsi="宋体"/>
                <w:szCs w:val="21"/>
              </w:rPr>
            </w:pPr>
          </w:p>
        </w:tc>
        <w:tc>
          <w:tcPr>
            <w:tcW w:w="2160" w:type="dxa"/>
            <w:noWrap w:val="0"/>
            <w:vAlign w:val="center"/>
          </w:tcPr>
          <w:p>
            <w:pPr>
              <w:jc w:val="center"/>
              <w:rPr>
                <w:rFonts w:hint="eastAsia" w:ascii="宋体" w:hAnsi="宋体"/>
                <w:szCs w:val="21"/>
              </w:rPr>
            </w:pPr>
          </w:p>
        </w:tc>
        <w:tc>
          <w:tcPr>
            <w:tcW w:w="180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noWrap w:val="0"/>
            <w:vAlign w:val="center"/>
          </w:tcPr>
          <w:p>
            <w:pPr>
              <w:jc w:val="center"/>
              <w:rPr>
                <w:rFonts w:hint="eastAsia" w:ascii="宋体" w:hAnsi="宋体"/>
                <w:szCs w:val="21"/>
              </w:rPr>
            </w:pPr>
          </w:p>
        </w:tc>
        <w:tc>
          <w:tcPr>
            <w:tcW w:w="1754" w:type="dxa"/>
            <w:noWrap w:val="0"/>
            <w:vAlign w:val="center"/>
          </w:tcPr>
          <w:p>
            <w:pPr>
              <w:jc w:val="center"/>
              <w:rPr>
                <w:rFonts w:hint="eastAsia" w:ascii="宋体" w:hAnsi="宋体"/>
                <w:szCs w:val="21"/>
              </w:rPr>
            </w:pPr>
          </w:p>
        </w:tc>
        <w:tc>
          <w:tcPr>
            <w:tcW w:w="2078" w:type="dxa"/>
            <w:noWrap w:val="0"/>
            <w:vAlign w:val="center"/>
          </w:tcPr>
          <w:p>
            <w:pPr>
              <w:jc w:val="center"/>
              <w:rPr>
                <w:rFonts w:hint="eastAsia" w:ascii="宋体" w:hAnsi="宋体"/>
                <w:szCs w:val="21"/>
              </w:rPr>
            </w:pPr>
          </w:p>
        </w:tc>
        <w:tc>
          <w:tcPr>
            <w:tcW w:w="2160" w:type="dxa"/>
            <w:noWrap w:val="0"/>
            <w:vAlign w:val="center"/>
          </w:tcPr>
          <w:p>
            <w:pPr>
              <w:jc w:val="center"/>
              <w:rPr>
                <w:rFonts w:hint="eastAsia" w:ascii="宋体" w:hAnsi="宋体"/>
                <w:szCs w:val="21"/>
              </w:rPr>
            </w:pPr>
          </w:p>
        </w:tc>
        <w:tc>
          <w:tcPr>
            <w:tcW w:w="180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noWrap w:val="0"/>
            <w:vAlign w:val="center"/>
          </w:tcPr>
          <w:p>
            <w:pPr>
              <w:jc w:val="center"/>
              <w:rPr>
                <w:rFonts w:hint="eastAsia" w:ascii="宋体" w:hAnsi="宋体"/>
                <w:szCs w:val="21"/>
              </w:rPr>
            </w:pPr>
          </w:p>
        </w:tc>
        <w:tc>
          <w:tcPr>
            <w:tcW w:w="1754" w:type="dxa"/>
            <w:noWrap w:val="0"/>
            <w:vAlign w:val="center"/>
          </w:tcPr>
          <w:p>
            <w:pPr>
              <w:jc w:val="center"/>
              <w:rPr>
                <w:rFonts w:hint="eastAsia" w:ascii="宋体" w:hAnsi="宋体"/>
                <w:szCs w:val="21"/>
              </w:rPr>
            </w:pPr>
          </w:p>
        </w:tc>
        <w:tc>
          <w:tcPr>
            <w:tcW w:w="2078" w:type="dxa"/>
            <w:noWrap w:val="0"/>
            <w:vAlign w:val="center"/>
          </w:tcPr>
          <w:p>
            <w:pPr>
              <w:jc w:val="center"/>
              <w:rPr>
                <w:rFonts w:hint="eastAsia" w:ascii="宋体" w:hAnsi="宋体"/>
                <w:szCs w:val="21"/>
              </w:rPr>
            </w:pPr>
          </w:p>
        </w:tc>
        <w:tc>
          <w:tcPr>
            <w:tcW w:w="2160" w:type="dxa"/>
            <w:noWrap w:val="0"/>
            <w:vAlign w:val="center"/>
          </w:tcPr>
          <w:p>
            <w:pPr>
              <w:jc w:val="center"/>
              <w:rPr>
                <w:rFonts w:hint="eastAsia" w:ascii="宋体" w:hAnsi="宋体"/>
                <w:szCs w:val="21"/>
              </w:rPr>
            </w:pPr>
          </w:p>
        </w:tc>
        <w:tc>
          <w:tcPr>
            <w:tcW w:w="180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noWrap w:val="0"/>
            <w:vAlign w:val="center"/>
          </w:tcPr>
          <w:p>
            <w:pPr>
              <w:jc w:val="center"/>
              <w:rPr>
                <w:rFonts w:hint="eastAsia" w:ascii="宋体" w:hAnsi="宋体"/>
                <w:szCs w:val="21"/>
              </w:rPr>
            </w:pPr>
          </w:p>
        </w:tc>
        <w:tc>
          <w:tcPr>
            <w:tcW w:w="1754" w:type="dxa"/>
            <w:noWrap w:val="0"/>
            <w:vAlign w:val="center"/>
          </w:tcPr>
          <w:p>
            <w:pPr>
              <w:jc w:val="center"/>
              <w:rPr>
                <w:rFonts w:hint="eastAsia" w:ascii="宋体" w:hAnsi="宋体"/>
                <w:szCs w:val="21"/>
              </w:rPr>
            </w:pPr>
          </w:p>
        </w:tc>
        <w:tc>
          <w:tcPr>
            <w:tcW w:w="2078" w:type="dxa"/>
            <w:noWrap w:val="0"/>
            <w:vAlign w:val="center"/>
          </w:tcPr>
          <w:p>
            <w:pPr>
              <w:jc w:val="center"/>
              <w:rPr>
                <w:rFonts w:hint="eastAsia" w:ascii="宋体" w:hAnsi="宋体"/>
                <w:szCs w:val="21"/>
              </w:rPr>
            </w:pPr>
          </w:p>
        </w:tc>
        <w:tc>
          <w:tcPr>
            <w:tcW w:w="2160" w:type="dxa"/>
            <w:noWrap w:val="0"/>
            <w:vAlign w:val="center"/>
          </w:tcPr>
          <w:p>
            <w:pPr>
              <w:jc w:val="center"/>
              <w:rPr>
                <w:rFonts w:hint="eastAsia" w:ascii="宋体" w:hAnsi="宋体"/>
                <w:szCs w:val="21"/>
              </w:rPr>
            </w:pPr>
          </w:p>
        </w:tc>
        <w:tc>
          <w:tcPr>
            <w:tcW w:w="180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noWrap w:val="0"/>
            <w:vAlign w:val="center"/>
          </w:tcPr>
          <w:p>
            <w:pPr>
              <w:jc w:val="center"/>
              <w:rPr>
                <w:rFonts w:hint="eastAsia" w:ascii="宋体" w:hAnsi="宋体"/>
                <w:szCs w:val="21"/>
              </w:rPr>
            </w:pPr>
          </w:p>
        </w:tc>
        <w:tc>
          <w:tcPr>
            <w:tcW w:w="1754" w:type="dxa"/>
            <w:noWrap w:val="0"/>
            <w:vAlign w:val="center"/>
          </w:tcPr>
          <w:p>
            <w:pPr>
              <w:jc w:val="center"/>
              <w:rPr>
                <w:rFonts w:hint="eastAsia" w:ascii="宋体" w:hAnsi="宋体"/>
                <w:szCs w:val="21"/>
              </w:rPr>
            </w:pPr>
          </w:p>
        </w:tc>
        <w:tc>
          <w:tcPr>
            <w:tcW w:w="2078" w:type="dxa"/>
            <w:noWrap w:val="0"/>
            <w:vAlign w:val="center"/>
          </w:tcPr>
          <w:p>
            <w:pPr>
              <w:jc w:val="center"/>
              <w:rPr>
                <w:rFonts w:hint="eastAsia" w:ascii="宋体" w:hAnsi="宋体"/>
                <w:szCs w:val="21"/>
              </w:rPr>
            </w:pPr>
          </w:p>
        </w:tc>
        <w:tc>
          <w:tcPr>
            <w:tcW w:w="2160" w:type="dxa"/>
            <w:noWrap w:val="0"/>
            <w:vAlign w:val="center"/>
          </w:tcPr>
          <w:p>
            <w:pPr>
              <w:jc w:val="center"/>
              <w:rPr>
                <w:rFonts w:hint="eastAsia" w:ascii="宋体" w:hAnsi="宋体"/>
                <w:szCs w:val="21"/>
              </w:rPr>
            </w:pPr>
          </w:p>
        </w:tc>
        <w:tc>
          <w:tcPr>
            <w:tcW w:w="180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noWrap w:val="0"/>
            <w:vAlign w:val="center"/>
          </w:tcPr>
          <w:p>
            <w:pPr>
              <w:jc w:val="center"/>
              <w:rPr>
                <w:rFonts w:hint="eastAsia" w:ascii="宋体" w:hAnsi="宋体"/>
                <w:szCs w:val="21"/>
              </w:rPr>
            </w:pPr>
          </w:p>
        </w:tc>
        <w:tc>
          <w:tcPr>
            <w:tcW w:w="1754" w:type="dxa"/>
            <w:noWrap w:val="0"/>
            <w:vAlign w:val="center"/>
          </w:tcPr>
          <w:p>
            <w:pPr>
              <w:jc w:val="center"/>
              <w:rPr>
                <w:rFonts w:hint="eastAsia" w:ascii="宋体" w:hAnsi="宋体"/>
                <w:szCs w:val="21"/>
              </w:rPr>
            </w:pPr>
          </w:p>
        </w:tc>
        <w:tc>
          <w:tcPr>
            <w:tcW w:w="2078" w:type="dxa"/>
            <w:noWrap w:val="0"/>
            <w:vAlign w:val="center"/>
          </w:tcPr>
          <w:p>
            <w:pPr>
              <w:jc w:val="center"/>
              <w:rPr>
                <w:rFonts w:hint="eastAsia" w:ascii="宋体" w:hAnsi="宋体"/>
                <w:szCs w:val="21"/>
              </w:rPr>
            </w:pPr>
          </w:p>
        </w:tc>
        <w:tc>
          <w:tcPr>
            <w:tcW w:w="2160" w:type="dxa"/>
            <w:noWrap w:val="0"/>
            <w:vAlign w:val="center"/>
          </w:tcPr>
          <w:p>
            <w:pPr>
              <w:jc w:val="center"/>
              <w:rPr>
                <w:rFonts w:hint="eastAsia" w:ascii="宋体" w:hAnsi="宋体"/>
                <w:szCs w:val="21"/>
              </w:rPr>
            </w:pPr>
          </w:p>
        </w:tc>
        <w:tc>
          <w:tcPr>
            <w:tcW w:w="180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1496" w:type="dxa"/>
            <w:vMerge w:val="continue"/>
            <w:noWrap w:val="0"/>
            <w:vAlign w:val="center"/>
          </w:tcPr>
          <w:p>
            <w:pPr>
              <w:jc w:val="center"/>
              <w:rPr>
                <w:rFonts w:hint="eastAsia" w:ascii="宋体" w:hAnsi="宋体"/>
                <w:szCs w:val="21"/>
              </w:rPr>
            </w:pPr>
          </w:p>
        </w:tc>
        <w:tc>
          <w:tcPr>
            <w:tcW w:w="1754" w:type="dxa"/>
            <w:noWrap w:val="0"/>
            <w:vAlign w:val="center"/>
          </w:tcPr>
          <w:p>
            <w:pPr>
              <w:jc w:val="center"/>
              <w:rPr>
                <w:rFonts w:hint="eastAsia" w:ascii="宋体" w:hAnsi="宋体"/>
                <w:szCs w:val="21"/>
              </w:rPr>
            </w:pPr>
          </w:p>
        </w:tc>
        <w:tc>
          <w:tcPr>
            <w:tcW w:w="2078" w:type="dxa"/>
            <w:noWrap w:val="0"/>
            <w:vAlign w:val="center"/>
          </w:tcPr>
          <w:p>
            <w:pPr>
              <w:jc w:val="center"/>
              <w:rPr>
                <w:rFonts w:hint="eastAsia" w:ascii="宋体" w:hAnsi="宋体"/>
                <w:szCs w:val="21"/>
              </w:rPr>
            </w:pPr>
          </w:p>
        </w:tc>
        <w:tc>
          <w:tcPr>
            <w:tcW w:w="2160" w:type="dxa"/>
            <w:noWrap w:val="0"/>
            <w:vAlign w:val="center"/>
          </w:tcPr>
          <w:p>
            <w:pPr>
              <w:jc w:val="center"/>
              <w:rPr>
                <w:rFonts w:hint="eastAsia" w:ascii="宋体" w:hAnsi="宋体"/>
                <w:szCs w:val="21"/>
              </w:rPr>
            </w:pPr>
          </w:p>
        </w:tc>
        <w:tc>
          <w:tcPr>
            <w:tcW w:w="180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496" w:type="dxa"/>
            <w:noWrap w:val="0"/>
            <w:vAlign w:val="center"/>
          </w:tcPr>
          <w:p>
            <w:pPr>
              <w:jc w:val="center"/>
              <w:rPr>
                <w:rFonts w:hint="eastAsia" w:ascii="宋体" w:hAnsi="宋体"/>
                <w:szCs w:val="21"/>
              </w:rPr>
            </w:pPr>
            <w:r>
              <w:rPr>
                <w:rFonts w:hint="eastAsia" w:ascii="宋体" w:hAnsi="宋体"/>
                <w:szCs w:val="21"/>
              </w:rPr>
              <w:t>内容</w:t>
            </w:r>
          </w:p>
        </w:tc>
        <w:tc>
          <w:tcPr>
            <w:tcW w:w="1754" w:type="dxa"/>
            <w:noWrap w:val="0"/>
            <w:vAlign w:val="center"/>
          </w:tcPr>
          <w:p>
            <w:pPr>
              <w:jc w:val="center"/>
              <w:rPr>
                <w:rFonts w:hint="eastAsia" w:ascii="宋体" w:hAnsi="宋体"/>
                <w:szCs w:val="21"/>
              </w:rPr>
            </w:pPr>
            <w:r>
              <w:rPr>
                <w:rFonts w:hint="eastAsia" w:ascii="宋体" w:hAnsi="宋体"/>
                <w:szCs w:val="21"/>
              </w:rPr>
              <w:t>招标文件</w:t>
            </w:r>
          </w:p>
          <w:p>
            <w:pPr>
              <w:jc w:val="center"/>
              <w:rPr>
                <w:rFonts w:hint="eastAsia" w:ascii="宋体" w:hAnsi="宋体"/>
                <w:szCs w:val="21"/>
              </w:rPr>
            </w:pPr>
            <w:r>
              <w:rPr>
                <w:rFonts w:hint="eastAsia" w:ascii="宋体" w:hAnsi="宋体"/>
                <w:szCs w:val="21"/>
              </w:rPr>
              <w:t>条目号</w:t>
            </w:r>
          </w:p>
        </w:tc>
        <w:tc>
          <w:tcPr>
            <w:tcW w:w="2078" w:type="dxa"/>
            <w:noWrap w:val="0"/>
            <w:vAlign w:val="center"/>
          </w:tcPr>
          <w:p>
            <w:pPr>
              <w:jc w:val="center"/>
              <w:rPr>
                <w:rFonts w:hint="eastAsia" w:ascii="宋体" w:hAnsi="宋体"/>
                <w:szCs w:val="21"/>
              </w:rPr>
            </w:pPr>
            <w:r>
              <w:rPr>
                <w:rFonts w:hint="eastAsia" w:ascii="宋体" w:hAnsi="宋体"/>
                <w:szCs w:val="21"/>
              </w:rPr>
              <w:t>招标文件</w:t>
            </w:r>
          </w:p>
          <w:p>
            <w:pPr>
              <w:jc w:val="center"/>
              <w:rPr>
                <w:rFonts w:hint="eastAsia" w:ascii="宋体" w:hAnsi="宋体"/>
                <w:szCs w:val="21"/>
              </w:rPr>
            </w:pPr>
            <w:r>
              <w:rPr>
                <w:rFonts w:hint="eastAsia" w:ascii="宋体" w:hAnsi="宋体"/>
                <w:szCs w:val="21"/>
              </w:rPr>
              <w:t>条款</w:t>
            </w:r>
          </w:p>
        </w:tc>
        <w:tc>
          <w:tcPr>
            <w:tcW w:w="2160" w:type="dxa"/>
            <w:noWrap w:val="0"/>
            <w:vAlign w:val="center"/>
          </w:tcPr>
          <w:p>
            <w:pPr>
              <w:jc w:val="center"/>
              <w:rPr>
                <w:rFonts w:hint="eastAsia" w:ascii="宋体" w:hAnsi="宋体"/>
                <w:szCs w:val="21"/>
              </w:rPr>
            </w:pPr>
            <w:r>
              <w:rPr>
                <w:rFonts w:hint="eastAsia" w:ascii="宋体" w:hAnsi="宋体"/>
                <w:szCs w:val="21"/>
              </w:rPr>
              <w:t>投标文件</w:t>
            </w:r>
          </w:p>
          <w:p>
            <w:pPr>
              <w:jc w:val="center"/>
              <w:rPr>
                <w:rFonts w:hint="eastAsia" w:ascii="宋体" w:hAnsi="宋体"/>
                <w:szCs w:val="21"/>
              </w:rPr>
            </w:pPr>
            <w:r>
              <w:rPr>
                <w:rFonts w:hint="eastAsia" w:ascii="宋体" w:hAnsi="宋体"/>
                <w:szCs w:val="21"/>
              </w:rPr>
              <w:t>条款</w:t>
            </w:r>
          </w:p>
        </w:tc>
        <w:tc>
          <w:tcPr>
            <w:tcW w:w="1800" w:type="dxa"/>
            <w:noWrap w:val="0"/>
            <w:vAlign w:val="center"/>
          </w:tcPr>
          <w:p>
            <w:pPr>
              <w:jc w:val="center"/>
              <w:rPr>
                <w:rFonts w:hint="eastAsia"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restart"/>
            <w:noWrap w:val="0"/>
            <w:vAlign w:val="center"/>
          </w:tcPr>
          <w:p>
            <w:pPr>
              <w:jc w:val="center"/>
              <w:rPr>
                <w:rFonts w:hint="eastAsia" w:ascii="宋体" w:hAnsi="宋体"/>
                <w:szCs w:val="21"/>
              </w:rPr>
            </w:pPr>
            <w:r>
              <w:rPr>
                <w:rFonts w:hint="eastAsia" w:ascii="宋体" w:hAnsi="宋体"/>
                <w:szCs w:val="21"/>
              </w:rPr>
              <w:t xml:space="preserve">商  务  </w:t>
            </w:r>
          </w:p>
          <w:p>
            <w:pPr>
              <w:jc w:val="center"/>
              <w:rPr>
                <w:rFonts w:hint="eastAsia" w:ascii="宋体" w:hAnsi="宋体"/>
                <w:szCs w:val="21"/>
              </w:rPr>
            </w:pPr>
            <w:r>
              <w:rPr>
                <w:rFonts w:hint="eastAsia" w:ascii="宋体" w:hAnsi="宋体"/>
                <w:szCs w:val="21"/>
              </w:rPr>
              <w:t>偏  离</w:t>
            </w:r>
          </w:p>
        </w:tc>
        <w:tc>
          <w:tcPr>
            <w:tcW w:w="1754" w:type="dxa"/>
            <w:noWrap w:val="0"/>
            <w:vAlign w:val="center"/>
          </w:tcPr>
          <w:p>
            <w:pPr>
              <w:jc w:val="center"/>
              <w:rPr>
                <w:rFonts w:hint="eastAsia" w:ascii="宋体" w:hAnsi="宋体"/>
                <w:szCs w:val="21"/>
              </w:rPr>
            </w:pPr>
          </w:p>
        </w:tc>
        <w:tc>
          <w:tcPr>
            <w:tcW w:w="2078" w:type="dxa"/>
            <w:noWrap w:val="0"/>
            <w:vAlign w:val="center"/>
          </w:tcPr>
          <w:p>
            <w:pPr>
              <w:jc w:val="center"/>
              <w:rPr>
                <w:rFonts w:hint="eastAsia" w:ascii="宋体" w:hAnsi="宋体"/>
                <w:szCs w:val="21"/>
              </w:rPr>
            </w:pPr>
          </w:p>
        </w:tc>
        <w:tc>
          <w:tcPr>
            <w:tcW w:w="2160" w:type="dxa"/>
            <w:noWrap w:val="0"/>
            <w:vAlign w:val="center"/>
          </w:tcPr>
          <w:p>
            <w:pPr>
              <w:jc w:val="center"/>
              <w:rPr>
                <w:rFonts w:hint="eastAsia" w:ascii="宋体" w:hAnsi="宋体"/>
                <w:szCs w:val="21"/>
              </w:rPr>
            </w:pPr>
          </w:p>
        </w:tc>
        <w:tc>
          <w:tcPr>
            <w:tcW w:w="180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noWrap w:val="0"/>
            <w:vAlign w:val="center"/>
          </w:tcPr>
          <w:p>
            <w:pPr>
              <w:jc w:val="center"/>
              <w:rPr>
                <w:rFonts w:hint="eastAsia" w:ascii="宋体" w:hAnsi="宋体"/>
                <w:szCs w:val="21"/>
              </w:rPr>
            </w:pPr>
          </w:p>
        </w:tc>
        <w:tc>
          <w:tcPr>
            <w:tcW w:w="1754" w:type="dxa"/>
            <w:noWrap w:val="0"/>
            <w:vAlign w:val="center"/>
          </w:tcPr>
          <w:p>
            <w:pPr>
              <w:jc w:val="center"/>
              <w:rPr>
                <w:rFonts w:hint="eastAsia" w:ascii="宋体" w:hAnsi="宋体"/>
                <w:szCs w:val="21"/>
              </w:rPr>
            </w:pPr>
          </w:p>
        </w:tc>
        <w:tc>
          <w:tcPr>
            <w:tcW w:w="2078" w:type="dxa"/>
            <w:noWrap w:val="0"/>
            <w:vAlign w:val="center"/>
          </w:tcPr>
          <w:p>
            <w:pPr>
              <w:jc w:val="center"/>
              <w:rPr>
                <w:rFonts w:hint="eastAsia" w:ascii="宋体" w:hAnsi="宋体"/>
                <w:szCs w:val="21"/>
              </w:rPr>
            </w:pPr>
          </w:p>
        </w:tc>
        <w:tc>
          <w:tcPr>
            <w:tcW w:w="2160" w:type="dxa"/>
            <w:noWrap w:val="0"/>
            <w:vAlign w:val="center"/>
          </w:tcPr>
          <w:p>
            <w:pPr>
              <w:jc w:val="center"/>
              <w:rPr>
                <w:rFonts w:hint="eastAsia" w:ascii="宋体" w:hAnsi="宋体"/>
                <w:szCs w:val="21"/>
              </w:rPr>
            </w:pPr>
          </w:p>
        </w:tc>
        <w:tc>
          <w:tcPr>
            <w:tcW w:w="180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noWrap w:val="0"/>
            <w:vAlign w:val="center"/>
          </w:tcPr>
          <w:p>
            <w:pPr>
              <w:jc w:val="center"/>
              <w:rPr>
                <w:rFonts w:hint="eastAsia" w:ascii="宋体" w:hAnsi="宋体"/>
                <w:szCs w:val="21"/>
              </w:rPr>
            </w:pPr>
          </w:p>
        </w:tc>
        <w:tc>
          <w:tcPr>
            <w:tcW w:w="1754" w:type="dxa"/>
            <w:noWrap w:val="0"/>
            <w:vAlign w:val="center"/>
          </w:tcPr>
          <w:p>
            <w:pPr>
              <w:jc w:val="center"/>
              <w:rPr>
                <w:rFonts w:hint="eastAsia" w:ascii="宋体" w:hAnsi="宋体"/>
                <w:szCs w:val="21"/>
              </w:rPr>
            </w:pPr>
          </w:p>
        </w:tc>
        <w:tc>
          <w:tcPr>
            <w:tcW w:w="2078" w:type="dxa"/>
            <w:noWrap w:val="0"/>
            <w:vAlign w:val="center"/>
          </w:tcPr>
          <w:p>
            <w:pPr>
              <w:jc w:val="center"/>
              <w:rPr>
                <w:rFonts w:hint="eastAsia" w:ascii="宋体" w:hAnsi="宋体"/>
                <w:szCs w:val="21"/>
              </w:rPr>
            </w:pPr>
          </w:p>
        </w:tc>
        <w:tc>
          <w:tcPr>
            <w:tcW w:w="2160" w:type="dxa"/>
            <w:noWrap w:val="0"/>
            <w:vAlign w:val="center"/>
          </w:tcPr>
          <w:p>
            <w:pPr>
              <w:jc w:val="center"/>
              <w:rPr>
                <w:rFonts w:hint="eastAsia" w:ascii="宋体" w:hAnsi="宋体"/>
                <w:szCs w:val="21"/>
              </w:rPr>
            </w:pPr>
          </w:p>
        </w:tc>
        <w:tc>
          <w:tcPr>
            <w:tcW w:w="180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noWrap w:val="0"/>
            <w:vAlign w:val="center"/>
          </w:tcPr>
          <w:p>
            <w:pPr>
              <w:jc w:val="center"/>
              <w:rPr>
                <w:rFonts w:hint="eastAsia" w:ascii="宋体" w:hAnsi="宋体"/>
                <w:szCs w:val="21"/>
              </w:rPr>
            </w:pPr>
          </w:p>
        </w:tc>
        <w:tc>
          <w:tcPr>
            <w:tcW w:w="1754" w:type="dxa"/>
            <w:noWrap w:val="0"/>
            <w:vAlign w:val="center"/>
          </w:tcPr>
          <w:p>
            <w:pPr>
              <w:jc w:val="center"/>
              <w:rPr>
                <w:rFonts w:hint="eastAsia" w:ascii="宋体" w:hAnsi="宋体"/>
                <w:szCs w:val="21"/>
              </w:rPr>
            </w:pPr>
          </w:p>
        </w:tc>
        <w:tc>
          <w:tcPr>
            <w:tcW w:w="2078" w:type="dxa"/>
            <w:noWrap w:val="0"/>
            <w:vAlign w:val="center"/>
          </w:tcPr>
          <w:p>
            <w:pPr>
              <w:jc w:val="center"/>
              <w:rPr>
                <w:rFonts w:hint="eastAsia" w:ascii="宋体" w:hAnsi="宋体"/>
                <w:szCs w:val="21"/>
              </w:rPr>
            </w:pPr>
          </w:p>
        </w:tc>
        <w:tc>
          <w:tcPr>
            <w:tcW w:w="2160" w:type="dxa"/>
            <w:noWrap w:val="0"/>
            <w:vAlign w:val="center"/>
          </w:tcPr>
          <w:p>
            <w:pPr>
              <w:jc w:val="center"/>
              <w:rPr>
                <w:rFonts w:hint="eastAsia" w:ascii="宋体" w:hAnsi="宋体"/>
                <w:szCs w:val="21"/>
              </w:rPr>
            </w:pPr>
          </w:p>
        </w:tc>
        <w:tc>
          <w:tcPr>
            <w:tcW w:w="180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noWrap w:val="0"/>
            <w:vAlign w:val="center"/>
          </w:tcPr>
          <w:p>
            <w:pPr>
              <w:jc w:val="center"/>
              <w:rPr>
                <w:rFonts w:hint="eastAsia" w:ascii="宋体" w:hAnsi="宋体"/>
                <w:szCs w:val="21"/>
              </w:rPr>
            </w:pPr>
          </w:p>
        </w:tc>
        <w:tc>
          <w:tcPr>
            <w:tcW w:w="1754" w:type="dxa"/>
            <w:noWrap w:val="0"/>
            <w:vAlign w:val="center"/>
          </w:tcPr>
          <w:p>
            <w:pPr>
              <w:jc w:val="center"/>
              <w:rPr>
                <w:rFonts w:hint="eastAsia" w:ascii="宋体" w:hAnsi="宋体"/>
                <w:szCs w:val="21"/>
              </w:rPr>
            </w:pPr>
          </w:p>
        </w:tc>
        <w:tc>
          <w:tcPr>
            <w:tcW w:w="2078" w:type="dxa"/>
            <w:noWrap w:val="0"/>
            <w:vAlign w:val="center"/>
          </w:tcPr>
          <w:p>
            <w:pPr>
              <w:jc w:val="center"/>
              <w:rPr>
                <w:rFonts w:hint="eastAsia" w:ascii="宋体" w:hAnsi="宋体"/>
                <w:szCs w:val="21"/>
              </w:rPr>
            </w:pPr>
          </w:p>
        </w:tc>
        <w:tc>
          <w:tcPr>
            <w:tcW w:w="2160" w:type="dxa"/>
            <w:noWrap w:val="0"/>
            <w:vAlign w:val="center"/>
          </w:tcPr>
          <w:p>
            <w:pPr>
              <w:jc w:val="center"/>
              <w:rPr>
                <w:rFonts w:hint="eastAsia" w:ascii="宋体" w:hAnsi="宋体"/>
                <w:szCs w:val="21"/>
              </w:rPr>
            </w:pPr>
          </w:p>
        </w:tc>
        <w:tc>
          <w:tcPr>
            <w:tcW w:w="180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noWrap w:val="0"/>
            <w:vAlign w:val="center"/>
          </w:tcPr>
          <w:p>
            <w:pPr>
              <w:jc w:val="center"/>
              <w:rPr>
                <w:rFonts w:hint="eastAsia" w:ascii="宋体" w:hAnsi="宋体"/>
                <w:szCs w:val="21"/>
              </w:rPr>
            </w:pPr>
          </w:p>
        </w:tc>
        <w:tc>
          <w:tcPr>
            <w:tcW w:w="1754" w:type="dxa"/>
            <w:noWrap w:val="0"/>
            <w:vAlign w:val="center"/>
          </w:tcPr>
          <w:p>
            <w:pPr>
              <w:jc w:val="center"/>
              <w:rPr>
                <w:rFonts w:hint="eastAsia" w:ascii="宋体" w:hAnsi="宋体"/>
                <w:szCs w:val="21"/>
              </w:rPr>
            </w:pPr>
          </w:p>
        </w:tc>
        <w:tc>
          <w:tcPr>
            <w:tcW w:w="2078" w:type="dxa"/>
            <w:noWrap w:val="0"/>
            <w:vAlign w:val="center"/>
          </w:tcPr>
          <w:p>
            <w:pPr>
              <w:jc w:val="center"/>
              <w:rPr>
                <w:rFonts w:hint="eastAsia" w:ascii="宋体" w:hAnsi="宋体"/>
                <w:szCs w:val="21"/>
              </w:rPr>
            </w:pPr>
          </w:p>
        </w:tc>
        <w:tc>
          <w:tcPr>
            <w:tcW w:w="2160" w:type="dxa"/>
            <w:noWrap w:val="0"/>
            <w:vAlign w:val="center"/>
          </w:tcPr>
          <w:p>
            <w:pPr>
              <w:jc w:val="center"/>
              <w:rPr>
                <w:rFonts w:hint="eastAsia" w:ascii="宋体" w:hAnsi="宋体"/>
                <w:szCs w:val="21"/>
              </w:rPr>
            </w:pPr>
          </w:p>
        </w:tc>
        <w:tc>
          <w:tcPr>
            <w:tcW w:w="180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noWrap w:val="0"/>
            <w:vAlign w:val="center"/>
          </w:tcPr>
          <w:p>
            <w:pPr>
              <w:jc w:val="center"/>
              <w:rPr>
                <w:rFonts w:hint="eastAsia" w:ascii="宋体" w:hAnsi="宋体"/>
                <w:szCs w:val="21"/>
              </w:rPr>
            </w:pPr>
          </w:p>
        </w:tc>
        <w:tc>
          <w:tcPr>
            <w:tcW w:w="1754" w:type="dxa"/>
            <w:noWrap w:val="0"/>
            <w:vAlign w:val="center"/>
          </w:tcPr>
          <w:p>
            <w:pPr>
              <w:jc w:val="center"/>
              <w:rPr>
                <w:rFonts w:hint="eastAsia" w:ascii="宋体" w:hAnsi="宋体"/>
                <w:szCs w:val="21"/>
              </w:rPr>
            </w:pPr>
          </w:p>
        </w:tc>
        <w:tc>
          <w:tcPr>
            <w:tcW w:w="2078" w:type="dxa"/>
            <w:noWrap w:val="0"/>
            <w:vAlign w:val="center"/>
          </w:tcPr>
          <w:p>
            <w:pPr>
              <w:jc w:val="center"/>
              <w:rPr>
                <w:rFonts w:hint="eastAsia" w:ascii="宋体" w:hAnsi="宋体"/>
                <w:szCs w:val="21"/>
              </w:rPr>
            </w:pPr>
          </w:p>
        </w:tc>
        <w:tc>
          <w:tcPr>
            <w:tcW w:w="2160" w:type="dxa"/>
            <w:noWrap w:val="0"/>
            <w:vAlign w:val="center"/>
          </w:tcPr>
          <w:p>
            <w:pPr>
              <w:jc w:val="center"/>
              <w:rPr>
                <w:rFonts w:hint="eastAsia" w:ascii="宋体" w:hAnsi="宋体"/>
                <w:szCs w:val="21"/>
              </w:rPr>
            </w:pPr>
          </w:p>
        </w:tc>
        <w:tc>
          <w:tcPr>
            <w:tcW w:w="180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noWrap w:val="0"/>
            <w:vAlign w:val="center"/>
          </w:tcPr>
          <w:p>
            <w:pPr>
              <w:jc w:val="center"/>
              <w:rPr>
                <w:rFonts w:hint="eastAsia" w:ascii="宋体" w:hAnsi="宋体"/>
                <w:szCs w:val="21"/>
              </w:rPr>
            </w:pPr>
          </w:p>
        </w:tc>
        <w:tc>
          <w:tcPr>
            <w:tcW w:w="1754" w:type="dxa"/>
            <w:noWrap w:val="0"/>
            <w:vAlign w:val="center"/>
          </w:tcPr>
          <w:p>
            <w:pPr>
              <w:jc w:val="center"/>
              <w:rPr>
                <w:rFonts w:hint="eastAsia" w:ascii="宋体" w:hAnsi="宋体"/>
                <w:szCs w:val="21"/>
              </w:rPr>
            </w:pPr>
          </w:p>
        </w:tc>
        <w:tc>
          <w:tcPr>
            <w:tcW w:w="2078" w:type="dxa"/>
            <w:noWrap w:val="0"/>
            <w:vAlign w:val="center"/>
          </w:tcPr>
          <w:p>
            <w:pPr>
              <w:jc w:val="center"/>
              <w:rPr>
                <w:rFonts w:hint="eastAsia" w:ascii="宋体" w:hAnsi="宋体"/>
                <w:szCs w:val="21"/>
              </w:rPr>
            </w:pPr>
          </w:p>
        </w:tc>
        <w:tc>
          <w:tcPr>
            <w:tcW w:w="2160" w:type="dxa"/>
            <w:noWrap w:val="0"/>
            <w:vAlign w:val="center"/>
          </w:tcPr>
          <w:p>
            <w:pPr>
              <w:jc w:val="center"/>
              <w:rPr>
                <w:rFonts w:hint="eastAsia" w:ascii="宋体" w:hAnsi="宋体"/>
                <w:szCs w:val="21"/>
              </w:rPr>
            </w:pPr>
          </w:p>
        </w:tc>
        <w:tc>
          <w:tcPr>
            <w:tcW w:w="180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1496" w:type="dxa"/>
            <w:vMerge w:val="continue"/>
            <w:noWrap w:val="0"/>
            <w:vAlign w:val="center"/>
          </w:tcPr>
          <w:p>
            <w:pPr>
              <w:jc w:val="center"/>
              <w:rPr>
                <w:rFonts w:hint="eastAsia" w:ascii="宋体" w:hAnsi="宋体"/>
                <w:szCs w:val="21"/>
              </w:rPr>
            </w:pPr>
          </w:p>
        </w:tc>
        <w:tc>
          <w:tcPr>
            <w:tcW w:w="1754" w:type="dxa"/>
            <w:noWrap w:val="0"/>
            <w:vAlign w:val="center"/>
          </w:tcPr>
          <w:p>
            <w:pPr>
              <w:jc w:val="center"/>
              <w:rPr>
                <w:rFonts w:hint="eastAsia" w:ascii="宋体" w:hAnsi="宋体"/>
                <w:szCs w:val="21"/>
              </w:rPr>
            </w:pPr>
          </w:p>
        </w:tc>
        <w:tc>
          <w:tcPr>
            <w:tcW w:w="2078" w:type="dxa"/>
            <w:noWrap w:val="0"/>
            <w:vAlign w:val="center"/>
          </w:tcPr>
          <w:p>
            <w:pPr>
              <w:jc w:val="center"/>
              <w:rPr>
                <w:rFonts w:hint="eastAsia" w:ascii="宋体" w:hAnsi="宋体"/>
                <w:szCs w:val="21"/>
              </w:rPr>
            </w:pPr>
          </w:p>
        </w:tc>
        <w:tc>
          <w:tcPr>
            <w:tcW w:w="2160" w:type="dxa"/>
            <w:noWrap w:val="0"/>
            <w:vAlign w:val="center"/>
          </w:tcPr>
          <w:p>
            <w:pPr>
              <w:jc w:val="center"/>
              <w:rPr>
                <w:rFonts w:hint="eastAsia" w:ascii="宋体" w:hAnsi="宋体"/>
                <w:szCs w:val="21"/>
              </w:rPr>
            </w:pPr>
          </w:p>
        </w:tc>
        <w:tc>
          <w:tcPr>
            <w:tcW w:w="1800" w:type="dxa"/>
            <w:noWrap w:val="0"/>
            <w:vAlign w:val="center"/>
          </w:tcPr>
          <w:p>
            <w:pPr>
              <w:jc w:val="center"/>
              <w:rPr>
                <w:rFonts w:hint="eastAsia" w:ascii="宋体" w:hAnsi="宋体"/>
                <w:szCs w:val="21"/>
              </w:rPr>
            </w:pPr>
          </w:p>
        </w:tc>
      </w:tr>
    </w:tbl>
    <w:p>
      <w:pPr>
        <w:spacing w:line="500" w:lineRule="exact"/>
        <w:rPr>
          <w:rFonts w:hint="eastAsia" w:ascii="宋体" w:hAnsi="宋体"/>
          <w:szCs w:val="21"/>
        </w:rPr>
      </w:pPr>
      <w:r>
        <w:rPr>
          <w:rFonts w:hint="eastAsia" w:ascii="新宋体" w:hAnsi="新宋体" w:eastAsia="新宋体"/>
          <w:sz w:val="22"/>
          <w:szCs w:val="22"/>
        </w:rPr>
        <w:t>注：此表可按原有格式进行复制。</w:t>
      </w:r>
    </w:p>
    <w:p>
      <w:pPr>
        <w:spacing w:line="500" w:lineRule="exact"/>
        <w:rPr>
          <w:rFonts w:hint="eastAsia" w:ascii="宋体" w:hAnsi="宋体"/>
          <w:szCs w:val="21"/>
        </w:rPr>
      </w:pPr>
      <w:r>
        <w:rPr>
          <w:rFonts w:hint="eastAsia" w:ascii="宋体" w:hAnsi="宋体"/>
          <w:szCs w:val="21"/>
        </w:rPr>
        <w:t>投标人全称（盖章）：</w:t>
      </w:r>
    </w:p>
    <w:p>
      <w:pPr>
        <w:spacing w:line="500" w:lineRule="exact"/>
        <w:rPr>
          <w:rFonts w:hint="eastAsia" w:ascii="宋体" w:hAnsi="宋体"/>
          <w:szCs w:val="21"/>
        </w:rPr>
      </w:pPr>
      <w:r>
        <w:rPr>
          <w:rFonts w:hint="eastAsia" w:ascii="宋体" w:hAnsi="宋体"/>
          <w:szCs w:val="21"/>
        </w:rPr>
        <w:t>授权代表（签字或盖章）：</w:t>
      </w:r>
    </w:p>
    <w:p>
      <w:pPr>
        <w:pStyle w:val="7"/>
        <w:ind w:firstLine="0"/>
        <w:rPr>
          <w:rFonts w:ascii="宋体" w:hAnsi="宋体"/>
          <w:sz w:val="21"/>
          <w:szCs w:val="21"/>
        </w:rPr>
      </w:pPr>
      <w:r>
        <w:rPr>
          <w:rFonts w:hint="eastAsia" w:ascii="宋体" w:hAnsi="宋体"/>
          <w:sz w:val="21"/>
          <w:szCs w:val="21"/>
        </w:rPr>
        <w:t>日    期：   年   月   日</w:t>
      </w:r>
    </w:p>
    <w:p>
      <w:pPr>
        <w:pStyle w:val="7"/>
        <w:ind w:firstLine="0"/>
        <w:rPr>
          <w:rFonts w:hint="eastAsia" w:ascii="宋体" w:hAnsi="宋体"/>
          <w:sz w:val="21"/>
          <w:szCs w:val="21"/>
        </w:rPr>
      </w:pPr>
    </w:p>
    <w:p>
      <w:pPr>
        <w:pStyle w:val="5"/>
        <w:pageBreakBefore/>
        <w:ind w:firstLine="217" w:firstLineChars="68"/>
        <w:jc w:val="center"/>
        <w:rPr>
          <w:rFonts w:hint="eastAsia" w:ascii="宋体" w:hAnsi="宋体"/>
          <w:b w:val="0"/>
          <w:bCs w:val="0"/>
          <w:sz w:val="30"/>
        </w:rPr>
      </w:pPr>
      <w:r>
        <w:rPr>
          <w:rFonts w:hint="eastAsia" w:ascii="宋体" w:hAnsi="宋体"/>
          <w:b w:val="0"/>
          <w:bCs w:val="0"/>
        </w:rPr>
        <w:t>附件六、设备详细说明一览表</w:t>
      </w:r>
    </w:p>
    <w:p>
      <w:pPr>
        <w:spacing w:line="480" w:lineRule="exact"/>
        <w:rPr>
          <w:rFonts w:hint="eastAsia"/>
        </w:rPr>
      </w:pPr>
      <w:r>
        <w:rPr>
          <w:rFonts w:hint="eastAsia" w:ascii="宋体" w:hAnsi="宋体"/>
          <w:b/>
          <w:sz w:val="24"/>
        </w:rPr>
        <w:t>采购单位：                            项目编号：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922"/>
        <w:gridCol w:w="1379"/>
        <w:gridCol w:w="1018"/>
        <w:gridCol w:w="953"/>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268" w:type="dxa"/>
            <w:noWrap w:val="0"/>
            <w:vAlign w:val="center"/>
          </w:tcPr>
          <w:p>
            <w:pPr>
              <w:jc w:val="center"/>
              <w:rPr>
                <w:rFonts w:hint="eastAsia" w:ascii="宋体" w:hAnsi="宋体"/>
                <w:b/>
                <w:bCs/>
                <w:szCs w:val="21"/>
              </w:rPr>
            </w:pPr>
            <w:r>
              <w:rPr>
                <w:rFonts w:hint="eastAsia" w:ascii="宋体" w:hAnsi="宋体"/>
                <w:b/>
                <w:bCs/>
                <w:szCs w:val="21"/>
              </w:rPr>
              <w:t>设备名称</w:t>
            </w:r>
          </w:p>
        </w:tc>
        <w:tc>
          <w:tcPr>
            <w:tcW w:w="2922" w:type="dxa"/>
            <w:noWrap w:val="0"/>
            <w:vAlign w:val="center"/>
          </w:tcPr>
          <w:p>
            <w:pPr>
              <w:jc w:val="center"/>
              <w:rPr>
                <w:rFonts w:hint="eastAsia" w:ascii="宋体" w:hAnsi="宋体"/>
                <w:b/>
                <w:bCs/>
                <w:szCs w:val="21"/>
              </w:rPr>
            </w:pPr>
            <w:r>
              <w:rPr>
                <w:rFonts w:hint="eastAsia" w:ascii="宋体" w:hAnsi="宋体"/>
                <w:b/>
                <w:bCs/>
                <w:szCs w:val="21"/>
              </w:rPr>
              <w:t>详细配置</w:t>
            </w:r>
          </w:p>
        </w:tc>
        <w:tc>
          <w:tcPr>
            <w:tcW w:w="1379" w:type="dxa"/>
            <w:noWrap w:val="0"/>
            <w:vAlign w:val="center"/>
          </w:tcPr>
          <w:p>
            <w:pPr>
              <w:jc w:val="center"/>
              <w:rPr>
                <w:rFonts w:hint="eastAsia" w:ascii="宋体" w:hAnsi="宋体"/>
                <w:b/>
                <w:bCs/>
                <w:szCs w:val="21"/>
              </w:rPr>
            </w:pPr>
            <w:r>
              <w:rPr>
                <w:rFonts w:hint="eastAsia" w:ascii="宋体" w:hAnsi="宋体"/>
                <w:b/>
                <w:bCs/>
                <w:szCs w:val="21"/>
              </w:rPr>
              <w:t>产地（厂家）</w:t>
            </w:r>
          </w:p>
        </w:tc>
        <w:tc>
          <w:tcPr>
            <w:tcW w:w="1018" w:type="dxa"/>
            <w:noWrap w:val="0"/>
            <w:vAlign w:val="center"/>
          </w:tcPr>
          <w:p>
            <w:pPr>
              <w:jc w:val="center"/>
              <w:rPr>
                <w:rFonts w:hint="eastAsia" w:ascii="宋体" w:hAnsi="宋体"/>
                <w:b/>
                <w:bCs/>
                <w:szCs w:val="21"/>
              </w:rPr>
            </w:pPr>
            <w:r>
              <w:rPr>
                <w:rFonts w:hint="eastAsia" w:ascii="宋体" w:hAnsi="宋体"/>
                <w:b/>
                <w:bCs/>
                <w:szCs w:val="21"/>
              </w:rPr>
              <w:t>数量</w:t>
            </w:r>
          </w:p>
        </w:tc>
        <w:tc>
          <w:tcPr>
            <w:tcW w:w="953" w:type="dxa"/>
            <w:noWrap w:val="0"/>
            <w:vAlign w:val="center"/>
          </w:tcPr>
          <w:p>
            <w:pPr>
              <w:jc w:val="center"/>
              <w:rPr>
                <w:rFonts w:hint="eastAsia" w:ascii="宋体" w:hAnsi="宋体"/>
                <w:b/>
                <w:bCs/>
                <w:szCs w:val="21"/>
              </w:rPr>
            </w:pPr>
            <w:r>
              <w:rPr>
                <w:rFonts w:hint="eastAsia" w:ascii="宋体" w:hAnsi="宋体"/>
                <w:b/>
                <w:bCs/>
                <w:szCs w:val="21"/>
              </w:rPr>
              <w:t>单位</w:t>
            </w:r>
          </w:p>
        </w:tc>
        <w:tc>
          <w:tcPr>
            <w:tcW w:w="909" w:type="dxa"/>
            <w:noWrap w:val="0"/>
            <w:vAlign w:val="center"/>
          </w:tcPr>
          <w:p>
            <w:pPr>
              <w:jc w:val="center"/>
              <w:rPr>
                <w:rFonts w:hint="eastAsia" w:ascii="宋体" w:hAnsi="宋体"/>
                <w:b/>
                <w:bCs/>
                <w:szCs w:val="21"/>
              </w:rPr>
            </w:pPr>
            <w:r>
              <w:rPr>
                <w:rFonts w:hint="eastAsia" w:ascii="宋体" w:hAnsi="宋体"/>
                <w:b/>
                <w:bCs/>
                <w:szCs w:val="21"/>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268" w:type="dxa"/>
            <w:noWrap w:val="0"/>
            <w:vAlign w:val="center"/>
          </w:tcPr>
          <w:p>
            <w:pPr>
              <w:jc w:val="center"/>
              <w:rPr>
                <w:rFonts w:hint="eastAsia" w:ascii="宋体" w:hAnsi="宋体"/>
                <w:bCs/>
              </w:rPr>
            </w:pPr>
          </w:p>
          <w:p>
            <w:pPr>
              <w:jc w:val="center"/>
              <w:rPr>
                <w:rFonts w:hint="eastAsia" w:ascii="宋体" w:hAnsi="宋体"/>
                <w:bCs/>
              </w:rPr>
            </w:pPr>
          </w:p>
        </w:tc>
        <w:tc>
          <w:tcPr>
            <w:tcW w:w="2922" w:type="dxa"/>
            <w:noWrap w:val="0"/>
            <w:vAlign w:val="center"/>
          </w:tcPr>
          <w:p>
            <w:pPr>
              <w:spacing w:line="480" w:lineRule="exact"/>
              <w:jc w:val="center"/>
              <w:rPr>
                <w:rFonts w:hint="eastAsia"/>
              </w:rPr>
            </w:pPr>
          </w:p>
        </w:tc>
        <w:tc>
          <w:tcPr>
            <w:tcW w:w="1379" w:type="dxa"/>
            <w:noWrap w:val="0"/>
            <w:vAlign w:val="center"/>
          </w:tcPr>
          <w:p>
            <w:pPr>
              <w:spacing w:line="480" w:lineRule="exact"/>
              <w:jc w:val="center"/>
              <w:rPr>
                <w:rFonts w:hint="eastAsia"/>
              </w:rPr>
            </w:pPr>
          </w:p>
        </w:tc>
        <w:tc>
          <w:tcPr>
            <w:tcW w:w="1018" w:type="dxa"/>
            <w:noWrap w:val="0"/>
            <w:vAlign w:val="center"/>
          </w:tcPr>
          <w:p>
            <w:pPr>
              <w:spacing w:line="480" w:lineRule="exact"/>
              <w:jc w:val="center"/>
              <w:rPr>
                <w:rFonts w:hint="eastAsia"/>
              </w:rPr>
            </w:pPr>
          </w:p>
        </w:tc>
        <w:tc>
          <w:tcPr>
            <w:tcW w:w="953" w:type="dxa"/>
            <w:noWrap w:val="0"/>
            <w:vAlign w:val="center"/>
          </w:tcPr>
          <w:p>
            <w:pPr>
              <w:spacing w:line="480" w:lineRule="exact"/>
              <w:jc w:val="center"/>
              <w:rPr>
                <w:rFonts w:hint="eastAsia"/>
              </w:rPr>
            </w:pPr>
          </w:p>
        </w:tc>
        <w:tc>
          <w:tcPr>
            <w:tcW w:w="909" w:type="dxa"/>
            <w:noWrap w:val="0"/>
            <w:vAlign w:val="center"/>
          </w:tcPr>
          <w:p>
            <w:pPr>
              <w:spacing w:line="4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268" w:type="dxa"/>
            <w:noWrap w:val="0"/>
            <w:vAlign w:val="center"/>
          </w:tcPr>
          <w:p>
            <w:pPr>
              <w:jc w:val="center"/>
              <w:rPr>
                <w:rFonts w:hint="eastAsia" w:ascii="宋体" w:hAnsi="宋体"/>
                <w:bCs/>
              </w:rPr>
            </w:pPr>
          </w:p>
        </w:tc>
        <w:tc>
          <w:tcPr>
            <w:tcW w:w="2922" w:type="dxa"/>
            <w:noWrap w:val="0"/>
            <w:vAlign w:val="center"/>
          </w:tcPr>
          <w:p>
            <w:pPr>
              <w:spacing w:line="480" w:lineRule="exact"/>
              <w:jc w:val="center"/>
              <w:rPr>
                <w:rFonts w:hint="eastAsia"/>
              </w:rPr>
            </w:pPr>
          </w:p>
        </w:tc>
        <w:tc>
          <w:tcPr>
            <w:tcW w:w="1379" w:type="dxa"/>
            <w:noWrap w:val="0"/>
            <w:vAlign w:val="center"/>
          </w:tcPr>
          <w:p>
            <w:pPr>
              <w:spacing w:line="480" w:lineRule="exact"/>
              <w:jc w:val="center"/>
              <w:rPr>
                <w:rFonts w:hint="eastAsia"/>
              </w:rPr>
            </w:pPr>
          </w:p>
        </w:tc>
        <w:tc>
          <w:tcPr>
            <w:tcW w:w="1018" w:type="dxa"/>
            <w:noWrap w:val="0"/>
            <w:vAlign w:val="center"/>
          </w:tcPr>
          <w:p>
            <w:pPr>
              <w:spacing w:line="480" w:lineRule="exact"/>
              <w:jc w:val="center"/>
              <w:rPr>
                <w:rFonts w:hint="eastAsia"/>
              </w:rPr>
            </w:pPr>
          </w:p>
        </w:tc>
        <w:tc>
          <w:tcPr>
            <w:tcW w:w="953" w:type="dxa"/>
            <w:noWrap w:val="0"/>
            <w:vAlign w:val="center"/>
          </w:tcPr>
          <w:p>
            <w:pPr>
              <w:spacing w:line="480" w:lineRule="exact"/>
              <w:jc w:val="center"/>
              <w:rPr>
                <w:rFonts w:hint="eastAsia"/>
              </w:rPr>
            </w:pPr>
          </w:p>
        </w:tc>
        <w:tc>
          <w:tcPr>
            <w:tcW w:w="909" w:type="dxa"/>
            <w:noWrap w:val="0"/>
            <w:vAlign w:val="center"/>
          </w:tcPr>
          <w:p>
            <w:pPr>
              <w:spacing w:line="4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268" w:type="dxa"/>
            <w:noWrap w:val="0"/>
            <w:vAlign w:val="center"/>
          </w:tcPr>
          <w:p>
            <w:pPr>
              <w:jc w:val="center"/>
              <w:rPr>
                <w:rFonts w:hint="eastAsia" w:ascii="宋体" w:hAnsi="宋体"/>
                <w:bCs/>
              </w:rPr>
            </w:pPr>
          </w:p>
        </w:tc>
        <w:tc>
          <w:tcPr>
            <w:tcW w:w="2922" w:type="dxa"/>
            <w:noWrap w:val="0"/>
            <w:vAlign w:val="center"/>
          </w:tcPr>
          <w:p>
            <w:pPr>
              <w:spacing w:line="480" w:lineRule="exact"/>
              <w:jc w:val="center"/>
              <w:rPr>
                <w:rFonts w:hint="eastAsia"/>
              </w:rPr>
            </w:pPr>
          </w:p>
        </w:tc>
        <w:tc>
          <w:tcPr>
            <w:tcW w:w="1379" w:type="dxa"/>
            <w:noWrap w:val="0"/>
            <w:vAlign w:val="center"/>
          </w:tcPr>
          <w:p>
            <w:pPr>
              <w:spacing w:line="480" w:lineRule="exact"/>
              <w:jc w:val="center"/>
              <w:rPr>
                <w:rFonts w:hint="eastAsia"/>
              </w:rPr>
            </w:pPr>
          </w:p>
        </w:tc>
        <w:tc>
          <w:tcPr>
            <w:tcW w:w="1018" w:type="dxa"/>
            <w:noWrap w:val="0"/>
            <w:vAlign w:val="center"/>
          </w:tcPr>
          <w:p>
            <w:pPr>
              <w:spacing w:line="480" w:lineRule="exact"/>
              <w:jc w:val="center"/>
              <w:rPr>
                <w:rFonts w:hint="eastAsia"/>
              </w:rPr>
            </w:pPr>
          </w:p>
        </w:tc>
        <w:tc>
          <w:tcPr>
            <w:tcW w:w="953" w:type="dxa"/>
            <w:noWrap w:val="0"/>
            <w:vAlign w:val="center"/>
          </w:tcPr>
          <w:p>
            <w:pPr>
              <w:spacing w:line="480" w:lineRule="exact"/>
              <w:jc w:val="center"/>
              <w:rPr>
                <w:rFonts w:hint="eastAsia"/>
              </w:rPr>
            </w:pPr>
          </w:p>
        </w:tc>
        <w:tc>
          <w:tcPr>
            <w:tcW w:w="909" w:type="dxa"/>
            <w:noWrap w:val="0"/>
            <w:vAlign w:val="center"/>
          </w:tcPr>
          <w:p>
            <w:pPr>
              <w:spacing w:line="4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268" w:type="dxa"/>
            <w:noWrap w:val="0"/>
            <w:vAlign w:val="center"/>
          </w:tcPr>
          <w:p>
            <w:pPr>
              <w:jc w:val="center"/>
              <w:rPr>
                <w:rFonts w:hint="eastAsia" w:ascii="宋体" w:hAnsi="宋体"/>
                <w:bCs/>
              </w:rPr>
            </w:pPr>
          </w:p>
        </w:tc>
        <w:tc>
          <w:tcPr>
            <w:tcW w:w="2922" w:type="dxa"/>
            <w:noWrap w:val="0"/>
            <w:vAlign w:val="center"/>
          </w:tcPr>
          <w:p>
            <w:pPr>
              <w:spacing w:line="480" w:lineRule="exact"/>
              <w:jc w:val="center"/>
              <w:rPr>
                <w:rFonts w:hint="eastAsia"/>
              </w:rPr>
            </w:pPr>
          </w:p>
        </w:tc>
        <w:tc>
          <w:tcPr>
            <w:tcW w:w="1379" w:type="dxa"/>
            <w:noWrap w:val="0"/>
            <w:vAlign w:val="center"/>
          </w:tcPr>
          <w:p>
            <w:pPr>
              <w:spacing w:line="480" w:lineRule="exact"/>
              <w:jc w:val="center"/>
              <w:rPr>
                <w:rFonts w:hint="eastAsia"/>
              </w:rPr>
            </w:pPr>
          </w:p>
        </w:tc>
        <w:tc>
          <w:tcPr>
            <w:tcW w:w="1018" w:type="dxa"/>
            <w:noWrap w:val="0"/>
            <w:vAlign w:val="center"/>
          </w:tcPr>
          <w:p>
            <w:pPr>
              <w:spacing w:line="480" w:lineRule="exact"/>
              <w:jc w:val="center"/>
              <w:rPr>
                <w:rFonts w:hint="eastAsia"/>
              </w:rPr>
            </w:pPr>
          </w:p>
        </w:tc>
        <w:tc>
          <w:tcPr>
            <w:tcW w:w="953" w:type="dxa"/>
            <w:noWrap w:val="0"/>
            <w:vAlign w:val="center"/>
          </w:tcPr>
          <w:p>
            <w:pPr>
              <w:spacing w:line="480" w:lineRule="exact"/>
              <w:jc w:val="center"/>
              <w:rPr>
                <w:rFonts w:hint="eastAsia"/>
              </w:rPr>
            </w:pPr>
          </w:p>
        </w:tc>
        <w:tc>
          <w:tcPr>
            <w:tcW w:w="909" w:type="dxa"/>
            <w:noWrap w:val="0"/>
            <w:vAlign w:val="center"/>
          </w:tcPr>
          <w:p>
            <w:pPr>
              <w:spacing w:line="4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268" w:type="dxa"/>
            <w:noWrap w:val="0"/>
            <w:vAlign w:val="center"/>
          </w:tcPr>
          <w:p>
            <w:pPr>
              <w:jc w:val="center"/>
              <w:rPr>
                <w:rFonts w:hint="eastAsia" w:ascii="宋体" w:hAnsi="宋体"/>
                <w:bCs/>
              </w:rPr>
            </w:pPr>
          </w:p>
        </w:tc>
        <w:tc>
          <w:tcPr>
            <w:tcW w:w="2922" w:type="dxa"/>
            <w:noWrap w:val="0"/>
            <w:vAlign w:val="center"/>
          </w:tcPr>
          <w:p>
            <w:pPr>
              <w:spacing w:line="480" w:lineRule="exact"/>
              <w:jc w:val="center"/>
              <w:rPr>
                <w:rFonts w:hint="eastAsia"/>
              </w:rPr>
            </w:pPr>
          </w:p>
        </w:tc>
        <w:tc>
          <w:tcPr>
            <w:tcW w:w="1379" w:type="dxa"/>
            <w:noWrap w:val="0"/>
            <w:vAlign w:val="center"/>
          </w:tcPr>
          <w:p>
            <w:pPr>
              <w:spacing w:line="480" w:lineRule="exact"/>
              <w:jc w:val="center"/>
              <w:rPr>
                <w:rFonts w:hint="eastAsia"/>
              </w:rPr>
            </w:pPr>
          </w:p>
        </w:tc>
        <w:tc>
          <w:tcPr>
            <w:tcW w:w="1018" w:type="dxa"/>
            <w:noWrap w:val="0"/>
            <w:vAlign w:val="center"/>
          </w:tcPr>
          <w:p>
            <w:pPr>
              <w:spacing w:line="480" w:lineRule="exact"/>
              <w:jc w:val="center"/>
              <w:rPr>
                <w:rFonts w:hint="eastAsia"/>
              </w:rPr>
            </w:pPr>
          </w:p>
        </w:tc>
        <w:tc>
          <w:tcPr>
            <w:tcW w:w="953" w:type="dxa"/>
            <w:noWrap w:val="0"/>
            <w:vAlign w:val="center"/>
          </w:tcPr>
          <w:p>
            <w:pPr>
              <w:spacing w:line="480" w:lineRule="exact"/>
              <w:jc w:val="center"/>
              <w:rPr>
                <w:rFonts w:hint="eastAsia"/>
              </w:rPr>
            </w:pPr>
          </w:p>
        </w:tc>
        <w:tc>
          <w:tcPr>
            <w:tcW w:w="909" w:type="dxa"/>
            <w:noWrap w:val="0"/>
            <w:vAlign w:val="center"/>
          </w:tcPr>
          <w:p>
            <w:pPr>
              <w:spacing w:line="4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268" w:type="dxa"/>
            <w:noWrap w:val="0"/>
            <w:vAlign w:val="center"/>
          </w:tcPr>
          <w:p>
            <w:pPr>
              <w:jc w:val="center"/>
              <w:rPr>
                <w:rFonts w:hint="eastAsia" w:ascii="宋体" w:hAnsi="宋体"/>
                <w:bCs/>
              </w:rPr>
            </w:pPr>
          </w:p>
        </w:tc>
        <w:tc>
          <w:tcPr>
            <w:tcW w:w="2922" w:type="dxa"/>
            <w:noWrap w:val="0"/>
            <w:vAlign w:val="center"/>
          </w:tcPr>
          <w:p>
            <w:pPr>
              <w:spacing w:line="480" w:lineRule="exact"/>
              <w:jc w:val="center"/>
              <w:rPr>
                <w:rFonts w:hint="eastAsia"/>
              </w:rPr>
            </w:pPr>
          </w:p>
        </w:tc>
        <w:tc>
          <w:tcPr>
            <w:tcW w:w="1379" w:type="dxa"/>
            <w:noWrap w:val="0"/>
            <w:vAlign w:val="center"/>
          </w:tcPr>
          <w:p>
            <w:pPr>
              <w:spacing w:line="480" w:lineRule="exact"/>
              <w:jc w:val="center"/>
              <w:rPr>
                <w:rFonts w:hint="eastAsia"/>
              </w:rPr>
            </w:pPr>
          </w:p>
        </w:tc>
        <w:tc>
          <w:tcPr>
            <w:tcW w:w="1018" w:type="dxa"/>
            <w:noWrap w:val="0"/>
            <w:vAlign w:val="center"/>
          </w:tcPr>
          <w:p>
            <w:pPr>
              <w:spacing w:line="480" w:lineRule="exact"/>
              <w:jc w:val="center"/>
              <w:rPr>
                <w:rFonts w:hint="eastAsia"/>
              </w:rPr>
            </w:pPr>
          </w:p>
        </w:tc>
        <w:tc>
          <w:tcPr>
            <w:tcW w:w="953" w:type="dxa"/>
            <w:noWrap w:val="0"/>
            <w:vAlign w:val="center"/>
          </w:tcPr>
          <w:p>
            <w:pPr>
              <w:spacing w:line="480" w:lineRule="exact"/>
              <w:jc w:val="center"/>
              <w:rPr>
                <w:rFonts w:hint="eastAsia"/>
              </w:rPr>
            </w:pPr>
          </w:p>
        </w:tc>
        <w:tc>
          <w:tcPr>
            <w:tcW w:w="909" w:type="dxa"/>
            <w:noWrap w:val="0"/>
            <w:vAlign w:val="center"/>
          </w:tcPr>
          <w:p>
            <w:pPr>
              <w:spacing w:line="480" w:lineRule="exact"/>
              <w:jc w:val="center"/>
              <w:rPr>
                <w:rFonts w:hint="eastAsia"/>
              </w:rPr>
            </w:pPr>
          </w:p>
        </w:tc>
      </w:tr>
    </w:tbl>
    <w:p>
      <w:pPr>
        <w:pStyle w:val="11"/>
        <w:spacing w:line="400" w:lineRule="atLeast"/>
        <w:ind w:left="440" w:hanging="440" w:hangingChars="200"/>
        <w:rPr>
          <w:rFonts w:hint="eastAsia" w:ascii="新宋体" w:hAnsi="新宋体" w:eastAsia="新宋体"/>
          <w:sz w:val="22"/>
          <w:szCs w:val="22"/>
        </w:rPr>
      </w:pPr>
      <w:r>
        <w:rPr>
          <w:rFonts w:hint="eastAsia" w:ascii="新宋体" w:hAnsi="新宋体" w:eastAsia="新宋体"/>
          <w:sz w:val="22"/>
          <w:szCs w:val="22"/>
        </w:rPr>
        <w:t>注：表中详细配置栏里投标人需提供设备主要部件的名称、规格型号及性能，此表可按原有格式进行复制。</w:t>
      </w:r>
    </w:p>
    <w:p>
      <w:pPr>
        <w:pStyle w:val="11"/>
        <w:spacing w:line="400" w:lineRule="atLeast"/>
        <w:rPr>
          <w:rFonts w:hint="eastAsia" w:ascii="新宋体" w:hAnsi="新宋体" w:eastAsia="新宋体"/>
          <w:sz w:val="22"/>
          <w:szCs w:val="22"/>
        </w:rPr>
      </w:pPr>
    </w:p>
    <w:p>
      <w:pPr>
        <w:spacing w:line="460" w:lineRule="exact"/>
        <w:rPr>
          <w:rFonts w:hint="eastAsia" w:ascii="新宋体" w:hAnsi="新宋体" w:eastAsia="新宋体"/>
          <w:sz w:val="22"/>
          <w:szCs w:val="22"/>
        </w:rPr>
      </w:pPr>
      <w:r>
        <w:rPr>
          <w:rFonts w:hint="eastAsia" w:ascii="新宋体" w:hAnsi="新宋体" w:eastAsia="新宋体"/>
          <w:sz w:val="22"/>
          <w:szCs w:val="22"/>
        </w:rPr>
        <w:t>投标人全称（盖章）：</w:t>
      </w:r>
    </w:p>
    <w:p>
      <w:pPr>
        <w:spacing w:line="460" w:lineRule="exact"/>
        <w:rPr>
          <w:rFonts w:hint="eastAsia" w:ascii="新宋体" w:hAnsi="新宋体" w:eastAsia="新宋体"/>
          <w:sz w:val="22"/>
          <w:szCs w:val="22"/>
        </w:rPr>
      </w:pPr>
      <w:r>
        <w:rPr>
          <w:rFonts w:hint="eastAsia" w:ascii="新宋体" w:hAnsi="新宋体" w:eastAsia="新宋体"/>
          <w:sz w:val="22"/>
          <w:szCs w:val="22"/>
        </w:rPr>
        <w:t>授权代表（签字或盖章）：</w:t>
      </w:r>
    </w:p>
    <w:p>
      <w:pPr>
        <w:spacing w:line="460" w:lineRule="exact"/>
        <w:rPr>
          <w:rFonts w:hint="eastAsia" w:ascii="新宋体" w:hAnsi="新宋体" w:eastAsia="新宋体"/>
          <w:sz w:val="22"/>
          <w:szCs w:val="22"/>
        </w:rPr>
      </w:pPr>
      <w:r>
        <w:rPr>
          <w:rFonts w:hint="eastAsia" w:ascii="新宋体" w:hAnsi="新宋体" w:eastAsia="新宋体"/>
          <w:sz w:val="22"/>
          <w:szCs w:val="22"/>
        </w:rPr>
        <w:t>日    期：  年  月  日</w:t>
      </w:r>
    </w:p>
    <w:p>
      <w:pPr>
        <w:pStyle w:val="25"/>
        <w:spacing w:before="0" w:beforeAutospacing="0" w:after="0" w:afterAutospacing="0" w:line="360" w:lineRule="atLeast"/>
        <w:rPr>
          <w:rFonts w:ascii="新宋体" w:hAnsi="新宋体" w:eastAsia="新宋体"/>
          <w:sz w:val="22"/>
          <w:szCs w:val="22"/>
          <w:lang w:eastAsia="zh-CN"/>
        </w:rPr>
        <w:sectPr>
          <w:headerReference r:id="rId13" w:type="default"/>
          <w:footerReference r:id="rId14" w:type="default"/>
          <w:pgSz w:w="11907" w:h="16840"/>
          <w:pgMar w:top="1304" w:right="1531" w:bottom="1091" w:left="1304" w:header="720" w:footer="720" w:gutter="0"/>
          <w:cols w:space="720" w:num="1"/>
          <w:docGrid w:linePitch="380" w:charSpace="0"/>
        </w:sectPr>
      </w:pPr>
    </w:p>
    <w:p>
      <w:pPr>
        <w:pStyle w:val="5"/>
        <w:pageBreakBefore/>
        <w:jc w:val="center"/>
        <w:rPr>
          <w:rFonts w:hint="eastAsia" w:ascii="宋体" w:hAnsi="宋体"/>
          <w:b w:val="0"/>
          <w:bCs w:val="0"/>
        </w:rPr>
      </w:pPr>
      <w:r>
        <w:rPr>
          <w:rFonts w:hint="eastAsia" w:ascii="宋体" w:hAnsi="宋体"/>
          <w:b w:val="0"/>
          <w:bCs w:val="0"/>
        </w:rPr>
        <w:t>附件七、随机备品备件、专用工具清单（如有）</w:t>
      </w:r>
    </w:p>
    <w:p>
      <w:pPr>
        <w:tabs>
          <w:tab w:val="left" w:pos="5220"/>
        </w:tabs>
        <w:spacing w:line="480" w:lineRule="exact"/>
        <w:rPr>
          <w:rFonts w:hint="eastAsia"/>
        </w:rPr>
      </w:pPr>
      <w:r>
        <w:rPr>
          <w:rFonts w:hint="eastAsia" w:ascii="宋体" w:hAnsi="宋体"/>
          <w:b/>
          <w:sz w:val="24"/>
        </w:rPr>
        <w:t>采购单位：                       项目编号：</w:t>
      </w:r>
    </w:p>
    <w:tbl>
      <w:tblPr>
        <w:tblStyle w:val="1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00"/>
        <w:gridCol w:w="1110"/>
        <w:gridCol w:w="716"/>
        <w:gridCol w:w="1829"/>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0" w:type="dxa"/>
            <w:noWrap w:val="0"/>
            <w:vAlign w:val="center"/>
          </w:tcPr>
          <w:p>
            <w:pPr>
              <w:spacing w:line="400" w:lineRule="exact"/>
              <w:jc w:val="center"/>
              <w:rPr>
                <w:rFonts w:hint="eastAsia" w:ascii="新宋体" w:hAnsi="新宋体" w:eastAsia="新宋体"/>
                <w:b/>
                <w:sz w:val="22"/>
                <w:szCs w:val="22"/>
              </w:rPr>
            </w:pPr>
            <w:r>
              <w:rPr>
                <w:rFonts w:hint="eastAsia" w:ascii="新宋体" w:hAnsi="新宋体" w:eastAsia="新宋体"/>
                <w:b/>
                <w:sz w:val="22"/>
                <w:szCs w:val="22"/>
              </w:rPr>
              <w:t>序号</w:t>
            </w:r>
          </w:p>
        </w:tc>
        <w:tc>
          <w:tcPr>
            <w:tcW w:w="2700" w:type="dxa"/>
            <w:noWrap w:val="0"/>
            <w:vAlign w:val="center"/>
          </w:tcPr>
          <w:p>
            <w:pPr>
              <w:spacing w:line="400" w:lineRule="exact"/>
              <w:jc w:val="center"/>
              <w:rPr>
                <w:rFonts w:hint="eastAsia" w:ascii="新宋体" w:hAnsi="新宋体" w:eastAsia="新宋体"/>
                <w:b/>
                <w:sz w:val="22"/>
                <w:szCs w:val="22"/>
              </w:rPr>
            </w:pPr>
            <w:r>
              <w:rPr>
                <w:rFonts w:hint="eastAsia" w:ascii="新宋体" w:hAnsi="新宋体" w:eastAsia="新宋体"/>
                <w:b/>
                <w:sz w:val="22"/>
                <w:szCs w:val="22"/>
              </w:rPr>
              <w:t>名称</w:t>
            </w:r>
          </w:p>
        </w:tc>
        <w:tc>
          <w:tcPr>
            <w:tcW w:w="1110" w:type="dxa"/>
            <w:noWrap w:val="0"/>
            <w:vAlign w:val="center"/>
          </w:tcPr>
          <w:p>
            <w:pPr>
              <w:spacing w:line="400" w:lineRule="exact"/>
              <w:jc w:val="center"/>
              <w:rPr>
                <w:rFonts w:hint="eastAsia" w:ascii="新宋体" w:hAnsi="新宋体" w:eastAsia="新宋体"/>
                <w:b/>
                <w:sz w:val="22"/>
                <w:szCs w:val="22"/>
              </w:rPr>
            </w:pPr>
            <w:r>
              <w:rPr>
                <w:rFonts w:hint="eastAsia" w:ascii="新宋体" w:hAnsi="新宋体" w:eastAsia="新宋体"/>
                <w:b/>
                <w:sz w:val="22"/>
                <w:szCs w:val="22"/>
              </w:rPr>
              <w:t>规格型号</w:t>
            </w:r>
          </w:p>
        </w:tc>
        <w:tc>
          <w:tcPr>
            <w:tcW w:w="716" w:type="dxa"/>
            <w:noWrap w:val="0"/>
            <w:vAlign w:val="center"/>
          </w:tcPr>
          <w:p>
            <w:pPr>
              <w:spacing w:line="400" w:lineRule="exact"/>
              <w:jc w:val="center"/>
              <w:rPr>
                <w:rFonts w:hint="eastAsia" w:ascii="新宋体" w:hAnsi="新宋体" w:eastAsia="新宋体"/>
                <w:b/>
                <w:sz w:val="22"/>
                <w:szCs w:val="22"/>
              </w:rPr>
            </w:pPr>
            <w:r>
              <w:rPr>
                <w:rFonts w:hint="eastAsia" w:ascii="新宋体" w:hAnsi="新宋体" w:eastAsia="新宋体"/>
                <w:b/>
                <w:sz w:val="22"/>
                <w:szCs w:val="22"/>
              </w:rPr>
              <w:t>数量</w:t>
            </w:r>
          </w:p>
        </w:tc>
        <w:tc>
          <w:tcPr>
            <w:tcW w:w="1829" w:type="dxa"/>
            <w:noWrap w:val="0"/>
            <w:vAlign w:val="center"/>
          </w:tcPr>
          <w:p>
            <w:pPr>
              <w:spacing w:line="400" w:lineRule="exact"/>
              <w:jc w:val="center"/>
              <w:rPr>
                <w:rFonts w:hint="eastAsia" w:ascii="新宋体" w:hAnsi="新宋体" w:eastAsia="新宋体"/>
                <w:b/>
                <w:sz w:val="22"/>
                <w:szCs w:val="22"/>
              </w:rPr>
            </w:pPr>
            <w:r>
              <w:rPr>
                <w:rFonts w:hint="eastAsia" w:ascii="新宋体" w:hAnsi="新宋体" w:eastAsia="新宋体"/>
                <w:b/>
                <w:sz w:val="22"/>
                <w:szCs w:val="22"/>
              </w:rPr>
              <w:t>原产地/制造商</w:t>
            </w:r>
          </w:p>
        </w:tc>
        <w:tc>
          <w:tcPr>
            <w:tcW w:w="1250" w:type="dxa"/>
            <w:noWrap w:val="0"/>
            <w:vAlign w:val="center"/>
          </w:tcPr>
          <w:p>
            <w:pPr>
              <w:spacing w:line="400" w:lineRule="exact"/>
              <w:jc w:val="center"/>
              <w:rPr>
                <w:rFonts w:hint="eastAsia" w:ascii="新宋体" w:hAnsi="新宋体" w:eastAsia="新宋体"/>
                <w:b/>
                <w:sz w:val="22"/>
                <w:szCs w:val="22"/>
              </w:rPr>
            </w:pPr>
            <w:r>
              <w:rPr>
                <w:rFonts w:hint="eastAsia" w:ascii="新宋体" w:hAnsi="新宋体" w:eastAsia="新宋体"/>
                <w:b/>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0"/>
            <w:vAlign w:val="center"/>
          </w:tcPr>
          <w:p>
            <w:pPr>
              <w:spacing w:line="400" w:lineRule="exact"/>
              <w:jc w:val="center"/>
              <w:rPr>
                <w:rFonts w:hint="eastAsia" w:ascii="新宋体" w:hAnsi="新宋体" w:eastAsia="新宋体"/>
                <w:sz w:val="22"/>
                <w:szCs w:val="22"/>
              </w:rPr>
            </w:pPr>
            <w:r>
              <w:rPr>
                <w:rFonts w:hint="eastAsia" w:ascii="新宋体" w:hAnsi="新宋体" w:eastAsia="新宋体"/>
                <w:sz w:val="22"/>
                <w:szCs w:val="22"/>
              </w:rPr>
              <w:t>1</w:t>
            </w:r>
          </w:p>
        </w:tc>
        <w:tc>
          <w:tcPr>
            <w:tcW w:w="2700" w:type="dxa"/>
            <w:noWrap w:val="0"/>
            <w:vAlign w:val="top"/>
          </w:tcPr>
          <w:p>
            <w:pPr>
              <w:spacing w:line="400" w:lineRule="exact"/>
              <w:rPr>
                <w:rFonts w:hint="eastAsia" w:ascii="新宋体" w:hAnsi="新宋体" w:eastAsia="新宋体"/>
                <w:sz w:val="22"/>
                <w:szCs w:val="22"/>
              </w:rPr>
            </w:pPr>
          </w:p>
        </w:tc>
        <w:tc>
          <w:tcPr>
            <w:tcW w:w="1110" w:type="dxa"/>
            <w:noWrap w:val="0"/>
            <w:vAlign w:val="top"/>
          </w:tcPr>
          <w:p>
            <w:pPr>
              <w:spacing w:line="400" w:lineRule="exact"/>
              <w:rPr>
                <w:rFonts w:hint="eastAsia" w:ascii="新宋体" w:hAnsi="新宋体" w:eastAsia="新宋体"/>
                <w:sz w:val="22"/>
                <w:szCs w:val="22"/>
              </w:rPr>
            </w:pPr>
          </w:p>
        </w:tc>
        <w:tc>
          <w:tcPr>
            <w:tcW w:w="716" w:type="dxa"/>
            <w:noWrap w:val="0"/>
            <w:vAlign w:val="top"/>
          </w:tcPr>
          <w:p>
            <w:pPr>
              <w:spacing w:line="400" w:lineRule="exact"/>
              <w:rPr>
                <w:rFonts w:hint="eastAsia" w:ascii="新宋体" w:hAnsi="新宋体" w:eastAsia="新宋体"/>
                <w:sz w:val="22"/>
                <w:szCs w:val="22"/>
              </w:rPr>
            </w:pPr>
          </w:p>
        </w:tc>
        <w:tc>
          <w:tcPr>
            <w:tcW w:w="1829" w:type="dxa"/>
            <w:noWrap w:val="0"/>
            <w:vAlign w:val="top"/>
          </w:tcPr>
          <w:p>
            <w:pPr>
              <w:spacing w:line="400" w:lineRule="exact"/>
              <w:rPr>
                <w:rFonts w:hint="eastAsia" w:ascii="新宋体" w:hAnsi="新宋体" w:eastAsia="新宋体"/>
                <w:sz w:val="22"/>
                <w:szCs w:val="22"/>
              </w:rPr>
            </w:pPr>
          </w:p>
        </w:tc>
        <w:tc>
          <w:tcPr>
            <w:tcW w:w="1250" w:type="dxa"/>
            <w:noWrap w:val="0"/>
            <w:vAlign w:val="top"/>
          </w:tcPr>
          <w:p>
            <w:pPr>
              <w:spacing w:line="400" w:lineRule="exact"/>
              <w:rPr>
                <w:rFonts w:hint="eastAsia"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0"/>
            <w:vAlign w:val="center"/>
          </w:tcPr>
          <w:p>
            <w:pPr>
              <w:spacing w:line="400" w:lineRule="exact"/>
              <w:jc w:val="center"/>
              <w:rPr>
                <w:rFonts w:hint="eastAsia" w:ascii="新宋体" w:hAnsi="新宋体" w:eastAsia="新宋体"/>
                <w:sz w:val="22"/>
                <w:szCs w:val="22"/>
              </w:rPr>
            </w:pPr>
            <w:r>
              <w:rPr>
                <w:rFonts w:hint="eastAsia" w:ascii="新宋体" w:hAnsi="新宋体" w:eastAsia="新宋体"/>
                <w:sz w:val="22"/>
                <w:szCs w:val="22"/>
              </w:rPr>
              <w:t>2</w:t>
            </w:r>
          </w:p>
        </w:tc>
        <w:tc>
          <w:tcPr>
            <w:tcW w:w="2700" w:type="dxa"/>
            <w:noWrap w:val="0"/>
            <w:vAlign w:val="top"/>
          </w:tcPr>
          <w:p>
            <w:pPr>
              <w:spacing w:line="400" w:lineRule="exact"/>
              <w:rPr>
                <w:rFonts w:hint="eastAsia" w:ascii="新宋体" w:hAnsi="新宋体" w:eastAsia="新宋体"/>
                <w:sz w:val="22"/>
                <w:szCs w:val="22"/>
              </w:rPr>
            </w:pPr>
          </w:p>
        </w:tc>
        <w:tc>
          <w:tcPr>
            <w:tcW w:w="1110" w:type="dxa"/>
            <w:noWrap w:val="0"/>
            <w:vAlign w:val="top"/>
          </w:tcPr>
          <w:p>
            <w:pPr>
              <w:spacing w:line="400" w:lineRule="exact"/>
              <w:rPr>
                <w:rFonts w:hint="eastAsia" w:ascii="新宋体" w:hAnsi="新宋体" w:eastAsia="新宋体"/>
                <w:sz w:val="22"/>
                <w:szCs w:val="22"/>
              </w:rPr>
            </w:pPr>
          </w:p>
        </w:tc>
        <w:tc>
          <w:tcPr>
            <w:tcW w:w="716" w:type="dxa"/>
            <w:noWrap w:val="0"/>
            <w:vAlign w:val="top"/>
          </w:tcPr>
          <w:p>
            <w:pPr>
              <w:spacing w:line="400" w:lineRule="exact"/>
              <w:rPr>
                <w:rFonts w:hint="eastAsia" w:ascii="新宋体" w:hAnsi="新宋体" w:eastAsia="新宋体"/>
                <w:sz w:val="22"/>
                <w:szCs w:val="22"/>
              </w:rPr>
            </w:pPr>
          </w:p>
        </w:tc>
        <w:tc>
          <w:tcPr>
            <w:tcW w:w="1829" w:type="dxa"/>
            <w:noWrap w:val="0"/>
            <w:vAlign w:val="top"/>
          </w:tcPr>
          <w:p>
            <w:pPr>
              <w:spacing w:line="400" w:lineRule="exact"/>
              <w:rPr>
                <w:rFonts w:hint="eastAsia" w:ascii="新宋体" w:hAnsi="新宋体" w:eastAsia="新宋体"/>
                <w:sz w:val="22"/>
                <w:szCs w:val="22"/>
              </w:rPr>
            </w:pPr>
          </w:p>
        </w:tc>
        <w:tc>
          <w:tcPr>
            <w:tcW w:w="1250" w:type="dxa"/>
            <w:noWrap w:val="0"/>
            <w:vAlign w:val="top"/>
          </w:tcPr>
          <w:p>
            <w:pPr>
              <w:spacing w:line="400" w:lineRule="exact"/>
              <w:rPr>
                <w:rFonts w:hint="eastAsia"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0"/>
            <w:vAlign w:val="center"/>
          </w:tcPr>
          <w:p>
            <w:pPr>
              <w:spacing w:line="400" w:lineRule="exact"/>
              <w:jc w:val="center"/>
              <w:rPr>
                <w:rFonts w:hint="eastAsia" w:ascii="新宋体" w:hAnsi="新宋体" w:eastAsia="新宋体"/>
                <w:sz w:val="22"/>
                <w:szCs w:val="22"/>
              </w:rPr>
            </w:pPr>
            <w:r>
              <w:rPr>
                <w:rFonts w:hint="eastAsia" w:ascii="新宋体" w:hAnsi="新宋体" w:eastAsia="新宋体"/>
                <w:sz w:val="22"/>
                <w:szCs w:val="22"/>
              </w:rPr>
              <w:t>3</w:t>
            </w:r>
          </w:p>
        </w:tc>
        <w:tc>
          <w:tcPr>
            <w:tcW w:w="2700" w:type="dxa"/>
            <w:noWrap w:val="0"/>
            <w:vAlign w:val="top"/>
          </w:tcPr>
          <w:p>
            <w:pPr>
              <w:spacing w:line="400" w:lineRule="exact"/>
              <w:rPr>
                <w:rFonts w:hint="eastAsia" w:ascii="新宋体" w:hAnsi="新宋体" w:eastAsia="新宋体"/>
                <w:sz w:val="22"/>
                <w:szCs w:val="22"/>
              </w:rPr>
            </w:pPr>
          </w:p>
        </w:tc>
        <w:tc>
          <w:tcPr>
            <w:tcW w:w="1110" w:type="dxa"/>
            <w:noWrap w:val="0"/>
            <w:vAlign w:val="top"/>
          </w:tcPr>
          <w:p>
            <w:pPr>
              <w:spacing w:line="400" w:lineRule="exact"/>
              <w:rPr>
                <w:rFonts w:hint="eastAsia" w:ascii="新宋体" w:hAnsi="新宋体" w:eastAsia="新宋体"/>
                <w:sz w:val="22"/>
                <w:szCs w:val="22"/>
              </w:rPr>
            </w:pPr>
          </w:p>
        </w:tc>
        <w:tc>
          <w:tcPr>
            <w:tcW w:w="716" w:type="dxa"/>
            <w:noWrap w:val="0"/>
            <w:vAlign w:val="top"/>
          </w:tcPr>
          <w:p>
            <w:pPr>
              <w:spacing w:line="400" w:lineRule="exact"/>
              <w:rPr>
                <w:rFonts w:hint="eastAsia" w:ascii="新宋体" w:hAnsi="新宋体" w:eastAsia="新宋体"/>
                <w:sz w:val="22"/>
                <w:szCs w:val="22"/>
              </w:rPr>
            </w:pPr>
          </w:p>
        </w:tc>
        <w:tc>
          <w:tcPr>
            <w:tcW w:w="1829" w:type="dxa"/>
            <w:noWrap w:val="0"/>
            <w:vAlign w:val="top"/>
          </w:tcPr>
          <w:p>
            <w:pPr>
              <w:spacing w:line="400" w:lineRule="exact"/>
              <w:rPr>
                <w:rFonts w:hint="eastAsia" w:ascii="新宋体" w:hAnsi="新宋体" w:eastAsia="新宋体"/>
                <w:sz w:val="22"/>
                <w:szCs w:val="22"/>
              </w:rPr>
            </w:pPr>
          </w:p>
        </w:tc>
        <w:tc>
          <w:tcPr>
            <w:tcW w:w="1250" w:type="dxa"/>
            <w:noWrap w:val="0"/>
            <w:vAlign w:val="top"/>
          </w:tcPr>
          <w:p>
            <w:pPr>
              <w:spacing w:line="400" w:lineRule="exact"/>
              <w:rPr>
                <w:rFonts w:hint="eastAsia"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0"/>
            <w:vAlign w:val="center"/>
          </w:tcPr>
          <w:p>
            <w:pPr>
              <w:spacing w:line="400" w:lineRule="exact"/>
              <w:jc w:val="center"/>
              <w:rPr>
                <w:rFonts w:hint="eastAsia" w:ascii="新宋体" w:hAnsi="新宋体" w:eastAsia="新宋体"/>
                <w:sz w:val="22"/>
                <w:szCs w:val="22"/>
              </w:rPr>
            </w:pPr>
            <w:r>
              <w:rPr>
                <w:rFonts w:hint="eastAsia" w:ascii="新宋体" w:hAnsi="新宋体" w:eastAsia="新宋体"/>
                <w:sz w:val="22"/>
                <w:szCs w:val="22"/>
              </w:rPr>
              <w:t>4</w:t>
            </w:r>
          </w:p>
        </w:tc>
        <w:tc>
          <w:tcPr>
            <w:tcW w:w="2700" w:type="dxa"/>
            <w:noWrap w:val="0"/>
            <w:vAlign w:val="top"/>
          </w:tcPr>
          <w:p>
            <w:pPr>
              <w:spacing w:line="400" w:lineRule="exact"/>
              <w:rPr>
                <w:rFonts w:hint="eastAsia" w:ascii="新宋体" w:hAnsi="新宋体" w:eastAsia="新宋体"/>
                <w:sz w:val="22"/>
                <w:szCs w:val="22"/>
              </w:rPr>
            </w:pPr>
          </w:p>
        </w:tc>
        <w:tc>
          <w:tcPr>
            <w:tcW w:w="1110" w:type="dxa"/>
            <w:noWrap w:val="0"/>
            <w:vAlign w:val="top"/>
          </w:tcPr>
          <w:p>
            <w:pPr>
              <w:spacing w:line="400" w:lineRule="exact"/>
              <w:rPr>
                <w:rFonts w:hint="eastAsia" w:ascii="新宋体" w:hAnsi="新宋体" w:eastAsia="新宋体"/>
                <w:sz w:val="22"/>
                <w:szCs w:val="22"/>
              </w:rPr>
            </w:pPr>
          </w:p>
        </w:tc>
        <w:tc>
          <w:tcPr>
            <w:tcW w:w="716" w:type="dxa"/>
            <w:noWrap w:val="0"/>
            <w:vAlign w:val="top"/>
          </w:tcPr>
          <w:p>
            <w:pPr>
              <w:spacing w:line="400" w:lineRule="exact"/>
              <w:rPr>
                <w:rFonts w:hint="eastAsia" w:ascii="新宋体" w:hAnsi="新宋体" w:eastAsia="新宋体"/>
                <w:sz w:val="22"/>
                <w:szCs w:val="22"/>
              </w:rPr>
            </w:pPr>
          </w:p>
        </w:tc>
        <w:tc>
          <w:tcPr>
            <w:tcW w:w="1829" w:type="dxa"/>
            <w:noWrap w:val="0"/>
            <w:vAlign w:val="top"/>
          </w:tcPr>
          <w:p>
            <w:pPr>
              <w:spacing w:line="400" w:lineRule="exact"/>
              <w:rPr>
                <w:rFonts w:hint="eastAsia" w:ascii="新宋体" w:hAnsi="新宋体" w:eastAsia="新宋体"/>
                <w:sz w:val="22"/>
                <w:szCs w:val="22"/>
              </w:rPr>
            </w:pPr>
          </w:p>
        </w:tc>
        <w:tc>
          <w:tcPr>
            <w:tcW w:w="1250" w:type="dxa"/>
            <w:noWrap w:val="0"/>
            <w:vAlign w:val="top"/>
          </w:tcPr>
          <w:p>
            <w:pPr>
              <w:spacing w:line="400" w:lineRule="exact"/>
              <w:rPr>
                <w:rFonts w:hint="eastAsia"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0"/>
            <w:vAlign w:val="center"/>
          </w:tcPr>
          <w:p>
            <w:pPr>
              <w:spacing w:line="400" w:lineRule="exact"/>
              <w:jc w:val="center"/>
              <w:rPr>
                <w:rFonts w:hint="eastAsia" w:ascii="新宋体" w:hAnsi="新宋体" w:eastAsia="新宋体"/>
                <w:sz w:val="22"/>
                <w:szCs w:val="22"/>
              </w:rPr>
            </w:pPr>
            <w:r>
              <w:rPr>
                <w:rFonts w:hint="eastAsia" w:ascii="新宋体" w:hAnsi="新宋体" w:eastAsia="新宋体"/>
                <w:sz w:val="22"/>
                <w:szCs w:val="22"/>
              </w:rPr>
              <w:t>5</w:t>
            </w:r>
          </w:p>
        </w:tc>
        <w:tc>
          <w:tcPr>
            <w:tcW w:w="2700" w:type="dxa"/>
            <w:noWrap w:val="0"/>
            <w:vAlign w:val="top"/>
          </w:tcPr>
          <w:p>
            <w:pPr>
              <w:spacing w:line="400" w:lineRule="exact"/>
              <w:rPr>
                <w:rFonts w:hint="eastAsia" w:ascii="新宋体" w:hAnsi="新宋体" w:eastAsia="新宋体"/>
                <w:sz w:val="22"/>
                <w:szCs w:val="22"/>
              </w:rPr>
            </w:pPr>
          </w:p>
        </w:tc>
        <w:tc>
          <w:tcPr>
            <w:tcW w:w="1110" w:type="dxa"/>
            <w:noWrap w:val="0"/>
            <w:vAlign w:val="top"/>
          </w:tcPr>
          <w:p>
            <w:pPr>
              <w:spacing w:line="400" w:lineRule="exact"/>
              <w:rPr>
                <w:rFonts w:hint="eastAsia" w:ascii="新宋体" w:hAnsi="新宋体" w:eastAsia="新宋体"/>
                <w:sz w:val="22"/>
                <w:szCs w:val="22"/>
              </w:rPr>
            </w:pPr>
          </w:p>
        </w:tc>
        <w:tc>
          <w:tcPr>
            <w:tcW w:w="716" w:type="dxa"/>
            <w:noWrap w:val="0"/>
            <w:vAlign w:val="top"/>
          </w:tcPr>
          <w:p>
            <w:pPr>
              <w:spacing w:line="400" w:lineRule="exact"/>
              <w:rPr>
                <w:rFonts w:hint="eastAsia" w:ascii="新宋体" w:hAnsi="新宋体" w:eastAsia="新宋体"/>
                <w:sz w:val="22"/>
                <w:szCs w:val="22"/>
              </w:rPr>
            </w:pPr>
          </w:p>
        </w:tc>
        <w:tc>
          <w:tcPr>
            <w:tcW w:w="1829" w:type="dxa"/>
            <w:noWrap w:val="0"/>
            <w:vAlign w:val="top"/>
          </w:tcPr>
          <w:p>
            <w:pPr>
              <w:spacing w:line="400" w:lineRule="exact"/>
              <w:rPr>
                <w:rFonts w:hint="eastAsia" w:ascii="新宋体" w:hAnsi="新宋体" w:eastAsia="新宋体"/>
                <w:sz w:val="22"/>
                <w:szCs w:val="22"/>
              </w:rPr>
            </w:pPr>
          </w:p>
        </w:tc>
        <w:tc>
          <w:tcPr>
            <w:tcW w:w="1250" w:type="dxa"/>
            <w:noWrap w:val="0"/>
            <w:vAlign w:val="top"/>
          </w:tcPr>
          <w:p>
            <w:pPr>
              <w:spacing w:line="400" w:lineRule="exact"/>
              <w:rPr>
                <w:rFonts w:hint="eastAsia"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0"/>
            <w:vAlign w:val="center"/>
          </w:tcPr>
          <w:p>
            <w:pPr>
              <w:spacing w:line="400" w:lineRule="exact"/>
              <w:jc w:val="center"/>
              <w:rPr>
                <w:rFonts w:hint="eastAsia" w:ascii="新宋体" w:hAnsi="新宋体" w:eastAsia="新宋体"/>
                <w:sz w:val="22"/>
                <w:szCs w:val="22"/>
              </w:rPr>
            </w:pPr>
            <w:r>
              <w:rPr>
                <w:rFonts w:hint="eastAsia" w:ascii="新宋体" w:hAnsi="新宋体" w:eastAsia="新宋体"/>
                <w:sz w:val="22"/>
                <w:szCs w:val="22"/>
              </w:rPr>
              <w:t>6</w:t>
            </w:r>
          </w:p>
        </w:tc>
        <w:tc>
          <w:tcPr>
            <w:tcW w:w="2700" w:type="dxa"/>
            <w:noWrap w:val="0"/>
            <w:vAlign w:val="top"/>
          </w:tcPr>
          <w:p>
            <w:pPr>
              <w:spacing w:line="400" w:lineRule="exact"/>
              <w:rPr>
                <w:rFonts w:hint="eastAsia" w:ascii="新宋体" w:hAnsi="新宋体" w:eastAsia="新宋体"/>
                <w:sz w:val="22"/>
                <w:szCs w:val="22"/>
              </w:rPr>
            </w:pPr>
          </w:p>
        </w:tc>
        <w:tc>
          <w:tcPr>
            <w:tcW w:w="1110" w:type="dxa"/>
            <w:noWrap w:val="0"/>
            <w:vAlign w:val="top"/>
          </w:tcPr>
          <w:p>
            <w:pPr>
              <w:spacing w:line="400" w:lineRule="exact"/>
              <w:rPr>
                <w:rFonts w:hint="eastAsia" w:ascii="新宋体" w:hAnsi="新宋体" w:eastAsia="新宋体"/>
                <w:sz w:val="22"/>
                <w:szCs w:val="22"/>
              </w:rPr>
            </w:pPr>
          </w:p>
        </w:tc>
        <w:tc>
          <w:tcPr>
            <w:tcW w:w="716" w:type="dxa"/>
            <w:noWrap w:val="0"/>
            <w:vAlign w:val="top"/>
          </w:tcPr>
          <w:p>
            <w:pPr>
              <w:spacing w:line="400" w:lineRule="exact"/>
              <w:rPr>
                <w:rFonts w:hint="eastAsia" w:ascii="新宋体" w:hAnsi="新宋体" w:eastAsia="新宋体"/>
                <w:sz w:val="22"/>
                <w:szCs w:val="22"/>
              </w:rPr>
            </w:pPr>
          </w:p>
        </w:tc>
        <w:tc>
          <w:tcPr>
            <w:tcW w:w="1829" w:type="dxa"/>
            <w:noWrap w:val="0"/>
            <w:vAlign w:val="top"/>
          </w:tcPr>
          <w:p>
            <w:pPr>
              <w:spacing w:line="400" w:lineRule="exact"/>
              <w:rPr>
                <w:rFonts w:hint="eastAsia" w:ascii="新宋体" w:hAnsi="新宋体" w:eastAsia="新宋体"/>
                <w:sz w:val="22"/>
                <w:szCs w:val="22"/>
              </w:rPr>
            </w:pPr>
          </w:p>
        </w:tc>
        <w:tc>
          <w:tcPr>
            <w:tcW w:w="1250" w:type="dxa"/>
            <w:noWrap w:val="0"/>
            <w:vAlign w:val="top"/>
          </w:tcPr>
          <w:p>
            <w:pPr>
              <w:spacing w:line="400" w:lineRule="exact"/>
              <w:rPr>
                <w:rFonts w:hint="eastAsia"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0"/>
            <w:vAlign w:val="center"/>
          </w:tcPr>
          <w:p>
            <w:pPr>
              <w:spacing w:line="400" w:lineRule="exact"/>
              <w:jc w:val="center"/>
              <w:rPr>
                <w:rFonts w:hint="eastAsia" w:ascii="新宋体" w:hAnsi="新宋体" w:eastAsia="新宋体"/>
                <w:sz w:val="22"/>
                <w:szCs w:val="22"/>
              </w:rPr>
            </w:pPr>
            <w:r>
              <w:rPr>
                <w:rFonts w:hint="eastAsia" w:ascii="新宋体" w:hAnsi="新宋体" w:eastAsia="新宋体"/>
                <w:sz w:val="22"/>
                <w:szCs w:val="22"/>
              </w:rPr>
              <w:t>7</w:t>
            </w:r>
          </w:p>
        </w:tc>
        <w:tc>
          <w:tcPr>
            <w:tcW w:w="2700" w:type="dxa"/>
            <w:noWrap w:val="0"/>
            <w:vAlign w:val="top"/>
          </w:tcPr>
          <w:p>
            <w:pPr>
              <w:spacing w:line="400" w:lineRule="exact"/>
              <w:rPr>
                <w:rFonts w:hint="eastAsia" w:ascii="新宋体" w:hAnsi="新宋体" w:eastAsia="新宋体"/>
                <w:sz w:val="22"/>
                <w:szCs w:val="22"/>
              </w:rPr>
            </w:pPr>
          </w:p>
        </w:tc>
        <w:tc>
          <w:tcPr>
            <w:tcW w:w="1110" w:type="dxa"/>
            <w:noWrap w:val="0"/>
            <w:vAlign w:val="top"/>
          </w:tcPr>
          <w:p>
            <w:pPr>
              <w:spacing w:line="400" w:lineRule="exact"/>
              <w:rPr>
                <w:rFonts w:hint="eastAsia" w:ascii="新宋体" w:hAnsi="新宋体" w:eastAsia="新宋体"/>
                <w:sz w:val="22"/>
                <w:szCs w:val="22"/>
              </w:rPr>
            </w:pPr>
          </w:p>
        </w:tc>
        <w:tc>
          <w:tcPr>
            <w:tcW w:w="716" w:type="dxa"/>
            <w:noWrap w:val="0"/>
            <w:vAlign w:val="top"/>
          </w:tcPr>
          <w:p>
            <w:pPr>
              <w:spacing w:line="400" w:lineRule="exact"/>
              <w:rPr>
                <w:rFonts w:hint="eastAsia" w:ascii="新宋体" w:hAnsi="新宋体" w:eastAsia="新宋体"/>
                <w:sz w:val="22"/>
                <w:szCs w:val="22"/>
              </w:rPr>
            </w:pPr>
          </w:p>
        </w:tc>
        <w:tc>
          <w:tcPr>
            <w:tcW w:w="1829" w:type="dxa"/>
            <w:noWrap w:val="0"/>
            <w:vAlign w:val="top"/>
          </w:tcPr>
          <w:p>
            <w:pPr>
              <w:spacing w:line="400" w:lineRule="exact"/>
              <w:rPr>
                <w:rFonts w:hint="eastAsia" w:ascii="新宋体" w:hAnsi="新宋体" w:eastAsia="新宋体"/>
                <w:sz w:val="22"/>
                <w:szCs w:val="22"/>
              </w:rPr>
            </w:pPr>
          </w:p>
        </w:tc>
        <w:tc>
          <w:tcPr>
            <w:tcW w:w="1250" w:type="dxa"/>
            <w:noWrap w:val="0"/>
            <w:vAlign w:val="top"/>
          </w:tcPr>
          <w:p>
            <w:pPr>
              <w:spacing w:line="400" w:lineRule="exact"/>
              <w:rPr>
                <w:rFonts w:hint="eastAsia"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0"/>
            <w:vAlign w:val="center"/>
          </w:tcPr>
          <w:p>
            <w:pPr>
              <w:spacing w:line="400" w:lineRule="exact"/>
              <w:jc w:val="center"/>
              <w:rPr>
                <w:rFonts w:hint="eastAsia" w:ascii="新宋体" w:hAnsi="新宋体" w:eastAsia="新宋体"/>
                <w:sz w:val="22"/>
                <w:szCs w:val="22"/>
              </w:rPr>
            </w:pPr>
            <w:r>
              <w:rPr>
                <w:rFonts w:hint="eastAsia" w:ascii="新宋体" w:hAnsi="新宋体" w:eastAsia="新宋体"/>
                <w:sz w:val="22"/>
                <w:szCs w:val="22"/>
              </w:rPr>
              <w:t>8</w:t>
            </w:r>
          </w:p>
        </w:tc>
        <w:tc>
          <w:tcPr>
            <w:tcW w:w="2700" w:type="dxa"/>
            <w:noWrap w:val="0"/>
            <w:vAlign w:val="top"/>
          </w:tcPr>
          <w:p>
            <w:pPr>
              <w:spacing w:line="400" w:lineRule="exact"/>
              <w:rPr>
                <w:rFonts w:hint="eastAsia" w:ascii="新宋体" w:hAnsi="新宋体" w:eastAsia="新宋体"/>
                <w:sz w:val="22"/>
                <w:szCs w:val="22"/>
              </w:rPr>
            </w:pPr>
          </w:p>
        </w:tc>
        <w:tc>
          <w:tcPr>
            <w:tcW w:w="1110" w:type="dxa"/>
            <w:noWrap w:val="0"/>
            <w:vAlign w:val="top"/>
          </w:tcPr>
          <w:p>
            <w:pPr>
              <w:spacing w:line="400" w:lineRule="exact"/>
              <w:rPr>
                <w:rFonts w:hint="eastAsia" w:ascii="新宋体" w:hAnsi="新宋体" w:eastAsia="新宋体"/>
                <w:sz w:val="22"/>
                <w:szCs w:val="22"/>
              </w:rPr>
            </w:pPr>
          </w:p>
        </w:tc>
        <w:tc>
          <w:tcPr>
            <w:tcW w:w="716" w:type="dxa"/>
            <w:noWrap w:val="0"/>
            <w:vAlign w:val="top"/>
          </w:tcPr>
          <w:p>
            <w:pPr>
              <w:spacing w:line="400" w:lineRule="exact"/>
              <w:rPr>
                <w:rFonts w:hint="eastAsia" w:ascii="新宋体" w:hAnsi="新宋体" w:eastAsia="新宋体"/>
                <w:sz w:val="22"/>
                <w:szCs w:val="22"/>
              </w:rPr>
            </w:pPr>
          </w:p>
        </w:tc>
        <w:tc>
          <w:tcPr>
            <w:tcW w:w="1829" w:type="dxa"/>
            <w:noWrap w:val="0"/>
            <w:vAlign w:val="top"/>
          </w:tcPr>
          <w:p>
            <w:pPr>
              <w:spacing w:line="400" w:lineRule="exact"/>
              <w:rPr>
                <w:rFonts w:hint="eastAsia" w:ascii="新宋体" w:hAnsi="新宋体" w:eastAsia="新宋体"/>
                <w:sz w:val="22"/>
                <w:szCs w:val="22"/>
              </w:rPr>
            </w:pPr>
          </w:p>
        </w:tc>
        <w:tc>
          <w:tcPr>
            <w:tcW w:w="1250" w:type="dxa"/>
            <w:noWrap w:val="0"/>
            <w:vAlign w:val="top"/>
          </w:tcPr>
          <w:p>
            <w:pPr>
              <w:spacing w:line="400" w:lineRule="exact"/>
              <w:rPr>
                <w:rFonts w:hint="eastAsia"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0"/>
            <w:vAlign w:val="center"/>
          </w:tcPr>
          <w:p>
            <w:pPr>
              <w:spacing w:line="400" w:lineRule="exact"/>
              <w:jc w:val="center"/>
              <w:rPr>
                <w:rFonts w:hint="eastAsia" w:ascii="新宋体" w:hAnsi="新宋体" w:eastAsia="新宋体"/>
                <w:sz w:val="22"/>
                <w:szCs w:val="22"/>
              </w:rPr>
            </w:pPr>
            <w:r>
              <w:rPr>
                <w:rFonts w:hint="eastAsia" w:ascii="新宋体" w:hAnsi="新宋体" w:eastAsia="新宋体"/>
                <w:sz w:val="22"/>
                <w:szCs w:val="22"/>
              </w:rPr>
              <w:t>9</w:t>
            </w:r>
          </w:p>
        </w:tc>
        <w:tc>
          <w:tcPr>
            <w:tcW w:w="2700" w:type="dxa"/>
            <w:noWrap w:val="0"/>
            <w:vAlign w:val="top"/>
          </w:tcPr>
          <w:p>
            <w:pPr>
              <w:spacing w:line="400" w:lineRule="exact"/>
              <w:rPr>
                <w:rFonts w:hint="eastAsia" w:ascii="新宋体" w:hAnsi="新宋体" w:eastAsia="新宋体"/>
                <w:sz w:val="22"/>
                <w:szCs w:val="22"/>
              </w:rPr>
            </w:pPr>
          </w:p>
        </w:tc>
        <w:tc>
          <w:tcPr>
            <w:tcW w:w="1110" w:type="dxa"/>
            <w:noWrap w:val="0"/>
            <w:vAlign w:val="top"/>
          </w:tcPr>
          <w:p>
            <w:pPr>
              <w:spacing w:line="400" w:lineRule="exact"/>
              <w:rPr>
                <w:rFonts w:hint="eastAsia" w:ascii="新宋体" w:hAnsi="新宋体" w:eastAsia="新宋体"/>
                <w:sz w:val="22"/>
                <w:szCs w:val="22"/>
              </w:rPr>
            </w:pPr>
          </w:p>
        </w:tc>
        <w:tc>
          <w:tcPr>
            <w:tcW w:w="716" w:type="dxa"/>
            <w:noWrap w:val="0"/>
            <w:vAlign w:val="top"/>
          </w:tcPr>
          <w:p>
            <w:pPr>
              <w:spacing w:line="400" w:lineRule="exact"/>
              <w:rPr>
                <w:rFonts w:hint="eastAsia" w:ascii="新宋体" w:hAnsi="新宋体" w:eastAsia="新宋体"/>
                <w:sz w:val="22"/>
                <w:szCs w:val="22"/>
              </w:rPr>
            </w:pPr>
          </w:p>
        </w:tc>
        <w:tc>
          <w:tcPr>
            <w:tcW w:w="1829" w:type="dxa"/>
            <w:noWrap w:val="0"/>
            <w:vAlign w:val="top"/>
          </w:tcPr>
          <w:p>
            <w:pPr>
              <w:spacing w:line="400" w:lineRule="exact"/>
              <w:rPr>
                <w:rFonts w:hint="eastAsia" w:ascii="新宋体" w:hAnsi="新宋体" w:eastAsia="新宋体"/>
                <w:sz w:val="22"/>
                <w:szCs w:val="22"/>
              </w:rPr>
            </w:pPr>
          </w:p>
        </w:tc>
        <w:tc>
          <w:tcPr>
            <w:tcW w:w="1250" w:type="dxa"/>
            <w:noWrap w:val="0"/>
            <w:vAlign w:val="top"/>
          </w:tcPr>
          <w:p>
            <w:pPr>
              <w:spacing w:line="400" w:lineRule="exact"/>
              <w:rPr>
                <w:rFonts w:hint="eastAsia"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0"/>
            <w:vAlign w:val="center"/>
          </w:tcPr>
          <w:p>
            <w:pPr>
              <w:spacing w:line="400" w:lineRule="exact"/>
              <w:jc w:val="center"/>
              <w:rPr>
                <w:rFonts w:hint="eastAsia" w:ascii="新宋体" w:hAnsi="新宋体" w:eastAsia="新宋体"/>
                <w:sz w:val="22"/>
                <w:szCs w:val="22"/>
              </w:rPr>
            </w:pPr>
            <w:r>
              <w:rPr>
                <w:rFonts w:hint="eastAsia" w:ascii="新宋体" w:hAnsi="新宋体" w:eastAsia="新宋体"/>
                <w:sz w:val="22"/>
                <w:szCs w:val="22"/>
              </w:rPr>
              <w:t>10</w:t>
            </w:r>
          </w:p>
        </w:tc>
        <w:tc>
          <w:tcPr>
            <w:tcW w:w="2700" w:type="dxa"/>
            <w:noWrap w:val="0"/>
            <w:vAlign w:val="top"/>
          </w:tcPr>
          <w:p>
            <w:pPr>
              <w:spacing w:line="400" w:lineRule="exact"/>
              <w:rPr>
                <w:rFonts w:hint="eastAsia" w:ascii="新宋体" w:hAnsi="新宋体" w:eastAsia="新宋体"/>
                <w:sz w:val="22"/>
                <w:szCs w:val="22"/>
              </w:rPr>
            </w:pPr>
          </w:p>
        </w:tc>
        <w:tc>
          <w:tcPr>
            <w:tcW w:w="1110" w:type="dxa"/>
            <w:noWrap w:val="0"/>
            <w:vAlign w:val="top"/>
          </w:tcPr>
          <w:p>
            <w:pPr>
              <w:spacing w:line="400" w:lineRule="exact"/>
              <w:rPr>
                <w:rFonts w:hint="eastAsia" w:ascii="新宋体" w:hAnsi="新宋体" w:eastAsia="新宋体"/>
                <w:sz w:val="22"/>
                <w:szCs w:val="22"/>
              </w:rPr>
            </w:pPr>
          </w:p>
        </w:tc>
        <w:tc>
          <w:tcPr>
            <w:tcW w:w="716" w:type="dxa"/>
            <w:noWrap w:val="0"/>
            <w:vAlign w:val="top"/>
          </w:tcPr>
          <w:p>
            <w:pPr>
              <w:spacing w:line="400" w:lineRule="exact"/>
              <w:rPr>
                <w:rFonts w:hint="eastAsia" w:ascii="新宋体" w:hAnsi="新宋体" w:eastAsia="新宋体"/>
                <w:sz w:val="22"/>
                <w:szCs w:val="22"/>
              </w:rPr>
            </w:pPr>
          </w:p>
        </w:tc>
        <w:tc>
          <w:tcPr>
            <w:tcW w:w="1829" w:type="dxa"/>
            <w:noWrap w:val="0"/>
            <w:vAlign w:val="top"/>
          </w:tcPr>
          <w:p>
            <w:pPr>
              <w:spacing w:line="400" w:lineRule="exact"/>
              <w:rPr>
                <w:rFonts w:hint="eastAsia" w:ascii="新宋体" w:hAnsi="新宋体" w:eastAsia="新宋体"/>
                <w:sz w:val="22"/>
                <w:szCs w:val="22"/>
              </w:rPr>
            </w:pPr>
          </w:p>
        </w:tc>
        <w:tc>
          <w:tcPr>
            <w:tcW w:w="1250" w:type="dxa"/>
            <w:noWrap w:val="0"/>
            <w:vAlign w:val="top"/>
          </w:tcPr>
          <w:p>
            <w:pPr>
              <w:spacing w:line="400" w:lineRule="exact"/>
              <w:rPr>
                <w:rFonts w:hint="eastAsia"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0"/>
            <w:vAlign w:val="center"/>
          </w:tcPr>
          <w:p>
            <w:pPr>
              <w:spacing w:line="400" w:lineRule="exact"/>
              <w:jc w:val="center"/>
              <w:rPr>
                <w:rFonts w:hint="eastAsia" w:ascii="新宋体" w:hAnsi="新宋体" w:eastAsia="新宋体"/>
                <w:sz w:val="22"/>
                <w:szCs w:val="22"/>
              </w:rPr>
            </w:pPr>
            <w:r>
              <w:rPr>
                <w:rFonts w:hint="eastAsia" w:ascii="新宋体" w:hAnsi="新宋体" w:eastAsia="新宋体"/>
                <w:sz w:val="22"/>
                <w:szCs w:val="22"/>
              </w:rPr>
              <w:t>11</w:t>
            </w:r>
          </w:p>
        </w:tc>
        <w:tc>
          <w:tcPr>
            <w:tcW w:w="2700" w:type="dxa"/>
            <w:noWrap w:val="0"/>
            <w:vAlign w:val="top"/>
          </w:tcPr>
          <w:p>
            <w:pPr>
              <w:spacing w:line="400" w:lineRule="exact"/>
              <w:rPr>
                <w:rFonts w:hint="eastAsia" w:ascii="新宋体" w:hAnsi="新宋体" w:eastAsia="新宋体"/>
                <w:sz w:val="22"/>
                <w:szCs w:val="22"/>
              </w:rPr>
            </w:pPr>
          </w:p>
        </w:tc>
        <w:tc>
          <w:tcPr>
            <w:tcW w:w="1110" w:type="dxa"/>
            <w:noWrap w:val="0"/>
            <w:vAlign w:val="top"/>
          </w:tcPr>
          <w:p>
            <w:pPr>
              <w:spacing w:line="400" w:lineRule="exact"/>
              <w:rPr>
                <w:rFonts w:hint="eastAsia" w:ascii="新宋体" w:hAnsi="新宋体" w:eastAsia="新宋体"/>
                <w:sz w:val="22"/>
                <w:szCs w:val="22"/>
              </w:rPr>
            </w:pPr>
          </w:p>
        </w:tc>
        <w:tc>
          <w:tcPr>
            <w:tcW w:w="716" w:type="dxa"/>
            <w:noWrap w:val="0"/>
            <w:vAlign w:val="top"/>
          </w:tcPr>
          <w:p>
            <w:pPr>
              <w:spacing w:line="400" w:lineRule="exact"/>
              <w:rPr>
                <w:rFonts w:hint="eastAsia" w:ascii="新宋体" w:hAnsi="新宋体" w:eastAsia="新宋体"/>
                <w:sz w:val="22"/>
                <w:szCs w:val="22"/>
              </w:rPr>
            </w:pPr>
          </w:p>
        </w:tc>
        <w:tc>
          <w:tcPr>
            <w:tcW w:w="1829" w:type="dxa"/>
            <w:noWrap w:val="0"/>
            <w:vAlign w:val="top"/>
          </w:tcPr>
          <w:p>
            <w:pPr>
              <w:spacing w:line="400" w:lineRule="exact"/>
              <w:rPr>
                <w:rFonts w:hint="eastAsia" w:ascii="新宋体" w:hAnsi="新宋体" w:eastAsia="新宋体"/>
                <w:sz w:val="22"/>
                <w:szCs w:val="22"/>
              </w:rPr>
            </w:pPr>
          </w:p>
        </w:tc>
        <w:tc>
          <w:tcPr>
            <w:tcW w:w="1250" w:type="dxa"/>
            <w:noWrap w:val="0"/>
            <w:vAlign w:val="top"/>
          </w:tcPr>
          <w:p>
            <w:pPr>
              <w:spacing w:line="400" w:lineRule="exact"/>
              <w:rPr>
                <w:rFonts w:hint="eastAsia"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0"/>
            <w:vAlign w:val="center"/>
          </w:tcPr>
          <w:p>
            <w:pPr>
              <w:spacing w:line="400" w:lineRule="exact"/>
              <w:jc w:val="center"/>
              <w:rPr>
                <w:rFonts w:hint="eastAsia" w:ascii="新宋体" w:hAnsi="新宋体" w:eastAsia="新宋体"/>
                <w:sz w:val="22"/>
                <w:szCs w:val="22"/>
              </w:rPr>
            </w:pPr>
            <w:r>
              <w:rPr>
                <w:rFonts w:hint="eastAsia" w:ascii="新宋体" w:hAnsi="新宋体" w:eastAsia="新宋体"/>
                <w:sz w:val="22"/>
                <w:szCs w:val="22"/>
              </w:rPr>
              <w:t>12</w:t>
            </w:r>
          </w:p>
        </w:tc>
        <w:tc>
          <w:tcPr>
            <w:tcW w:w="2700" w:type="dxa"/>
            <w:noWrap w:val="0"/>
            <w:vAlign w:val="top"/>
          </w:tcPr>
          <w:p>
            <w:pPr>
              <w:spacing w:line="400" w:lineRule="exact"/>
              <w:rPr>
                <w:rFonts w:hint="eastAsia" w:ascii="新宋体" w:hAnsi="新宋体" w:eastAsia="新宋体"/>
                <w:sz w:val="22"/>
                <w:szCs w:val="22"/>
              </w:rPr>
            </w:pPr>
          </w:p>
        </w:tc>
        <w:tc>
          <w:tcPr>
            <w:tcW w:w="1110" w:type="dxa"/>
            <w:noWrap w:val="0"/>
            <w:vAlign w:val="top"/>
          </w:tcPr>
          <w:p>
            <w:pPr>
              <w:spacing w:line="400" w:lineRule="exact"/>
              <w:rPr>
                <w:rFonts w:hint="eastAsia" w:ascii="新宋体" w:hAnsi="新宋体" w:eastAsia="新宋体"/>
                <w:sz w:val="22"/>
                <w:szCs w:val="22"/>
              </w:rPr>
            </w:pPr>
          </w:p>
        </w:tc>
        <w:tc>
          <w:tcPr>
            <w:tcW w:w="716" w:type="dxa"/>
            <w:noWrap w:val="0"/>
            <w:vAlign w:val="top"/>
          </w:tcPr>
          <w:p>
            <w:pPr>
              <w:spacing w:line="400" w:lineRule="exact"/>
              <w:rPr>
                <w:rFonts w:hint="eastAsia" w:ascii="新宋体" w:hAnsi="新宋体" w:eastAsia="新宋体"/>
                <w:sz w:val="22"/>
                <w:szCs w:val="22"/>
              </w:rPr>
            </w:pPr>
          </w:p>
        </w:tc>
        <w:tc>
          <w:tcPr>
            <w:tcW w:w="1829" w:type="dxa"/>
            <w:noWrap w:val="0"/>
            <w:vAlign w:val="top"/>
          </w:tcPr>
          <w:p>
            <w:pPr>
              <w:spacing w:line="400" w:lineRule="exact"/>
              <w:rPr>
                <w:rFonts w:hint="eastAsia" w:ascii="新宋体" w:hAnsi="新宋体" w:eastAsia="新宋体"/>
                <w:sz w:val="22"/>
                <w:szCs w:val="22"/>
              </w:rPr>
            </w:pPr>
          </w:p>
        </w:tc>
        <w:tc>
          <w:tcPr>
            <w:tcW w:w="1250" w:type="dxa"/>
            <w:noWrap w:val="0"/>
            <w:vAlign w:val="top"/>
          </w:tcPr>
          <w:p>
            <w:pPr>
              <w:spacing w:line="400" w:lineRule="exact"/>
              <w:rPr>
                <w:rFonts w:hint="eastAsia"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0"/>
            <w:vAlign w:val="center"/>
          </w:tcPr>
          <w:p>
            <w:pPr>
              <w:spacing w:line="400" w:lineRule="exact"/>
              <w:jc w:val="center"/>
              <w:rPr>
                <w:rFonts w:hint="eastAsia" w:ascii="新宋体" w:hAnsi="新宋体" w:eastAsia="新宋体"/>
                <w:sz w:val="22"/>
                <w:szCs w:val="22"/>
              </w:rPr>
            </w:pPr>
            <w:r>
              <w:rPr>
                <w:rFonts w:hint="eastAsia" w:ascii="新宋体" w:hAnsi="新宋体" w:eastAsia="新宋体"/>
                <w:sz w:val="22"/>
                <w:szCs w:val="22"/>
              </w:rPr>
              <w:t>13</w:t>
            </w:r>
          </w:p>
        </w:tc>
        <w:tc>
          <w:tcPr>
            <w:tcW w:w="2700" w:type="dxa"/>
            <w:noWrap w:val="0"/>
            <w:vAlign w:val="top"/>
          </w:tcPr>
          <w:p>
            <w:pPr>
              <w:spacing w:line="400" w:lineRule="exact"/>
              <w:rPr>
                <w:rFonts w:hint="eastAsia" w:ascii="新宋体" w:hAnsi="新宋体" w:eastAsia="新宋体"/>
                <w:sz w:val="22"/>
                <w:szCs w:val="22"/>
              </w:rPr>
            </w:pPr>
          </w:p>
        </w:tc>
        <w:tc>
          <w:tcPr>
            <w:tcW w:w="1110" w:type="dxa"/>
            <w:noWrap w:val="0"/>
            <w:vAlign w:val="top"/>
          </w:tcPr>
          <w:p>
            <w:pPr>
              <w:spacing w:line="400" w:lineRule="exact"/>
              <w:rPr>
                <w:rFonts w:hint="eastAsia" w:ascii="新宋体" w:hAnsi="新宋体" w:eastAsia="新宋体"/>
                <w:sz w:val="22"/>
                <w:szCs w:val="22"/>
              </w:rPr>
            </w:pPr>
          </w:p>
        </w:tc>
        <w:tc>
          <w:tcPr>
            <w:tcW w:w="716" w:type="dxa"/>
            <w:noWrap w:val="0"/>
            <w:vAlign w:val="top"/>
          </w:tcPr>
          <w:p>
            <w:pPr>
              <w:spacing w:line="400" w:lineRule="exact"/>
              <w:rPr>
                <w:rFonts w:hint="eastAsia" w:ascii="新宋体" w:hAnsi="新宋体" w:eastAsia="新宋体"/>
                <w:sz w:val="22"/>
                <w:szCs w:val="22"/>
              </w:rPr>
            </w:pPr>
          </w:p>
        </w:tc>
        <w:tc>
          <w:tcPr>
            <w:tcW w:w="1829" w:type="dxa"/>
            <w:noWrap w:val="0"/>
            <w:vAlign w:val="top"/>
          </w:tcPr>
          <w:p>
            <w:pPr>
              <w:spacing w:line="400" w:lineRule="exact"/>
              <w:rPr>
                <w:rFonts w:hint="eastAsia" w:ascii="新宋体" w:hAnsi="新宋体" w:eastAsia="新宋体"/>
                <w:sz w:val="22"/>
                <w:szCs w:val="22"/>
              </w:rPr>
            </w:pPr>
          </w:p>
        </w:tc>
        <w:tc>
          <w:tcPr>
            <w:tcW w:w="1250" w:type="dxa"/>
            <w:noWrap w:val="0"/>
            <w:vAlign w:val="top"/>
          </w:tcPr>
          <w:p>
            <w:pPr>
              <w:spacing w:line="400" w:lineRule="exact"/>
              <w:rPr>
                <w:rFonts w:hint="eastAsia"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0"/>
            <w:vAlign w:val="center"/>
          </w:tcPr>
          <w:p>
            <w:pPr>
              <w:spacing w:line="400" w:lineRule="exact"/>
              <w:jc w:val="center"/>
              <w:rPr>
                <w:rFonts w:hint="eastAsia" w:ascii="新宋体" w:hAnsi="新宋体" w:eastAsia="新宋体"/>
                <w:sz w:val="22"/>
                <w:szCs w:val="22"/>
              </w:rPr>
            </w:pPr>
            <w:r>
              <w:rPr>
                <w:rFonts w:hint="eastAsia" w:ascii="新宋体" w:hAnsi="新宋体" w:eastAsia="新宋体"/>
                <w:sz w:val="22"/>
                <w:szCs w:val="22"/>
              </w:rPr>
              <w:t>14</w:t>
            </w:r>
          </w:p>
        </w:tc>
        <w:tc>
          <w:tcPr>
            <w:tcW w:w="2700" w:type="dxa"/>
            <w:noWrap w:val="0"/>
            <w:vAlign w:val="top"/>
          </w:tcPr>
          <w:p>
            <w:pPr>
              <w:spacing w:line="400" w:lineRule="exact"/>
              <w:rPr>
                <w:rFonts w:hint="eastAsia" w:ascii="新宋体" w:hAnsi="新宋体" w:eastAsia="新宋体"/>
                <w:sz w:val="22"/>
                <w:szCs w:val="22"/>
              </w:rPr>
            </w:pPr>
          </w:p>
        </w:tc>
        <w:tc>
          <w:tcPr>
            <w:tcW w:w="1110" w:type="dxa"/>
            <w:noWrap w:val="0"/>
            <w:vAlign w:val="top"/>
          </w:tcPr>
          <w:p>
            <w:pPr>
              <w:spacing w:line="400" w:lineRule="exact"/>
              <w:rPr>
                <w:rFonts w:hint="eastAsia" w:ascii="新宋体" w:hAnsi="新宋体" w:eastAsia="新宋体"/>
                <w:sz w:val="22"/>
                <w:szCs w:val="22"/>
              </w:rPr>
            </w:pPr>
          </w:p>
        </w:tc>
        <w:tc>
          <w:tcPr>
            <w:tcW w:w="716" w:type="dxa"/>
            <w:noWrap w:val="0"/>
            <w:vAlign w:val="top"/>
          </w:tcPr>
          <w:p>
            <w:pPr>
              <w:spacing w:line="400" w:lineRule="exact"/>
              <w:rPr>
                <w:rFonts w:hint="eastAsia" w:ascii="新宋体" w:hAnsi="新宋体" w:eastAsia="新宋体"/>
                <w:sz w:val="22"/>
                <w:szCs w:val="22"/>
              </w:rPr>
            </w:pPr>
          </w:p>
        </w:tc>
        <w:tc>
          <w:tcPr>
            <w:tcW w:w="1829" w:type="dxa"/>
            <w:noWrap w:val="0"/>
            <w:vAlign w:val="top"/>
          </w:tcPr>
          <w:p>
            <w:pPr>
              <w:spacing w:line="400" w:lineRule="exact"/>
              <w:rPr>
                <w:rFonts w:hint="eastAsia" w:ascii="新宋体" w:hAnsi="新宋体" w:eastAsia="新宋体"/>
                <w:sz w:val="22"/>
                <w:szCs w:val="22"/>
              </w:rPr>
            </w:pPr>
          </w:p>
        </w:tc>
        <w:tc>
          <w:tcPr>
            <w:tcW w:w="1250" w:type="dxa"/>
            <w:noWrap w:val="0"/>
            <w:vAlign w:val="top"/>
          </w:tcPr>
          <w:p>
            <w:pPr>
              <w:spacing w:line="400" w:lineRule="exact"/>
              <w:rPr>
                <w:rFonts w:hint="eastAsia" w:ascii="新宋体" w:hAnsi="新宋体" w:eastAsia="新宋体"/>
                <w:sz w:val="22"/>
                <w:szCs w:val="22"/>
              </w:rPr>
            </w:pPr>
          </w:p>
        </w:tc>
      </w:tr>
    </w:tbl>
    <w:p>
      <w:pPr>
        <w:spacing w:line="400" w:lineRule="exact"/>
        <w:ind w:left="386" w:leftChars="-152" w:hanging="705" w:hangingChars="319"/>
        <w:rPr>
          <w:rFonts w:hint="eastAsia" w:ascii="新宋体" w:hAnsi="新宋体" w:eastAsia="新宋体"/>
          <w:b/>
          <w:bCs/>
          <w:sz w:val="22"/>
          <w:szCs w:val="22"/>
        </w:rPr>
      </w:pPr>
      <w:r>
        <w:rPr>
          <w:rFonts w:hint="eastAsia" w:ascii="新宋体" w:hAnsi="新宋体" w:eastAsia="新宋体"/>
          <w:b/>
          <w:bCs/>
          <w:sz w:val="22"/>
          <w:szCs w:val="22"/>
        </w:rPr>
        <w:t>说明：1. 本表的累计总价应与附件二“投标报价明细表”中</w:t>
      </w:r>
      <w:r>
        <w:rPr>
          <w:rFonts w:hint="eastAsia" w:ascii="宋体" w:hAnsi="宋体"/>
          <w:b/>
          <w:bCs/>
        </w:rPr>
        <w:t>随机备品备件、专用工具（如有）栏</w:t>
      </w:r>
      <w:r>
        <w:rPr>
          <w:rFonts w:hint="eastAsia" w:ascii="新宋体" w:hAnsi="新宋体" w:eastAsia="新宋体"/>
          <w:b/>
          <w:bCs/>
          <w:sz w:val="22"/>
          <w:szCs w:val="22"/>
        </w:rPr>
        <w:t>相一致。</w:t>
      </w:r>
    </w:p>
    <w:p>
      <w:pPr>
        <w:spacing w:line="400" w:lineRule="exact"/>
        <w:rPr>
          <w:rFonts w:hint="eastAsia" w:ascii="新宋体" w:hAnsi="新宋体" w:eastAsia="新宋体"/>
          <w:b/>
          <w:bCs/>
          <w:sz w:val="22"/>
          <w:szCs w:val="22"/>
        </w:rPr>
      </w:pPr>
      <w:r>
        <w:rPr>
          <w:rFonts w:hint="eastAsia" w:ascii="新宋体" w:hAnsi="新宋体" w:eastAsia="新宋体"/>
          <w:b/>
          <w:bCs/>
          <w:sz w:val="22"/>
          <w:szCs w:val="22"/>
        </w:rPr>
        <w:t xml:space="preserve">   2. 此表仅提供了表格形式，投标人可按此表格复制。</w:t>
      </w:r>
    </w:p>
    <w:p>
      <w:pPr>
        <w:spacing w:line="400" w:lineRule="exact"/>
        <w:rPr>
          <w:rFonts w:hint="eastAsia" w:ascii="新宋体" w:hAnsi="新宋体" w:eastAsia="新宋体"/>
          <w:sz w:val="22"/>
          <w:szCs w:val="22"/>
        </w:rPr>
      </w:pPr>
      <w:r>
        <w:rPr>
          <w:rFonts w:hint="eastAsia" w:ascii="新宋体" w:hAnsi="新宋体" w:eastAsia="新宋体"/>
          <w:b/>
          <w:bCs/>
          <w:sz w:val="22"/>
          <w:szCs w:val="22"/>
        </w:rPr>
        <w:t xml:space="preserve">   3. 如果无此内容，投标时需说明。</w:t>
      </w:r>
    </w:p>
    <w:p>
      <w:pPr>
        <w:spacing w:line="400" w:lineRule="exact"/>
        <w:ind w:firstLine="5280" w:firstLineChars="2400"/>
        <w:rPr>
          <w:rFonts w:hint="eastAsia" w:ascii="新宋体" w:hAnsi="新宋体" w:eastAsia="新宋体"/>
          <w:sz w:val="22"/>
          <w:szCs w:val="22"/>
        </w:rPr>
      </w:pPr>
    </w:p>
    <w:p>
      <w:pPr>
        <w:spacing w:line="460" w:lineRule="exact"/>
        <w:rPr>
          <w:rFonts w:hint="eastAsia" w:ascii="新宋体" w:hAnsi="新宋体" w:eastAsia="新宋体"/>
          <w:sz w:val="22"/>
          <w:szCs w:val="22"/>
        </w:rPr>
      </w:pPr>
      <w:r>
        <w:rPr>
          <w:rFonts w:hint="eastAsia" w:ascii="新宋体" w:hAnsi="新宋体" w:eastAsia="新宋体"/>
          <w:sz w:val="22"/>
          <w:szCs w:val="22"/>
        </w:rPr>
        <w:t>投标人全称（盖章）：</w:t>
      </w:r>
    </w:p>
    <w:p>
      <w:pPr>
        <w:spacing w:line="460" w:lineRule="exact"/>
        <w:rPr>
          <w:rFonts w:hint="eastAsia" w:ascii="新宋体" w:hAnsi="新宋体" w:eastAsia="新宋体"/>
          <w:sz w:val="22"/>
          <w:szCs w:val="22"/>
        </w:rPr>
      </w:pPr>
      <w:r>
        <w:rPr>
          <w:rFonts w:hint="eastAsia" w:ascii="新宋体" w:hAnsi="新宋体" w:eastAsia="新宋体"/>
          <w:sz w:val="22"/>
          <w:szCs w:val="22"/>
        </w:rPr>
        <w:t>授权代表（签字或盖章）：</w:t>
      </w:r>
    </w:p>
    <w:p>
      <w:pPr>
        <w:pStyle w:val="7"/>
        <w:spacing w:line="400" w:lineRule="exact"/>
        <w:ind w:firstLine="0"/>
        <w:rPr>
          <w:rFonts w:ascii="新宋体" w:hAnsi="新宋体" w:eastAsia="新宋体"/>
          <w:sz w:val="22"/>
          <w:szCs w:val="22"/>
        </w:rPr>
      </w:pPr>
      <w:r>
        <w:rPr>
          <w:rFonts w:hint="eastAsia" w:ascii="新宋体" w:hAnsi="新宋体" w:eastAsia="新宋体"/>
          <w:sz w:val="22"/>
          <w:szCs w:val="22"/>
        </w:rPr>
        <w:t>日    期：    年  月  日</w:t>
      </w:r>
    </w:p>
    <w:p>
      <w:pPr>
        <w:pStyle w:val="7"/>
        <w:spacing w:line="400" w:lineRule="exact"/>
        <w:ind w:firstLine="0"/>
        <w:jc w:val="left"/>
        <w:rPr>
          <w:rFonts w:hint="eastAsia"/>
          <w:sz w:val="32"/>
          <w:szCs w:val="32"/>
        </w:rPr>
      </w:pPr>
      <w:r>
        <w:br w:type="page"/>
      </w:r>
      <w:r>
        <w:rPr>
          <w:rFonts w:hint="eastAsia"/>
          <w:sz w:val="32"/>
          <w:szCs w:val="32"/>
        </w:rPr>
        <w:t>附件八、</w:t>
      </w:r>
    </w:p>
    <w:p>
      <w:pPr>
        <w:spacing w:line="500" w:lineRule="exact"/>
        <w:ind w:left="744" w:leftChars="71" w:hanging="595" w:hangingChars="247"/>
        <w:rPr>
          <w:rFonts w:hint="eastAsia" w:ascii="新宋体" w:hAnsi="新宋体" w:eastAsia="新宋体"/>
          <w:b/>
          <w:sz w:val="24"/>
        </w:rPr>
      </w:pPr>
      <w:r>
        <w:rPr>
          <w:rFonts w:hint="eastAsia" w:ascii="新宋体" w:hAnsi="新宋体" w:eastAsia="新宋体"/>
          <w:b/>
          <w:sz w:val="24"/>
        </w:rPr>
        <w:t>1、设备安装、调试、验收标准和方案</w:t>
      </w:r>
    </w:p>
    <w:p>
      <w:pPr>
        <w:spacing w:line="500" w:lineRule="exact"/>
        <w:ind w:left="602" w:leftChars="57" w:hanging="482" w:hangingChars="200"/>
        <w:rPr>
          <w:rFonts w:hint="eastAsia" w:ascii="新宋体" w:hAnsi="新宋体" w:eastAsia="新宋体"/>
          <w:b/>
          <w:bCs/>
          <w:sz w:val="24"/>
        </w:rPr>
      </w:pPr>
      <w:r>
        <w:rPr>
          <w:rFonts w:hint="eastAsia" w:ascii="新宋体" w:hAnsi="新宋体" w:eastAsia="新宋体"/>
          <w:b/>
          <w:bCs/>
          <w:sz w:val="24"/>
        </w:rPr>
        <w:t>2、 售后服务措施及承诺：投标方应明确说明产品质量保证承诺及此次投标的服务策略,提供此次投标货物的服务计划（售后服务内容、等级、相关服务指标、售后服务组织机构及人员安排情况及其联络信息）（附表）</w:t>
      </w:r>
    </w:p>
    <w:p>
      <w:pPr>
        <w:autoSpaceDE w:val="0"/>
        <w:autoSpaceDN w:val="0"/>
        <w:ind w:right="893" w:firstLine="118" w:firstLineChars="49"/>
        <w:textAlignment w:val="bottom"/>
        <w:rPr>
          <w:rFonts w:hint="eastAsia" w:ascii="新宋体" w:hAnsi="新宋体" w:eastAsia="新宋体"/>
          <w:b/>
          <w:bCs/>
          <w:sz w:val="24"/>
        </w:rPr>
      </w:pPr>
      <w:r>
        <w:rPr>
          <w:rFonts w:hint="eastAsia" w:ascii="新宋体" w:hAnsi="新宋体" w:eastAsia="新宋体"/>
          <w:b/>
          <w:bCs/>
          <w:sz w:val="24"/>
        </w:rPr>
        <w:t>3、售后服务措施及承诺表</w:t>
      </w:r>
    </w:p>
    <w:p>
      <w:pPr>
        <w:autoSpaceDE w:val="0"/>
        <w:autoSpaceDN w:val="0"/>
        <w:ind w:right="893" w:firstLine="418"/>
        <w:textAlignment w:val="bottom"/>
        <w:rPr>
          <w:rFonts w:hint="eastAsia" w:ascii="宋体" w:hAnsi="宋体"/>
        </w:rPr>
      </w:pPr>
      <w:r>
        <w:rPr>
          <w:rFonts w:hint="eastAsia" w:ascii="新宋体" w:hAnsi="新宋体" w:eastAsia="新宋体"/>
          <w:b/>
          <w:bCs/>
          <w:sz w:val="22"/>
          <w:szCs w:val="22"/>
        </w:rPr>
        <w:t>项目名称：                                     招标编号：</w:t>
      </w:r>
      <w:r>
        <w:rPr>
          <w:rFonts w:hint="eastAsia" w:ascii="宋体" w:hAnsi="宋体"/>
        </w:rPr>
        <w:t xml:space="preserve"> </w:t>
      </w:r>
    </w:p>
    <w:tbl>
      <w:tblPr>
        <w:tblStyle w:val="1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1230" w:type="dxa"/>
            <w:tcBorders>
              <w:bottom w:val="single" w:color="auto" w:sz="4" w:space="0"/>
            </w:tcBorders>
            <w:noWrap w:val="0"/>
            <w:vAlign w:val="center"/>
          </w:tcPr>
          <w:p>
            <w:pPr>
              <w:jc w:val="center"/>
              <w:rPr>
                <w:rFonts w:hint="eastAsia" w:ascii="新宋体" w:hAnsi="新宋体" w:eastAsia="新宋体"/>
                <w:sz w:val="22"/>
                <w:szCs w:val="22"/>
              </w:rPr>
            </w:pPr>
            <w:r>
              <w:rPr>
                <w:rFonts w:hint="eastAsia" w:ascii="新宋体" w:hAnsi="新宋体" w:eastAsia="新宋体"/>
                <w:sz w:val="22"/>
                <w:szCs w:val="22"/>
              </w:rPr>
              <w:t>质</w:t>
            </w:r>
          </w:p>
          <w:p>
            <w:pPr>
              <w:jc w:val="center"/>
              <w:rPr>
                <w:rFonts w:hint="eastAsia" w:ascii="新宋体" w:hAnsi="新宋体" w:eastAsia="新宋体"/>
                <w:sz w:val="22"/>
                <w:szCs w:val="22"/>
              </w:rPr>
            </w:pPr>
            <w:r>
              <w:rPr>
                <w:rFonts w:hint="eastAsia" w:ascii="新宋体" w:hAnsi="新宋体" w:eastAsia="新宋体"/>
                <w:sz w:val="22"/>
                <w:szCs w:val="22"/>
              </w:rPr>
              <w:t>量</w:t>
            </w:r>
          </w:p>
          <w:p>
            <w:pPr>
              <w:jc w:val="center"/>
              <w:rPr>
                <w:rFonts w:hint="eastAsia" w:ascii="新宋体" w:hAnsi="新宋体" w:eastAsia="新宋体"/>
                <w:sz w:val="22"/>
                <w:szCs w:val="22"/>
              </w:rPr>
            </w:pPr>
            <w:r>
              <w:rPr>
                <w:rFonts w:hint="eastAsia" w:ascii="新宋体" w:hAnsi="新宋体" w:eastAsia="新宋体"/>
                <w:sz w:val="22"/>
                <w:szCs w:val="22"/>
              </w:rPr>
              <w:t>保</w:t>
            </w:r>
          </w:p>
          <w:p>
            <w:pPr>
              <w:jc w:val="center"/>
              <w:rPr>
                <w:rFonts w:hint="eastAsia" w:ascii="新宋体" w:hAnsi="新宋体" w:eastAsia="新宋体"/>
                <w:sz w:val="22"/>
                <w:szCs w:val="22"/>
              </w:rPr>
            </w:pPr>
            <w:r>
              <w:rPr>
                <w:rFonts w:hint="eastAsia" w:ascii="新宋体" w:hAnsi="新宋体" w:eastAsia="新宋体"/>
                <w:sz w:val="22"/>
                <w:szCs w:val="22"/>
              </w:rPr>
              <w:t>证</w:t>
            </w:r>
          </w:p>
          <w:p>
            <w:pPr>
              <w:jc w:val="center"/>
              <w:rPr>
                <w:rFonts w:hint="eastAsia" w:ascii="新宋体" w:hAnsi="新宋体" w:eastAsia="新宋体"/>
                <w:sz w:val="22"/>
                <w:szCs w:val="22"/>
              </w:rPr>
            </w:pPr>
            <w:r>
              <w:rPr>
                <w:rFonts w:hint="eastAsia" w:ascii="新宋体" w:hAnsi="新宋体" w:eastAsia="新宋体"/>
                <w:sz w:val="22"/>
                <w:szCs w:val="22"/>
              </w:rPr>
              <w:t>承</w:t>
            </w:r>
          </w:p>
          <w:p>
            <w:pPr>
              <w:jc w:val="center"/>
              <w:rPr>
                <w:rFonts w:hint="eastAsia" w:ascii="新宋体" w:hAnsi="新宋体" w:eastAsia="新宋体"/>
                <w:sz w:val="22"/>
                <w:szCs w:val="22"/>
              </w:rPr>
            </w:pPr>
            <w:r>
              <w:rPr>
                <w:rFonts w:hint="eastAsia" w:ascii="新宋体" w:hAnsi="新宋体" w:eastAsia="新宋体"/>
                <w:sz w:val="22"/>
                <w:szCs w:val="22"/>
              </w:rPr>
              <w:t>诺</w:t>
            </w:r>
          </w:p>
        </w:tc>
        <w:tc>
          <w:tcPr>
            <w:tcW w:w="7230" w:type="dxa"/>
            <w:tcBorders>
              <w:bottom w:val="single" w:color="auto" w:sz="4" w:space="0"/>
            </w:tcBorders>
            <w:noWrap w:val="0"/>
            <w:vAlign w:val="top"/>
          </w:tcPr>
          <w:p>
            <w:pPr>
              <w:pStyle w:val="26"/>
              <w:keepNext w:val="0"/>
              <w:spacing w:after="0"/>
              <w:rPr>
                <w:rFonts w:hint="eastAsia" w:ascii="宋体" w:hAns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1" w:hRule="atLeast"/>
        </w:trPr>
        <w:tc>
          <w:tcPr>
            <w:tcW w:w="1230" w:type="dxa"/>
            <w:tcBorders>
              <w:bottom w:val="single" w:color="auto" w:sz="4" w:space="0"/>
            </w:tcBorders>
            <w:noWrap w:val="0"/>
            <w:vAlign w:val="center"/>
          </w:tcPr>
          <w:p>
            <w:pPr>
              <w:jc w:val="center"/>
              <w:rPr>
                <w:rFonts w:hint="eastAsia" w:ascii="新宋体" w:hAnsi="新宋体" w:eastAsia="新宋体"/>
                <w:sz w:val="22"/>
                <w:szCs w:val="22"/>
              </w:rPr>
            </w:pPr>
            <w:r>
              <w:rPr>
                <w:rFonts w:hint="eastAsia" w:ascii="新宋体" w:hAnsi="新宋体" w:eastAsia="新宋体"/>
                <w:sz w:val="22"/>
                <w:szCs w:val="22"/>
              </w:rPr>
              <w:t>售</w:t>
            </w:r>
          </w:p>
          <w:p>
            <w:pPr>
              <w:jc w:val="center"/>
              <w:rPr>
                <w:rFonts w:hint="eastAsia" w:ascii="新宋体" w:hAnsi="新宋体" w:eastAsia="新宋体"/>
                <w:sz w:val="22"/>
                <w:szCs w:val="22"/>
              </w:rPr>
            </w:pPr>
            <w:r>
              <w:rPr>
                <w:rFonts w:hint="eastAsia" w:ascii="新宋体" w:hAnsi="新宋体" w:eastAsia="新宋体"/>
                <w:sz w:val="22"/>
                <w:szCs w:val="22"/>
              </w:rPr>
              <w:t>后</w:t>
            </w:r>
          </w:p>
          <w:p>
            <w:pPr>
              <w:jc w:val="center"/>
              <w:rPr>
                <w:rFonts w:hint="eastAsia" w:ascii="新宋体" w:hAnsi="新宋体" w:eastAsia="新宋体"/>
                <w:sz w:val="22"/>
                <w:szCs w:val="22"/>
              </w:rPr>
            </w:pPr>
            <w:r>
              <w:rPr>
                <w:rFonts w:hint="eastAsia" w:ascii="新宋体" w:hAnsi="新宋体" w:eastAsia="新宋体"/>
                <w:sz w:val="22"/>
                <w:szCs w:val="22"/>
              </w:rPr>
              <w:t>服</w:t>
            </w:r>
          </w:p>
          <w:p>
            <w:pPr>
              <w:jc w:val="center"/>
              <w:rPr>
                <w:rFonts w:hint="eastAsia" w:ascii="新宋体" w:hAnsi="新宋体" w:eastAsia="新宋体"/>
                <w:sz w:val="22"/>
                <w:szCs w:val="22"/>
              </w:rPr>
            </w:pPr>
            <w:r>
              <w:rPr>
                <w:rFonts w:hint="eastAsia" w:ascii="新宋体" w:hAnsi="新宋体" w:eastAsia="新宋体"/>
                <w:sz w:val="22"/>
                <w:szCs w:val="22"/>
              </w:rPr>
              <w:t>务</w:t>
            </w:r>
          </w:p>
          <w:p>
            <w:pPr>
              <w:jc w:val="center"/>
              <w:rPr>
                <w:rFonts w:hint="eastAsia" w:ascii="新宋体" w:hAnsi="新宋体" w:eastAsia="新宋体"/>
                <w:sz w:val="22"/>
                <w:szCs w:val="22"/>
              </w:rPr>
            </w:pPr>
            <w:r>
              <w:rPr>
                <w:rFonts w:hint="eastAsia" w:ascii="新宋体" w:hAnsi="新宋体" w:eastAsia="新宋体"/>
                <w:sz w:val="22"/>
                <w:szCs w:val="22"/>
              </w:rPr>
              <w:t>承</w:t>
            </w:r>
          </w:p>
          <w:p>
            <w:pPr>
              <w:jc w:val="center"/>
              <w:rPr>
                <w:rFonts w:hint="eastAsia" w:ascii="新宋体" w:hAnsi="新宋体" w:eastAsia="新宋体"/>
                <w:sz w:val="22"/>
                <w:szCs w:val="22"/>
              </w:rPr>
            </w:pPr>
            <w:r>
              <w:rPr>
                <w:rFonts w:hint="eastAsia" w:ascii="新宋体" w:hAnsi="新宋体" w:eastAsia="新宋体"/>
                <w:sz w:val="22"/>
                <w:szCs w:val="22"/>
              </w:rPr>
              <w:t>诺</w:t>
            </w:r>
          </w:p>
        </w:tc>
        <w:tc>
          <w:tcPr>
            <w:tcW w:w="7230" w:type="dxa"/>
            <w:tcBorders>
              <w:bottom w:val="single" w:color="auto" w:sz="4" w:space="0"/>
            </w:tcBorders>
            <w:noWrap w:val="0"/>
            <w:vAlign w:val="top"/>
          </w:tcPr>
          <w:p>
            <w:pPr>
              <w:pStyle w:val="26"/>
              <w:keepNext w:val="0"/>
              <w:spacing w:after="0"/>
              <w:rPr>
                <w:rFonts w:hint="eastAsia" w:ascii="宋体" w:hAns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atLeast"/>
        </w:trPr>
        <w:tc>
          <w:tcPr>
            <w:tcW w:w="1230" w:type="dxa"/>
            <w:tcBorders>
              <w:bottom w:val="single" w:color="auto" w:sz="4" w:space="0"/>
            </w:tcBorders>
            <w:noWrap w:val="0"/>
            <w:vAlign w:val="center"/>
          </w:tcPr>
          <w:p>
            <w:pPr>
              <w:jc w:val="center"/>
              <w:rPr>
                <w:rFonts w:hint="eastAsia" w:ascii="新宋体" w:hAnsi="新宋体" w:eastAsia="新宋体"/>
                <w:sz w:val="22"/>
                <w:szCs w:val="22"/>
              </w:rPr>
            </w:pPr>
            <w:r>
              <w:rPr>
                <w:rFonts w:hint="eastAsia" w:ascii="新宋体" w:hAnsi="新宋体" w:eastAsia="新宋体"/>
                <w:sz w:val="22"/>
                <w:szCs w:val="22"/>
              </w:rPr>
              <w:t>其</w:t>
            </w:r>
          </w:p>
          <w:p>
            <w:pPr>
              <w:jc w:val="center"/>
              <w:rPr>
                <w:rFonts w:hint="eastAsia" w:ascii="新宋体" w:hAnsi="新宋体" w:eastAsia="新宋体"/>
                <w:sz w:val="22"/>
                <w:szCs w:val="22"/>
              </w:rPr>
            </w:pPr>
            <w:r>
              <w:rPr>
                <w:rFonts w:hint="eastAsia" w:ascii="新宋体" w:hAnsi="新宋体" w:eastAsia="新宋体"/>
                <w:sz w:val="22"/>
                <w:szCs w:val="22"/>
              </w:rPr>
              <w:t>他</w:t>
            </w:r>
          </w:p>
        </w:tc>
        <w:tc>
          <w:tcPr>
            <w:tcW w:w="7230" w:type="dxa"/>
            <w:tcBorders>
              <w:bottom w:val="single" w:color="auto" w:sz="4" w:space="0"/>
            </w:tcBorders>
            <w:noWrap w:val="0"/>
            <w:vAlign w:val="top"/>
          </w:tcPr>
          <w:p>
            <w:pPr>
              <w:pStyle w:val="26"/>
              <w:keepNext w:val="0"/>
              <w:spacing w:after="0"/>
              <w:rPr>
                <w:rFonts w:hint="eastAsia" w:ascii="宋体" w:hAnsi="宋体"/>
                <w:szCs w:val="20"/>
              </w:rPr>
            </w:pPr>
          </w:p>
        </w:tc>
      </w:tr>
    </w:tbl>
    <w:p>
      <w:pPr>
        <w:rPr>
          <w:rFonts w:hint="eastAsia" w:ascii="新宋体" w:hAnsi="新宋体" w:eastAsia="新宋体"/>
          <w:sz w:val="22"/>
          <w:szCs w:val="22"/>
          <w:lang w:val="zh-CN"/>
        </w:rPr>
      </w:pPr>
      <w:r>
        <w:rPr>
          <w:rFonts w:hint="eastAsia" w:ascii="宋体" w:hAnsi="宋体"/>
          <w:sz w:val="28"/>
        </w:rPr>
        <w:t xml:space="preserve">   </w:t>
      </w:r>
      <w:r>
        <w:rPr>
          <w:rFonts w:hint="eastAsia" w:ascii="新宋体" w:hAnsi="新宋体" w:eastAsia="新宋体"/>
          <w:sz w:val="22"/>
          <w:szCs w:val="22"/>
          <w:lang w:val="zh-CN"/>
        </w:rPr>
        <w:t>注：包括质量保证期内和质量保证期外的售后服务措施及承诺。</w:t>
      </w:r>
    </w:p>
    <w:p>
      <w:pPr>
        <w:rPr>
          <w:rFonts w:hint="eastAsia" w:ascii="新宋体" w:hAnsi="新宋体" w:eastAsia="新宋体"/>
          <w:sz w:val="22"/>
          <w:szCs w:val="22"/>
          <w:lang w:val="zh-CN"/>
        </w:rPr>
      </w:pPr>
    </w:p>
    <w:p>
      <w:pPr>
        <w:spacing w:line="460" w:lineRule="exact"/>
        <w:rPr>
          <w:rFonts w:hint="eastAsia" w:ascii="新宋体" w:hAnsi="新宋体" w:eastAsia="新宋体"/>
          <w:sz w:val="22"/>
          <w:szCs w:val="22"/>
        </w:rPr>
      </w:pPr>
      <w:r>
        <w:rPr>
          <w:rFonts w:hint="eastAsia" w:ascii="新宋体" w:hAnsi="新宋体" w:eastAsia="新宋体"/>
          <w:sz w:val="22"/>
          <w:szCs w:val="22"/>
        </w:rPr>
        <w:t>投标人全称（盖章）：</w:t>
      </w:r>
    </w:p>
    <w:p>
      <w:pPr>
        <w:spacing w:line="460" w:lineRule="exact"/>
        <w:rPr>
          <w:rFonts w:hint="eastAsia" w:ascii="新宋体" w:hAnsi="新宋体" w:eastAsia="新宋体"/>
          <w:sz w:val="22"/>
          <w:szCs w:val="22"/>
        </w:rPr>
      </w:pPr>
      <w:r>
        <w:rPr>
          <w:rFonts w:hint="eastAsia" w:ascii="新宋体" w:hAnsi="新宋体" w:eastAsia="新宋体"/>
          <w:sz w:val="22"/>
          <w:szCs w:val="22"/>
        </w:rPr>
        <w:t>授权代表（签字或盖章）：</w:t>
      </w:r>
    </w:p>
    <w:p>
      <w:pPr>
        <w:spacing w:line="400" w:lineRule="exact"/>
        <w:rPr>
          <w:rFonts w:hint="eastAsia" w:ascii="新宋体" w:hAnsi="新宋体" w:eastAsia="新宋体"/>
          <w:b/>
          <w:bCs/>
          <w:sz w:val="22"/>
          <w:szCs w:val="22"/>
          <w:u w:val="single"/>
        </w:rPr>
      </w:pPr>
      <w:r>
        <w:rPr>
          <w:rFonts w:hint="eastAsia" w:ascii="新宋体" w:hAnsi="新宋体" w:eastAsia="新宋体"/>
          <w:sz w:val="22"/>
          <w:szCs w:val="22"/>
        </w:rPr>
        <w:t>日    期：  年  月  日</w:t>
      </w:r>
    </w:p>
    <w:p>
      <w:pPr>
        <w:pStyle w:val="5"/>
        <w:jc w:val="center"/>
        <w:rPr>
          <w:rFonts w:hint="eastAsia"/>
          <w:b w:val="0"/>
          <w:bCs w:val="0"/>
          <w:szCs w:val="30"/>
        </w:rPr>
      </w:pPr>
      <w:r>
        <w:rPr>
          <w:rFonts w:hint="eastAsia"/>
          <w:b w:val="0"/>
          <w:bCs w:val="0"/>
        </w:rPr>
        <w:t>附件九、资格证明文件</w:t>
      </w:r>
    </w:p>
    <w:p>
      <w:pPr>
        <w:ind w:firstLine="2867" w:firstLineChars="952"/>
        <w:rPr>
          <w:rFonts w:hint="eastAsia" w:ascii="新宋体" w:hAnsi="新宋体" w:eastAsia="新宋体"/>
          <w:b/>
          <w:sz w:val="30"/>
          <w:szCs w:val="30"/>
        </w:rPr>
      </w:pPr>
      <w:r>
        <w:rPr>
          <w:rFonts w:hint="eastAsia" w:ascii="新宋体" w:hAnsi="新宋体" w:eastAsia="新宋体"/>
          <w:b/>
          <w:sz w:val="30"/>
          <w:szCs w:val="30"/>
        </w:rPr>
        <w:t>（一） 法定代表人授权书</w:t>
      </w:r>
    </w:p>
    <w:p>
      <w:pPr>
        <w:rPr>
          <w:rFonts w:hint="eastAsia" w:ascii="新宋体" w:hAnsi="新宋体" w:eastAsia="新宋体"/>
          <w:sz w:val="24"/>
          <w:u w:val="single"/>
        </w:rPr>
      </w:pPr>
    </w:p>
    <w:p>
      <w:pPr>
        <w:spacing w:line="460" w:lineRule="exact"/>
        <w:rPr>
          <w:rFonts w:hint="eastAsia" w:ascii="新宋体" w:hAnsi="新宋体" w:eastAsia="新宋体"/>
          <w:sz w:val="24"/>
          <w:szCs w:val="28"/>
        </w:rPr>
      </w:pPr>
      <w:r>
        <w:rPr>
          <w:rFonts w:hint="eastAsia" w:ascii="新宋体" w:hAnsi="新宋体" w:eastAsia="新宋体"/>
          <w:sz w:val="24"/>
          <w:szCs w:val="28"/>
        </w:rPr>
        <w:t>致:</w:t>
      </w:r>
      <w:r>
        <w:rPr>
          <w:rFonts w:hint="eastAsia"/>
        </w:rPr>
        <w:t xml:space="preserve"> </w:t>
      </w:r>
    </w:p>
    <w:p>
      <w:pPr>
        <w:spacing w:line="480" w:lineRule="exact"/>
        <w:ind w:firstLine="2640" w:firstLineChars="1100"/>
        <w:rPr>
          <w:rFonts w:hint="eastAsia" w:ascii="新宋体" w:hAnsi="新宋体" w:eastAsia="新宋体"/>
          <w:sz w:val="24"/>
          <w:u w:val="single"/>
        </w:rPr>
      </w:pPr>
    </w:p>
    <w:p>
      <w:pPr>
        <w:spacing w:line="360" w:lineRule="auto"/>
        <w:ind w:firstLine="480" w:firstLineChars="200"/>
        <w:rPr>
          <w:rFonts w:hint="eastAsia" w:ascii="新宋体" w:hAnsi="新宋体" w:eastAsia="新宋体"/>
          <w:sz w:val="24"/>
          <w:szCs w:val="28"/>
        </w:rPr>
      </w:pPr>
      <w:r>
        <w:rPr>
          <w:rFonts w:hint="eastAsia" w:ascii="新宋体" w:hAnsi="新宋体" w:eastAsia="新宋体"/>
          <w:sz w:val="24"/>
          <w:szCs w:val="28"/>
        </w:rPr>
        <w:t>本授权书声明：注册于中华人民共和国的</w:t>
      </w:r>
      <w:r>
        <w:rPr>
          <w:rFonts w:hint="eastAsia" w:ascii="新宋体" w:hAnsi="新宋体" w:eastAsia="新宋体"/>
          <w:sz w:val="24"/>
          <w:szCs w:val="28"/>
          <w:u w:val="single"/>
        </w:rPr>
        <w:t>　　　　　    　</w:t>
      </w:r>
      <w:r>
        <w:rPr>
          <w:rFonts w:hint="eastAsia" w:ascii="新宋体" w:hAnsi="新宋体" w:eastAsia="新宋体"/>
          <w:sz w:val="24"/>
          <w:szCs w:val="28"/>
        </w:rPr>
        <w:t>（投标人名称）法定代表人</w:t>
      </w:r>
      <w:r>
        <w:rPr>
          <w:rFonts w:hint="eastAsia" w:ascii="新宋体" w:hAnsi="新宋体" w:eastAsia="新宋体"/>
          <w:sz w:val="24"/>
          <w:szCs w:val="28"/>
          <w:u w:val="single"/>
        </w:rPr>
        <w:t>　　　　　　（姓名、职务）</w:t>
      </w:r>
      <w:r>
        <w:rPr>
          <w:rFonts w:hint="eastAsia" w:ascii="新宋体" w:hAnsi="新宋体" w:eastAsia="新宋体"/>
          <w:sz w:val="24"/>
          <w:szCs w:val="28"/>
        </w:rPr>
        <w:t>代表本公司授权</w:t>
      </w:r>
      <w:r>
        <w:rPr>
          <w:rFonts w:hint="eastAsia" w:ascii="新宋体" w:hAnsi="新宋体" w:eastAsia="新宋体"/>
          <w:sz w:val="24"/>
          <w:szCs w:val="28"/>
          <w:u w:val="single"/>
        </w:rPr>
        <w:t>　　      　　　　</w:t>
      </w:r>
      <w:r>
        <w:rPr>
          <w:rFonts w:hint="eastAsia" w:ascii="新宋体" w:hAnsi="新宋体" w:eastAsia="新宋体"/>
          <w:sz w:val="24"/>
          <w:szCs w:val="28"/>
        </w:rPr>
        <w:t>（被授权人的姓名、职务）为本公司的合法代表人，就</w:t>
      </w:r>
      <w:r>
        <w:rPr>
          <w:rFonts w:hint="eastAsia" w:ascii="新宋体" w:hAnsi="新宋体" w:eastAsia="新宋体"/>
          <w:sz w:val="24"/>
          <w:szCs w:val="28"/>
          <w:u w:val="single"/>
        </w:rPr>
        <w:t xml:space="preserve">     </w:t>
      </w:r>
      <w:r>
        <w:rPr>
          <w:rFonts w:hint="eastAsia" w:ascii="新宋体" w:hAnsi="新宋体" w:eastAsia="新宋体"/>
          <w:sz w:val="24"/>
          <w:szCs w:val="28"/>
        </w:rPr>
        <w:t>（项目编号：</w:t>
      </w:r>
      <w:r>
        <w:rPr>
          <w:rFonts w:hint="eastAsia" w:ascii="新宋体" w:hAnsi="新宋体" w:eastAsia="新宋体"/>
          <w:sz w:val="24"/>
          <w:szCs w:val="28"/>
          <w:u w:val="single"/>
        </w:rPr>
        <w:t xml:space="preserve">      </w:t>
      </w:r>
      <w:r>
        <w:rPr>
          <w:rFonts w:hint="eastAsia" w:ascii="新宋体" w:hAnsi="新宋体" w:eastAsia="新宋体"/>
          <w:sz w:val="24"/>
          <w:szCs w:val="28"/>
        </w:rPr>
        <w:t>），以我方的名义处理一切与之有关的事宜。</w:t>
      </w:r>
    </w:p>
    <w:p>
      <w:pPr>
        <w:spacing w:line="360" w:lineRule="auto"/>
        <w:ind w:firstLine="480" w:firstLineChars="200"/>
        <w:rPr>
          <w:rFonts w:hint="eastAsia" w:ascii="宋体" w:hAnsi="宋体"/>
          <w:sz w:val="24"/>
          <w:szCs w:val="28"/>
        </w:rPr>
      </w:pPr>
    </w:p>
    <w:p>
      <w:pPr>
        <w:spacing w:line="480" w:lineRule="exact"/>
        <w:ind w:firstLine="480" w:firstLineChars="200"/>
        <w:rPr>
          <w:rFonts w:hint="eastAsia" w:ascii="新宋体" w:hAnsi="新宋体" w:eastAsia="新宋体"/>
          <w:sz w:val="24"/>
        </w:rPr>
      </w:pPr>
      <w:r>
        <w:rPr>
          <w:rFonts w:hint="eastAsia" w:ascii="宋体" w:hAnsi="宋体"/>
          <w:sz w:val="24"/>
          <w:szCs w:val="28"/>
        </w:rPr>
        <w:t>本授权书于</w:t>
      </w:r>
      <w:r>
        <w:rPr>
          <w:rFonts w:hint="eastAsia" w:ascii="宋体" w:hAnsi="宋体"/>
          <w:sz w:val="24"/>
          <w:szCs w:val="28"/>
          <w:u w:val="single"/>
        </w:rPr>
        <w:t>　　　　</w:t>
      </w:r>
      <w:r>
        <w:rPr>
          <w:rFonts w:hint="eastAsia" w:ascii="宋体" w:hAnsi="宋体"/>
          <w:sz w:val="24"/>
          <w:szCs w:val="28"/>
        </w:rPr>
        <w:t>年</w:t>
      </w:r>
      <w:r>
        <w:rPr>
          <w:rFonts w:hint="eastAsia" w:ascii="宋体" w:hAnsi="宋体"/>
          <w:sz w:val="24"/>
          <w:szCs w:val="28"/>
          <w:u w:val="single"/>
        </w:rPr>
        <w:t>　　</w:t>
      </w:r>
      <w:r>
        <w:rPr>
          <w:rFonts w:hint="eastAsia" w:ascii="宋体" w:hAnsi="宋体"/>
          <w:sz w:val="24"/>
          <w:szCs w:val="28"/>
        </w:rPr>
        <w:t>月</w:t>
      </w:r>
      <w:r>
        <w:rPr>
          <w:rFonts w:hint="eastAsia" w:ascii="宋体" w:hAnsi="宋体"/>
          <w:sz w:val="24"/>
          <w:szCs w:val="28"/>
          <w:u w:val="single"/>
        </w:rPr>
        <w:t>　　</w:t>
      </w:r>
      <w:r>
        <w:rPr>
          <w:rFonts w:hint="eastAsia" w:ascii="宋体" w:hAnsi="宋体"/>
          <w:sz w:val="24"/>
          <w:szCs w:val="28"/>
        </w:rPr>
        <w:t>日签字生效，有效期至</w:t>
      </w:r>
      <w:r>
        <w:rPr>
          <w:rFonts w:hint="eastAsia" w:ascii="宋体" w:hAnsi="宋体"/>
          <w:sz w:val="24"/>
          <w:szCs w:val="28"/>
          <w:u w:val="single"/>
        </w:rPr>
        <w:t>　　　　</w:t>
      </w:r>
      <w:r>
        <w:rPr>
          <w:rFonts w:hint="eastAsia" w:ascii="宋体" w:hAnsi="宋体"/>
          <w:sz w:val="24"/>
          <w:szCs w:val="28"/>
        </w:rPr>
        <w:t>年</w:t>
      </w:r>
      <w:r>
        <w:rPr>
          <w:rFonts w:hint="eastAsia" w:ascii="宋体" w:hAnsi="宋体"/>
          <w:sz w:val="24"/>
          <w:szCs w:val="28"/>
          <w:u w:val="single"/>
        </w:rPr>
        <w:t>　　</w:t>
      </w:r>
      <w:r>
        <w:rPr>
          <w:rFonts w:hint="eastAsia" w:ascii="宋体" w:hAnsi="宋体"/>
          <w:sz w:val="24"/>
          <w:szCs w:val="28"/>
        </w:rPr>
        <w:t>月</w:t>
      </w:r>
      <w:r>
        <w:rPr>
          <w:rFonts w:hint="eastAsia" w:ascii="宋体" w:hAnsi="宋体"/>
          <w:sz w:val="24"/>
          <w:szCs w:val="28"/>
          <w:u w:val="single"/>
        </w:rPr>
        <w:t>　　</w:t>
      </w:r>
      <w:r>
        <w:rPr>
          <w:rFonts w:hint="eastAsia" w:ascii="宋体" w:hAnsi="宋体"/>
          <w:sz w:val="24"/>
          <w:szCs w:val="28"/>
        </w:rPr>
        <w:t>日，特此声明。</w:t>
      </w:r>
    </w:p>
    <w:p>
      <w:pPr>
        <w:spacing w:line="480" w:lineRule="exact"/>
        <w:ind w:firstLine="4212" w:firstLineChars="1755"/>
        <w:rPr>
          <w:rFonts w:hint="eastAsia" w:ascii="新宋体" w:hAnsi="新宋体" w:eastAsia="新宋体"/>
          <w:sz w:val="24"/>
          <w:u w:val="single"/>
        </w:rPr>
      </w:pPr>
      <w:r>
        <w:rPr>
          <w:rFonts w:hint="eastAsia" w:ascii="新宋体" w:hAnsi="新宋体" w:eastAsia="新宋体"/>
          <w:sz w:val="24"/>
        </w:rPr>
        <w:t>投标人全称（公章）：</w:t>
      </w:r>
      <w:r>
        <w:rPr>
          <w:rFonts w:hint="eastAsia" w:ascii="新宋体" w:hAnsi="新宋体" w:eastAsia="新宋体"/>
          <w:sz w:val="24"/>
          <w:u w:val="single"/>
        </w:rPr>
        <w:t xml:space="preserve">               </w:t>
      </w:r>
    </w:p>
    <w:p>
      <w:pPr>
        <w:spacing w:line="480" w:lineRule="exact"/>
        <w:ind w:firstLine="4212" w:firstLineChars="1755"/>
        <w:rPr>
          <w:rFonts w:hint="eastAsia" w:ascii="新宋体" w:hAnsi="新宋体" w:eastAsia="新宋体"/>
          <w:sz w:val="24"/>
          <w:u w:val="single"/>
        </w:rPr>
      </w:pPr>
      <w:r>
        <w:rPr>
          <w:rFonts w:hint="eastAsia" w:ascii="新宋体" w:hAnsi="新宋体" w:eastAsia="新宋体"/>
          <w:sz w:val="24"/>
        </w:rPr>
        <w:t>法定代表人 (签字或盖章)：</w:t>
      </w:r>
      <w:r>
        <w:rPr>
          <w:rFonts w:hint="eastAsia" w:ascii="新宋体" w:hAnsi="新宋体" w:eastAsia="新宋体"/>
          <w:sz w:val="24"/>
          <w:u w:val="single"/>
        </w:rPr>
        <w:t xml:space="preserve">         </w:t>
      </w:r>
    </w:p>
    <w:p>
      <w:pPr>
        <w:spacing w:line="480" w:lineRule="exact"/>
        <w:ind w:firstLine="2955"/>
        <w:rPr>
          <w:rFonts w:hint="eastAsia" w:ascii="新宋体" w:hAnsi="新宋体" w:eastAsia="新宋体"/>
          <w:sz w:val="24"/>
        </w:rPr>
      </w:pPr>
      <w:r>
        <w:rPr>
          <w:rFonts w:hint="eastAsia" w:ascii="新宋体" w:hAnsi="新宋体" w:eastAsia="新宋体"/>
          <w:sz w:val="24"/>
        </w:rPr>
        <w:t xml:space="preserve">           授 权 日 期：  </w:t>
      </w:r>
      <w:r>
        <w:rPr>
          <w:rFonts w:hint="eastAsia" w:ascii="新宋体" w:hAnsi="新宋体" w:eastAsia="新宋体"/>
          <w:sz w:val="24"/>
          <w:u w:val="single"/>
        </w:rPr>
        <w:t xml:space="preserve">     </w:t>
      </w:r>
      <w:r>
        <w:rPr>
          <w:rFonts w:hint="eastAsia" w:ascii="新宋体" w:hAnsi="新宋体" w:eastAsia="新宋体"/>
          <w:sz w:val="24"/>
        </w:rPr>
        <w:t>年</w:t>
      </w:r>
      <w:r>
        <w:rPr>
          <w:rFonts w:hint="eastAsia" w:ascii="新宋体" w:hAnsi="新宋体" w:eastAsia="新宋体"/>
          <w:sz w:val="24"/>
          <w:u w:val="single"/>
        </w:rPr>
        <w:t xml:space="preserve">    </w:t>
      </w:r>
      <w:r>
        <w:rPr>
          <w:rFonts w:hint="eastAsia" w:ascii="新宋体" w:hAnsi="新宋体" w:eastAsia="新宋体"/>
          <w:sz w:val="24"/>
        </w:rPr>
        <w:t>月</w:t>
      </w:r>
      <w:r>
        <w:rPr>
          <w:rFonts w:hint="eastAsia" w:ascii="新宋体" w:hAnsi="新宋体" w:eastAsia="新宋体"/>
          <w:sz w:val="24"/>
          <w:u w:val="single"/>
        </w:rPr>
        <w:t xml:space="preserve">    </w:t>
      </w:r>
      <w:r>
        <w:rPr>
          <w:rFonts w:hint="eastAsia" w:ascii="新宋体" w:hAnsi="新宋体" w:eastAsia="新宋体"/>
          <w:sz w:val="24"/>
        </w:rPr>
        <w:t>日</w:t>
      </w:r>
    </w:p>
    <w:p>
      <w:pPr>
        <w:spacing w:line="480" w:lineRule="exact"/>
        <w:rPr>
          <w:rFonts w:hint="eastAsia" w:ascii="新宋体" w:hAnsi="新宋体" w:eastAsia="新宋体"/>
          <w:sz w:val="24"/>
        </w:rPr>
      </w:pPr>
    </w:p>
    <w:p>
      <w:pPr>
        <w:spacing w:line="480" w:lineRule="exact"/>
        <w:rPr>
          <w:rFonts w:hint="eastAsia" w:ascii="新宋体" w:hAnsi="新宋体" w:eastAsia="新宋体"/>
          <w:sz w:val="24"/>
        </w:rPr>
      </w:pPr>
    </w:p>
    <w:p>
      <w:pPr>
        <w:spacing w:line="480" w:lineRule="exact"/>
        <w:ind w:firstLine="540" w:firstLineChars="225"/>
        <w:rPr>
          <w:rFonts w:hint="eastAsia" w:ascii="新宋体" w:hAnsi="新宋体" w:eastAsia="新宋体"/>
          <w:sz w:val="24"/>
          <w:u w:val="single"/>
        </w:rPr>
      </w:pPr>
      <w:r>
        <w:rPr>
          <w:rFonts w:hint="eastAsia" w:ascii="新宋体" w:hAnsi="新宋体" w:eastAsia="新宋体"/>
          <w:sz w:val="24"/>
        </w:rPr>
        <w:t>授权代表（签字或盖章）：</w:t>
      </w:r>
      <w:r>
        <w:rPr>
          <w:rFonts w:hint="eastAsia" w:ascii="新宋体" w:hAnsi="新宋体" w:eastAsia="新宋体"/>
          <w:sz w:val="24"/>
          <w:u w:val="single"/>
        </w:rPr>
        <w:t xml:space="preserve">                </w:t>
      </w:r>
    </w:p>
    <w:p>
      <w:pPr>
        <w:spacing w:line="480" w:lineRule="exact"/>
        <w:ind w:firstLine="540" w:firstLineChars="225"/>
        <w:rPr>
          <w:rFonts w:hint="eastAsia" w:ascii="新宋体" w:hAnsi="新宋体" w:eastAsia="新宋体"/>
          <w:sz w:val="24"/>
        </w:rPr>
      </w:pPr>
      <w:r>
        <w:rPr>
          <w:rFonts w:hint="eastAsia" w:ascii="新宋体" w:hAnsi="新宋体" w:eastAsia="新宋体"/>
          <w:sz w:val="24"/>
        </w:rPr>
        <w:t>身份证号码：</w:t>
      </w:r>
      <w:r>
        <w:rPr>
          <w:rFonts w:hint="eastAsia" w:ascii="新宋体" w:hAnsi="新宋体" w:eastAsia="新宋体"/>
          <w:sz w:val="24"/>
          <w:u w:val="single"/>
        </w:rPr>
        <w:t xml:space="preserve">                     </w:t>
      </w:r>
    </w:p>
    <w:p>
      <w:pPr>
        <w:spacing w:line="480" w:lineRule="exact"/>
        <w:ind w:firstLine="540" w:firstLineChars="225"/>
        <w:rPr>
          <w:rFonts w:hint="eastAsia" w:ascii="新宋体" w:hAnsi="新宋体" w:eastAsia="新宋体"/>
          <w:sz w:val="24"/>
          <w:u w:val="single"/>
        </w:rPr>
      </w:pPr>
      <w:r>
        <w:rPr>
          <w:rFonts w:hint="eastAsia" w:ascii="新宋体" w:hAnsi="新宋体" w:eastAsia="新宋体"/>
          <w:sz w:val="24"/>
        </w:rPr>
        <w:t>职务：</w:t>
      </w:r>
      <w:r>
        <w:rPr>
          <w:rFonts w:hint="eastAsia" w:ascii="新宋体" w:hAnsi="新宋体" w:eastAsia="新宋体"/>
          <w:sz w:val="24"/>
          <w:u w:val="single"/>
        </w:rPr>
        <w:t xml:space="preserve">                           </w:t>
      </w:r>
    </w:p>
    <w:p>
      <w:pPr>
        <w:spacing w:line="480" w:lineRule="exact"/>
        <w:ind w:firstLine="540" w:firstLineChars="225"/>
        <w:rPr>
          <w:rFonts w:hint="eastAsia" w:ascii="新宋体" w:hAnsi="新宋体" w:eastAsia="新宋体"/>
          <w:sz w:val="24"/>
          <w:u w:val="single"/>
        </w:rPr>
      </w:pPr>
      <w:r>
        <w:rPr>
          <w:rFonts w:hint="eastAsia" w:ascii="新宋体" w:hAnsi="新宋体" w:eastAsia="新宋体"/>
          <w:sz w:val="24"/>
        </w:rPr>
        <w:t>详细通讯地址：</w:t>
      </w:r>
      <w:r>
        <w:rPr>
          <w:rFonts w:hint="eastAsia" w:ascii="新宋体" w:hAnsi="新宋体" w:eastAsia="新宋体"/>
          <w:sz w:val="24"/>
          <w:u w:val="single"/>
        </w:rPr>
        <w:t xml:space="preserve">                   </w:t>
      </w:r>
    </w:p>
    <w:p>
      <w:pPr>
        <w:spacing w:line="480" w:lineRule="exact"/>
        <w:ind w:firstLine="540" w:firstLineChars="225"/>
        <w:rPr>
          <w:rFonts w:hint="eastAsia" w:ascii="新宋体" w:hAnsi="新宋体" w:eastAsia="新宋体"/>
          <w:sz w:val="24"/>
          <w:u w:val="single"/>
        </w:rPr>
      </w:pPr>
      <w:r>
        <w:rPr>
          <w:rFonts w:hint="eastAsia" w:ascii="新宋体" w:hAnsi="新宋体" w:eastAsia="新宋体"/>
          <w:sz w:val="24"/>
        </w:rPr>
        <w:t>电话：</w:t>
      </w:r>
      <w:r>
        <w:rPr>
          <w:rFonts w:hint="eastAsia" w:ascii="新宋体" w:hAnsi="新宋体" w:eastAsia="新宋体"/>
          <w:sz w:val="24"/>
          <w:u w:val="single"/>
        </w:rPr>
        <w:t xml:space="preserve">                           </w:t>
      </w:r>
    </w:p>
    <w:p>
      <w:pPr>
        <w:spacing w:line="480" w:lineRule="exact"/>
        <w:ind w:firstLine="540" w:firstLineChars="225"/>
        <w:rPr>
          <w:rFonts w:hint="eastAsia" w:ascii="新宋体" w:hAnsi="新宋体" w:eastAsia="新宋体"/>
          <w:sz w:val="24"/>
          <w:u w:val="single"/>
        </w:rPr>
      </w:pPr>
      <w:r>
        <w:rPr>
          <w:rFonts w:hint="eastAsia" w:ascii="新宋体" w:hAnsi="新宋体" w:eastAsia="新宋体"/>
          <w:sz w:val="24"/>
        </w:rPr>
        <w:t>传真：</w:t>
      </w:r>
      <w:r>
        <w:rPr>
          <w:rFonts w:hint="eastAsia" w:ascii="新宋体" w:hAnsi="新宋体" w:eastAsia="新宋体"/>
          <w:sz w:val="24"/>
          <w:u w:val="single"/>
        </w:rPr>
        <w:t xml:space="preserve">                           </w:t>
      </w:r>
    </w:p>
    <w:p>
      <w:pPr>
        <w:spacing w:line="400" w:lineRule="exact"/>
        <w:ind w:firstLine="540" w:firstLineChars="225"/>
        <w:rPr>
          <w:rFonts w:hint="eastAsia" w:ascii="新宋体" w:hAnsi="新宋体" w:eastAsia="新宋体"/>
          <w:sz w:val="24"/>
          <w:u w:val="single"/>
        </w:rPr>
      </w:pPr>
      <w:r>
        <w:rPr>
          <w:rFonts w:hint="eastAsia" w:ascii="新宋体" w:hAnsi="新宋体" w:eastAsia="新宋体"/>
          <w:sz w:val="24"/>
        </w:rPr>
        <w:t>邮政编码:</w:t>
      </w:r>
      <w:r>
        <w:rPr>
          <w:rFonts w:hint="eastAsia" w:ascii="新宋体" w:hAnsi="新宋体" w:eastAsia="新宋体"/>
          <w:sz w:val="24"/>
          <w:u w:val="single"/>
        </w:rPr>
        <w:t xml:space="preserve">                        </w:t>
      </w:r>
    </w:p>
    <w:p>
      <w:pPr>
        <w:spacing w:line="400" w:lineRule="exact"/>
        <w:ind w:firstLine="220" w:firstLineChars="100"/>
        <w:rPr>
          <w:rFonts w:hint="eastAsia" w:ascii="新宋体" w:hAnsi="新宋体" w:eastAsia="新宋体"/>
          <w:sz w:val="22"/>
          <w:szCs w:val="22"/>
        </w:rPr>
      </w:pPr>
    </w:p>
    <w:p>
      <w:pPr>
        <w:spacing w:line="600" w:lineRule="exact"/>
        <w:rPr>
          <w:rFonts w:hint="eastAsia" w:ascii="新宋体" w:hAnsi="新宋体" w:eastAsia="新宋体"/>
          <w:b/>
          <w:bCs/>
          <w:sz w:val="32"/>
          <w:szCs w:val="32"/>
        </w:rPr>
      </w:pPr>
    </w:p>
    <w:p>
      <w:pPr>
        <w:spacing w:line="600" w:lineRule="exact"/>
        <w:jc w:val="center"/>
        <w:rPr>
          <w:rFonts w:hint="eastAsia" w:ascii="新宋体" w:hAnsi="新宋体" w:eastAsia="新宋体"/>
          <w:b/>
          <w:bCs/>
          <w:sz w:val="32"/>
          <w:szCs w:val="32"/>
        </w:rPr>
      </w:pPr>
    </w:p>
    <w:p>
      <w:pPr>
        <w:spacing w:line="600" w:lineRule="exact"/>
        <w:jc w:val="center"/>
        <w:rPr>
          <w:rFonts w:hint="eastAsia" w:ascii="新宋体" w:hAnsi="新宋体" w:eastAsia="新宋体"/>
          <w:b/>
          <w:bCs/>
          <w:sz w:val="32"/>
          <w:szCs w:val="32"/>
        </w:rPr>
      </w:pPr>
    </w:p>
    <w:p>
      <w:pPr>
        <w:spacing w:line="600" w:lineRule="exact"/>
        <w:jc w:val="center"/>
        <w:rPr>
          <w:rFonts w:hint="eastAsia" w:ascii="新宋体" w:hAnsi="新宋体" w:eastAsia="新宋体"/>
          <w:b/>
          <w:bCs/>
          <w:sz w:val="32"/>
          <w:szCs w:val="32"/>
        </w:rPr>
      </w:pPr>
      <w:r>
        <w:rPr>
          <w:rFonts w:hint="eastAsia" w:ascii="新宋体" w:hAnsi="新宋体" w:eastAsia="新宋体"/>
          <w:b/>
          <w:bCs/>
          <w:sz w:val="32"/>
          <w:szCs w:val="32"/>
        </w:rPr>
        <w:t>（二）投标人资格声明</w:t>
      </w:r>
    </w:p>
    <w:p>
      <w:pPr>
        <w:spacing w:line="400" w:lineRule="exact"/>
        <w:rPr>
          <w:rFonts w:hint="eastAsia" w:ascii="新宋体" w:hAnsi="新宋体" w:eastAsia="新宋体"/>
          <w:b/>
          <w:bCs/>
          <w:sz w:val="22"/>
          <w:szCs w:val="22"/>
        </w:rPr>
      </w:pPr>
      <w:r>
        <w:rPr>
          <w:rFonts w:hint="eastAsia" w:ascii="新宋体" w:hAnsi="新宋体" w:eastAsia="新宋体"/>
          <w:b/>
          <w:bCs/>
          <w:sz w:val="22"/>
          <w:szCs w:val="22"/>
        </w:rPr>
        <w:t>1. 名称及概况：</w:t>
      </w:r>
    </w:p>
    <w:p>
      <w:pPr>
        <w:spacing w:line="400" w:lineRule="exact"/>
        <w:rPr>
          <w:rFonts w:hint="eastAsia" w:ascii="新宋体" w:hAnsi="新宋体" w:eastAsia="新宋体"/>
          <w:sz w:val="22"/>
          <w:szCs w:val="22"/>
        </w:rPr>
      </w:pPr>
      <w:r>
        <w:rPr>
          <w:rFonts w:hint="eastAsia" w:ascii="新宋体" w:hAnsi="新宋体" w:eastAsia="新宋体"/>
          <w:sz w:val="22"/>
          <w:szCs w:val="22"/>
        </w:rPr>
        <w:t>（1）投标人名称：</w:t>
      </w:r>
      <w:r>
        <w:rPr>
          <w:rFonts w:hint="eastAsia" w:ascii="新宋体" w:hAnsi="新宋体" w:eastAsia="新宋体"/>
          <w:sz w:val="22"/>
          <w:szCs w:val="22"/>
          <w:u w:val="single"/>
        </w:rPr>
        <w:t xml:space="preserve">                            ，</w:t>
      </w:r>
    </w:p>
    <w:p>
      <w:pPr>
        <w:spacing w:line="400" w:lineRule="exact"/>
        <w:rPr>
          <w:rFonts w:hint="eastAsia" w:ascii="新宋体" w:hAnsi="新宋体" w:eastAsia="新宋体"/>
          <w:sz w:val="22"/>
          <w:szCs w:val="22"/>
        </w:rPr>
      </w:pPr>
      <w:r>
        <w:rPr>
          <w:rFonts w:hint="eastAsia" w:ascii="新宋体" w:hAnsi="新宋体" w:eastAsia="新宋体"/>
          <w:sz w:val="22"/>
          <w:szCs w:val="22"/>
        </w:rPr>
        <w:t>（2）总部地址：</w:t>
      </w:r>
      <w:r>
        <w:rPr>
          <w:rFonts w:hint="eastAsia" w:ascii="新宋体" w:hAnsi="新宋体" w:eastAsia="新宋体"/>
          <w:sz w:val="22"/>
          <w:szCs w:val="22"/>
          <w:u w:val="single"/>
        </w:rPr>
        <w:t xml:space="preserve">                              ，</w:t>
      </w:r>
    </w:p>
    <w:p>
      <w:pPr>
        <w:spacing w:line="400" w:lineRule="exact"/>
        <w:ind w:firstLine="600"/>
        <w:rPr>
          <w:rFonts w:hint="eastAsia" w:ascii="新宋体" w:hAnsi="新宋体" w:eastAsia="新宋体"/>
          <w:sz w:val="22"/>
          <w:szCs w:val="22"/>
        </w:rPr>
      </w:pPr>
      <w:r>
        <w:rPr>
          <w:rFonts w:hint="eastAsia" w:ascii="新宋体" w:hAnsi="新宋体" w:eastAsia="新宋体"/>
          <w:sz w:val="22"/>
          <w:szCs w:val="22"/>
        </w:rPr>
        <w:t>传真/电话号码：</w:t>
      </w:r>
      <w:r>
        <w:rPr>
          <w:rFonts w:hint="eastAsia" w:ascii="新宋体" w:hAnsi="新宋体" w:eastAsia="新宋体"/>
          <w:sz w:val="22"/>
          <w:szCs w:val="22"/>
          <w:u w:val="single"/>
        </w:rPr>
        <w:t xml:space="preserve">                         ，</w:t>
      </w:r>
    </w:p>
    <w:p>
      <w:pPr>
        <w:spacing w:line="400" w:lineRule="exact"/>
        <w:rPr>
          <w:rFonts w:hint="eastAsia" w:ascii="新宋体" w:hAnsi="新宋体" w:eastAsia="新宋体"/>
          <w:sz w:val="22"/>
          <w:szCs w:val="22"/>
        </w:rPr>
      </w:pPr>
      <w:r>
        <w:rPr>
          <w:rFonts w:hint="eastAsia" w:ascii="新宋体" w:hAnsi="新宋体" w:eastAsia="新宋体"/>
          <w:sz w:val="22"/>
          <w:szCs w:val="22"/>
        </w:rPr>
        <w:t>（3）成立或注册日期：</w:t>
      </w:r>
      <w:r>
        <w:rPr>
          <w:rFonts w:hint="eastAsia" w:ascii="新宋体" w:hAnsi="新宋体" w:eastAsia="新宋体"/>
          <w:sz w:val="22"/>
          <w:szCs w:val="22"/>
          <w:u w:val="single"/>
        </w:rPr>
        <w:t xml:space="preserve">                        ，</w:t>
      </w:r>
    </w:p>
    <w:p>
      <w:pPr>
        <w:spacing w:line="400" w:lineRule="exact"/>
        <w:rPr>
          <w:rFonts w:hint="eastAsia" w:ascii="新宋体" w:hAnsi="新宋体" w:eastAsia="新宋体"/>
          <w:sz w:val="22"/>
          <w:szCs w:val="22"/>
        </w:rPr>
      </w:pPr>
      <w:r>
        <w:rPr>
          <w:rFonts w:hint="eastAsia" w:ascii="新宋体" w:hAnsi="新宋体" w:eastAsia="新宋体"/>
          <w:sz w:val="22"/>
          <w:szCs w:val="22"/>
        </w:rPr>
        <w:t>（4）实收资本：</w:t>
      </w:r>
      <w:r>
        <w:rPr>
          <w:rFonts w:hint="eastAsia" w:ascii="新宋体" w:hAnsi="新宋体" w:eastAsia="新宋体"/>
          <w:sz w:val="22"/>
          <w:szCs w:val="22"/>
          <w:u w:val="single"/>
        </w:rPr>
        <w:t xml:space="preserve">                              ，</w:t>
      </w:r>
    </w:p>
    <w:p>
      <w:pPr>
        <w:spacing w:line="400" w:lineRule="exact"/>
        <w:rPr>
          <w:rFonts w:hint="eastAsia" w:ascii="新宋体" w:hAnsi="新宋体" w:eastAsia="新宋体"/>
          <w:sz w:val="22"/>
          <w:szCs w:val="22"/>
        </w:rPr>
      </w:pPr>
      <w:r>
        <w:rPr>
          <w:rFonts w:hint="eastAsia" w:ascii="新宋体" w:hAnsi="新宋体" w:eastAsia="新宋体"/>
          <w:sz w:val="22"/>
          <w:szCs w:val="22"/>
        </w:rPr>
        <w:t>（5）近期资产负债表（到</w:t>
      </w:r>
      <w:r>
        <w:rPr>
          <w:rFonts w:hint="eastAsia" w:ascii="新宋体" w:hAnsi="新宋体" w:eastAsia="新宋体"/>
          <w:sz w:val="22"/>
          <w:szCs w:val="22"/>
          <w:u w:val="single"/>
        </w:rPr>
        <w:t xml:space="preserve">        </w:t>
      </w:r>
      <w:r>
        <w:rPr>
          <w:rFonts w:hint="eastAsia" w:ascii="新宋体" w:hAnsi="新宋体" w:eastAsia="新宋体"/>
          <w:sz w:val="22"/>
          <w:szCs w:val="22"/>
        </w:rPr>
        <w:t>年</w:t>
      </w:r>
      <w:r>
        <w:rPr>
          <w:rFonts w:hint="eastAsia" w:ascii="新宋体" w:hAnsi="新宋体" w:eastAsia="新宋体"/>
          <w:sz w:val="22"/>
          <w:szCs w:val="22"/>
          <w:u w:val="single"/>
        </w:rPr>
        <w:t xml:space="preserve">    </w:t>
      </w:r>
      <w:r>
        <w:rPr>
          <w:rFonts w:hint="eastAsia" w:ascii="新宋体" w:hAnsi="新宋体" w:eastAsia="新宋体"/>
          <w:sz w:val="22"/>
          <w:szCs w:val="22"/>
        </w:rPr>
        <w:t>月</w:t>
      </w:r>
      <w:r>
        <w:rPr>
          <w:rFonts w:hint="eastAsia" w:ascii="新宋体" w:hAnsi="新宋体" w:eastAsia="新宋体"/>
          <w:sz w:val="22"/>
          <w:szCs w:val="22"/>
          <w:u w:val="single"/>
        </w:rPr>
        <w:t xml:space="preserve">    </w:t>
      </w:r>
      <w:r>
        <w:rPr>
          <w:rFonts w:hint="eastAsia" w:ascii="新宋体" w:hAnsi="新宋体" w:eastAsia="新宋体"/>
          <w:sz w:val="22"/>
          <w:szCs w:val="22"/>
        </w:rPr>
        <w:t>日止）</w:t>
      </w:r>
    </w:p>
    <w:p>
      <w:pPr>
        <w:spacing w:line="400" w:lineRule="exact"/>
        <w:rPr>
          <w:rFonts w:hint="eastAsia" w:ascii="新宋体" w:hAnsi="新宋体" w:eastAsia="新宋体"/>
          <w:sz w:val="22"/>
          <w:szCs w:val="22"/>
        </w:rPr>
      </w:pPr>
      <w:r>
        <w:rPr>
          <w:rFonts w:hint="eastAsia" w:ascii="新宋体" w:hAnsi="新宋体" w:eastAsia="新宋体"/>
          <w:sz w:val="22"/>
          <w:szCs w:val="22"/>
        </w:rPr>
        <w:t xml:space="preserve">  1）固定资产：</w:t>
      </w:r>
      <w:r>
        <w:rPr>
          <w:rFonts w:hint="eastAsia" w:ascii="新宋体" w:hAnsi="新宋体" w:eastAsia="新宋体"/>
          <w:sz w:val="22"/>
          <w:szCs w:val="22"/>
          <w:u w:val="single"/>
        </w:rPr>
        <w:t xml:space="preserve">                        ，</w:t>
      </w:r>
    </w:p>
    <w:p>
      <w:pPr>
        <w:spacing w:line="400" w:lineRule="exact"/>
        <w:rPr>
          <w:rFonts w:hint="eastAsia" w:ascii="新宋体" w:hAnsi="新宋体" w:eastAsia="新宋体"/>
          <w:sz w:val="22"/>
          <w:szCs w:val="22"/>
        </w:rPr>
      </w:pPr>
      <w:r>
        <w:rPr>
          <w:rFonts w:hint="eastAsia" w:ascii="新宋体" w:hAnsi="新宋体" w:eastAsia="新宋体"/>
          <w:sz w:val="22"/>
          <w:szCs w:val="22"/>
        </w:rPr>
        <w:t xml:space="preserve">  2）流动资产：</w:t>
      </w:r>
      <w:r>
        <w:rPr>
          <w:rFonts w:hint="eastAsia" w:ascii="新宋体" w:hAnsi="新宋体" w:eastAsia="新宋体"/>
          <w:sz w:val="22"/>
          <w:szCs w:val="22"/>
          <w:u w:val="single"/>
        </w:rPr>
        <w:t xml:space="preserve">                        ，</w:t>
      </w:r>
    </w:p>
    <w:p>
      <w:pPr>
        <w:spacing w:line="400" w:lineRule="exact"/>
        <w:rPr>
          <w:rFonts w:hint="eastAsia" w:ascii="新宋体" w:hAnsi="新宋体" w:eastAsia="新宋体"/>
          <w:sz w:val="22"/>
          <w:szCs w:val="22"/>
        </w:rPr>
      </w:pPr>
      <w:r>
        <w:rPr>
          <w:rFonts w:hint="eastAsia" w:ascii="新宋体" w:hAnsi="新宋体" w:eastAsia="新宋体"/>
          <w:sz w:val="22"/>
          <w:szCs w:val="22"/>
        </w:rPr>
        <w:t xml:space="preserve">  3）长期负债：</w:t>
      </w:r>
      <w:r>
        <w:rPr>
          <w:rFonts w:hint="eastAsia" w:ascii="新宋体" w:hAnsi="新宋体" w:eastAsia="新宋体"/>
          <w:sz w:val="22"/>
          <w:szCs w:val="22"/>
          <w:u w:val="single"/>
        </w:rPr>
        <w:t xml:space="preserve">                        ，</w:t>
      </w:r>
    </w:p>
    <w:p>
      <w:pPr>
        <w:spacing w:line="400" w:lineRule="exact"/>
        <w:rPr>
          <w:rFonts w:hint="eastAsia" w:ascii="新宋体" w:hAnsi="新宋体" w:eastAsia="新宋体"/>
          <w:sz w:val="22"/>
          <w:szCs w:val="22"/>
        </w:rPr>
      </w:pPr>
      <w:r>
        <w:rPr>
          <w:rFonts w:hint="eastAsia" w:ascii="新宋体" w:hAnsi="新宋体" w:eastAsia="新宋体"/>
          <w:sz w:val="22"/>
          <w:szCs w:val="22"/>
        </w:rPr>
        <w:t xml:space="preserve">  4）流动负债：</w:t>
      </w:r>
      <w:r>
        <w:rPr>
          <w:rFonts w:hint="eastAsia" w:ascii="新宋体" w:hAnsi="新宋体" w:eastAsia="新宋体"/>
          <w:sz w:val="22"/>
          <w:szCs w:val="22"/>
          <w:u w:val="single"/>
        </w:rPr>
        <w:t xml:space="preserve">                        ，</w:t>
      </w:r>
    </w:p>
    <w:p>
      <w:pPr>
        <w:spacing w:line="400" w:lineRule="exact"/>
        <w:rPr>
          <w:rFonts w:hint="eastAsia" w:ascii="新宋体" w:hAnsi="新宋体" w:eastAsia="新宋体"/>
          <w:sz w:val="22"/>
          <w:szCs w:val="22"/>
        </w:rPr>
      </w:pPr>
      <w:r>
        <w:rPr>
          <w:rFonts w:hint="eastAsia" w:ascii="新宋体" w:hAnsi="新宋体" w:eastAsia="新宋体"/>
          <w:sz w:val="22"/>
          <w:szCs w:val="22"/>
        </w:rPr>
        <w:t xml:space="preserve">  5）净值：</w:t>
      </w:r>
      <w:r>
        <w:rPr>
          <w:rFonts w:hint="eastAsia" w:ascii="新宋体" w:hAnsi="新宋体" w:eastAsia="新宋体"/>
          <w:sz w:val="22"/>
          <w:szCs w:val="22"/>
          <w:u w:val="single"/>
        </w:rPr>
        <w:t xml:space="preserve">                            ，</w:t>
      </w:r>
    </w:p>
    <w:p>
      <w:pPr>
        <w:spacing w:line="400" w:lineRule="exact"/>
        <w:ind w:firstLine="220" w:firstLineChars="100"/>
        <w:rPr>
          <w:rFonts w:hint="eastAsia" w:ascii="新宋体" w:hAnsi="新宋体" w:eastAsia="新宋体"/>
          <w:sz w:val="22"/>
          <w:szCs w:val="22"/>
          <w:u w:val="single"/>
        </w:rPr>
      </w:pPr>
      <w:r>
        <w:rPr>
          <w:rFonts w:hint="eastAsia" w:ascii="新宋体" w:hAnsi="新宋体" w:eastAsia="新宋体"/>
          <w:sz w:val="22"/>
          <w:szCs w:val="22"/>
        </w:rPr>
        <w:t>6）主要负责人姓名：</w:t>
      </w:r>
      <w:r>
        <w:rPr>
          <w:rFonts w:hint="eastAsia" w:ascii="新宋体" w:hAnsi="新宋体" w:eastAsia="新宋体"/>
          <w:sz w:val="22"/>
          <w:szCs w:val="22"/>
          <w:u w:val="single"/>
        </w:rPr>
        <w:t xml:space="preserve">                   ，</w:t>
      </w:r>
    </w:p>
    <w:p>
      <w:pPr>
        <w:spacing w:line="400" w:lineRule="exact"/>
        <w:rPr>
          <w:rFonts w:hint="eastAsia" w:ascii="新宋体" w:hAnsi="新宋体" w:eastAsia="新宋体"/>
          <w:b/>
          <w:bCs/>
          <w:sz w:val="22"/>
          <w:szCs w:val="22"/>
        </w:rPr>
      </w:pPr>
      <w:r>
        <w:rPr>
          <w:rFonts w:hint="eastAsia" w:ascii="新宋体" w:hAnsi="新宋体" w:eastAsia="新宋体"/>
          <w:b/>
          <w:bCs/>
          <w:sz w:val="22"/>
          <w:szCs w:val="22"/>
        </w:rPr>
        <w:t>2. 关于提供投标货物的设施及其它情况：</w:t>
      </w:r>
    </w:p>
    <w:p>
      <w:pPr>
        <w:spacing w:line="400" w:lineRule="exact"/>
        <w:rPr>
          <w:rFonts w:hint="eastAsia" w:ascii="新宋体" w:hAnsi="新宋体" w:eastAsia="新宋体"/>
          <w:sz w:val="22"/>
          <w:szCs w:val="22"/>
        </w:rPr>
      </w:pPr>
      <w:r>
        <w:rPr>
          <w:rFonts w:hint="eastAsia" w:ascii="新宋体" w:hAnsi="新宋体" w:eastAsia="新宋体"/>
          <w:sz w:val="22"/>
          <w:szCs w:val="22"/>
        </w:rPr>
        <w:t>工厂名称地址</w:t>
      </w:r>
      <w:r>
        <w:rPr>
          <w:rFonts w:hint="eastAsia" w:ascii="新宋体" w:hAnsi="新宋体" w:eastAsia="新宋体"/>
          <w:sz w:val="22"/>
          <w:szCs w:val="22"/>
          <w:u w:val="single"/>
        </w:rPr>
        <w:t xml:space="preserve">                 </w:t>
      </w:r>
      <w:r>
        <w:rPr>
          <w:rFonts w:hint="eastAsia" w:ascii="新宋体" w:hAnsi="新宋体" w:eastAsia="新宋体"/>
          <w:sz w:val="22"/>
          <w:szCs w:val="22"/>
        </w:rPr>
        <w:t xml:space="preserve"> ,</w:t>
      </w:r>
    </w:p>
    <w:p>
      <w:pPr>
        <w:spacing w:line="400" w:lineRule="exact"/>
        <w:rPr>
          <w:rFonts w:hint="eastAsia" w:ascii="新宋体" w:hAnsi="新宋体" w:eastAsia="新宋体"/>
          <w:sz w:val="22"/>
          <w:szCs w:val="22"/>
        </w:rPr>
      </w:pPr>
      <w:r>
        <w:rPr>
          <w:rFonts w:hint="eastAsia" w:ascii="新宋体" w:hAnsi="新宋体" w:eastAsia="新宋体"/>
          <w:sz w:val="22"/>
          <w:szCs w:val="22"/>
        </w:rPr>
        <w:t>年生产或销售能力（台/年）</w:t>
      </w:r>
      <w:r>
        <w:rPr>
          <w:rFonts w:hint="eastAsia" w:ascii="新宋体" w:hAnsi="新宋体" w:eastAsia="新宋体"/>
          <w:sz w:val="22"/>
          <w:szCs w:val="22"/>
          <w:u w:val="single"/>
        </w:rPr>
        <w:t xml:space="preserve">                 </w:t>
      </w:r>
      <w:r>
        <w:rPr>
          <w:rFonts w:hint="eastAsia" w:ascii="新宋体" w:hAnsi="新宋体" w:eastAsia="新宋体"/>
          <w:sz w:val="22"/>
          <w:szCs w:val="22"/>
        </w:rPr>
        <w:t xml:space="preserve"> ,</w:t>
      </w:r>
    </w:p>
    <w:p>
      <w:pPr>
        <w:spacing w:line="400" w:lineRule="exact"/>
        <w:rPr>
          <w:rFonts w:hint="eastAsia" w:ascii="新宋体" w:hAnsi="新宋体" w:eastAsia="新宋体"/>
          <w:b/>
          <w:sz w:val="22"/>
          <w:szCs w:val="22"/>
        </w:rPr>
      </w:pPr>
      <w:r>
        <w:rPr>
          <w:rFonts w:hint="eastAsia" w:ascii="新宋体" w:hAnsi="新宋体" w:eastAsia="新宋体"/>
          <w:b/>
          <w:sz w:val="22"/>
          <w:szCs w:val="22"/>
        </w:rPr>
        <w:t>3．员工情况</w:t>
      </w:r>
    </w:p>
    <w:p>
      <w:pPr>
        <w:spacing w:line="400" w:lineRule="exact"/>
        <w:rPr>
          <w:rFonts w:hint="eastAsia" w:ascii="新宋体" w:hAnsi="新宋体" w:eastAsia="新宋体"/>
          <w:sz w:val="22"/>
          <w:szCs w:val="22"/>
        </w:rPr>
      </w:pPr>
      <w:r>
        <w:rPr>
          <w:rFonts w:hint="eastAsia" w:ascii="新宋体" w:hAnsi="新宋体" w:eastAsia="新宋体"/>
          <w:sz w:val="22"/>
          <w:szCs w:val="22"/>
        </w:rPr>
        <w:t>职工（在职）人数</w:t>
      </w:r>
      <w:r>
        <w:rPr>
          <w:rFonts w:hint="eastAsia" w:ascii="新宋体" w:hAnsi="新宋体" w:eastAsia="新宋体"/>
          <w:sz w:val="22"/>
          <w:szCs w:val="22"/>
          <w:u w:val="single"/>
        </w:rPr>
        <w:t xml:space="preserve">       </w:t>
      </w:r>
      <w:r>
        <w:rPr>
          <w:rFonts w:hint="eastAsia" w:ascii="新宋体" w:hAnsi="新宋体" w:eastAsia="新宋体"/>
          <w:sz w:val="22"/>
          <w:szCs w:val="22"/>
        </w:rPr>
        <w:t>人，其中持证上岗的安装队伍人数</w:t>
      </w:r>
      <w:r>
        <w:rPr>
          <w:rFonts w:hint="eastAsia" w:ascii="新宋体" w:hAnsi="新宋体" w:eastAsia="新宋体"/>
          <w:sz w:val="22"/>
          <w:szCs w:val="22"/>
          <w:u w:val="single"/>
        </w:rPr>
        <w:t xml:space="preserve">      </w:t>
      </w:r>
      <w:r>
        <w:rPr>
          <w:rFonts w:hint="eastAsia" w:ascii="新宋体" w:hAnsi="新宋体" w:eastAsia="新宋体"/>
          <w:sz w:val="22"/>
          <w:szCs w:val="22"/>
        </w:rPr>
        <w:t>人，</w:t>
      </w:r>
    </w:p>
    <w:p>
      <w:pPr>
        <w:spacing w:line="400" w:lineRule="exact"/>
        <w:rPr>
          <w:rFonts w:hint="eastAsia" w:ascii="新宋体" w:hAnsi="新宋体" w:eastAsia="新宋体"/>
          <w:sz w:val="22"/>
          <w:szCs w:val="22"/>
        </w:rPr>
      </w:pPr>
      <w:r>
        <w:rPr>
          <w:rFonts w:hint="eastAsia" w:ascii="新宋体" w:hAnsi="新宋体" w:eastAsia="新宋体"/>
          <w:sz w:val="22"/>
          <w:szCs w:val="22"/>
        </w:rPr>
        <w:t>专业技术人员</w:t>
      </w:r>
      <w:r>
        <w:rPr>
          <w:rFonts w:hint="eastAsia" w:ascii="新宋体" w:hAnsi="新宋体" w:eastAsia="新宋体"/>
          <w:sz w:val="22"/>
          <w:szCs w:val="22"/>
          <w:u w:val="single"/>
        </w:rPr>
        <w:t xml:space="preserve">           </w:t>
      </w:r>
      <w:r>
        <w:rPr>
          <w:rFonts w:hint="eastAsia" w:ascii="新宋体" w:hAnsi="新宋体" w:eastAsia="新宋体"/>
          <w:sz w:val="22"/>
          <w:szCs w:val="22"/>
        </w:rPr>
        <w:t xml:space="preserve">人。            </w:t>
      </w:r>
    </w:p>
    <w:p>
      <w:pPr>
        <w:spacing w:line="400" w:lineRule="exact"/>
        <w:rPr>
          <w:rFonts w:hint="eastAsia" w:ascii="新宋体" w:hAnsi="新宋体" w:eastAsia="新宋体"/>
          <w:bCs/>
          <w:sz w:val="22"/>
          <w:szCs w:val="22"/>
        </w:rPr>
      </w:pPr>
      <w:r>
        <w:rPr>
          <w:rFonts w:hint="eastAsia" w:ascii="新宋体" w:hAnsi="新宋体" w:eastAsia="新宋体"/>
          <w:b/>
          <w:bCs/>
          <w:sz w:val="22"/>
          <w:szCs w:val="22"/>
        </w:rPr>
        <w:t>3. 近三年的年营业总额</w:t>
      </w:r>
      <w:r>
        <w:rPr>
          <w:rFonts w:hint="eastAsia" w:ascii="新宋体" w:hAnsi="新宋体" w:eastAsia="新宋体"/>
          <w:b/>
          <w:bCs/>
          <w:sz w:val="22"/>
          <w:szCs w:val="22"/>
          <w:u w:val="single"/>
        </w:rPr>
        <w:t xml:space="preserve">                        </w:t>
      </w:r>
      <w:r>
        <w:rPr>
          <w:rFonts w:hint="eastAsia" w:ascii="新宋体" w:hAnsi="新宋体" w:eastAsia="新宋体"/>
          <w:b/>
          <w:bCs/>
          <w:sz w:val="22"/>
          <w:szCs w:val="22"/>
        </w:rPr>
        <w:t>。</w:t>
      </w:r>
    </w:p>
    <w:p>
      <w:pPr>
        <w:spacing w:line="400" w:lineRule="exact"/>
        <w:ind w:left="325" w:hanging="325" w:hangingChars="147"/>
        <w:rPr>
          <w:rFonts w:hint="eastAsia" w:ascii="新宋体" w:hAnsi="新宋体" w:eastAsia="新宋体"/>
          <w:b/>
          <w:bCs/>
          <w:sz w:val="22"/>
          <w:szCs w:val="22"/>
        </w:rPr>
      </w:pPr>
      <w:r>
        <w:rPr>
          <w:rFonts w:hint="eastAsia" w:ascii="新宋体" w:hAnsi="新宋体" w:eastAsia="新宋体"/>
          <w:b/>
          <w:bCs/>
          <w:sz w:val="22"/>
          <w:szCs w:val="22"/>
        </w:rPr>
        <w:t>4. 在浙江省内固定售后网点的详细介绍（包括地址、联系电话、负责人姓名、其他人员组成、服务范围等）</w:t>
      </w:r>
    </w:p>
    <w:p>
      <w:pPr>
        <w:spacing w:line="400" w:lineRule="exact"/>
        <w:ind w:firstLine="220" w:firstLineChars="100"/>
        <w:rPr>
          <w:rFonts w:hint="eastAsia" w:ascii="新宋体" w:hAnsi="新宋体" w:eastAsia="新宋体"/>
          <w:sz w:val="22"/>
          <w:szCs w:val="22"/>
        </w:rPr>
      </w:pPr>
      <w:r>
        <w:rPr>
          <w:rFonts w:hint="eastAsia" w:ascii="新宋体" w:hAnsi="新宋体" w:eastAsia="新宋体"/>
          <w:sz w:val="22"/>
          <w:szCs w:val="22"/>
        </w:rPr>
        <w:t>兹证明上述声明是真实、正确的、并提供了全部能提供的资料和数据，我们同意遵照贵方要求出示有关证明文件。</w:t>
      </w:r>
    </w:p>
    <w:p>
      <w:pPr>
        <w:spacing w:line="400" w:lineRule="exact"/>
        <w:rPr>
          <w:rFonts w:hint="eastAsia" w:ascii="新宋体" w:hAnsi="新宋体" w:eastAsia="新宋体"/>
          <w:sz w:val="22"/>
          <w:szCs w:val="22"/>
        </w:rPr>
      </w:pPr>
      <w:r>
        <w:rPr>
          <w:rFonts w:hint="eastAsia" w:ascii="新宋体" w:hAnsi="新宋体" w:eastAsia="新宋体"/>
          <w:sz w:val="22"/>
          <w:szCs w:val="22"/>
        </w:rPr>
        <w:t>投标人名称</w:t>
      </w:r>
      <w:r>
        <w:rPr>
          <w:rFonts w:hint="eastAsia" w:ascii="新宋体" w:hAnsi="新宋体" w:eastAsia="新宋体"/>
          <w:sz w:val="22"/>
          <w:szCs w:val="22"/>
          <w:u w:val="single"/>
        </w:rPr>
        <w:t xml:space="preserve">                                </w:t>
      </w:r>
    </w:p>
    <w:p>
      <w:pPr>
        <w:spacing w:line="400" w:lineRule="exact"/>
        <w:rPr>
          <w:rFonts w:hint="eastAsia" w:ascii="新宋体" w:hAnsi="新宋体" w:eastAsia="新宋体"/>
          <w:sz w:val="22"/>
          <w:szCs w:val="22"/>
        </w:rPr>
      </w:pPr>
      <w:r>
        <w:rPr>
          <w:rFonts w:hint="eastAsia" w:ascii="新宋体" w:hAnsi="新宋体" w:eastAsia="新宋体"/>
          <w:sz w:val="22"/>
          <w:szCs w:val="22"/>
        </w:rPr>
        <w:t>法定代表人姓名和职务</w:t>
      </w:r>
      <w:r>
        <w:rPr>
          <w:rFonts w:hint="eastAsia" w:ascii="新宋体" w:hAnsi="新宋体" w:eastAsia="新宋体"/>
          <w:sz w:val="22"/>
          <w:szCs w:val="22"/>
          <w:u w:val="single"/>
        </w:rPr>
        <w:t xml:space="preserve">                      </w:t>
      </w:r>
    </w:p>
    <w:p>
      <w:pPr>
        <w:spacing w:line="400" w:lineRule="exact"/>
        <w:rPr>
          <w:rFonts w:hint="eastAsia" w:ascii="新宋体" w:hAnsi="新宋体" w:eastAsia="新宋体"/>
          <w:sz w:val="22"/>
          <w:szCs w:val="22"/>
        </w:rPr>
      </w:pPr>
      <w:r>
        <w:rPr>
          <w:rFonts w:hint="eastAsia" w:ascii="新宋体" w:hAnsi="新宋体" w:eastAsia="新宋体"/>
          <w:sz w:val="22"/>
          <w:szCs w:val="22"/>
        </w:rPr>
        <w:t>授权代表人签字或盖章</w:t>
      </w:r>
      <w:r>
        <w:rPr>
          <w:rFonts w:hint="eastAsia" w:ascii="新宋体" w:hAnsi="新宋体" w:eastAsia="新宋体"/>
          <w:sz w:val="22"/>
          <w:szCs w:val="22"/>
          <w:u w:val="single"/>
        </w:rPr>
        <w:t xml:space="preserve">                      </w:t>
      </w:r>
    </w:p>
    <w:p>
      <w:pPr>
        <w:spacing w:line="400" w:lineRule="exact"/>
        <w:rPr>
          <w:rFonts w:hint="eastAsia" w:ascii="新宋体" w:hAnsi="新宋体" w:eastAsia="新宋体"/>
          <w:sz w:val="22"/>
          <w:szCs w:val="22"/>
        </w:rPr>
      </w:pPr>
      <w:r>
        <w:rPr>
          <w:rFonts w:hint="eastAsia" w:ascii="新宋体" w:hAnsi="新宋体" w:eastAsia="新宋体"/>
          <w:sz w:val="22"/>
          <w:szCs w:val="22"/>
        </w:rPr>
        <w:t>签字日期</w:t>
      </w:r>
      <w:r>
        <w:rPr>
          <w:rFonts w:hint="eastAsia" w:ascii="新宋体" w:hAnsi="新宋体" w:eastAsia="新宋体"/>
          <w:sz w:val="22"/>
          <w:szCs w:val="22"/>
          <w:u w:val="single"/>
        </w:rPr>
        <w:t xml:space="preserve">                                  </w:t>
      </w:r>
    </w:p>
    <w:p>
      <w:pPr>
        <w:spacing w:line="400" w:lineRule="exact"/>
        <w:rPr>
          <w:rFonts w:hint="eastAsia" w:ascii="新宋体" w:hAnsi="新宋体" w:eastAsia="新宋体"/>
          <w:sz w:val="22"/>
          <w:szCs w:val="22"/>
          <w:u w:val="single"/>
        </w:rPr>
      </w:pPr>
      <w:r>
        <w:rPr>
          <w:rFonts w:hint="eastAsia" w:ascii="新宋体" w:hAnsi="新宋体" w:eastAsia="新宋体"/>
          <w:sz w:val="22"/>
          <w:szCs w:val="22"/>
        </w:rPr>
        <w:t>电子邮件</w:t>
      </w:r>
      <w:r>
        <w:rPr>
          <w:rFonts w:hint="eastAsia" w:ascii="新宋体" w:hAnsi="新宋体" w:eastAsia="新宋体"/>
          <w:sz w:val="22"/>
          <w:szCs w:val="22"/>
          <w:u w:val="single"/>
        </w:rPr>
        <w:t xml:space="preserve">                                  </w:t>
      </w:r>
    </w:p>
    <w:p>
      <w:pPr>
        <w:spacing w:line="400" w:lineRule="exact"/>
        <w:rPr>
          <w:rFonts w:hint="eastAsia" w:ascii="新宋体" w:hAnsi="新宋体" w:eastAsia="新宋体"/>
          <w:b/>
          <w:sz w:val="24"/>
        </w:rPr>
      </w:pPr>
    </w:p>
    <w:p>
      <w:pPr>
        <w:spacing w:line="400" w:lineRule="exact"/>
        <w:rPr>
          <w:rFonts w:hint="eastAsia" w:ascii="新宋体" w:hAnsi="新宋体" w:eastAsia="新宋体"/>
          <w:b/>
          <w:sz w:val="24"/>
        </w:rPr>
      </w:pPr>
      <w:r>
        <w:rPr>
          <w:rFonts w:hint="eastAsia" w:ascii="新宋体" w:hAnsi="新宋体" w:eastAsia="新宋体"/>
          <w:b/>
          <w:sz w:val="24"/>
        </w:rPr>
        <w:t>（三） 投标单位法人营业执照、税务登记证（复印件，加盖投标人法人公章）</w:t>
      </w:r>
    </w:p>
    <w:p>
      <w:pPr>
        <w:spacing w:line="400" w:lineRule="exact"/>
        <w:rPr>
          <w:rFonts w:hint="eastAsia" w:ascii="新宋体" w:hAnsi="新宋体" w:eastAsia="新宋体"/>
          <w:b/>
          <w:sz w:val="24"/>
        </w:rPr>
      </w:pPr>
    </w:p>
    <w:p>
      <w:pPr>
        <w:spacing w:line="400" w:lineRule="exact"/>
        <w:rPr>
          <w:rFonts w:hint="eastAsia" w:ascii="新宋体" w:hAnsi="新宋体" w:eastAsia="新宋体"/>
          <w:b/>
          <w:sz w:val="24"/>
        </w:rPr>
      </w:pPr>
    </w:p>
    <w:p>
      <w:pPr>
        <w:pStyle w:val="5"/>
        <w:rPr>
          <w:rFonts w:ascii="宋体" w:hAnsi="宋体"/>
        </w:rPr>
      </w:pPr>
      <w:r>
        <w:rPr>
          <w:rFonts w:hint="eastAsia" w:ascii="宋体" w:hAnsi="宋体"/>
        </w:rPr>
        <w:t>附件十、中小企业声明函及其相关的充分的证明材料</w:t>
      </w:r>
    </w:p>
    <w:p>
      <w:pPr>
        <w:pStyle w:val="27"/>
        <w:keepNext/>
        <w:keepLines/>
        <w:spacing w:before="120" w:after="540" w:line="240" w:lineRule="auto"/>
        <w:ind w:firstLine="0"/>
        <w:rPr>
          <w:rFonts w:hint="eastAsia"/>
          <w:sz w:val="36"/>
          <w:szCs w:val="36"/>
        </w:rPr>
      </w:pPr>
      <w:bookmarkStart w:id="97" w:name="bookmark27"/>
      <w:bookmarkStart w:id="98" w:name="bookmark28"/>
      <w:bookmarkStart w:id="99" w:name="bookmark29"/>
      <w:r>
        <w:rPr>
          <w:rFonts w:hint="eastAsia"/>
          <w:color w:val="000000"/>
          <w:sz w:val="36"/>
          <w:szCs w:val="36"/>
          <w:lang w:eastAsia="zh-CN"/>
        </w:rPr>
        <w:t>（</w:t>
      </w:r>
      <w:r>
        <w:rPr>
          <w:rFonts w:hint="eastAsia"/>
          <w:color w:val="000000"/>
          <w:sz w:val="36"/>
          <w:szCs w:val="36"/>
          <w:lang w:val="en-US" w:eastAsia="zh-CN"/>
        </w:rPr>
        <w:t>一</w:t>
      </w:r>
      <w:r>
        <w:rPr>
          <w:rFonts w:hint="eastAsia"/>
          <w:color w:val="000000"/>
          <w:sz w:val="36"/>
          <w:szCs w:val="36"/>
          <w:lang w:eastAsia="zh-CN"/>
        </w:rPr>
        <w:t>）</w:t>
      </w:r>
      <w:r>
        <w:rPr>
          <w:rFonts w:hint="eastAsia"/>
          <w:color w:val="000000"/>
          <w:sz w:val="36"/>
          <w:szCs w:val="36"/>
        </w:rPr>
        <w:t>中小企业声明函（货物）</w:t>
      </w:r>
      <w:bookmarkEnd w:id="97"/>
      <w:bookmarkEnd w:id="98"/>
      <w:bookmarkEnd w:id="99"/>
    </w:p>
    <w:p>
      <w:pPr>
        <w:pStyle w:val="28"/>
        <w:spacing w:line="530" w:lineRule="exact"/>
        <w:ind w:firstLine="660"/>
        <w:rPr>
          <w:rFonts w:hint="eastAsia"/>
          <w:sz w:val="24"/>
          <w:szCs w:val="24"/>
        </w:rPr>
      </w:pPr>
      <w:r>
        <w:rPr>
          <w:rFonts w:hint="eastAsia"/>
          <w:color w:val="000000"/>
          <w:sz w:val="24"/>
          <w:szCs w:val="24"/>
        </w:rPr>
        <w:t>本公司（联合体）郑重声明，根据《政府采购促进中小企业发展管理办法》（财库〔2020 ）46号）的规定，本公司 （联合体）参加</w:t>
      </w:r>
      <w:r>
        <w:rPr>
          <w:rFonts w:hint="eastAsia"/>
          <w:color w:val="000000"/>
          <w:sz w:val="24"/>
          <w:szCs w:val="24"/>
          <w:u w:val="single"/>
        </w:rPr>
        <w:t>（单位名称）</w:t>
      </w:r>
      <w:r>
        <w:rPr>
          <w:rFonts w:hint="eastAsia"/>
          <w:color w:val="000000"/>
          <w:sz w:val="24"/>
          <w:szCs w:val="24"/>
        </w:rPr>
        <w:t>的</w:t>
      </w:r>
      <w:r>
        <w:rPr>
          <w:rFonts w:hint="eastAsia"/>
          <w:color w:val="000000"/>
          <w:sz w:val="24"/>
          <w:szCs w:val="24"/>
          <w:u w:val="single"/>
        </w:rPr>
        <w:t>（项目名称）</w:t>
      </w:r>
      <w:r>
        <w:rPr>
          <w:rFonts w:hint="eastAsia"/>
          <w:color w:val="000000"/>
          <w:sz w:val="24"/>
          <w:szCs w:val="24"/>
        </w:rPr>
        <w:t>采购活动,提 供的货物全部由符合政策要求的中小企业制造。相关企业 （含联合体中的中小企业、签订分包意向协议的中小企业） 的具体情况如下：</w:t>
      </w:r>
    </w:p>
    <w:p>
      <w:pPr>
        <w:pStyle w:val="28"/>
        <w:numPr>
          <w:ilvl w:val="0"/>
          <w:numId w:val="17"/>
        </w:numPr>
        <w:tabs>
          <w:tab w:val="left" w:pos="1238"/>
          <w:tab w:val="left" w:pos="4435"/>
          <w:tab w:val="left" w:pos="6672"/>
        </w:tabs>
        <w:spacing w:line="525" w:lineRule="exact"/>
        <w:ind w:firstLine="660"/>
        <w:rPr>
          <w:rFonts w:hint="eastAsia"/>
          <w:sz w:val="24"/>
          <w:szCs w:val="24"/>
        </w:rPr>
      </w:pPr>
      <w:bookmarkStart w:id="100" w:name="bookmark30"/>
      <w:bookmarkEnd w:id="100"/>
      <w:r>
        <w:rPr>
          <w:rFonts w:hint="eastAsia"/>
          <w:color w:val="000000"/>
          <w:sz w:val="24"/>
          <w:szCs w:val="24"/>
          <w:u w:val="single"/>
        </w:rPr>
        <w:t>（标的名称）</w:t>
      </w:r>
      <w:r>
        <w:rPr>
          <w:rFonts w:hint="eastAsia"/>
          <w:color w:val="000000"/>
          <w:sz w:val="24"/>
          <w:szCs w:val="24"/>
        </w:rPr>
        <w:t>,属于</w:t>
      </w:r>
      <w:r>
        <w:rPr>
          <w:rFonts w:hint="eastAsia"/>
          <w:color w:val="000000"/>
          <w:sz w:val="24"/>
          <w:szCs w:val="24"/>
          <w:u w:val="single"/>
        </w:rPr>
        <w:t>（采购文件中明确的所属行业丿 行业</w:t>
      </w:r>
      <w:r>
        <w:rPr>
          <w:rFonts w:hint="eastAsia"/>
          <w:color w:val="000000"/>
          <w:sz w:val="24"/>
          <w:szCs w:val="24"/>
        </w:rPr>
        <w:t>;制造商为</w:t>
      </w:r>
      <w:r>
        <w:rPr>
          <w:rFonts w:hint="eastAsia"/>
          <w:color w:val="000000"/>
          <w:sz w:val="24"/>
          <w:szCs w:val="24"/>
          <w:u w:val="single"/>
        </w:rPr>
        <w:t>（企业名称）</w:t>
      </w:r>
      <w:r>
        <w:rPr>
          <w:rFonts w:hint="eastAsia"/>
          <w:color w:val="000000"/>
          <w:sz w:val="24"/>
          <w:szCs w:val="24"/>
        </w:rPr>
        <w:t>,从业人员</w:t>
      </w:r>
      <w:r>
        <w:rPr>
          <w:rFonts w:hint="eastAsia"/>
          <w:sz w:val="24"/>
          <w:szCs w:val="24"/>
          <w:u w:val="single"/>
        </w:rPr>
        <w:t xml:space="preserve"> </w:t>
      </w:r>
      <w:r>
        <w:rPr>
          <w:rFonts w:hint="eastAsia"/>
          <w:sz w:val="24"/>
          <w:szCs w:val="24"/>
          <w:u w:val="single"/>
        </w:rPr>
        <w:tab/>
      </w:r>
      <w:r>
        <w:rPr>
          <w:rFonts w:hint="eastAsia"/>
          <w:color w:val="000000"/>
          <w:sz w:val="24"/>
          <w:szCs w:val="24"/>
        </w:rPr>
        <w:t>人，营业收 入为</w:t>
      </w:r>
      <w:r>
        <w:rPr>
          <w:rFonts w:hint="eastAsia"/>
          <w:color w:val="000000"/>
          <w:sz w:val="24"/>
          <w:szCs w:val="24"/>
          <w:lang w:val="zh-CN" w:eastAsia="zh-CN" w:bidi="zh-CN"/>
        </w:rPr>
        <w:t>—</w:t>
      </w:r>
      <w:r>
        <w:rPr>
          <w:rFonts w:hint="eastAsia"/>
          <w:color w:val="000000"/>
          <w:sz w:val="24"/>
          <w:szCs w:val="24"/>
        </w:rPr>
        <w:t>万元，资产总额为</w:t>
      </w:r>
      <w:r>
        <w:rPr>
          <w:rFonts w:hint="eastAsia"/>
          <w:sz w:val="24"/>
          <w:szCs w:val="24"/>
          <w:u w:val="single"/>
        </w:rPr>
        <w:t xml:space="preserve"> </w:t>
      </w:r>
      <w:r>
        <w:rPr>
          <w:rFonts w:hint="eastAsia"/>
          <w:sz w:val="24"/>
          <w:szCs w:val="24"/>
          <w:u w:val="single"/>
        </w:rPr>
        <w:tab/>
      </w:r>
      <w:r>
        <w:rPr>
          <w:rFonts w:hint="eastAsia"/>
          <w:color w:val="000000"/>
          <w:sz w:val="24"/>
          <w:szCs w:val="24"/>
        </w:rPr>
        <w:t>万元\属于</w:t>
      </w:r>
      <w:r>
        <w:rPr>
          <w:rFonts w:hint="eastAsia"/>
          <w:color w:val="000000"/>
          <w:sz w:val="24"/>
          <w:szCs w:val="24"/>
          <w:u w:val="single"/>
        </w:rPr>
        <w:t>（中型企业、小 型企业、微型企业）</w:t>
      </w:r>
      <w:r>
        <w:rPr>
          <w:rFonts w:hint="eastAsia"/>
          <w:color w:val="000000"/>
          <w:sz w:val="24"/>
          <w:szCs w:val="24"/>
        </w:rPr>
        <w:t>,</w:t>
      </w:r>
    </w:p>
    <w:p>
      <w:pPr>
        <w:pStyle w:val="28"/>
        <w:numPr>
          <w:ilvl w:val="0"/>
          <w:numId w:val="17"/>
        </w:numPr>
        <w:tabs>
          <w:tab w:val="left" w:pos="1238"/>
          <w:tab w:val="left" w:pos="6331"/>
        </w:tabs>
        <w:spacing w:line="531" w:lineRule="exact"/>
        <w:ind w:firstLine="660"/>
        <w:rPr>
          <w:rFonts w:hint="eastAsia"/>
          <w:sz w:val="24"/>
          <w:szCs w:val="24"/>
        </w:rPr>
      </w:pPr>
      <w:bookmarkStart w:id="101" w:name="bookmark31"/>
      <w:bookmarkEnd w:id="101"/>
      <w:r>
        <w:rPr>
          <w:rFonts w:hint="eastAsia"/>
          <w:color w:val="000000"/>
          <w:sz w:val="24"/>
          <w:szCs w:val="24"/>
          <w:u w:val="single"/>
        </w:rPr>
        <w:t>（标的名称）</w:t>
      </w:r>
      <w:r>
        <w:rPr>
          <w:rFonts w:hint="eastAsia"/>
          <w:color w:val="000000"/>
          <w:sz w:val="24"/>
          <w:szCs w:val="24"/>
        </w:rPr>
        <w:t>,属于</w:t>
      </w:r>
      <w:r>
        <w:rPr>
          <w:rFonts w:hint="eastAsia"/>
          <w:color w:val="000000"/>
          <w:sz w:val="24"/>
          <w:szCs w:val="24"/>
          <w:u w:val="single"/>
        </w:rPr>
        <w:t>（采购文件中明确的所属行业） 行业</w:t>
      </w:r>
      <w:r>
        <w:rPr>
          <w:rFonts w:hint="eastAsia"/>
          <w:color w:val="000000"/>
          <w:sz w:val="24"/>
          <w:szCs w:val="24"/>
        </w:rPr>
        <w:t>；制造商为</w:t>
      </w:r>
      <w:r>
        <w:rPr>
          <w:rFonts w:hint="eastAsia"/>
          <w:color w:val="000000"/>
          <w:sz w:val="24"/>
          <w:szCs w:val="24"/>
          <w:u w:val="single"/>
        </w:rPr>
        <w:t>（企业名称）</w:t>
      </w:r>
      <w:r>
        <w:rPr>
          <w:rFonts w:hint="eastAsia"/>
          <w:color w:val="000000"/>
          <w:sz w:val="24"/>
          <w:szCs w:val="24"/>
        </w:rPr>
        <w:t>,从业人员</w:t>
      </w:r>
      <w:r>
        <w:rPr>
          <w:rFonts w:hint="eastAsia"/>
          <w:sz w:val="24"/>
          <w:szCs w:val="24"/>
          <w:u w:val="single"/>
        </w:rPr>
        <w:t xml:space="preserve"> </w:t>
      </w:r>
      <w:r>
        <w:rPr>
          <w:rFonts w:hint="eastAsia"/>
          <w:sz w:val="24"/>
          <w:szCs w:val="24"/>
          <w:u w:val="single"/>
        </w:rPr>
        <w:tab/>
      </w:r>
      <w:r>
        <w:rPr>
          <w:rFonts w:hint="eastAsia"/>
          <w:color w:val="000000"/>
          <w:sz w:val="24"/>
          <w:szCs w:val="24"/>
        </w:rPr>
        <w:t>人，营业收入为</w:t>
      </w:r>
      <w:r>
        <w:rPr>
          <w:rFonts w:hint="eastAsia"/>
          <w:color w:val="000000"/>
          <w:sz w:val="24"/>
          <w:szCs w:val="24"/>
          <w:lang w:val="en-US" w:eastAsia="zh-CN" w:bidi="zh-CN"/>
        </w:rPr>
        <w:t xml:space="preserve"> </w:t>
      </w:r>
      <w:r>
        <w:rPr>
          <w:rFonts w:hint="eastAsia"/>
          <w:color w:val="000000"/>
          <w:sz w:val="24"/>
          <w:szCs w:val="24"/>
          <w:u w:val="single"/>
          <w:lang w:val="en-US" w:eastAsia="zh-CN" w:bidi="zh-CN"/>
        </w:rPr>
        <w:t xml:space="preserve">     </w:t>
      </w:r>
      <w:r>
        <w:rPr>
          <w:rFonts w:hint="eastAsia"/>
          <w:color w:val="000000"/>
          <w:sz w:val="24"/>
          <w:szCs w:val="24"/>
          <w:lang w:val="en-US" w:eastAsia="zh-CN" w:bidi="zh-CN"/>
        </w:rPr>
        <w:t xml:space="preserve"> </w:t>
      </w:r>
      <w:r>
        <w:rPr>
          <w:rFonts w:hint="eastAsia"/>
          <w:color w:val="000000"/>
          <w:sz w:val="24"/>
          <w:szCs w:val="24"/>
        </w:rPr>
        <w:t>万元，资产总额为</w:t>
      </w:r>
      <w:r>
        <w:rPr>
          <w:rFonts w:hint="eastAsia"/>
          <w:color w:val="000000"/>
          <w:sz w:val="24"/>
          <w:szCs w:val="24"/>
          <w:lang w:val="en-US" w:eastAsia="zh-CN"/>
        </w:rPr>
        <w:t xml:space="preserve">    </w:t>
      </w:r>
      <w:r>
        <w:rPr>
          <w:rFonts w:hint="eastAsia"/>
          <w:color w:val="000000"/>
          <w:sz w:val="24"/>
          <w:szCs w:val="24"/>
        </w:rPr>
        <w:t>万元，属于</w:t>
      </w:r>
      <w:r>
        <w:rPr>
          <w:rFonts w:hint="eastAsia"/>
          <w:color w:val="000000"/>
          <w:sz w:val="24"/>
          <w:szCs w:val="24"/>
          <w:u w:val="single"/>
        </w:rPr>
        <w:t>（中型企业、小型 企业、微型企</w:t>
      </w:r>
      <w:r>
        <w:rPr>
          <w:rFonts w:hint="eastAsia"/>
          <w:color w:val="000000"/>
          <w:sz w:val="24"/>
          <w:szCs w:val="24"/>
          <w:u w:val="single"/>
          <w:lang w:val="zh-CN" w:eastAsia="zh-CN" w:bidi="zh-CN"/>
        </w:rPr>
        <w:t>业）</w:t>
      </w:r>
      <w:r>
        <w:rPr>
          <w:rFonts w:hint="eastAsia"/>
          <w:color w:val="000000"/>
          <w:sz w:val="24"/>
          <w:szCs w:val="24"/>
          <w:lang w:val="zh-CN" w:eastAsia="zh-CN" w:bidi="zh-CN"/>
        </w:rPr>
        <w:t>,</w:t>
      </w:r>
    </w:p>
    <w:p>
      <w:pPr>
        <w:pStyle w:val="28"/>
        <w:tabs>
          <w:tab w:val="left" w:leader="dot" w:pos="-1007"/>
        </w:tabs>
        <w:spacing w:line="533" w:lineRule="exact"/>
        <w:ind w:hanging="1540"/>
        <w:jc w:val="left"/>
        <w:rPr>
          <w:rFonts w:hint="eastAsia"/>
          <w:sz w:val="24"/>
          <w:szCs w:val="24"/>
        </w:rPr>
      </w:pPr>
    </w:p>
    <w:p>
      <w:pPr>
        <w:pStyle w:val="28"/>
        <w:spacing w:line="533" w:lineRule="exact"/>
        <w:ind w:firstLine="660"/>
        <w:rPr>
          <w:rFonts w:hint="eastAsia"/>
          <w:sz w:val="24"/>
          <w:szCs w:val="24"/>
        </w:rPr>
      </w:pPr>
      <w:r>
        <w:rPr>
          <w:rFonts w:hint="eastAsia"/>
          <w:color w:val="000000"/>
          <w:sz w:val="24"/>
          <w:szCs w:val="24"/>
        </w:rPr>
        <w:t>以上企业，不属于大企业的分支机构，不存在控股股东 为大企业的情形，也不存在与大企业的负责人为同一人的情 形。</w:t>
      </w:r>
    </w:p>
    <w:p>
      <w:pPr>
        <w:pStyle w:val="28"/>
        <w:spacing w:line="533" w:lineRule="exact"/>
        <w:ind w:firstLine="660"/>
        <w:rPr>
          <w:rFonts w:hint="eastAsia"/>
          <w:sz w:val="24"/>
          <w:szCs w:val="24"/>
        </w:rPr>
      </w:pPr>
      <w:r>
        <w:rPr>
          <w:rFonts w:hint="eastAsia"/>
          <w:color w:val="000000"/>
          <w:sz w:val="24"/>
          <w:szCs w:val="24"/>
        </w:rPr>
        <w:t>本企业对上述声明内容的真实性负责。如有虚假，将依 法承担相应责任。</w:t>
      </w:r>
    </w:p>
    <w:p>
      <w:pPr>
        <w:pStyle w:val="28"/>
        <w:spacing w:line="533" w:lineRule="exact"/>
        <w:ind w:left="3860" w:firstLine="0"/>
        <w:jc w:val="left"/>
        <w:rPr>
          <w:rFonts w:hint="eastAsia"/>
          <w:sz w:val="24"/>
          <w:szCs w:val="24"/>
        </w:rPr>
      </w:pPr>
      <w:r>
        <w:rPr>
          <w:rFonts w:hint="eastAsia"/>
          <w:color w:val="000000"/>
          <w:sz w:val="24"/>
          <w:szCs w:val="24"/>
        </w:rPr>
        <w:t>企业名称（盖章）:</w:t>
      </w:r>
    </w:p>
    <w:p>
      <w:pPr>
        <w:pStyle w:val="28"/>
        <w:spacing w:line="533" w:lineRule="exact"/>
        <w:ind w:firstLine="0"/>
        <w:jc w:val="center"/>
        <w:rPr>
          <w:rFonts w:hint="eastAsia"/>
          <w:sz w:val="24"/>
          <w:szCs w:val="24"/>
        </w:rPr>
      </w:pPr>
      <w:r>
        <w:rPr>
          <w:rFonts w:hint="eastAsia"/>
          <w:color w:val="000000"/>
          <w:sz w:val="24"/>
          <w:szCs w:val="24"/>
          <w:lang w:val="en-US" w:eastAsia="zh-CN"/>
        </w:rPr>
        <w:t xml:space="preserve">                         </w:t>
      </w:r>
      <w:r>
        <w:rPr>
          <w:rFonts w:hint="eastAsia"/>
          <w:color w:val="000000"/>
          <w:sz w:val="24"/>
          <w:szCs w:val="24"/>
        </w:rPr>
        <w:t>日期：</w:t>
      </w:r>
    </w:p>
    <w:p>
      <w:pPr>
        <w:pStyle w:val="29"/>
        <w:spacing w:after="0"/>
        <w:ind w:left="0"/>
        <w:jc w:val="left"/>
        <w:rPr>
          <w:rFonts w:hint="eastAsia"/>
          <w:color w:val="000000"/>
          <w:sz w:val="24"/>
          <w:szCs w:val="24"/>
        </w:rPr>
      </w:pPr>
      <w:r>
        <w:rPr>
          <w:rFonts w:hint="eastAsia"/>
          <w:color w:val="000000"/>
          <w:sz w:val="24"/>
          <w:szCs w:val="24"/>
        </w:rPr>
        <w:t>从业人员、营业收入、资产总额填报上一年度数据，无上一年度数据的新成立企业可不填报。</w:t>
      </w:r>
    </w:p>
    <w:p>
      <w:pPr>
        <w:pStyle w:val="29"/>
        <w:spacing w:after="0"/>
        <w:ind w:left="0"/>
        <w:jc w:val="left"/>
        <w:rPr>
          <w:rFonts w:hint="eastAsia"/>
          <w:color w:val="000000"/>
          <w:sz w:val="24"/>
          <w:szCs w:val="24"/>
        </w:rPr>
      </w:pPr>
    </w:p>
    <w:p>
      <w:pPr>
        <w:spacing w:line="400" w:lineRule="exact"/>
        <w:rPr>
          <w:rFonts w:hint="eastAsia" w:ascii="新宋体" w:hAnsi="新宋体" w:eastAsia="新宋体"/>
          <w:b/>
          <w:sz w:val="24"/>
        </w:rPr>
      </w:pPr>
    </w:p>
    <w:p>
      <w:pPr>
        <w:pStyle w:val="27"/>
        <w:keepNext/>
        <w:keepLines/>
        <w:spacing w:after="520" w:line="240" w:lineRule="auto"/>
        <w:ind w:firstLine="0"/>
        <w:rPr>
          <w:rFonts w:hint="eastAsia"/>
          <w:sz w:val="36"/>
          <w:szCs w:val="36"/>
        </w:rPr>
      </w:pPr>
      <w:r>
        <w:rPr>
          <w:rFonts w:hint="eastAsia"/>
          <w:color w:val="000000"/>
          <w:sz w:val="36"/>
          <w:szCs w:val="36"/>
          <w:lang w:eastAsia="zh-CN"/>
        </w:rPr>
        <w:br w:type="page"/>
      </w:r>
      <w:r>
        <w:rPr>
          <w:rFonts w:hint="eastAsia"/>
          <w:color w:val="000000"/>
          <w:sz w:val="36"/>
          <w:szCs w:val="36"/>
          <w:lang w:eastAsia="zh-CN"/>
        </w:rPr>
        <w:t>（</w:t>
      </w:r>
      <w:r>
        <w:rPr>
          <w:rFonts w:hint="eastAsia"/>
          <w:color w:val="000000"/>
          <w:sz w:val="36"/>
          <w:szCs w:val="36"/>
          <w:lang w:val="en-US" w:eastAsia="zh-CN"/>
        </w:rPr>
        <w:t>二</w:t>
      </w:r>
      <w:r>
        <w:rPr>
          <w:rFonts w:hint="eastAsia"/>
          <w:color w:val="000000"/>
          <w:sz w:val="36"/>
          <w:szCs w:val="36"/>
          <w:lang w:eastAsia="zh-CN"/>
        </w:rPr>
        <w:t>）</w:t>
      </w:r>
      <w:r>
        <w:rPr>
          <w:rFonts w:hint="eastAsia"/>
          <w:color w:val="000000"/>
          <w:sz w:val="36"/>
          <w:szCs w:val="36"/>
        </w:rPr>
        <w:t>中小企业声明函（工程、服务）</w:t>
      </w:r>
    </w:p>
    <w:p>
      <w:pPr>
        <w:pStyle w:val="28"/>
        <w:spacing w:line="530" w:lineRule="exact"/>
        <w:ind w:firstLine="660"/>
        <w:rPr>
          <w:rFonts w:hint="eastAsia"/>
          <w:sz w:val="24"/>
          <w:szCs w:val="24"/>
        </w:rPr>
      </w:pPr>
      <w:r>
        <w:rPr>
          <w:rFonts w:hint="eastAsia"/>
          <w:color w:val="000000"/>
          <w:sz w:val="24"/>
          <w:szCs w:val="24"/>
        </w:rPr>
        <w:t>本公司（联合体）郑重声明，根据《政府采购促进中小企业发展管理办法》（财库〔2020 ）46号）的规定，本公司 （联合体）参加</w:t>
      </w:r>
      <w:r>
        <w:rPr>
          <w:rFonts w:hint="eastAsia"/>
          <w:color w:val="000000"/>
          <w:sz w:val="24"/>
          <w:szCs w:val="24"/>
          <w:u w:val="single"/>
        </w:rPr>
        <w:t>（单位名称）</w:t>
      </w:r>
      <w:r>
        <w:rPr>
          <w:rFonts w:hint="eastAsia"/>
          <w:color w:val="000000"/>
          <w:sz w:val="24"/>
          <w:szCs w:val="24"/>
        </w:rPr>
        <w:t>的</w:t>
      </w:r>
      <w:r>
        <w:rPr>
          <w:rFonts w:hint="eastAsia"/>
          <w:color w:val="000000"/>
          <w:sz w:val="24"/>
          <w:szCs w:val="24"/>
          <w:u w:val="single"/>
        </w:rPr>
        <w:t>（项目名称）</w:t>
      </w:r>
      <w:r>
        <w:rPr>
          <w:rFonts w:hint="eastAsia"/>
          <w:color w:val="000000"/>
          <w:sz w:val="24"/>
          <w:szCs w:val="24"/>
        </w:rPr>
        <w:t>采购活动，工 程的施工单位全部为符合政策要求的中小企业（或者：服务 全部由符合政策要求的中小企业承接）。相关企业（含联合 体中的中小企业、签订分包意向协议的中小企业）的具体情 况如下：</w:t>
      </w:r>
    </w:p>
    <w:p>
      <w:pPr>
        <w:pStyle w:val="28"/>
        <w:numPr>
          <w:ilvl w:val="0"/>
          <w:numId w:val="18"/>
        </w:numPr>
        <w:tabs>
          <w:tab w:val="left" w:pos="1193"/>
          <w:tab w:val="left" w:pos="6974"/>
        </w:tabs>
        <w:spacing w:line="525" w:lineRule="exact"/>
        <w:ind w:firstLine="660"/>
        <w:rPr>
          <w:rFonts w:hint="eastAsia"/>
          <w:sz w:val="24"/>
          <w:szCs w:val="24"/>
        </w:rPr>
      </w:pPr>
      <w:bookmarkStart w:id="102" w:name="bookmark35"/>
      <w:bookmarkEnd w:id="102"/>
      <w:r>
        <w:rPr>
          <w:rFonts w:hint="eastAsia"/>
          <w:color w:val="000000"/>
          <w:sz w:val="24"/>
          <w:szCs w:val="24"/>
          <w:u w:val="single"/>
        </w:rPr>
        <w:t>（标的名称）</w:t>
      </w:r>
      <w:r>
        <w:rPr>
          <w:rFonts w:hint="eastAsia"/>
          <w:color w:val="000000"/>
          <w:sz w:val="24"/>
          <w:szCs w:val="24"/>
        </w:rPr>
        <w:t>,属于</w:t>
      </w:r>
      <w:r>
        <w:rPr>
          <w:rFonts w:hint="eastAsia"/>
          <w:color w:val="000000"/>
          <w:sz w:val="24"/>
          <w:szCs w:val="24"/>
          <w:u w:val="single"/>
        </w:rPr>
        <w:t>（采购文件中明确的所属行业）</w:t>
      </w:r>
      <w:r>
        <w:rPr>
          <w:rFonts w:hint="eastAsia"/>
          <w:color w:val="000000"/>
          <w:sz w:val="24"/>
          <w:szCs w:val="24"/>
        </w:rPr>
        <w:t>, 承建（承接）企业为</w:t>
      </w:r>
      <w:r>
        <w:rPr>
          <w:rFonts w:hint="eastAsia"/>
          <w:color w:val="000000"/>
          <w:sz w:val="24"/>
          <w:szCs w:val="24"/>
          <w:u w:val="single"/>
        </w:rPr>
        <w:t>（企业名称）</w:t>
      </w:r>
      <w:r>
        <w:rPr>
          <w:rFonts w:hint="eastAsia"/>
          <w:color w:val="000000"/>
          <w:sz w:val="24"/>
          <w:szCs w:val="24"/>
        </w:rPr>
        <w:t>,从业人员</w:t>
      </w:r>
      <w:r>
        <w:rPr>
          <w:rFonts w:hint="eastAsia"/>
          <w:sz w:val="24"/>
          <w:szCs w:val="24"/>
          <w:u w:val="single"/>
        </w:rPr>
        <w:t xml:space="preserve"> </w:t>
      </w:r>
      <w:r>
        <w:rPr>
          <w:rFonts w:hint="eastAsia"/>
          <w:sz w:val="24"/>
          <w:szCs w:val="24"/>
          <w:u w:val="single"/>
          <w:lang w:val="en-US" w:eastAsia="zh-CN"/>
        </w:rPr>
        <w:t xml:space="preserve">   </w:t>
      </w:r>
      <w:r>
        <w:rPr>
          <w:rFonts w:hint="eastAsia"/>
          <w:color w:val="000000"/>
          <w:sz w:val="24"/>
          <w:szCs w:val="24"/>
        </w:rPr>
        <w:t>人，营业收入为</w:t>
      </w:r>
      <w:r>
        <w:rPr>
          <w:rFonts w:hint="eastAsia"/>
          <w:color w:val="000000"/>
          <w:sz w:val="24"/>
          <w:szCs w:val="24"/>
          <w:u w:val="single"/>
          <w:lang w:val="en-US" w:eastAsia="zh-CN" w:bidi="zh-CN"/>
        </w:rPr>
        <w:t xml:space="preserve">    </w:t>
      </w:r>
      <w:r>
        <w:rPr>
          <w:rFonts w:hint="eastAsia"/>
          <w:color w:val="000000"/>
          <w:sz w:val="24"/>
          <w:szCs w:val="24"/>
        </w:rPr>
        <w:t>万元，资产总额为</w:t>
      </w:r>
      <w:r>
        <w:rPr>
          <w:rFonts w:hint="eastAsia"/>
          <w:color w:val="000000"/>
          <w:sz w:val="24"/>
          <w:szCs w:val="24"/>
          <w:u w:val="single"/>
          <w:lang w:val="en-US" w:eastAsia="zh-CN" w:bidi="zh-CN"/>
        </w:rPr>
        <w:t xml:space="preserve">    </w:t>
      </w:r>
      <w:r>
        <w:rPr>
          <w:rFonts w:hint="eastAsia"/>
          <w:color w:val="000000"/>
          <w:sz w:val="24"/>
          <w:szCs w:val="24"/>
        </w:rPr>
        <w:t>万元</w:t>
      </w:r>
      <w:r>
        <w:rPr>
          <w:rFonts w:hint="eastAsia"/>
          <w:color w:val="000000"/>
          <w:sz w:val="24"/>
          <w:szCs w:val="24"/>
          <w:lang w:val="en-US" w:eastAsia="zh-CN" w:bidi="en-US"/>
        </w:rPr>
        <w:t>，</w:t>
      </w:r>
      <w:r>
        <w:rPr>
          <w:rFonts w:hint="eastAsia"/>
          <w:color w:val="000000"/>
          <w:sz w:val="24"/>
          <w:szCs w:val="24"/>
        </w:rPr>
        <w:t>属于</w:t>
      </w:r>
      <w:r>
        <w:rPr>
          <w:rFonts w:hint="eastAsia"/>
          <w:color w:val="000000"/>
          <w:sz w:val="24"/>
          <w:szCs w:val="24"/>
          <w:u w:val="single"/>
        </w:rPr>
        <w:t>（中型企业、 小型企业、微型企业）</w:t>
      </w:r>
      <w:r>
        <w:rPr>
          <w:rFonts w:hint="eastAsia"/>
          <w:color w:val="000000"/>
          <w:sz w:val="24"/>
          <w:szCs w:val="24"/>
        </w:rPr>
        <w:t>,</w:t>
      </w:r>
    </w:p>
    <w:p>
      <w:pPr>
        <w:pStyle w:val="28"/>
        <w:numPr>
          <w:ilvl w:val="0"/>
          <w:numId w:val="18"/>
        </w:numPr>
        <w:tabs>
          <w:tab w:val="left" w:pos="1193"/>
          <w:tab w:val="left" w:pos="6965"/>
        </w:tabs>
        <w:spacing w:line="528" w:lineRule="exact"/>
        <w:ind w:firstLine="660"/>
        <w:rPr>
          <w:rFonts w:hint="eastAsia"/>
          <w:color w:val="000000"/>
          <w:sz w:val="24"/>
          <w:szCs w:val="24"/>
        </w:rPr>
      </w:pPr>
      <w:bookmarkStart w:id="103" w:name="bookmark36"/>
      <w:bookmarkEnd w:id="103"/>
      <w:r>
        <w:rPr>
          <w:rFonts w:hint="eastAsia"/>
          <w:color w:val="000000"/>
          <w:sz w:val="24"/>
          <w:szCs w:val="24"/>
          <w:u w:val="single"/>
        </w:rPr>
        <w:t>（标的名称）</w:t>
      </w:r>
      <w:r>
        <w:rPr>
          <w:rFonts w:hint="eastAsia"/>
          <w:color w:val="000000"/>
          <w:sz w:val="24"/>
          <w:szCs w:val="24"/>
        </w:rPr>
        <w:t>,属于</w:t>
      </w:r>
      <w:r>
        <w:rPr>
          <w:rFonts w:hint="eastAsia"/>
          <w:color w:val="000000"/>
          <w:sz w:val="24"/>
          <w:szCs w:val="24"/>
          <w:u w:val="single"/>
        </w:rPr>
        <w:t>（采购文件中明确的所属行业）</w:t>
      </w:r>
      <w:r>
        <w:rPr>
          <w:rFonts w:hint="eastAsia"/>
          <w:color w:val="000000"/>
          <w:sz w:val="24"/>
          <w:szCs w:val="24"/>
        </w:rPr>
        <w:t>, 承建（承接）企业为</w:t>
      </w:r>
      <w:r>
        <w:rPr>
          <w:rFonts w:hint="eastAsia"/>
          <w:color w:val="000000"/>
          <w:sz w:val="24"/>
          <w:szCs w:val="24"/>
          <w:u w:val="single"/>
        </w:rPr>
        <w:t>（企业名称）</w:t>
      </w:r>
      <w:r>
        <w:rPr>
          <w:rFonts w:hint="eastAsia"/>
          <w:color w:val="000000"/>
          <w:sz w:val="24"/>
          <w:szCs w:val="24"/>
        </w:rPr>
        <w:t>,从业人员</w:t>
      </w:r>
      <w:r>
        <w:rPr>
          <w:rFonts w:hint="eastAsia"/>
          <w:sz w:val="24"/>
          <w:szCs w:val="24"/>
          <w:u w:val="single"/>
        </w:rPr>
        <w:t xml:space="preserve"> </w:t>
      </w:r>
      <w:r>
        <w:rPr>
          <w:rFonts w:hint="eastAsia"/>
          <w:sz w:val="24"/>
          <w:szCs w:val="24"/>
          <w:u w:val="single"/>
          <w:lang w:val="en-US" w:eastAsia="zh-CN"/>
        </w:rPr>
        <w:t xml:space="preserve">   </w:t>
      </w:r>
      <w:r>
        <w:rPr>
          <w:rFonts w:hint="eastAsia"/>
          <w:color w:val="000000"/>
          <w:sz w:val="24"/>
          <w:szCs w:val="24"/>
        </w:rPr>
        <w:t>人，营业 收入为</w:t>
      </w:r>
      <w:r>
        <w:rPr>
          <w:rFonts w:hint="eastAsia"/>
          <w:color w:val="000000"/>
          <w:sz w:val="24"/>
          <w:szCs w:val="24"/>
          <w:u w:val="single"/>
          <w:lang w:val="en-US" w:eastAsia="zh-CN" w:bidi="zh-CN"/>
        </w:rPr>
        <w:t xml:space="preserve">    </w:t>
      </w:r>
      <w:r>
        <w:rPr>
          <w:rFonts w:hint="eastAsia"/>
          <w:color w:val="000000"/>
          <w:sz w:val="24"/>
          <w:szCs w:val="24"/>
        </w:rPr>
        <w:t>万元，资产总额为</w:t>
      </w:r>
      <w:r>
        <w:rPr>
          <w:rFonts w:hint="eastAsia"/>
          <w:color w:val="000000"/>
          <w:sz w:val="24"/>
          <w:szCs w:val="24"/>
          <w:u w:val="single"/>
          <w:lang w:val="en-US" w:eastAsia="zh-CN" w:bidi="zh-CN"/>
        </w:rPr>
        <w:t xml:space="preserve">    </w:t>
      </w:r>
      <w:r>
        <w:rPr>
          <w:rFonts w:hint="eastAsia"/>
          <w:color w:val="000000"/>
          <w:sz w:val="24"/>
          <w:szCs w:val="24"/>
        </w:rPr>
        <w:t>万元，属于</w:t>
      </w:r>
      <w:r>
        <w:rPr>
          <w:rFonts w:hint="eastAsia"/>
          <w:color w:val="000000"/>
          <w:sz w:val="24"/>
          <w:szCs w:val="24"/>
          <w:u w:val="single"/>
        </w:rPr>
        <w:t>（中型企业、 小型企业、微型企</w:t>
      </w:r>
      <w:r>
        <w:rPr>
          <w:rFonts w:hint="eastAsia"/>
          <w:color w:val="000000"/>
          <w:sz w:val="24"/>
          <w:szCs w:val="24"/>
          <w:u w:val="single"/>
          <w:lang w:val="zh-CN" w:eastAsia="zh-CN" w:bidi="zh-CN"/>
        </w:rPr>
        <w:t>业）</w:t>
      </w:r>
      <w:r>
        <w:rPr>
          <w:rFonts w:hint="eastAsia"/>
          <w:color w:val="000000"/>
          <w:sz w:val="24"/>
          <w:szCs w:val="24"/>
          <w:lang w:val="zh-CN" w:eastAsia="zh-CN" w:bidi="zh-CN"/>
        </w:rPr>
        <w:t>,</w:t>
      </w:r>
    </w:p>
    <w:p>
      <w:pPr>
        <w:pStyle w:val="28"/>
        <w:spacing w:line="520" w:lineRule="exact"/>
        <w:ind w:firstLine="660"/>
        <w:rPr>
          <w:rFonts w:hint="eastAsia"/>
          <w:sz w:val="24"/>
          <w:szCs w:val="24"/>
        </w:rPr>
      </w:pPr>
      <w:r>
        <w:rPr>
          <w:rFonts w:hint="eastAsia"/>
          <w:color w:val="000000"/>
          <w:sz w:val="24"/>
          <w:szCs w:val="24"/>
        </w:rPr>
        <w:t>以上企业，不属于大企业的分支机构，不存在控股股东 为大企业的情形，也不存在与大企业的负责人为同一人的情 形。</w:t>
      </w:r>
    </w:p>
    <w:p>
      <w:pPr>
        <w:pStyle w:val="28"/>
        <w:spacing w:line="520" w:lineRule="exact"/>
        <w:ind w:firstLine="660"/>
        <w:rPr>
          <w:rFonts w:hint="eastAsia"/>
          <w:color w:val="000000"/>
          <w:sz w:val="24"/>
          <w:szCs w:val="24"/>
        </w:rPr>
      </w:pPr>
      <w:r>
        <w:rPr>
          <w:rFonts w:hint="eastAsia"/>
          <w:color w:val="000000"/>
          <w:sz w:val="24"/>
          <w:szCs w:val="24"/>
        </w:rPr>
        <w:t>本企业对上述声明内容的真实性负责。如有虚假，将依 法承担相应责任。</w:t>
      </w:r>
    </w:p>
    <w:p>
      <w:pPr>
        <w:pStyle w:val="28"/>
        <w:spacing w:line="562" w:lineRule="exact"/>
        <w:ind w:left="3860" w:firstLine="80"/>
        <w:jc w:val="left"/>
        <w:rPr>
          <w:rFonts w:hint="eastAsia"/>
          <w:color w:val="000000"/>
          <w:sz w:val="24"/>
          <w:szCs w:val="24"/>
        </w:rPr>
      </w:pPr>
    </w:p>
    <w:p>
      <w:pPr>
        <w:pStyle w:val="28"/>
        <w:spacing w:line="562" w:lineRule="exact"/>
        <w:ind w:left="3860" w:firstLine="80"/>
        <w:jc w:val="left"/>
        <w:rPr>
          <w:rFonts w:hint="eastAsia"/>
          <w:color w:val="000000"/>
          <w:sz w:val="24"/>
          <w:szCs w:val="24"/>
        </w:rPr>
      </w:pPr>
      <w:r>
        <w:rPr>
          <w:rFonts w:hint="eastAsia"/>
          <w:color w:val="000000"/>
          <w:sz w:val="24"/>
          <w:szCs w:val="24"/>
        </w:rPr>
        <w:t xml:space="preserve">企业名称（盖章）： </w:t>
      </w:r>
    </w:p>
    <w:p>
      <w:pPr>
        <w:pStyle w:val="28"/>
        <w:spacing w:line="562" w:lineRule="exact"/>
        <w:ind w:left="3860" w:firstLine="80"/>
        <w:jc w:val="left"/>
        <w:rPr>
          <w:rFonts w:hint="eastAsia"/>
          <w:sz w:val="24"/>
          <w:szCs w:val="24"/>
        </w:rPr>
      </w:pPr>
      <w:r>
        <w:rPr>
          <w:rFonts w:hint="eastAsia"/>
          <w:color w:val="000000"/>
          <w:sz w:val="24"/>
          <w:szCs w:val="24"/>
        </w:rPr>
        <w:t>日期：</w:t>
      </w:r>
    </w:p>
    <w:p>
      <w:pPr>
        <w:pStyle w:val="30"/>
        <w:tabs>
          <w:tab w:val="left" w:pos="1130"/>
        </w:tabs>
        <w:ind w:hanging="1740"/>
        <w:jc w:val="left"/>
        <w:rPr>
          <w:rFonts w:hint="eastAsia"/>
          <w:sz w:val="24"/>
          <w:szCs w:val="24"/>
        </w:rPr>
      </w:pPr>
    </w:p>
    <w:p>
      <w:pPr>
        <w:pStyle w:val="29"/>
        <w:spacing w:after="0"/>
        <w:ind w:left="0"/>
        <w:jc w:val="left"/>
        <w:rPr>
          <w:rFonts w:hint="eastAsia"/>
          <w:sz w:val="24"/>
          <w:szCs w:val="24"/>
        </w:rPr>
      </w:pPr>
      <w:r>
        <w:rPr>
          <w:rFonts w:hint="eastAsia"/>
          <w:color w:val="000000"/>
          <w:sz w:val="24"/>
          <w:szCs w:val="24"/>
        </w:rPr>
        <w:t>从业人员、营业收入、资产总额填报上一年度数据，无上一年度数据的新成立企业可不填报。</w:t>
      </w:r>
    </w:p>
    <w:p>
      <w:pPr>
        <w:pStyle w:val="11"/>
        <w:adjustRightInd w:val="0"/>
        <w:snapToGrid w:val="0"/>
        <w:spacing w:line="400" w:lineRule="exact"/>
        <w:rPr>
          <w:rFonts w:hint="eastAsia" w:hAnsi="宋体" w:cs="宋体"/>
          <w:b/>
          <w:sz w:val="24"/>
        </w:rPr>
      </w:pPr>
    </w:p>
    <w:p>
      <w:pPr>
        <w:pStyle w:val="11"/>
        <w:adjustRightInd w:val="0"/>
        <w:snapToGrid w:val="0"/>
        <w:spacing w:line="400" w:lineRule="exact"/>
        <w:rPr>
          <w:rFonts w:hint="eastAsia" w:hAnsi="宋体" w:cs="宋体"/>
          <w:b/>
          <w:sz w:val="24"/>
        </w:rPr>
      </w:pPr>
    </w:p>
    <w:p>
      <w:pPr>
        <w:pStyle w:val="12"/>
        <w:rPr>
          <w:rFonts w:hint="eastAsia" w:ascii="宋体" w:hAnsi="宋体" w:cs="宋体"/>
          <w:b/>
          <w:sz w:val="24"/>
        </w:rPr>
      </w:pPr>
    </w:p>
    <w:p>
      <w:pPr>
        <w:rPr>
          <w:rFonts w:hint="eastAsia" w:ascii="宋体" w:hAnsi="宋体" w:cs="宋体"/>
          <w:b/>
          <w:sz w:val="24"/>
        </w:rPr>
      </w:pPr>
    </w:p>
    <w:p>
      <w:pPr>
        <w:pStyle w:val="31"/>
        <w:rPr>
          <w:rFonts w:hint="eastAsia" w:ascii="宋体" w:hAnsi="宋体" w:cs="宋体"/>
          <w:b/>
          <w:sz w:val="24"/>
        </w:rPr>
      </w:pPr>
    </w:p>
    <w:p>
      <w:pPr>
        <w:pStyle w:val="11"/>
        <w:adjustRightInd w:val="0"/>
        <w:snapToGrid w:val="0"/>
        <w:spacing w:line="460" w:lineRule="atLeast"/>
        <w:rPr>
          <w:rFonts w:hint="eastAsia" w:hAnsi="宋体" w:cs="宋体"/>
          <w:b/>
          <w:sz w:val="30"/>
          <w:szCs w:val="30"/>
          <w:lang w:val="zh-CN"/>
        </w:rPr>
      </w:pPr>
    </w:p>
    <w:p>
      <w:pPr>
        <w:pStyle w:val="11"/>
        <w:adjustRightInd w:val="0"/>
        <w:snapToGrid w:val="0"/>
        <w:spacing w:line="460" w:lineRule="atLeast"/>
        <w:rPr>
          <w:rFonts w:hint="eastAsia" w:hAnsi="宋体" w:cs="宋体"/>
          <w:b/>
          <w:sz w:val="30"/>
          <w:szCs w:val="30"/>
          <w:lang w:val="zh-CN"/>
        </w:rPr>
      </w:pPr>
    </w:p>
    <w:p>
      <w:pPr>
        <w:pStyle w:val="11"/>
        <w:adjustRightInd w:val="0"/>
        <w:snapToGrid w:val="0"/>
        <w:spacing w:line="460" w:lineRule="atLeast"/>
        <w:rPr>
          <w:rFonts w:hint="eastAsia" w:hAnsi="宋体" w:cs="宋体"/>
          <w:b/>
          <w:sz w:val="30"/>
          <w:szCs w:val="30"/>
          <w:lang w:val="zh-CN"/>
        </w:rPr>
      </w:pPr>
    </w:p>
    <w:p>
      <w:pPr>
        <w:spacing w:line="293" w:lineRule="exact"/>
        <w:rPr>
          <w:rFonts w:hint="eastAsia" w:ascii="宋体" w:hAnsi="宋体" w:cs="宋体"/>
        </w:rPr>
      </w:pPr>
    </w:p>
    <w:p>
      <w:pPr>
        <w:widowControl/>
        <w:spacing w:before="100" w:beforeAutospacing="1" w:after="100" w:afterAutospacing="1" w:line="480" w:lineRule="auto"/>
        <w:jc w:val="center"/>
        <w:rPr>
          <w:rFonts w:hint="eastAsia" w:ascii="宋体" w:hAnsi="宋体" w:cs="宋体"/>
          <w:b/>
          <w:sz w:val="44"/>
          <w:szCs w:val="44"/>
        </w:rPr>
      </w:pPr>
      <w:r>
        <w:rPr>
          <w:rFonts w:hint="eastAsia" w:ascii="宋体" w:hAnsi="宋体" w:cs="宋体"/>
          <w:b/>
          <w:sz w:val="44"/>
          <w:szCs w:val="44"/>
        </w:rPr>
        <w:t>残疾人福利性单位声明函（如是）</w:t>
      </w:r>
    </w:p>
    <w:p>
      <w:pPr>
        <w:widowControl/>
        <w:spacing w:before="100" w:beforeAutospacing="1" w:after="100" w:afterAutospacing="1" w:line="480" w:lineRule="auto"/>
        <w:ind w:firstLine="360" w:firstLineChars="150"/>
        <w:jc w:val="left"/>
        <w:rPr>
          <w:rFonts w:hint="eastAsia" w:ascii="宋体" w:hAnsi="宋体" w:cs="宋体"/>
          <w:bCs/>
          <w:sz w:val="24"/>
        </w:rPr>
      </w:pPr>
      <w:r>
        <w:rPr>
          <w:rFonts w:hint="eastAsia" w:ascii="宋体" w:hAnsi="宋体" w:cs="宋体"/>
          <w:bCs/>
          <w:sz w:val="24"/>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cs="宋体"/>
          <w:bCs/>
          <w:sz w:val="24"/>
          <w:u w:val="single"/>
        </w:rPr>
        <w:t xml:space="preserve">    （项目名称）（项目编号）</w:t>
      </w:r>
      <w:r>
        <w:rPr>
          <w:rFonts w:hint="eastAsia" w:ascii="宋体" w:hAnsi="宋体" w:cs="宋体"/>
          <w:bCs/>
          <w:sz w:val="24"/>
        </w:rPr>
        <w:t>采购活动提供本单位制造的货物（由本单位承担工程/提供服务），或者提供其他残疾人福利性单位制造的货物（不包括使用非残疾人福利性单位注册商标的货物）。</w:t>
      </w:r>
    </w:p>
    <w:p>
      <w:pPr>
        <w:widowControl/>
        <w:spacing w:before="100" w:beforeAutospacing="1" w:after="100" w:afterAutospacing="1" w:line="480" w:lineRule="auto"/>
        <w:ind w:firstLine="360" w:firstLineChars="150"/>
        <w:jc w:val="left"/>
        <w:rPr>
          <w:rFonts w:hint="eastAsia" w:ascii="宋体" w:hAnsi="宋体" w:cs="宋体"/>
          <w:bCs/>
          <w:sz w:val="24"/>
        </w:rPr>
      </w:pPr>
      <w:r>
        <w:rPr>
          <w:rFonts w:hint="eastAsia" w:ascii="宋体" w:hAnsi="宋体" w:cs="宋体"/>
          <w:bCs/>
          <w:sz w:val="24"/>
        </w:rPr>
        <w:t>本单位对上述声明的真实性负责。如有虚假，将依法承担相应责任。</w:t>
      </w:r>
    </w:p>
    <w:p>
      <w:pPr>
        <w:snapToGrid w:val="0"/>
        <w:spacing w:line="360" w:lineRule="atLeast"/>
        <w:ind w:firstLine="570"/>
        <w:outlineLvl w:val="0"/>
        <w:rPr>
          <w:rFonts w:hint="eastAsia" w:ascii="宋体" w:hAnsi="宋体" w:cs="宋体"/>
          <w:b/>
          <w:sz w:val="36"/>
          <w:szCs w:val="36"/>
        </w:rPr>
      </w:pPr>
    </w:p>
    <w:p>
      <w:pPr>
        <w:widowControl/>
        <w:spacing w:before="100" w:beforeAutospacing="1" w:after="100" w:afterAutospacing="1" w:line="480" w:lineRule="auto"/>
        <w:ind w:firstLine="361" w:firstLineChars="150"/>
        <w:jc w:val="left"/>
        <w:rPr>
          <w:rFonts w:hint="eastAsia" w:ascii="宋体" w:hAnsi="宋体" w:cs="宋体"/>
          <w:b/>
          <w:bCs/>
          <w:sz w:val="24"/>
        </w:rPr>
      </w:pPr>
      <w:r>
        <w:rPr>
          <w:rFonts w:hint="eastAsia" w:ascii="宋体" w:hAnsi="宋体" w:cs="宋体"/>
          <w:b/>
          <w:bCs/>
          <w:sz w:val="24"/>
        </w:rPr>
        <w:t xml:space="preserve">企业名称（盖章）： </w:t>
      </w:r>
    </w:p>
    <w:p>
      <w:pPr>
        <w:autoSpaceDE w:val="0"/>
        <w:autoSpaceDN w:val="0"/>
        <w:adjustRightInd w:val="0"/>
        <w:spacing w:line="440" w:lineRule="atLeast"/>
        <w:ind w:firstLine="354" w:firstLineChars="147"/>
        <w:rPr>
          <w:rFonts w:hint="eastAsia" w:ascii="宋体" w:hAnsi="宋体" w:cs="宋体"/>
          <w:sz w:val="22"/>
          <w:szCs w:val="22"/>
          <w:lang w:val="zh-CN"/>
        </w:rPr>
      </w:pPr>
      <w:r>
        <w:rPr>
          <w:rFonts w:hint="eastAsia" w:ascii="宋体" w:hAnsi="宋体" w:cs="宋体"/>
          <w:b/>
          <w:bCs/>
          <w:sz w:val="24"/>
        </w:rPr>
        <w:t>日期：</w:t>
      </w:r>
    </w:p>
    <w:p>
      <w:pPr>
        <w:widowControl/>
        <w:snapToGrid w:val="0"/>
        <w:spacing w:line="360" w:lineRule="auto"/>
        <w:jc w:val="center"/>
        <w:rPr>
          <w:rFonts w:hint="eastAsia" w:ascii="宋体" w:hAnsi="宋体" w:cs="宋体"/>
          <w:b/>
          <w:color w:val="000000"/>
          <w:kern w:val="0"/>
          <w:sz w:val="32"/>
          <w:szCs w:val="32"/>
        </w:rPr>
      </w:pPr>
    </w:p>
    <w:p>
      <w:pPr>
        <w:widowControl/>
        <w:snapToGrid w:val="0"/>
        <w:spacing w:line="360" w:lineRule="auto"/>
        <w:jc w:val="center"/>
        <w:rPr>
          <w:rFonts w:hint="eastAsia" w:ascii="宋体" w:hAnsi="宋体" w:cs="宋体"/>
          <w:b/>
          <w:color w:val="000000"/>
          <w:kern w:val="0"/>
          <w:sz w:val="32"/>
          <w:szCs w:val="32"/>
        </w:rPr>
      </w:pPr>
      <w:r>
        <w:rPr>
          <w:rFonts w:hint="eastAsia" w:ascii="宋体" w:hAnsi="宋体" w:cs="宋体"/>
          <w:b/>
          <w:color w:val="000000"/>
          <w:kern w:val="0"/>
          <w:sz w:val="32"/>
          <w:szCs w:val="32"/>
        </w:rPr>
        <w:br w:type="page"/>
      </w:r>
    </w:p>
    <w:p>
      <w:pPr>
        <w:widowControl/>
        <w:snapToGrid w:val="0"/>
        <w:spacing w:line="360" w:lineRule="auto"/>
        <w:jc w:val="center"/>
        <w:rPr>
          <w:rFonts w:hint="eastAsia" w:ascii="宋体" w:hAnsi="宋体" w:cs="宋体"/>
          <w:b/>
          <w:color w:val="000000"/>
          <w:kern w:val="0"/>
          <w:sz w:val="32"/>
          <w:szCs w:val="32"/>
        </w:rPr>
      </w:pPr>
      <w:r>
        <w:rPr>
          <w:rFonts w:hint="eastAsia" w:ascii="宋体" w:hAnsi="宋体" w:cs="宋体"/>
          <w:b/>
          <w:color w:val="000000"/>
          <w:kern w:val="0"/>
          <w:sz w:val="32"/>
          <w:szCs w:val="32"/>
        </w:rPr>
        <w:t>（三）监狱企业声明函</w:t>
      </w:r>
    </w:p>
    <w:p>
      <w:pPr>
        <w:widowControl/>
        <w:snapToGrid w:val="0"/>
        <w:spacing w:line="360" w:lineRule="auto"/>
        <w:ind w:firstLine="480" w:firstLineChars="200"/>
        <w:jc w:val="center"/>
        <w:rPr>
          <w:rFonts w:hint="eastAsia" w:ascii="宋体" w:hAnsi="宋体" w:cs="宋体"/>
          <w:color w:val="000000"/>
          <w:kern w:val="0"/>
          <w:sz w:val="24"/>
        </w:rPr>
      </w:pPr>
    </w:p>
    <w:p>
      <w:pPr>
        <w:widowControl/>
        <w:snapToGrid w:val="0"/>
        <w:spacing w:line="360" w:lineRule="auto"/>
        <w:ind w:firstLine="480" w:firstLineChars="200"/>
        <w:jc w:val="center"/>
        <w:rPr>
          <w:rFonts w:hint="eastAsia" w:ascii="宋体" w:hAnsi="宋体" w:cs="宋体"/>
          <w:color w:val="000000"/>
          <w:kern w:val="0"/>
          <w:sz w:val="24"/>
        </w:rPr>
      </w:pPr>
      <w:r>
        <w:rPr>
          <w:rFonts w:hint="eastAsia" w:ascii="宋体" w:hAnsi="宋体" w:cs="宋体"/>
          <w:color w:val="000000"/>
          <w:kern w:val="0"/>
          <w:sz w:val="24"/>
        </w:rPr>
        <w:t>【不属于监狱企业的无需填写、递交】</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本公司郑重声明，根据《关于政府采购支持监狱企业发展有关问题的通知》 （财库[2014]68 号）的规定，本公司为</w:t>
      </w:r>
      <w:r>
        <w:rPr>
          <w:rFonts w:hint="eastAsia" w:ascii="宋体" w:hAnsi="宋体" w:cs="宋体"/>
          <w:color w:val="000000"/>
          <w:kern w:val="0"/>
          <w:sz w:val="24"/>
          <w:u w:val="single"/>
        </w:rPr>
        <w:t>监狱企业</w:t>
      </w:r>
      <w:r>
        <w:rPr>
          <w:rFonts w:hint="eastAsia" w:ascii="宋体" w:hAnsi="宋体" w:cs="宋体"/>
          <w:color w:val="000000"/>
          <w:kern w:val="0"/>
          <w:sz w:val="24"/>
        </w:rPr>
        <w:t>。</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根据上述标准，我公司属于监狱企业的理由为：</w:t>
      </w:r>
      <w:r>
        <w:rPr>
          <w:rFonts w:hint="eastAsia" w:ascii="宋体" w:hAnsi="宋体" w:cs="宋体"/>
          <w:color w:val="000000"/>
          <w:kern w:val="0"/>
          <w:sz w:val="24"/>
          <w:u w:val="single"/>
        </w:rPr>
        <w:t xml:space="preserve">         </w:t>
      </w:r>
      <w:r>
        <w:rPr>
          <w:rFonts w:hint="eastAsia" w:ascii="宋体" w:hAnsi="宋体" w:cs="宋体"/>
          <w:color w:val="000000"/>
          <w:kern w:val="0"/>
          <w:sz w:val="24"/>
        </w:rPr>
        <w:t>。</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本公司为参加（</w:t>
      </w:r>
      <w:r>
        <w:rPr>
          <w:rFonts w:hint="eastAsia" w:ascii="宋体" w:hAnsi="宋体" w:cs="宋体"/>
          <w:color w:val="000000"/>
          <w:kern w:val="0"/>
          <w:sz w:val="24"/>
          <w:u w:val="single"/>
        </w:rPr>
        <w:t xml:space="preserve">    项目名称    </w:t>
      </w:r>
      <w:r>
        <w:rPr>
          <w:rFonts w:hint="eastAsia" w:ascii="宋体" w:hAnsi="宋体" w:cs="宋体"/>
          <w:color w:val="000000"/>
          <w:kern w:val="0"/>
          <w:sz w:val="24"/>
        </w:rPr>
        <w:t>） （项目编号：</w:t>
      </w:r>
      <w:r>
        <w:rPr>
          <w:rFonts w:hint="eastAsia" w:ascii="宋体" w:hAnsi="宋体" w:cs="宋体"/>
          <w:color w:val="000000"/>
          <w:kern w:val="0"/>
          <w:sz w:val="24"/>
          <w:u w:val="single"/>
        </w:rPr>
        <w:t xml:space="preserve">      </w:t>
      </w:r>
      <w:r>
        <w:rPr>
          <w:rFonts w:hint="eastAsia" w:ascii="宋体" w:hAnsi="宋体" w:cs="宋体"/>
          <w:color w:val="000000"/>
          <w:kern w:val="0"/>
          <w:sz w:val="24"/>
        </w:rPr>
        <w:t>）采购活动提供本企业提供服务。</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本公司对上述声明的真实性负责。如有虚假，将依法承担相应责任。</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投标供应商名称（盖章）：</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rPr>
          <w:rStyle w:val="32"/>
          <w:rFonts w:hint="eastAsia" w:ascii="宋体" w:hAnsi="宋体" w:cs="宋体"/>
          <w:sz w:val="40"/>
          <w:szCs w:val="40"/>
        </w:rPr>
      </w:pPr>
    </w:p>
    <w:p>
      <w:pPr>
        <w:rPr>
          <w:rStyle w:val="32"/>
          <w:rFonts w:hint="eastAsia" w:ascii="宋体" w:hAnsi="宋体" w:cs="宋体"/>
          <w:sz w:val="40"/>
          <w:szCs w:val="40"/>
        </w:rPr>
      </w:pPr>
    </w:p>
    <w:p>
      <w:pPr>
        <w:rPr>
          <w:rStyle w:val="32"/>
          <w:rFonts w:hint="eastAsia" w:ascii="宋体" w:hAnsi="宋体" w:cs="宋体"/>
          <w:sz w:val="40"/>
          <w:szCs w:val="40"/>
        </w:rPr>
      </w:pPr>
    </w:p>
    <w:p>
      <w:pPr>
        <w:rPr>
          <w:rStyle w:val="32"/>
          <w:rFonts w:hint="eastAsia" w:ascii="宋体" w:hAnsi="宋体" w:cs="宋体"/>
          <w:sz w:val="40"/>
          <w:szCs w:val="40"/>
        </w:rPr>
      </w:pPr>
    </w:p>
    <w:p>
      <w:pPr>
        <w:rPr>
          <w:rStyle w:val="32"/>
          <w:rFonts w:hint="eastAsia" w:ascii="宋体" w:hAnsi="宋体" w:cs="宋体"/>
          <w:sz w:val="40"/>
          <w:szCs w:val="40"/>
        </w:rPr>
      </w:pPr>
    </w:p>
    <w:p>
      <w:pPr>
        <w:jc w:val="center"/>
        <w:rPr>
          <w:rFonts w:hint="eastAsia" w:ascii="新宋体" w:hAnsi="新宋体" w:eastAsia="新宋体"/>
          <w:b/>
          <w:sz w:val="24"/>
        </w:rPr>
      </w:pPr>
      <w:r>
        <w:rPr>
          <w:rStyle w:val="32"/>
          <w:rFonts w:hint="eastAsia" w:ascii="宋体" w:hAnsi="宋体" w:cs="宋体"/>
          <w:sz w:val="40"/>
          <w:szCs w:val="40"/>
        </w:rPr>
        <w:t>其它应提供的文件</w:t>
      </w:r>
    </w:p>
    <w:p>
      <w:pPr>
        <w:pStyle w:val="3"/>
        <w:keepNext w:val="0"/>
        <w:keepLines w:val="0"/>
        <w:pageBreakBefore/>
        <w:spacing w:line="240" w:lineRule="auto"/>
        <w:jc w:val="center"/>
        <w:rPr>
          <w:rFonts w:hint="eastAsia" w:ascii="新宋体" w:hAnsi="新宋体" w:eastAsia="新宋体" w:cs="Arial"/>
          <w:spacing w:val="20"/>
          <w:kern w:val="28"/>
          <w:sz w:val="32"/>
        </w:rPr>
      </w:pPr>
      <w:r>
        <w:rPr>
          <w:rFonts w:hint="eastAsia" w:ascii="新宋体" w:hAnsi="新宋体" w:eastAsia="新宋体"/>
          <w:spacing w:val="20"/>
          <w:sz w:val="32"/>
        </w:rPr>
        <w:t xml:space="preserve">第六章  </w:t>
      </w:r>
      <w:r>
        <w:rPr>
          <w:rFonts w:hint="eastAsia" w:ascii="新宋体" w:hAnsi="新宋体" w:eastAsia="新宋体" w:cs="Arial"/>
          <w:spacing w:val="20"/>
          <w:kern w:val="28"/>
          <w:sz w:val="32"/>
          <w:szCs w:val="32"/>
        </w:rPr>
        <w:t>评标原则及方法</w:t>
      </w:r>
    </w:p>
    <w:p>
      <w:pPr>
        <w:tabs>
          <w:tab w:val="left" w:pos="8820"/>
        </w:tabs>
        <w:adjustRightInd w:val="0"/>
        <w:snapToGrid w:val="0"/>
        <w:spacing w:before="100" w:after="50" w:line="440" w:lineRule="atLeast"/>
        <w:ind w:firstLine="440" w:firstLineChars="200"/>
        <w:rPr>
          <w:rFonts w:hint="eastAsia" w:ascii="宋体"/>
          <w:sz w:val="22"/>
          <w:szCs w:val="22"/>
        </w:rPr>
      </w:pPr>
      <w:r>
        <w:rPr>
          <w:rFonts w:hint="eastAsia" w:ascii="宋体"/>
          <w:sz w:val="22"/>
          <w:szCs w:val="22"/>
        </w:rPr>
        <w:t>根据《中华人民共和国政府采购法》等有关政府采购法规，结合本次所要采购货物的实际，按照公平、公正、科学、择优的原则选择成交单位，特制定本评审办法。</w:t>
      </w:r>
    </w:p>
    <w:p>
      <w:pPr>
        <w:adjustRightInd w:val="0"/>
        <w:snapToGrid w:val="0"/>
        <w:spacing w:before="156" w:beforeLines="50" w:after="50" w:line="440" w:lineRule="atLeast"/>
        <w:jc w:val="center"/>
        <w:rPr>
          <w:rFonts w:hint="eastAsia" w:ascii="宋体"/>
          <w:bCs/>
          <w:sz w:val="22"/>
          <w:szCs w:val="22"/>
        </w:rPr>
      </w:pPr>
      <w:r>
        <w:rPr>
          <w:rFonts w:hint="eastAsia" w:ascii="宋体"/>
          <w:bCs/>
          <w:sz w:val="22"/>
          <w:szCs w:val="22"/>
        </w:rPr>
        <w:t>一、总则</w:t>
      </w:r>
    </w:p>
    <w:p>
      <w:pPr>
        <w:pStyle w:val="13"/>
        <w:adjustRightInd w:val="0"/>
        <w:snapToGrid w:val="0"/>
        <w:spacing w:before="100" w:after="50" w:line="440" w:lineRule="atLeast"/>
        <w:rPr>
          <w:rFonts w:hint="eastAsia"/>
          <w:sz w:val="22"/>
          <w:szCs w:val="22"/>
        </w:rPr>
      </w:pPr>
      <w:r>
        <w:rPr>
          <w:rFonts w:hint="eastAsia"/>
          <w:sz w:val="22"/>
          <w:szCs w:val="22"/>
        </w:rPr>
        <w:t>评审工作遵循公平、公正、民主、科学的原则和诚实、信誉、效率的服务原则。本着科学、严谨的态度，认真进行评审。择优选定供货单位，确保货物的质量、</w:t>
      </w:r>
      <w:r>
        <w:rPr>
          <w:rFonts w:hint="eastAsia"/>
          <w:sz w:val="22"/>
          <w:szCs w:val="22"/>
          <w:lang w:val="en-US" w:eastAsia="zh-CN"/>
        </w:rPr>
        <w:t>完工</w:t>
      </w:r>
      <w:r>
        <w:rPr>
          <w:rFonts w:hint="eastAsia"/>
          <w:sz w:val="22"/>
          <w:szCs w:val="22"/>
        </w:rPr>
        <w:t>期，节约投资，最大限度的保护当事人权益，严格按照投标文件的商务、技术要求，对投标文件进行综合评定，提出优选方案，编写成交报告。评标委员会必须严格遵守保密规定，不得泄漏评审的有关情况，不得索贿受贿，不得接受吃请和礼品，不得参加影响公正评审的有关活动。对落标单位，评标委员会不作任何落标解释。供应商不得以任何方式干扰招投标工作的进行，一经发现其投标文件将被拒绝。</w:t>
      </w:r>
    </w:p>
    <w:p>
      <w:pPr>
        <w:adjustRightInd w:val="0"/>
        <w:snapToGrid w:val="0"/>
        <w:spacing w:before="156" w:beforeLines="50" w:after="50" w:line="440" w:lineRule="atLeast"/>
        <w:jc w:val="center"/>
        <w:rPr>
          <w:rFonts w:hint="eastAsia" w:ascii="宋体"/>
          <w:bCs/>
          <w:sz w:val="22"/>
          <w:szCs w:val="22"/>
        </w:rPr>
      </w:pPr>
      <w:r>
        <w:rPr>
          <w:rFonts w:hint="eastAsia" w:ascii="宋体"/>
          <w:bCs/>
          <w:sz w:val="22"/>
          <w:szCs w:val="22"/>
        </w:rPr>
        <w:t>二、评审组织</w:t>
      </w:r>
    </w:p>
    <w:p>
      <w:pPr>
        <w:pStyle w:val="13"/>
        <w:adjustRightInd w:val="0"/>
        <w:snapToGrid w:val="0"/>
        <w:spacing w:before="100" w:after="50" w:line="440" w:lineRule="atLeast"/>
        <w:rPr>
          <w:rFonts w:hint="eastAsia"/>
          <w:sz w:val="22"/>
          <w:szCs w:val="22"/>
        </w:rPr>
      </w:pPr>
      <w:r>
        <w:rPr>
          <w:rFonts w:hint="eastAsia"/>
          <w:sz w:val="22"/>
          <w:szCs w:val="22"/>
        </w:rPr>
        <w:t>评审工作由采购机构依法组建的评标委员会负责，评标委员会由采购人代表以及评审专家库中随机抽取的有关技术、经济专家共同组成。评审全过程由采购管理部门或纪检部门监督。</w:t>
      </w:r>
    </w:p>
    <w:p>
      <w:pPr>
        <w:pStyle w:val="33"/>
        <w:widowControl w:val="0"/>
        <w:pBdr>
          <w:left w:val="none" w:color="auto" w:sz="0" w:space="0"/>
          <w:bottom w:val="none" w:color="auto" w:sz="0" w:space="0"/>
          <w:right w:val="none" w:color="auto" w:sz="0" w:space="0"/>
        </w:pBdr>
        <w:adjustRightInd w:val="0"/>
        <w:snapToGrid w:val="0"/>
        <w:spacing w:before="156" w:beforeLines="50" w:beforeAutospacing="0" w:after="50" w:afterAutospacing="0" w:line="440" w:lineRule="atLeast"/>
        <w:textAlignment w:val="auto"/>
        <w:rPr>
          <w:rFonts w:hint="eastAsia" w:ascii="宋体" w:hAnsi="宋体"/>
          <w:b w:val="0"/>
          <w:kern w:val="2"/>
          <w:sz w:val="22"/>
          <w:szCs w:val="22"/>
        </w:rPr>
      </w:pPr>
      <w:r>
        <w:rPr>
          <w:rFonts w:hint="eastAsia" w:ascii="宋体" w:hAnsi="宋体"/>
          <w:b w:val="0"/>
          <w:kern w:val="2"/>
          <w:sz w:val="22"/>
          <w:szCs w:val="22"/>
        </w:rPr>
        <w:t>三、评标程序及评审办法</w:t>
      </w:r>
    </w:p>
    <w:p>
      <w:pPr>
        <w:pStyle w:val="7"/>
        <w:adjustRightInd w:val="0"/>
        <w:snapToGrid w:val="0"/>
        <w:spacing w:before="156" w:beforeLines="50" w:after="50" w:line="440" w:lineRule="atLeast"/>
        <w:ind w:firstLine="440"/>
        <w:rPr>
          <w:rFonts w:hint="eastAsia" w:ascii="宋体"/>
          <w:sz w:val="22"/>
          <w:szCs w:val="22"/>
        </w:rPr>
      </w:pPr>
      <w:r>
        <w:rPr>
          <w:rFonts w:hint="eastAsia" w:ascii="宋体"/>
          <w:sz w:val="22"/>
          <w:szCs w:val="22"/>
        </w:rPr>
        <w:t>本次开标，技术资信标和商务标分别开启，程序如下：</w:t>
      </w:r>
    </w:p>
    <w:p>
      <w:pPr>
        <w:adjustRightInd w:val="0"/>
        <w:snapToGrid w:val="0"/>
        <w:spacing w:before="100" w:after="50" w:line="440" w:lineRule="atLeast"/>
        <w:ind w:firstLine="420"/>
        <w:rPr>
          <w:rFonts w:hint="eastAsia" w:ascii="宋体"/>
          <w:sz w:val="22"/>
          <w:szCs w:val="22"/>
        </w:rPr>
      </w:pPr>
      <w:r>
        <w:rPr>
          <w:rFonts w:hint="eastAsia" w:ascii="宋体"/>
          <w:sz w:val="22"/>
          <w:szCs w:val="22"/>
        </w:rPr>
        <w:t>第一步：首先开启技术资信标，评标委员会根据评审原则和评审办法，对各供应商的资信、技术部分文件进行评审，技术资信标不满足采购文件规定的做无效报价文件处理，并退回商务报价文件。</w:t>
      </w:r>
    </w:p>
    <w:p>
      <w:pPr>
        <w:adjustRightInd w:val="0"/>
        <w:snapToGrid w:val="0"/>
        <w:spacing w:before="100" w:after="50" w:line="440" w:lineRule="atLeast"/>
        <w:ind w:firstLine="420"/>
        <w:rPr>
          <w:rFonts w:hint="eastAsia" w:ascii="宋体"/>
          <w:sz w:val="22"/>
          <w:szCs w:val="22"/>
        </w:rPr>
      </w:pPr>
      <w:r>
        <w:rPr>
          <w:rFonts w:hint="eastAsia" w:ascii="宋体"/>
          <w:sz w:val="22"/>
          <w:szCs w:val="22"/>
        </w:rPr>
        <w:t>第二步：公开启技术资信标文件符合采购文件要求的有效供应商的商务报价文件。</w:t>
      </w:r>
    </w:p>
    <w:p>
      <w:pPr>
        <w:adjustRightInd w:val="0"/>
        <w:snapToGrid w:val="0"/>
        <w:spacing w:before="100" w:after="50" w:line="440" w:lineRule="atLeast"/>
        <w:ind w:firstLine="420"/>
        <w:rPr>
          <w:rFonts w:hint="eastAsia" w:ascii="宋体"/>
          <w:sz w:val="22"/>
          <w:szCs w:val="22"/>
        </w:rPr>
      </w:pPr>
      <w:r>
        <w:rPr>
          <w:rFonts w:hint="eastAsia" w:ascii="宋体"/>
          <w:sz w:val="22"/>
          <w:szCs w:val="22"/>
        </w:rPr>
        <w:t>第三步：以技术资信部分和商务报价部分合计分值最高的供应商作为预中标供应商向采购人推荐：评标价计算原则按采购文件规定。</w:t>
      </w:r>
    </w:p>
    <w:p>
      <w:pPr>
        <w:adjustRightInd w:val="0"/>
        <w:snapToGrid w:val="0"/>
        <w:spacing w:before="100" w:after="50" w:line="440" w:lineRule="atLeast"/>
        <w:ind w:firstLine="420"/>
        <w:rPr>
          <w:rFonts w:hint="eastAsia" w:ascii="宋体"/>
          <w:sz w:val="22"/>
          <w:szCs w:val="22"/>
        </w:rPr>
      </w:pPr>
      <w:r>
        <w:rPr>
          <w:rFonts w:hint="eastAsia" w:ascii="宋体"/>
          <w:sz w:val="22"/>
          <w:szCs w:val="22"/>
        </w:rPr>
        <w:t>第四步：采购人可授权由评标委员会根据评审报告直接确定中标供应商。</w:t>
      </w:r>
    </w:p>
    <w:p>
      <w:pPr>
        <w:spacing w:line="500" w:lineRule="exact"/>
        <w:rPr>
          <w:rFonts w:hint="eastAsia" w:ascii="新宋体" w:hAnsi="新宋体" w:eastAsia="新宋体" w:cs="Arial"/>
          <w:b/>
          <w:bCs/>
          <w:kern w:val="28"/>
          <w:sz w:val="22"/>
          <w:szCs w:val="22"/>
        </w:rPr>
      </w:pPr>
    </w:p>
    <w:p>
      <w:pPr>
        <w:spacing w:line="500" w:lineRule="exact"/>
        <w:rPr>
          <w:rFonts w:hint="eastAsia" w:ascii="新宋体" w:hAnsi="新宋体" w:eastAsia="新宋体" w:cs="Arial"/>
          <w:b/>
          <w:bCs/>
          <w:kern w:val="28"/>
          <w:sz w:val="22"/>
          <w:szCs w:val="22"/>
        </w:rPr>
      </w:pPr>
    </w:p>
    <w:p>
      <w:pPr>
        <w:spacing w:line="500" w:lineRule="exact"/>
        <w:rPr>
          <w:rFonts w:hint="eastAsia" w:ascii="新宋体" w:hAnsi="新宋体" w:eastAsia="新宋体" w:cs="Arial"/>
          <w:b/>
          <w:bCs/>
          <w:kern w:val="28"/>
          <w:sz w:val="22"/>
          <w:szCs w:val="22"/>
        </w:rPr>
      </w:pPr>
      <w:r>
        <w:rPr>
          <w:rFonts w:hint="eastAsia" w:ascii="新宋体" w:hAnsi="新宋体" w:eastAsia="新宋体" w:cs="Arial"/>
          <w:b/>
          <w:bCs/>
          <w:kern w:val="28"/>
          <w:sz w:val="22"/>
          <w:szCs w:val="22"/>
        </w:rPr>
        <w:t>五、评标办法</w:t>
      </w:r>
    </w:p>
    <w:p>
      <w:pPr>
        <w:pStyle w:val="11"/>
        <w:adjustRightInd w:val="0"/>
        <w:snapToGrid w:val="0"/>
        <w:spacing w:line="360" w:lineRule="atLeast"/>
        <w:ind w:firstLine="440" w:firstLineChars="200"/>
        <w:rPr>
          <w:rFonts w:hint="eastAsia" w:hAnsi="宋体"/>
          <w:bCs/>
          <w:sz w:val="22"/>
          <w:szCs w:val="22"/>
        </w:rPr>
      </w:pPr>
      <w:r>
        <w:rPr>
          <w:rFonts w:hint="eastAsia" w:hAnsi="宋体"/>
          <w:bCs/>
          <w:sz w:val="22"/>
          <w:szCs w:val="22"/>
        </w:rPr>
        <w:t>一、</w:t>
      </w:r>
      <w:r>
        <w:rPr>
          <w:rFonts w:hint="eastAsia" w:hAnsi="宋体"/>
          <w:bCs/>
          <w:sz w:val="22"/>
          <w:szCs w:val="22"/>
          <w:u w:val="single"/>
        </w:rPr>
        <w:t>商务报价评分</w:t>
      </w:r>
      <w:r>
        <w:rPr>
          <w:rFonts w:hint="eastAsia" w:hAnsi="宋体"/>
          <w:bCs/>
          <w:sz w:val="22"/>
          <w:szCs w:val="22"/>
        </w:rPr>
        <w:t>3</w:t>
      </w:r>
      <w:r>
        <w:rPr>
          <w:rFonts w:hAnsi="宋体"/>
          <w:bCs/>
          <w:sz w:val="22"/>
          <w:szCs w:val="22"/>
        </w:rPr>
        <w:t>0</w:t>
      </w:r>
      <w:r>
        <w:rPr>
          <w:rFonts w:hint="eastAsia" w:hAnsi="宋体"/>
          <w:bCs/>
          <w:sz w:val="22"/>
          <w:szCs w:val="22"/>
        </w:rPr>
        <w:t>分</w:t>
      </w:r>
    </w:p>
    <w:p>
      <w:pPr>
        <w:adjustRightInd w:val="0"/>
        <w:snapToGrid w:val="0"/>
        <w:spacing w:before="100" w:after="50" w:line="360" w:lineRule="atLeast"/>
        <w:ind w:firstLine="420"/>
        <w:rPr>
          <w:rFonts w:hint="eastAsia" w:ascii="宋体"/>
          <w:sz w:val="22"/>
          <w:szCs w:val="22"/>
          <w:u w:val="single"/>
        </w:rPr>
      </w:pPr>
      <w:r>
        <w:rPr>
          <w:rFonts w:hint="eastAsia" w:ascii="宋体"/>
          <w:sz w:val="22"/>
          <w:szCs w:val="22"/>
          <w:u w:val="single"/>
        </w:rPr>
        <w:t>1、以供应商有效投标价中的最低投标折扣率为评标基准价，得满分3</w:t>
      </w:r>
      <w:r>
        <w:rPr>
          <w:rFonts w:ascii="宋体"/>
          <w:sz w:val="22"/>
          <w:szCs w:val="22"/>
          <w:u w:val="single"/>
        </w:rPr>
        <w:t>0</w:t>
      </w:r>
      <w:r>
        <w:rPr>
          <w:rFonts w:hint="eastAsia" w:ascii="宋体"/>
          <w:sz w:val="22"/>
          <w:szCs w:val="22"/>
          <w:u w:val="single"/>
        </w:rPr>
        <w:t>分。商务报价评分结算公式为:投标报价得分=(评标基准价／投标报价)×3</w:t>
      </w:r>
      <w:r>
        <w:rPr>
          <w:rFonts w:ascii="宋体"/>
          <w:sz w:val="22"/>
          <w:szCs w:val="22"/>
          <w:u w:val="single"/>
        </w:rPr>
        <w:t>0</w:t>
      </w:r>
      <w:r>
        <w:rPr>
          <w:rFonts w:hint="eastAsia" w:ascii="宋体"/>
          <w:sz w:val="22"/>
          <w:szCs w:val="22"/>
          <w:u w:val="single"/>
        </w:rPr>
        <w:t>%×100</w:t>
      </w:r>
    </w:p>
    <w:p>
      <w:pPr>
        <w:adjustRightInd w:val="0"/>
        <w:snapToGrid w:val="0"/>
        <w:spacing w:before="100" w:after="50" w:line="360" w:lineRule="atLeast"/>
        <w:ind w:firstLine="420"/>
        <w:rPr>
          <w:rFonts w:hint="eastAsia" w:ascii="宋体"/>
          <w:sz w:val="22"/>
          <w:szCs w:val="22"/>
          <w:u w:val="single"/>
        </w:rPr>
      </w:pPr>
      <w:r>
        <w:rPr>
          <w:rFonts w:hint="eastAsia" w:ascii="宋体"/>
          <w:sz w:val="22"/>
          <w:szCs w:val="22"/>
        </w:rPr>
        <w:t>2、</w:t>
      </w:r>
      <w:r>
        <w:rPr>
          <w:rFonts w:ascii="宋体"/>
          <w:sz w:val="22"/>
          <w:szCs w:val="22"/>
          <w:u w:val="single"/>
        </w:rPr>
        <w:t>重要提示：为防止恶意竞标的行为，评审小组认为投标供应商的报价明显低于其他通过符合性审查的投标供应商的报价，有可能影响产品质量或者不能诚信履约的，将要求投标供应商在评审现场合理的时间内提供书面说明，必要时提交相关证明材料；投标供应商不能证明其报价合理性的</w:t>
      </w:r>
      <w:r>
        <w:rPr>
          <w:rFonts w:hint="eastAsia" w:ascii="宋体"/>
          <w:sz w:val="22"/>
          <w:szCs w:val="22"/>
          <w:u w:val="single"/>
        </w:rPr>
        <w:t>（需提供报价组成明细的证明材料）</w:t>
      </w:r>
      <w:r>
        <w:rPr>
          <w:rFonts w:ascii="宋体"/>
          <w:sz w:val="22"/>
          <w:szCs w:val="22"/>
          <w:u w:val="single"/>
        </w:rPr>
        <w:t>，评审小组将认定为无效投标。</w:t>
      </w:r>
    </w:p>
    <w:p>
      <w:pPr>
        <w:adjustRightInd w:val="0"/>
        <w:snapToGrid w:val="0"/>
        <w:spacing w:before="100" w:after="50" w:line="360" w:lineRule="atLeast"/>
        <w:ind w:firstLine="420"/>
        <w:rPr>
          <w:rFonts w:hint="eastAsia" w:ascii="宋体"/>
          <w:b/>
          <w:sz w:val="22"/>
          <w:szCs w:val="22"/>
          <w:u w:val="single"/>
        </w:rPr>
      </w:pPr>
      <w:r>
        <w:rPr>
          <w:rFonts w:hint="eastAsia" w:ascii="宋体"/>
          <w:b/>
          <w:sz w:val="22"/>
          <w:szCs w:val="22"/>
        </w:rPr>
        <w:t>3、</w:t>
      </w:r>
      <w:r>
        <w:rPr>
          <w:rFonts w:hint="eastAsia" w:ascii="宋体"/>
          <w:b/>
          <w:sz w:val="22"/>
          <w:szCs w:val="22"/>
          <w:u w:val="single"/>
        </w:rPr>
        <w:t>本项目在报价评审时依据《政府采购促进中小企业发展管理办法》（财库〔2020〕46 号）、《浙江省财政厅、浙江省中小企业局转发财政部工业和信息化部关于印发&lt;政府采购促进中小企业发展暂行办法&gt;的通知》（浙财采监〔2012〕11 号）相关规定，对小型和微型企业的产品给予价格扣除，用扣除后的价格参与评审，具体规定如下：</w:t>
      </w:r>
    </w:p>
    <w:p>
      <w:pPr>
        <w:adjustRightInd w:val="0"/>
        <w:snapToGrid w:val="0"/>
        <w:spacing w:before="100" w:after="50" w:line="360" w:lineRule="atLeast"/>
        <w:ind w:firstLine="420"/>
        <w:rPr>
          <w:rFonts w:ascii="宋体"/>
          <w:b/>
          <w:sz w:val="22"/>
          <w:szCs w:val="22"/>
          <w:u w:val="single"/>
        </w:rPr>
      </w:pPr>
      <w:r>
        <w:rPr>
          <w:rFonts w:ascii="宋体"/>
          <w:b/>
          <w:sz w:val="22"/>
          <w:szCs w:val="22"/>
          <w:u w:val="single"/>
        </w:rPr>
        <w:t>3.1投标供应商必须同时满足以下所有规定，方可享受小型、微型企业的价格扣除扶持政策：</w:t>
      </w:r>
    </w:p>
    <w:p>
      <w:pPr>
        <w:adjustRightInd w:val="0"/>
        <w:snapToGrid w:val="0"/>
        <w:spacing w:before="100" w:after="50" w:line="360" w:lineRule="atLeast"/>
        <w:ind w:firstLine="331" w:firstLineChars="150"/>
        <w:rPr>
          <w:rFonts w:hint="eastAsia" w:ascii="宋体"/>
          <w:b/>
          <w:sz w:val="22"/>
          <w:szCs w:val="22"/>
          <w:u w:val="single"/>
        </w:rPr>
      </w:pPr>
      <w:r>
        <w:rPr>
          <w:rFonts w:hint="eastAsia" w:ascii="宋体"/>
          <w:b/>
          <w:sz w:val="22"/>
          <w:szCs w:val="22"/>
          <w:u w:val="single"/>
        </w:rPr>
        <w:t>(1)本项目对小型和微型企业产品的价格给予 6% 的扣除，用扣除后的价格（即投标报价的 94% ）参与报价分评审。</w:t>
      </w:r>
    </w:p>
    <w:p>
      <w:pPr>
        <w:adjustRightInd w:val="0"/>
        <w:snapToGrid w:val="0"/>
        <w:spacing w:before="100" w:after="50" w:line="360" w:lineRule="atLeast"/>
        <w:ind w:firstLine="331" w:firstLineChars="150"/>
        <w:rPr>
          <w:rFonts w:hint="eastAsia" w:ascii="宋体"/>
          <w:b/>
          <w:sz w:val="22"/>
          <w:szCs w:val="22"/>
          <w:u w:val="single"/>
        </w:rPr>
      </w:pPr>
      <w:r>
        <w:rPr>
          <w:rFonts w:hint="eastAsia" w:ascii="宋体"/>
          <w:b/>
          <w:sz w:val="22"/>
          <w:szCs w:val="22"/>
          <w:u w:val="single"/>
        </w:rPr>
        <w:t>(2)参与本项目政府采购活动的中小企业应当提供《中小企业声明函》证明函，否则评审时不予认定。</w:t>
      </w:r>
    </w:p>
    <w:p>
      <w:pPr>
        <w:adjustRightInd w:val="0"/>
        <w:snapToGrid w:val="0"/>
        <w:spacing w:before="100" w:after="50" w:line="360" w:lineRule="atLeast"/>
        <w:ind w:firstLine="331" w:firstLineChars="150"/>
        <w:rPr>
          <w:rFonts w:hint="eastAsia" w:ascii="宋体"/>
          <w:b/>
          <w:sz w:val="22"/>
          <w:szCs w:val="22"/>
          <w:u w:val="single"/>
        </w:rPr>
      </w:pPr>
      <w:r>
        <w:rPr>
          <w:rFonts w:hint="eastAsia" w:ascii="宋体"/>
          <w:b/>
          <w:sz w:val="22"/>
          <w:szCs w:val="22"/>
          <w:u w:val="single"/>
        </w:rPr>
        <w:t>(3)中小企业按上述优惠取得政府采购合同后，小型、微型企业不得分包或转包给大型、中型企业，中型企业不得分包或转包给大型企业。</w:t>
      </w:r>
    </w:p>
    <w:p>
      <w:pPr>
        <w:adjustRightInd w:val="0"/>
        <w:snapToGrid w:val="0"/>
        <w:spacing w:before="100" w:after="50" w:line="360" w:lineRule="atLeast"/>
        <w:ind w:firstLine="420"/>
        <w:rPr>
          <w:rFonts w:hint="eastAsia" w:ascii="宋体"/>
          <w:b/>
          <w:sz w:val="22"/>
          <w:szCs w:val="22"/>
          <w:u w:val="single"/>
        </w:rPr>
      </w:pPr>
      <w:r>
        <w:rPr>
          <w:rFonts w:hint="eastAsia" w:ascii="宋体"/>
          <w:b/>
          <w:sz w:val="22"/>
          <w:szCs w:val="22"/>
        </w:rPr>
        <w:t>4、</w:t>
      </w:r>
      <w:r>
        <w:rPr>
          <w:rFonts w:hint="eastAsia" w:ascii="宋体"/>
          <w:b/>
          <w:sz w:val="22"/>
          <w:szCs w:val="22"/>
          <w:u w:val="single"/>
        </w:rPr>
        <w:t>符合《财政部、司法部关于政府采购支持监狱企业发展有关问题的通知》（财库[2014]68 号）规定的监狱企业，在全部提供本单位制造的货物（由本单位承担工程/提供服务）或者提供其他监狱企业制造的货物（不包括使用非监狱企业注册商标的货物）参加政府采购活动时，视同小型、微型企业享受 6%的价格扣除扶持政策。</w:t>
      </w:r>
    </w:p>
    <w:p>
      <w:pPr>
        <w:adjustRightInd w:val="0"/>
        <w:snapToGrid w:val="0"/>
        <w:spacing w:before="100" w:after="50" w:line="360" w:lineRule="atLeast"/>
        <w:ind w:firstLine="420"/>
        <w:rPr>
          <w:rFonts w:hint="eastAsia" w:ascii="宋体"/>
          <w:b/>
          <w:sz w:val="22"/>
          <w:szCs w:val="22"/>
          <w:u w:val="single"/>
        </w:rPr>
      </w:pPr>
      <w:r>
        <w:rPr>
          <w:rFonts w:hint="eastAsia" w:ascii="宋体"/>
          <w:b/>
          <w:sz w:val="22"/>
          <w:szCs w:val="22"/>
          <w:u w:val="single"/>
        </w:rPr>
        <w:t>备注：（1）监狱企业证明文件：省级或以上监狱管理局、戒毒管理局（含新疆生产建设兵团）出具的属于监狱企业的证明文件。（2）如果提供其他监狱企业制造的货物，还须同时提供该企业为监狱企业的证明文件。</w:t>
      </w:r>
      <w:r>
        <w:rPr>
          <w:rFonts w:hint="eastAsia" w:ascii="宋体"/>
          <w:b/>
          <w:sz w:val="22"/>
          <w:szCs w:val="22"/>
          <w:u w:val="single"/>
        </w:rPr>
        <w:tab/>
      </w:r>
    </w:p>
    <w:p>
      <w:pPr>
        <w:adjustRightInd w:val="0"/>
        <w:snapToGrid w:val="0"/>
        <w:spacing w:before="100" w:after="50" w:line="360" w:lineRule="atLeast"/>
        <w:ind w:firstLine="420"/>
        <w:rPr>
          <w:rFonts w:hint="eastAsia" w:ascii="宋体"/>
          <w:b/>
          <w:sz w:val="22"/>
          <w:szCs w:val="22"/>
          <w:u w:val="single"/>
        </w:rPr>
      </w:pPr>
      <w:r>
        <w:rPr>
          <w:rFonts w:hint="eastAsia" w:ascii="宋体"/>
          <w:b/>
          <w:sz w:val="22"/>
          <w:szCs w:val="22"/>
        </w:rPr>
        <w:t>5、</w:t>
      </w:r>
      <w:r>
        <w:rPr>
          <w:rFonts w:hint="eastAsia" w:ascii="宋体"/>
          <w:b/>
          <w:sz w:val="22"/>
          <w:szCs w:val="22"/>
          <w:u w:val="single"/>
        </w:rPr>
        <w:t>符合《财政部、民政部、中国残疾人联合会关于促进残疾人就业政府采购政策的通知》（财库[2017]141 号）规定的残疾人福利性单位，在全部提供本单位制造的货物（由本单位承担工程/提供服务）或者提供其他残疾人福利性单位制造的货物（不包括使用非残疾人福利性单位注册商标的货物）参加政府采购活动时，视同小型、微型企业享受 6%价格扣除扶持政策。</w:t>
      </w:r>
    </w:p>
    <w:p>
      <w:pPr>
        <w:adjustRightInd w:val="0"/>
        <w:snapToGrid w:val="0"/>
        <w:spacing w:before="100" w:after="50" w:line="360" w:lineRule="atLeast"/>
        <w:ind w:firstLine="420"/>
        <w:rPr>
          <w:rFonts w:hint="eastAsia" w:ascii="宋体"/>
          <w:b/>
          <w:sz w:val="22"/>
          <w:szCs w:val="22"/>
          <w:u w:val="single"/>
        </w:rPr>
      </w:pPr>
      <w:r>
        <w:rPr>
          <w:rFonts w:hint="eastAsia" w:ascii="宋体"/>
          <w:b/>
          <w:sz w:val="22"/>
          <w:szCs w:val="22"/>
          <w:u w:val="single"/>
        </w:rPr>
        <w:t>备注：（1）残疾人福利性单位证明材料：残疾人福利性单位声明函。（2）如提供其他残疾人福利性单位制造的货物，还须同时提供该企业的残疾人福利性单位声明函。</w:t>
      </w:r>
    </w:p>
    <w:p>
      <w:pPr>
        <w:spacing w:line="500" w:lineRule="exact"/>
        <w:ind w:left="392" w:leftChars="29" w:hanging="331" w:hangingChars="150"/>
        <w:rPr>
          <w:rFonts w:ascii="宋体" w:hAnsi="Courier New"/>
        </w:rPr>
      </w:pPr>
      <w:r>
        <w:rPr>
          <w:rFonts w:hint="eastAsia" w:ascii="新宋体" w:hAnsi="新宋体" w:eastAsia="新宋体" w:cs="Arial"/>
          <w:b/>
          <w:bCs/>
          <w:kern w:val="28"/>
          <w:sz w:val="22"/>
          <w:szCs w:val="22"/>
        </w:rPr>
        <w:t xml:space="preserve">六、评标细则   </w:t>
      </w:r>
      <w:r>
        <w:rPr>
          <w:rFonts w:hint="eastAsia" w:ascii="宋体" w:hAnsi="Courier New"/>
        </w:rPr>
        <w:t>1、资信技术部分（70分）：</w:t>
      </w:r>
    </w:p>
    <w:tbl>
      <w:tblPr>
        <w:tblStyle w:val="19"/>
        <w:tblW w:w="5714"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98"/>
        <w:gridCol w:w="1350"/>
        <w:gridCol w:w="6773"/>
        <w:gridCol w:w="91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358" w:type="pct"/>
            <w:tcBorders>
              <w:top w:val="double" w:color="auto" w:sz="4" w:space="0"/>
              <w:left w:val="double" w:color="auto" w:sz="4" w:space="0"/>
              <w:bottom w:val="single" w:color="auto" w:sz="6" w:space="0"/>
              <w:right w:val="single" w:color="auto" w:sz="6" w:space="0"/>
            </w:tcBorders>
            <w:noWrap w:val="0"/>
            <w:vAlign w:val="center"/>
          </w:tcPr>
          <w:p>
            <w:pPr>
              <w:spacing w:line="360" w:lineRule="auto"/>
              <w:jc w:val="center"/>
              <w:rPr>
                <w:rFonts w:hint="eastAsia" w:eastAsia="宋体"/>
                <w:b/>
                <w:bCs w:val="0"/>
                <w:szCs w:val="21"/>
                <w:lang w:eastAsia="zh-CN"/>
              </w:rPr>
            </w:pPr>
            <w:r>
              <w:rPr>
                <w:rFonts w:hint="eastAsia"/>
                <w:b/>
                <w:bCs w:val="0"/>
                <w:szCs w:val="21"/>
                <w:lang w:eastAsia="zh-CN"/>
              </w:rPr>
              <w:t>序号</w:t>
            </w:r>
          </w:p>
        </w:tc>
        <w:tc>
          <w:tcPr>
            <w:tcW w:w="4169" w:type="pct"/>
            <w:gridSpan w:val="2"/>
            <w:tcBorders>
              <w:top w:val="double" w:color="auto" w:sz="4" w:space="0"/>
              <w:left w:val="double" w:color="auto" w:sz="4" w:space="0"/>
              <w:bottom w:val="single" w:color="auto" w:sz="6" w:space="0"/>
              <w:right w:val="single" w:color="auto" w:sz="6" w:space="0"/>
            </w:tcBorders>
            <w:noWrap w:val="0"/>
            <w:vAlign w:val="center"/>
          </w:tcPr>
          <w:p>
            <w:pPr>
              <w:spacing w:line="360" w:lineRule="auto"/>
              <w:jc w:val="center"/>
              <w:rPr>
                <w:b/>
                <w:bCs w:val="0"/>
                <w:szCs w:val="21"/>
              </w:rPr>
            </w:pPr>
            <w:r>
              <w:rPr>
                <w:rFonts w:hint="eastAsia"/>
                <w:b/>
                <w:bCs w:val="0"/>
                <w:szCs w:val="21"/>
              </w:rPr>
              <w:t>评价标准</w:t>
            </w:r>
          </w:p>
        </w:tc>
        <w:tc>
          <w:tcPr>
            <w:tcW w:w="471" w:type="pct"/>
            <w:tcBorders>
              <w:top w:val="double" w:color="auto" w:sz="4" w:space="0"/>
              <w:left w:val="single" w:color="auto" w:sz="6" w:space="0"/>
              <w:bottom w:val="single" w:color="auto" w:sz="6" w:space="0"/>
              <w:right w:val="double" w:color="auto" w:sz="4" w:space="0"/>
            </w:tcBorders>
            <w:noWrap w:val="0"/>
            <w:vAlign w:val="center"/>
          </w:tcPr>
          <w:p>
            <w:pPr>
              <w:spacing w:line="360" w:lineRule="auto"/>
              <w:jc w:val="center"/>
              <w:rPr>
                <w:b/>
                <w:bCs w:val="0"/>
                <w:szCs w:val="21"/>
              </w:rPr>
            </w:pPr>
            <w:r>
              <w:rPr>
                <w:rFonts w:hint="eastAsia"/>
                <w:b/>
                <w:bCs w:val="0"/>
                <w:szCs w:val="21"/>
              </w:rPr>
              <w:t>分值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0" w:hRule="atLeast"/>
          <w:jc w:val="center"/>
        </w:trPr>
        <w:tc>
          <w:tcPr>
            <w:tcW w:w="358" w:type="pct"/>
            <w:tcBorders>
              <w:top w:val="single" w:color="auto" w:sz="6" w:space="0"/>
              <w:left w:val="double" w:color="auto" w:sz="4" w:space="0"/>
              <w:bottom w:val="double" w:color="auto" w:sz="4" w:space="0"/>
              <w:right w:val="single" w:color="auto" w:sz="6" w:space="0"/>
            </w:tcBorders>
            <w:noWrap w:val="0"/>
            <w:vAlign w:val="center"/>
          </w:tcPr>
          <w:p>
            <w:pPr>
              <w:jc w:val="center"/>
              <w:rPr>
                <w:rFonts w:hint="eastAsia" w:eastAsia="宋体"/>
                <w:szCs w:val="21"/>
                <w:lang w:val="en-US" w:eastAsia="zh-CN"/>
              </w:rPr>
            </w:pPr>
            <w:r>
              <w:rPr>
                <w:rFonts w:hint="eastAsia"/>
                <w:szCs w:val="21"/>
                <w:lang w:val="en-US" w:eastAsia="zh-CN"/>
              </w:rPr>
              <w:t>1</w:t>
            </w:r>
          </w:p>
        </w:tc>
        <w:tc>
          <w:tcPr>
            <w:tcW w:w="693" w:type="pct"/>
            <w:tcBorders>
              <w:top w:val="single" w:color="auto" w:sz="6" w:space="0"/>
              <w:left w:val="single" w:color="auto" w:sz="6" w:space="0"/>
              <w:bottom w:val="single" w:color="auto" w:sz="6" w:space="0"/>
              <w:right w:val="single" w:color="auto" w:sz="6" w:space="0"/>
            </w:tcBorders>
            <w:noWrap w:val="0"/>
            <w:vAlign w:val="center"/>
          </w:tcPr>
          <w:p>
            <w:pPr>
              <w:widowControl/>
              <w:tabs>
                <w:tab w:val="left" w:pos="938"/>
              </w:tabs>
              <w:ind w:left="87"/>
              <w:rPr>
                <w:szCs w:val="21"/>
              </w:rPr>
            </w:pPr>
            <w:r>
              <w:rPr>
                <w:rFonts w:hint="eastAsia"/>
                <w:szCs w:val="21"/>
              </w:rPr>
              <w:t>投标人综合实力</w:t>
            </w:r>
          </w:p>
        </w:tc>
        <w:tc>
          <w:tcPr>
            <w:tcW w:w="3476" w:type="pct"/>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Times New Roman"/>
                <w:kern w:val="0"/>
                <w:szCs w:val="21"/>
              </w:rPr>
            </w:pPr>
            <w:r>
              <w:rPr>
                <w:rFonts w:hint="eastAsia" w:ascii="宋体" w:hAnsi="宋体" w:eastAsia="宋体" w:cs="Times New Roman"/>
                <w:kern w:val="0"/>
                <w:szCs w:val="21"/>
              </w:rPr>
              <w:t>1.根据投标人综合实力进行评审，</w:t>
            </w:r>
            <w:r>
              <w:rPr>
                <w:rFonts w:hint="eastAsia" w:ascii="宋体" w:hAnsi="宋体" w:eastAsia="宋体" w:cs="Times New Roman"/>
                <w:color w:val="auto"/>
                <w:kern w:val="0"/>
                <w:szCs w:val="21"/>
              </w:rPr>
              <w:t>从</w:t>
            </w:r>
            <w:r>
              <w:rPr>
                <w:rFonts w:hint="eastAsia" w:ascii="宋体" w:hAnsi="宋体" w:cs="Times New Roman"/>
                <w:color w:val="auto"/>
                <w:kern w:val="0"/>
                <w:szCs w:val="21"/>
                <w:lang w:val="en-US" w:eastAsia="zh-CN"/>
              </w:rPr>
              <w:t>企业实力</w:t>
            </w:r>
            <w:r>
              <w:rPr>
                <w:rFonts w:hint="eastAsia" w:ascii="宋体" w:hAnsi="宋体" w:eastAsia="宋体" w:cs="Times New Roman"/>
                <w:color w:val="auto"/>
                <w:kern w:val="0"/>
                <w:szCs w:val="21"/>
                <w:lang w:val="en-US" w:eastAsia="zh-CN"/>
              </w:rPr>
              <w:t>、</w:t>
            </w:r>
            <w:r>
              <w:rPr>
                <w:rFonts w:hint="eastAsia" w:ascii="宋体" w:hAnsi="宋体" w:eastAsia="宋体" w:cs="Times New Roman"/>
                <w:kern w:val="0"/>
                <w:szCs w:val="21"/>
              </w:rPr>
              <w:t>技术人员储备</w:t>
            </w:r>
            <w:r>
              <w:rPr>
                <w:rFonts w:hint="eastAsia" w:ascii="宋体" w:hAnsi="宋体" w:eastAsia="宋体" w:cs="Times New Roman"/>
                <w:kern w:val="0"/>
                <w:szCs w:val="21"/>
                <w:lang w:eastAsia="zh-CN"/>
              </w:rPr>
              <w:t>、</w:t>
            </w:r>
            <w:r>
              <w:rPr>
                <w:rFonts w:hint="eastAsia" w:ascii="宋体" w:hAnsi="宋体" w:eastAsia="宋体" w:cs="Times New Roman"/>
                <w:kern w:val="0"/>
                <w:szCs w:val="21"/>
              </w:rPr>
              <w:t>信用等级等方面综合考虑</w:t>
            </w:r>
            <w:r>
              <w:rPr>
                <w:rFonts w:hint="eastAsia" w:ascii="宋体" w:hAnsi="宋体" w:cs="Times New Roman"/>
                <w:kern w:val="0"/>
                <w:szCs w:val="21"/>
                <w:lang w:eastAsia="zh-CN"/>
              </w:rPr>
              <w:t>（</w:t>
            </w:r>
            <w:r>
              <w:rPr>
                <w:rFonts w:hint="eastAsia" w:ascii="宋体" w:hAnsi="宋体" w:eastAsia="宋体" w:cs="Times New Roman"/>
                <w:kern w:val="0"/>
                <w:szCs w:val="21"/>
                <w:lang w:val="en-US" w:eastAsia="zh-CN"/>
              </w:rPr>
              <w:t>0</w:t>
            </w:r>
            <w:r>
              <w:rPr>
                <w:rFonts w:hint="eastAsia" w:ascii="宋体" w:hAnsi="宋体" w:eastAsia="宋体" w:cs="Times New Roman"/>
                <w:kern w:val="0"/>
                <w:szCs w:val="21"/>
              </w:rPr>
              <w:t>-</w:t>
            </w:r>
            <w:r>
              <w:rPr>
                <w:rFonts w:hint="eastAsia" w:ascii="宋体" w:hAnsi="宋体" w:eastAsia="宋体" w:cs="Times New Roman"/>
                <w:kern w:val="0"/>
                <w:szCs w:val="21"/>
                <w:lang w:val="en-US" w:eastAsia="zh-CN"/>
              </w:rPr>
              <w:t>3</w:t>
            </w:r>
            <w:r>
              <w:rPr>
                <w:rFonts w:hint="eastAsia" w:ascii="宋体" w:hAnsi="宋体" w:eastAsia="宋体" w:cs="Times New Roman"/>
                <w:kern w:val="0"/>
                <w:szCs w:val="21"/>
              </w:rPr>
              <w:t>分</w:t>
            </w:r>
            <w:r>
              <w:rPr>
                <w:rFonts w:hint="eastAsia" w:ascii="宋体" w:hAnsi="宋体" w:cs="Times New Roman"/>
                <w:kern w:val="0"/>
                <w:szCs w:val="21"/>
                <w:lang w:eastAsia="zh-CN"/>
              </w:rPr>
              <w:t>）</w:t>
            </w:r>
            <w:r>
              <w:rPr>
                <w:rFonts w:hint="eastAsia" w:ascii="宋体" w:hAnsi="宋体" w:eastAsia="宋体" w:cs="Times New Roman"/>
                <w:kern w:val="0"/>
                <w:szCs w:val="21"/>
              </w:rPr>
              <w:t>。</w:t>
            </w:r>
          </w:p>
          <w:p>
            <w:pPr>
              <w:rPr>
                <w:rFonts w:hint="default"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2</w:t>
            </w:r>
            <w:r>
              <w:rPr>
                <w:rFonts w:hint="eastAsia" w:ascii="宋体" w:hAnsi="宋体" w:eastAsia="宋体" w:cs="Times New Roman"/>
                <w:color w:val="auto"/>
                <w:kern w:val="0"/>
                <w:szCs w:val="21"/>
              </w:rPr>
              <w:t>.投标人获得建筑机电设备安装工程专业承包资质</w:t>
            </w:r>
            <w:r>
              <w:rPr>
                <w:rFonts w:hint="eastAsia" w:ascii="宋体" w:hAnsi="宋体" w:cs="Times New Roman"/>
                <w:color w:val="auto"/>
                <w:kern w:val="0"/>
                <w:szCs w:val="21"/>
                <w:lang w:eastAsia="zh-CN"/>
              </w:rPr>
              <w:t>证书</w:t>
            </w:r>
            <w:r>
              <w:rPr>
                <w:rFonts w:hint="eastAsia" w:ascii="宋体" w:hAnsi="宋体" w:eastAsia="宋体" w:cs="Times New Roman"/>
                <w:color w:val="auto"/>
                <w:kern w:val="0"/>
                <w:szCs w:val="21"/>
              </w:rPr>
              <w:t>同时具有电子与智能化工程专业承包</w:t>
            </w:r>
            <w:r>
              <w:rPr>
                <w:rFonts w:hint="eastAsia" w:ascii="宋体" w:hAnsi="宋体" w:cs="Times New Roman"/>
                <w:color w:val="auto"/>
                <w:kern w:val="0"/>
                <w:szCs w:val="21"/>
                <w:lang w:val="en-US" w:eastAsia="zh-CN"/>
              </w:rPr>
              <w:t>贰</w:t>
            </w:r>
            <w:r>
              <w:rPr>
                <w:rFonts w:hint="eastAsia" w:ascii="宋体" w:hAnsi="宋体" w:eastAsia="宋体" w:cs="Times New Roman"/>
                <w:color w:val="auto"/>
                <w:kern w:val="0"/>
                <w:szCs w:val="21"/>
              </w:rPr>
              <w:t>级</w:t>
            </w:r>
            <w:r>
              <w:rPr>
                <w:rFonts w:hint="eastAsia" w:ascii="宋体" w:hAnsi="宋体" w:cs="Times New Roman"/>
                <w:color w:val="auto"/>
                <w:kern w:val="0"/>
                <w:szCs w:val="21"/>
                <w:lang w:val="en-US" w:eastAsia="zh-CN"/>
              </w:rPr>
              <w:t>及以上</w:t>
            </w:r>
            <w:r>
              <w:rPr>
                <w:rFonts w:hint="eastAsia" w:ascii="宋体" w:hAnsi="宋体" w:eastAsia="宋体" w:cs="Times New Roman"/>
                <w:color w:val="auto"/>
                <w:kern w:val="0"/>
                <w:szCs w:val="21"/>
              </w:rPr>
              <w:t>资质证书，得</w:t>
            </w:r>
            <w:r>
              <w:rPr>
                <w:rFonts w:hint="eastAsia" w:ascii="宋体" w:hAnsi="宋体" w:cs="Times New Roman"/>
                <w:color w:val="auto"/>
                <w:kern w:val="0"/>
                <w:szCs w:val="21"/>
                <w:lang w:val="en-US" w:eastAsia="zh-CN"/>
              </w:rPr>
              <w:t>2</w:t>
            </w:r>
            <w:r>
              <w:rPr>
                <w:rFonts w:hint="eastAsia" w:ascii="宋体" w:hAnsi="宋体" w:eastAsia="宋体" w:cs="Times New Roman"/>
                <w:color w:val="auto"/>
                <w:kern w:val="0"/>
                <w:szCs w:val="21"/>
              </w:rPr>
              <w:t>分</w:t>
            </w:r>
            <w:r>
              <w:rPr>
                <w:rFonts w:hint="eastAsia" w:ascii="宋体" w:hAnsi="宋体" w:cs="Times New Roman"/>
                <w:color w:val="auto"/>
                <w:kern w:val="0"/>
                <w:szCs w:val="21"/>
                <w:lang w:val="en-US" w:eastAsia="zh-CN"/>
              </w:rPr>
              <w:t>，其他不得分。</w:t>
            </w:r>
          </w:p>
          <w:p>
            <w:pPr>
              <w:rPr>
                <w:rFonts w:hint="eastAsia" w:ascii="宋体" w:hAnsi="宋体" w:eastAsia="宋体" w:cs="Times New Roman"/>
                <w:kern w:val="0"/>
                <w:szCs w:val="21"/>
              </w:rPr>
            </w:pPr>
            <w:r>
              <w:rPr>
                <w:rFonts w:hint="eastAsia" w:ascii="宋体" w:hAnsi="宋体" w:eastAsia="宋体" w:cs="Times New Roman"/>
                <w:kern w:val="0"/>
                <w:szCs w:val="21"/>
                <w:lang w:val="en-US" w:eastAsia="zh-CN"/>
              </w:rPr>
              <w:t>3</w:t>
            </w:r>
            <w:r>
              <w:rPr>
                <w:rFonts w:hint="eastAsia" w:ascii="宋体" w:hAnsi="宋体" w:eastAsia="宋体" w:cs="Times New Roman"/>
                <w:kern w:val="0"/>
                <w:szCs w:val="21"/>
              </w:rPr>
              <w:t>.投标人</w:t>
            </w:r>
            <w:r>
              <w:rPr>
                <w:rFonts w:hint="eastAsia" w:ascii="宋体" w:hAnsi="宋体" w:cs="Times New Roman"/>
                <w:kern w:val="0"/>
                <w:szCs w:val="21"/>
                <w:lang w:val="en-US" w:eastAsia="zh-CN"/>
              </w:rPr>
              <w:t>同时</w:t>
            </w:r>
            <w:r>
              <w:rPr>
                <w:rFonts w:hint="eastAsia" w:ascii="宋体" w:hAnsi="宋体" w:eastAsia="宋体" w:cs="Times New Roman"/>
                <w:kern w:val="0"/>
                <w:szCs w:val="21"/>
              </w:rPr>
              <w:t>通过质量</w:t>
            </w:r>
            <w:r>
              <w:rPr>
                <w:rFonts w:hint="eastAsia" w:ascii="宋体" w:hAnsi="宋体" w:eastAsia="宋体" w:cs="Times New Roman"/>
                <w:kern w:val="0"/>
                <w:szCs w:val="21"/>
                <w:lang w:eastAsia="zh-CN"/>
              </w:rPr>
              <w:t>、</w:t>
            </w:r>
            <w:r>
              <w:rPr>
                <w:rFonts w:hint="eastAsia" w:ascii="宋体" w:hAnsi="宋体" w:eastAsia="宋体" w:cs="Times New Roman"/>
                <w:kern w:val="0"/>
                <w:szCs w:val="21"/>
                <w:lang w:val="en-US" w:eastAsia="zh-CN"/>
              </w:rPr>
              <w:t>环境、职业健康、信息安全</w:t>
            </w:r>
            <w:r>
              <w:rPr>
                <w:rFonts w:hint="eastAsia" w:ascii="宋体" w:hAnsi="宋体" w:eastAsia="宋体" w:cs="Times New Roman"/>
                <w:kern w:val="0"/>
                <w:szCs w:val="21"/>
              </w:rPr>
              <w:t>管理体系</w:t>
            </w:r>
            <w:r>
              <w:rPr>
                <w:rFonts w:hint="eastAsia" w:ascii="宋体" w:hAnsi="宋体" w:eastAsia="宋体" w:cs="Times New Roman"/>
                <w:kern w:val="0"/>
                <w:szCs w:val="21"/>
                <w:lang w:eastAsia="zh-CN"/>
              </w:rPr>
              <w:t>、</w:t>
            </w:r>
            <w:r>
              <w:rPr>
                <w:rFonts w:hint="eastAsia" w:ascii="宋体" w:hAnsi="宋体" w:eastAsia="宋体" w:cs="Times New Roman"/>
                <w:kern w:val="0"/>
                <w:szCs w:val="21"/>
              </w:rPr>
              <w:t>信息技术服务管理体系认证的得</w:t>
            </w:r>
            <w:r>
              <w:rPr>
                <w:rFonts w:hint="eastAsia" w:ascii="宋体" w:hAnsi="宋体" w:cs="Times New Roman"/>
                <w:kern w:val="0"/>
                <w:szCs w:val="21"/>
                <w:lang w:val="en-US" w:eastAsia="zh-CN"/>
              </w:rPr>
              <w:t>2.5</w:t>
            </w:r>
            <w:r>
              <w:rPr>
                <w:rFonts w:hint="eastAsia" w:ascii="宋体" w:hAnsi="宋体" w:eastAsia="宋体" w:cs="Times New Roman"/>
                <w:kern w:val="0"/>
                <w:szCs w:val="21"/>
              </w:rPr>
              <w:t>分</w:t>
            </w:r>
            <w:r>
              <w:rPr>
                <w:rFonts w:hint="eastAsia" w:ascii="宋体" w:hAnsi="宋体" w:cs="Times New Roman"/>
                <w:kern w:val="0"/>
                <w:szCs w:val="21"/>
                <w:lang w:eastAsia="zh-CN"/>
              </w:rPr>
              <w:t>，</w:t>
            </w:r>
            <w:r>
              <w:rPr>
                <w:rFonts w:hint="eastAsia" w:ascii="宋体" w:hAnsi="宋体" w:cs="Times New Roman"/>
                <w:kern w:val="0"/>
                <w:szCs w:val="21"/>
                <w:lang w:val="en-US" w:eastAsia="zh-CN"/>
              </w:rPr>
              <w:t>每缺一项扣0.5分</w:t>
            </w:r>
            <w:r>
              <w:rPr>
                <w:rFonts w:hint="eastAsia" w:ascii="宋体" w:hAnsi="宋体" w:eastAsia="宋体" w:cs="Times New Roman"/>
                <w:kern w:val="0"/>
                <w:szCs w:val="21"/>
              </w:rPr>
              <w:t>；</w:t>
            </w:r>
          </w:p>
          <w:p>
            <w:pPr>
              <w:rPr>
                <w:rFonts w:hint="eastAsia" w:ascii="宋体" w:hAnsi="宋体" w:eastAsia="宋体" w:cs="Times New Roman"/>
                <w:kern w:val="0"/>
                <w:szCs w:val="21"/>
              </w:rPr>
            </w:pPr>
            <w:r>
              <w:rPr>
                <w:rFonts w:hint="eastAsia" w:ascii="宋体" w:hAnsi="宋体" w:eastAsia="宋体" w:cs="Times New Roman"/>
                <w:kern w:val="0"/>
                <w:szCs w:val="21"/>
                <w:lang w:val="en-US" w:eastAsia="zh-CN"/>
              </w:rPr>
              <w:t>4</w:t>
            </w:r>
            <w:r>
              <w:rPr>
                <w:rFonts w:hint="eastAsia" w:ascii="宋体" w:hAnsi="宋体" w:eastAsia="宋体" w:cs="Times New Roman"/>
                <w:kern w:val="0"/>
                <w:szCs w:val="21"/>
              </w:rPr>
              <w:t>.</w:t>
            </w:r>
            <w:r>
              <w:rPr>
                <w:rFonts w:hint="eastAsia" w:cs="Times New Roman"/>
                <w:color w:val="auto"/>
                <w:lang w:val="en-US" w:eastAsia="zh-CN"/>
              </w:rPr>
              <w:t>投标人软件研发能力通过CMMI 5认证，得3分；通过CMMI 4认证，得2分；通过CMMI 3认证，得1分；其余不得分</w:t>
            </w:r>
            <w:r>
              <w:rPr>
                <w:rFonts w:hint="eastAsia" w:ascii="宋体" w:hAnsi="宋体" w:eastAsia="宋体" w:cs="Times New Roman"/>
                <w:color w:val="auto"/>
                <w:kern w:val="0"/>
                <w:szCs w:val="21"/>
              </w:rPr>
              <w:t>；</w:t>
            </w:r>
          </w:p>
          <w:p>
            <w:pPr>
              <w:rPr>
                <w:rFonts w:hint="eastAsia" w:cs="Times New Roman"/>
                <w:color w:val="auto"/>
                <w:lang w:val="en-US" w:eastAsia="zh-CN"/>
              </w:rPr>
            </w:pPr>
            <w:r>
              <w:rPr>
                <w:rFonts w:hint="eastAsia" w:ascii="宋体" w:hAnsi="宋体" w:eastAsia="宋体" w:cs="Times New Roman"/>
                <w:color w:val="auto"/>
                <w:kern w:val="0"/>
                <w:szCs w:val="21"/>
                <w:lang w:val="en-US" w:eastAsia="zh-CN"/>
              </w:rPr>
              <w:t>5</w:t>
            </w:r>
            <w:r>
              <w:rPr>
                <w:rFonts w:hint="eastAsia" w:ascii="宋体" w:hAnsi="宋体" w:eastAsia="宋体" w:cs="Times New Roman"/>
                <w:color w:val="auto"/>
                <w:kern w:val="0"/>
                <w:szCs w:val="21"/>
              </w:rPr>
              <w:t>.</w:t>
            </w:r>
            <w:r>
              <w:rPr>
                <w:rFonts w:hint="eastAsia" w:cs="Times New Roman"/>
                <w:color w:val="auto"/>
                <w:lang w:val="en-US" w:eastAsia="zh-CN"/>
              </w:rPr>
              <w:t>投标人具有国家住建部颁发的工程设计综合资质或建筑智能化系统设计专项甲级资质证书的得1分；否则不得分。</w:t>
            </w:r>
          </w:p>
          <w:p>
            <w:pPr>
              <w:rPr>
                <w:rFonts w:hint="eastAsia" w:cs="Times New Roman"/>
                <w:color w:val="auto"/>
                <w:lang w:val="en-US" w:eastAsia="zh-CN"/>
              </w:rPr>
            </w:pPr>
            <w:r>
              <w:rPr>
                <w:rFonts w:hint="eastAsia" w:cs="Times New Roman"/>
                <w:color w:val="auto"/>
                <w:lang w:val="en-US" w:eastAsia="zh-CN"/>
              </w:rPr>
              <w:t>6</w:t>
            </w:r>
            <w:r>
              <w:rPr>
                <w:rFonts w:hint="eastAsia" w:ascii="宋体" w:hAnsi="宋体" w:eastAsia="宋体" w:cs="Times New Roman"/>
                <w:color w:val="auto"/>
                <w:kern w:val="0"/>
                <w:szCs w:val="21"/>
              </w:rPr>
              <w:t>.</w:t>
            </w:r>
            <w:r>
              <w:rPr>
                <w:rFonts w:hint="eastAsia" w:cs="Times New Roman"/>
                <w:color w:val="auto"/>
                <w:lang w:val="en-US" w:eastAsia="zh-CN"/>
              </w:rPr>
              <w:t>投标人具备安防工程企业设计施工维护能力证书贰级资质得0.5分，壹级资质得1分，其他不得分。</w:t>
            </w:r>
            <w:r>
              <w:rPr>
                <w:rFonts w:hint="eastAsia" w:cs="Times New Roman"/>
                <w:color w:val="auto"/>
                <w:lang w:val="en-US" w:eastAsia="zh-CN"/>
              </w:rPr>
              <w:br w:type="textWrapping"/>
            </w:r>
            <w:r>
              <w:rPr>
                <w:rFonts w:hint="eastAsia" w:cs="Times New Roman"/>
                <w:color w:val="auto"/>
                <w:lang w:val="en-US" w:eastAsia="zh-CN"/>
              </w:rPr>
              <w:t>7.投标人具备信息技术服务运行维护资质（ITSS）贰级资质得0.5分，壹级资质得1分，其他不得分。</w:t>
            </w:r>
          </w:p>
          <w:p>
            <w:pPr>
              <w:rPr>
                <w:rFonts w:hint="default" w:cs="Times New Roman"/>
                <w:color w:val="auto"/>
                <w:lang w:val="en-US" w:eastAsia="zh-CN"/>
              </w:rPr>
            </w:pPr>
            <w:r>
              <w:rPr>
                <w:rFonts w:hint="eastAsia" w:cs="Times New Roman"/>
                <w:color w:val="auto"/>
                <w:lang w:val="en-US" w:eastAsia="zh-CN"/>
              </w:rPr>
              <w:t>8.投标人具有水厂自动化控制系统软件著作权的得1.5分；</w:t>
            </w:r>
          </w:p>
          <w:p>
            <w:pPr>
              <w:rPr>
                <w:rFonts w:hint="eastAsia" w:ascii="宋体" w:hAnsi="宋体" w:cs="仿宋"/>
                <w:szCs w:val="21"/>
              </w:rPr>
            </w:pPr>
            <w:r>
              <w:rPr>
                <w:rFonts w:hint="eastAsia" w:ascii="宋体" w:hAnsi="宋体" w:eastAsia="宋体" w:cs="Times New Roman"/>
                <w:b/>
                <w:bCs/>
                <w:kern w:val="0"/>
                <w:szCs w:val="21"/>
              </w:rPr>
              <w:t>以上评分，均需投标人</w:t>
            </w:r>
            <w:r>
              <w:rPr>
                <w:rFonts w:hint="eastAsia" w:ascii="宋体" w:hAnsi="宋体" w:cs="仿宋"/>
                <w:b/>
                <w:bCs/>
                <w:szCs w:val="21"/>
              </w:rPr>
              <w:t>提交有效证明材料（复印件盖章，原件备查</w:t>
            </w:r>
            <w:r>
              <w:rPr>
                <w:rFonts w:hint="eastAsia" w:ascii="宋体" w:hAnsi="宋体" w:cs="仿宋"/>
                <w:b/>
                <w:bCs/>
                <w:szCs w:val="21"/>
                <w:lang w:eastAsia="zh-CN"/>
              </w:rPr>
              <w:t>，</w:t>
            </w:r>
            <w:r>
              <w:rPr>
                <w:rFonts w:hint="eastAsia"/>
                <w:b/>
                <w:bCs/>
                <w:i w:val="0"/>
                <w:iCs w:val="0"/>
                <w:lang w:val="en-US" w:eastAsia="zh-CN"/>
              </w:rPr>
              <w:t>未提供不得分</w:t>
            </w:r>
            <w:r>
              <w:rPr>
                <w:rFonts w:hint="eastAsia" w:ascii="宋体" w:hAnsi="宋体" w:cs="仿宋"/>
                <w:b/>
                <w:bCs/>
                <w:szCs w:val="21"/>
              </w:rPr>
              <w:t>）</w:t>
            </w:r>
          </w:p>
        </w:tc>
        <w:tc>
          <w:tcPr>
            <w:tcW w:w="471" w:type="pct"/>
            <w:tcBorders>
              <w:top w:val="single" w:color="auto" w:sz="6" w:space="0"/>
              <w:left w:val="single" w:color="auto" w:sz="6" w:space="0"/>
              <w:bottom w:val="single" w:color="auto" w:sz="6" w:space="0"/>
              <w:right w:val="double" w:color="auto" w:sz="4" w:space="0"/>
            </w:tcBorders>
            <w:noWrap w:val="0"/>
            <w:vAlign w:val="center"/>
          </w:tcPr>
          <w:p>
            <w:pPr>
              <w:jc w:val="center"/>
              <w:rPr>
                <w:szCs w:val="21"/>
              </w:rPr>
            </w:pPr>
            <w:r>
              <w:rPr>
                <w:rFonts w:hint="eastAsia"/>
                <w:szCs w:val="21"/>
              </w:rPr>
              <w:t>15</w:t>
            </w:r>
            <w:r>
              <w:rPr>
                <w:rFonts w:hint="eastAsia" w:ascii="宋体" w:hAnsi="宋体"/>
                <w:color w:val="000000"/>
                <w:szCs w:val="21"/>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84" w:hRule="atLeast"/>
          <w:jc w:val="center"/>
        </w:trPr>
        <w:tc>
          <w:tcPr>
            <w:tcW w:w="358" w:type="pct"/>
            <w:tcBorders>
              <w:top w:val="single" w:color="auto" w:sz="6" w:space="0"/>
              <w:left w:val="double" w:color="auto" w:sz="4" w:space="0"/>
              <w:bottom w:val="double" w:color="auto" w:sz="4" w:space="0"/>
              <w:right w:val="single" w:color="auto" w:sz="6" w:space="0"/>
            </w:tcBorders>
            <w:noWrap w:val="0"/>
            <w:vAlign w:val="center"/>
          </w:tcPr>
          <w:p>
            <w:pPr>
              <w:widowControl/>
              <w:jc w:val="center"/>
              <w:rPr>
                <w:rFonts w:hint="eastAsia" w:eastAsia="宋体"/>
                <w:szCs w:val="21"/>
                <w:lang w:val="en-US" w:eastAsia="zh-CN"/>
              </w:rPr>
            </w:pPr>
            <w:r>
              <w:rPr>
                <w:rFonts w:hint="eastAsia"/>
                <w:szCs w:val="21"/>
                <w:lang w:val="en-US" w:eastAsia="zh-CN"/>
              </w:rPr>
              <w:t>2</w:t>
            </w:r>
          </w:p>
        </w:tc>
        <w:tc>
          <w:tcPr>
            <w:tcW w:w="693" w:type="pct"/>
            <w:tcBorders>
              <w:top w:val="single" w:color="auto" w:sz="6" w:space="0"/>
              <w:left w:val="single" w:color="auto" w:sz="6" w:space="0"/>
              <w:bottom w:val="single" w:color="auto" w:sz="6" w:space="0"/>
              <w:right w:val="single" w:color="auto" w:sz="6" w:space="0"/>
            </w:tcBorders>
            <w:noWrap w:val="0"/>
            <w:vAlign w:val="center"/>
          </w:tcPr>
          <w:p>
            <w:pPr>
              <w:ind w:left="-107" w:leftChars="-51"/>
              <w:jc w:val="center"/>
              <w:rPr>
                <w:szCs w:val="21"/>
              </w:rPr>
            </w:pPr>
            <w:r>
              <w:rPr>
                <w:rFonts w:hint="eastAsia"/>
                <w:szCs w:val="21"/>
              </w:rPr>
              <w:t>投标人业绩</w:t>
            </w:r>
          </w:p>
        </w:tc>
        <w:tc>
          <w:tcPr>
            <w:tcW w:w="3476" w:type="pct"/>
            <w:tcBorders>
              <w:top w:val="single" w:color="auto" w:sz="6" w:space="0"/>
              <w:left w:val="single" w:color="auto" w:sz="6" w:space="0"/>
              <w:bottom w:val="single" w:color="auto" w:sz="6" w:space="0"/>
              <w:right w:val="single" w:color="auto" w:sz="6" w:space="0"/>
            </w:tcBorders>
            <w:noWrap w:val="0"/>
            <w:vAlign w:val="center"/>
          </w:tcPr>
          <w:p>
            <w:pPr>
              <w:rPr>
                <w:rFonts w:ascii="宋体" w:hAnsi="宋体"/>
                <w:kern w:val="0"/>
                <w:szCs w:val="21"/>
              </w:rPr>
            </w:pPr>
            <w:r>
              <w:rPr>
                <w:rFonts w:hint="eastAsia" w:ascii="宋体" w:hAnsi="宋体"/>
                <w:kern w:val="0"/>
                <w:szCs w:val="21"/>
              </w:rPr>
              <w:t xml:space="preserve"> 201</w:t>
            </w:r>
            <w:r>
              <w:rPr>
                <w:rFonts w:hint="eastAsia" w:ascii="宋体" w:hAnsi="宋体"/>
                <w:kern w:val="0"/>
                <w:szCs w:val="21"/>
                <w:lang w:val="en-US" w:eastAsia="zh-CN"/>
              </w:rPr>
              <w:t>7</w:t>
            </w:r>
            <w:r>
              <w:rPr>
                <w:rFonts w:hint="eastAsia" w:ascii="宋体" w:hAnsi="宋体"/>
                <w:kern w:val="0"/>
                <w:szCs w:val="21"/>
              </w:rPr>
              <w:t>年</w:t>
            </w:r>
            <w:r>
              <w:rPr>
                <w:rFonts w:hint="eastAsia" w:ascii="宋体" w:hAnsi="宋体"/>
                <w:kern w:val="0"/>
                <w:szCs w:val="21"/>
                <w:lang w:val="en-US" w:eastAsia="zh-CN"/>
              </w:rPr>
              <w:t>1月1日（签定合同时间为准）</w:t>
            </w:r>
            <w:r>
              <w:rPr>
                <w:rFonts w:hint="eastAsia" w:ascii="宋体" w:hAnsi="宋体"/>
                <w:kern w:val="0"/>
                <w:szCs w:val="21"/>
              </w:rPr>
              <w:t>以来，完成过类似项目业绩每完成一项得1分，最多得5分。（类似工程指：水厂或污水厂电气自控系统工程）。</w:t>
            </w:r>
          </w:p>
          <w:p>
            <w:pPr>
              <w:rPr>
                <w:szCs w:val="21"/>
              </w:rPr>
            </w:pPr>
            <w:r>
              <w:rPr>
                <w:rFonts w:hint="eastAsia" w:ascii="宋体" w:hAnsi="宋体"/>
                <w:b/>
                <w:bCs/>
                <w:kern w:val="0"/>
                <w:szCs w:val="21"/>
              </w:rPr>
              <w:t>注：以上业绩不重复计分，均需提供</w:t>
            </w:r>
            <w:r>
              <w:rPr>
                <w:rFonts w:hint="eastAsia" w:ascii="宋体" w:hAnsi="宋体"/>
                <w:b/>
                <w:bCs/>
                <w:kern w:val="0"/>
                <w:szCs w:val="21"/>
                <w:lang w:val="en-US" w:eastAsia="zh-CN"/>
              </w:rPr>
              <w:t>中标通知书、</w:t>
            </w:r>
            <w:r>
              <w:rPr>
                <w:rFonts w:hint="eastAsia" w:ascii="宋体" w:hAnsi="宋体"/>
                <w:b/>
                <w:bCs/>
                <w:kern w:val="0"/>
                <w:szCs w:val="21"/>
              </w:rPr>
              <w:t>供货合同关键页，</w:t>
            </w:r>
            <w:r>
              <w:rPr>
                <w:rFonts w:hint="eastAsia" w:ascii="宋体" w:hAnsi="宋体"/>
                <w:b/>
                <w:bCs/>
                <w:kern w:val="0"/>
                <w:szCs w:val="21"/>
                <w:lang w:val="en-US" w:eastAsia="zh-CN"/>
              </w:rPr>
              <w:t>竣工验收报告</w:t>
            </w:r>
            <w:r>
              <w:rPr>
                <w:rFonts w:hint="eastAsia"/>
                <w:b/>
                <w:bCs/>
                <w:szCs w:val="21"/>
              </w:rPr>
              <w:t>等有效证明文件，</w:t>
            </w:r>
            <w:r>
              <w:rPr>
                <w:rFonts w:hint="eastAsia"/>
                <w:b/>
                <w:bCs/>
                <w:szCs w:val="21"/>
                <w:lang w:val="en-US" w:eastAsia="zh-CN"/>
              </w:rPr>
              <w:t>原件备查。</w:t>
            </w:r>
            <w:r>
              <w:rPr>
                <w:rFonts w:hint="eastAsia"/>
                <w:b/>
                <w:bCs/>
                <w:szCs w:val="21"/>
              </w:rPr>
              <w:t>否则不得分。</w:t>
            </w:r>
          </w:p>
        </w:tc>
        <w:tc>
          <w:tcPr>
            <w:tcW w:w="471" w:type="pct"/>
            <w:tcBorders>
              <w:top w:val="single" w:color="auto" w:sz="6" w:space="0"/>
              <w:left w:val="single" w:color="auto" w:sz="6" w:space="0"/>
              <w:bottom w:val="single" w:color="auto" w:sz="6" w:space="0"/>
              <w:right w:val="double" w:color="auto" w:sz="4" w:space="0"/>
            </w:tcBorders>
            <w:noWrap w:val="0"/>
            <w:vAlign w:val="center"/>
          </w:tcPr>
          <w:p>
            <w:pPr>
              <w:jc w:val="center"/>
              <w:rPr>
                <w:szCs w:val="21"/>
              </w:rPr>
            </w:pPr>
            <w:r>
              <w:rPr>
                <w:szCs w:val="21"/>
              </w:rPr>
              <w:t>5</w:t>
            </w:r>
            <w:r>
              <w:rPr>
                <w:rFonts w:hint="eastAsia" w:ascii="宋体" w:hAnsi="宋体"/>
                <w:color w:val="000000"/>
                <w:szCs w:val="21"/>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8" w:hRule="atLeast"/>
          <w:jc w:val="center"/>
        </w:trPr>
        <w:tc>
          <w:tcPr>
            <w:tcW w:w="358" w:type="pct"/>
            <w:tcBorders>
              <w:top w:val="single" w:color="auto" w:sz="6" w:space="0"/>
              <w:left w:val="double" w:color="auto" w:sz="4" w:space="0"/>
              <w:bottom w:val="double" w:color="auto" w:sz="4" w:space="0"/>
              <w:right w:val="single" w:color="auto" w:sz="6" w:space="0"/>
            </w:tcBorders>
            <w:noWrap w:val="0"/>
            <w:vAlign w:val="center"/>
          </w:tcPr>
          <w:p>
            <w:pPr>
              <w:widowControl/>
              <w:jc w:val="center"/>
              <w:rPr>
                <w:rFonts w:hint="eastAsia" w:eastAsia="宋体"/>
                <w:szCs w:val="21"/>
                <w:lang w:val="en-US" w:eastAsia="zh-CN"/>
              </w:rPr>
            </w:pPr>
            <w:r>
              <w:rPr>
                <w:rFonts w:hint="eastAsia"/>
                <w:szCs w:val="21"/>
                <w:lang w:val="en-US" w:eastAsia="zh-CN"/>
              </w:rPr>
              <w:t>3</w:t>
            </w:r>
          </w:p>
        </w:tc>
        <w:tc>
          <w:tcPr>
            <w:tcW w:w="693" w:type="pct"/>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cs="宋体"/>
                <w:color w:val="000000"/>
                <w:szCs w:val="21"/>
              </w:rPr>
            </w:pPr>
            <w:r>
              <w:rPr>
                <w:rFonts w:hint="eastAsia" w:ascii="宋体" w:hAnsi="宋体"/>
                <w:color w:val="000000"/>
                <w:szCs w:val="21"/>
              </w:rPr>
              <w:t>双吸离心泵</w:t>
            </w:r>
            <w:r>
              <w:rPr>
                <w:rFonts w:hint="eastAsia" w:ascii="宋体" w:hAnsi="宋体" w:cs="宋体"/>
                <w:color w:val="000000"/>
                <w:szCs w:val="21"/>
              </w:rPr>
              <w:t>的品牌</w:t>
            </w:r>
          </w:p>
        </w:tc>
        <w:tc>
          <w:tcPr>
            <w:tcW w:w="3476" w:type="pct"/>
            <w:tcBorders>
              <w:top w:val="single" w:color="auto" w:sz="6" w:space="0"/>
              <w:left w:val="single" w:color="auto" w:sz="6" w:space="0"/>
              <w:bottom w:val="single" w:color="auto" w:sz="6" w:space="0"/>
              <w:right w:val="single" w:color="auto" w:sz="6" w:space="0"/>
            </w:tcBorders>
            <w:noWrap w:val="0"/>
            <w:vAlign w:val="center"/>
          </w:tcPr>
          <w:p>
            <w:pPr>
              <w:rPr>
                <w:rFonts w:ascii="宋体"/>
                <w:color w:val="000000"/>
                <w:szCs w:val="21"/>
              </w:rPr>
            </w:pPr>
            <w:r>
              <w:rPr>
                <w:rFonts w:hint="eastAsia" w:ascii="宋体" w:hAnsi="宋体"/>
                <w:color w:val="000000"/>
                <w:szCs w:val="21"/>
              </w:rPr>
              <w:t>根据投标方所选择的双吸离心泵品牌等情况进行对比打分，优的得</w:t>
            </w:r>
            <w:r>
              <w:rPr>
                <w:rFonts w:ascii="宋体" w:hAnsi="宋体"/>
                <w:color w:val="000000"/>
                <w:szCs w:val="21"/>
              </w:rPr>
              <w:t>3</w:t>
            </w:r>
            <w:r>
              <w:rPr>
                <w:rFonts w:hint="eastAsia" w:ascii="宋体" w:hAnsi="宋体"/>
                <w:color w:val="000000"/>
                <w:szCs w:val="21"/>
              </w:rPr>
              <w:t>分，良的得</w:t>
            </w:r>
            <w:r>
              <w:rPr>
                <w:rFonts w:ascii="宋体" w:hAnsi="宋体"/>
                <w:color w:val="000000"/>
                <w:szCs w:val="21"/>
              </w:rPr>
              <w:t>2</w:t>
            </w:r>
            <w:r>
              <w:rPr>
                <w:rFonts w:hint="eastAsia" w:ascii="宋体" w:hAnsi="宋体"/>
                <w:color w:val="000000"/>
                <w:szCs w:val="21"/>
              </w:rPr>
              <w:t>分，一般得1分。</w:t>
            </w:r>
          </w:p>
        </w:tc>
        <w:tc>
          <w:tcPr>
            <w:tcW w:w="471" w:type="pct"/>
            <w:tcBorders>
              <w:top w:val="single" w:color="auto" w:sz="6" w:space="0"/>
              <w:left w:val="single" w:color="auto" w:sz="6" w:space="0"/>
              <w:bottom w:val="single" w:color="auto" w:sz="6" w:space="0"/>
              <w:right w:val="double" w:color="auto" w:sz="4" w:space="0"/>
            </w:tcBorders>
            <w:noWrap w:val="0"/>
            <w:vAlign w:val="center"/>
          </w:tcPr>
          <w:p>
            <w:pPr>
              <w:widowControl/>
              <w:jc w:val="center"/>
              <w:rPr>
                <w:rFonts w:ascii="宋体"/>
                <w:color w:val="000000"/>
                <w:szCs w:val="21"/>
              </w:rPr>
            </w:pPr>
            <w:r>
              <w:rPr>
                <w:rFonts w:ascii="宋体" w:hAnsi="宋体"/>
                <w:color w:val="000000"/>
                <w:szCs w:val="21"/>
              </w:rPr>
              <w:t>3</w:t>
            </w:r>
            <w:r>
              <w:rPr>
                <w:rFonts w:hint="eastAsia" w:ascii="宋体" w:hAnsi="宋体"/>
                <w:color w:val="000000"/>
                <w:szCs w:val="21"/>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34" w:hRule="atLeast"/>
          <w:jc w:val="center"/>
        </w:trPr>
        <w:tc>
          <w:tcPr>
            <w:tcW w:w="358" w:type="pct"/>
            <w:tcBorders>
              <w:top w:val="single" w:color="auto" w:sz="6" w:space="0"/>
              <w:left w:val="double" w:color="auto" w:sz="4" w:space="0"/>
              <w:bottom w:val="double" w:color="auto" w:sz="4" w:space="0"/>
              <w:right w:val="single" w:color="auto" w:sz="6" w:space="0"/>
            </w:tcBorders>
            <w:noWrap w:val="0"/>
            <w:vAlign w:val="center"/>
          </w:tcPr>
          <w:p>
            <w:pPr>
              <w:widowControl/>
              <w:jc w:val="center"/>
              <w:rPr>
                <w:rFonts w:hint="eastAsia" w:eastAsia="宋体"/>
                <w:szCs w:val="21"/>
                <w:lang w:val="en-US" w:eastAsia="zh-CN"/>
              </w:rPr>
            </w:pPr>
            <w:r>
              <w:rPr>
                <w:rFonts w:hint="eastAsia"/>
                <w:szCs w:val="21"/>
                <w:lang w:val="en-US" w:eastAsia="zh-CN"/>
              </w:rPr>
              <w:t>4</w:t>
            </w:r>
          </w:p>
        </w:tc>
        <w:tc>
          <w:tcPr>
            <w:tcW w:w="693" w:type="pct"/>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kern w:val="0"/>
                <w:szCs w:val="21"/>
                <w:u w:val="none"/>
                <w:lang w:val="en-US" w:eastAsia="zh-CN"/>
              </w:rPr>
            </w:pPr>
            <w:r>
              <w:rPr>
                <w:rFonts w:hint="eastAsia" w:ascii="宋体" w:hAnsi="宋体"/>
                <w:kern w:val="0"/>
                <w:szCs w:val="21"/>
                <w:u w:val="none"/>
                <w:lang w:val="en-US" w:eastAsia="zh-CN"/>
              </w:rPr>
              <w:t>双吸离心泵性能检测评分</w:t>
            </w:r>
          </w:p>
        </w:tc>
        <w:tc>
          <w:tcPr>
            <w:tcW w:w="3476" w:type="pct"/>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color w:val="auto"/>
                <w:kern w:val="0"/>
                <w:szCs w:val="21"/>
                <w:u w:val="none"/>
                <w:lang w:val="en-US" w:eastAsia="zh-CN"/>
              </w:rPr>
            </w:pPr>
            <w:r>
              <w:rPr>
                <w:rFonts w:hint="eastAsia" w:ascii="宋体" w:hAnsi="宋体"/>
                <w:kern w:val="0"/>
                <w:szCs w:val="21"/>
                <w:u w:val="none"/>
                <w:lang w:val="en-US" w:eastAsia="zh-CN"/>
              </w:rPr>
              <w:t>根据投标人所提供的泵制造商水泵出厂性能测试：按照国家标准GB3216-2016《回转动力泵水力性能</w:t>
            </w:r>
            <w:r>
              <w:rPr>
                <w:rFonts w:hint="eastAsia" w:ascii="宋体" w:hAnsi="宋体"/>
                <w:color w:val="auto"/>
                <w:kern w:val="0"/>
                <w:szCs w:val="21"/>
                <w:u w:val="none"/>
                <w:lang w:val="en-US" w:eastAsia="zh-CN"/>
              </w:rPr>
              <w:t>验收试验》规定执行考核，按照1级标准考核并在闭式回路测试台测试的得5分，按照2级标准考核或在开式回路测试台测试的得2分；其余不得分。</w:t>
            </w:r>
          </w:p>
          <w:p>
            <w:pPr>
              <w:rPr>
                <w:rFonts w:hint="eastAsia" w:ascii="宋体" w:hAnsi="宋体"/>
                <w:kern w:val="0"/>
                <w:szCs w:val="21"/>
                <w:u w:val="none"/>
                <w:lang w:val="en-US" w:eastAsia="zh-CN"/>
              </w:rPr>
            </w:pPr>
            <w:r>
              <w:rPr>
                <w:rFonts w:hint="eastAsia" w:ascii="宋体" w:hAnsi="宋体"/>
                <w:b/>
                <w:bCs/>
                <w:color w:val="auto"/>
                <w:kern w:val="0"/>
                <w:szCs w:val="21"/>
                <w:u w:val="none"/>
                <w:lang w:val="en-US" w:eastAsia="zh-CN"/>
              </w:rPr>
              <w:t>投标时提供水泵测试的性能文件及水泵测试中心获得的</w:t>
            </w:r>
            <w:r>
              <w:rPr>
                <w:rFonts w:hint="eastAsia" w:ascii="宋体" w:hAnsi="宋体"/>
                <w:b/>
                <w:bCs/>
                <w:kern w:val="0"/>
                <w:szCs w:val="21"/>
                <w:u w:val="none"/>
                <w:lang w:val="en-US" w:eastAsia="zh-CN"/>
              </w:rPr>
              <w:t>闭式或开式回路测试台的等级证书复印件并加盖制造商公章。</w:t>
            </w:r>
          </w:p>
        </w:tc>
        <w:tc>
          <w:tcPr>
            <w:tcW w:w="471" w:type="pct"/>
            <w:tcBorders>
              <w:top w:val="single" w:color="auto" w:sz="6" w:space="0"/>
              <w:left w:val="single" w:color="auto" w:sz="6" w:space="0"/>
              <w:bottom w:val="single" w:color="auto" w:sz="6" w:space="0"/>
              <w:right w:val="double" w:color="auto" w:sz="4" w:space="0"/>
            </w:tcBorders>
            <w:noWrap w:val="0"/>
            <w:vAlign w:val="center"/>
          </w:tcPr>
          <w:p>
            <w:pPr>
              <w:jc w:val="center"/>
              <w:rPr>
                <w:rFonts w:ascii="宋体"/>
                <w:color w:val="000000"/>
                <w:szCs w:val="21"/>
              </w:rPr>
            </w:pPr>
            <w:r>
              <w:rPr>
                <w:rFonts w:hint="eastAsia" w:ascii="宋体" w:hAnsi="宋体"/>
                <w:color w:val="000000"/>
                <w:szCs w:val="21"/>
                <w:lang w:val="en-US" w:eastAsia="zh-CN"/>
              </w:rPr>
              <w:t>5</w:t>
            </w:r>
            <w:r>
              <w:rPr>
                <w:rFonts w:hint="eastAsia" w:ascii="宋体" w:hAnsi="宋体"/>
                <w:color w:val="000000"/>
                <w:szCs w:val="21"/>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51" w:hRule="atLeast"/>
          <w:jc w:val="center"/>
        </w:trPr>
        <w:tc>
          <w:tcPr>
            <w:tcW w:w="358" w:type="pct"/>
            <w:tcBorders>
              <w:top w:val="single" w:color="auto" w:sz="6" w:space="0"/>
              <w:left w:val="double" w:color="auto" w:sz="4" w:space="0"/>
              <w:bottom w:val="double" w:color="auto" w:sz="4" w:space="0"/>
              <w:right w:val="single" w:color="auto" w:sz="6" w:space="0"/>
            </w:tcBorders>
            <w:noWrap w:val="0"/>
            <w:vAlign w:val="center"/>
          </w:tcPr>
          <w:p>
            <w:pPr>
              <w:widowControl/>
              <w:jc w:val="center"/>
              <w:rPr>
                <w:rFonts w:hint="eastAsia" w:eastAsia="宋体"/>
                <w:szCs w:val="21"/>
                <w:lang w:val="en-US" w:eastAsia="zh-CN"/>
              </w:rPr>
            </w:pPr>
            <w:r>
              <w:rPr>
                <w:rFonts w:hint="eastAsia"/>
                <w:szCs w:val="21"/>
                <w:lang w:val="en-US" w:eastAsia="zh-CN"/>
              </w:rPr>
              <w:t>5</w:t>
            </w:r>
          </w:p>
        </w:tc>
        <w:tc>
          <w:tcPr>
            <w:tcW w:w="693" w:type="pct"/>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kern w:val="0"/>
                <w:szCs w:val="21"/>
              </w:rPr>
            </w:pPr>
            <w:r>
              <w:rPr>
                <w:rFonts w:hint="eastAsia" w:ascii="宋体" w:hAnsi="宋体"/>
                <w:kern w:val="0"/>
                <w:szCs w:val="21"/>
              </w:rPr>
              <w:t>双吸离心泵主要部件的材质评分</w:t>
            </w:r>
          </w:p>
        </w:tc>
        <w:tc>
          <w:tcPr>
            <w:tcW w:w="3476" w:type="pct"/>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kern w:val="0"/>
                <w:szCs w:val="21"/>
              </w:rPr>
            </w:pPr>
            <w:r>
              <w:rPr>
                <w:rFonts w:hint="eastAsia" w:ascii="宋体" w:hAnsi="宋体"/>
                <w:kern w:val="0"/>
                <w:szCs w:val="21"/>
              </w:rPr>
              <w:t>对中开离心泵设备主要零部件（水泵壳体、叶轮、密封环、泵轴）使用材料材质进行评分。满足招标文件水泵材质要求的得</w:t>
            </w:r>
            <w:r>
              <w:rPr>
                <w:rFonts w:hint="eastAsia" w:ascii="宋体" w:hAnsi="宋体"/>
                <w:kern w:val="0"/>
                <w:szCs w:val="21"/>
                <w:lang w:val="en-US" w:eastAsia="zh-CN"/>
              </w:rPr>
              <w:t>5</w:t>
            </w:r>
            <w:r>
              <w:rPr>
                <w:rFonts w:hint="eastAsia" w:ascii="宋体" w:hAnsi="宋体"/>
                <w:kern w:val="0"/>
                <w:szCs w:val="21"/>
              </w:rPr>
              <w:t>分，低于招标文件材质要求的不得分。（即水泵泵壳采用球墨铸铁QT500-7或其他更优材质，泵轴和叶轮、密封环采用双相不锈钢材料或其他更优材质）。</w:t>
            </w:r>
          </w:p>
          <w:p>
            <w:pPr>
              <w:rPr>
                <w:rFonts w:hint="eastAsia" w:ascii="宋体" w:hAnsi="宋体"/>
                <w:kern w:val="0"/>
                <w:szCs w:val="21"/>
              </w:rPr>
            </w:pPr>
            <w:r>
              <w:rPr>
                <w:rFonts w:hint="eastAsia" w:ascii="宋体" w:hAnsi="宋体"/>
                <w:b/>
                <w:bCs/>
                <w:kern w:val="0"/>
                <w:szCs w:val="21"/>
              </w:rPr>
              <w:t>投标时提供水泵壳体、叶轮、主轴、密封环的材质检测证明文件作为评分依据（以往项目的材质检测报告）；</w:t>
            </w:r>
          </w:p>
        </w:tc>
        <w:tc>
          <w:tcPr>
            <w:tcW w:w="471" w:type="pct"/>
            <w:tcBorders>
              <w:top w:val="single" w:color="auto" w:sz="6" w:space="0"/>
              <w:left w:val="single" w:color="auto" w:sz="6" w:space="0"/>
              <w:bottom w:val="single" w:color="auto" w:sz="6" w:space="0"/>
              <w:right w:val="double" w:color="auto" w:sz="4" w:space="0"/>
            </w:tcBorders>
            <w:noWrap w:val="0"/>
            <w:vAlign w:val="center"/>
          </w:tcPr>
          <w:p>
            <w:pPr>
              <w:jc w:val="center"/>
              <w:rPr>
                <w:rFonts w:hint="eastAsia" w:ascii="宋体" w:hAnsi="Times New Roman" w:eastAsia="宋体" w:cs="Times New Roman"/>
                <w:color w:val="000000"/>
                <w:kern w:val="2"/>
                <w:sz w:val="21"/>
                <w:szCs w:val="21"/>
                <w:lang w:val="en-US" w:eastAsia="zh-CN" w:bidi="ar-SA"/>
              </w:rPr>
            </w:pPr>
            <w:r>
              <w:rPr>
                <w:rFonts w:hint="eastAsia" w:ascii="宋体" w:hAnsi="宋体"/>
                <w:color w:val="000000"/>
                <w:szCs w:val="21"/>
                <w:lang w:val="en-US" w:eastAsia="zh-CN"/>
              </w:rPr>
              <w:t>5</w:t>
            </w:r>
            <w:r>
              <w:rPr>
                <w:rFonts w:hint="eastAsia" w:ascii="宋体" w:hAnsi="宋体"/>
                <w:color w:val="000000"/>
                <w:szCs w:val="21"/>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58" w:type="pct"/>
            <w:tcBorders>
              <w:top w:val="single" w:color="auto" w:sz="6" w:space="0"/>
              <w:left w:val="double" w:color="auto" w:sz="4" w:space="0"/>
              <w:bottom w:val="double" w:color="auto" w:sz="4" w:space="0"/>
              <w:right w:val="single" w:color="auto" w:sz="6" w:space="0"/>
            </w:tcBorders>
            <w:noWrap w:val="0"/>
            <w:vAlign w:val="center"/>
          </w:tcPr>
          <w:p>
            <w:pPr>
              <w:widowControl/>
              <w:jc w:val="center"/>
              <w:rPr>
                <w:rFonts w:hint="eastAsia" w:eastAsia="宋体"/>
                <w:szCs w:val="21"/>
                <w:lang w:val="en-US" w:eastAsia="zh-CN"/>
              </w:rPr>
            </w:pPr>
            <w:r>
              <w:rPr>
                <w:rFonts w:hint="eastAsia"/>
                <w:szCs w:val="21"/>
                <w:lang w:val="en-US" w:eastAsia="zh-CN"/>
              </w:rPr>
              <w:t>6</w:t>
            </w:r>
          </w:p>
        </w:tc>
        <w:tc>
          <w:tcPr>
            <w:tcW w:w="693" w:type="pct"/>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color w:val="000000"/>
                <w:szCs w:val="21"/>
              </w:rPr>
            </w:pPr>
            <w:r>
              <w:rPr>
                <w:rFonts w:hint="eastAsia" w:ascii="宋体" w:hAnsi="宋体"/>
                <w:color w:val="000000"/>
                <w:szCs w:val="21"/>
              </w:rPr>
              <w:t>电机技术参数</w:t>
            </w:r>
          </w:p>
        </w:tc>
        <w:tc>
          <w:tcPr>
            <w:tcW w:w="3476" w:type="pct"/>
            <w:tcBorders>
              <w:top w:val="single" w:color="auto" w:sz="6" w:space="0"/>
              <w:left w:val="single" w:color="auto" w:sz="6" w:space="0"/>
              <w:bottom w:val="single" w:color="auto" w:sz="6" w:space="0"/>
              <w:right w:val="single" w:color="auto" w:sz="6" w:space="0"/>
            </w:tcBorders>
            <w:noWrap w:val="0"/>
            <w:vAlign w:val="center"/>
          </w:tcPr>
          <w:p>
            <w:pPr>
              <w:rPr>
                <w:rFonts w:ascii="宋体"/>
                <w:color w:val="000000"/>
                <w:szCs w:val="21"/>
              </w:rPr>
            </w:pPr>
            <w:r>
              <w:rPr>
                <w:rFonts w:hint="eastAsia" w:ascii="宋体" w:hAnsi="宋体"/>
                <w:color w:val="000000"/>
                <w:szCs w:val="21"/>
              </w:rPr>
              <w:t>根据投标方所选择电机的选型、品牌档次、先进性、技术参数进行对比打分，档次为优的得6-4分，档次为良的得4-2分，档次为差的得2-0分。</w:t>
            </w:r>
          </w:p>
        </w:tc>
        <w:tc>
          <w:tcPr>
            <w:tcW w:w="471" w:type="pct"/>
            <w:tcBorders>
              <w:top w:val="single" w:color="auto" w:sz="6" w:space="0"/>
              <w:left w:val="single" w:color="auto" w:sz="6" w:space="0"/>
              <w:bottom w:val="single" w:color="auto" w:sz="6" w:space="0"/>
              <w:right w:val="double" w:color="auto" w:sz="4" w:space="0"/>
            </w:tcBorders>
            <w:noWrap w:val="0"/>
            <w:vAlign w:val="center"/>
          </w:tcPr>
          <w:p>
            <w:pPr>
              <w:widowControl/>
              <w:jc w:val="center"/>
              <w:rPr>
                <w:rFonts w:ascii="宋体"/>
                <w:color w:val="000000"/>
                <w:szCs w:val="21"/>
              </w:rPr>
            </w:pPr>
            <w:r>
              <w:rPr>
                <w:rFonts w:hint="eastAsia" w:ascii="宋体" w:hAnsi="宋体"/>
                <w:color w:val="000000"/>
                <w:szCs w:val="21"/>
              </w:rPr>
              <w:t>6分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358" w:type="pct"/>
            <w:tcBorders>
              <w:top w:val="single" w:color="auto" w:sz="6" w:space="0"/>
              <w:left w:val="double" w:color="auto" w:sz="4" w:space="0"/>
              <w:bottom w:val="double" w:color="auto" w:sz="4" w:space="0"/>
              <w:right w:val="single" w:color="auto" w:sz="6" w:space="0"/>
            </w:tcBorders>
            <w:noWrap w:val="0"/>
            <w:vAlign w:val="center"/>
          </w:tcPr>
          <w:p>
            <w:pPr>
              <w:widowControl/>
              <w:jc w:val="center"/>
              <w:rPr>
                <w:rFonts w:hint="eastAsia" w:eastAsia="宋体"/>
                <w:szCs w:val="21"/>
                <w:lang w:val="en-US" w:eastAsia="zh-CN"/>
              </w:rPr>
            </w:pPr>
            <w:r>
              <w:rPr>
                <w:rFonts w:hint="eastAsia"/>
                <w:szCs w:val="21"/>
                <w:lang w:val="en-US" w:eastAsia="zh-CN"/>
              </w:rPr>
              <w:t>7</w:t>
            </w:r>
          </w:p>
        </w:tc>
        <w:tc>
          <w:tcPr>
            <w:tcW w:w="693" w:type="pct"/>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cs="宋体"/>
                <w:color w:val="auto"/>
                <w:szCs w:val="21"/>
              </w:rPr>
            </w:pPr>
            <w:r>
              <w:rPr>
                <w:rFonts w:hint="eastAsia" w:ascii="宋体" w:hAnsi="宋体" w:cs="宋体"/>
                <w:color w:val="auto"/>
                <w:szCs w:val="21"/>
              </w:rPr>
              <w:t>质保期承诺</w:t>
            </w:r>
          </w:p>
        </w:tc>
        <w:tc>
          <w:tcPr>
            <w:tcW w:w="3476" w:type="pct"/>
            <w:tcBorders>
              <w:top w:val="single" w:color="auto" w:sz="6" w:space="0"/>
              <w:left w:val="single" w:color="auto" w:sz="6" w:space="0"/>
              <w:bottom w:val="single" w:color="auto" w:sz="6" w:space="0"/>
              <w:right w:val="single" w:color="auto" w:sz="6" w:space="0"/>
            </w:tcBorders>
            <w:noWrap w:val="0"/>
            <w:vAlign w:val="center"/>
          </w:tcPr>
          <w:p>
            <w:pPr>
              <w:rPr>
                <w:rFonts w:ascii="宋体" w:cs="宋体"/>
                <w:color w:val="auto"/>
                <w:szCs w:val="21"/>
              </w:rPr>
            </w:pPr>
            <w:r>
              <w:rPr>
                <w:rFonts w:hint="eastAsia" w:ascii="宋体" w:hAnsi="宋体" w:cs="宋体"/>
                <w:color w:val="auto"/>
                <w:szCs w:val="21"/>
              </w:rPr>
              <w:t>投标单位在投标文件中承诺的</w:t>
            </w:r>
            <w:r>
              <w:rPr>
                <w:rFonts w:hint="eastAsia" w:ascii="宋体" w:hAnsi="宋体" w:cs="宋体"/>
                <w:color w:val="auto"/>
                <w:szCs w:val="21"/>
                <w:lang w:eastAsia="zh-CN"/>
              </w:rPr>
              <w:t>贰</w:t>
            </w:r>
            <w:r>
              <w:rPr>
                <w:rFonts w:hint="eastAsia" w:ascii="宋体" w:hAnsi="宋体" w:cs="宋体"/>
                <w:color w:val="auto"/>
                <w:szCs w:val="21"/>
              </w:rPr>
              <w:t>年质保期基础上每增加半年的，得</w:t>
            </w:r>
            <w:r>
              <w:rPr>
                <w:rFonts w:ascii="宋体" w:hAnsi="宋体" w:cs="宋体"/>
                <w:color w:val="auto"/>
                <w:szCs w:val="21"/>
              </w:rPr>
              <w:t>0.5</w:t>
            </w:r>
            <w:r>
              <w:rPr>
                <w:rFonts w:hint="eastAsia" w:ascii="宋体" w:hAnsi="宋体" w:cs="宋体"/>
                <w:color w:val="auto"/>
                <w:szCs w:val="21"/>
              </w:rPr>
              <w:t>分，不足半年的不加分，此项目最多得</w:t>
            </w:r>
            <w:r>
              <w:rPr>
                <w:rFonts w:hint="eastAsia" w:ascii="宋体" w:hAnsi="宋体" w:cs="宋体"/>
                <w:color w:val="auto"/>
                <w:szCs w:val="21"/>
                <w:lang w:val="en-US" w:eastAsia="zh-CN"/>
              </w:rPr>
              <w:t>1</w:t>
            </w:r>
            <w:r>
              <w:rPr>
                <w:rFonts w:hint="eastAsia" w:ascii="宋体" w:hAnsi="宋体" w:cs="宋体"/>
                <w:color w:val="auto"/>
                <w:szCs w:val="21"/>
              </w:rPr>
              <w:t>分。</w:t>
            </w:r>
          </w:p>
        </w:tc>
        <w:tc>
          <w:tcPr>
            <w:tcW w:w="471" w:type="pct"/>
            <w:tcBorders>
              <w:top w:val="single" w:color="auto" w:sz="6" w:space="0"/>
              <w:left w:val="single" w:color="auto" w:sz="6" w:space="0"/>
              <w:bottom w:val="single" w:color="auto" w:sz="6" w:space="0"/>
              <w:right w:val="double" w:color="auto" w:sz="4" w:space="0"/>
            </w:tcBorders>
            <w:noWrap w:val="0"/>
            <w:vAlign w:val="center"/>
          </w:tcPr>
          <w:p>
            <w:pPr>
              <w:widowControl/>
              <w:jc w:val="center"/>
              <w:rPr>
                <w:rFonts w:asci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58" w:type="pct"/>
            <w:tcBorders>
              <w:top w:val="single" w:color="auto" w:sz="6" w:space="0"/>
              <w:left w:val="double" w:color="auto" w:sz="4" w:space="0"/>
              <w:bottom w:val="double" w:color="auto" w:sz="4" w:space="0"/>
              <w:right w:val="single" w:color="auto" w:sz="6" w:space="0"/>
            </w:tcBorders>
            <w:noWrap w:val="0"/>
            <w:vAlign w:val="center"/>
          </w:tcPr>
          <w:p>
            <w:pPr>
              <w:widowControl/>
              <w:jc w:val="center"/>
              <w:rPr>
                <w:rFonts w:hint="eastAsia" w:eastAsia="宋体"/>
                <w:szCs w:val="21"/>
                <w:lang w:val="en-US" w:eastAsia="zh-CN"/>
              </w:rPr>
            </w:pPr>
            <w:r>
              <w:rPr>
                <w:rFonts w:hint="eastAsia"/>
                <w:szCs w:val="21"/>
                <w:lang w:val="en-US" w:eastAsia="zh-CN"/>
              </w:rPr>
              <w:t>8</w:t>
            </w:r>
          </w:p>
        </w:tc>
        <w:tc>
          <w:tcPr>
            <w:tcW w:w="693" w:type="pct"/>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eastAsia="宋体" w:cs="宋体"/>
                <w:color w:val="auto"/>
                <w:szCs w:val="21"/>
                <w:lang w:eastAsia="zh-CN"/>
              </w:rPr>
            </w:pPr>
            <w:r>
              <w:rPr>
                <w:rFonts w:hint="eastAsia" w:ascii="宋体" w:hAnsi="宋体" w:cs="宋体"/>
                <w:color w:val="auto"/>
                <w:szCs w:val="21"/>
              </w:rPr>
              <w:t>安装</w:t>
            </w:r>
            <w:r>
              <w:rPr>
                <w:rFonts w:hint="eastAsia" w:ascii="宋体" w:hAnsi="宋体" w:cs="宋体"/>
                <w:color w:val="auto"/>
                <w:szCs w:val="21"/>
                <w:lang w:eastAsia="zh-CN"/>
              </w:rPr>
              <w:t>技术措施</w:t>
            </w:r>
          </w:p>
        </w:tc>
        <w:tc>
          <w:tcPr>
            <w:tcW w:w="3476" w:type="pct"/>
            <w:tcBorders>
              <w:top w:val="single" w:color="auto" w:sz="6" w:space="0"/>
              <w:left w:val="single" w:color="auto" w:sz="6" w:space="0"/>
              <w:bottom w:val="single" w:color="auto" w:sz="6" w:space="0"/>
              <w:right w:val="single" w:color="auto" w:sz="6" w:space="0"/>
            </w:tcBorders>
            <w:noWrap w:val="0"/>
            <w:vAlign w:val="center"/>
          </w:tcPr>
          <w:p>
            <w:pPr>
              <w:rPr>
                <w:rFonts w:ascii="宋体" w:cs="宋体"/>
                <w:color w:val="auto"/>
                <w:szCs w:val="21"/>
              </w:rPr>
            </w:pPr>
            <w:r>
              <w:rPr>
                <w:rFonts w:hint="eastAsia" w:ascii="宋体" w:hAnsi="宋体" w:cs="宋体"/>
                <w:color w:val="auto"/>
                <w:szCs w:val="21"/>
              </w:rPr>
              <w:t>详细施工工艺说明，特别是针对本工程的技术难点及关键部位施工技术措施，档次为优的得2-1分，档次为良的得1-0.5分，档次为差得0.5-0分</w:t>
            </w:r>
          </w:p>
        </w:tc>
        <w:tc>
          <w:tcPr>
            <w:tcW w:w="471" w:type="pct"/>
            <w:tcBorders>
              <w:top w:val="single" w:color="auto" w:sz="6" w:space="0"/>
              <w:left w:val="single" w:color="auto" w:sz="6" w:space="0"/>
              <w:bottom w:val="single" w:color="auto" w:sz="6" w:space="0"/>
              <w:right w:val="double" w:color="auto" w:sz="4" w:space="0"/>
            </w:tcBorders>
            <w:noWrap w:val="0"/>
            <w:vAlign w:val="center"/>
          </w:tcPr>
          <w:p>
            <w:pPr>
              <w:widowControl/>
              <w:jc w:val="center"/>
              <w:rPr>
                <w:rFonts w:ascii="宋体"/>
                <w:color w:val="000000"/>
                <w:szCs w:val="21"/>
              </w:rPr>
            </w:pPr>
            <w:r>
              <w:rPr>
                <w:rFonts w:ascii="宋体" w:hAnsi="宋体"/>
                <w:color w:val="000000"/>
                <w:szCs w:val="21"/>
              </w:rPr>
              <w:t>2</w:t>
            </w:r>
            <w:r>
              <w:rPr>
                <w:rFonts w:hint="eastAsia" w:ascii="宋体" w:hAnsi="宋体"/>
                <w:color w:val="000000"/>
                <w:szCs w:val="21"/>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58" w:type="pct"/>
            <w:tcBorders>
              <w:top w:val="single" w:color="auto" w:sz="6" w:space="0"/>
              <w:left w:val="double" w:color="auto" w:sz="4" w:space="0"/>
              <w:bottom w:val="double" w:color="auto" w:sz="4" w:space="0"/>
              <w:right w:val="single" w:color="auto" w:sz="6" w:space="0"/>
            </w:tcBorders>
            <w:noWrap w:val="0"/>
            <w:vAlign w:val="center"/>
          </w:tcPr>
          <w:p>
            <w:pPr>
              <w:widowControl/>
              <w:jc w:val="center"/>
              <w:rPr>
                <w:rFonts w:hint="eastAsia" w:eastAsia="宋体"/>
                <w:szCs w:val="21"/>
                <w:lang w:val="en-US" w:eastAsia="zh-CN"/>
              </w:rPr>
            </w:pPr>
            <w:r>
              <w:rPr>
                <w:rFonts w:hint="eastAsia"/>
                <w:szCs w:val="21"/>
                <w:lang w:val="en-US" w:eastAsia="zh-CN"/>
              </w:rPr>
              <w:t>9</w:t>
            </w:r>
          </w:p>
        </w:tc>
        <w:tc>
          <w:tcPr>
            <w:tcW w:w="693" w:type="pct"/>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cs="宋体"/>
                <w:color w:val="auto"/>
                <w:szCs w:val="21"/>
              </w:rPr>
            </w:pPr>
            <w:r>
              <w:rPr>
                <w:rFonts w:hint="eastAsia" w:ascii="宋体" w:hAnsi="宋体" w:cs="宋体"/>
                <w:color w:val="auto"/>
                <w:szCs w:val="21"/>
              </w:rPr>
              <w:t>售后服务承诺、培训计划等</w:t>
            </w:r>
          </w:p>
        </w:tc>
        <w:tc>
          <w:tcPr>
            <w:tcW w:w="3476" w:type="pct"/>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auto"/>
                <w:szCs w:val="21"/>
              </w:rPr>
            </w:pPr>
            <w:r>
              <w:rPr>
                <w:rFonts w:hint="eastAsia" w:ascii="宋体" w:hAnsi="宋体" w:cs="宋体"/>
                <w:color w:val="auto"/>
                <w:szCs w:val="21"/>
              </w:rPr>
              <w:t>档次为优的得</w:t>
            </w:r>
            <w:r>
              <w:rPr>
                <w:rFonts w:ascii="宋体" w:hAnsi="宋体" w:cs="宋体"/>
                <w:color w:val="auto"/>
                <w:szCs w:val="21"/>
              </w:rPr>
              <w:t>3</w:t>
            </w:r>
            <w:r>
              <w:rPr>
                <w:rFonts w:hint="eastAsia" w:ascii="宋体" w:hAnsi="宋体" w:cs="宋体"/>
                <w:color w:val="auto"/>
                <w:szCs w:val="21"/>
              </w:rPr>
              <w:t>分，档次为良的得</w:t>
            </w:r>
            <w:r>
              <w:rPr>
                <w:rFonts w:ascii="宋体" w:hAnsi="宋体" w:cs="宋体"/>
                <w:color w:val="auto"/>
                <w:szCs w:val="21"/>
              </w:rPr>
              <w:t>2</w:t>
            </w:r>
            <w:r>
              <w:rPr>
                <w:rFonts w:hint="eastAsia" w:ascii="宋体" w:hAnsi="宋体" w:cs="宋体"/>
                <w:color w:val="auto"/>
                <w:szCs w:val="21"/>
              </w:rPr>
              <w:t>分，档次为一般的得</w:t>
            </w:r>
            <w:r>
              <w:rPr>
                <w:rFonts w:ascii="宋体" w:hAnsi="宋体" w:cs="宋体"/>
                <w:color w:val="auto"/>
                <w:szCs w:val="21"/>
              </w:rPr>
              <w:t>1</w:t>
            </w:r>
            <w:r>
              <w:rPr>
                <w:rFonts w:hint="eastAsia" w:ascii="宋体" w:hAnsi="宋体" w:cs="宋体"/>
                <w:color w:val="auto"/>
                <w:szCs w:val="21"/>
              </w:rPr>
              <w:t>分。</w:t>
            </w:r>
          </w:p>
        </w:tc>
        <w:tc>
          <w:tcPr>
            <w:tcW w:w="471" w:type="pct"/>
            <w:tcBorders>
              <w:top w:val="single" w:color="auto" w:sz="6" w:space="0"/>
              <w:left w:val="single" w:color="auto" w:sz="6" w:space="0"/>
              <w:bottom w:val="single" w:color="auto" w:sz="6" w:space="0"/>
              <w:right w:val="double" w:color="auto" w:sz="4" w:space="0"/>
            </w:tcBorders>
            <w:noWrap w:val="0"/>
            <w:vAlign w:val="center"/>
          </w:tcPr>
          <w:p>
            <w:pPr>
              <w:widowControl/>
              <w:jc w:val="center"/>
              <w:rPr>
                <w:rFonts w:ascii="宋体" w:hAnsi="宋体"/>
                <w:color w:val="000000"/>
                <w:szCs w:val="21"/>
              </w:rPr>
            </w:pPr>
            <w:r>
              <w:rPr>
                <w:rFonts w:hint="eastAsia" w:ascii="宋体" w:hAnsi="宋体"/>
                <w:color w:val="000000"/>
                <w:szCs w:val="21"/>
              </w:rPr>
              <w:t>3分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51" w:hRule="atLeast"/>
          <w:jc w:val="center"/>
        </w:trPr>
        <w:tc>
          <w:tcPr>
            <w:tcW w:w="358" w:type="pct"/>
            <w:tcBorders>
              <w:top w:val="single" w:color="auto" w:sz="6" w:space="0"/>
              <w:left w:val="double" w:color="auto" w:sz="4" w:space="0"/>
              <w:bottom w:val="double" w:color="auto" w:sz="4" w:space="0"/>
              <w:right w:val="single" w:color="auto" w:sz="6" w:space="0"/>
            </w:tcBorders>
            <w:noWrap w:val="0"/>
            <w:tcMar>
              <w:top w:w="0" w:type="dxa"/>
              <w:left w:w="57" w:type="dxa"/>
              <w:bottom w:w="0" w:type="dxa"/>
              <w:right w:w="57" w:type="dxa"/>
            </w:tcMar>
            <w:vAlign w:val="center"/>
          </w:tcPr>
          <w:p>
            <w:pPr>
              <w:ind w:left="-107" w:leftChars="-51"/>
              <w:jc w:val="center"/>
              <w:rPr>
                <w:rFonts w:hint="default" w:eastAsia="宋体"/>
                <w:szCs w:val="21"/>
                <w:lang w:val="en-US" w:eastAsia="zh-CN"/>
              </w:rPr>
            </w:pPr>
            <w:r>
              <w:rPr>
                <w:rFonts w:hint="eastAsia"/>
                <w:szCs w:val="21"/>
                <w:lang w:val="en-US" w:eastAsia="zh-CN"/>
              </w:rPr>
              <w:t>10</w:t>
            </w:r>
          </w:p>
        </w:tc>
        <w:tc>
          <w:tcPr>
            <w:tcW w:w="693" w:type="pct"/>
            <w:tcBorders>
              <w:top w:val="single" w:color="auto" w:sz="6" w:space="0"/>
              <w:left w:val="single" w:color="auto" w:sz="6" w:space="0"/>
              <w:bottom w:val="single" w:color="auto" w:sz="6" w:space="0"/>
              <w:right w:val="single" w:color="auto" w:sz="6" w:space="0"/>
            </w:tcBorders>
            <w:noWrap w:val="0"/>
            <w:tcMar>
              <w:top w:w="0" w:type="dxa"/>
              <w:left w:w="57" w:type="dxa"/>
              <w:bottom w:w="0" w:type="dxa"/>
              <w:right w:w="57" w:type="dxa"/>
            </w:tcMar>
            <w:vAlign w:val="center"/>
          </w:tcPr>
          <w:p>
            <w:pPr>
              <w:jc w:val="left"/>
              <w:rPr>
                <w:color w:val="auto"/>
                <w:kern w:val="0"/>
                <w:szCs w:val="21"/>
              </w:rPr>
            </w:pPr>
            <w:r>
              <w:rPr>
                <w:rFonts w:hint="eastAsia"/>
                <w:color w:val="auto"/>
                <w:kern w:val="0"/>
                <w:szCs w:val="21"/>
              </w:rPr>
              <w:t>人员配备</w:t>
            </w:r>
          </w:p>
        </w:tc>
        <w:tc>
          <w:tcPr>
            <w:tcW w:w="3476" w:type="pct"/>
            <w:tcBorders>
              <w:top w:val="single" w:color="auto" w:sz="6" w:space="0"/>
              <w:left w:val="single" w:color="auto" w:sz="6" w:space="0"/>
              <w:bottom w:val="single" w:color="auto" w:sz="6" w:space="0"/>
              <w:right w:val="single" w:color="auto" w:sz="6" w:space="0"/>
            </w:tcBorders>
            <w:noWrap w:val="0"/>
            <w:tcMar>
              <w:top w:w="0" w:type="dxa"/>
              <w:left w:w="57" w:type="dxa"/>
              <w:bottom w:w="0" w:type="dxa"/>
              <w:right w:w="57" w:type="dxa"/>
            </w:tcMar>
            <w:vAlign w:val="center"/>
          </w:tcPr>
          <w:p>
            <w:pPr>
              <w:numPr>
                <w:ilvl w:val="0"/>
                <w:numId w:val="0"/>
              </w:numPr>
              <w:ind w:leftChars="0"/>
              <w:rPr>
                <w:b/>
                <w:bCs/>
              </w:rPr>
            </w:pPr>
            <w:r>
              <w:rPr>
                <w:rFonts w:hint="eastAsia"/>
                <w:b/>
                <w:bCs/>
                <w:lang w:val="en-US" w:eastAsia="zh-CN"/>
              </w:rPr>
              <w:t>1、</w:t>
            </w:r>
            <w:r>
              <w:rPr>
                <w:rFonts w:hint="eastAsia"/>
                <w:b/>
                <w:bCs/>
              </w:rPr>
              <w:t>对项目负责人资质进行评比，该项最高得</w:t>
            </w:r>
            <w:r>
              <w:rPr>
                <w:b/>
                <w:bCs/>
              </w:rPr>
              <w:t>3</w:t>
            </w:r>
            <w:r>
              <w:rPr>
                <w:rFonts w:hint="eastAsia"/>
                <w:b/>
                <w:bCs/>
              </w:rPr>
              <w:t>分：</w:t>
            </w:r>
          </w:p>
          <w:p>
            <w:pPr>
              <w:ind w:firstLine="420" w:firstLineChars="200"/>
            </w:pPr>
            <w:r>
              <w:rPr>
                <w:rFonts w:hint="eastAsia"/>
              </w:rPr>
              <w:t>项目负责人具有机电工程专业的一级建造师资格</w:t>
            </w:r>
            <w:r>
              <w:rPr>
                <w:rFonts w:hint="eastAsia"/>
                <w:lang w:eastAsia="zh-CN"/>
              </w:rPr>
              <w:t>得</w:t>
            </w:r>
            <w:r>
              <w:rPr>
                <w:rFonts w:hint="eastAsia"/>
                <w:lang w:val="en-US" w:eastAsia="zh-CN"/>
              </w:rPr>
              <w:t>2分，同时具备高级工程师及以上职称的增加1</w:t>
            </w:r>
            <w:r>
              <w:rPr>
                <w:rFonts w:hint="eastAsia"/>
              </w:rPr>
              <w:t>分</w:t>
            </w:r>
            <w:r>
              <w:rPr>
                <w:rFonts w:hint="eastAsia"/>
                <w:lang w:eastAsia="zh-CN"/>
              </w:rPr>
              <w:t>；</w:t>
            </w:r>
            <w:r>
              <w:rPr>
                <w:rFonts w:hint="eastAsia"/>
              </w:rPr>
              <w:t>其余不</w:t>
            </w:r>
            <w:r>
              <w:rPr>
                <w:rFonts w:hint="eastAsia"/>
                <w:lang w:eastAsia="zh-CN"/>
              </w:rPr>
              <w:t>得分</w:t>
            </w:r>
            <w:r>
              <w:rPr>
                <w:rFonts w:hint="eastAsia"/>
              </w:rPr>
              <w:t>；</w:t>
            </w:r>
          </w:p>
          <w:p>
            <w:pPr>
              <w:rPr>
                <w:rFonts w:hint="eastAsia"/>
                <w:b/>
                <w:bCs/>
                <w:lang w:val="en-US" w:eastAsia="zh-CN"/>
              </w:rPr>
            </w:pPr>
            <w:r>
              <w:rPr>
                <w:rFonts w:hint="eastAsia"/>
                <w:b/>
                <w:bCs/>
                <w:lang w:val="en-US" w:eastAsia="zh-CN"/>
              </w:rPr>
              <w:t>2、</w:t>
            </w:r>
            <w:r>
              <w:rPr>
                <w:rFonts w:hint="eastAsia"/>
                <w:b/>
                <w:bCs/>
              </w:rPr>
              <w:t>对其他技术人员（不包括项目负责人）情况进行评比,以下各项不重复计</w:t>
            </w:r>
            <w:r>
              <w:rPr>
                <w:rFonts w:hint="eastAsia"/>
                <w:b/>
                <w:bCs/>
                <w:lang w:val="en-US" w:eastAsia="zh-CN"/>
              </w:rPr>
              <w:t>分，本项最高得2分：</w:t>
            </w:r>
          </w:p>
          <w:p>
            <w:pPr>
              <w:ind w:firstLine="420" w:firstLineChars="200"/>
              <w:rPr>
                <w:rFonts w:hint="eastAsia"/>
                <w:lang w:val="en-US" w:eastAsia="zh-CN"/>
              </w:rPr>
            </w:pPr>
            <w:r>
              <w:rPr>
                <w:rFonts w:hint="eastAsia"/>
                <w:lang w:val="en-US" w:eastAsia="zh-CN"/>
              </w:rPr>
              <w:t>电气负责人具有注册电气工程师证书的得1分，自控负责人具有自动化专业高级工程师证书的得1分，共2分。</w:t>
            </w:r>
          </w:p>
          <w:p>
            <w:pPr>
              <w:ind w:firstLine="422" w:firstLineChars="200"/>
            </w:pPr>
            <w:r>
              <w:rPr>
                <w:rFonts w:hint="eastAsia"/>
                <w:b/>
                <w:bCs/>
                <w:lang w:val="en-US" w:eastAsia="zh-CN"/>
              </w:rPr>
              <w:t>注：提供相关证书复印件盖章，原件备查，未提供不得分。</w:t>
            </w:r>
          </w:p>
        </w:tc>
        <w:tc>
          <w:tcPr>
            <w:tcW w:w="471" w:type="pct"/>
            <w:tcBorders>
              <w:top w:val="single" w:color="auto" w:sz="6" w:space="0"/>
              <w:left w:val="single" w:color="auto" w:sz="6" w:space="0"/>
              <w:bottom w:val="single" w:color="auto" w:sz="6" w:space="0"/>
              <w:right w:val="double" w:color="auto" w:sz="4" w:space="0"/>
            </w:tcBorders>
            <w:noWrap w:val="0"/>
            <w:tcMar>
              <w:top w:w="0" w:type="dxa"/>
              <w:left w:w="57" w:type="dxa"/>
              <w:bottom w:w="0" w:type="dxa"/>
              <w:right w:w="57" w:type="dxa"/>
            </w:tcMar>
            <w:vAlign w:val="center"/>
          </w:tcPr>
          <w:p>
            <w:pPr>
              <w:jc w:val="center"/>
              <w:rPr>
                <w:rFonts w:hint="eastAsia"/>
                <w:szCs w:val="21"/>
              </w:rPr>
            </w:pPr>
            <w:r>
              <w:rPr>
                <w:szCs w:val="21"/>
              </w:rPr>
              <w:t>5</w:t>
            </w:r>
            <w:r>
              <w:rPr>
                <w:rFonts w:hint="eastAsia"/>
                <w:szCs w:val="21"/>
                <w:lang w:val="en-US" w:eastAsia="zh-CN"/>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03" w:hRule="atLeast"/>
          <w:jc w:val="center"/>
        </w:trPr>
        <w:tc>
          <w:tcPr>
            <w:tcW w:w="358" w:type="pct"/>
            <w:tcBorders>
              <w:top w:val="single" w:color="auto" w:sz="6" w:space="0"/>
              <w:left w:val="double" w:color="auto" w:sz="4" w:space="0"/>
              <w:bottom w:val="double" w:color="auto" w:sz="4" w:space="0"/>
              <w:right w:val="single" w:color="auto" w:sz="6" w:space="0"/>
            </w:tcBorders>
            <w:noWrap w:val="0"/>
            <w:vAlign w:val="center"/>
          </w:tcPr>
          <w:p>
            <w:pPr>
              <w:widowControl/>
              <w:jc w:val="center"/>
              <w:rPr>
                <w:rFonts w:hint="default" w:eastAsia="宋体"/>
                <w:szCs w:val="21"/>
                <w:lang w:val="en-US" w:eastAsia="zh-CN"/>
              </w:rPr>
            </w:pPr>
            <w:r>
              <w:rPr>
                <w:rFonts w:hint="eastAsia"/>
                <w:szCs w:val="21"/>
                <w:lang w:val="en-US" w:eastAsia="zh-CN"/>
              </w:rPr>
              <w:t>11</w:t>
            </w:r>
          </w:p>
        </w:tc>
        <w:tc>
          <w:tcPr>
            <w:tcW w:w="693" w:type="pct"/>
            <w:tcBorders>
              <w:top w:val="single" w:color="auto" w:sz="6" w:space="0"/>
              <w:left w:val="single" w:color="auto" w:sz="6" w:space="0"/>
              <w:bottom w:val="single" w:color="auto" w:sz="6" w:space="0"/>
              <w:right w:val="single" w:color="auto" w:sz="6" w:space="0"/>
            </w:tcBorders>
            <w:noWrap w:val="0"/>
            <w:tcMar>
              <w:top w:w="0" w:type="dxa"/>
              <w:left w:w="57" w:type="dxa"/>
              <w:bottom w:w="0" w:type="dxa"/>
              <w:right w:w="57" w:type="dxa"/>
            </w:tcMar>
            <w:vAlign w:val="center"/>
          </w:tcPr>
          <w:p>
            <w:pPr>
              <w:jc w:val="left"/>
              <w:rPr>
                <w:rFonts w:hint="eastAsia"/>
                <w:color w:val="auto"/>
                <w:szCs w:val="21"/>
              </w:rPr>
            </w:pPr>
            <w:r>
              <w:rPr>
                <w:rFonts w:hint="eastAsia"/>
                <w:color w:val="auto"/>
                <w:kern w:val="0"/>
                <w:szCs w:val="21"/>
              </w:rPr>
              <w:t>对关键设备的要求</w:t>
            </w:r>
          </w:p>
        </w:tc>
        <w:tc>
          <w:tcPr>
            <w:tcW w:w="3476" w:type="pct"/>
            <w:tcBorders>
              <w:top w:val="single" w:color="auto" w:sz="6" w:space="0"/>
              <w:left w:val="single" w:color="auto" w:sz="6" w:space="0"/>
              <w:bottom w:val="single" w:color="auto" w:sz="6" w:space="0"/>
              <w:right w:val="single" w:color="auto" w:sz="6" w:space="0"/>
            </w:tcBorders>
            <w:noWrap w:val="0"/>
            <w:tcMar>
              <w:top w:w="0" w:type="dxa"/>
              <w:left w:w="57" w:type="dxa"/>
              <w:bottom w:w="0" w:type="dxa"/>
              <w:right w:w="57" w:type="dxa"/>
            </w:tcMar>
            <w:vAlign w:val="center"/>
          </w:tcPr>
          <w:p>
            <w:pPr>
              <w:rPr>
                <w:rFonts w:ascii="宋体" w:hAnsi="宋体"/>
                <w:color w:val="auto"/>
                <w:kern w:val="0"/>
                <w:szCs w:val="21"/>
              </w:rPr>
            </w:pPr>
            <w:r>
              <w:rPr>
                <w:rFonts w:hint="eastAsia" w:ascii="宋体" w:hAnsi="宋体"/>
                <w:color w:val="auto"/>
                <w:kern w:val="0"/>
                <w:szCs w:val="21"/>
              </w:rPr>
              <w:t>1、所投设备采用推荐参考品牌</w:t>
            </w:r>
            <w:r>
              <w:rPr>
                <w:rFonts w:hint="eastAsia" w:ascii="宋体" w:hAnsi="宋体"/>
                <w:color w:val="auto"/>
                <w:kern w:val="0"/>
                <w:szCs w:val="21"/>
                <w:lang w:eastAsia="zh-CN"/>
              </w:rPr>
              <w:t>的（泵除外）</w:t>
            </w:r>
            <w:r>
              <w:rPr>
                <w:rFonts w:hint="eastAsia" w:ascii="宋体" w:hAnsi="宋体"/>
                <w:color w:val="auto"/>
                <w:kern w:val="0"/>
                <w:szCs w:val="21"/>
              </w:rPr>
              <w:t>得</w:t>
            </w:r>
            <w:r>
              <w:rPr>
                <w:rFonts w:hint="eastAsia" w:ascii="宋体" w:hAnsi="宋体"/>
                <w:color w:val="auto"/>
                <w:kern w:val="0"/>
                <w:szCs w:val="21"/>
                <w:lang w:val="en-US" w:eastAsia="zh-CN"/>
              </w:rPr>
              <w:t>3</w:t>
            </w:r>
            <w:r>
              <w:rPr>
                <w:rFonts w:hint="eastAsia" w:ascii="宋体" w:hAnsi="宋体"/>
                <w:color w:val="auto"/>
                <w:kern w:val="0"/>
                <w:szCs w:val="21"/>
              </w:rPr>
              <w:t>分，其余的不得分；</w:t>
            </w:r>
          </w:p>
          <w:p>
            <w:pPr>
              <w:rPr>
                <w:rFonts w:hint="eastAsia" w:ascii="宋体" w:hAnsi="宋体"/>
                <w:color w:val="auto"/>
                <w:kern w:val="0"/>
                <w:szCs w:val="21"/>
              </w:rPr>
            </w:pPr>
            <w:r>
              <w:rPr>
                <w:rFonts w:hint="eastAsia" w:ascii="宋体" w:hAnsi="宋体" w:cs="宋体"/>
                <w:color w:val="auto"/>
                <w:kern w:val="0"/>
                <w:szCs w:val="21"/>
              </w:rPr>
              <w:t>2、PLC</w:t>
            </w:r>
            <w:r>
              <w:rPr>
                <w:rFonts w:hint="eastAsia" w:ascii="宋体" w:hAnsi="宋体"/>
                <w:color w:val="auto"/>
                <w:kern w:val="0"/>
                <w:szCs w:val="21"/>
              </w:rPr>
              <w:t>设备技术性能，要求能满足招标文件的要求(注：必须提供所投标产品的厂家授权书及售后服务承诺书</w:t>
            </w:r>
            <w:r>
              <w:rPr>
                <w:rFonts w:hint="eastAsia" w:ascii="宋体" w:hAnsi="宋体"/>
                <w:color w:val="auto"/>
                <w:kern w:val="0"/>
                <w:szCs w:val="21"/>
                <w:lang w:eastAsia="zh-CN"/>
              </w:rPr>
              <w:t>。</w:t>
            </w:r>
            <w:r>
              <w:rPr>
                <w:rFonts w:hint="eastAsia" w:ascii="宋体" w:hAnsi="宋体"/>
                <w:color w:val="auto"/>
                <w:kern w:val="0"/>
                <w:szCs w:val="21"/>
              </w:rPr>
              <w:t>否则该项不得分)：完全满足招标文件的技术要求，优最高得2分，</w:t>
            </w:r>
            <w:r>
              <w:rPr>
                <w:rFonts w:hint="eastAsia" w:ascii="宋体" w:hAnsi="宋体"/>
                <w:color w:val="auto"/>
                <w:szCs w:val="21"/>
              </w:rPr>
              <w:t>良最高得</w:t>
            </w:r>
            <w:r>
              <w:rPr>
                <w:rFonts w:ascii="宋体" w:hAnsi="宋体"/>
                <w:color w:val="auto"/>
                <w:kern w:val="0"/>
                <w:szCs w:val="21"/>
              </w:rPr>
              <w:t>1</w:t>
            </w:r>
            <w:r>
              <w:rPr>
                <w:rFonts w:hint="eastAsia" w:ascii="宋体" w:hAnsi="宋体"/>
                <w:color w:val="auto"/>
                <w:kern w:val="0"/>
                <w:szCs w:val="21"/>
              </w:rPr>
              <w:t>分，一般及以下最高得</w:t>
            </w:r>
            <w:r>
              <w:rPr>
                <w:rFonts w:ascii="宋体" w:hAnsi="宋体"/>
                <w:color w:val="auto"/>
                <w:kern w:val="0"/>
                <w:szCs w:val="21"/>
              </w:rPr>
              <w:t>0.5</w:t>
            </w:r>
            <w:r>
              <w:rPr>
                <w:rFonts w:hint="eastAsia" w:ascii="宋体" w:hAnsi="宋体"/>
                <w:color w:val="auto"/>
                <w:kern w:val="0"/>
                <w:szCs w:val="21"/>
              </w:rPr>
              <w:t>分。</w:t>
            </w:r>
          </w:p>
        </w:tc>
        <w:tc>
          <w:tcPr>
            <w:tcW w:w="471" w:type="pct"/>
            <w:tcBorders>
              <w:top w:val="single" w:color="auto" w:sz="6" w:space="0"/>
              <w:left w:val="single" w:color="auto" w:sz="6" w:space="0"/>
              <w:bottom w:val="single" w:color="auto" w:sz="6" w:space="0"/>
              <w:right w:val="double" w:color="auto" w:sz="4" w:space="0"/>
            </w:tcBorders>
            <w:noWrap w:val="0"/>
            <w:tcMar>
              <w:top w:w="0" w:type="dxa"/>
              <w:left w:w="57" w:type="dxa"/>
              <w:bottom w:w="0" w:type="dxa"/>
              <w:right w:w="57" w:type="dxa"/>
            </w:tcMar>
            <w:vAlign w:val="center"/>
          </w:tcPr>
          <w:p>
            <w:pPr>
              <w:jc w:val="center"/>
              <w:rPr>
                <w:rFonts w:hint="eastAsia"/>
                <w:szCs w:val="21"/>
              </w:rPr>
            </w:pPr>
            <w:r>
              <w:rPr>
                <w:rFonts w:hint="eastAsia"/>
                <w:szCs w:val="21"/>
              </w:rPr>
              <w:t>5</w:t>
            </w:r>
            <w:r>
              <w:rPr>
                <w:rFonts w:hint="eastAsia"/>
                <w:szCs w:val="21"/>
                <w:lang w:val="en-US" w:eastAsia="zh-CN"/>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58" w:hRule="atLeast"/>
          <w:jc w:val="center"/>
        </w:trPr>
        <w:tc>
          <w:tcPr>
            <w:tcW w:w="358" w:type="pct"/>
            <w:tcBorders>
              <w:top w:val="single" w:color="auto" w:sz="6" w:space="0"/>
              <w:left w:val="double" w:color="auto" w:sz="4" w:space="0"/>
              <w:bottom w:val="double" w:color="auto" w:sz="4" w:space="0"/>
              <w:right w:val="single" w:color="auto" w:sz="6" w:space="0"/>
            </w:tcBorders>
            <w:noWrap w:val="0"/>
            <w:vAlign w:val="center"/>
          </w:tcPr>
          <w:p>
            <w:pPr>
              <w:widowControl/>
              <w:jc w:val="center"/>
              <w:rPr>
                <w:rFonts w:hint="default" w:eastAsia="宋体"/>
                <w:szCs w:val="21"/>
                <w:lang w:val="en-US" w:eastAsia="zh-CN"/>
              </w:rPr>
            </w:pPr>
            <w:r>
              <w:rPr>
                <w:rFonts w:hint="eastAsia"/>
                <w:szCs w:val="21"/>
                <w:lang w:val="en-US" w:eastAsia="zh-CN"/>
              </w:rPr>
              <w:t>12</w:t>
            </w:r>
          </w:p>
        </w:tc>
        <w:tc>
          <w:tcPr>
            <w:tcW w:w="693" w:type="pct"/>
            <w:tcBorders>
              <w:top w:val="single" w:color="auto" w:sz="6" w:space="0"/>
              <w:left w:val="single" w:color="auto" w:sz="6" w:space="0"/>
              <w:bottom w:val="single" w:color="auto" w:sz="6" w:space="0"/>
              <w:right w:val="single" w:color="auto" w:sz="6" w:space="0"/>
            </w:tcBorders>
            <w:noWrap w:val="0"/>
            <w:tcMar>
              <w:top w:w="0" w:type="dxa"/>
              <w:left w:w="57" w:type="dxa"/>
              <w:bottom w:w="0" w:type="dxa"/>
              <w:right w:w="57" w:type="dxa"/>
            </w:tcMar>
            <w:vAlign w:val="center"/>
          </w:tcPr>
          <w:p>
            <w:pPr>
              <w:jc w:val="left"/>
              <w:rPr>
                <w:color w:val="auto"/>
                <w:szCs w:val="21"/>
              </w:rPr>
            </w:pPr>
            <w:r>
              <w:rPr>
                <w:rFonts w:hint="eastAsia"/>
                <w:color w:val="auto"/>
                <w:szCs w:val="21"/>
              </w:rPr>
              <w:t>系统方案</w:t>
            </w:r>
          </w:p>
        </w:tc>
        <w:tc>
          <w:tcPr>
            <w:tcW w:w="3476" w:type="pct"/>
            <w:tcBorders>
              <w:top w:val="single" w:color="auto" w:sz="6" w:space="0"/>
              <w:left w:val="single" w:color="auto" w:sz="6" w:space="0"/>
              <w:bottom w:val="single" w:color="auto" w:sz="6" w:space="0"/>
              <w:right w:val="single" w:color="auto" w:sz="6" w:space="0"/>
            </w:tcBorders>
            <w:noWrap w:val="0"/>
            <w:tcMar>
              <w:top w:w="0" w:type="dxa"/>
              <w:left w:w="57" w:type="dxa"/>
              <w:bottom w:w="0" w:type="dxa"/>
              <w:right w:w="57" w:type="dxa"/>
            </w:tcMar>
            <w:vAlign w:val="top"/>
          </w:tcPr>
          <w:p>
            <w:pPr>
              <w:rPr>
                <w:rFonts w:ascii="宋体" w:hAnsi="宋体"/>
                <w:b/>
                <w:bCs/>
                <w:color w:val="auto"/>
                <w:kern w:val="0"/>
                <w:szCs w:val="21"/>
              </w:rPr>
            </w:pPr>
            <w:r>
              <w:rPr>
                <w:rFonts w:hint="eastAsia" w:ascii="宋体" w:hAnsi="宋体"/>
                <w:b/>
                <w:bCs/>
                <w:color w:val="auto"/>
                <w:kern w:val="0"/>
                <w:szCs w:val="21"/>
              </w:rPr>
              <w:t>根据投标人提出的系统方案、安装调试方案、运行验收方案</w:t>
            </w:r>
            <w:r>
              <w:rPr>
                <w:rFonts w:hint="eastAsia" w:ascii="宋体" w:hAnsi="宋体"/>
                <w:b/>
                <w:bCs/>
                <w:color w:val="auto"/>
                <w:kern w:val="0"/>
                <w:szCs w:val="21"/>
                <w:lang w:eastAsia="zh-CN"/>
              </w:rPr>
              <w:t>综合打分（</w:t>
            </w:r>
            <w:r>
              <w:rPr>
                <w:rFonts w:hint="eastAsia" w:ascii="宋体" w:hAnsi="宋体"/>
                <w:b/>
                <w:bCs/>
                <w:color w:val="auto"/>
                <w:kern w:val="0"/>
                <w:szCs w:val="21"/>
                <w:lang w:val="en-US" w:eastAsia="zh-CN"/>
              </w:rPr>
              <w:t>0-5分</w:t>
            </w:r>
            <w:r>
              <w:rPr>
                <w:rFonts w:hint="eastAsia" w:ascii="宋体" w:hAnsi="宋体"/>
                <w:b/>
                <w:bCs/>
                <w:color w:val="auto"/>
                <w:kern w:val="0"/>
                <w:szCs w:val="21"/>
                <w:lang w:eastAsia="zh-CN"/>
              </w:rPr>
              <w:t>）</w:t>
            </w:r>
            <w:r>
              <w:rPr>
                <w:rFonts w:hint="eastAsia" w:ascii="宋体" w:hAnsi="宋体"/>
                <w:b/>
                <w:bCs/>
                <w:color w:val="auto"/>
                <w:kern w:val="0"/>
                <w:szCs w:val="21"/>
              </w:rPr>
              <w:t>：</w:t>
            </w:r>
          </w:p>
          <w:p>
            <w:pPr>
              <w:rPr>
                <w:rFonts w:ascii="宋体" w:hAnsi="宋体"/>
                <w:color w:val="auto"/>
                <w:kern w:val="0"/>
                <w:szCs w:val="21"/>
              </w:rPr>
            </w:pPr>
            <w:r>
              <w:rPr>
                <w:rFonts w:hint="eastAsia" w:ascii="宋体" w:hAnsi="宋体"/>
                <w:color w:val="auto"/>
                <w:kern w:val="0"/>
                <w:szCs w:val="21"/>
                <w:lang w:eastAsia="zh-CN"/>
              </w:rPr>
              <w:t>优：</w:t>
            </w:r>
            <w:r>
              <w:rPr>
                <w:rFonts w:hint="eastAsia" w:ascii="宋体" w:hAnsi="宋体"/>
                <w:color w:val="auto"/>
                <w:kern w:val="0"/>
                <w:szCs w:val="21"/>
                <w:lang w:val="en-US" w:eastAsia="zh-CN"/>
              </w:rPr>
              <w:t>4</w:t>
            </w:r>
            <w:r>
              <w:rPr>
                <w:rFonts w:hint="eastAsia" w:ascii="宋体" w:hAnsi="宋体"/>
                <w:color w:val="auto"/>
                <w:kern w:val="0"/>
                <w:szCs w:val="21"/>
              </w:rPr>
              <w:t>～</w:t>
            </w:r>
            <w:r>
              <w:rPr>
                <w:rFonts w:hint="eastAsia" w:ascii="宋体" w:hAnsi="宋体"/>
                <w:color w:val="auto"/>
                <w:kern w:val="0"/>
                <w:szCs w:val="21"/>
                <w:lang w:val="en-US" w:eastAsia="zh-CN"/>
              </w:rPr>
              <w:t>5</w:t>
            </w:r>
            <w:r>
              <w:rPr>
                <w:rFonts w:hint="eastAsia" w:ascii="宋体" w:hAnsi="宋体"/>
                <w:color w:val="auto"/>
                <w:kern w:val="0"/>
                <w:szCs w:val="21"/>
              </w:rPr>
              <w:t>分，系统方案设计详细优良，安装调试方案具体合理、运行验收方案可靠。</w:t>
            </w:r>
          </w:p>
          <w:p>
            <w:pPr>
              <w:rPr>
                <w:rFonts w:ascii="宋体" w:hAnsi="宋体"/>
                <w:color w:val="auto"/>
                <w:kern w:val="0"/>
                <w:szCs w:val="21"/>
              </w:rPr>
            </w:pPr>
            <w:r>
              <w:rPr>
                <w:rFonts w:hint="eastAsia" w:ascii="宋体" w:hAnsi="宋体"/>
                <w:color w:val="auto"/>
                <w:kern w:val="0"/>
                <w:szCs w:val="21"/>
                <w:lang w:val="en-US" w:eastAsia="zh-CN"/>
              </w:rPr>
              <w:t>良：2</w:t>
            </w:r>
            <w:r>
              <w:rPr>
                <w:rFonts w:hint="eastAsia" w:ascii="宋体" w:hAnsi="宋体"/>
                <w:color w:val="auto"/>
                <w:kern w:val="0"/>
                <w:szCs w:val="21"/>
              </w:rPr>
              <w:t>～</w:t>
            </w:r>
            <w:r>
              <w:rPr>
                <w:rFonts w:hint="eastAsia" w:ascii="宋体" w:hAnsi="宋体"/>
                <w:color w:val="auto"/>
                <w:kern w:val="0"/>
                <w:szCs w:val="21"/>
                <w:lang w:val="en-US" w:eastAsia="zh-CN"/>
              </w:rPr>
              <w:t>4</w:t>
            </w:r>
            <w:r>
              <w:rPr>
                <w:rFonts w:hint="eastAsia" w:ascii="宋体" w:hAnsi="宋体"/>
                <w:color w:val="auto"/>
                <w:kern w:val="0"/>
                <w:szCs w:val="21"/>
              </w:rPr>
              <w:t>分，系统方案设计一般，安装调试方案、运行验收方案可执行。</w:t>
            </w:r>
          </w:p>
          <w:p>
            <w:pPr>
              <w:rPr>
                <w:rFonts w:hint="eastAsia" w:ascii="宋体" w:hAnsi="宋体"/>
                <w:color w:val="auto"/>
                <w:kern w:val="0"/>
                <w:szCs w:val="21"/>
              </w:rPr>
            </w:pPr>
            <w:r>
              <w:rPr>
                <w:rFonts w:hint="eastAsia" w:ascii="宋体" w:hAnsi="宋体"/>
                <w:color w:val="auto"/>
                <w:kern w:val="0"/>
                <w:szCs w:val="21"/>
                <w:lang w:eastAsia="zh-CN"/>
              </w:rPr>
              <w:t>一般：</w:t>
            </w:r>
            <w:r>
              <w:rPr>
                <w:rFonts w:ascii="宋体" w:hAnsi="宋体"/>
                <w:color w:val="auto"/>
                <w:kern w:val="0"/>
                <w:szCs w:val="21"/>
              </w:rPr>
              <w:t>0</w:t>
            </w:r>
            <w:r>
              <w:rPr>
                <w:rFonts w:hint="eastAsia" w:ascii="宋体" w:hAnsi="宋体"/>
                <w:color w:val="auto"/>
                <w:kern w:val="0"/>
                <w:szCs w:val="21"/>
              </w:rPr>
              <w:t>～</w:t>
            </w:r>
            <w:r>
              <w:rPr>
                <w:rFonts w:hint="eastAsia" w:ascii="宋体" w:hAnsi="宋体"/>
                <w:color w:val="auto"/>
                <w:kern w:val="0"/>
                <w:szCs w:val="21"/>
                <w:lang w:val="en-US" w:eastAsia="zh-CN"/>
              </w:rPr>
              <w:t>2</w:t>
            </w:r>
            <w:r>
              <w:rPr>
                <w:rFonts w:hint="eastAsia" w:ascii="宋体" w:hAnsi="宋体"/>
                <w:color w:val="auto"/>
                <w:kern w:val="0"/>
                <w:szCs w:val="21"/>
              </w:rPr>
              <w:t>分，系统方案设计不明确，安装调试方案没针对性，运行验收方案缺乏可操作性。</w:t>
            </w:r>
          </w:p>
          <w:p>
            <w:pPr>
              <w:rPr>
                <w:rFonts w:ascii="宋体" w:hAnsi="宋体" w:cs="宋体"/>
                <w:color w:val="auto"/>
                <w:kern w:val="0"/>
                <w:szCs w:val="21"/>
              </w:rPr>
            </w:pPr>
            <w:r>
              <w:rPr>
                <w:rFonts w:hint="eastAsia" w:ascii="宋体" w:hAnsi="宋体"/>
                <w:b/>
                <w:bCs/>
                <w:color w:val="auto"/>
                <w:kern w:val="0"/>
                <w:szCs w:val="21"/>
              </w:rPr>
              <w:t>参数不满足招标文件要求的，视情况每项扣1分，不满足一般技术指标超过</w:t>
            </w:r>
            <w:r>
              <w:rPr>
                <w:rFonts w:ascii="宋体" w:hAnsi="宋体"/>
                <w:b/>
                <w:bCs/>
                <w:color w:val="auto"/>
                <w:kern w:val="0"/>
                <w:szCs w:val="21"/>
              </w:rPr>
              <w:t>5</w:t>
            </w:r>
            <w:r>
              <w:rPr>
                <w:rFonts w:hint="eastAsia" w:ascii="宋体" w:hAnsi="宋体"/>
                <w:b/>
                <w:bCs/>
                <w:color w:val="auto"/>
                <w:kern w:val="0"/>
                <w:szCs w:val="21"/>
              </w:rPr>
              <w:t>项的，本项得分为0分</w:t>
            </w:r>
            <w:r>
              <w:rPr>
                <w:rFonts w:ascii="宋体" w:hAnsi="宋体"/>
                <w:b/>
                <w:bCs/>
                <w:color w:val="auto"/>
                <w:kern w:val="0"/>
                <w:szCs w:val="21"/>
              </w:rPr>
              <w:t>。</w:t>
            </w:r>
          </w:p>
        </w:tc>
        <w:tc>
          <w:tcPr>
            <w:tcW w:w="471" w:type="pct"/>
            <w:tcBorders>
              <w:top w:val="single" w:color="auto" w:sz="6" w:space="0"/>
              <w:left w:val="single" w:color="auto" w:sz="6" w:space="0"/>
              <w:bottom w:val="single" w:color="auto" w:sz="6" w:space="0"/>
              <w:right w:val="double" w:color="auto" w:sz="4" w:space="0"/>
            </w:tcBorders>
            <w:noWrap w:val="0"/>
            <w:tcMar>
              <w:top w:w="0" w:type="dxa"/>
              <w:left w:w="57" w:type="dxa"/>
              <w:bottom w:w="0" w:type="dxa"/>
              <w:right w:w="57" w:type="dxa"/>
            </w:tcMar>
            <w:vAlign w:val="center"/>
          </w:tcPr>
          <w:p>
            <w:pPr>
              <w:jc w:val="center"/>
              <w:rPr>
                <w:rFonts w:hint="eastAsia" w:eastAsia="宋体"/>
                <w:szCs w:val="21"/>
                <w:lang w:eastAsia="zh-CN"/>
              </w:rPr>
            </w:pPr>
            <w:r>
              <w:rPr>
                <w:rFonts w:hint="eastAsia"/>
                <w:szCs w:val="21"/>
                <w:lang w:val="en-US" w:eastAsia="zh-CN"/>
              </w:rPr>
              <w:t>5分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96" w:hRule="atLeast"/>
          <w:jc w:val="center"/>
        </w:trPr>
        <w:tc>
          <w:tcPr>
            <w:tcW w:w="358" w:type="pct"/>
            <w:tcBorders>
              <w:top w:val="single" w:color="auto" w:sz="6" w:space="0"/>
              <w:left w:val="double" w:color="auto" w:sz="4" w:space="0"/>
              <w:bottom w:val="double" w:color="auto" w:sz="4" w:space="0"/>
              <w:right w:val="single" w:color="auto" w:sz="6" w:space="0"/>
            </w:tcBorders>
            <w:noWrap w:val="0"/>
            <w:vAlign w:val="center"/>
          </w:tcPr>
          <w:p>
            <w:pPr>
              <w:widowControl/>
              <w:jc w:val="center"/>
              <w:rPr>
                <w:rFonts w:hint="default" w:eastAsia="宋体"/>
                <w:szCs w:val="21"/>
                <w:lang w:val="en-US" w:eastAsia="zh-CN"/>
              </w:rPr>
            </w:pPr>
            <w:r>
              <w:rPr>
                <w:rFonts w:hint="eastAsia"/>
                <w:szCs w:val="21"/>
                <w:lang w:val="en-US" w:eastAsia="zh-CN"/>
              </w:rPr>
              <w:t>13</w:t>
            </w:r>
          </w:p>
        </w:tc>
        <w:tc>
          <w:tcPr>
            <w:tcW w:w="693" w:type="pct"/>
            <w:tcBorders>
              <w:top w:val="single" w:color="auto" w:sz="6" w:space="0"/>
              <w:left w:val="single" w:color="auto" w:sz="6" w:space="0"/>
              <w:bottom w:val="single" w:color="auto" w:sz="6" w:space="0"/>
              <w:right w:val="single" w:color="auto" w:sz="6" w:space="0"/>
            </w:tcBorders>
            <w:noWrap w:val="0"/>
            <w:tcMar>
              <w:top w:w="0" w:type="dxa"/>
              <w:left w:w="57" w:type="dxa"/>
              <w:bottom w:w="0" w:type="dxa"/>
              <w:right w:w="57" w:type="dxa"/>
            </w:tcMar>
            <w:vAlign w:val="center"/>
          </w:tcPr>
          <w:p>
            <w:pPr>
              <w:jc w:val="left"/>
              <w:rPr>
                <w:rFonts w:hint="eastAsia" w:eastAsia="宋体"/>
                <w:color w:val="auto"/>
                <w:szCs w:val="21"/>
                <w:lang w:eastAsia="zh-CN"/>
              </w:rPr>
            </w:pPr>
            <w:r>
              <w:rPr>
                <w:rFonts w:hint="eastAsia"/>
                <w:color w:val="auto"/>
                <w:szCs w:val="21"/>
                <w:lang w:eastAsia="zh-CN"/>
              </w:rPr>
              <w:t>自控系统</w:t>
            </w:r>
          </w:p>
        </w:tc>
        <w:tc>
          <w:tcPr>
            <w:tcW w:w="3476" w:type="pct"/>
            <w:tcBorders>
              <w:top w:val="single" w:color="auto" w:sz="6" w:space="0"/>
              <w:left w:val="single" w:color="auto" w:sz="6" w:space="0"/>
              <w:bottom w:val="single" w:color="auto" w:sz="6" w:space="0"/>
              <w:right w:val="single" w:color="auto" w:sz="6" w:space="0"/>
            </w:tcBorders>
            <w:noWrap w:val="0"/>
            <w:tcMar>
              <w:top w:w="0" w:type="dxa"/>
              <w:left w:w="57" w:type="dxa"/>
              <w:bottom w:w="0" w:type="dxa"/>
              <w:right w:w="57" w:type="dxa"/>
            </w:tcMar>
            <w:vAlign w:val="top"/>
          </w:tcPr>
          <w:p>
            <w:pPr>
              <w:rPr>
                <w:rFonts w:hint="eastAsia" w:ascii="宋体" w:hAnsi="宋体"/>
                <w:b/>
                <w:bCs/>
                <w:color w:val="auto"/>
                <w:kern w:val="0"/>
                <w:szCs w:val="21"/>
                <w:lang w:eastAsia="zh-CN"/>
              </w:rPr>
            </w:pPr>
            <w:r>
              <w:rPr>
                <w:rFonts w:hint="eastAsia" w:ascii="宋体" w:hAnsi="宋体"/>
                <w:b/>
                <w:bCs/>
                <w:color w:val="auto"/>
                <w:kern w:val="0"/>
                <w:szCs w:val="21"/>
                <w:lang w:eastAsia="zh-CN"/>
              </w:rPr>
              <w:t>根据投标人的自控系统内容进行综合打分：（</w:t>
            </w:r>
            <w:r>
              <w:rPr>
                <w:rFonts w:hint="eastAsia" w:ascii="宋体" w:hAnsi="宋体"/>
                <w:b/>
                <w:bCs/>
                <w:color w:val="auto"/>
                <w:kern w:val="0"/>
                <w:szCs w:val="21"/>
                <w:lang w:val="en-US" w:eastAsia="zh-CN"/>
              </w:rPr>
              <w:t>0-5分）</w:t>
            </w:r>
          </w:p>
          <w:p>
            <w:pPr>
              <w:rPr>
                <w:rFonts w:hint="default" w:ascii="宋体" w:hAnsi="宋体" w:eastAsia="宋体"/>
                <w:color w:val="auto"/>
                <w:kern w:val="0"/>
                <w:szCs w:val="21"/>
                <w:lang w:val="en-US" w:eastAsia="zh-CN"/>
              </w:rPr>
            </w:pPr>
            <w:r>
              <w:rPr>
                <w:rFonts w:hint="eastAsia" w:ascii="宋体" w:hAnsi="宋体"/>
                <w:color w:val="auto"/>
                <w:kern w:val="0"/>
                <w:szCs w:val="21"/>
                <w:lang w:eastAsia="zh-CN"/>
              </w:rPr>
              <w:t>（</w:t>
            </w:r>
            <w:r>
              <w:rPr>
                <w:rFonts w:hint="eastAsia" w:ascii="宋体" w:hAnsi="宋体"/>
                <w:color w:val="auto"/>
                <w:kern w:val="0"/>
                <w:szCs w:val="21"/>
                <w:lang w:val="en-US" w:eastAsia="zh-CN"/>
              </w:rPr>
              <w:t>1</w:t>
            </w:r>
            <w:r>
              <w:rPr>
                <w:rFonts w:hint="eastAsia" w:ascii="宋体" w:hAnsi="宋体"/>
                <w:color w:val="auto"/>
                <w:kern w:val="0"/>
                <w:szCs w:val="21"/>
                <w:lang w:eastAsia="zh-CN"/>
              </w:rPr>
              <w:t>）本工程自控系统的主要特点、网络结构及系统配置的先进性、可靠性、完整性及操作便利性；（</w:t>
            </w:r>
            <w:r>
              <w:rPr>
                <w:rFonts w:hint="eastAsia" w:ascii="宋体" w:hAnsi="宋体"/>
                <w:color w:val="auto"/>
                <w:kern w:val="0"/>
                <w:szCs w:val="21"/>
                <w:lang w:val="en-US" w:eastAsia="zh-CN"/>
              </w:rPr>
              <w:t>2</w:t>
            </w:r>
            <w:r>
              <w:rPr>
                <w:rFonts w:hint="eastAsia" w:ascii="宋体" w:hAnsi="宋体"/>
                <w:color w:val="auto"/>
                <w:kern w:val="0"/>
                <w:szCs w:val="21"/>
                <w:lang w:eastAsia="zh-CN"/>
              </w:rPr>
              <w:t>）中控室操作员站监控功能的设计；自控系统配置及功能说明；（</w:t>
            </w:r>
            <w:r>
              <w:rPr>
                <w:rFonts w:hint="eastAsia" w:ascii="宋体" w:hAnsi="宋体"/>
                <w:color w:val="auto"/>
                <w:kern w:val="0"/>
                <w:szCs w:val="21"/>
                <w:lang w:val="en-US" w:eastAsia="zh-CN"/>
              </w:rPr>
              <w:t>3</w:t>
            </w:r>
            <w:r>
              <w:rPr>
                <w:rFonts w:hint="eastAsia" w:ascii="宋体" w:hAnsi="宋体"/>
                <w:color w:val="auto"/>
                <w:kern w:val="0"/>
                <w:szCs w:val="21"/>
                <w:lang w:eastAsia="zh-CN"/>
              </w:rPr>
              <w:t>）自控系统的防雷接地设计；（</w:t>
            </w:r>
            <w:r>
              <w:rPr>
                <w:rFonts w:hint="eastAsia" w:ascii="宋体" w:hAnsi="宋体"/>
                <w:color w:val="auto"/>
                <w:kern w:val="0"/>
                <w:szCs w:val="21"/>
                <w:lang w:val="en-US" w:eastAsia="zh-CN"/>
              </w:rPr>
              <w:t>4</w:t>
            </w:r>
            <w:r>
              <w:rPr>
                <w:rFonts w:hint="eastAsia" w:ascii="宋体" w:hAnsi="宋体"/>
                <w:color w:val="auto"/>
                <w:kern w:val="0"/>
                <w:szCs w:val="21"/>
                <w:lang w:eastAsia="zh-CN"/>
              </w:rPr>
              <w:t>）自动化控制系统方案的合理性、完整性及对工艺过程的理解程度；（</w:t>
            </w:r>
            <w:r>
              <w:rPr>
                <w:rFonts w:hint="eastAsia" w:ascii="宋体" w:hAnsi="宋体"/>
                <w:color w:val="auto"/>
                <w:kern w:val="0"/>
                <w:szCs w:val="21"/>
                <w:lang w:val="en-US" w:eastAsia="zh-CN"/>
              </w:rPr>
              <w:t>5</w:t>
            </w:r>
            <w:r>
              <w:rPr>
                <w:rFonts w:hint="eastAsia" w:ascii="宋体" w:hAnsi="宋体"/>
                <w:color w:val="auto"/>
                <w:kern w:val="0"/>
                <w:szCs w:val="21"/>
                <w:lang w:eastAsia="zh-CN"/>
              </w:rPr>
              <w:t>）针对本工程设计方案、设备技术性能和参数，其针对性、合理性、科学性、创新性。</w:t>
            </w:r>
          </w:p>
        </w:tc>
        <w:tc>
          <w:tcPr>
            <w:tcW w:w="471" w:type="pct"/>
            <w:tcBorders>
              <w:top w:val="single" w:color="auto" w:sz="6" w:space="0"/>
              <w:left w:val="single" w:color="auto" w:sz="6" w:space="0"/>
              <w:bottom w:val="single" w:color="auto" w:sz="6" w:space="0"/>
              <w:right w:val="double" w:color="auto" w:sz="4" w:space="0"/>
            </w:tcBorders>
            <w:noWrap w:val="0"/>
            <w:tcMar>
              <w:top w:w="0" w:type="dxa"/>
              <w:left w:w="57" w:type="dxa"/>
              <w:bottom w:w="0" w:type="dxa"/>
              <w:right w:w="57" w:type="dxa"/>
            </w:tcMar>
            <w:vAlign w:val="center"/>
          </w:tcPr>
          <w:p>
            <w:pPr>
              <w:jc w:val="center"/>
              <w:rPr>
                <w:rFonts w:hint="default"/>
                <w:szCs w:val="21"/>
                <w:lang w:val="en-US" w:eastAsia="zh-CN"/>
              </w:rPr>
            </w:pPr>
            <w:r>
              <w:rPr>
                <w:rFonts w:hint="eastAsia"/>
                <w:szCs w:val="21"/>
                <w:lang w:val="en-US" w:eastAsia="zh-CN"/>
              </w:rPr>
              <w:t>5分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98" w:hRule="atLeast"/>
          <w:jc w:val="center"/>
        </w:trPr>
        <w:tc>
          <w:tcPr>
            <w:tcW w:w="358" w:type="pct"/>
            <w:tcBorders>
              <w:top w:val="single" w:color="auto" w:sz="6" w:space="0"/>
              <w:left w:val="double" w:color="auto" w:sz="4" w:space="0"/>
              <w:bottom w:val="double" w:color="auto" w:sz="4" w:space="0"/>
              <w:right w:val="single" w:color="auto" w:sz="6" w:space="0"/>
            </w:tcBorders>
            <w:noWrap w:val="0"/>
            <w:vAlign w:val="center"/>
          </w:tcPr>
          <w:p>
            <w:pPr>
              <w:widowControl/>
              <w:jc w:val="center"/>
              <w:rPr>
                <w:rFonts w:hint="default" w:eastAsia="宋体"/>
                <w:szCs w:val="21"/>
                <w:lang w:val="en-US" w:eastAsia="zh-CN"/>
              </w:rPr>
            </w:pPr>
            <w:r>
              <w:rPr>
                <w:rFonts w:hint="eastAsia"/>
                <w:szCs w:val="21"/>
                <w:lang w:val="en-US" w:eastAsia="zh-CN"/>
              </w:rPr>
              <w:t>14</w:t>
            </w:r>
          </w:p>
        </w:tc>
        <w:tc>
          <w:tcPr>
            <w:tcW w:w="693" w:type="pct"/>
            <w:tcBorders>
              <w:top w:val="single" w:color="auto" w:sz="6" w:space="0"/>
              <w:left w:val="single" w:color="auto" w:sz="6" w:space="0"/>
              <w:bottom w:val="single" w:color="auto" w:sz="6" w:space="0"/>
              <w:right w:val="single" w:color="auto" w:sz="6" w:space="0"/>
            </w:tcBorders>
            <w:noWrap w:val="0"/>
            <w:tcMar>
              <w:top w:w="0" w:type="dxa"/>
              <w:left w:w="57" w:type="dxa"/>
              <w:bottom w:w="0" w:type="dxa"/>
              <w:right w:w="57" w:type="dxa"/>
            </w:tcMar>
            <w:vAlign w:val="center"/>
          </w:tcPr>
          <w:p>
            <w:pPr>
              <w:jc w:val="left"/>
              <w:rPr>
                <w:color w:val="auto"/>
                <w:szCs w:val="21"/>
              </w:rPr>
            </w:pPr>
            <w:r>
              <w:rPr>
                <w:rFonts w:hint="eastAsia"/>
                <w:color w:val="auto"/>
                <w:kern w:val="0"/>
                <w:szCs w:val="21"/>
              </w:rPr>
              <w:t>施工组织方案</w:t>
            </w:r>
          </w:p>
        </w:tc>
        <w:tc>
          <w:tcPr>
            <w:tcW w:w="3476" w:type="pct"/>
            <w:tcBorders>
              <w:top w:val="single" w:color="auto" w:sz="6" w:space="0"/>
              <w:left w:val="single" w:color="auto" w:sz="6" w:space="0"/>
              <w:bottom w:val="single" w:color="auto" w:sz="6" w:space="0"/>
              <w:right w:val="single" w:color="auto" w:sz="6" w:space="0"/>
            </w:tcBorders>
            <w:noWrap w:val="0"/>
            <w:tcMar>
              <w:top w:w="0" w:type="dxa"/>
              <w:left w:w="57" w:type="dxa"/>
              <w:bottom w:w="0" w:type="dxa"/>
              <w:right w:w="57" w:type="dxa"/>
            </w:tcMar>
            <w:vAlign w:val="center"/>
          </w:tcPr>
          <w:p>
            <w:pPr>
              <w:rPr>
                <w:rFonts w:hint="eastAsia" w:ascii="宋体" w:hAnsi="宋体" w:eastAsia="宋体"/>
                <w:b/>
                <w:bCs/>
                <w:color w:val="auto"/>
                <w:kern w:val="0"/>
                <w:szCs w:val="21"/>
                <w:lang w:eastAsia="zh-CN"/>
              </w:rPr>
            </w:pPr>
            <w:r>
              <w:rPr>
                <w:rFonts w:hint="eastAsia" w:ascii="宋体" w:hAnsi="宋体"/>
                <w:b/>
                <w:bCs/>
                <w:color w:val="auto"/>
                <w:kern w:val="0"/>
                <w:szCs w:val="21"/>
                <w:lang w:eastAsia="zh-CN"/>
              </w:rPr>
              <w:t>根据投标人的</w:t>
            </w:r>
            <w:r>
              <w:rPr>
                <w:rFonts w:hint="eastAsia"/>
                <w:b/>
                <w:bCs/>
                <w:color w:val="auto"/>
                <w:kern w:val="0"/>
                <w:szCs w:val="21"/>
              </w:rPr>
              <w:t>施工组织方案</w:t>
            </w:r>
            <w:r>
              <w:rPr>
                <w:rFonts w:hint="eastAsia"/>
                <w:b/>
                <w:bCs/>
                <w:color w:val="auto"/>
                <w:kern w:val="0"/>
                <w:szCs w:val="21"/>
                <w:lang w:eastAsia="zh-CN"/>
              </w:rPr>
              <w:t>进行综合打分</w:t>
            </w:r>
            <w:r>
              <w:rPr>
                <w:rFonts w:hint="eastAsia" w:ascii="宋体" w:hAnsi="宋体"/>
                <w:b/>
                <w:bCs/>
                <w:color w:val="auto"/>
                <w:kern w:val="0"/>
                <w:szCs w:val="21"/>
                <w:lang w:eastAsia="zh-CN"/>
              </w:rPr>
              <w:t>（</w:t>
            </w:r>
            <w:r>
              <w:rPr>
                <w:rFonts w:hint="eastAsia" w:ascii="宋体" w:hAnsi="宋体"/>
                <w:b/>
                <w:bCs/>
                <w:color w:val="auto"/>
                <w:kern w:val="0"/>
                <w:szCs w:val="21"/>
                <w:lang w:val="en-US" w:eastAsia="zh-CN"/>
              </w:rPr>
              <w:t>0-5分</w:t>
            </w:r>
            <w:r>
              <w:rPr>
                <w:rFonts w:hint="eastAsia" w:ascii="宋体" w:hAnsi="宋体"/>
                <w:b/>
                <w:bCs/>
                <w:color w:val="auto"/>
                <w:kern w:val="0"/>
                <w:szCs w:val="21"/>
                <w:lang w:eastAsia="zh-CN"/>
              </w:rPr>
              <w:t>）</w:t>
            </w:r>
            <w:r>
              <w:rPr>
                <w:rFonts w:hint="eastAsia" w:ascii="宋体" w:hAnsi="宋体"/>
                <w:b/>
                <w:bCs/>
                <w:color w:val="auto"/>
                <w:kern w:val="0"/>
                <w:szCs w:val="21"/>
              </w:rPr>
              <w:t>：</w:t>
            </w:r>
          </w:p>
          <w:p>
            <w:pPr>
              <w:rPr>
                <w:rFonts w:ascii="宋体" w:hAnsi="宋体"/>
                <w:color w:val="auto"/>
                <w:kern w:val="0"/>
                <w:szCs w:val="21"/>
              </w:rPr>
            </w:pPr>
            <w:r>
              <w:rPr>
                <w:rFonts w:hint="eastAsia" w:ascii="宋体" w:hAnsi="宋体"/>
                <w:color w:val="auto"/>
                <w:kern w:val="0"/>
                <w:szCs w:val="21"/>
                <w:lang w:eastAsia="zh-CN"/>
              </w:rPr>
              <w:t>优</w:t>
            </w:r>
            <w:r>
              <w:rPr>
                <w:rFonts w:hint="eastAsia" w:ascii="宋体" w:hAnsi="宋体"/>
                <w:color w:val="auto"/>
                <w:kern w:val="0"/>
                <w:szCs w:val="21"/>
              </w:rPr>
              <w:t>得（</w:t>
            </w:r>
            <w:r>
              <w:rPr>
                <w:rFonts w:hint="eastAsia" w:ascii="宋体" w:hAnsi="宋体"/>
                <w:color w:val="auto"/>
                <w:kern w:val="0"/>
                <w:szCs w:val="21"/>
                <w:lang w:val="en-US" w:eastAsia="zh-CN"/>
              </w:rPr>
              <w:t>4</w:t>
            </w:r>
            <w:r>
              <w:rPr>
                <w:rFonts w:ascii="宋体" w:hAnsi="宋体"/>
                <w:color w:val="auto"/>
                <w:kern w:val="0"/>
                <w:szCs w:val="21"/>
              </w:rPr>
              <w:t>-</w:t>
            </w:r>
            <w:r>
              <w:rPr>
                <w:rFonts w:hint="eastAsia" w:ascii="宋体" w:hAnsi="宋体"/>
                <w:color w:val="auto"/>
                <w:kern w:val="0"/>
                <w:szCs w:val="21"/>
                <w:lang w:val="en-US" w:eastAsia="zh-CN"/>
              </w:rPr>
              <w:t>5</w:t>
            </w:r>
            <w:r>
              <w:rPr>
                <w:rFonts w:hint="eastAsia" w:ascii="宋体" w:hAnsi="宋体"/>
                <w:color w:val="auto"/>
                <w:kern w:val="0"/>
                <w:szCs w:val="21"/>
              </w:rPr>
              <w:t>）分：对项目总体有深刻认识，表述清晰、完整、严谨、合理，安全、进度及质量保证措施具体、有针对性，施工方案表述清晰、具体、切实有效；</w:t>
            </w:r>
          </w:p>
          <w:p>
            <w:pPr>
              <w:rPr>
                <w:rFonts w:ascii="宋体" w:hAnsi="宋体"/>
                <w:color w:val="auto"/>
                <w:kern w:val="0"/>
                <w:szCs w:val="21"/>
              </w:rPr>
            </w:pPr>
            <w:r>
              <w:rPr>
                <w:rFonts w:hint="eastAsia" w:ascii="宋体" w:hAnsi="宋体"/>
                <w:color w:val="auto"/>
                <w:kern w:val="0"/>
                <w:szCs w:val="21"/>
                <w:lang w:eastAsia="zh-CN"/>
              </w:rPr>
              <w:t>良</w:t>
            </w:r>
            <w:r>
              <w:rPr>
                <w:rFonts w:hint="eastAsia" w:ascii="宋体" w:hAnsi="宋体"/>
                <w:color w:val="auto"/>
                <w:kern w:val="0"/>
                <w:szCs w:val="21"/>
              </w:rPr>
              <w:t>得（</w:t>
            </w:r>
            <w:r>
              <w:rPr>
                <w:rFonts w:hint="eastAsia" w:ascii="宋体" w:hAnsi="宋体"/>
                <w:color w:val="auto"/>
                <w:kern w:val="0"/>
                <w:szCs w:val="21"/>
                <w:lang w:val="en-US" w:eastAsia="zh-CN"/>
              </w:rPr>
              <w:t>2</w:t>
            </w:r>
            <w:r>
              <w:rPr>
                <w:rFonts w:ascii="宋体" w:hAnsi="宋体"/>
                <w:color w:val="auto"/>
                <w:kern w:val="0"/>
                <w:szCs w:val="21"/>
              </w:rPr>
              <w:t>-</w:t>
            </w:r>
            <w:r>
              <w:rPr>
                <w:rFonts w:hint="eastAsia" w:ascii="宋体" w:hAnsi="宋体"/>
                <w:color w:val="auto"/>
                <w:kern w:val="0"/>
                <w:szCs w:val="21"/>
                <w:lang w:val="en-US" w:eastAsia="zh-CN"/>
              </w:rPr>
              <w:t>4</w:t>
            </w:r>
            <w:r>
              <w:rPr>
                <w:rFonts w:hint="eastAsia" w:ascii="宋体" w:hAnsi="宋体"/>
                <w:color w:val="auto"/>
                <w:kern w:val="0"/>
                <w:szCs w:val="21"/>
              </w:rPr>
              <w:t>）分：对项目总体有一定认识，表述清晰、完整，安全、进度及质量保证措施具体有效、可行，施工方案具体、有效；</w:t>
            </w:r>
          </w:p>
          <w:p>
            <w:pPr>
              <w:rPr>
                <w:color w:val="auto"/>
                <w:szCs w:val="21"/>
              </w:rPr>
            </w:pPr>
            <w:r>
              <w:rPr>
                <w:rFonts w:hint="eastAsia" w:ascii="宋体" w:hAnsi="宋体"/>
                <w:color w:val="auto"/>
                <w:kern w:val="0"/>
                <w:szCs w:val="21"/>
                <w:lang w:eastAsia="zh-CN"/>
              </w:rPr>
              <w:t>一般</w:t>
            </w:r>
            <w:r>
              <w:rPr>
                <w:rFonts w:hint="eastAsia" w:ascii="宋体" w:hAnsi="宋体"/>
                <w:color w:val="auto"/>
                <w:kern w:val="0"/>
                <w:szCs w:val="21"/>
              </w:rPr>
              <w:t>得（0</w:t>
            </w:r>
            <w:r>
              <w:rPr>
                <w:rFonts w:ascii="宋体" w:hAnsi="宋体"/>
                <w:color w:val="auto"/>
                <w:kern w:val="0"/>
                <w:szCs w:val="21"/>
              </w:rPr>
              <w:t>-</w:t>
            </w:r>
            <w:r>
              <w:rPr>
                <w:rFonts w:hint="eastAsia" w:ascii="宋体" w:hAnsi="宋体"/>
                <w:color w:val="auto"/>
                <w:kern w:val="0"/>
                <w:szCs w:val="21"/>
                <w:lang w:val="en-US" w:eastAsia="zh-CN"/>
              </w:rPr>
              <w:t>2</w:t>
            </w:r>
            <w:r>
              <w:rPr>
                <w:rFonts w:hint="eastAsia" w:ascii="宋体" w:hAnsi="宋体"/>
                <w:color w:val="auto"/>
                <w:kern w:val="0"/>
                <w:szCs w:val="21"/>
              </w:rPr>
              <w:t>）分：对项目总体有认识，安全、进度及质量有一定的措施但部分不具体，施工方案可行；</w:t>
            </w:r>
          </w:p>
        </w:tc>
        <w:tc>
          <w:tcPr>
            <w:tcW w:w="471" w:type="pct"/>
            <w:tcBorders>
              <w:top w:val="single" w:color="auto" w:sz="6" w:space="0"/>
              <w:left w:val="single" w:color="auto" w:sz="6" w:space="0"/>
              <w:bottom w:val="single" w:color="auto" w:sz="6" w:space="0"/>
              <w:right w:val="double" w:color="auto" w:sz="4" w:space="0"/>
            </w:tcBorders>
            <w:noWrap w:val="0"/>
            <w:tcMar>
              <w:top w:w="0" w:type="dxa"/>
              <w:left w:w="57" w:type="dxa"/>
              <w:bottom w:w="0" w:type="dxa"/>
              <w:right w:w="57" w:type="dxa"/>
            </w:tcMar>
            <w:vAlign w:val="center"/>
          </w:tcPr>
          <w:p>
            <w:pPr>
              <w:jc w:val="center"/>
              <w:rPr>
                <w:rFonts w:hint="eastAsia" w:eastAsia="宋体"/>
                <w:szCs w:val="21"/>
                <w:lang w:eastAsia="zh-CN"/>
              </w:rPr>
            </w:pPr>
            <w:r>
              <w:rPr>
                <w:rFonts w:hint="eastAsia"/>
                <w:szCs w:val="21"/>
                <w:lang w:val="en-US" w:eastAsia="zh-CN"/>
              </w:rPr>
              <w:t>5分</w:t>
            </w:r>
          </w:p>
        </w:tc>
      </w:tr>
      <w:bookmarkEnd w:id="90"/>
      <w:bookmarkEnd w:id="91"/>
      <w:bookmarkEnd w:id="92"/>
      <w:bookmarkEnd w:id="95"/>
      <w:bookmarkEnd w:id="96"/>
    </w:tbl>
    <w:p>
      <w:pPr>
        <w:pStyle w:val="11"/>
        <w:snapToGrid w:val="0"/>
        <w:spacing w:line="360" w:lineRule="exact"/>
        <w:rPr>
          <w:rFonts w:hint="eastAsia"/>
          <w:sz w:val="22"/>
          <w:szCs w:val="22"/>
        </w:rPr>
      </w:pPr>
      <w:r>
        <w:rPr>
          <w:rFonts w:hint="eastAsia"/>
        </w:rPr>
        <w:t>注 ：每个评委可根据上述评分内容和分值独立打分，然后求其所有评标专家的算术平均值作为该投标人的技术、资信最后有效得分。（专家打分可保留一位小数，计算得分值保留二位小数，第三位小数四舍五入）</w:t>
      </w:r>
    </w:p>
    <w:p>
      <w:pPr>
        <w:adjustRightInd w:val="0"/>
        <w:snapToGrid w:val="0"/>
        <w:spacing w:before="100" w:after="50"/>
        <w:rPr>
          <w:rFonts w:hint="eastAsia" w:ascii="宋体"/>
          <w:sz w:val="22"/>
          <w:szCs w:val="22"/>
        </w:rPr>
      </w:pPr>
      <w:r>
        <w:rPr>
          <w:rFonts w:hint="eastAsia" w:ascii="宋体"/>
          <w:sz w:val="22"/>
          <w:szCs w:val="22"/>
        </w:rPr>
        <w:t>三、说明</w:t>
      </w:r>
    </w:p>
    <w:p>
      <w:pPr>
        <w:adjustRightInd w:val="0"/>
        <w:snapToGrid w:val="0"/>
        <w:spacing w:before="100" w:after="50"/>
        <w:ind w:firstLine="440" w:firstLineChars="200"/>
        <w:rPr>
          <w:rFonts w:hint="eastAsia" w:ascii="宋体"/>
          <w:sz w:val="22"/>
          <w:szCs w:val="22"/>
        </w:rPr>
      </w:pPr>
      <w:r>
        <w:rPr>
          <w:rFonts w:hint="eastAsia" w:ascii="宋体"/>
          <w:sz w:val="22"/>
          <w:szCs w:val="22"/>
        </w:rPr>
        <w:t>1、每个供应商最终得分=技术资信部分分值（所有评标委员会成员打分的算术平均值）＋商务报价部分分值。</w:t>
      </w:r>
    </w:p>
    <w:p>
      <w:pPr>
        <w:adjustRightInd w:val="0"/>
        <w:snapToGrid w:val="0"/>
        <w:spacing w:before="100" w:after="50"/>
        <w:ind w:firstLine="440" w:firstLineChars="200"/>
        <w:rPr>
          <w:rFonts w:hint="eastAsia" w:ascii="宋体"/>
          <w:sz w:val="22"/>
          <w:szCs w:val="22"/>
        </w:rPr>
      </w:pPr>
      <w:r>
        <w:rPr>
          <w:rFonts w:hint="eastAsia" w:ascii="宋体"/>
          <w:sz w:val="22"/>
          <w:szCs w:val="22"/>
        </w:rPr>
        <w:t>2、评标委员会推荐得分最高的供应商为预中标供应商（如果得分相同则按报价从低到高顺序依次推荐为预成交单位）如果得分相同，以报价低的优先报价也相同，以抽签决定，并编写采购报告。</w:t>
      </w:r>
    </w:p>
    <w:p>
      <w:pPr>
        <w:adjustRightInd w:val="0"/>
        <w:snapToGrid w:val="0"/>
        <w:spacing w:before="100" w:after="50"/>
        <w:ind w:firstLine="420"/>
        <w:rPr>
          <w:rFonts w:hint="eastAsia" w:ascii="宋体"/>
          <w:snapToGrid w:val="0"/>
          <w:sz w:val="22"/>
          <w:szCs w:val="22"/>
        </w:rPr>
      </w:pPr>
      <w:r>
        <w:rPr>
          <w:rFonts w:hint="eastAsia" w:ascii="宋体"/>
          <w:snapToGrid w:val="0"/>
          <w:sz w:val="22"/>
          <w:szCs w:val="22"/>
        </w:rPr>
        <w:t>3、所有分值计算保留小数点后二位，小数点后三位四舍五入。</w:t>
      </w:r>
    </w:p>
    <w:p>
      <w:pPr>
        <w:adjustRightInd w:val="0"/>
        <w:snapToGrid w:val="0"/>
        <w:spacing w:before="100" w:after="50"/>
        <w:ind w:firstLine="420"/>
        <w:rPr>
          <w:rFonts w:hint="eastAsia" w:ascii="宋体"/>
          <w:snapToGrid w:val="0"/>
          <w:sz w:val="22"/>
          <w:szCs w:val="22"/>
        </w:rPr>
      </w:pPr>
      <w:r>
        <w:rPr>
          <w:rFonts w:hint="eastAsia" w:ascii="宋体" w:cs="Arial"/>
          <w:snapToGrid w:val="0"/>
          <w:sz w:val="22"/>
          <w:szCs w:val="22"/>
        </w:rPr>
        <w:t>4、开评标过程中遇到特殊情况，由评标委员会遵循公开、公正原则，采取投票方式按照少数服从多数原则决定。</w:t>
      </w:r>
    </w:p>
    <w:p>
      <w:pPr>
        <w:adjustRightInd w:val="0"/>
        <w:snapToGrid w:val="0"/>
        <w:spacing w:before="100" w:after="50"/>
        <w:ind w:firstLine="420"/>
        <w:rPr>
          <w:rFonts w:hint="eastAsia" w:ascii="宋体"/>
          <w:bCs/>
          <w:sz w:val="22"/>
          <w:szCs w:val="22"/>
        </w:rPr>
      </w:pPr>
      <w:r>
        <w:rPr>
          <w:rFonts w:hint="eastAsia" w:ascii="宋体"/>
          <w:sz w:val="22"/>
          <w:szCs w:val="22"/>
        </w:rPr>
        <w:t>参见本采购文件“供应商须知”中的相关内容，未尽事宜按有关法律规定处理。</w:t>
      </w:r>
    </w:p>
    <w:p>
      <w:pPr>
        <w:pStyle w:val="11"/>
        <w:snapToGrid w:val="0"/>
        <w:spacing w:line="360" w:lineRule="auto"/>
        <w:rPr>
          <w:rFonts w:hint="eastAsia" w:hAnsi="宋体" w:cs="宋体"/>
          <w:b/>
          <w:szCs w:val="21"/>
        </w:rPr>
      </w:pPr>
    </w:p>
    <w:p>
      <w:pPr>
        <w:jc w:val="center"/>
        <w:rPr>
          <w:rFonts w:hint="eastAsia" w:ascii="宋体" w:hAnsi="宋体" w:cs="宋体"/>
          <w:sz w:val="36"/>
          <w:szCs w:val="36"/>
        </w:rPr>
      </w:pPr>
      <w:r>
        <w:rPr>
          <w:rFonts w:hint="eastAsia" w:ascii="宋体" w:hAnsi="宋体" w:cs="宋体"/>
          <w:sz w:val="36"/>
          <w:szCs w:val="36"/>
        </w:rPr>
        <w:br w:type="page"/>
      </w:r>
      <w:r>
        <w:rPr>
          <w:rFonts w:hint="eastAsia" w:ascii="宋体" w:hAnsi="宋体" w:cs="宋体"/>
          <w:sz w:val="36"/>
          <w:szCs w:val="36"/>
        </w:rPr>
        <w:t>温州市政府采购信用融资意向银行选择表</w:t>
      </w:r>
    </w:p>
    <w:p>
      <w:pPr>
        <w:jc w:val="center"/>
        <w:rPr>
          <w:rFonts w:hint="eastAsia" w:ascii="宋体" w:hAnsi="宋体" w:cs="宋体"/>
          <w:sz w:val="36"/>
          <w:szCs w:val="36"/>
        </w:rPr>
      </w:pPr>
      <w:r>
        <w:rPr>
          <w:rFonts w:hint="eastAsia" w:ascii="宋体" w:hAnsi="宋体" w:cs="宋体"/>
          <w:sz w:val="32"/>
          <w:szCs w:val="32"/>
        </w:rPr>
        <w:t>（温州市供应商填写）</w:t>
      </w:r>
    </w:p>
    <w:tbl>
      <w:tblPr>
        <w:tblStyle w:val="19"/>
        <w:tblW w:w="917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2225"/>
        <w:gridCol w:w="1390"/>
        <w:gridCol w:w="836"/>
        <w:gridCol w:w="1528"/>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1636" w:type="dxa"/>
            <w:noWrap w:val="0"/>
            <w:vAlign w:val="top"/>
          </w:tcPr>
          <w:p>
            <w:pPr>
              <w:pStyle w:val="34"/>
              <w:spacing w:line="360" w:lineRule="auto"/>
              <w:ind w:firstLine="0" w:firstLineChars="0"/>
              <w:jc w:val="center"/>
              <w:rPr>
                <w:rFonts w:hint="eastAsia" w:ascii="宋体" w:eastAsia="宋体" w:cs="宋体"/>
                <w:color w:val="000000"/>
                <w:kern w:val="0"/>
                <w:sz w:val="22"/>
                <w:szCs w:val="22"/>
              </w:rPr>
            </w:pPr>
            <w:r>
              <w:rPr>
                <w:rFonts w:hint="eastAsia" w:ascii="宋体" w:eastAsia="宋体" w:cs="宋体"/>
                <w:color w:val="000000"/>
                <w:kern w:val="0"/>
                <w:sz w:val="22"/>
                <w:szCs w:val="22"/>
              </w:rPr>
              <w:t>企业名称</w:t>
            </w:r>
          </w:p>
        </w:tc>
        <w:tc>
          <w:tcPr>
            <w:tcW w:w="7543" w:type="dxa"/>
            <w:gridSpan w:val="5"/>
            <w:noWrap w:val="0"/>
            <w:vAlign w:val="top"/>
          </w:tcPr>
          <w:p>
            <w:pPr>
              <w:pStyle w:val="34"/>
              <w:spacing w:line="360" w:lineRule="auto"/>
              <w:ind w:firstLine="0" w:firstLineChars="0"/>
              <w:jc w:val="center"/>
              <w:rPr>
                <w:rFonts w:hint="eastAsia" w:asci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636" w:type="dxa"/>
            <w:noWrap w:val="0"/>
            <w:vAlign w:val="top"/>
          </w:tcPr>
          <w:p>
            <w:pPr>
              <w:pStyle w:val="34"/>
              <w:spacing w:line="360" w:lineRule="auto"/>
              <w:ind w:firstLine="0" w:firstLineChars="0"/>
              <w:jc w:val="center"/>
              <w:rPr>
                <w:rFonts w:hint="eastAsia" w:ascii="宋体" w:eastAsia="宋体" w:cs="宋体"/>
                <w:color w:val="000000"/>
                <w:kern w:val="0"/>
                <w:sz w:val="22"/>
                <w:szCs w:val="22"/>
              </w:rPr>
            </w:pPr>
            <w:r>
              <w:rPr>
                <w:rFonts w:hint="eastAsia" w:ascii="宋体" w:eastAsia="宋体" w:cs="宋体"/>
                <w:color w:val="000000"/>
                <w:kern w:val="0"/>
                <w:sz w:val="22"/>
                <w:szCs w:val="22"/>
              </w:rPr>
              <w:t>企业注册地</w:t>
            </w:r>
          </w:p>
        </w:tc>
        <w:tc>
          <w:tcPr>
            <w:tcW w:w="3615" w:type="dxa"/>
            <w:gridSpan w:val="2"/>
            <w:noWrap w:val="0"/>
            <w:vAlign w:val="top"/>
          </w:tcPr>
          <w:p>
            <w:pPr>
              <w:pStyle w:val="34"/>
              <w:spacing w:line="360" w:lineRule="auto"/>
              <w:ind w:firstLine="0" w:firstLineChars="0"/>
              <w:jc w:val="center"/>
              <w:rPr>
                <w:rFonts w:hint="eastAsia" w:ascii="宋体" w:eastAsia="宋体" w:cs="宋体"/>
                <w:color w:val="000000"/>
                <w:kern w:val="0"/>
                <w:sz w:val="22"/>
                <w:szCs w:val="22"/>
              </w:rPr>
            </w:pPr>
          </w:p>
        </w:tc>
        <w:tc>
          <w:tcPr>
            <w:tcW w:w="2364" w:type="dxa"/>
            <w:gridSpan w:val="2"/>
            <w:noWrap w:val="0"/>
            <w:vAlign w:val="top"/>
          </w:tcPr>
          <w:p>
            <w:pPr>
              <w:pStyle w:val="34"/>
              <w:spacing w:line="360" w:lineRule="auto"/>
              <w:ind w:firstLine="0" w:firstLineChars="0"/>
              <w:jc w:val="center"/>
              <w:rPr>
                <w:rFonts w:hint="eastAsia" w:ascii="宋体" w:eastAsia="宋体" w:cs="宋体"/>
                <w:color w:val="000000"/>
                <w:kern w:val="0"/>
                <w:sz w:val="22"/>
                <w:szCs w:val="22"/>
              </w:rPr>
            </w:pPr>
            <w:r>
              <w:rPr>
                <w:rFonts w:hint="eastAsia" w:ascii="宋体" w:eastAsia="宋体" w:cs="宋体"/>
                <w:color w:val="000000"/>
                <w:kern w:val="0"/>
                <w:sz w:val="22"/>
                <w:szCs w:val="22"/>
              </w:rPr>
              <w:t>是否有融资意向</w:t>
            </w:r>
          </w:p>
        </w:tc>
        <w:tc>
          <w:tcPr>
            <w:tcW w:w="1563" w:type="dxa"/>
            <w:noWrap w:val="0"/>
            <w:vAlign w:val="top"/>
          </w:tcPr>
          <w:p>
            <w:pPr>
              <w:pStyle w:val="34"/>
              <w:spacing w:line="360" w:lineRule="auto"/>
              <w:ind w:firstLine="0" w:firstLineChars="0"/>
              <w:jc w:val="center"/>
              <w:rPr>
                <w:rFonts w:hint="eastAsia" w:asci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636" w:type="dxa"/>
            <w:noWrap w:val="0"/>
            <w:vAlign w:val="top"/>
          </w:tcPr>
          <w:p>
            <w:pPr>
              <w:pStyle w:val="34"/>
              <w:spacing w:line="360" w:lineRule="auto"/>
              <w:ind w:firstLine="0" w:firstLineChars="0"/>
              <w:jc w:val="center"/>
              <w:rPr>
                <w:rFonts w:hint="eastAsia" w:ascii="宋体" w:eastAsia="宋体" w:cs="宋体"/>
                <w:color w:val="000000"/>
                <w:kern w:val="0"/>
                <w:sz w:val="22"/>
                <w:szCs w:val="22"/>
              </w:rPr>
            </w:pPr>
            <w:r>
              <w:rPr>
                <w:rFonts w:hint="eastAsia" w:ascii="宋体" w:eastAsia="宋体" w:cs="宋体"/>
                <w:color w:val="000000"/>
                <w:kern w:val="0"/>
                <w:sz w:val="22"/>
                <w:szCs w:val="22"/>
              </w:rPr>
              <w:t>融资联系人</w:t>
            </w:r>
          </w:p>
        </w:tc>
        <w:tc>
          <w:tcPr>
            <w:tcW w:w="2225" w:type="dxa"/>
            <w:noWrap w:val="0"/>
            <w:vAlign w:val="top"/>
          </w:tcPr>
          <w:p>
            <w:pPr>
              <w:pStyle w:val="34"/>
              <w:spacing w:line="360" w:lineRule="auto"/>
              <w:ind w:firstLine="0" w:firstLineChars="0"/>
              <w:jc w:val="center"/>
              <w:rPr>
                <w:rFonts w:hint="eastAsia" w:ascii="宋体" w:eastAsia="宋体" w:cs="宋体"/>
                <w:color w:val="000000"/>
                <w:kern w:val="0"/>
                <w:sz w:val="22"/>
                <w:szCs w:val="22"/>
              </w:rPr>
            </w:pPr>
          </w:p>
        </w:tc>
        <w:tc>
          <w:tcPr>
            <w:tcW w:w="2225" w:type="dxa"/>
            <w:gridSpan w:val="2"/>
            <w:noWrap w:val="0"/>
            <w:vAlign w:val="top"/>
          </w:tcPr>
          <w:p>
            <w:pPr>
              <w:pStyle w:val="34"/>
              <w:spacing w:line="360" w:lineRule="auto"/>
              <w:ind w:firstLine="0" w:firstLineChars="0"/>
              <w:jc w:val="center"/>
              <w:rPr>
                <w:rFonts w:hint="eastAsia" w:ascii="宋体" w:eastAsia="宋体" w:cs="宋体"/>
                <w:color w:val="000000"/>
                <w:kern w:val="0"/>
                <w:sz w:val="22"/>
                <w:szCs w:val="22"/>
              </w:rPr>
            </w:pPr>
            <w:r>
              <w:rPr>
                <w:rFonts w:hint="eastAsia" w:ascii="宋体" w:eastAsia="宋体" w:cs="宋体"/>
                <w:color w:val="000000"/>
                <w:kern w:val="0"/>
                <w:sz w:val="22"/>
                <w:szCs w:val="22"/>
              </w:rPr>
              <w:t>联系方式</w:t>
            </w:r>
          </w:p>
        </w:tc>
        <w:tc>
          <w:tcPr>
            <w:tcW w:w="3092" w:type="dxa"/>
            <w:gridSpan w:val="2"/>
            <w:noWrap w:val="0"/>
            <w:vAlign w:val="top"/>
          </w:tcPr>
          <w:p>
            <w:pPr>
              <w:pStyle w:val="34"/>
              <w:spacing w:line="360" w:lineRule="auto"/>
              <w:ind w:firstLine="0" w:firstLineChars="0"/>
              <w:jc w:val="center"/>
              <w:rPr>
                <w:rFonts w:hint="eastAsia" w:asci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087" w:type="dxa"/>
            <w:gridSpan w:val="4"/>
            <w:noWrap w:val="0"/>
            <w:vAlign w:val="center"/>
          </w:tcPr>
          <w:p>
            <w:pPr>
              <w:pStyle w:val="34"/>
              <w:spacing w:line="360" w:lineRule="auto"/>
              <w:ind w:firstLine="0" w:firstLineChars="0"/>
              <w:jc w:val="center"/>
              <w:rPr>
                <w:rFonts w:hint="eastAsia" w:ascii="宋体" w:eastAsia="宋体" w:cs="宋体"/>
                <w:color w:val="000000"/>
                <w:kern w:val="0"/>
                <w:sz w:val="22"/>
                <w:szCs w:val="22"/>
              </w:rPr>
            </w:pPr>
            <w:r>
              <w:rPr>
                <w:rFonts w:hint="eastAsia" w:ascii="宋体" w:eastAsia="宋体" w:cs="宋体"/>
                <w:color w:val="000000"/>
                <w:kern w:val="0"/>
                <w:sz w:val="22"/>
                <w:szCs w:val="22"/>
              </w:rPr>
              <w:t>温州市政府采购信用融资合作银行</w:t>
            </w:r>
          </w:p>
        </w:tc>
        <w:tc>
          <w:tcPr>
            <w:tcW w:w="3092" w:type="dxa"/>
            <w:gridSpan w:val="2"/>
            <w:noWrap w:val="0"/>
            <w:vAlign w:val="top"/>
          </w:tcPr>
          <w:p>
            <w:pPr>
              <w:pStyle w:val="34"/>
              <w:spacing w:line="360" w:lineRule="auto"/>
              <w:ind w:firstLine="0" w:firstLineChars="0"/>
              <w:jc w:val="center"/>
              <w:rPr>
                <w:rFonts w:hint="eastAsia" w:ascii="宋体" w:eastAsia="宋体" w:cs="宋体"/>
                <w:color w:val="000000"/>
                <w:kern w:val="0"/>
                <w:sz w:val="22"/>
                <w:szCs w:val="22"/>
              </w:rPr>
            </w:pPr>
            <w:r>
              <w:rPr>
                <w:rFonts w:hint="eastAsia" w:ascii="宋体" w:eastAsia="宋体" w:cs="宋体"/>
                <w:color w:val="000000"/>
                <w:kern w:val="0"/>
                <w:sz w:val="22"/>
                <w:szCs w:val="22"/>
              </w:rPr>
              <w:t>选择作为意向融资银行（可多选）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087" w:type="dxa"/>
            <w:gridSpan w:val="4"/>
            <w:noWrap w:val="0"/>
            <w:vAlign w:val="top"/>
          </w:tcPr>
          <w:p>
            <w:pPr>
              <w:pStyle w:val="34"/>
              <w:spacing w:line="360" w:lineRule="auto"/>
              <w:ind w:firstLine="0" w:firstLineChars="0"/>
              <w:rPr>
                <w:rFonts w:hint="eastAsia" w:ascii="宋体" w:eastAsia="宋体" w:cs="宋体"/>
                <w:color w:val="000000"/>
                <w:kern w:val="0"/>
                <w:sz w:val="22"/>
                <w:szCs w:val="22"/>
              </w:rPr>
            </w:pPr>
            <w:r>
              <w:rPr>
                <w:rFonts w:hint="eastAsia" w:ascii="宋体" w:eastAsia="宋体" w:cs="宋体"/>
                <w:color w:val="000000"/>
                <w:kern w:val="0"/>
                <w:sz w:val="22"/>
                <w:szCs w:val="22"/>
              </w:rPr>
              <w:t>温州银行股份有限公司温州分行</w:t>
            </w:r>
          </w:p>
        </w:tc>
        <w:tc>
          <w:tcPr>
            <w:tcW w:w="3092" w:type="dxa"/>
            <w:gridSpan w:val="2"/>
            <w:noWrap w:val="0"/>
            <w:vAlign w:val="top"/>
          </w:tcPr>
          <w:p>
            <w:pPr>
              <w:pStyle w:val="34"/>
              <w:spacing w:line="360" w:lineRule="auto"/>
              <w:ind w:firstLine="0" w:firstLineChars="0"/>
              <w:rPr>
                <w:rFonts w:hint="eastAsia" w:asci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087" w:type="dxa"/>
            <w:gridSpan w:val="4"/>
            <w:noWrap w:val="0"/>
            <w:vAlign w:val="top"/>
          </w:tcPr>
          <w:p>
            <w:pPr>
              <w:pStyle w:val="34"/>
              <w:spacing w:line="360" w:lineRule="auto"/>
              <w:ind w:firstLine="0" w:firstLineChars="0"/>
              <w:rPr>
                <w:rFonts w:hint="eastAsia" w:ascii="宋体" w:eastAsia="宋体" w:cs="宋体"/>
                <w:color w:val="000000"/>
                <w:kern w:val="0"/>
                <w:sz w:val="22"/>
                <w:szCs w:val="22"/>
              </w:rPr>
            </w:pPr>
            <w:r>
              <w:rPr>
                <w:rFonts w:hint="eastAsia" w:ascii="宋体" w:eastAsia="宋体" w:cs="宋体"/>
                <w:color w:val="000000"/>
                <w:kern w:val="0"/>
                <w:sz w:val="22"/>
                <w:szCs w:val="22"/>
              </w:rPr>
              <w:t>温州银行股份有限公司鹿城分行</w:t>
            </w:r>
          </w:p>
        </w:tc>
        <w:tc>
          <w:tcPr>
            <w:tcW w:w="3092" w:type="dxa"/>
            <w:gridSpan w:val="2"/>
            <w:noWrap w:val="0"/>
            <w:vAlign w:val="top"/>
          </w:tcPr>
          <w:p>
            <w:pPr>
              <w:pStyle w:val="34"/>
              <w:spacing w:line="360" w:lineRule="auto"/>
              <w:ind w:firstLine="0" w:firstLineChars="0"/>
              <w:rPr>
                <w:rFonts w:hint="eastAsia" w:asci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087" w:type="dxa"/>
            <w:gridSpan w:val="4"/>
            <w:noWrap w:val="0"/>
            <w:vAlign w:val="top"/>
          </w:tcPr>
          <w:p>
            <w:pPr>
              <w:pStyle w:val="34"/>
              <w:spacing w:line="360" w:lineRule="auto"/>
              <w:ind w:firstLine="0" w:firstLineChars="0"/>
              <w:rPr>
                <w:rFonts w:hint="eastAsia" w:ascii="宋体" w:eastAsia="宋体" w:cs="宋体"/>
                <w:color w:val="000000"/>
                <w:kern w:val="0"/>
                <w:sz w:val="22"/>
                <w:szCs w:val="22"/>
              </w:rPr>
            </w:pPr>
            <w:r>
              <w:rPr>
                <w:rFonts w:hint="eastAsia" w:ascii="宋体" w:eastAsia="宋体" w:cs="宋体"/>
                <w:color w:val="000000"/>
                <w:kern w:val="0"/>
                <w:sz w:val="22"/>
                <w:szCs w:val="22"/>
              </w:rPr>
              <w:t>中国工商银行股份有限公司温州分行</w:t>
            </w:r>
          </w:p>
        </w:tc>
        <w:tc>
          <w:tcPr>
            <w:tcW w:w="3092" w:type="dxa"/>
            <w:gridSpan w:val="2"/>
            <w:noWrap w:val="0"/>
            <w:vAlign w:val="top"/>
          </w:tcPr>
          <w:p>
            <w:pPr>
              <w:pStyle w:val="34"/>
              <w:spacing w:line="360" w:lineRule="auto"/>
              <w:ind w:firstLine="0" w:firstLineChars="0"/>
              <w:rPr>
                <w:rFonts w:hint="eastAsia" w:asci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087" w:type="dxa"/>
            <w:gridSpan w:val="4"/>
            <w:noWrap w:val="0"/>
            <w:vAlign w:val="top"/>
          </w:tcPr>
          <w:p>
            <w:pPr>
              <w:rPr>
                <w:rFonts w:hint="eastAsia" w:ascii="宋体" w:hAnsi="宋体" w:cs="宋体"/>
                <w:sz w:val="22"/>
                <w:szCs w:val="22"/>
              </w:rPr>
            </w:pPr>
            <w:r>
              <w:rPr>
                <w:rFonts w:hint="eastAsia" w:ascii="宋体" w:hAnsi="宋体" w:cs="宋体"/>
                <w:sz w:val="22"/>
                <w:szCs w:val="22"/>
              </w:rPr>
              <w:t>中国建设银行股份有限公司温州分行</w:t>
            </w:r>
          </w:p>
        </w:tc>
        <w:tc>
          <w:tcPr>
            <w:tcW w:w="3092" w:type="dxa"/>
            <w:gridSpan w:val="2"/>
            <w:noWrap w:val="0"/>
            <w:vAlign w:val="top"/>
          </w:tcPr>
          <w:p>
            <w:pP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087" w:type="dxa"/>
            <w:gridSpan w:val="4"/>
            <w:noWrap w:val="0"/>
            <w:vAlign w:val="top"/>
          </w:tcPr>
          <w:p>
            <w:pPr>
              <w:pStyle w:val="34"/>
              <w:spacing w:line="360" w:lineRule="auto"/>
              <w:ind w:firstLine="0" w:firstLineChars="0"/>
              <w:rPr>
                <w:rFonts w:hint="eastAsia" w:ascii="宋体" w:eastAsia="宋体" w:cs="宋体"/>
                <w:color w:val="000000"/>
                <w:kern w:val="0"/>
                <w:sz w:val="22"/>
                <w:szCs w:val="22"/>
              </w:rPr>
            </w:pPr>
            <w:r>
              <w:rPr>
                <w:rFonts w:hint="eastAsia" w:ascii="宋体" w:eastAsia="宋体" w:cs="宋体"/>
                <w:color w:val="000000"/>
                <w:kern w:val="0"/>
                <w:sz w:val="22"/>
                <w:szCs w:val="22"/>
              </w:rPr>
              <w:t>中国邮政储蓄银行股份有限公司温州市分行</w:t>
            </w:r>
          </w:p>
        </w:tc>
        <w:tc>
          <w:tcPr>
            <w:tcW w:w="3092" w:type="dxa"/>
            <w:gridSpan w:val="2"/>
            <w:noWrap w:val="0"/>
            <w:vAlign w:val="top"/>
          </w:tcPr>
          <w:p>
            <w:pPr>
              <w:pStyle w:val="34"/>
              <w:spacing w:line="360" w:lineRule="auto"/>
              <w:ind w:firstLine="0" w:firstLineChars="0"/>
              <w:rPr>
                <w:rFonts w:hint="eastAsia" w:asci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087" w:type="dxa"/>
            <w:gridSpan w:val="4"/>
            <w:noWrap w:val="0"/>
            <w:vAlign w:val="top"/>
          </w:tcPr>
          <w:p>
            <w:pPr>
              <w:pStyle w:val="34"/>
              <w:spacing w:line="360" w:lineRule="auto"/>
              <w:ind w:firstLine="0" w:firstLineChars="0"/>
              <w:rPr>
                <w:rFonts w:hint="eastAsia" w:ascii="宋体" w:eastAsia="宋体" w:cs="宋体"/>
                <w:color w:val="000000"/>
                <w:kern w:val="0"/>
                <w:sz w:val="22"/>
                <w:szCs w:val="22"/>
              </w:rPr>
            </w:pPr>
            <w:r>
              <w:rPr>
                <w:rFonts w:hint="eastAsia" w:ascii="宋体" w:eastAsia="宋体" w:cs="宋体"/>
                <w:color w:val="000000"/>
                <w:kern w:val="0"/>
                <w:sz w:val="22"/>
                <w:szCs w:val="22"/>
              </w:rPr>
              <w:t>中国民生银行股份有限公司温州分行</w:t>
            </w:r>
          </w:p>
        </w:tc>
        <w:tc>
          <w:tcPr>
            <w:tcW w:w="3092" w:type="dxa"/>
            <w:gridSpan w:val="2"/>
            <w:noWrap w:val="0"/>
            <w:vAlign w:val="top"/>
          </w:tcPr>
          <w:p>
            <w:pPr>
              <w:pStyle w:val="34"/>
              <w:spacing w:line="360" w:lineRule="auto"/>
              <w:ind w:firstLine="0" w:firstLineChars="0"/>
              <w:rPr>
                <w:rFonts w:hint="eastAsia" w:asci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087" w:type="dxa"/>
            <w:gridSpan w:val="4"/>
            <w:noWrap w:val="0"/>
            <w:vAlign w:val="top"/>
          </w:tcPr>
          <w:p>
            <w:pPr>
              <w:pStyle w:val="34"/>
              <w:spacing w:line="360" w:lineRule="auto"/>
              <w:ind w:firstLine="0" w:firstLineChars="0"/>
              <w:rPr>
                <w:rFonts w:hint="eastAsia" w:ascii="宋体" w:eastAsia="宋体" w:cs="宋体"/>
                <w:color w:val="000000"/>
                <w:kern w:val="0"/>
                <w:sz w:val="22"/>
                <w:szCs w:val="22"/>
              </w:rPr>
            </w:pPr>
            <w:r>
              <w:rPr>
                <w:rFonts w:hint="eastAsia" w:ascii="宋体" w:eastAsia="宋体" w:cs="宋体"/>
                <w:color w:val="000000"/>
                <w:kern w:val="0"/>
                <w:sz w:val="22"/>
                <w:szCs w:val="22"/>
              </w:rPr>
              <w:t>宁波银行股份有限公司温州分行</w:t>
            </w:r>
          </w:p>
        </w:tc>
        <w:tc>
          <w:tcPr>
            <w:tcW w:w="3092" w:type="dxa"/>
            <w:gridSpan w:val="2"/>
            <w:noWrap w:val="0"/>
            <w:vAlign w:val="top"/>
          </w:tcPr>
          <w:p>
            <w:pPr>
              <w:pStyle w:val="34"/>
              <w:spacing w:line="360" w:lineRule="auto"/>
              <w:ind w:firstLine="0" w:firstLineChars="0"/>
              <w:rPr>
                <w:rFonts w:hint="eastAsia" w:asci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087" w:type="dxa"/>
            <w:gridSpan w:val="4"/>
            <w:noWrap w:val="0"/>
            <w:vAlign w:val="top"/>
          </w:tcPr>
          <w:p>
            <w:pPr>
              <w:pStyle w:val="34"/>
              <w:spacing w:line="360" w:lineRule="auto"/>
              <w:ind w:firstLine="0" w:firstLineChars="0"/>
              <w:rPr>
                <w:rFonts w:hint="eastAsia" w:ascii="宋体" w:eastAsia="宋体" w:cs="宋体"/>
                <w:color w:val="000000"/>
                <w:kern w:val="0"/>
                <w:sz w:val="22"/>
                <w:szCs w:val="22"/>
              </w:rPr>
            </w:pPr>
            <w:r>
              <w:rPr>
                <w:rFonts w:hint="eastAsia" w:ascii="宋体" w:eastAsia="宋体" w:cs="宋体"/>
                <w:color w:val="000000"/>
                <w:kern w:val="0"/>
                <w:sz w:val="22"/>
                <w:szCs w:val="22"/>
              </w:rPr>
              <w:t>杭州银行股份有限公司温州分行</w:t>
            </w:r>
          </w:p>
        </w:tc>
        <w:tc>
          <w:tcPr>
            <w:tcW w:w="3092" w:type="dxa"/>
            <w:gridSpan w:val="2"/>
            <w:noWrap w:val="0"/>
            <w:vAlign w:val="top"/>
          </w:tcPr>
          <w:p>
            <w:pPr>
              <w:pStyle w:val="34"/>
              <w:spacing w:line="360" w:lineRule="auto"/>
              <w:ind w:firstLine="0" w:firstLineChars="0"/>
              <w:rPr>
                <w:rFonts w:hint="eastAsia" w:asci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087" w:type="dxa"/>
            <w:gridSpan w:val="4"/>
            <w:noWrap w:val="0"/>
            <w:vAlign w:val="top"/>
          </w:tcPr>
          <w:p>
            <w:pPr>
              <w:pStyle w:val="34"/>
              <w:spacing w:line="360" w:lineRule="auto"/>
              <w:ind w:firstLine="0" w:firstLineChars="0"/>
              <w:rPr>
                <w:rFonts w:hint="eastAsia" w:ascii="宋体" w:eastAsia="宋体" w:cs="宋体"/>
                <w:color w:val="000000"/>
                <w:kern w:val="0"/>
                <w:sz w:val="22"/>
                <w:szCs w:val="22"/>
              </w:rPr>
            </w:pPr>
            <w:r>
              <w:rPr>
                <w:rFonts w:hint="eastAsia" w:ascii="宋体" w:eastAsia="宋体" w:cs="宋体"/>
                <w:color w:val="000000"/>
                <w:kern w:val="0"/>
                <w:sz w:val="22"/>
                <w:szCs w:val="22"/>
              </w:rPr>
              <w:t>招商银行股份有限公司温州分行</w:t>
            </w:r>
          </w:p>
        </w:tc>
        <w:tc>
          <w:tcPr>
            <w:tcW w:w="3092" w:type="dxa"/>
            <w:gridSpan w:val="2"/>
            <w:noWrap w:val="0"/>
            <w:vAlign w:val="top"/>
          </w:tcPr>
          <w:p>
            <w:pPr>
              <w:pStyle w:val="34"/>
              <w:spacing w:line="360" w:lineRule="auto"/>
              <w:ind w:firstLine="0" w:firstLineChars="0"/>
              <w:rPr>
                <w:rFonts w:hint="eastAsia" w:asci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087" w:type="dxa"/>
            <w:gridSpan w:val="4"/>
            <w:noWrap w:val="0"/>
            <w:vAlign w:val="top"/>
          </w:tcPr>
          <w:p>
            <w:pPr>
              <w:pStyle w:val="34"/>
              <w:spacing w:line="360" w:lineRule="auto"/>
              <w:ind w:firstLine="0" w:firstLineChars="0"/>
              <w:rPr>
                <w:rFonts w:hint="eastAsia" w:ascii="宋体" w:eastAsia="宋体" w:cs="宋体"/>
                <w:color w:val="000000"/>
                <w:kern w:val="0"/>
                <w:sz w:val="22"/>
                <w:szCs w:val="22"/>
              </w:rPr>
            </w:pPr>
            <w:r>
              <w:rPr>
                <w:rFonts w:hint="eastAsia" w:ascii="宋体" w:eastAsia="宋体" w:cs="宋体"/>
                <w:color w:val="000000"/>
                <w:kern w:val="0"/>
                <w:sz w:val="22"/>
                <w:szCs w:val="22"/>
              </w:rPr>
              <w:t>兴业银行股份有限公司温州分行</w:t>
            </w:r>
          </w:p>
        </w:tc>
        <w:tc>
          <w:tcPr>
            <w:tcW w:w="3092" w:type="dxa"/>
            <w:gridSpan w:val="2"/>
            <w:noWrap w:val="0"/>
            <w:vAlign w:val="top"/>
          </w:tcPr>
          <w:p>
            <w:pPr>
              <w:pStyle w:val="34"/>
              <w:spacing w:line="360" w:lineRule="auto"/>
              <w:ind w:firstLine="0" w:firstLineChars="0"/>
              <w:rPr>
                <w:rFonts w:hint="eastAsia" w:asci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087" w:type="dxa"/>
            <w:gridSpan w:val="4"/>
            <w:noWrap w:val="0"/>
            <w:vAlign w:val="top"/>
          </w:tcPr>
          <w:p>
            <w:pPr>
              <w:pStyle w:val="34"/>
              <w:spacing w:line="360" w:lineRule="auto"/>
              <w:ind w:firstLine="0" w:firstLineChars="0"/>
              <w:rPr>
                <w:rFonts w:hint="eastAsia" w:ascii="宋体" w:eastAsia="宋体" w:cs="宋体"/>
                <w:color w:val="000000"/>
                <w:kern w:val="0"/>
                <w:sz w:val="22"/>
                <w:szCs w:val="22"/>
              </w:rPr>
            </w:pPr>
            <w:r>
              <w:rPr>
                <w:rFonts w:hint="eastAsia" w:ascii="宋体" w:eastAsia="宋体" w:cs="宋体"/>
                <w:color w:val="000000"/>
                <w:kern w:val="0"/>
                <w:sz w:val="22"/>
                <w:szCs w:val="22"/>
              </w:rPr>
              <w:t>交通银行股份有限公司温州分行</w:t>
            </w:r>
          </w:p>
        </w:tc>
        <w:tc>
          <w:tcPr>
            <w:tcW w:w="3092" w:type="dxa"/>
            <w:gridSpan w:val="2"/>
            <w:noWrap w:val="0"/>
            <w:vAlign w:val="top"/>
          </w:tcPr>
          <w:p>
            <w:pPr>
              <w:pStyle w:val="34"/>
              <w:spacing w:line="360" w:lineRule="auto"/>
              <w:ind w:firstLine="0" w:firstLineChars="0"/>
              <w:rPr>
                <w:rFonts w:hint="eastAsia" w:asci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087" w:type="dxa"/>
            <w:gridSpan w:val="4"/>
            <w:noWrap w:val="0"/>
            <w:vAlign w:val="top"/>
          </w:tcPr>
          <w:p>
            <w:pPr>
              <w:pStyle w:val="34"/>
              <w:spacing w:line="360" w:lineRule="auto"/>
              <w:ind w:firstLine="0" w:firstLineChars="0"/>
              <w:rPr>
                <w:rFonts w:hint="eastAsia" w:ascii="宋体" w:eastAsia="宋体" w:cs="宋体"/>
                <w:color w:val="000000"/>
                <w:kern w:val="0"/>
                <w:sz w:val="22"/>
                <w:szCs w:val="22"/>
              </w:rPr>
            </w:pPr>
            <w:r>
              <w:rPr>
                <w:rFonts w:hint="eastAsia" w:ascii="宋体" w:eastAsia="宋体" w:cs="宋体"/>
                <w:color w:val="000000"/>
                <w:kern w:val="0"/>
                <w:sz w:val="22"/>
                <w:szCs w:val="22"/>
              </w:rPr>
              <w:t>上海浦东发展银行股份有限公司温州分行</w:t>
            </w:r>
          </w:p>
        </w:tc>
        <w:tc>
          <w:tcPr>
            <w:tcW w:w="3092" w:type="dxa"/>
            <w:gridSpan w:val="2"/>
            <w:noWrap w:val="0"/>
            <w:vAlign w:val="top"/>
          </w:tcPr>
          <w:p>
            <w:pPr>
              <w:pStyle w:val="34"/>
              <w:spacing w:line="360" w:lineRule="auto"/>
              <w:ind w:firstLine="0" w:firstLineChars="0"/>
              <w:rPr>
                <w:rFonts w:hint="eastAsia" w:ascii="宋体" w:eastAsia="宋体" w:cs="宋体"/>
                <w:color w:val="000000"/>
                <w:kern w:val="0"/>
                <w:sz w:val="22"/>
                <w:szCs w:val="22"/>
              </w:rPr>
            </w:pPr>
          </w:p>
        </w:tc>
      </w:tr>
    </w:tbl>
    <w:p>
      <w:pPr>
        <w:rPr>
          <w:rFonts w:hint="eastAsia" w:ascii="宋体" w:hAnsi="宋体" w:cs="宋体"/>
          <w:sz w:val="22"/>
          <w:szCs w:val="22"/>
        </w:rPr>
      </w:pPr>
      <w:r>
        <w:rPr>
          <w:rFonts w:hint="eastAsia" w:ascii="宋体" w:hAnsi="宋体" w:cs="宋体"/>
          <w:sz w:val="22"/>
          <w:szCs w:val="22"/>
        </w:rPr>
        <w:t>注：1、本表填写对象为注册地在温州市域内的供应商。</w:t>
      </w:r>
    </w:p>
    <w:p>
      <w:pPr>
        <w:pStyle w:val="11"/>
        <w:adjustRightInd w:val="0"/>
        <w:snapToGrid w:val="0"/>
        <w:rPr>
          <w:rFonts w:hint="eastAsia" w:hAnsi="宋体" w:cs="宋体"/>
          <w:sz w:val="22"/>
          <w:szCs w:val="22"/>
        </w:rPr>
      </w:pPr>
      <w:r>
        <w:rPr>
          <w:rFonts w:hint="eastAsia" w:hAnsi="宋体" w:cs="宋体"/>
          <w:sz w:val="22"/>
          <w:szCs w:val="22"/>
        </w:rPr>
        <w:t>2、财政部门根据企业自行选择，将本表及企业相关信息推送至相对应的融资意向银行经办人。</w:t>
      </w:r>
    </w:p>
    <w:p>
      <w:pPr>
        <w:pStyle w:val="11"/>
        <w:adjustRightInd w:val="0"/>
        <w:snapToGrid w:val="0"/>
        <w:rPr>
          <w:rFonts w:hint="eastAsia" w:hAnsi="宋体" w:cs="宋体"/>
          <w:sz w:val="22"/>
          <w:szCs w:val="22"/>
        </w:rPr>
      </w:pPr>
    </w:p>
    <w:p>
      <w:pPr>
        <w:pStyle w:val="11"/>
        <w:adjustRightInd w:val="0"/>
        <w:snapToGrid w:val="0"/>
        <w:rPr>
          <w:rFonts w:hint="eastAsia" w:hAnsi="宋体" w:cs="宋体"/>
          <w:sz w:val="22"/>
          <w:szCs w:val="22"/>
        </w:rPr>
      </w:pPr>
    </w:p>
    <w:p>
      <w:pPr>
        <w:pStyle w:val="10"/>
        <w:rPr>
          <w:rFonts w:hint="eastAsia" w:ascii="宋体" w:hAnsi="宋体" w:eastAsia="宋体" w:cs="宋体"/>
        </w:rPr>
      </w:pPr>
    </w:p>
    <w:p>
      <w:pPr>
        <w:pStyle w:val="18"/>
        <w:ind w:firstLine="210"/>
        <w:rPr>
          <w:rFonts w:hint="eastAsia" w:ascii="宋体" w:hAnsi="宋体" w:eastAsia="宋体" w:cs="宋体"/>
        </w:rPr>
      </w:pPr>
    </w:p>
    <w:p>
      <w:pPr>
        <w:pStyle w:val="16"/>
        <w:rPr>
          <w:rFonts w:hint="eastAsia" w:ascii="宋体" w:hAnsi="宋体" w:cs="宋体"/>
        </w:rPr>
      </w:pPr>
    </w:p>
    <w:p>
      <w:pPr>
        <w:pStyle w:val="31"/>
        <w:rPr>
          <w:rFonts w:hint="eastAsia" w:ascii="宋体" w:hAnsi="宋体" w:cs="宋体"/>
        </w:rPr>
      </w:pPr>
    </w:p>
    <w:p>
      <w:pPr>
        <w:pStyle w:val="11"/>
        <w:adjustRightInd w:val="0"/>
        <w:snapToGrid w:val="0"/>
        <w:rPr>
          <w:rFonts w:hint="eastAsia" w:hAnsi="宋体" w:cs="宋体"/>
          <w:sz w:val="22"/>
          <w:szCs w:val="22"/>
        </w:rPr>
      </w:pPr>
    </w:p>
    <w:tbl>
      <w:tblPr>
        <w:tblStyle w:val="1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3781"/>
        <w:gridCol w:w="877"/>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9512" w:type="dxa"/>
            <w:gridSpan w:val="4"/>
            <w:noWrap w:val="0"/>
            <w:vAlign w:val="center"/>
          </w:tcPr>
          <w:p>
            <w:pPr>
              <w:jc w:val="center"/>
              <w:rPr>
                <w:rFonts w:hint="eastAsia" w:ascii="宋体" w:hAnsi="宋体" w:cs="宋体"/>
                <w:sz w:val="30"/>
                <w:szCs w:val="30"/>
              </w:rPr>
            </w:pPr>
            <w:r>
              <w:rPr>
                <w:rFonts w:hint="eastAsia" w:ascii="宋体" w:hAnsi="宋体" w:cs="宋体"/>
                <w:color w:val="333333"/>
                <w:sz w:val="30"/>
                <w:szCs w:val="30"/>
              </w:rPr>
              <w:t>温州市政府采购支持中小企业信用融资合作银行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26" w:type="dxa"/>
            <w:noWrap w:val="0"/>
            <w:vAlign w:val="center"/>
          </w:tcPr>
          <w:p>
            <w:pPr>
              <w:pStyle w:val="34"/>
              <w:spacing w:line="360" w:lineRule="auto"/>
              <w:ind w:firstLine="0" w:firstLineChars="0"/>
              <w:jc w:val="center"/>
              <w:rPr>
                <w:rFonts w:hint="eastAsia" w:ascii="宋体" w:eastAsia="宋体" w:cs="宋体"/>
                <w:color w:val="000000"/>
                <w:kern w:val="0"/>
                <w:sz w:val="22"/>
                <w:szCs w:val="22"/>
              </w:rPr>
            </w:pPr>
            <w:r>
              <w:rPr>
                <w:rFonts w:hint="eastAsia" w:ascii="宋体" w:eastAsia="宋体" w:cs="宋体"/>
                <w:color w:val="000000"/>
                <w:kern w:val="0"/>
                <w:sz w:val="22"/>
                <w:szCs w:val="22"/>
              </w:rPr>
              <w:t>银行名称</w:t>
            </w:r>
          </w:p>
        </w:tc>
        <w:tc>
          <w:tcPr>
            <w:tcW w:w="4536" w:type="dxa"/>
            <w:noWrap w:val="0"/>
            <w:vAlign w:val="center"/>
          </w:tcPr>
          <w:p>
            <w:pPr>
              <w:pStyle w:val="34"/>
              <w:spacing w:line="360" w:lineRule="auto"/>
              <w:ind w:firstLine="0" w:firstLineChars="0"/>
              <w:jc w:val="center"/>
              <w:rPr>
                <w:rFonts w:hint="eastAsia" w:ascii="宋体" w:eastAsia="宋体" w:cs="宋体"/>
                <w:color w:val="000000"/>
                <w:kern w:val="0"/>
                <w:sz w:val="22"/>
                <w:szCs w:val="22"/>
              </w:rPr>
            </w:pPr>
            <w:r>
              <w:rPr>
                <w:rFonts w:hint="eastAsia" w:ascii="宋体" w:eastAsia="宋体" w:cs="宋体"/>
                <w:color w:val="000000"/>
                <w:kern w:val="0"/>
                <w:sz w:val="22"/>
                <w:szCs w:val="22"/>
              </w:rPr>
              <w:t>产品特点（不超过120字）</w:t>
            </w:r>
          </w:p>
        </w:tc>
        <w:tc>
          <w:tcPr>
            <w:tcW w:w="992" w:type="dxa"/>
            <w:noWrap w:val="0"/>
            <w:vAlign w:val="center"/>
          </w:tcPr>
          <w:p>
            <w:pPr>
              <w:pStyle w:val="34"/>
              <w:spacing w:line="360" w:lineRule="auto"/>
              <w:ind w:firstLine="0" w:firstLineChars="0"/>
              <w:jc w:val="center"/>
              <w:rPr>
                <w:rFonts w:hint="eastAsia" w:ascii="宋体" w:eastAsia="宋体" w:cs="宋体"/>
                <w:color w:val="000000"/>
                <w:kern w:val="0"/>
                <w:sz w:val="22"/>
                <w:szCs w:val="22"/>
              </w:rPr>
            </w:pPr>
            <w:r>
              <w:rPr>
                <w:rFonts w:hint="eastAsia" w:ascii="宋体" w:eastAsia="宋体" w:cs="宋体"/>
                <w:color w:val="000000"/>
                <w:kern w:val="0"/>
                <w:sz w:val="22"/>
                <w:szCs w:val="22"/>
              </w:rPr>
              <w:t>经办人</w:t>
            </w:r>
          </w:p>
        </w:tc>
        <w:tc>
          <w:tcPr>
            <w:tcW w:w="2458" w:type="dxa"/>
            <w:noWrap w:val="0"/>
            <w:vAlign w:val="center"/>
          </w:tcPr>
          <w:p>
            <w:pPr>
              <w:jc w:val="center"/>
              <w:rPr>
                <w:rFonts w:hint="eastAsia" w:ascii="宋体" w:hAnsi="宋体" w:cs="宋体"/>
                <w:sz w:val="22"/>
                <w:szCs w:val="22"/>
              </w:rPr>
            </w:pPr>
            <w:r>
              <w:rPr>
                <w:rFonts w:hint="eastAsia" w:ascii="宋体" w:hAnsi="宋体" w:cs="宋体"/>
                <w:sz w:val="22"/>
                <w:szCs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pStyle w:val="34"/>
              <w:spacing w:line="360" w:lineRule="auto"/>
              <w:ind w:firstLine="0" w:firstLineChars="0"/>
              <w:rPr>
                <w:rFonts w:hint="eastAsia" w:ascii="宋体" w:eastAsia="宋体" w:cs="宋体"/>
                <w:color w:val="000000"/>
                <w:kern w:val="0"/>
                <w:sz w:val="22"/>
                <w:szCs w:val="22"/>
              </w:rPr>
            </w:pPr>
            <w:r>
              <w:rPr>
                <w:rFonts w:hint="eastAsia" w:ascii="宋体" w:eastAsia="宋体" w:cs="宋体"/>
                <w:color w:val="000000"/>
                <w:kern w:val="0"/>
                <w:sz w:val="22"/>
                <w:szCs w:val="22"/>
              </w:rPr>
              <w:t>中国工商银行股份有限公司温州分行</w:t>
            </w:r>
          </w:p>
        </w:tc>
        <w:tc>
          <w:tcPr>
            <w:tcW w:w="4536" w:type="dxa"/>
            <w:noWrap w:val="0"/>
            <w:vAlign w:val="center"/>
          </w:tcPr>
          <w:p>
            <w:pPr>
              <w:rPr>
                <w:rFonts w:hint="eastAsia" w:ascii="宋体" w:hAnsi="宋体" w:cs="宋体"/>
                <w:sz w:val="22"/>
                <w:szCs w:val="22"/>
              </w:rPr>
            </w:pPr>
            <w:r>
              <w:rPr>
                <w:rFonts w:hint="eastAsia" w:ascii="宋体" w:hAnsi="宋体" w:cs="宋体"/>
                <w:sz w:val="22"/>
                <w:szCs w:val="22"/>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992" w:type="dxa"/>
            <w:noWrap w:val="0"/>
            <w:vAlign w:val="center"/>
          </w:tcPr>
          <w:p>
            <w:pPr>
              <w:pStyle w:val="34"/>
              <w:spacing w:line="360" w:lineRule="auto"/>
              <w:ind w:firstLine="0" w:firstLineChars="0"/>
              <w:rPr>
                <w:rFonts w:hint="eastAsia" w:ascii="宋体" w:eastAsia="宋体" w:cs="宋体"/>
                <w:color w:val="000000"/>
                <w:kern w:val="0"/>
                <w:sz w:val="22"/>
                <w:szCs w:val="22"/>
              </w:rPr>
            </w:pPr>
          </w:p>
          <w:p>
            <w:pPr>
              <w:pStyle w:val="34"/>
              <w:spacing w:line="360" w:lineRule="auto"/>
              <w:ind w:firstLine="0" w:firstLineChars="0"/>
              <w:rPr>
                <w:rFonts w:hint="eastAsia" w:ascii="宋体" w:eastAsia="宋体" w:cs="宋体"/>
                <w:color w:val="000000"/>
                <w:kern w:val="0"/>
                <w:sz w:val="22"/>
                <w:szCs w:val="22"/>
              </w:rPr>
            </w:pPr>
            <w:r>
              <w:rPr>
                <w:rFonts w:hint="eastAsia" w:ascii="宋体" w:eastAsia="宋体" w:cs="宋体"/>
                <w:color w:val="000000"/>
                <w:kern w:val="0"/>
                <w:sz w:val="22"/>
                <w:szCs w:val="22"/>
              </w:rPr>
              <w:t>王经理</w:t>
            </w:r>
          </w:p>
        </w:tc>
        <w:tc>
          <w:tcPr>
            <w:tcW w:w="2458" w:type="dxa"/>
            <w:noWrap w:val="0"/>
            <w:vAlign w:val="center"/>
          </w:tcPr>
          <w:p>
            <w:pPr>
              <w:jc w:val="left"/>
              <w:rPr>
                <w:rFonts w:hint="eastAsia" w:ascii="宋体" w:hAnsi="宋体" w:cs="宋体"/>
                <w:sz w:val="22"/>
                <w:szCs w:val="22"/>
              </w:rPr>
            </w:pPr>
            <w:r>
              <w:rPr>
                <w:rFonts w:hint="eastAsia" w:ascii="宋体" w:hAnsi="宋体" w:cs="宋体"/>
                <w:sz w:val="22"/>
                <w:szCs w:val="22"/>
              </w:rPr>
              <w:t>0577-88186626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526" w:type="dxa"/>
            <w:noWrap w:val="0"/>
            <w:vAlign w:val="center"/>
          </w:tcPr>
          <w:p>
            <w:pPr>
              <w:rPr>
                <w:rFonts w:hint="eastAsia" w:ascii="宋体" w:hAnsi="宋体" w:cs="宋体"/>
                <w:sz w:val="22"/>
                <w:szCs w:val="22"/>
              </w:rPr>
            </w:pPr>
            <w:r>
              <w:rPr>
                <w:rFonts w:hint="eastAsia" w:ascii="宋体" w:hAnsi="宋体" w:cs="宋体"/>
                <w:sz w:val="22"/>
                <w:szCs w:val="22"/>
              </w:rPr>
              <w:t>中国建设银行股份有限公司温州分行</w:t>
            </w:r>
          </w:p>
        </w:tc>
        <w:tc>
          <w:tcPr>
            <w:tcW w:w="4536" w:type="dxa"/>
            <w:noWrap w:val="0"/>
            <w:vAlign w:val="center"/>
          </w:tcPr>
          <w:p>
            <w:pPr>
              <w:rPr>
                <w:rFonts w:hint="eastAsia" w:ascii="宋体" w:hAnsi="宋体" w:cs="宋体"/>
                <w:sz w:val="22"/>
                <w:szCs w:val="22"/>
              </w:rPr>
            </w:pPr>
            <w:r>
              <w:rPr>
                <w:rFonts w:hint="eastAsia" w:ascii="宋体" w:hAnsi="宋体" w:cs="宋体"/>
                <w:sz w:val="22"/>
                <w:szCs w:val="22"/>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992" w:type="dxa"/>
            <w:noWrap w:val="0"/>
            <w:vAlign w:val="center"/>
          </w:tcPr>
          <w:p>
            <w:pPr>
              <w:rPr>
                <w:rFonts w:hint="eastAsia" w:ascii="宋体" w:hAnsi="宋体" w:cs="宋体"/>
                <w:sz w:val="22"/>
                <w:szCs w:val="22"/>
              </w:rPr>
            </w:pPr>
          </w:p>
          <w:p>
            <w:pPr>
              <w:rPr>
                <w:rFonts w:hint="eastAsia" w:ascii="宋体" w:hAnsi="宋体" w:cs="宋体"/>
                <w:sz w:val="22"/>
                <w:szCs w:val="22"/>
              </w:rPr>
            </w:pPr>
          </w:p>
          <w:p>
            <w:pPr>
              <w:rPr>
                <w:rFonts w:hint="eastAsia" w:ascii="宋体" w:hAnsi="宋体" w:cs="宋体"/>
                <w:sz w:val="22"/>
                <w:szCs w:val="22"/>
              </w:rPr>
            </w:pPr>
            <w:r>
              <w:rPr>
                <w:rFonts w:hint="eastAsia" w:ascii="宋体" w:hAnsi="宋体" w:cs="宋体"/>
                <w:sz w:val="22"/>
                <w:szCs w:val="22"/>
              </w:rPr>
              <w:t>张经理</w:t>
            </w:r>
          </w:p>
        </w:tc>
        <w:tc>
          <w:tcPr>
            <w:tcW w:w="2458" w:type="dxa"/>
            <w:noWrap w:val="0"/>
            <w:vAlign w:val="center"/>
          </w:tcPr>
          <w:p>
            <w:pPr>
              <w:jc w:val="left"/>
              <w:rPr>
                <w:rFonts w:hint="eastAsia" w:ascii="宋体" w:hAnsi="宋体" w:cs="宋体"/>
                <w:sz w:val="22"/>
                <w:szCs w:val="22"/>
              </w:rPr>
            </w:pPr>
            <w:r>
              <w:rPr>
                <w:rFonts w:hint="eastAsia" w:ascii="宋体" w:hAnsi="宋体" w:cs="宋体"/>
                <w:sz w:val="22"/>
                <w:szCs w:val="22"/>
              </w:rPr>
              <w:t>0577-88093286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pStyle w:val="34"/>
              <w:spacing w:line="360" w:lineRule="auto"/>
              <w:ind w:firstLine="0" w:firstLineChars="0"/>
              <w:rPr>
                <w:rFonts w:hint="eastAsia" w:ascii="宋体" w:eastAsia="宋体" w:cs="宋体"/>
                <w:color w:val="000000"/>
                <w:kern w:val="0"/>
                <w:sz w:val="22"/>
                <w:szCs w:val="22"/>
              </w:rPr>
            </w:pPr>
            <w:r>
              <w:rPr>
                <w:rFonts w:hint="eastAsia" w:ascii="宋体" w:eastAsia="宋体" w:cs="宋体"/>
                <w:color w:val="000000"/>
                <w:kern w:val="0"/>
                <w:sz w:val="22"/>
                <w:szCs w:val="22"/>
              </w:rPr>
              <w:t>中国邮政储蓄银行股份有限公司温州市分行</w:t>
            </w:r>
          </w:p>
        </w:tc>
        <w:tc>
          <w:tcPr>
            <w:tcW w:w="4536" w:type="dxa"/>
            <w:noWrap w:val="0"/>
            <w:vAlign w:val="center"/>
          </w:tcPr>
          <w:p>
            <w:pPr>
              <w:rPr>
                <w:rFonts w:hint="eastAsia" w:ascii="宋体" w:hAnsi="宋体" w:cs="宋体"/>
                <w:sz w:val="22"/>
                <w:szCs w:val="22"/>
              </w:rPr>
            </w:pPr>
            <w:r>
              <w:rPr>
                <w:rFonts w:hint="eastAsia" w:ascii="宋体" w:hAnsi="宋体" w:cs="宋体"/>
                <w:sz w:val="22"/>
                <w:szCs w:val="22"/>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992" w:type="dxa"/>
            <w:noWrap w:val="0"/>
            <w:vAlign w:val="center"/>
          </w:tcPr>
          <w:p>
            <w:pPr>
              <w:rPr>
                <w:rFonts w:hint="eastAsia" w:ascii="宋体" w:hAnsi="宋体" w:cs="宋体"/>
                <w:sz w:val="22"/>
                <w:szCs w:val="22"/>
              </w:rPr>
            </w:pPr>
            <w:r>
              <w:rPr>
                <w:rFonts w:hint="eastAsia" w:ascii="宋体" w:hAnsi="宋体" w:cs="宋体"/>
                <w:sz w:val="22"/>
                <w:szCs w:val="22"/>
              </w:rPr>
              <w:t>郑经理</w:t>
            </w:r>
          </w:p>
        </w:tc>
        <w:tc>
          <w:tcPr>
            <w:tcW w:w="2458" w:type="dxa"/>
            <w:noWrap w:val="0"/>
            <w:vAlign w:val="center"/>
          </w:tcPr>
          <w:p>
            <w:pPr>
              <w:jc w:val="left"/>
              <w:rPr>
                <w:rFonts w:hint="eastAsia" w:ascii="宋体" w:hAnsi="宋体" w:cs="宋体"/>
                <w:sz w:val="22"/>
                <w:szCs w:val="22"/>
              </w:rPr>
            </w:pPr>
            <w:r>
              <w:rPr>
                <w:rFonts w:hint="eastAsia" w:ascii="宋体" w:hAnsi="宋体" w:cs="宋体"/>
                <w:sz w:val="22"/>
                <w:szCs w:val="22"/>
              </w:rPr>
              <w:t>0577-88193910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pStyle w:val="34"/>
              <w:spacing w:line="360" w:lineRule="auto"/>
              <w:ind w:firstLine="0" w:firstLineChars="0"/>
              <w:rPr>
                <w:rFonts w:hint="eastAsia" w:ascii="宋体" w:eastAsia="宋体" w:cs="宋体"/>
                <w:color w:val="000000"/>
                <w:kern w:val="0"/>
                <w:sz w:val="22"/>
                <w:szCs w:val="22"/>
              </w:rPr>
            </w:pPr>
            <w:r>
              <w:rPr>
                <w:rFonts w:hint="eastAsia" w:ascii="宋体" w:eastAsia="宋体" w:cs="宋体"/>
                <w:color w:val="000000"/>
                <w:kern w:val="0"/>
                <w:sz w:val="22"/>
                <w:szCs w:val="22"/>
              </w:rPr>
              <w:t>中国民生银行股份有限公司温州分行</w:t>
            </w:r>
          </w:p>
        </w:tc>
        <w:tc>
          <w:tcPr>
            <w:tcW w:w="4536" w:type="dxa"/>
            <w:noWrap w:val="0"/>
            <w:vAlign w:val="center"/>
          </w:tcPr>
          <w:p>
            <w:pPr>
              <w:jc w:val="left"/>
              <w:rPr>
                <w:rFonts w:hint="eastAsia" w:ascii="宋体" w:hAnsi="宋体" w:cs="宋体"/>
                <w:sz w:val="22"/>
                <w:szCs w:val="22"/>
              </w:rPr>
            </w:pPr>
            <w:r>
              <w:rPr>
                <w:rFonts w:hint="eastAsia" w:ascii="宋体" w:hAnsi="宋体" w:cs="宋体"/>
                <w:sz w:val="22"/>
                <w:szCs w:val="22"/>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992" w:type="dxa"/>
            <w:noWrap w:val="0"/>
            <w:vAlign w:val="center"/>
          </w:tcPr>
          <w:p>
            <w:pPr>
              <w:rPr>
                <w:rFonts w:hint="eastAsia" w:ascii="宋体" w:hAnsi="宋体" w:cs="宋体"/>
                <w:sz w:val="22"/>
                <w:szCs w:val="22"/>
              </w:rPr>
            </w:pPr>
          </w:p>
          <w:p>
            <w:pPr>
              <w:rPr>
                <w:rFonts w:hint="eastAsia" w:ascii="宋体" w:hAnsi="宋体" w:cs="宋体"/>
                <w:sz w:val="22"/>
                <w:szCs w:val="22"/>
              </w:rPr>
            </w:pPr>
            <w:r>
              <w:rPr>
                <w:rFonts w:hint="eastAsia" w:ascii="宋体" w:hAnsi="宋体" w:cs="宋体"/>
                <w:sz w:val="22"/>
                <w:szCs w:val="22"/>
              </w:rPr>
              <w:t>项经理</w:t>
            </w:r>
          </w:p>
        </w:tc>
        <w:tc>
          <w:tcPr>
            <w:tcW w:w="2458" w:type="dxa"/>
            <w:noWrap w:val="0"/>
            <w:vAlign w:val="center"/>
          </w:tcPr>
          <w:p>
            <w:pPr>
              <w:jc w:val="left"/>
              <w:rPr>
                <w:rFonts w:hint="eastAsia" w:ascii="宋体" w:hAnsi="宋体" w:cs="宋体"/>
                <w:sz w:val="22"/>
                <w:szCs w:val="22"/>
              </w:rPr>
            </w:pPr>
            <w:r>
              <w:rPr>
                <w:rFonts w:hint="eastAsia" w:ascii="宋体" w:hAnsi="宋体" w:cs="宋体"/>
                <w:sz w:val="22"/>
                <w:szCs w:val="22"/>
              </w:rPr>
              <w:t>18057779630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pStyle w:val="34"/>
              <w:spacing w:line="360" w:lineRule="auto"/>
              <w:ind w:firstLine="0" w:firstLineChars="0"/>
              <w:rPr>
                <w:rFonts w:hint="eastAsia" w:ascii="宋体" w:eastAsia="宋体" w:cs="宋体"/>
                <w:color w:val="000000"/>
                <w:kern w:val="0"/>
                <w:sz w:val="22"/>
                <w:szCs w:val="22"/>
              </w:rPr>
            </w:pPr>
            <w:r>
              <w:rPr>
                <w:rFonts w:hint="eastAsia" w:ascii="宋体" w:eastAsia="宋体" w:cs="宋体"/>
                <w:color w:val="000000"/>
                <w:kern w:val="0"/>
                <w:sz w:val="22"/>
                <w:szCs w:val="22"/>
              </w:rPr>
              <w:t>宁波银行股份有限公司温州分行</w:t>
            </w:r>
          </w:p>
        </w:tc>
        <w:tc>
          <w:tcPr>
            <w:tcW w:w="4536" w:type="dxa"/>
            <w:noWrap w:val="0"/>
            <w:vAlign w:val="center"/>
          </w:tcPr>
          <w:p>
            <w:pPr>
              <w:rPr>
                <w:rFonts w:hint="eastAsia" w:ascii="宋体" w:hAnsi="宋体" w:cs="宋体"/>
                <w:sz w:val="22"/>
                <w:szCs w:val="22"/>
              </w:rPr>
            </w:pPr>
            <w:r>
              <w:rPr>
                <w:rFonts w:hint="eastAsia" w:ascii="宋体" w:hAnsi="宋体" w:cs="宋体"/>
                <w:sz w:val="22"/>
                <w:szCs w:val="22"/>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992" w:type="dxa"/>
            <w:noWrap w:val="0"/>
            <w:vAlign w:val="center"/>
          </w:tcPr>
          <w:p>
            <w:pPr>
              <w:rPr>
                <w:rFonts w:hint="eastAsia" w:ascii="宋体" w:hAnsi="宋体" w:cs="宋体"/>
                <w:sz w:val="22"/>
                <w:szCs w:val="22"/>
              </w:rPr>
            </w:pPr>
          </w:p>
          <w:p>
            <w:pPr>
              <w:rPr>
                <w:rFonts w:hint="eastAsia" w:ascii="宋体" w:hAnsi="宋体" w:cs="宋体"/>
                <w:sz w:val="22"/>
                <w:szCs w:val="22"/>
              </w:rPr>
            </w:pPr>
            <w:r>
              <w:rPr>
                <w:rFonts w:hint="eastAsia" w:ascii="宋体" w:hAnsi="宋体" w:cs="宋体"/>
                <w:sz w:val="22"/>
                <w:szCs w:val="22"/>
              </w:rPr>
              <w:t>陈经理</w:t>
            </w:r>
          </w:p>
        </w:tc>
        <w:tc>
          <w:tcPr>
            <w:tcW w:w="2458" w:type="dxa"/>
            <w:noWrap w:val="0"/>
            <w:vAlign w:val="center"/>
          </w:tcPr>
          <w:p>
            <w:pPr>
              <w:jc w:val="left"/>
              <w:rPr>
                <w:rFonts w:hint="eastAsia" w:ascii="宋体" w:hAnsi="宋体" w:cs="宋体"/>
                <w:sz w:val="22"/>
                <w:szCs w:val="22"/>
              </w:rPr>
            </w:pPr>
            <w:r>
              <w:rPr>
                <w:rFonts w:hint="eastAsia" w:ascii="宋体" w:hAnsi="宋体" w:cs="宋体"/>
                <w:sz w:val="22"/>
                <w:szCs w:val="22"/>
              </w:rPr>
              <w:t>0577－88007377</w:t>
            </w:r>
          </w:p>
          <w:p>
            <w:pPr>
              <w:jc w:val="left"/>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pStyle w:val="34"/>
              <w:spacing w:line="360" w:lineRule="auto"/>
              <w:ind w:firstLine="0" w:firstLineChars="0"/>
              <w:rPr>
                <w:rFonts w:hint="eastAsia" w:ascii="宋体" w:eastAsia="宋体" w:cs="宋体"/>
                <w:color w:val="000000"/>
                <w:kern w:val="0"/>
                <w:sz w:val="22"/>
                <w:szCs w:val="22"/>
              </w:rPr>
            </w:pPr>
            <w:r>
              <w:rPr>
                <w:rFonts w:hint="eastAsia" w:ascii="宋体" w:eastAsia="宋体" w:cs="宋体"/>
                <w:color w:val="000000"/>
                <w:kern w:val="0"/>
                <w:sz w:val="22"/>
                <w:szCs w:val="22"/>
              </w:rPr>
              <w:t>杭州银行股份有限公司温州分行</w:t>
            </w:r>
          </w:p>
        </w:tc>
        <w:tc>
          <w:tcPr>
            <w:tcW w:w="4536" w:type="dxa"/>
            <w:noWrap w:val="0"/>
            <w:vAlign w:val="center"/>
          </w:tcPr>
          <w:p>
            <w:pPr>
              <w:rPr>
                <w:rFonts w:hint="eastAsia" w:ascii="宋体" w:hAnsi="宋体" w:cs="宋体"/>
                <w:sz w:val="22"/>
                <w:szCs w:val="22"/>
              </w:rPr>
            </w:pPr>
            <w:r>
              <w:rPr>
                <w:rFonts w:hint="eastAsia" w:ascii="宋体" w:hAnsi="宋体" w:cs="宋体"/>
                <w:sz w:val="22"/>
                <w:szCs w:val="22"/>
              </w:rPr>
              <w:t>门槛低：纯信用，平台注册入库并取得采购合同即可申请</w:t>
            </w:r>
          </w:p>
          <w:p>
            <w:pPr>
              <w:rPr>
                <w:rFonts w:hint="eastAsia" w:ascii="宋体" w:hAnsi="宋体" w:cs="宋体"/>
                <w:sz w:val="22"/>
                <w:szCs w:val="22"/>
              </w:rPr>
            </w:pPr>
            <w:r>
              <w:rPr>
                <w:rFonts w:hint="eastAsia" w:ascii="宋体" w:hAnsi="宋体" w:cs="宋体"/>
                <w:sz w:val="22"/>
                <w:szCs w:val="22"/>
              </w:rPr>
              <w:t>手续简：线上申请+线上签约，足不出户</w:t>
            </w:r>
          </w:p>
          <w:p>
            <w:pPr>
              <w:rPr>
                <w:rFonts w:hint="eastAsia" w:ascii="宋体" w:hAnsi="宋体" w:cs="宋体"/>
                <w:sz w:val="22"/>
                <w:szCs w:val="22"/>
              </w:rPr>
            </w:pPr>
            <w:r>
              <w:rPr>
                <w:rFonts w:hint="eastAsia" w:ascii="宋体" w:hAnsi="宋体" w:cs="宋体"/>
                <w:sz w:val="22"/>
                <w:szCs w:val="22"/>
              </w:rPr>
              <w:t>利率优：按优于一般中小企业贷款利率执行</w:t>
            </w:r>
          </w:p>
          <w:p>
            <w:pPr>
              <w:rPr>
                <w:rFonts w:hint="eastAsia" w:ascii="宋体" w:hAnsi="宋体" w:cs="宋体"/>
                <w:sz w:val="22"/>
                <w:szCs w:val="22"/>
              </w:rPr>
            </w:pPr>
            <w:r>
              <w:rPr>
                <w:rFonts w:hint="eastAsia" w:ascii="宋体" w:hAnsi="宋体" w:cs="宋体"/>
                <w:sz w:val="22"/>
                <w:szCs w:val="22"/>
              </w:rPr>
              <w:t>额度高：最高为合同金额的80%</w:t>
            </w:r>
          </w:p>
        </w:tc>
        <w:tc>
          <w:tcPr>
            <w:tcW w:w="992" w:type="dxa"/>
            <w:noWrap w:val="0"/>
            <w:vAlign w:val="center"/>
          </w:tcPr>
          <w:p>
            <w:pPr>
              <w:rPr>
                <w:rFonts w:hint="eastAsia" w:ascii="宋体" w:hAnsi="宋体" w:cs="宋体"/>
                <w:sz w:val="22"/>
                <w:szCs w:val="22"/>
              </w:rPr>
            </w:pPr>
          </w:p>
          <w:p>
            <w:pPr>
              <w:rPr>
                <w:rFonts w:hint="eastAsia" w:ascii="宋体" w:hAnsi="宋体" w:cs="宋体"/>
                <w:sz w:val="22"/>
                <w:szCs w:val="22"/>
              </w:rPr>
            </w:pPr>
            <w:r>
              <w:rPr>
                <w:rFonts w:hint="eastAsia" w:ascii="宋体" w:hAnsi="宋体" w:cs="宋体"/>
                <w:sz w:val="22"/>
                <w:szCs w:val="22"/>
              </w:rPr>
              <w:t>叶经理</w:t>
            </w:r>
          </w:p>
        </w:tc>
        <w:tc>
          <w:tcPr>
            <w:tcW w:w="2458" w:type="dxa"/>
            <w:noWrap w:val="0"/>
            <w:vAlign w:val="center"/>
          </w:tcPr>
          <w:p>
            <w:pPr>
              <w:jc w:val="left"/>
              <w:rPr>
                <w:rFonts w:hint="eastAsia" w:ascii="宋体" w:hAnsi="宋体" w:cs="宋体"/>
                <w:sz w:val="22"/>
                <w:szCs w:val="22"/>
              </w:rPr>
            </w:pPr>
            <w:r>
              <w:rPr>
                <w:rFonts w:hint="eastAsia" w:ascii="宋体" w:hAnsi="宋体" w:cs="宋体"/>
                <w:sz w:val="22"/>
                <w:szCs w:val="22"/>
              </w:rPr>
              <w:t>0577-88008933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pStyle w:val="34"/>
              <w:spacing w:line="360" w:lineRule="auto"/>
              <w:ind w:firstLine="0" w:firstLineChars="0"/>
              <w:rPr>
                <w:rFonts w:hint="eastAsia" w:ascii="宋体" w:eastAsia="宋体" w:cs="宋体"/>
                <w:color w:val="000000"/>
                <w:kern w:val="0"/>
                <w:sz w:val="22"/>
                <w:szCs w:val="22"/>
              </w:rPr>
            </w:pPr>
            <w:r>
              <w:rPr>
                <w:rFonts w:hint="eastAsia" w:ascii="宋体" w:eastAsia="宋体" w:cs="宋体"/>
                <w:color w:val="000000"/>
                <w:kern w:val="0"/>
                <w:sz w:val="22"/>
                <w:szCs w:val="22"/>
              </w:rPr>
              <w:t>招商银行股份有限公司温州分行</w:t>
            </w:r>
          </w:p>
        </w:tc>
        <w:tc>
          <w:tcPr>
            <w:tcW w:w="4536" w:type="dxa"/>
            <w:noWrap w:val="0"/>
            <w:vAlign w:val="center"/>
          </w:tcPr>
          <w:p>
            <w:pPr>
              <w:rPr>
                <w:rFonts w:hint="eastAsia" w:ascii="宋体" w:hAnsi="宋体" w:cs="宋体"/>
                <w:sz w:val="22"/>
                <w:szCs w:val="22"/>
              </w:rPr>
            </w:pPr>
            <w:r>
              <w:rPr>
                <w:rFonts w:hint="eastAsia" w:ascii="宋体" w:hAnsi="宋体" w:cs="宋体"/>
                <w:sz w:val="22"/>
                <w:szCs w:val="22"/>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992" w:type="dxa"/>
            <w:noWrap w:val="0"/>
            <w:vAlign w:val="center"/>
          </w:tcPr>
          <w:p>
            <w:pPr>
              <w:rPr>
                <w:rFonts w:hint="eastAsia" w:ascii="宋体" w:hAnsi="宋体" w:cs="宋体"/>
                <w:sz w:val="22"/>
                <w:szCs w:val="22"/>
              </w:rPr>
            </w:pPr>
          </w:p>
          <w:p>
            <w:pPr>
              <w:rPr>
                <w:rFonts w:hint="eastAsia" w:ascii="宋体" w:hAnsi="宋体" w:cs="宋体"/>
                <w:sz w:val="22"/>
                <w:szCs w:val="22"/>
              </w:rPr>
            </w:pPr>
            <w:r>
              <w:rPr>
                <w:rFonts w:hint="eastAsia" w:ascii="宋体" w:hAnsi="宋体" w:cs="宋体"/>
                <w:sz w:val="22"/>
                <w:szCs w:val="22"/>
              </w:rPr>
              <w:t>陈经理</w:t>
            </w:r>
          </w:p>
        </w:tc>
        <w:tc>
          <w:tcPr>
            <w:tcW w:w="2458" w:type="dxa"/>
            <w:noWrap w:val="0"/>
            <w:vAlign w:val="center"/>
          </w:tcPr>
          <w:p>
            <w:pPr>
              <w:jc w:val="left"/>
              <w:rPr>
                <w:rFonts w:hint="eastAsia" w:ascii="宋体" w:hAnsi="宋体" w:cs="宋体"/>
                <w:sz w:val="22"/>
                <w:szCs w:val="22"/>
              </w:rPr>
            </w:pPr>
            <w:r>
              <w:rPr>
                <w:rFonts w:hint="eastAsia" w:ascii="宋体" w:hAnsi="宋体" w:cs="宋体"/>
                <w:sz w:val="22"/>
                <w:szCs w:val="22"/>
              </w:rPr>
              <w:t>0577-88056876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pStyle w:val="34"/>
              <w:spacing w:line="360" w:lineRule="auto"/>
              <w:ind w:firstLine="0" w:firstLineChars="0"/>
              <w:rPr>
                <w:rFonts w:hint="eastAsia" w:ascii="宋体" w:eastAsia="宋体" w:cs="宋体"/>
                <w:color w:val="000000"/>
                <w:kern w:val="0"/>
                <w:sz w:val="22"/>
                <w:szCs w:val="22"/>
              </w:rPr>
            </w:pPr>
            <w:r>
              <w:rPr>
                <w:rFonts w:hint="eastAsia" w:ascii="宋体" w:eastAsia="宋体" w:cs="宋体"/>
                <w:color w:val="000000"/>
                <w:kern w:val="0"/>
                <w:sz w:val="22"/>
                <w:szCs w:val="22"/>
              </w:rPr>
              <w:t>兴业银行股份有限公司温州分行</w:t>
            </w:r>
          </w:p>
        </w:tc>
        <w:tc>
          <w:tcPr>
            <w:tcW w:w="4536" w:type="dxa"/>
            <w:noWrap w:val="0"/>
            <w:vAlign w:val="center"/>
          </w:tcPr>
          <w:p>
            <w:pPr>
              <w:pStyle w:val="34"/>
              <w:spacing w:line="240" w:lineRule="auto"/>
              <w:ind w:firstLine="0" w:firstLineChars="0"/>
              <w:jc w:val="both"/>
              <w:rPr>
                <w:rFonts w:hint="eastAsia" w:ascii="宋体" w:eastAsia="宋体" w:cs="宋体"/>
                <w:color w:val="000000"/>
                <w:kern w:val="0"/>
                <w:sz w:val="22"/>
                <w:szCs w:val="22"/>
              </w:rPr>
            </w:pPr>
            <w:r>
              <w:rPr>
                <w:rFonts w:hint="eastAsia" w:ascii="宋体" w:eastAsia="宋体" w:cs="宋体"/>
                <w:color w:val="000000"/>
                <w:kern w:val="0"/>
                <w:sz w:val="22"/>
                <w:szCs w:val="22"/>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992" w:type="dxa"/>
            <w:noWrap w:val="0"/>
            <w:vAlign w:val="center"/>
          </w:tcPr>
          <w:p>
            <w:pPr>
              <w:rPr>
                <w:rFonts w:hint="eastAsia" w:ascii="宋体" w:hAnsi="宋体" w:cs="宋体"/>
                <w:sz w:val="22"/>
                <w:szCs w:val="22"/>
              </w:rPr>
            </w:pPr>
            <w:r>
              <w:rPr>
                <w:rFonts w:hint="eastAsia" w:ascii="宋体" w:hAnsi="宋体" w:cs="宋体"/>
                <w:sz w:val="22"/>
                <w:szCs w:val="22"/>
              </w:rPr>
              <w:t>张经理</w:t>
            </w:r>
          </w:p>
          <w:p>
            <w:pPr>
              <w:rPr>
                <w:rFonts w:hint="eastAsia" w:ascii="宋体" w:hAnsi="宋体" w:cs="宋体"/>
                <w:sz w:val="22"/>
                <w:szCs w:val="22"/>
              </w:rPr>
            </w:pPr>
            <w:r>
              <w:rPr>
                <w:rFonts w:hint="eastAsia" w:ascii="宋体" w:hAnsi="宋体" w:cs="宋体"/>
                <w:sz w:val="22"/>
                <w:szCs w:val="22"/>
              </w:rPr>
              <w:t>陈经理</w:t>
            </w:r>
          </w:p>
        </w:tc>
        <w:tc>
          <w:tcPr>
            <w:tcW w:w="2458" w:type="dxa"/>
            <w:noWrap w:val="0"/>
            <w:vAlign w:val="center"/>
          </w:tcPr>
          <w:p>
            <w:pPr>
              <w:pStyle w:val="34"/>
              <w:spacing w:line="360" w:lineRule="auto"/>
              <w:ind w:firstLine="0" w:firstLineChars="0"/>
              <w:rPr>
                <w:rFonts w:hint="eastAsia" w:ascii="宋体" w:eastAsia="宋体" w:cs="宋体"/>
                <w:kern w:val="0"/>
                <w:sz w:val="22"/>
                <w:szCs w:val="22"/>
              </w:rPr>
            </w:pPr>
            <w:r>
              <w:rPr>
                <w:rFonts w:hint="eastAsia" w:ascii="宋体" w:eastAsia="宋体" w:cs="宋体"/>
                <w:kern w:val="0"/>
                <w:sz w:val="22"/>
                <w:szCs w:val="22"/>
              </w:rPr>
              <w:t>0577-88369368</w:t>
            </w:r>
          </w:p>
          <w:p>
            <w:pPr>
              <w:pStyle w:val="34"/>
              <w:spacing w:line="360" w:lineRule="auto"/>
              <w:ind w:firstLine="0" w:firstLineChars="0"/>
              <w:rPr>
                <w:rFonts w:hint="eastAsia" w:ascii="宋体" w:eastAsia="宋体" w:cs="宋体"/>
                <w:kern w:val="0"/>
                <w:sz w:val="22"/>
                <w:szCs w:val="22"/>
              </w:rPr>
            </w:pPr>
            <w:r>
              <w:rPr>
                <w:rFonts w:hint="eastAsia" w:ascii="宋体" w:eastAsia="宋体" w:cs="宋体"/>
                <w:kern w:val="0"/>
                <w:sz w:val="22"/>
                <w:szCs w:val="22"/>
              </w:rPr>
              <w:t>13857713118</w:t>
            </w:r>
          </w:p>
          <w:p>
            <w:pPr>
              <w:pStyle w:val="34"/>
              <w:spacing w:line="360" w:lineRule="auto"/>
              <w:ind w:firstLine="0" w:firstLineChars="0"/>
              <w:rPr>
                <w:rFonts w:hint="eastAsia" w:ascii="宋体" w:eastAsia="宋体" w:cs="宋体"/>
                <w:kern w:val="0"/>
                <w:sz w:val="22"/>
                <w:szCs w:val="22"/>
              </w:rPr>
            </w:pPr>
            <w:r>
              <w:rPr>
                <w:rFonts w:hint="eastAsia" w:ascii="宋体" w:eastAsia="宋体" w:cs="宋体"/>
                <w:kern w:val="0"/>
                <w:sz w:val="22"/>
                <w:szCs w:val="22"/>
              </w:rPr>
              <w:t>0577-56969696-526506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pStyle w:val="34"/>
              <w:spacing w:line="360" w:lineRule="auto"/>
              <w:ind w:firstLine="0" w:firstLineChars="0"/>
              <w:rPr>
                <w:rFonts w:hint="eastAsia" w:ascii="宋体" w:eastAsia="宋体" w:cs="宋体"/>
                <w:color w:val="000000"/>
                <w:kern w:val="0"/>
                <w:sz w:val="22"/>
                <w:szCs w:val="22"/>
              </w:rPr>
            </w:pPr>
            <w:r>
              <w:rPr>
                <w:rFonts w:hint="eastAsia" w:ascii="宋体" w:eastAsia="宋体" w:cs="宋体"/>
                <w:color w:val="000000"/>
                <w:kern w:val="0"/>
                <w:sz w:val="22"/>
                <w:szCs w:val="22"/>
              </w:rPr>
              <w:t>温州银行股份有限公司温州分行</w:t>
            </w:r>
          </w:p>
        </w:tc>
        <w:tc>
          <w:tcPr>
            <w:tcW w:w="4536" w:type="dxa"/>
            <w:noWrap w:val="0"/>
            <w:vAlign w:val="center"/>
          </w:tcPr>
          <w:p>
            <w:pPr>
              <w:rPr>
                <w:rFonts w:hint="eastAsia" w:ascii="宋体" w:hAnsi="宋体" w:cs="宋体"/>
                <w:sz w:val="22"/>
                <w:szCs w:val="22"/>
              </w:rPr>
            </w:pPr>
            <w:r>
              <w:rPr>
                <w:rFonts w:hint="eastAsia" w:ascii="宋体" w:hAnsi="宋体" w:cs="宋体"/>
                <w:sz w:val="22"/>
                <w:szCs w:val="22"/>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992" w:type="dxa"/>
            <w:noWrap w:val="0"/>
            <w:vAlign w:val="center"/>
          </w:tcPr>
          <w:p>
            <w:pPr>
              <w:rPr>
                <w:rFonts w:hint="eastAsia" w:ascii="宋体" w:hAnsi="宋体" w:cs="宋体"/>
                <w:sz w:val="22"/>
                <w:szCs w:val="22"/>
              </w:rPr>
            </w:pPr>
            <w:r>
              <w:rPr>
                <w:rFonts w:hint="eastAsia" w:ascii="宋体" w:hAnsi="宋体" w:cs="宋体"/>
                <w:sz w:val="22"/>
                <w:szCs w:val="22"/>
              </w:rPr>
              <w:t>陈经理</w:t>
            </w:r>
          </w:p>
        </w:tc>
        <w:tc>
          <w:tcPr>
            <w:tcW w:w="2458" w:type="dxa"/>
            <w:noWrap w:val="0"/>
            <w:vAlign w:val="center"/>
          </w:tcPr>
          <w:p>
            <w:pPr>
              <w:jc w:val="left"/>
              <w:rPr>
                <w:rFonts w:hint="eastAsia" w:ascii="宋体" w:hAnsi="宋体" w:cs="宋体"/>
                <w:sz w:val="22"/>
                <w:szCs w:val="22"/>
              </w:rPr>
            </w:pPr>
            <w:r>
              <w:rPr>
                <w:rFonts w:hint="eastAsia" w:ascii="宋体" w:hAnsi="宋体" w:cs="宋体"/>
                <w:sz w:val="22"/>
                <w:szCs w:val="22"/>
              </w:rPr>
              <w:t>13736355866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pStyle w:val="34"/>
              <w:spacing w:line="360" w:lineRule="auto"/>
              <w:ind w:firstLine="0" w:firstLineChars="0"/>
              <w:rPr>
                <w:rFonts w:hint="eastAsia" w:ascii="宋体" w:eastAsia="宋体" w:cs="宋体"/>
                <w:color w:val="000000"/>
                <w:kern w:val="0"/>
                <w:sz w:val="22"/>
                <w:szCs w:val="22"/>
              </w:rPr>
            </w:pPr>
            <w:r>
              <w:rPr>
                <w:rFonts w:hint="eastAsia" w:ascii="宋体" w:eastAsia="宋体" w:cs="宋体"/>
                <w:color w:val="000000"/>
                <w:kern w:val="0"/>
                <w:sz w:val="22"/>
                <w:szCs w:val="22"/>
              </w:rPr>
              <w:t>温州银行股份有限公司鹿城分行</w:t>
            </w:r>
          </w:p>
        </w:tc>
        <w:tc>
          <w:tcPr>
            <w:tcW w:w="4536" w:type="dxa"/>
            <w:noWrap w:val="0"/>
            <w:vAlign w:val="center"/>
          </w:tcPr>
          <w:p>
            <w:pPr>
              <w:rPr>
                <w:rFonts w:hint="eastAsia" w:ascii="宋体" w:hAnsi="宋体" w:cs="宋体"/>
                <w:sz w:val="22"/>
                <w:szCs w:val="22"/>
              </w:rPr>
            </w:pPr>
            <w:r>
              <w:rPr>
                <w:rFonts w:hint="eastAsia" w:ascii="宋体" w:hAnsi="宋体" w:cs="宋体"/>
                <w:sz w:val="22"/>
                <w:szCs w:val="22"/>
              </w:rPr>
              <w:t>政采订单贷：1、面向政府采购项目供应商，满足供应商资金周转需求，凭中标通知书即可申请，2、秒知额高，最高可贷500万元，单笔业务金额可贷中标金额的80%，</w:t>
            </w:r>
          </w:p>
          <w:p>
            <w:pPr>
              <w:ind w:left="5"/>
              <w:rPr>
                <w:rFonts w:hint="eastAsia" w:ascii="宋体" w:hAnsi="宋体" w:cs="宋体"/>
                <w:sz w:val="22"/>
              </w:rPr>
            </w:pPr>
            <w:r>
              <w:rPr>
                <w:rFonts w:hint="eastAsia" w:ascii="宋体" w:hAnsi="宋体" w:cs="宋体"/>
                <w:sz w:val="22"/>
              </w:rPr>
              <w:t>最长期限可贷1年。信保贷：1、额度最高可达500万元</w:t>
            </w:r>
          </w:p>
          <w:p>
            <w:pPr>
              <w:rPr>
                <w:rFonts w:hint="eastAsia" w:ascii="宋体" w:hAnsi="宋体" w:cs="宋体"/>
                <w:sz w:val="22"/>
                <w:szCs w:val="22"/>
              </w:rPr>
            </w:pPr>
            <w:r>
              <w:rPr>
                <w:rFonts w:hint="eastAsia" w:ascii="宋体" w:hAnsi="宋体" w:cs="宋体"/>
                <w:sz w:val="22"/>
                <w:szCs w:val="22"/>
              </w:rPr>
              <w:t>2、担保灵活，信用贷款3、贷款年利率至少可享受本单位一般性中小企业信用贷款利率基础上下浮10 %</w:t>
            </w:r>
          </w:p>
        </w:tc>
        <w:tc>
          <w:tcPr>
            <w:tcW w:w="992" w:type="dxa"/>
            <w:noWrap w:val="0"/>
            <w:vAlign w:val="center"/>
          </w:tcPr>
          <w:p>
            <w:pPr>
              <w:rPr>
                <w:rFonts w:hint="eastAsia" w:ascii="宋体" w:hAnsi="宋体" w:cs="宋体"/>
                <w:sz w:val="22"/>
                <w:szCs w:val="22"/>
              </w:rPr>
            </w:pPr>
          </w:p>
          <w:p>
            <w:pPr>
              <w:rPr>
                <w:rFonts w:hint="eastAsia" w:ascii="宋体" w:hAnsi="宋体" w:cs="宋体"/>
                <w:sz w:val="22"/>
                <w:szCs w:val="22"/>
              </w:rPr>
            </w:pPr>
            <w:r>
              <w:rPr>
                <w:rFonts w:hint="eastAsia" w:ascii="宋体" w:hAnsi="宋体" w:cs="宋体"/>
                <w:sz w:val="22"/>
                <w:szCs w:val="22"/>
              </w:rPr>
              <w:t>戴经理</w:t>
            </w:r>
          </w:p>
        </w:tc>
        <w:tc>
          <w:tcPr>
            <w:tcW w:w="2458" w:type="dxa"/>
            <w:noWrap w:val="0"/>
            <w:vAlign w:val="center"/>
          </w:tcPr>
          <w:p>
            <w:pPr>
              <w:rPr>
                <w:rFonts w:hint="eastAsia" w:ascii="宋体" w:hAnsi="宋体" w:cs="宋体"/>
                <w:sz w:val="22"/>
                <w:szCs w:val="22"/>
              </w:rPr>
            </w:pPr>
            <w:r>
              <w:rPr>
                <w:rFonts w:hint="eastAsia" w:ascii="宋体" w:hAnsi="宋体" w:cs="宋体"/>
                <w:sz w:val="22"/>
                <w:szCs w:val="22"/>
              </w:rPr>
              <w:t>13605772302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pStyle w:val="34"/>
              <w:spacing w:line="360" w:lineRule="auto"/>
              <w:ind w:firstLine="0" w:firstLineChars="0"/>
              <w:rPr>
                <w:rFonts w:hint="eastAsia" w:ascii="宋体" w:eastAsia="宋体" w:cs="宋体"/>
                <w:color w:val="000000"/>
                <w:kern w:val="0"/>
                <w:sz w:val="22"/>
                <w:szCs w:val="22"/>
              </w:rPr>
            </w:pPr>
            <w:r>
              <w:rPr>
                <w:rFonts w:hint="eastAsia" w:ascii="宋体" w:eastAsia="宋体" w:cs="宋体"/>
                <w:color w:val="000000"/>
                <w:kern w:val="0"/>
                <w:sz w:val="22"/>
                <w:szCs w:val="22"/>
              </w:rPr>
              <w:t>交通银行股份有限公司温州分行</w:t>
            </w:r>
          </w:p>
        </w:tc>
        <w:tc>
          <w:tcPr>
            <w:tcW w:w="4536" w:type="dxa"/>
            <w:noWrap w:val="0"/>
            <w:vAlign w:val="center"/>
          </w:tcPr>
          <w:p>
            <w:pPr>
              <w:autoSpaceDE w:val="0"/>
              <w:autoSpaceDN w:val="0"/>
              <w:adjustRightInd w:val="0"/>
              <w:jc w:val="left"/>
              <w:rPr>
                <w:rFonts w:hint="eastAsia" w:ascii="宋体" w:hAnsi="宋体" w:cs="宋体"/>
                <w:sz w:val="22"/>
                <w:szCs w:val="22"/>
              </w:rPr>
            </w:pPr>
            <w:r>
              <w:rPr>
                <w:rFonts w:hint="eastAsia" w:ascii="宋体" w:hAnsi="宋体" w:cs="宋体"/>
                <w:sz w:val="22"/>
                <w:szCs w:val="22"/>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992" w:type="dxa"/>
            <w:noWrap w:val="0"/>
            <w:vAlign w:val="center"/>
          </w:tcPr>
          <w:p>
            <w:pPr>
              <w:rPr>
                <w:rFonts w:hint="eastAsia" w:ascii="宋体" w:hAnsi="宋体" w:cs="宋体"/>
                <w:sz w:val="22"/>
                <w:szCs w:val="22"/>
              </w:rPr>
            </w:pPr>
          </w:p>
          <w:p>
            <w:pPr>
              <w:rPr>
                <w:rFonts w:hint="eastAsia" w:ascii="宋体" w:hAnsi="宋体" w:cs="宋体"/>
                <w:sz w:val="22"/>
                <w:szCs w:val="22"/>
              </w:rPr>
            </w:pPr>
            <w:r>
              <w:rPr>
                <w:rFonts w:hint="eastAsia" w:ascii="宋体" w:hAnsi="宋体" w:cs="宋体"/>
                <w:sz w:val="22"/>
                <w:szCs w:val="22"/>
              </w:rPr>
              <w:t>缪经理</w:t>
            </w:r>
          </w:p>
        </w:tc>
        <w:tc>
          <w:tcPr>
            <w:tcW w:w="2458" w:type="dxa"/>
            <w:noWrap w:val="0"/>
            <w:vAlign w:val="center"/>
          </w:tcPr>
          <w:p>
            <w:pPr>
              <w:rPr>
                <w:rFonts w:hint="eastAsia" w:ascii="宋体" w:hAnsi="宋体" w:cs="宋体"/>
                <w:sz w:val="22"/>
                <w:szCs w:val="22"/>
              </w:rPr>
            </w:pPr>
            <w:r>
              <w:rPr>
                <w:rFonts w:hint="eastAsia" w:ascii="宋体" w:hAnsi="宋体" w:cs="宋体"/>
                <w:sz w:val="22"/>
                <w:szCs w:val="22"/>
              </w:rPr>
              <w:t>0577-88248454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26" w:type="dxa"/>
            <w:noWrap w:val="0"/>
            <w:vAlign w:val="center"/>
          </w:tcPr>
          <w:p>
            <w:pPr>
              <w:pStyle w:val="34"/>
              <w:spacing w:line="360" w:lineRule="auto"/>
              <w:ind w:firstLine="0" w:firstLineChars="0"/>
              <w:rPr>
                <w:rFonts w:hint="eastAsia" w:ascii="宋体" w:eastAsia="宋体" w:cs="宋体"/>
                <w:color w:val="000000"/>
                <w:kern w:val="0"/>
                <w:sz w:val="22"/>
                <w:szCs w:val="22"/>
              </w:rPr>
            </w:pPr>
            <w:r>
              <w:rPr>
                <w:rFonts w:hint="eastAsia" w:ascii="宋体" w:eastAsia="宋体" w:cs="宋体"/>
                <w:color w:val="000000"/>
                <w:kern w:val="0"/>
                <w:sz w:val="22"/>
                <w:szCs w:val="22"/>
              </w:rPr>
              <w:t>上海浦东发展银行股份有限公司温州分行</w:t>
            </w:r>
          </w:p>
        </w:tc>
        <w:tc>
          <w:tcPr>
            <w:tcW w:w="4536" w:type="dxa"/>
            <w:noWrap w:val="0"/>
            <w:vAlign w:val="center"/>
          </w:tcPr>
          <w:p>
            <w:pPr>
              <w:jc w:val="left"/>
              <w:rPr>
                <w:rFonts w:hint="eastAsia" w:ascii="宋体" w:hAnsi="宋体" w:cs="宋体"/>
                <w:sz w:val="22"/>
                <w:szCs w:val="22"/>
              </w:rPr>
            </w:pPr>
            <w:r>
              <w:rPr>
                <w:rFonts w:hint="eastAsia" w:ascii="宋体" w:hAnsi="宋体" w:cs="宋体"/>
                <w:sz w:val="22"/>
                <w:szCs w:val="22"/>
              </w:rPr>
              <w:t>政采e贷：是浦发银行面向温州地区经营状况良好的小微企业政府采购项目供应商所提供的专属政府采购订单融资产品。产品特点：纯信用、免担保、门槛低、授信快、在线贷、秒放款</w:t>
            </w:r>
          </w:p>
          <w:p>
            <w:pPr>
              <w:shd w:val="clear" w:color="auto" w:fill="FFFFFF"/>
              <w:jc w:val="left"/>
              <w:rPr>
                <w:rFonts w:hint="eastAsia" w:ascii="宋体" w:hAnsi="宋体" w:cs="宋体"/>
                <w:sz w:val="22"/>
                <w:szCs w:val="22"/>
              </w:rPr>
            </w:pPr>
            <w:r>
              <w:rPr>
                <w:rFonts w:hint="eastAsia" w:ascii="宋体" w:hAnsi="宋体" w:cs="宋体"/>
                <w:sz w:val="22"/>
                <w:szCs w:val="22"/>
              </w:rPr>
              <w:t>所需材料：企业基础证件、相关中标文件（中标通知书 、采购合同等）、其他必要文件</w:t>
            </w:r>
          </w:p>
        </w:tc>
        <w:tc>
          <w:tcPr>
            <w:tcW w:w="992" w:type="dxa"/>
            <w:noWrap w:val="0"/>
            <w:vAlign w:val="center"/>
          </w:tcPr>
          <w:p>
            <w:pPr>
              <w:rPr>
                <w:rFonts w:hint="eastAsia" w:ascii="宋体" w:hAnsi="宋体" w:cs="宋体"/>
                <w:sz w:val="22"/>
                <w:szCs w:val="22"/>
              </w:rPr>
            </w:pPr>
          </w:p>
          <w:p>
            <w:pPr>
              <w:rPr>
                <w:rFonts w:hint="eastAsia" w:ascii="宋体" w:hAnsi="宋体" w:cs="宋体"/>
                <w:sz w:val="22"/>
                <w:szCs w:val="22"/>
              </w:rPr>
            </w:pPr>
          </w:p>
          <w:p>
            <w:pPr>
              <w:rPr>
                <w:rFonts w:hint="eastAsia" w:ascii="宋体" w:hAnsi="宋体" w:cs="宋体"/>
                <w:sz w:val="22"/>
                <w:szCs w:val="22"/>
              </w:rPr>
            </w:pPr>
            <w:r>
              <w:rPr>
                <w:rFonts w:hint="eastAsia" w:ascii="宋体" w:hAnsi="宋体" w:cs="宋体"/>
                <w:sz w:val="22"/>
                <w:szCs w:val="22"/>
              </w:rPr>
              <w:t>叶经理</w:t>
            </w:r>
          </w:p>
        </w:tc>
        <w:tc>
          <w:tcPr>
            <w:tcW w:w="2458" w:type="dxa"/>
            <w:noWrap w:val="0"/>
            <w:vAlign w:val="center"/>
          </w:tcPr>
          <w:p>
            <w:pPr>
              <w:jc w:val="left"/>
              <w:rPr>
                <w:rFonts w:hint="eastAsia" w:ascii="宋体" w:hAnsi="宋体" w:cs="宋体"/>
                <w:sz w:val="22"/>
                <w:szCs w:val="22"/>
              </w:rPr>
            </w:pPr>
            <w:r>
              <w:rPr>
                <w:rFonts w:hint="eastAsia" w:ascii="宋体" w:hAnsi="宋体" w:cs="宋体"/>
                <w:sz w:val="22"/>
                <w:szCs w:val="22"/>
              </w:rPr>
              <w:t>0577-55570829</w:t>
            </w:r>
          </w:p>
        </w:tc>
      </w:tr>
    </w:tbl>
    <w:p>
      <w:pPr>
        <w:pStyle w:val="16"/>
        <w:ind w:left="0"/>
        <w:rPr>
          <w:rFonts w:hint="eastAsia" w:ascii="宋体" w:hAnsi="宋体" w:cs="宋体"/>
          <w:sz w:val="24"/>
          <w:szCs w:val="24"/>
        </w:rPr>
      </w:pPr>
    </w:p>
    <w:p>
      <w:pPr>
        <w:rPr>
          <w:rFonts w:hint="eastAsia" w:ascii="宋体" w:hAnsi="宋体" w:cs="宋体"/>
          <w:sz w:val="24"/>
        </w:rPr>
      </w:pPr>
    </w:p>
    <w:p>
      <w:pPr>
        <w:pStyle w:val="11"/>
        <w:snapToGrid w:val="0"/>
        <w:spacing w:line="360" w:lineRule="exact"/>
        <w:ind w:firstLine="420" w:firstLineChars="200"/>
        <w:rPr>
          <w:rFonts w:hint="eastAsi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Light">
    <w:panose1 w:val="020B0502040204020203"/>
    <w:charset w:val="86"/>
    <w:family w:val="swiss"/>
    <w:pitch w:val="default"/>
    <w:sig w:usb0="80000287" w:usb1="2ACF001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separate"/>
    </w:r>
    <w:r>
      <w:rPr>
        <w:rStyle w:val="22"/>
      </w:rPr>
      <w:t>5</w: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separate"/>
    </w:r>
    <w:r>
      <w:rPr>
        <w:rStyle w:val="22"/>
      </w:rPr>
      <w:t>55</w:t>
    </w:r>
    <w: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separate"/>
    </w:r>
    <w:r>
      <w:rPr>
        <w:rStyle w:val="22"/>
      </w:rPr>
      <w:t>37</w:t>
    </w:r>
    <w:r>
      <w:fldChar w:fldCharType="end"/>
    </w: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t>1</w:t>
    </w:r>
    <w:r>
      <w:fldChar w:fldCharType="end"/>
    </w:r>
  </w:p>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mCZnt1gEAAKEDAAAOAAAAZHJzL2Uyb0RvYy54bWytU82O0zAQ&#10;viPxDpbvNE23hd2o6QpULUJCgLTwAK5jN5b8J4/bpC8Ab8CJC3eeq8/B2Em6q+WyBy7O2DPzzXzf&#10;TNa3vdHkKAIoZ2tazuaUCMtdo+y+pt++3r26pgQisw3TzoqangTQ283LF+vOV2LhWqcbEQiCWKg6&#10;X9M2Rl8VBfBWGAYz54VFp3TBsIjXsC+awDpEN7pYzOevi86FxgfHBQC+bgcnHRHDcwCdlIqLreMH&#10;I2wcUIPQLCIlaJUHusndSil4/CwliEh0TZFpzCcWQXuXzmKzZtU+MN8qPrbAntPCE06GKYtFL1Bb&#10;Fhk5BPUPlFE8OHAyzrgzxUAkK4IsyvkTbe5b5kXmglKDv4gO/w+Wfzp+CUQ1NV1QYpnBgZ9//jj/&#10;+nP+/Z0skjydhwqj7j3Gxf6d63FppnfAx8S6l8GkL/Ih6EdxTxdxRR8JT0nl8uZqRQlHV3lVLper&#10;hFI8JPsA8b1whiSjpgFnlyVlx48Qh9ApJNWy7k5pneenLekQdHX9ZpUzLi5E1xaLJA5Dr8mK/a4f&#10;ie1cc0JeHS5ATS3uOyX6g0V9065MRpiM3WQcfFD7Ni9TagX820PEdnKXqcIAOxbGyWWe45al1Xh8&#10;z1EPf9bm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AmCZnt1gEAAKEDAAAOAAAAAAAAAAEA&#10;IAAAACMBAABkcnMvZTJvRG9jLnhtbFBLBQYAAAAABgAGAFkBAABrBQ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57</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0dtzp1gEAAKEDAAAOAAAAZHJzL2Uyb0RvYy54bWytU82O0zAQ&#10;viPxDpbvNM1uC0vUdAWqFiEhQFp4ANdxGku2x/K4TfoC8AacuHDnufocjJ20i5bLHrg44/n5Zr7P&#10;k9XtYA07qIAaXM3L2Zwz5SQ02u1q/vXL3YsbzjAK1wgDTtX8qJDfrp8/W/W+UlfQgWlUYATisOp9&#10;zbsYfVUUKDtlBc7AK0fBFoIVka5hVzRB9IRuTXE1n78segiNDyAVInk3Y5BPiOEpgNC2WqoNyL1V&#10;Lo6oQRkRiRJ22iNf52nbVsn4qW1RRWZqTkxjPqkJ2dt0FuuVqHZB+E7LaQTxlBEecbJCO2p6gdqI&#10;KNg+6H+grJYBENo4k2CLkUhWhFiU80fa3HfCq8yFpEZ/ER3/H6z8ePgcmG5oEzhzwtKDn358P/38&#10;ffr1jZVJnt5jRVn3nvLi8BaGlDr5kZyJ9dAGm77Eh1GcxD1exFVDZDIVlYvX10vOJIXK63KxWCaU&#10;4qHYB4zvFFiWjJoHerssqTh8wDimnlNSLwd32hjyi8o41hPo8ubVMldcQoRuHDVJHMZZkxWH7TAR&#10;2EJzJF49LUDNHe07Z+a9I33TrpyNcDa2Z2Pvg951eZlSf/Rv9pHGyVOmDiPs1JheLvOctiytxt/3&#10;nPXwZ6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B0dtzp1gEAAKEDAAAOAAAAAAAAAAEA&#10;IAAAACMBAABkcnMvZTJvRG9jLnhtbFBLBQYAAAAABgAGAFkBAABrBQAAAAA=&#10;">
              <v:fill on="f" focussize="0,0"/>
              <v:stroke on="f" weight="1.25pt"/>
              <v:imagedata o:title=""/>
              <o:lock v:ext="edit"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separate"/>
    </w:r>
    <w:r>
      <w:rPr>
        <w:rStyle w:val="22"/>
      </w:rPr>
      <w:t>77</w: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right"/>
      <w:rPr>
        <w:sz w:val="21"/>
        <w:szCs w:val="21"/>
      </w:rPr>
    </w:pPr>
    <w:r>
      <w:rPr>
        <w:rFonts w:hint="eastAsia" w:ascii="宋体" w:hAnsi="宋体"/>
        <w:bCs/>
      </w:rPr>
      <w:t>平苍引水北山泵站二次扩容改造工程设备采购及安装项目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right"/>
    </w:pPr>
    <w:r>
      <w:rPr>
        <w:rFonts w:hint="eastAsia" w:ascii="宋体" w:hAnsi="宋体"/>
        <w:bCs/>
      </w:rPr>
      <w:t>平苍引水北山泵站二次扩容改造工程设备采购及安装项目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right"/>
    </w:pPr>
    <w:r>
      <w:rPr>
        <w:rFonts w:hint="eastAsia" w:ascii="宋体" w:hAnsi="宋体"/>
        <w:bCs/>
      </w:rPr>
      <w:t>平苍引水北山泵站二次扩容改造工程设备采购及安装项目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right"/>
    </w:pPr>
    <w:r>
      <w:rPr>
        <w:rFonts w:hint="eastAsia" w:ascii="宋体" w:hAnsi="宋体"/>
        <w:bCs/>
      </w:rPr>
      <w:t>平苍引水北山泵站二次扩容改造工程设备采购及安装项目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1">
    <w:nsid w:val="EEEC4592"/>
    <w:multiLevelType w:val="singleLevel"/>
    <w:tmpl w:val="EEEC4592"/>
    <w:lvl w:ilvl="0" w:tentative="0">
      <w:start w:val="3"/>
      <w:numFmt w:val="chineseCounting"/>
      <w:suff w:val="nothing"/>
      <w:lvlText w:val="%1、"/>
      <w:lvlJc w:val="left"/>
      <w:rPr>
        <w:rFonts w:hint="eastAsia"/>
      </w:rPr>
    </w:lvl>
  </w:abstractNum>
  <w:abstractNum w:abstractNumId="2">
    <w:nsid w:val="0000000C"/>
    <w:multiLevelType w:val="multilevel"/>
    <w:tmpl w:val="0000000C"/>
    <w:lvl w:ilvl="0" w:tentative="0">
      <w:start w:val="29"/>
      <w:numFmt w:val="decimal"/>
      <w:lvlText w:val="%1."/>
      <w:lvlJc w:val="left"/>
      <w:pPr>
        <w:ind w:left="630" w:hanging="63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3">
    <w:nsid w:val="0000000D"/>
    <w:multiLevelType w:val="multilevel"/>
    <w:tmpl w:val="0000000D"/>
    <w:lvl w:ilvl="0" w:tentative="0">
      <w:start w:val="31"/>
      <w:numFmt w:val="decimal"/>
      <w:lvlText w:val="%1."/>
      <w:lvlJc w:val="left"/>
      <w:pPr>
        <w:ind w:left="630" w:hanging="63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4">
    <w:nsid w:val="0000000E"/>
    <w:multiLevelType w:val="multilevel"/>
    <w:tmpl w:val="0000000E"/>
    <w:lvl w:ilvl="0" w:tentative="0">
      <w:start w:val="29"/>
      <w:numFmt w:val="decimal"/>
      <w:lvlText w:val="%1、"/>
      <w:lvlJc w:val="left"/>
      <w:pPr>
        <w:ind w:left="465" w:hanging="4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F"/>
    <w:multiLevelType w:val="multilevel"/>
    <w:tmpl w:val="0000000F"/>
    <w:lvl w:ilvl="0" w:tentative="0">
      <w:start w:val="1"/>
      <w:numFmt w:val="decimal"/>
      <w:lvlText w:val="(%1)"/>
      <w:lvlJc w:val="left"/>
      <w:pPr>
        <w:tabs>
          <w:tab w:val="left" w:pos="832"/>
        </w:tabs>
        <w:ind w:left="889" w:hanging="477"/>
      </w:pPr>
      <w:rPr>
        <w:rFonts w:hint="eastAsia"/>
        <w:b w:val="0"/>
      </w:rPr>
    </w:lvl>
    <w:lvl w:ilvl="1" w:tentative="0">
      <w:start w:val="1"/>
      <w:numFmt w:val="lowerLetter"/>
      <w:lvlText w:val="%2)"/>
      <w:lvlJc w:val="left"/>
      <w:pPr>
        <w:tabs>
          <w:tab w:val="left" w:pos="832"/>
        </w:tabs>
        <w:ind w:left="832" w:hanging="420"/>
      </w:pPr>
    </w:lvl>
    <w:lvl w:ilvl="2" w:tentative="0">
      <w:start w:val="1"/>
      <w:numFmt w:val="lowerRoman"/>
      <w:lvlText w:val="%3."/>
      <w:lvlJc w:val="right"/>
      <w:pPr>
        <w:tabs>
          <w:tab w:val="left" w:pos="1252"/>
        </w:tabs>
        <w:ind w:left="1252" w:hanging="420"/>
      </w:pPr>
    </w:lvl>
    <w:lvl w:ilvl="3" w:tentative="0">
      <w:start w:val="1"/>
      <w:numFmt w:val="decimal"/>
      <w:lvlText w:val="%4."/>
      <w:lvlJc w:val="left"/>
      <w:pPr>
        <w:tabs>
          <w:tab w:val="left" w:pos="1672"/>
        </w:tabs>
        <w:ind w:left="1672" w:hanging="420"/>
      </w:pPr>
    </w:lvl>
    <w:lvl w:ilvl="4" w:tentative="0">
      <w:start w:val="1"/>
      <w:numFmt w:val="lowerLetter"/>
      <w:lvlText w:val="%5)"/>
      <w:lvlJc w:val="left"/>
      <w:pPr>
        <w:tabs>
          <w:tab w:val="left" w:pos="2092"/>
        </w:tabs>
        <w:ind w:left="2092" w:hanging="420"/>
      </w:pPr>
    </w:lvl>
    <w:lvl w:ilvl="5" w:tentative="0">
      <w:start w:val="1"/>
      <w:numFmt w:val="lowerRoman"/>
      <w:lvlText w:val="%6."/>
      <w:lvlJc w:val="right"/>
      <w:pPr>
        <w:tabs>
          <w:tab w:val="left" w:pos="2512"/>
        </w:tabs>
        <w:ind w:left="2512" w:hanging="420"/>
      </w:pPr>
    </w:lvl>
    <w:lvl w:ilvl="6" w:tentative="0">
      <w:start w:val="1"/>
      <w:numFmt w:val="decimal"/>
      <w:lvlText w:val="%7."/>
      <w:lvlJc w:val="left"/>
      <w:pPr>
        <w:tabs>
          <w:tab w:val="left" w:pos="2932"/>
        </w:tabs>
        <w:ind w:left="2932" w:hanging="420"/>
      </w:pPr>
    </w:lvl>
    <w:lvl w:ilvl="7" w:tentative="0">
      <w:start w:val="1"/>
      <w:numFmt w:val="lowerLetter"/>
      <w:lvlText w:val="%8)"/>
      <w:lvlJc w:val="left"/>
      <w:pPr>
        <w:tabs>
          <w:tab w:val="left" w:pos="3352"/>
        </w:tabs>
        <w:ind w:left="3352" w:hanging="420"/>
      </w:pPr>
    </w:lvl>
    <w:lvl w:ilvl="8" w:tentative="0">
      <w:start w:val="1"/>
      <w:numFmt w:val="lowerRoman"/>
      <w:lvlText w:val="%9."/>
      <w:lvlJc w:val="right"/>
      <w:pPr>
        <w:tabs>
          <w:tab w:val="left" w:pos="3772"/>
        </w:tabs>
        <w:ind w:left="3772" w:hanging="420"/>
      </w:pPr>
    </w:lvl>
  </w:abstractNum>
  <w:abstractNum w:abstractNumId="6">
    <w:nsid w:val="00000015"/>
    <w:multiLevelType w:val="multilevel"/>
    <w:tmpl w:val="00000015"/>
    <w:lvl w:ilvl="0" w:tentative="0">
      <w:start w:val="29"/>
      <w:numFmt w:val="decimal"/>
      <w:lvlText w:val="%1."/>
      <w:lvlJc w:val="left"/>
      <w:pPr>
        <w:ind w:left="585" w:hanging="585"/>
      </w:pPr>
      <w:rPr>
        <w:rFonts w:hint="default" w:ascii="Times New Roman" w:hAnsi="Times New Roman" w:eastAsia="宋体"/>
      </w:rPr>
    </w:lvl>
    <w:lvl w:ilvl="1" w:tentative="0">
      <w:start w:val="3"/>
      <w:numFmt w:val="decimal"/>
      <w:lvlText w:val="%1.%2、"/>
      <w:lvlJc w:val="left"/>
      <w:pPr>
        <w:ind w:left="720" w:hanging="720"/>
      </w:pPr>
      <w:rPr>
        <w:rFonts w:hint="default" w:ascii="Times New Roman" w:hAnsi="Times New Roman" w:eastAsia="宋体"/>
      </w:rPr>
    </w:lvl>
    <w:lvl w:ilvl="2" w:tentative="0">
      <w:start w:val="1"/>
      <w:numFmt w:val="decimal"/>
      <w:lvlText w:val="%1.%2、%3."/>
      <w:lvlJc w:val="left"/>
      <w:pPr>
        <w:ind w:left="1080" w:hanging="1080"/>
      </w:pPr>
      <w:rPr>
        <w:rFonts w:hint="default" w:ascii="Times New Roman" w:hAnsi="Times New Roman" w:eastAsia="宋体"/>
      </w:rPr>
    </w:lvl>
    <w:lvl w:ilvl="3" w:tentative="0">
      <w:start w:val="1"/>
      <w:numFmt w:val="decimal"/>
      <w:lvlText w:val="%1.%2、%3.%4."/>
      <w:lvlJc w:val="left"/>
      <w:pPr>
        <w:ind w:left="1080" w:hanging="1080"/>
      </w:pPr>
      <w:rPr>
        <w:rFonts w:hint="default" w:ascii="Times New Roman" w:hAnsi="Times New Roman" w:eastAsia="宋体"/>
      </w:rPr>
    </w:lvl>
    <w:lvl w:ilvl="4" w:tentative="0">
      <w:start w:val="1"/>
      <w:numFmt w:val="decimal"/>
      <w:lvlText w:val="%1.%2、%3.%4.%5."/>
      <w:lvlJc w:val="left"/>
      <w:pPr>
        <w:ind w:left="1440" w:hanging="1440"/>
      </w:pPr>
      <w:rPr>
        <w:rFonts w:hint="default" w:ascii="Times New Roman" w:hAnsi="Times New Roman" w:eastAsia="宋体"/>
      </w:rPr>
    </w:lvl>
    <w:lvl w:ilvl="5" w:tentative="0">
      <w:start w:val="1"/>
      <w:numFmt w:val="decimal"/>
      <w:lvlText w:val="%1.%2、%3.%4.%5.%6."/>
      <w:lvlJc w:val="left"/>
      <w:pPr>
        <w:ind w:left="1440" w:hanging="1440"/>
      </w:pPr>
      <w:rPr>
        <w:rFonts w:hint="default" w:ascii="Times New Roman" w:hAnsi="Times New Roman" w:eastAsia="宋体"/>
      </w:rPr>
    </w:lvl>
    <w:lvl w:ilvl="6" w:tentative="0">
      <w:start w:val="1"/>
      <w:numFmt w:val="decimal"/>
      <w:lvlText w:val="%1.%2、%3.%4.%5.%6.%7."/>
      <w:lvlJc w:val="left"/>
      <w:pPr>
        <w:ind w:left="1800" w:hanging="1800"/>
      </w:pPr>
      <w:rPr>
        <w:rFonts w:hint="default" w:ascii="Times New Roman" w:hAnsi="Times New Roman" w:eastAsia="宋体"/>
      </w:rPr>
    </w:lvl>
    <w:lvl w:ilvl="7" w:tentative="0">
      <w:start w:val="1"/>
      <w:numFmt w:val="decimal"/>
      <w:lvlText w:val="%1.%2、%3.%4.%5.%6.%7.%8."/>
      <w:lvlJc w:val="left"/>
      <w:pPr>
        <w:ind w:left="1800" w:hanging="1800"/>
      </w:pPr>
      <w:rPr>
        <w:rFonts w:hint="default" w:ascii="Times New Roman" w:hAnsi="Times New Roman" w:eastAsia="宋体"/>
      </w:rPr>
    </w:lvl>
    <w:lvl w:ilvl="8" w:tentative="0">
      <w:start w:val="1"/>
      <w:numFmt w:val="decimal"/>
      <w:lvlText w:val="%1.%2、%3.%4.%5.%6.%7.%8.%9."/>
      <w:lvlJc w:val="left"/>
      <w:pPr>
        <w:ind w:left="2160" w:hanging="2160"/>
      </w:pPr>
      <w:rPr>
        <w:rFonts w:hint="default" w:ascii="Times New Roman" w:hAnsi="Times New Roman" w:eastAsia="宋体"/>
      </w:rPr>
    </w:lvl>
  </w:abstractNum>
  <w:abstractNum w:abstractNumId="7">
    <w:nsid w:val="00000016"/>
    <w:multiLevelType w:val="multilevel"/>
    <w:tmpl w:val="00000016"/>
    <w:lvl w:ilvl="0" w:tentative="0">
      <w:start w:val="1"/>
      <w:numFmt w:val="decimal"/>
      <w:lvlText w:val="%1."/>
      <w:lvlJc w:val="left"/>
      <w:pPr>
        <w:tabs>
          <w:tab w:val="left" w:pos="425"/>
        </w:tabs>
        <w:ind w:left="425" w:hanging="425"/>
      </w:pPr>
      <w:rPr>
        <w:rFonts w:hint="default"/>
        <w:b/>
        <w:i w:val="0"/>
        <w:sz w:val="24"/>
      </w:rPr>
    </w:lvl>
    <w:lvl w:ilvl="1" w:tentative="0">
      <w:start w:val="1"/>
      <w:numFmt w:val="decimal"/>
      <w:lvlText w:val="%1.%2."/>
      <w:lvlJc w:val="left"/>
      <w:pPr>
        <w:tabs>
          <w:tab w:val="left" w:pos="567"/>
        </w:tabs>
        <w:ind w:left="567" w:hanging="567"/>
      </w:pPr>
      <w:rPr>
        <w:rFonts w:hint="default"/>
        <w:b w:val="0"/>
        <w:i w:val="0"/>
        <w:color w:val="000000"/>
        <w:sz w:val="21"/>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0000017"/>
    <w:multiLevelType w:val="multilevel"/>
    <w:tmpl w:val="00000017"/>
    <w:lvl w:ilvl="0" w:tentative="0">
      <w:start w:val="28"/>
      <w:numFmt w:val="decimal"/>
      <w:lvlText w:val="%1."/>
      <w:lvlJc w:val="left"/>
      <w:pPr>
        <w:ind w:left="630" w:hanging="630"/>
      </w:pPr>
      <w:rPr>
        <w:rFonts w:hint="default" w:ascii="宋体" w:hAnsi="宋体" w:eastAsia="宋体"/>
      </w:rPr>
    </w:lvl>
    <w:lvl w:ilvl="1" w:tentative="0">
      <w:start w:val="2"/>
      <w:numFmt w:val="decimal"/>
      <w:lvlText w:val="%1.%2、"/>
      <w:lvlJc w:val="left"/>
      <w:pPr>
        <w:ind w:left="720" w:hanging="720"/>
      </w:pPr>
      <w:rPr>
        <w:rFonts w:hint="default" w:ascii="宋体" w:hAnsi="宋体" w:eastAsia="宋体"/>
      </w:rPr>
    </w:lvl>
    <w:lvl w:ilvl="2" w:tentative="0">
      <w:start w:val="1"/>
      <w:numFmt w:val="decimal"/>
      <w:lvlText w:val="%1.%2、%3."/>
      <w:lvlJc w:val="left"/>
      <w:pPr>
        <w:ind w:left="1080" w:hanging="1080"/>
      </w:pPr>
      <w:rPr>
        <w:rFonts w:hint="default" w:ascii="宋体" w:hAnsi="宋体" w:eastAsia="宋体"/>
      </w:rPr>
    </w:lvl>
    <w:lvl w:ilvl="3" w:tentative="0">
      <w:start w:val="1"/>
      <w:numFmt w:val="decimal"/>
      <w:lvlText w:val="%1.%2、%3.%4."/>
      <w:lvlJc w:val="left"/>
      <w:pPr>
        <w:ind w:left="1080" w:hanging="1080"/>
      </w:pPr>
      <w:rPr>
        <w:rFonts w:hint="default" w:ascii="宋体" w:hAnsi="宋体" w:eastAsia="宋体"/>
      </w:rPr>
    </w:lvl>
    <w:lvl w:ilvl="4" w:tentative="0">
      <w:start w:val="1"/>
      <w:numFmt w:val="decimal"/>
      <w:lvlText w:val="%1.%2、%3.%4.%5."/>
      <w:lvlJc w:val="left"/>
      <w:pPr>
        <w:ind w:left="1440" w:hanging="1440"/>
      </w:pPr>
      <w:rPr>
        <w:rFonts w:hint="default" w:ascii="宋体" w:hAnsi="宋体" w:eastAsia="宋体"/>
      </w:rPr>
    </w:lvl>
    <w:lvl w:ilvl="5" w:tentative="0">
      <w:start w:val="1"/>
      <w:numFmt w:val="decimal"/>
      <w:lvlText w:val="%1.%2、%3.%4.%5.%6."/>
      <w:lvlJc w:val="left"/>
      <w:pPr>
        <w:ind w:left="1440" w:hanging="1440"/>
      </w:pPr>
      <w:rPr>
        <w:rFonts w:hint="default" w:ascii="宋体" w:hAnsi="宋体" w:eastAsia="宋体"/>
      </w:rPr>
    </w:lvl>
    <w:lvl w:ilvl="6" w:tentative="0">
      <w:start w:val="1"/>
      <w:numFmt w:val="decimal"/>
      <w:lvlText w:val="%1.%2、%3.%4.%5.%6.%7."/>
      <w:lvlJc w:val="left"/>
      <w:pPr>
        <w:ind w:left="1800" w:hanging="1800"/>
      </w:pPr>
      <w:rPr>
        <w:rFonts w:hint="default" w:ascii="宋体" w:hAnsi="宋体" w:eastAsia="宋体"/>
      </w:rPr>
    </w:lvl>
    <w:lvl w:ilvl="7" w:tentative="0">
      <w:start w:val="1"/>
      <w:numFmt w:val="decimal"/>
      <w:lvlText w:val="%1.%2、%3.%4.%5.%6.%7.%8."/>
      <w:lvlJc w:val="left"/>
      <w:pPr>
        <w:ind w:left="1800" w:hanging="1800"/>
      </w:pPr>
      <w:rPr>
        <w:rFonts w:hint="default" w:ascii="宋体" w:hAnsi="宋体" w:eastAsia="宋体"/>
      </w:rPr>
    </w:lvl>
    <w:lvl w:ilvl="8" w:tentative="0">
      <w:start w:val="1"/>
      <w:numFmt w:val="decimal"/>
      <w:lvlText w:val="%1.%2、%3.%4.%5.%6.%7.%8.%9."/>
      <w:lvlJc w:val="left"/>
      <w:pPr>
        <w:ind w:left="2160" w:hanging="2160"/>
      </w:pPr>
      <w:rPr>
        <w:rFonts w:hint="default" w:ascii="宋体" w:hAnsi="宋体" w:eastAsia="宋体"/>
      </w:rPr>
    </w:lvl>
  </w:abstractNum>
  <w:abstractNum w:abstractNumId="9">
    <w:nsid w:val="00000018"/>
    <w:multiLevelType w:val="multilevel"/>
    <w:tmpl w:val="00000018"/>
    <w:lvl w:ilvl="0" w:tentative="0">
      <w:start w:val="1"/>
      <w:numFmt w:val="japaneseCounting"/>
      <w:lvlText w:val="第%1章"/>
      <w:lvlJc w:val="left"/>
      <w:pPr>
        <w:tabs>
          <w:tab w:val="left" w:pos="840"/>
        </w:tabs>
        <w:ind w:left="840" w:hanging="8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2F"/>
    <w:multiLevelType w:val="singleLevel"/>
    <w:tmpl w:val="0000002F"/>
    <w:lvl w:ilvl="0" w:tentative="0">
      <w:start w:val="1"/>
      <w:numFmt w:val="decimal"/>
      <w:lvlText w:val="1.%1"/>
      <w:lvlJc w:val="left"/>
      <w:pPr>
        <w:ind w:left="420" w:hanging="420"/>
      </w:pPr>
      <w:rPr>
        <w:rFonts w:hint="default"/>
      </w:rPr>
    </w:lvl>
  </w:abstractNum>
  <w:abstractNum w:abstractNumId="11">
    <w:nsid w:val="00000035"/>
    <w:multiLevelType w:val="multilevel"/>
    <w:tmpl w:val="00000035"/>
    <w:lvl w:ilvl="0" w:tentative="0">
      <w:start w:val="1"/>
      <w:numFmt w:val="decimal"/>
      <w:lvlText w:val="1.1.4.%1"/>
      <w:lvlJc w:val="left"/>
      <w:pPr>
        <w:tabs>
          <w:tab w:val="left" w:pos="425"/>
        </w:tabs>
        <w:ind w:left="425" w:hanging="425"/>
      </w:pPr>
      <w:rPr>
        <w:rFonts w:hint="default" w:ascii="宋体" w:hAnsi="宋体" w:eastAsia="宋体"/>
        <w:b w:val="0"/>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12">
    <w:nsid w:val="00000038"/>
    <w:multiLevelType w:val="singleLevel"/>
    <w:tmpl w:val="00000038"/>
    <w:lvl w:ilvl="0" w:tentative="0">
      <w:start w:val="1"/>
      <w:numFmt w:val="decimal"/>
      <w:lvlText w:val="2.1.%1"/>
      <w:lvlJc w:val="left"/>
      <w:pPr>
        <w:tabs>
          <w:tab w:val="left" w:pos="425"/>
        </w:tabs>
        <w:ind w:left="425" w:hanging="425"/>
      </w:pPr>
      <w:rPr>
        <w:rFonts w:hint="default"/>
      </w:rPr>
    </w:lvl>
  </w:abstractNum>
  <w:abstractNum w:abstractNumId="13">
    <w:nsid w:val="00000039"/>
    <w:multiLevelType w:val="multilevel"/>
    <w:tmpl w:val="00000039"/>
    <w:lvl w:ilvl="0" w:tentative="0">
      <w:start w:val="1"/>
      <w:numFmt w:val="bullet"/>
      <w:lvlText w:val=""/>
      <w:lvlJc w:val="left"/>
      <w:pPr>
        <w:tabs>
          <w:tab w:val="left" w:pos="780"/>
        </w:tabs>
        <w:ind w:left="647" w:hanging="227"/>
      </w:pPr>
      <w:rPr>
        <w:rFonts w:hint="default" w:ascii="Symbol" w:hAnsi="Symbo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upperLetter"/>
      <w:lvlText w:val="%3."/>
      <w:lvlJc w:val="left"/>
      <w:pPr>
        <w:tabs>
          <w:tab w:val="left" w:pos="1260"/>
        </w:tabs>
        <w:ind w:left="1260" w:hanging="420"/>
      </w:p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00000040"/>
    <w:multiLevelType w:val="singleLevel"/>
    <w:tmpl w:val="00000040"/>
    <w:lvl w:ilvl="0" w:tentative="0">
      <w:start w:val="1"/>
      <w:numFmt w:val="upperLetter"/>
      <w:lvlText w:val="%1."/>
      <w:lvlJc w:val="left"/>
      <w:pPr>
        <w:tabs>
          <w:tab w:val="left" w:pos="425"/>
        </w:tabs>
        <w:ind w:left="425" w:hanging="425"/>
      </w:pPr>
      <w:rPr>
        <w:rFonts w:hint="default"/>
      </w:rPr>
    </w:lvl>
  </w:abstractNum>
  <w:abstractNum w:abstractNumId="15">
    <w:nsid w:val="0053208E"/>
    <w:multiLevelType w:val="singleLevel"/>
    <w:tmpl w:val="0053208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16">
    <w:nsid w:val="06B46F22"/>
    <w:multiLevelType w:val="singleLevel"/>
    <w:tmpl w:val="06B46F22"/>
    <w:lvl w:ilvl="0" w:tentative="0">
      <w:start w:val="4"/>
      <w:numFmt w:val="chineseCounting"/>
      <w:suff w:val="nothing"/>
      <w:lvlText w:val="%1、"/>
      <w:lvlJc w:val="left"/>
      <w:rPr>
        <w:rFonts w:hint="eastAsia"/>
      </w:rPr>
    </w:lvl>
  </w:abstractNum>
  <w:abstractNum w:abstractNumId="17">
    <w:nsid w:val="76FB3B3F"/>
    <w:multiLevelType w:val="singleLevel"/>
    <w:tmpl w:val="76FB3B3F"/>
    <w:lvl w:ilvl="0" w:tentative="0">
      <w:start w:val="2"/>
      <w:numFmt w:val="decimal"/>
      <w:suff w:val="nothing"/>
      <w:lvlText w:val="%1、"/>
      <w:lvlJc w:val="left"/>
    </w:lvl>
  </w:abstractNum>
  <w:num w:numId="1">
    <w:abstractNumId w:val="9"/>
  </w:num>
  <w:num w:numId="2">
    <w:abstractNumId w:val="17"/>
  </w:num>
  <w:num w:numId="3">
    <w:abstractNumId w:val="7"/>
  </w:num>
  <w:num w:numId="4">
    <w:abstractNumId w:val="5"/>
  </w:num>
  <w:num w:numId="5">
    <w:abstractNumId w:val="8"/>
  </w:num>
  <w:num w:numId="6">
    <w:abstractNumId w:val="4"/>
  </w:num>
  <w:num w:numId="7">
    <w:abstractNumId w:val="2"/>
  </w:num>
  <w:num w:numId="8">
    <w:abstractNumId w:val="6"/>
  </w:num>
  <w:num w:numId="9">
    <w:abstractNumId w:val="3"/>
  </w:num>
  <w:num w:numId="10">
    <w:abstractNumId w:val="1"/>
  </w:num>
  <w:num w:numId="11">
    <w:abstractNumId w:val="16"/>
  </w:num>
  <w:num w:numId="12">
    <w:abstractNumId w:val="10"/>
  </w:num>
  <w:num w:numId="13">
    <w:abstractNumId w:val="11"/>
  </w:num>
  <w:num w:numId="14">
    <w:abstractNumId w:val="12"/>
  </w:num>
  <w:num w:numId="15">
    <w:abstractNumId w:val="14"/>
  </w:num>
  <w:num w:numId="16">
    <w:abstractNumId w:val="13"/>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9A75B1"/>
    <w:rsid w:val="0BC248FF"/>
    <w:rsid w:val="0EE803FE"/>
    <w:rsid w:val="0F757475"/>
    <w:rsid w:val="11BF4CDB"/>
    <w:rsid w:val="1A5006E0"/>
    <w:rsid w:val="1C4C17AF"/>
    <w:rsid w:val="1D8A791A"/>
    <w:rsid w:val="1FC51078"/>
    <w:rsid w:val="264F7713"/>
    <w:rsid w:val="277C367C"/>
    <w:rsid w:val="290733EB"/>
    <w:rsid w:val="2B423180"/>
    <w:rsid w:val="2B965379"/>
    <w:rsid w:val="30F20117"/>
    <w:rsid w:val="31E80C56"/>
    <w:rsid w:val="35F1512D"/>
    <w:rsid w:val="37BA41E4"/>
    <w:rsid w:val="381670CD"/>
    <w:rsid w:val="387435E4"/>
    <w:rsid w:val="3A59747E"/>
    <w:rsid w:val="3C4658A4"/>
    <w:rsid w:val="42591730"/>
    <w:rsid w:val="436F74A8"/>
    <w:rsid w:val="44BA6EB0"/>
    <w:rsid w:val="456638EE"/>
    <w:rsid w:val="47B63A11"/>
    <w:rsid w:val="4A7115A2"/>
    <w:rsid w:val="4BEC1F27"/>
    <w:rsid w:val="509A5A24"/>
    <w:rsid w:val="51AB653E"/>
    <w:rsid w:val="5A2A5B43"/>
    <w:rsid w:val="5BE9750A"/>
    <w:rsid w:val="67823C53"/>
    <w:rsid w:val="6A031AB6"/>
    <w:rsid w:val="70D1569D"/>
    <w:rsid w:val="729A75B1"/>
    <w:rsid w:val="72ED5D56"/>
    <w:rsid w:val="738432FE"/>
    <w:rsid w:val="78B326EB"/>
    <w:rsid w:val="7E557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6">
    <w:name w:val="heading 4"/>
    <w:basedOn w:val="1"/>
    <w:next w:val="7"/>
    <w:qFormat/>
    <w:uiPriority w:val="0"/>
    <w:pPr>
      <w:autoSpaceDE w:val="0"/>
      <w:autoSpaceDN w:val="0"/>
      <w:adjustRightInd w:val="0"/>
      <w:snapToGrid w:val="0"/>
      <w:spacing w:line="360" w:lineRule="auto"/>
      <w:outlineLvl w:val="3"/>
    </w:pPr>
    <w:rPr>
      <w:rFonts w:ascii="宋体" w:hAnsi="Arial"/>
      <w:snapToGrid w:val="0"/>
      <w:color w:val="000000"/>
      <w:kern w:val="0"/>
      <w:szCs w:val="20"/>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无间距1"/>
    <w:qFormat/>
    <w:uiPriority w:val="1"/>
    <w:pPr>
      <w:widowControl w:val="0"/>
      <w:jc w:val="both"/>
    </w:pPr>
    <w:rPr>
      <w:rFonts w:ascii="Times New Roman" w:hAnsi="Times New Roman" w:eastAsia="微软雅黑 Light" w:cs="Times New Roman"/>
      <w:kern w:val="2"/>
      <w:sz w:val="24"/>
      <w:szCs w:val="22"/>
      <w:lang w:val="en-US" w:eastAsia="zh-CN" w:bidi="ar-SA"/>
    </w:rPr>
  </w:style>
  <w:style w:type="paragraph" w:styleId="7">
    <w:name w:val="Normal Indent"/>
    <w:basedOn w:val="1"/>
    <w:qFormat/>
    <w:uiPriority w:val="0"/>
    <w:pPr>
      <w:spacing w:line="460" w:lineRule="exact"/>
      <w:ind w:firstLine="420"/>
    </w:pPr>
    <w:rPr>
      <w:spacing w:val="14"/>
      <w:kern w:val="24"/>
      <w:sz w:val="24"/>
      <w:szCs w:val="20"/>
    </w:rPr>
  </w:style>
  <w:style w:type="paragraph" w:styleId="8">
    <w:name w:val="toa heading"/>
    <w:basedOn w:val="1"/>
    <w:next w:val="1"/>
    <w:qFormat/>
    <w:uiPriority w:val="0"/>
    <w:pPr>
      <w:spacing w:before="120" w:beforeLines="0"/>
    </w:pPr>
    <w:rPr>
      <w:rFonts w:ascii="Arial" w:hAnsi="Arial" w:eastAsia="仿宋_GB2312" w:cs="Arial"/>
      <w:b/>
      <w:bCs/>
      <w:color w:val="000000"/>
      <w:kern w:val="0"/>
      <w:sz w:val="24"/>
      <w:szCs w:val="21"/>
    </w:rPr>
  </w:style>
  <w:style w:type="paragraph" w:styleId="9">
    <w:name w:val="annotation text"/>
    <w:basedOn w:val="1"/>
    <w:qFormat/>
    <w:uiPriority w:val="0"/>
    <w:pPr>
      <w:jc w:val="left"/>
    </w:pPr>
    <w:rPr>
      <w:rFonts w:ascii="Calibri" w:hAnsi="Calibri"/>
    </w:rPr>
  </w:style>
  <w:style w:type="paragraph" w:styleId="10">
    <w:name w:val="Body Text"/>
    <w:basedOn w:val="1"/>
    <w:qFormat/>
    <w:uiPriority w:val="0"/>
    <w:pPr>
      <w:spacing w:line="360" w:lineRule="auto"/>
    </w:pPr>
    <w:rPr>
      <w:rFonts w:ascii="楷体_GB2312" w:eastAsia="楷体_GB2312"/>
      <w:sz w:val="32"/>
      <w:szCs w:val="20"/>
    </w:rPr>
  </w:style>
  <w:style w:type="paragraph" w:styleId="11">
    <w:name w:val="Plain Text"/>
    <w:basedOn w:val="1"/>
    <w:next w:val="12"/>
    <w:qFormat/>
    <w:uiPriority w:val="0"/>
    <w:rPr>
      <w:rFonts w:ascii="宋体" w:hAnsi="Courier New"/>
      <w:szCs w:val="20"/>
    </w:rPr>
  </w:style>
  <w:style w:type="paragraph" w:styleId="12">
    <w:name w:val="toc 2"/>
    <w:basedOn w:val="1"/>
    <w:next w:val="1"/>
    <w:qFormat/>
    <w:uiPriority w:val="0"/>
    <w:pPr>
      <w:ind w:left="420" w:leftChars="200"/>
    </w:pPr>
    <w:rPr>
      <w:rFonts w:ascii="Calibri" w:hAnsi="Calibri"/>
      <w:szCs w:val="22"/>
    </w:rPr>
  </w:style>
  <w:style w:type="paragraph" w:styleId="13">
    <w:name w:val="Body Text Indent 2"/>
    <w:basedOn w:val="1"/>
    <w:qFormat/>
    <w:uiPriority w:val="0"/>
    <w:pPr>
      <w:spacing w:after="120" w:afterLines="0" w:line="480" w:lineRule="auto"/>
      <w:ind w:left="420" w:leftChars="200"/>
    </w:p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6"/>
    <w:basedOn w:val="1"/>
    <w:next w:val="1"/>
    <w:qFormat/>
    <w:uiPriority w:val="0"/>
    <w:pPr>
      <w:ind w:left="1050"/>
      <w:jc w:val="left"/>
    </w:pPr>
    <w:rPr>
      <w:rFonts w:ascii="Century Gothic" w:hAnsi="Century Gothic"/>
      <w:sz w:val="18"/>
      <w:szCs w:val="18"/>
    </w:rPr>
  </w:style>
  <w:style w:type="paragraph" w:styleId="17">
    <w:name w:val="Normal (Web)"/>
    <w:basedOn w:val="1"/>
    <w:qFormat/>
    <w:uiPriority w:val="0"/>
    <w:pPr>
      <w:widowControl/>
      <w:spacing w:before="100" w:beforeLines="0" w:beforeAutospacing="1" w:after="100" w:afterLines="0" w:afterAutospacing="1"/>
      <w:jc w:val="left"/>
    </w:pPr>
    <w:rPr>
      <w:rFonts w:ascii="Arial Unicode MS" w:hAnsi="Arial Unicode MS" w:eastAsia="Times New Roman"/>
      <w:color w:val="000000"/>
      <w:kern w:val="0"/>
      <w:sz w:val="24"/>
    </w:rPr>
  </w:style>
  <w:style w:type="paragraph" w:styleId="18">
    <w:name w:val="Body Text First Indent"/>
    <w:basedOn w:val="10"/>
    <w:next w:val="16"/>
    <w:qFormat/>
    <w:uiPriority w:val="0"/>
    <w:pPr>
      <w:tabs>
        <w:tab w:val="left" w:pos="9360"/>
      </w:tabs>
      <w:adjustRightInd/>
      <w:ind w:firstLine="420" w:firstLineChars="100"/>
      <w:textAlignment w:val="auto"/>
    </w:pPr>
    <w:rPr>
      <w:kern w:val="2"/>
      <w:sz w:val="21"/>
      <w:szCs w:val="24"/>
    </w:rPr>
  </w:style>
  <w:style w:type="character" w:styleId="21">
    <w:name w:val="Strong"/>
    <w:qFormat/>
    <w:uiPriority w:val="0"/>
    <w:rPr>
      <w:b/>
      <w:bCs/>
    </w:rPr>
  </w:style>
  <w:style w:type="character" w:styleId="22">
    <w:name w:val="page number"/>
    <w:qFormat/>
    <w:uiPriority w:val="0"/>
  </w:style>
  <w:style w:type="character" w:styleId="23">
    <w:name w:val="annotation reference"/>
    <w:qFormat/>
    <w:uiPriority w:val="0"/>
    <w:rPr>
      <w:sz w:val="21"/>
      <w:szCs w:val="21"/>
    </w:rPr>
  </w:style>
  <w:style w:type="paragraph" w:customStyle="1" w:styleId="24">
    <w:name w:val="p0"/>
    <w:basedOn w:val="1"/>
    <w:qFormat/>
    <w:uiPriority w:val="0"/>
    <w:pPr>
      <w:widowControl/>
    </w:pPr>
    <w:rPr>
      <w:kern w:val="0"/>
      <w:szCs w:val="21"/>
    </w:rPr>
  </w:style>
  <w:style w:type="paragraph" w:customStyle="1" w:styleId="25">
    <w:name w:val="font6"/>
    <w:basedOn w:val="1"/>
    <w:qFormat/>
    <w:uiPriority w:val="0"/>
    <w:pPr>
      <w:widowControl/>
      <w:spacing w:before="100" w:beforeLines="0" w:beforeAutospacing="1" w:after="100" w:afterLines="0" w:afterAutospacing="1"/>
      <w:jc w:val="left"/>
    </w:pPr>
    <w:rPr>
      <w:rFonts w:eastAsia="Arial Unicode MS"/>
      <w:kern w:val="0"/>
      <w:szCs w:val="21"/>
      <w:lang w:eastAsia="en-US"/>
    </w:rPr>
  </w:style>
  <w:style w:type="paragraph" w:customStyle="1" w:styleId="26">
    <w:name w:val="保留正文"/>
    <w:basedOn w:val="10"/>
    <w:qFormat/>
    <w:uiPriority w:val="0"/>
    <w:pPr>
      <w:keepNext/>
      <w:spacing w:after="160" w:afterLines="0" w:line="240" w:lineRule="auto"/>
    </w:pPr>
    <w:rPr>
      <w:rFonts w:ascii="Times New Roman" w:eastAsia="宋体"/>
      <w:sz w:val="21"/>
      <w:szCs w:val="24"/>
    </w:rPr>
  </w:style>
  <w:style w:type="paragraph" w:customStyle="1" w:styleId="27">
    <w:name w:val="Heading #2|1"/>
    <w:basedOn w:val="1"/>
    <w:qFormat/>
    <w:uiPriority w:val="0"/>
    <w:pPr>
      <w:widowControl w:val="0"/>
      <w:shd w:val="clear" w:color="auto" w:fill="auto"/>
      <w:spacing w:after="720" w:line="648" w:lineRule="exact"/>
      <w:ind w:firstLine="310"/>
      <w:jc w:val="center"/>
      <w:outlineLvl w:val="1"/>
    </w:pPr>
    <w:rPr>
      <w:rFonts w:ascii="宋体" w:hAnsi="宋体" w:eastAsia="宋体" w:cs="宋体"/>
      <w:sz w:val="42"/>
      <w:szCs w:val="42"/>
      <w:u w:val="none"/>
      <w:shd w:val="clear" w:color="auto" w:fill="auto"/>
      <w:lang w:val="zh-TW" w:eastAsia="zh-TW" w:bidi="zh-TW"/>
    </w:rPr>
  </w:style>
  <w:style w:type="paragraph" w:customStyle="1" w:styleId="28">
    <w:name w:val="Body text|1"/>
    <w:basedOn w:val="1"/>
    <w:qFormat/>
    <w:uiPriority w:val="0"/>
    <w:pPr>
      <w:widowControl w:val="0"/>
      <w:shd w:val="clear" w:color="auto" w:fill="auto"/>
      <w:spacing w:line="434" w:lineRule="auto"/>
      <w:ind w:firstLine="400"/>
    </w:pPr>
    <w:rPr>
      <w:rFonts w:ascii="宋体" w:hAnsi="宋体" w:eastAsia="宋体" w:cs="宋体"/>
      <w:sz w:val="30"/>
      <w:szCs w:val="30"/>
      <w:u w:val="none"/>
      <w:shd w:val="clear" w:color="auto" w:fill="auto"/>
      <w:lang w:val="zh-TW" w:eastAsia="zh-TW" w:bidi="zh-TW"/>
    </w:rPr>
  </w:style>
  <w:style w:type="paragraph" w:customStyle="1" w:styleId="29">
    <w:name w:val="Body text|3"/>
    <w:basedOn w:val="1"/>
    <w:qFormat/>
    <w:uiPriority w:val="0"/>
    <w:pPr>
      <w:widowControl w:val="0"/>
      <w:shd w:val="clear" w:color="auto" w:fill="auto"/>
      <w:spacing w:after="60"/>
      <w:ind w:left="1510"/>
    </w:pPr>
    <w:rPr>
      <w:rFonts w:ascii="宋体" w:hAnsi="宋体" w:eastAsia="宋体" w:cs="宋体"/>
      <w:sz w:val="26"/>
      <w:szCs w:val="26"/>
      <w:u w:val="none"/>
      <w:shd w:val="clear" w:color="auto" w:fill="auto"/>
      <w:lang w:val="zh-TW" w:eastAsia="zh-TW" w:bidi="zh-TW"/>
    </w:rPr>
  </w:style>
  <w:style w:type="paragraph" w:customStyle="1" w:styleId="30">
    <w:name w:val="Body text|5"/>
    <w:basedOn w:val="1"/>
    <w:qFormat/>
    <w:uiPriority w:val="0"/>
    <w:pPr>
      <w:widowControl w:val="0"/>
      <w:shd w:val="clear" w:color="auto" w:fill="auto"/>
      <w:ind w:hanging="1640"/>
    </w:pPr>
    <w:rPr>
      <w:rFonts w:ascii="宋体" w:hAnsi="宋体" w:eastAsia="宋体" w:cs="宋体"/>
      <w:sz w:val="22"/>
      <w:szCs w:val="22"/>
      <w:u w:val="single"/>
      <w:shd w:val="clear" w:color="auto" w:fill="auto"/>
      <w:lang w:val="zh-CN"/>
    </w:rPr>
  </w:style>
  <w:style w:type="paragraph" w:customStyle="1" w:styleId="31">
    <w:name w:val="表格文字"/>
    <w:basedOn w:val="1"/>
    <w:next w:val="10"/>
    <w:qFormat/>
    <w:uiPriority w:val="0"/>
    <w:pPr>
      <w:jc w:val="left"/>
      <w:textAlignment w:val="top"/>
    </w:pPr>
    <w:rPr>
      <w:sz w:val="18"/>
    </w:rPr>
  </w:style>
  <w:style w:type="character" w:customStyle="1" w:styleId="32">
    <w:name w:val="unnamed51"/>
    <w:qFormat/>
    <w:uiPriority w:val="0"/>
    <w:rPr>
      <w:sz w:val="22"/>
      <w:szCs w:val="22"/>
    </w:rPr>
  </w:style>
  <w:style w:type="paragraph" w:customStyle="1" w:styleId="33">
    <w:name w:val="xl77"/>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b/>
      <w:bCs/>
      <w:kern w:val="0"/>
      <w:sz w:val="28"/>
      <w:szCs w:val="28"/>
    </w:rPr>
  </w:style>
  <w:style w:type="paragraph" w:customStyle="1" w:styleId="34">
    <w:name w:val="l正文"/>
    <w:basedOn w:val="1"/>
    <w:qFormat/>
    <w:uiPriority w:val="0"/>
    <w:pPr>
      <w:spacing w:line="300" w:lineRule="auto"/>
      <w:ind w:firstLine="200" w:firstLineChars="200"/>
      <w:jc w:val="left"/>
    </w:pPr>
    <w:rPr>
      <w:rFonts w:ascii="Arial" w:hAnsi="宋体" w:eastAsia="Arial" w:cs="幼圆"/>
      <w:color w:val="auto"/>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2021-05-17T15:18:00Z</dcterms:created>
  <dc:creator>xuyn</dc:creator>
  <cp:lastModifiedBy>微光</cp:lastModifiedBy>
  <dcterms:modified xsi:type="dcterms:W3CDTF">2021-07-21T08:16:08Z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A51750D092BA4950A18CD0DB58CD3424</vt:lpwstr>
  </property>
</Properties>
</file>