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Courier New"/>
          <w:bCs/>
          <w:sz w:val="72"/>
          <w:szCs w:val="72"/>
        </w:rPr>
      </w:pPr>
      <w:r>
        <w:rPr>
          <w:rFonts w:hint="eastAsia" w:ascii="宋体" w:hAnsi="宋体" w:cs="Courier New"/>
          <w:b/>
          <w:bCs/>
          <w:spacing w:val="120"/>
          <w:sz w:val="72"/>
          <w:szCs w:val="72"/>
        </w:rPr>
        <w:t>瑞安市国有企业采购</w:t>
      </w:r>
    </w:p>
    <w:p>
      <w:pPr>
        <w:spacing w:line="400" w:lineRule="atLeast"/>
        <w:jc w:val="center"/>
        <w:rPr>
          <w:rFonts w:ascii="宋体" w:hAnsi="宋体" w:cs="Courier New"/>
          <w:b/>
          <w:sz w:val="52"/>
        </w:rPr>
      </w:pPr>
    </w:p>
    <w:p>
      <w:pPr>
        <w:spacing w:line="400" w:lineRule="atLeast"/>
        <w:jc w:val="center"/>
        <w:rPr>
          <w:rFonts w:ascii="宋体" w:hAnsi="宋体" w:cs="Courier New"/>
          <w:b/>
          <w:sz w:val="52"/>
        </w:rPr>
      </w:pPr>
    </w:p>
    <w:p>
      <w:pPr>
        <w:spacing w:line="400" w:lineRule="atLeast"/>
        <w:rPr>
          <w:rFonts w:ascii="宋体" w:hAnsi="宋体" w:cs="Courier New"/>
          <w:b/>
          <w:sz w:val="52"/>
        </w:rPr>
      </w:pPr>
    </w:p>
    <w:p>
      <w:pPr>
        <w:autoSpaceDE w:val="0"/>
        <w:autoSpaceDN w:val="0"/>
        <w:spacing w:line="500" w:lineRule="atLeast"/>
        <w:jc w:val="center"/>
        <w:textAlignment w:val="bottom"/>
        <w:rPr>
          <w:rFonts w:ascii="宋体" w:hAnsi="宋体" w:cs="Courier New"/>
          <w:b/>
          <w:sz w:val="72"/>
          <w:szCs w:val="72"/>
        </w:rPr>
      </w:pPr>
      <w:r>
        <w:rPr>
          <w:rFonts w:hint="eastAsia" w:ascii="宋体" w:hAnsi="宋体" w:cs="Courier New"/>
          <w:b/>
          <w:bCs/>
          <w:sz w:val="72"/>
          <w:szCs w:val="72"/>
        </w:rPr>
        <w:t>招  标  文  件</w:t>
      </w:r>
    </w:p>
    <w:p>
      <w:pPr>
        <w:spacing w:line="360" w:lineRule="auto"/>
        <w:rPr>
          <w:rFonts w:ascii="Arial" w:hAnsi="Arial" w:cs="Arial"/>
          <w:sz w:val="28"/>
        </w:rPr>
      </w:pPr>
    </w:p>
    <w:p>
      <w:pPr>
        <w:spacing w:line="360" w:lineRule="auto"/>
        <w:rPr>
          <w:rFonts w:ascii="Arial" w:hAnsi="Arial" w:cs="Arial"/>
          <w:sz w:val="30"/>
        </w:rPr>
      </w:pPr>
    </w:p>
    <w:p>
      <w:pPr>
        <w:spacing w:line="360" w:lineRule="auto"/>
        <w:ind w:firstLine="1500" w:firstLineChars="500"/>
        <w:rPr>
          <w:rFonts w:ascii="Arial" w:hAnsi="Arial" w:cs="Arial"/>
          <w:sz w:val="30"/>
        </w:rPr>
      </w:pPr>
    </w:p>
    <w:p>
      <w:pPr>
        <w:autoSpaceDE w:val="0"/>
        <w:autoSpaceDN w:val="0"/>
        <w:spacing w:line="360" w:lineRule="auto"/>
        <w:ind w:left="3259" w:leftChars="599" w:right="754" w:rightChars="359" w:hanging="2001" w:hangingChars="623"/>
        <w:textAlignment w:val="bottom"/>
        <w:rPr>
          <w:rFonts w:ascii="Arial" w:hAnsi="宋体" w:cs="Arial"/>
          <w:b/>
          <w:sz w:val="32"/>
          <w:szCs w:val="32"/>
        </w:rPr>
      </w:pPr>
      <w:r>
        <w:rPr>
          <w:rFonts w:ascii="Arial" w:hAnsi="宋体" w:cs="Arial"/>
          <w:b/>
          <w:sz w:val="32"/>
          <w:szCs w:val="32"/>
        </w:rPr>
        <w:t>招</w:t>
      </w:r>
      <w:r>
        <w:rPr>
          <w:rFonts w:ascii="Arial" w:hAnsi="Arial" w:cs="Arial"/>
          <w:b/>
          <w:sz w:val="32"/>
          <w:szCs w:val="32"/>
        </w:rPr>
        <w:t xml:space="preserve"> </w:t>
      </w:r>
      <w:r>
        <w:rPr>
          <w:rFonts w:ascii="Arial" w:hAnsi="宋体" w:cs="Arial"/>
          <w:b/>
          <w:sz w:val="32"/>
          <w:szCs w:val="32"/>
        </w:rPr>
        <w:t>标</w:t>
      </w:r>
      <w:r>
        <w:rPr>
          <w:rFonts w:ascii="Arial" w:hAnsi="Arial" w:cs="Arial"/>
          <w:b/>
          <w:sz w:val="32"/>
          <w:szCs w:val="32"/>
        </w:rPr>
        <w:t xml:space="preserve"> </w:t>
      </w:r>
      <w:r>
        <w:rPr>
          <w:rFonts w:ascii="Arial" w:hAnsi="宋体" w:cs="Arial"/>
          <w:b/>
          <w:sz w:val="32"/>
          <w:szCs w:val="32"/>
        </w:rPr>
        <w:t>项</w:t>
      </w:r>
      <w:r>
        <w:rPr>
          <w:rFonts w:ascii="Arial" w:hAnsi="Arial" w:cs="Arial"/>
          <w:b/>
          <w:sz w:val="32"/>
          <w:szCs w:val="32"/>
        </w:rPr>
        <w:t xml:space="preserve"> </w:t>
      </w:r>
      <w:r>
        <w:rPr>
          <w:rFonts w:ascii="Arial" w:hAnsi="宋体" w:cs="Arial"/>
          <w:b/>
          <w:sz w:val="32"/>
          <w:szCs w:val="32"/>
        </w:rPr>
        <w:t>目</w:t>
      </w:r>
      <w:r>
        <w:rPr>
          <w:rFonts w:hint="eastAsia" w:ascii="Arial" w:hAnsi="宋体" w:cs="Arial"/>
          <w:b/>
          <w:sz w:val="32"/>
          <w:szCs w:val="32"/>
        </w:rPr>
        <w:t>：2024年</w:t>
      </w:r>
      <w:r>
        <w:rPr>
          <w:rFonts w:hint="eastAsia" w:ascii="Arial" w:hAnsi="宋体" w:cs="Arial"/>
          <w:b/>
          <w:spacing w:val="-10"/>
          <w:sz w:val="32"/>
          <w:szCs w:val="32"/>
        </w:rPr>
        <w:t>瑞安市污水处理厂及泵站格栅机定期保养及修理服务外包采购项目</w:t>
      </w:r>
    </w:p>
    <w:p>
      <w:pPr>
        <w:spacing w:line="360" w:lineRule="auto"/>
        <w:ind w:firstLine="1269" w:firstLineChars="395"/>
        <w:rPr>
          <w:rFonts w:ascii="Arial" w:hAnsi="Arial" w:cs="Arial"/>
          <w:b/>
          <w:sz w:val="32"/>
          <w:szCs w:val="32"/>
        </w:rPr>
      </w:pPr>
      <w:r>
        <w:rPr>
          <w:rFonts w:ascii="Arial" w:hAnsi="宋体" w:cs="Arial"/>
          <w:b/>
          <w:sz w:val="32"/>
          <w:szCs w:val="32"/>
        </w:rPr>
        <w:t>采</w:t>
      </w:r>
      <w:r>
        <w:rPr>
          <w:rFonts w:ascii="Arial" w:hAnsi="Arial" w:cs="Arial"/>
          <w:b/>
          <w:sz w:val="32"/>
          <w:szCs w:val="32"/>
        </w:rPr>
        <w:t xml:space="preserve"> </w:t>
      </w:r>
      <w:r>
        <w:rPr>
          <w:rFonts w:ascii="Arial" w:hAnsi="宋体" w:cs="Arial"/>
          <w:b/>
          <w:sz w:val="32"/>
          <w:szCs w:val="32"/>
        </w:rPr>
        <w:t>购</w:t>
      </w:r>
      <w:r>
        <w:rPr>
          <w:rFonts w:ascii="Arial" w:hAnsi="Arial" w:cs="Arial"/>
          <w:b/>
          <w:sz w:val="32"/>
          <w:szCs w:val="32"/>
        </w:rPr>
        <w:t xml:space="preserve"> </w:t>
      </w:r>
      <w:r>
        <w:rPr>
          <w:rFonts w:ascii="Arial" w:hAnsi="宋体" w:cs="Arial"/>
          <w:b/>
          <w:sz w:val="32"/>
          <w:szCs w:val="32"/>
        </w:rPr>
        <w:t>方</w:t>
      </w:r>
      <w:r>
        <w:rPr>
          <w:rFonts w:ascii="Arial" w:hAnsi="Arial" w:cs="Arial"/>
          <w:b/>
          <w:sz w:val="32"/>
          <w:szCs w:val="32"/>
        </w:rPr>
        <w:t xml:space="preserve"> </w:t>
      </w:r>
      <w:r>
        <w:rPr>
          <w:rFonts w:ascii="Arial" w:hAnsi="宋体" w:cs="Arial"/>
          <w:b/>
          <w:sz w:val="32"/>
          <w:szCs w:val="32"/>
        </w:rPr>
        <w:t>式：公开招标</w:t>
      </w:r>
    </w:p>
    <w:p>
      <w:pPr>
        <w:spacing w:line="360" w:lineRule="auto"/>
        <w:rPr>
          <w:rFonts w:ascii="Arial" w:hAnsi="Arial" w:cs="Arial"/>
          <w:sz w:val="30"/>
        </w:rPr>
      </w:pPr>
    </w:p>
    <w:p>
      <w:pPr>
        <w:spacing w:line="360" w:lineRule="auto"/>
        <w:rPr>
          <w:rFonts w:ascii="Arial" w:hAnsi="Arial" w:cs="Arial"/>
          <w:sz w:val="30"/>
        </w:rPr>
      </w:pPr>
    </w:p>
    <w:p>
      <w:pPr>
        <w:spacing w:line="360" w:lineRule="auto"/>
        <w:rPr>
          <w:rFonts w:ascii="Arial" w:hAnsi="Arial" w:cs="Arial"/>
          <w:sz w:val="30"/>
        </w:rPr>
      </w:pPr>
    </w:p>
    <w:p>
      <w:pPr>
        <w:spacing w:line="360" w:lineRule="auto"/>
        <w:ind w:firstLine="1405" w:firstLineChars="500"/>
        <w:rPr>
          <w:rFonts w:ascii="Arial" w:hAnsi="宋体" w:cs="Arial"/>
          <w:b/>
          <w:sz w:val="28"/>
        </w:rPr>
      </w:pPr>
      <w:r>
        <w:rPr>
          <w:rFonts w:ascii="Arial" w:hAnsi="宋体" w:cs="Arial"/>
          <w:b/>
          <w:sz w:val="28"/>
        </w:rPr>
        <w:t>招</w:t>
      </w:r>
      <w:r>
        <w:rPr>
          <w:rFonts w:ascii="Arial" w:hAnsi="Arial" w:cs="Arial"/>
          <w:b/>
          <w:sz w:val="28"/>
        </w:rPr>
        <w:t xml:space="preserve">   </w:t>
      </w:r>
      <w:r>
        <w:rPr>
          <w:rFonts w:ascii="Arial" w:hAnsi="宋体" w:cs="Arial"/>
          <w:b/>
          <w:sz w:val="28"/>
        </w:rPr>
        <w:t>标</w:t>
      </w:r>
      <w:r>
        <w:rPr>
          <w:rFonts w:ascii="Arial" w:hAnsi="Arial" w:cs="Arial"/>
          <w:b/>
          <w:sz w:val="28"/>
        </w:rPr>
        <w:t xml:space="preserve">   </w:t>
      </w:r>
      <w:r>
        <w:rPr>
          <w:rFonts w:ascii="Arial" w:hAnsi="宋体" w:cs="Arial"/>
          <w:b/>
          <w:sz w:val="28"/>
        </w:rPr>
        <w:t>人：</w:t>
      </w:r>
      <w:r>
        <w:rPr>
          <w:rFonts w:hint="eastAsia" w:ascii="Arial" w:hAnsi="宋体" w:cs="Arial"/>
          <w:b/>
          <w:sz w:val="28"/>
        </w:rPr>
        <w:t>瑞安市排水有限公司、瑞安市排水发展有限公司</w:t>
      </w:r>
    </w:p>
    <w:p>
      <w:pPr>
        <w:spacing w:line="360" w:lineRule="auto"/>
        <w:ind w:firstLine="1405" w:firstLineChars="500"/>
        <w:rPr>
          <w:rFonts w:ascii="Arial" w:hAnsi="Arial" w:cs="Arial"/>
          <w:b/>
          <w:sz w:val="28"/>
        </w:rPr>
      </w:pPr>
      <w:r>
        <w:rPr>
          <w:rFonts w:ascii="Arial" w:hAnsi="宋体" w:cs="Arial"/>
          <w:b/>
          <w:sz w:val="28"/>
        </w:rPr>
        <w:t>招标代理机构：</w:t>
      </w:r>
      <w:r>
        <w:rPr>
          <w:rFonts w:hint="eastAsia" w:ascii="Arial" w:hAnsi="宋体" w:cs="Arial"/>
          <w:b/>
          <w:sz w:val="28"/>
        </w:rPr>
        <w:t>浙江凯宝工程项目管理有限公司</w:t>
      </w:r>
    </w:p>
    <w:p>
      <w:pPr>
        <w:spacing w:line="360" w:lineRule="auto"/>
        <w:ind w:left="210" w:leftChars="100"/>
        <w:jc w:val="center"/>
        <w:rPr>
          <w:rFonts w:ascii="Arial" w:hAnsi="Arial" w:cs="Arial"/>
          <w:b/>
          <w:sz w:val="28"/>
        </w:rPr>
      </w:pPr>
    </w:p>
    <w:p>
      <w:pPr>
        <w:spacing w:line="360" w:lineRule="auto"/>
        <w:ind w:left="210" w:leftChars="100"/>
        <w:jc w:val="center"/>
        <w:rPr>
          <w:rFonts w:ascii="Arial" w:hAnsi="宋体" w:cs="Arial"/>
          <w:b/>
          <w:color w:val="0000FF"/>
          <w:sz w:val="28"/>
        </w:rPr>
      </w:pPr>
      <w:r>
        <w:rPr>
          <w:rFonts w:ascii="Arial" w:hAnsi="宋体" w:cs="Arial"/>
          <w:b/>
          <w:sz w:val="28"/>
        </w:rPr>
        <w:t>二〇二</w:t>
      </w:r>
      <w:r>
        <w:rPr>
          <w:rFonts w:hint="eastAsia" w:ascii="Arial" w:hAnsi="宋体" w:cs="Arial"/>
          <w:b/>
          <w:sz w:val="28"/>
        </w:rPr>
        <w:t>三年十二</w:t>
      </w:r>
      <w:r>
        <w:rPr>
          <w:rFonts w:ascii="Arial" w:hAnsi="宋体" w:cs="Arial"/>
          <w:b/>
          <w:sz w:val="28"/>
        </w:rPr>
        <w:t>月</w:t>
      </w:r>
    </w:p>
    <w:p>
      <w:pPr>
        <w:spacing w:line="360" w:lineRule="auto"/>
        <w:rPr>
          <w:rFonts w:ascii="Arial" w:hAnsi="宋体" w:cs="Arial"/>
          <w:b/>
          <w:color w:val="0000FF"/>
          <w:sz w:val="28"/>
        </w:rPr>
      </w:pPr>
    </w:p>
    <w:p>
      <w:pPr>
        <w:spacing w:line="360" w:lineRule="auto"/>
        <w:ind w:left="210" w:leftChars="100"/>
        <w:jc w:val="center"/>
        <w:rPr>
          <w:rFonts w:ascii="Arial" w:hAnsi="宋体" w:cs="Arial"/>
          <w:b/>
          <w:color w:val="0000FF"/>
          <w:sz w:val="28"/>
        </w:rPr>
        <w:sectPr>
          <w:headerReference r:id="rId4" w:type="first"/>
          <w:footerReference r:id="rId6" w:type="first"/>
          <w:headerReference r:id="rId3" w:type="even"/>
          <w:footerReference r:id="rId5" w:type="even"/>
          <w:pgSz w:w="11906" w:h="16838"/>
          <w:pgMar w:top="1440" w:right="1247" w:bottom="1440" w:left="1400" w:header="851" w:footer="992" w:gutter="0"/>
          <w:pgBorders>
            <w:top w:val="none" w:sz="0" w:space="0"/>
            <w:left w:val="none" w:sz="0" w:space="0"/>
            <w:bottom w:val="none" w:sz="0" w:space="0"/>
            <w:right w:val="none" w:sz="0" w:space="0"/>
          </w:pgBorders>
          <w:cols w:space="720" w:num="1"/>
          <w:docGrid w:type="lines" w:linePitch="312" w:charSpace="0"/>
        </w:sectPr>
      </w:pPr>
    </w:p>
    <w:p>
      <w:pPr>
        <w:pStyle w:val="131"/>
        <w:jc w:val="center"/>
        <w:rPr>
          <w:color w:val="auto"/>
          <w:sz w:val="48"/>
        </w:rPr>
      </w:pPr>
      <w:bookmarkStart w:id="0" w:name="_Toc26738"/>
      <w:bookmarkStart w:id="1" w:name="_Toc25486"/>
      <w:bookmarkStart w:id="2" w:name="_Toc26357"/>
      <w:bookmarkStart w:id="3" w:name="_Toc14409"/>
      <w:bookmarkStart w:id="4" w:name="_Toc31833"/>
      <w:bookmarkStart w:id="5" w:name="_Toc21446"/>
      <w:bookmarkStart w:id="6" w:name="_Toc26425"/>
      <w:bookmarkStart w:id="7" w:name="_Toc11227"/>
      <w:bookmarkStart w:id="8" w:name="_Toc3002"/>
      <w:r>
        <w:rPr>
          <w:color w:val="auto"/>
          <w:sz w:val="48"/>
          <w:lang w:val="zh-CN"/>
        </w:rPr>
        <w:t>目</w:t>
      </w:r>
      <w:r>
        <w:rPr>
          <w:rFonts w:hint="eastAsia"/>
          <w:color w:val="auto"/>
          <w:sz w:val="48"/>
          <w:lang w:val="zh-CN"/>
        </w:rPr>
        <w:t xml:space="preserve"> </w:t>
      </w:r>
      <w:r>
        <w:rPr>
          <w:color w:val="auto"/>
          <w:sz w:val="48"/>
          <w:lang w:val="zh-CN"/>
        </w:rPr>
        <w:t>录</w:t>
      </w:r>
      <w:bookmarkEnd w:id="0"/>
      <w:bookmarkEnd w:id="1"/>
      <w:bookmarkEnd w:id="2"/>
      <w:bookmarkEnd w:id="3"/>
      <w:bookmarkEnd w:id="4"/>
      <w:bookmarkEnd w:id="5"/>
      <w:bookmarkEnd w:id="6"/>
      <w:bookmarkEnd w:id="7"/>
      <w:bookmarkEnd w:id="8"/>
    </w:p>
    <w:p>
      <w:pPr>
        <w:pStyle w:val="35"/>
        <w:tabs>
          <w:tab w:val="right" w:leader="dot" w:pos="9070"/>
        </w:tabs>
      </w:pPr>
      <w:r>
        <w:fldChar w:fldCharType="begin"/>
      </w:r>
      <w:r>
        <w:instrText xml:space="preserve"> TOC \o "1-3" \h \z \u </w:instrText>
      </w:r>
      <w:r>
        <w:fldChar w:fldCharType="separate"/>
      </w:r>
      <w:r>
        <w:fldChar w:fldCharType="begin"/>
      </w:r>
      <w:r>
        <w:instrText xml:space="preserve"> HYPERLINK \l _Toc12617 </w:instrText>
      </w:r>
      <w:r>
        <w:fldChar w:fldCharType="separate"/>
      </w:r>
      <w:r>
        <w:rPr>
          <w:rFonts w:ascii="Arial" w:hAnsi="宋体" w:cs="Arial"/>
          <w:bCs/>
          <w:szCs w:val="28"/>
        </w:rPr>
        <w:t>第一部分  招标公告</w:t>
      </w:r>
      <w:r>
        <w:tab/>
      </w:r>
      <w:r>
        <w:fldChar w:fldCharType="begin"/>
      </w:r>
      <w:r>
        <w:instrText xml:space="preserve"> PAGEREF _Toc12617 \h </w:instrText>
      </w:r>
      <w:r>
        <w:fldChar w:fldCharType="separate"/>
      </w:r>
      <w:r>
        <w:t>2</w:t>
      </w:r>
      <w:r>
        <w:fldChar w:fldCharType="end"/>
      </w:r>
      <w:r>
        <w:fldChar w:fldCharType="end"/>
      </w:r>
    </w:p>
    <w:p>
      <w:pPr>
        <w:pStyle w:val="35"/>
        <w:tabs>
          <w:tab w:val="right" w:leader="dot" w:pos="9070"/>
        </w:tabs>
      </w:pPr>
      <w:r>
        <w:fldChar w:fldCharType="begin"/>
      </w:r>
      <w:r>
        <w:instrText xml:space="preserve"> HYPERLINK \l _Toc11857 </w:instrText>
      </w:r>
      <w:r>
        <w:fldChar w:fldCharType="separate"/>
      </w:r>
      <w:r>
        <w:rPr>
          <w:rFonts w:ascii="Arial" w:hAnsi="宋体" w:cs="Arial"/>
          <w:bCs/>
          <w:szCs w:val="28"/>
        </w:rPr>
        <w:t>第二部分</w:t>
      </w:r>
      <w:r>
        <w:rPr>
          <w:rFonts w:ascii="Arial" w:hAnsi="Arial" w:cs="Arial"/>
          <w:bCs/>
          <w:szCs w:val="28"/>
        </w:rPr>
        <w:t xml:space="preserve">  </w:t>
      </w:r>
      <w:r>
        <w:rPr>
          <w:rFonts w:ascii="Arial" w:hAnsi="宋体" w:cs="Arial"/>
          <w:bCs/>
          <w:szCs w:val="28"/>
        </w:rPr>
        <w:t>投标须知及前附表</w:t>
      </w:r>
      <w:r>
        <w:tab/>
      </w:r>
      <w:r>
        <w:fldChar w:fldCharType="begin"/>
      </w:r>
      <w:r>
        <w:instrText xml:space="preserve"> PAGEREF _Toc11857 \h </w:instrText>
      </w:r>
      <w:r>
        <w:fldChar w:fldCharType="separate"/>
      </w:r>
      <w:r>
        <w:t>5</w:t>
      </w:r>
      <w:r>
        <w:fldChar w:fldCharType="end"/>
      </w:r>
      <w:r>
        <w:fldChar w:fldCharType="end"/>
      </w:r>
    </w:p>
    <w:p>
      <w:pPr>
        <w:pStyle w:val="41"/>
        <w:tabs>
          <w:tab w:val="right" w:leader="dot" w:pos="9070"/>
        </w:tabs>
      </w:pPr>
      <w:r>
        <w:fldChar w:fldCharType="begin"/>
      </w:r>
      <w:r>
        <w:instrText xml:space="preserve"> HYPERLINK \l _Toc1965 </w:instrText>
      </w:r>
      <w:r>
        <w:fldChar w:fldCharType="separate"/>
      </w:r>
      <w:r>
        <w:rPr>
          <w:rFonts w:ascii="Arial" w:hAnsi="宋体" w:cs="Arial"/>
          <w:bCs/>
        </w:rPr>
        <w:t>（</w:t>
      </w:r>
      <w:r>
        <w:rPr>
          <w:rFonts w:hint="eastAsia" w:ascii="Arial" w:hAnsi="宋体" w:cs="Arial"/>
          <w:bCs/>
        </w:rPr>
        <w:t>一</w:t>
      </w:r>
      <w:r>
        <w:rPr>
          <w:rFonts w:ascii="Arial" w:hAnsi="宋体" w:cs="Arial"/>
          <w:bCs/>
        </w:rPr>
        <w:t>）投标须知前附表</w:t>
      </w:r>
      <w:r>
        <w:tab/>
      </w:r>
      <w:r>
        <w:fldChar w:fldCharType="begin"/>
      </w:r>
      <w:r>
        <w:instrText xml:space="preserve"> PAGEREF _Toc1965 \h </w:instrText>
      </w:r>
      <w:r>
        <w:fldChar w:fldCharType="separate"/>
      </w:r>
      <w:r>
        <w:t>5</w:t>
      </w:r>
      <w:r>
        <w:fldChar w:fldCharType="end"/>
      </w:r>
      <w:r>
        <w:fldChar w:fldCharType="end"/>
      </w:r>
    </w:p>
    <w:p>
      <w:pPr>
        <w:pStyle w:val="41"/>
        <w:tabs>
          <w:tab w:val="right" w:leader="dot" w:pos="9070"/>
        </w:tabs>
      </w:pPr>
      <w:r>
        <w:fldChar w:fldCharType="begin"/>
      </w:r>
      <w:r>
        <w:instrText xml:space="preserve"> HYPERLINK \l _Toc3052 </w:instrText>
      </w:r>
      <w:r>
        <w:fldChar w:fldCharType="separate"/>
      </w:r>
      <w:r>
        <w:rPr>
          <w:rFonts w:ascii="Arial" w:hAnsi="宋体" w:cs="Arial"/>
          <w:bCs/>
        </w:rPr>
        <w:t>（</w:t>
      </w:r>
      <w:r>
        <w:rPr>
          <w:rFonts w:hint="eastAsia" w:ascii="Arial" w:hAnsi="宋体" w:cs="Arial"/>
          <w:bCs/>
        </w:rPr>
        <w:t>二</w:t>
      </w:r>
      <w:r>
        <w:rPr>
          <w:rFonts w:ascii="Arial" w:hAnsi="宋体" w:cs="Arial"/>
          <w:bCs/>
        </w:rPr>
        <w:t>）总</w:t>
      </w:r>
      <w:r>
        <w:rPr>
          <w:rFonts w:ascii="Arial" w:hAnsi="Arial" w:cs="Arial"/>
          <w:bCs/>
        </w:rPr>
        <w:t xml:space="preserve"> </w:t>
      </w:r>
      <w:r>
        <w:rPr>
          <w:rFonts w:ascii="Arial" w:hAnsi="宋体" w:cs="Arial"/>
          <w:bCs/>
        </w:rPr>
        <w:t>则</w:t>
      </w:r>
      <w:r>
        <w:tab/>
      </w:r>
      <w:r>
        <w:fldChar w:fldCharType="begin"/>
      </w:r>
      <w:r>
        <w:instrText xml:space="preserve"> PAGEREF _Toc3052 \h </w:instrText>
      </w:r>
      <w:r>
        <w:fldChar w:fldCharType="separate"/>
      </w:r>
      <w:r>
        <w:t>8</w:t>
      </w:r>
      <w:r>
        <w:fldChar w:fldCharType="end"/>
      </w:r>
      <w:r>
        <w:fldChar w:fldCharType="end"/>
      </w:r>
    </w:p>
    <w:p>
      <w:pPr>
        <w:pStyle w:val="41"/>
        <w:tabs>
          <w:tab w:val="right" w:leader="dot" w:pos="9070"/>
        </w:tabs>
      </w:pPr>
      <w:r>
        <w:fldChar w:fldCharType="begin"/>
      </w:r>
      <w:r>
        <w:instrText xml:space="preserve"> HYPERLINK \l _Toc2345 </w:instrText>
      </w:r>
      <w:r>
        <w:fldChar w:fldCharType="separate"/>
      </w:r>
      <w:r>
        <w:rPr>
          <w:rFonts w:ascii="Arial" w:hAnsi="宋体" w:cs="Arial"/>
          <w:bCs/>
        </w:rPr>
        <w:t>（</w:t>
      </w:r>
      <w:r>
        <w:rPr>
          <w:rFonts w:hint="eastAsia" w:ascii="Arial" w:hAnsi="宋体" w:cs="Arial"/>
          <w:bCs/>
        </w:rPr>
        <w:t>三</w:t>
      </w:r>
      <w:r>
        <w:rPr>
          <w:rFonts w:ascii="Arial" w:hAnsi="宋体" w:cs="Arial"/>
          <w:bCs/>
        </w:rPr>
        <w:t>）招标文件说明</w:t>
      </w:r>
      <w:r>
        <w:tab/>
      </w:r>
      <w:r>
        <w:fldChar w:fldCharType="begin"/>
      </w:r>
      <w:r>
        <w:instrText xml:space="preserve"> PAGEREF _Toc2345 \h </w:instrText>
      </w:r>
      <w:r>
        <w:fldChar w:fldCharType="separate"/>
      </w:r>
      <w:r>
        <w:t>9</w:t>
      </w:r>
      <w:r>
        <w:fldChar w:fldCharType="end"/>
      </w:r>
      <w:r>
        <w:fldChar w:fldCharType="end"/>
      </w:r>
    </w:p>
    <w:p>
      <w:pPr>
        <w:pStyle w:val="41"/>
        <w:tabs>
          <w:tab w:val="right" w:leader="dot" w:pos="9070"/>
        </w:tabs>
      </w:pPr>
      <w:r>
        <w:fldChar w:fldCharType="begin"/>
      </w:r>
      <w:r>
        <w:instrText xml:space="preserve"> HYPERLINK \l _Toc694 </w:instrText>
      </w:r>
      <w:r>
        <w:fldChar w:fldCharType="separate"/>
      </w:r>
      <w:r>
        <w:rPr>
          <w:rFonts w:ascii="Arial" w:hAnsi="宋体" w:cs="Arial"/>
          <w:bCs/>
        </w:rPr>
        <w:t>（</w:t>
      </w:r>
      <w:r>
        <w:rPr>
          <w:rFonts w:hint="eastAsia" w:ascii="Arial" w:hAnsi="宋体" w:cs="Arial"/>
          <w:bCs/>
        </w:rPr>
        <w:t>四</w:t>
      </w:r>
      <w:r>
        <w:rPr>
          <w:rFonts w:ascii="Arial" w:hAnsi="宋体" w:cs="Arial"/>
          <w:bCs/>
        </w:rPr>
        <w:t>）投标文件的编制</w:t>
      </w:r>
      <w:r>
        <w:tab/>
      </w:r>
      <w:r>
        <w:fldChar w:fldCharType="begin"/>
      </w:r>
      <w:r>
        <w:instrText xml:space="preserve"> PAGEREF _Toc694 \h </w:instrText>
      </w:r>
      <w:r>
        <w:fldChar w:fldCharType="separate"/>
      </w:r>
      <w:r>
        <w:t>10</w:t>
      </w:r>
      <w:r>
        <w:fldChar w:fldCharType="end"/>
      </w:r>
      <w:r>
        <w:fldChar w:fldCharType="end"/>
      </w:r>
    </w:p>
    <w:p>
      <w:pPr>
        <w:pStyle w:val="41"/>
        <w:tabs>
          <w:tab w:val="right" w:leader="dot" w:pos="9070"/>
        </w:tabs>
      </w:pPr>
      <w:r>
        <w:fldChar w:fldCharType="begin"/>
      </w:r>
      <w:r>
        <w:instrText xml:space="preserve"> HYPERLINK \l _Toc21689 </w:instrText>
      </w:r>
      <w:r>
        <w:fldChar w:fldCharType="separate"/>
      </w:r>
      <w:r>
        <w:rPr>
          <w:rFonts w:ascii="Arial" w:hAnsi="宋体" w:cs="Arial"/>
          <w:bCs/>
        </w:rPr>
        <w:t>（</w:t>
      </w:r>
      <w:r>
        <w:rPr>
          <w:rFonts w:hint="eastAsia" w:ascii="Arial" w:hAnsi="宋体" w:cs="Arial"/>
          <w:bCs/>
        </w:rPr>
        <w:t>五</w:t>
      </w:r>
      <w:r>
        <w:rPr>
          <w:rFonts w:ascii="Arial" w:hAnsi="宋体" w:cs="Arial"/>
          <w:bCs/>
        </w:rPr>
        <w:t>）投标文件的递交</w:t>
      </w:r>
      <w:r>
        <w:tab/>
      </w:r>
      <w:r>
        <w:fldChar w:fldCharType="begin"/>
      </w:r>
      <w:r>
        <w:instrText xml:space="preserve"> PAGEREF _Toc21689 \h </w:instrText>
      </w:r>
      <w:r>
        <w:fldChar w:fldCharType="separate"/>
      </w:r>
      <w:r>
        <w:t>14</w:t>
      </w:r>
      <w:r>
        <w:fldChar w:fldCharType="end"/>
      </w:r>
      <w:r>
        <w:fldChar w:fldCharType="end"/>
      </w:r>
    </w:p>
    <w:p>
      <w:pPr>
        <w:pStyle w:val="41"/>
        <w:tabs>
          <w:tab w:val="right" w:leader="dot" w:pos="9070"/>
        </w:tabs>
      </w:pPr>
      <w:r>
        <w:fldChar w:fldCharType="begin"/>
      </w:r>
      <w:r>
        <w:instrText xml:space="preserve"> HYPERLINK \l _Toc11103 </w:instrText>
      </w:r>
      <w:r>
        <w:fldChar w:fldCharType="separate"/>
      </w:r>
      <w:r>
        <w:rPr>
          <w:rFonts w:ascii="Arial" w:hAnsi="宋体" w:cs="Arial"/>
          <w:bCs/>
        </w:rPr>
        <w:t>（</w:t>
      </w:r>
      <w:r>
        <w:rPr>
          <w:rFonts w:hint="eastAsia" w:ascii="Arial" w:hAnsi="宋体" w:cs="Arial"/>
          <w:bCs/>
        </w:rPr>
        <w:t>六</w:t>
      </w:r>
      <w:r>
        <w:rPr>
          <w:rFonts w:ascii="Arial" w:hAnsi="宋体" w:cs="Arial"/>
          <w:bCs/>
        </w:rPr>
        <w:t>）开标与评审</w:t>
      </w:r>
      <w:r>
        <w:tab/>
      </w:r>
      <w:r>
        <w:fldChar w:fldCharType="begin"/>
      </w:r>
      <w:r>
        <w:instrText xml:space="preserve"> PAGEREF _Toc11103 \h </w:instrText>
      </w:r>
      <w:r>
        <w:fldChar w:fldCharType="separate"/>
      </w:r>
      <w:r>
        <w:t>14</w:t>
      </w:r>
      <w:r>
        <w:fldChar w:fldCharType="end"/>
      </w:r>
      <w:r>
        <w:fldChar w:fldCharType="end"/>
      </w:r>
    </w:p>
    <w:p>
      <w:pPr>
        <w:pStyle w:val="41"/>
        <w:tabs>
          <w:tab w:val="right" w:leader="dot" w:pos="9070"/>
        </w:tabs>
      </w:pPr>
      <w:r>
        <w:fldChar w:fldCharType="begin"/>
      </w:r>
      <w:r>
        <w:instrText xml:space="preserve"> HYPERLINK \l _Toc26443 </w:instrText>
      </w:r>
      <w:r>
        <w:fldChar w:fldCharType="separate"/>
      </w:r>
      <w:r>
        <w:rPr>
          <w:rFonts w:ascii="Arial" w:hAnsi="宋体" w:cs="Arial"/>
          <w:bCs/>
        </w:rPr>
        <w:t>（</w:t>
      </w:r>
      <w:r>
        <w:rPr>
          <w:rFonts w:hint="eastAsia" w:ascii="Arial" w:hAnsi="宋体" w:cs="Arial"/>
          <w:bCs/>
        </w:rPr>
        <w:t>七</w:t>
      </w:r>
      <w:r>
        <w:rPr>
          <w:rFonts w:ascii="Arial" w:hAnsi="宋体" w:cs="Arial"/>
          <w:bCs/>
        </w:rPr>
        <w:t>）授予合同</w:t>
      </w:r>
      <w:r>
        <w:tab/>
      </w:r>
      <w:r>
        <w:fldChar w:fldCharType="begin"/>
      </w:r>
      <w:r>
        <w:instrText xml:space="preserve"> PAGEREF _Toc26443 \h </w:instrText>
      </w:r>
      <w:r>
        <w:fldChar w:fldCharType="separate"/>
      </w:r>
      <w:r>
        <w:t>17</w:t>
      </w:r>
      <w:r>
        <w:fldChar w:fldCharType="end"/>
      </w:r>
      <w:r>
        <w:fldChar w:fldCharType="end"/>
      </w:r>
    </w:p>
    <w:p>
      <w:pPr>
        <w:pStyle w:val="35"/>
        <w:tabs>
          <w:tab w:val="right" w:leader="dot" w:pos="9070"/>
        </w:tabs>
      </w:pPr>
      <w:r>
        <w:fldChar w:fldCharType="begin"/>
      </w:r>
      <w:r>
        <w:instrText xml:space="preserve"> HYPERLINK \l _Toc16925 </w:instrText>
      </w:r>
      <w:r>
        <w:fldChar w:fldCharType="separate"/>
      </w:r>
      <w:r>
        <w:rPr>
          <w:rFonts w:ascii="Arial" w:hAnsi="宋体" w:cs="Arial"/>
          <w:bCs/>
          <w:szCs w:val="28"/>
        </w:rPr>
        <w:t>第三部分</w:t>
      </w:r>
      <w:r>
        <w:rPr>
          <w:rFonts w:hint="eastAsia" w:ascii="Arial" w:hAnsi="宋体" w:cs="Arial"/>
          <w:bCs/>
          <w:szCs w:val="28"/>
        </w:rPr>
        <w:t xml:space="preserve"> </w:t>
      </w:r>
      <w:r>
        <w:rPr>
          <w:rFonts w:ascii="Arial" w:hAnsi="宋体" w:cs="Arial"/>
          <w:bCs/>
          <w:szCs w:val="28"/>
        </w:rPr>
        <w:t xml:space="preserve"> </w:t>
      </w:r>
      <w:r>
        <w:rPr>
          <w:rFonts w:hint="eastAsia" w:ascii="Arial" w:hAnsi="宋体" w:cs="Arial"/>
          <w:bCs/>
          <w:szCs w:val="28"/>
        </w:rPr>
        <w:t>招标内容及技术要求</w:t>
      </w:r>
      <w:r>
        <w:tab/>
      </w:r>
      <w:r>
        <w:fldChar w:fldCharType="begin"/>
      </w:r>
      <w:r>
        <w:instrText xml:space="preserve"> PAGEREF _Toc16925 \h </w:instrText>
      </w:r>
      <w:r>
        <w:fldChar w:fldCharType="separate"/>
      </w:r>
      <w:r>
        <w:t>19</w:t>
      </w:r>
      <w:r>
        <w:fldChar w:fldCharType="end"/>
      </w:r>
      <w:r>
        <w:fldChar w:fldCharType="end"/>
      </w:r>
    </w:p>
    <w:p>
      <w:pPr>
        <w:pStyle w:val="26"/>
        <w:tabs>
          <w:tab w:val="right" w:leader="dot" w:pos="9070"/>
        </w:tabs>
      </w:pPr>
      <w:r>
        <w:fldChar w:fldCharType="begin"/>
      </w:r>
      <w:r>
        <w:instrText xml:space="preserve"> HYPERLINK \l _Toc23379 </w:instrText>
      </w:r>
      <w:r>
        <w:fldChar w:fldCharType="separate"/>
      </w:r>
      <w:r>
        <w:rPr>
          <w:rFonts w:hint="eastAsia" w:ascii="宋体" w:hAnsi="宋体"/>
          <w:bCs/>
          <w:szCs w:val="21"/>
          <w:lang w:val="en-US" w:eastAsia="zh-CN"/>
        </w:rPr>
        <w:t>5</w:t>
      </w:r>
      <w:r>
        <w:rPr>
          <w:rFonts w:hint="eastAsia" w:ascii="宋体" w:hAnsi="宋体"/>
          <w:bCs/>
          <w:szCs w:val="21"/>
        </w:rPr>
        <w:t>、</w:t>
      </w:r>
      <w:r>
        <w:rPr>
          <w:rFonts w:hint="eastAsia" w:ascii="宋体" w:hAnsi="宋体" w:cs="宋体"/>
          <w:szCs w:val="21"/>
        </w:rPr>
        <w:t>设备的安装、调试、验收</w:t>
      </w:r>
      <w:r>
        <w:tab/>
      </w:r>
      <w:r>
        <w:fldChar w:fldCharType="begin"/>
      </w:r>
      <w:r>
        <w:instrText xml:space="preserve"> PAGEREF _Toc23379 \h </w:instrText>
      </w:r>
      <w:r>
        <w:fldChar w:fldCharType="separate"/>
      </w:r>
      <w:r>
        <w:t>31</w:t>
      </w:r>
      <w:r>
        <w:fldChar w:fldCharType="end"/>
      </w:r>
      <w:r>
        <w:fldChar w:fldCharType="end"/>
      </w:r>
    </w:p>
    <w:p>
      <w:pPr>
        <w:pStyle w:val="26"/>
        <w:tabs>
          <w:tab w:val="right" w:leader="dot" w:pos="9070"/>
        </w:tabs>
      </w:pPr>
      <w:r>
        <w:fldChar w:fldCharType="begin"/>
      </w:r>
      <w:r>
        <w:instrText xml:space="preserve"> HYPERLINK \l _Toc21086 </w:instrText>
      </w:r>
      <w:r>
        <w:fldChar w:fldCharType="separate"/>
      </w:r>
      <w:r>
        <w:rPr>
          <w:rFonts w:hint="eastAsia" w:ascii="宋体" w:hAnsi="宋体" w:cs="宋体"/>
          <w:szCs w:val="21"/>
          <w:lang w:val="en-US" w:eastAsia="zh-CN"/>
        </w:rPr>
        <w:t>6</w:t>
      </w:r>
      <w:r>
        <w:rPr>
          <w:rFonts w:hint="eastAsia" w:ascii="宋体" w:hAnsi="宋体" w:cs="宋体"/>
          <w:szCs w:val="21"/>
        </w:rPr>
        <w:t>、付款方式</w:t>
      </w:r>
      <w:r>
        <w:tab/>
      </w:r>
      <w:r>
        <w:fldChar w:fldCharType="begin"/>
      </w:r>
      <w:r>
        <w:instrText xml:space="preserve"> PAGEREF _Toc21086 \h </w:instrText>
      </w:r>
      <w:r>
        <w:fldChar w:fldCharType="separate"/>
      </w:r>
      <w:r>
        <w:t>32</w:t>
      </w:r>
      <w:r>
        <w:fldChar w:fldCharType="end"/>
      </w:r>
      <w:r>
        <w:fldChar w:fldCharType="end"/>
      </w:r>
    </w:p>
    <w:p>
      <w:pPr>
        <w:pStyle w:val="41"/>
        <w:tabs>
          <w:tab w:val="right" w:leader="dot" w:pos="9070"/>
        </w:tabs>
      </w:pPr>
      <w:r>
        <w:fldChar w:fldCharType="begin"/>
      </w:r>
      <w:r>
        <w:instrText xml:space="preserve"> HYPERLINK \l _Toc15663 </w:instrText>
      </w:r>
      <w:r>
        <w:fldChar w:fldCharType="separate"/>
      </w:r>
      <w:r>
        <w:rPr>
          <w:rFonts w:hint="eastAsia" w:ascii="宋体" w:hAnsi="宋体" w:cs="Arial"/>
          <w:lang w:eastAsia="zh-CN"/>
        </w:rPr>
        <w:t>附件二：设备清单</w:t>
      </w:r>
      <w:r>
        <w:tab/>
      </w:r>
      <w:r>
        <w:fldChar w:fldCharType="begin"/>
      </w:r>
      <w:r>
        <w:instrText xml:space="preserve"> PAGEREF _Toc15663 \h </w:instrText>
      </w:r>
      <w:r>
        <w:fldChar w:fldCharType="separate"/>
      </w:r>
      <w:r>
        <w:t>41</w:t>
      </w:r>
      <w:r>
        <w:fldChar w:fldCharType="end"/>
      </w:r>
      <w:r>
        <w:fldChar w:fldCharType="end"/>
      </w:r>
    </w:p>
    <w:p>
      <w:pPr>
        <w:pStyle w:val="41"/>
        <w:tabs>
          <w:tab w:val="right" w:leader="dot" w:pos="9070"/>
        </w:tabs>
      </w:pPr>
      <w:r>
        <w:fldChar w:fldCharType="begin"/>
      </w:r>
      <w:r>
        <w:instrText xml:space="preserve"> HYPERLINK \l _Toc18777 </w:instrText>
      </w:r>
      <w:r>
        <w:fldChar w:fldCharType="separate"/>
      </w:r>
      <w:r>
        <w:rPr>
          <w:rFonts w:hint="eastAsia" w:ascii="宋体" w:hAnsi="宋体" w:cs="Arial"/>
          <w:lang w:eastAsia="zh-CN"/>
        </w:rPr>
        <w:t>附件三：</w:t>
      </w:r>
      <w:r>
        <w:tab/>
      </w:r>
      <w:r>
        <w:fldChar w:fldCharType="begin"/>
      </w:r>
      <w:r>
        <w:instrText xml:space="preserve"> PAGEREF _Toc18777 \h </w:instrText>
      </w:r>
      <w:r>
        <w:fldChar w:fldCharType="separate"/>
      </w:r>
      <w:r>
        <w:t>42</w:t>
      </w:r>
      <w:r>
        <w:fldChar w:fldCharType="end"/>
      </w:r>
      <w:r>
        <w:fldChar w:fldCharType="end"/>
      </w:r>
    </w:p>
    <w:p>
      <w:pPr>
        <w:pStyle w:val="35"/>
        <w:tabs>
          <w:tab w:val="right" w:leader="dot" w:pos="9070"/>
        </w:tabs>
      </w:pPr>
      <w:r>
        <w:fldChar w:fldCharType="begin"/>
      </w:r>
      <w:r>
        <w:instrText xml:space="preserve"> HYPERLINK \l _Toc22493 </w:instrText>
      </w:r>
      <w:r>
        <w:fldChar w:fldCharType="separate"/>
      </w:r>
      <w:r>
        <w:rPr>
          <w:rFonts w:ascii="Arial" w:hAnsi="宋体" w:cs="Arial"/>
          <w:bCs/>
          <w:szCs w:val="28"/>
        </w:rPr>
        <w:t>第五部分  投标文件格式</w:t>
      </w:r>
      <w:r>
        <w:tab/>
      </w:r>
      <w:r>
        <w:fldChar w:fldCharType="begin"/>
      </w:r>
      <w:r>
        <w:instrText xml:space="preserve"> PAGEREF _Toc22493 \h </w:instrText>
      </w:r>
      <w:r>
        <w:fldChar w:fldCharType="separate"/>
      </w:r>
      <w:r>
        <w:t>46</w:t>
      </w:r>
      <w:r>
        <w:fldChar w:fldCharType="end"/>
      </w:r>
      <w:r>
        <w:fldChar w:fldCharType="end"/>
      </w:r>
    </w:p>
    <w:p>
      <w:pPr>
        <w:pStyle w:val="41"/>
        <w:tabs>
          <w:tab w:val="right" w:leader="dot" w:pos="9070"/>
        </w:tabs>
      </w:pPr>
      <w:r>
        <w:fldChar w:fldCharType="begin"/>
      </w:r>
      <w:r>
        <w:instrText xml:space="preserve"> HYPERLINK \l _Toc24378 </w:instrText>
      </w:r>
      <w:r>
        <w:fldChar w:fldCharType="separate"/>
      </w:r>
      <w:r>
        <w:rPr>
          <w:rFonts w:hint="eastAsia" w:ascii="宋体" w:hAnsi="宋体"/>
          <w:bCs/>
        </w:rPr>
        <w:t>附件1   投标函</w:t>
      </w:r>
      <w:r>
        <w:tab/>
      </w:r>
      <w:r>
        <w:fldChar w:fldCharType="begin"/>
      </w:r>
      <w:r>
        <w:instrText xml:space="preserve"> PAGEREF _Toc24378 \h </w:instrText>
      </w:r>
      <w:r>
        <w:fldChar w:fldCharType="separate"/>
      </w:r>
      <w:r>
        <w:t>47</w:t>
      </w:r>
      <w:r>
        <w:fldChar w:fldCharType="end"/>
      </w:r>
      <w:r>
        <w:fldChar w:fldCharType="end"/>
      </w:r>
    </w:p>
    <w:p>
      <w:pPr>
        <w:pStyle w:val="41"/>
        <w:tabs>
          <w:tab w:val="right" w:leader="dot" w:pos="9070"/>
        </w:tabs>
      </w:pPr>
      <w:r>
        <w:fldChar w:fldCharType="begin"/>
      </w:r>
      <w:r>
        <w:instrText xml:space="preserve"> HYPERLINK \l _Toc3224 </w:instrText>
      </w:r>
      <w:r>
        <w:fldChar w:fldCharType="separate"/>
      </w:r>
      <w:r>
        <w:rPr>
          <w:rFonts w:hint="eastAsia" w:ascii="宋体" w:hAnsi="宋体" w:eastAsia="宋体"/>
          <w:szCs w:val="24"/>
        </w:rPr>
        <w:t>附件2</w:t>
      </w:r>
      <w:r>
        <w:rPr>
          <w:rFonts w:ascii="宋体" w:hAnsi="宋体" w:eastAsia="宋体"/>
          <w:szCs w:val="24"/>
        </w:rPr>
        <w:t xml:space="preserve">   </w:t>
      </w:r>
      <w:r>
        <w:rPr>
          <w:rFonts w:hint="eastAsia"/>
        </w:rPr>
        <w:t>开标一览表</w:t>
      </w:r>
      <w:r>
        <w:tab/>
      </w:r>
      <w:r>
        <w:fldChar w:fldCharType="begin"/>
      </w:r>
      <w:r>
        <w:instrText xml:space="preserve"> PAGEREF _Toc3224 \h </w:instrText>
      </w:r>
      <w:r>
        <w:fldChar w:fldCharType="separate"/>
      </w:r>
      <w:r>
        <w:t>48</w:t>
      </w:r>
      <w:r>
        <w:fldChar w:fldCharType="end"/>
      </w:r>
      <w:r>
        <w:fldChar w:fldCharType="end"/>
      </w:r>
    </w:p>
    <w:p>
      <w:pPr>
        <w:pStyle w:val="41"/>
        <w:tabs>
          <w:tab w:val="right" w:leader="dot" w:pos="9070"/>
        </w:tabs>
      </w:pPr>
      <w:r>
        <w:fldChar w:fldCharType="begin"/>
      </w:r>
      <w:r>
        <w:instrText xml:space="preserve"> HYPERLINK \l _Toc26001 </w:instrText>
      </w:r>
      <w:r>
        <w:fldChar w:fldCharType="separate"/>
      </w:r>
      <w:r>
        <w:rPr>
          <w:rFonts w:hint="eastAsia" w:ascii="宋体" w:hAnsi="宋体" w:eastAsia="宋体"/>
          <w:szCs w:val="24"/>
        </w:rPr>
        <w:t>附件3   设备维修及配件</w:t>
      </w:r>
      <w:r>
        <w:rPr>
          <w:rFonts w:hint="eastAsia" w:ascii="宋体" w:hAnsi="宋体" w:eastAsia="宋体"/>
          <w:szCs w:val="24"/>
          <w:lang w:val="en-US" w:eastAsia="zh-CN"/>
        </w:rPr>
        <w:t>价格</w:t>
      </w:r>
      <w:r>
        <w:rPr>
          <w:rFonts w:hint="eastAsia" w:ascii="宋体" w:hAnsi="宋体" w:eastAsia="宋体"/>
          <w:szCs w:val="24"/>
        </w:rPr>
        <w:t>明细表</w:t>
      </w:r>
      <w:r>
        <w:tab/>
      </w:r>
      <w:r>
        <w:fldChar w:fldCharType="begin"/>
      </w:r>
      <w:r>
        <w:instrText xml:space="preserve"> PAGEREF _Toc26001 \h </w:instrText>
      </w:r>
      <w:r>
        <w:fldChar w:fldCharType="separate"/>
      </w:r>
      <w:r>
        <w:t>50</w:t>
      </w:r>
      <w:r>
        <w:fldChar w:fldCharType="end"/>
      </w:r>
      <w:r>
        <w:fldChar w:fldCharType="end"/>
      </w:r>
    </w:p>
    <w:p>
      <w:pPr>
        <w:pStyle w:val="41"/>
        <w:tabs>
          <w:tab w:val="right" w:leader="dot" w:pos="9070"/>
        </w:tabs>
      </w:pPr>
      <w:r>
        <w:fldChar w:fldCharType="begin"/>
      </w:r>
      <w:r>
        <w:instrText xml:space="preserve"> HYPERLINK \l _Toc29977 </w:instrText>
      </w:r>
      <w:r>
        <w:fldChar w:fldCharType="separate"/>
      </w:r>
      <w:r>
        <w:rPr>
          <w:rFonts w:hint="eastAsia" w:ascii="宋体" w:hAnsi="宋体" w:eastAsia="宋体"/>
          <w:szCs w:val="24"/>
        </w:rPr>
        <w:t>附件4</w:t>
      </w:r>
      <w:r>
        <w:rPr>
          <w:rFonts w:ascii="宋体" w:hAnsi="宋体" w:eastAsia="宋体"/>
          <w:szCs w:val="24"/>
        </w:rPr>
        <w:t>-1 法定代表人身份证明</w:t>
      </w:r>
      <w:r>
        <w:tab/>
      </w:r>
      <w:r>
        <w:fldChar w:fldCharType="begin"/>
      </w:r>
      <w:r>
        <w:instrText xml:space="preserve"> PAGEREF _Toc29977 \h </w:instrText>
      </w:r>
      <w:r>
        <w:fldChar w:fldCharType="separate"/>
      </w:r>
      <w:r>
        <w:t>54</w:t>
      </w:r>
      <w:r>
        <w:fldChar w:fldCharType="end"/>
      </w:r>
      <w:r>
        <w:fldChar w:fldCharType="end"/>
      </w:r>
    </w:p>
    <w:p>
      <w:pPr>
        <w:pStyle w:val="41"/>
        <w:tabs>
          <w:tab w:val="right" w:leader="dot" w:pos="9070"/>
        </w:tabs>
      </w:pPr>
      <w:r>
        <w:fldChar w:fldCharType="begin"/>
      </w:r>
      <w:r>
        <w:instrText xml:space="preserve"> HYPERLINK \l _Toc32275 </w:instrText>
      </w:r>
      <w:r>
        <w:fldChar w:fldCharType="separate"/>
      </w:r>
      <w:r>
        <w:rPr>
          <w:rFonts w:hint="eastAsia" w:ascii="宋体" w:hAnsi="宋体" w:eastAsia="宋体"/>
          <w:szCs w:val="24"/>
        </w:rPr>
        <w:t>附件</w:t>
      </w:r>
      <w:r>
        <w:rPr>
          <w:rFonts w:ascii="宋体" w:hAnsi="宋体" w:eastAsia="宋体"/>
          <w:szCs w:val="24"/>
        </w:rPr>
        <w:t>4-2 法定代表人授权委托书</w:t>
      </w:r>
      <w:r>
        <w:tab/>
      </w:r>
      <w:r>
        <w:fldChar w:fldCharType="begin"/>
      </w:r>
      <w:r>
        <w:instrText xml:space="preserve"> PAGEREF _Toc32275 \h </w:instrText>
      </w:r>
      <w:r>
        <w:fldChar w:fldCharType="separate"/>
      </w:r>
      <w:r>
        <w:t>55</w:t>
      </w:r>
      <w:r>
        <w:fldChar w:fldCharType="end"/>
      </w:r>
      <w:r>
        <w:fldChar w:fldCharType="end"/>
      </w:r>
    </w:p>
    <w:p>
      <w:pPr>
        <w:pStyle w:val="41"/>
        <w:tabs>
          <w:tab w:val="right" w:leader="dot" w:pos="9070"/>
        </w:tabs>
      </w:pPr>
      <w:r>
        <w:fldChar w:fldCharType="begin"/>
      </w:r>
      <w:r>
        <w:instrText xml:space="preserve"> HYPERLINK \l _Toc26530 </w:instrText>
      </w:r>
      <w:r>
        <w:fldChar w:fldCharType="separate"/>
      </w:r>
      <w:r>
        <w:rPr>
          <w:rFonts w:hint="eastAsia" w:ascii="宋体" w:hAnsi="宋体" w:eastAsia="宋体"/>
          <w:szCs w:val="24"/>
        </w:rPr>
        <w:t>附件</w:t>
      </w:r>
      <w:r>
        <w:rPr>
          <w:rFonts w:ascii="宋体" w:hAnsi="宋体" w:eastAsia="宋体"/>
          <w:szCs w:val="24"/>
        </w:rPr>
        <w:t>5</w:t>
      </w:r>
      <w:r>
        <w:rPr>
          <w:rFonts w:hint="eastAsia" w:ascii="宋体" w:hAnsi="宋体" w:eastAsia="宋体"/>
          <w:szCs w:val="24"/>
        </w:rPr>
        <w:t xml:space="preserve"> </w:t>
      </w:r>
      <w:r>
        <w:rPr>
          <w:rFonts w:ascii="宋体" w:hAnsi="宋体" w:eastAsia="宋体"/>
          <w:szCs w:val="24"/>
        </w:rPr>
        <w:t xml:space="preserve"> </w:t>
      </w:r>
      <w:r>
        <w:rPr>
          <w:rFonts w:hint="eastAsia" w:ascii="宋体" w:hAnsi="宋体" w:eastAsia="宋体"/>
          <w:szCs w:val="24"/>
        </w:rPr>
        <w:t xml:space="preserve"> 投标供应商</w:t>
      </w:r>
      <w:r>
        <w:rPr>
          <w:rFonts w:ascii="宋体" w:hAnsi="宋体" w:eastAsia="宋体"/>
          <w:szCs w:val="24"/>
        </w:rPr>
        <w:t>情况</w:t>
      </w:r>
      <w:r>
        <w:rPr>
          <w:rFonts w:hint="eastAsia" w:ascii="宋体" w:hAnsi="宋体" w:eastAsia="宋体"/>
          <w:szCs w:val="24"/>
        </w:rPr>
        <w:t>说</w:t>
      </w:r>
      <w:r>
        <w:rPr>
          <w:rFonts w:ascii="宋体" w:hAnsi="宋体" w:eastAsia="宋体"/>
          <w:szCs w:val="24"/>
        </w:rPr>
        <w:t>明</w:t>
      </w:r>
      <w:r>
        <w:tab/>
      </w:r>
      <w:r>
        <w:fldChar w:fldCharType="begin"/>
      </w:r>
      <w:r>
        <w:instrText xml:space="preserve"> PAGEREF _Toc26530 \h </w:instrText>
      </w:r>
      <w:r>
        <w:fldChar w:fldCharType="separate"/>
      </w:r>
      <w:r>
        <w:t>56</w:t>
      </w:r>
      <w:r>
        <w:fldChar w:fldCharType="end"/>
      </w:r>
      <w:r>
        <w:fldChar w:fldCharType="end"/>
      </w:r>
    </w:p>
    <w:p>
      <w:pPr>
        <w:pStyle w:val="41"/>
        <w:tabs>
          <w:tab w:val="right" w:leader="dot" w:pos="9070"/>
        </w:tabs>
      </w:pPr>
      <w:r>
        <w:fldChar w:fldCharType="begin"/>
      </w:r>
      <w:r>
        <w:instrText xml:space="preserve"> HYPERLINK \l _Toc23534 </w:instrText>
      </w:r>
      <w:r>
        <w:fldChar w:fldCharType="separate"/>
      </w:r>
      <w:r>
        <w:rPr>
          <w:rFonts w:hint="eastAsia" w:ascii="宋体" w:hAnsi="宋体" w:eastAsia="宋体"/>
          <w:szCs w:val="24"/>
        </w:rPr>
        <w:t>附件</w:t>
      </w:r>
      <w:r>
        <w:rPr>
          <w:rFonts w:ascii="宋体" w:hAnsi="宋体" w:eastAsia="宋体"/>
          <w:szCs w:val="24"/>
        </w:rPr>
        <w:t xml:space="preserve">6 </w:t>
      </w:r>
      <w:r>
        <w:rPr>
          <w:rFonts w:hint="eastAsia" w:ascii="宋体" w:hAnsi="宋体" w:eastAsia="宋体"/>
          <w:szCs w:val="24"/>
        </w:rPr>
        <w:t xml:space="preserve">  资信</w:t>
      </w:r>
      <w:r>
        <w:rPr>
          <w:rFonts w:ascii="宋体" w:hAnsi="宋体" w:eastAsia="宋体"/>
          <w:szCs w:val="24"/>
        </w:rPr>
        <w:t>证明文件</w:t>
      </w:r>
      <w:r>
        <w:tab/>
      </w:r>
      <w:r>
        <w:fldChar w:fldCharType="begin"/>
      </w:r>
      <w:r>
        <w:instrText xml:space="preserve"> PAGEREF _Toc23534 \h </w:instrText>
      </w:r>
      <w:r>
        <w:fldChar w:fldCharType="separate"/>
      </w:r>
      <w:r>
        <w:t>57</w:t>
      </w:r>
      <w:r>
        <w:fldChar w:fldCharType="end"/>
      </w:r>
      <w:r>
        <w:fldChar w:fldCharType="end"/>
      </w:r>
    </w:p>
    <w:p>
      <w:pPr>
        <w:pStyle w:val="41"/>
        <w:tabs>
          <w:tab w:val="right" w:leader="dot" w:pos="9070"/>
        </w:tabs>
      </w:pPr>
      <w:r>
        <w:fldChar w:fldCharType="begin"/>
      </w:r>
      <w:r>
        <w:instrText xml:space="preserve"> HYPERLINK \l _Toc28878 </w:instrText>
      </w:r>
      <w:r>
        <w:fldChar w:fldCharType="separate"/>
      </w:r>
      <w:r>
        <w:rPr>
          <w:rFonts w:hint="eastAsia" w:ascii="宋体" w:hAnsi="宋体" w:eastAsia="宋体"/>
          <w:szCs w:val="24"/>
        </w:rPr>
        <w:t>附件</w:t>
      </w:r>
      <w:r>
        <w:rPr>
          <w:rFonts w:ascii="宋体" w:hAnsi="宋体" w:eastAsia="宋体"/>
          <w:szCs w:val="24"/>
        </w:rPr>
        <w:t xml:space="preserve">7 </w:t>
      </w:r>
      <w:r>
        <w:rPr>
          <w:rFonts w:hint="eastAsia" w:ascii="宋体" w:hAnsi="宋体" w:eastAsia="宋体"/>
          <w:szCs w:val="24"/>
        </w:rPr>
        <w:t xml:space="preserve">  投标供应商202</w:t>
      </w:r>
      <w:r>
        <w:rPr>
          <w:rFonts w:hint="eastAsia" w:ascii="宋体" w:hAnsi="宋体" w:eastAsia="宋体"/>
          <w:szCs w:val="24"/>
          <w:lang w:val="en-US" w:eastAsia="zh-CN"/>
        </w:rPr>
        <w:t>1</w:t>
      </w:r>
      <w:r>
        <w:rPr>
          <w:rFonts w:hint="eastAsia" w:ascii="宋体" w:hAnsi="宋体" w:eastAsia="宋体"/>
          <w:szCs w:val="24"/>
        </w:rPr>
        <w:t>年1月1日以来</w:t>
      </w:r>
      <w:r>
        <w:rPr>
          <w:rFonts w:hint="eastAsia" w:ascii="宋体" w:hAnsi="宋体"/>
          <w:color w:val="0000FF"/>
          <w:sz w:val="21"/>
          <w:szCs w:val="21"/>
          <w:highlight w:val="yellow"/>
        </w:rPr>
        <w:t>格栅机</w:t>
      </w:r>
      <w:r>
        <w:rPr>
          <w:rFonts w:hint="eastAsia" w:ascii="宋体" w:hAnsi="宋体"/>
          <w:color w:val="0000FF"/>
          <w:sz w:val="21"/>
          <w:szCs w:val="21"/>
          <w:highlight w:val="yellow"/>
          <w:lang w:eastAsia="zh-CN"/>
        </w:rPr>
        <w:t>维修或保养业绩</w:t>
      </w:r>
      <w:r>
        <w:rPr>
          <w:rFonts w:hint="eastAsia" w:ascii="宋体" w:hAnsi="宋体" w:eastAsia="宋体"/>
          <w:szCs w:val="24"/>
        </w:rPr>
        <w:t>业绩</w:t>
      </w:r>
      <w:r>
        <w:rPr>
          <w:rFonts w:ascii="宋体" w:hAnsi="宋体" w:eastAsia="宋体"/>
          <w:szCs w:val="24"/>
        </w:rPr>
        <w:t>一览表</w:t>
      </w:r>
      <w:r>
        <w:tab/>
      </w:r>
      <w:r>
        <w:fldChar w:fldCharType="begin"/>
      </w:r>
      <w:r>
        <w:instrText xml:space="preserve"> PAGEREF _Toc28878 \h </w:instrText>
      </w:r>
      <w:r>
        <w:fldChar w:fldCharType="separate"/>
      </w:r>
      <w:r>
        <w:t>58</w:t>
      </w:r>
      <w:r>
        <w:fldChar w:fldCharType="end"/>
      </w:r>
      <w:r>
        <w:fldChar w:fldCharType="end"/>
      </w:r>
    </w:p>
    <w:p>
      <w:pPr>
        <w:pStyle w:val="41"/>
        <w:tabs>
          <w:tab w:val="right" w:leader="dot" w:pos="9070"/>
        </w:tabs>
      </w:pPr>
      <w:r>
        <w:fldChar w:fldCharType="begin"/>
      </w:r>
      <w:r>
        <w:instrText xml:space="preserve"> HYPERLINK \l _Toc3794 </w:instrText>
      </w:r>
      <w:r>
        <w:fldChar w:fldCharType="separate"/>
      </w:r>
      <w:r>
        <w:rPr>
          <w:rFonts w:hint="eastAsia" w:ascii="宋体" w:hAnsi="宋体" w:eastAsia="宋体"/>
          <w:szCs w:val="24"/>
        </w:rPr>
        <w:t>附件8</w:t>
      </w:r>
      <w:r>
        <w:rPr>
          <w:rFonts w:ascii="宋体" w:hAnsi="宋体" w:eastAsia="宋体"/>
          <w:szCs w:val="24"/>
        </w:rPr>
        <w:t xml:space="preserve">  技术（或商务）偏离表</w:t>
      </w:r>
      <w:r>
        <w:tab/>
      </w:r>
      <w:r>
        <w:fldChar w:fldCharType="begin"/>
      </w:r>
      <w:r>
        <w:instrText xml:space="preserve"> PAGEREF _Toc3794 \h </w:instrText>
      </w:r>
      <w:r>
        <w:fldChar w:fldCharType="separate"/>
      </w:r>
      <w:r>
        <w:t>59</w:t>
      </w:r>
      <w:r>
        <w:fldChar w:fldCharType="end"/>
      </w:r>
      <w:r>
        <w:fldChar w:fldCharType="end"/>
      </w:r>
    </w:p>
    <w:p>
      <w:pPr>
        <w:pStyle w:val="41"/>
        <w:tabs>
          <w:tab w:val="right" w:leader="dot" w:pos="9070"/>
        </w:tabs>
      </w:pPr>
      <w:r>
        <w:fldChar w:fldCharType="begin"/>
      </w:r>
      <w:r>
        <w:instrText xml:space="preserve"> HYPERLINK \l _Toc18697 </w:instrText>
      </w:r>
      <w:r>
        <w:fldChar w:fldCharType="separate"/>
      </w:r>
      <w:r>
        <w:rPr>
          <w:rFonts w:hint="eastAsia" w:ascii="宋体" w:hAnsi="宋体" w:eastAsia="宋体"/>
          <w:szCs w:val="24"/>
        </w:rPr>
        <w:t xml:space="preserve">附件9  </w:t>
      </w:r>
      <w:r>
        <w:rPr>
          <w:rFonts w:hint="eastAsia" w:hAnsi="宋体" w:cs="Arial"/>
          <w:szCs w:val="22"/>
        </w:rPr>
        <w:t>参加国有企业采购活动前3年内在经营活动中有/无重大违法记录（包括行贿犯罪记录）的书面声明</w:t>
      </w:r>
      <w:r>
        <w:tab/>
      </w:r>
      <w:r>
        <w:fldChar w:fldCharType="begin"/>
      </w:r>
      <w:r>
        <w:instrText xml:space="preserve"> PAGEREF _Toc18697 \h </w:instrText>
      </w:r>
      <w:r>
        <w:fldChar w:fldCharType="separate"/>
      </w:r>
      <w:r>
        <w:t>60</w:t>
      </w:r>
      <w:r>
        <w:fldChar w:fldCharType="end"/>
      </w:r>
      <w:r>
        <w:fldChar w:fldCharType="end"/>
      </w:r>
    </w:p>
    <w:p>
      <w:pPr>
        <w:pStyle w:val="41"/>
        <w:tabs>
          <w:tab w:val="right" w:leader="dot" w:pos="9070"/>
        </w:tabs>
      </w:pPr>
      <w:r>
        <w:fldChar w:fldCharType="begin"/>
      </w:r>
      <w:r>
        <w:instrText xml:space="preserve"> HYPERLINK \l _Toc7951 </w:instrText>
      </w:r>
      <w:r>
        <w:fldChar w:fldCharType="separate"/>
      </w:r>
      <w:r>
        <w:rPr>
          <w:rFonts w:hint="eastAsia" w:ascii="宋体" w:hAnsi="宋体" w:eastAsia="宋体"/>
          <w:szCs w:val="24"/>
        </w:rPr>
        <w:t>附件</w:t>
      </w:r>
      <w:r>
        <w:rPr>
          <w:rFonts w:ascii="宋体" w:hAnsi="宋体" w:eastAsia="宋体"/>
          <w:szCs w:val="24"/>
        </w:rPr>
        <w:t>1</w:t>
      </w:r>
      <w:r>
        <w:rPr>
          <w:rFonts w:hint="eastAsia" w:ascii="宋体" w:hAnsi="宋体" w:eastAsia="宋体"/>
          <w:szCs w:val="24"/>
        </w:rPr>
        <w:t>0  投标人服务、售后服务承诺</w:t>
      </w:r>
      <w:r>
        <w:tab/>
      </w:r>
      <w:r>
        <w:fldChar w:fldCharType="begin"/>
      </w:r>
      <w:r>
        <w:instrText xml:space="preserve"> PAGEREF _Toc7951 \h </w:instrText>
      </w:r>
      <w:r>
        <w:fldChar w:fldCharType="separate"/>
      </w:r>
      <w:r>
        <w:t>61</w:t>
      </w:r>
      <w:r>
        <w:fldChar w:fldCharType="end"/>
      </w:r>
      <w:r>
        <w:fldChar w:fldCharType="end"/>
      </w:r>
    </w:p>
    <w:p>
      <w:pPr>
        <w:pStyle w:val="35"/>
        <w:tabs>
          <w:tab w:val="right" w:leader="dot" w:pos="9070"/>
        </w:tabs>
      </w:pPr>
      <w:r>
        <w:fldChar w:fldCharType="begin"/>
      </w:r>
      <w:r>
        <w:instrText xml:space="preserve"> HYPERLINK \l _Toc2731 </w:instrText>
      </w:r>
      <w:r>
        <w:fldChar w:fldCharType="separate"/>
      </w:r>
      <w:r>
        <w:rPr>
          <w:rFonts w:ascii="Arial" w:hAnsi="宋体" w:cs="Arial"/>
          <w:bCs/>
          <w:szCs w:val="28"/>
        </w:rPr>
        <w:t>第六部分  评标办法</w:t>
      </w:r>
      <w:r>
        <w:tab/>
      </w:r>
      <w:r>
        <w:fldChar w:fldCharType="begin"/>
      </w:r>
      <w:r>
        <w:instrText xml:space="preserve"> PAGEREF _Toc2731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_Toc19388 </w:instrText>
      </w:r>
      <w:r>
        <w:fldChar w:fldCharType="separate"/>
      </w:r>
      <w:r>
        <w:rPr>
          <w:rFonts w:ascii="宋体" w:hAnsi="宋体" w:eastAsia="宋体"/>
          <w:szCs w:val="21"/>
        </w:rPr>
        <w:t>（一）总则</w:t>
      </w:r>
      <w:r>
        <w:tab/>
      </w:r>
      <w:r>
        <w:fldChar w:fldCharType="begin"/>
      </w:r>
      <w:r>
        <w:instrText xml:space="preserve"> PAGEREF _Toc19388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_Toc22027 </w:instrText>
      </w:r>
      <w:r>
        <w:fldChar w:fldCharType="separate"/>
      </w:r>
      <w:r>
        <w:rPr>
          <w:rFonts w:ascii="宋体" w:hAnsi="宋体" w:eastAsia="宋体"/>
          <w:szCs w:val="21"/>
        </w:rPr>
        <w:t>（二）评标组织</w:t>
      </w:r>
      <w:r>
        <w:tab/>
      </w:r>
      <w:r>
        <w:fldChar w:fldCharType="begin"/>
      </w:r>
      <w:r>
        <w:instrText xml:space="preserve"> PAGEREF _Toc22027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_Toc777 </w:instrText>
      </w:r>
      <w:r>
        <w:fldChar w:fldCharType="separate"/>
      </w:r>
      <w:r>
        <w:rPr>
          <w:rFonts w:ascii="宋体" w:hAnsi="宋体" w:eastAsia="宋体"/>
          <w:szCs w:val="21"/>
        </w:rPr>
        <w:t>（三）开、评标程序及办法</w:t>
      </w:r>
      <w:r>
        <w:tab/>
      </w:r>
      <w:r>
        <w:fldChar w:fldCharType="begin"/>
      </w:r>
      <w:r>
        <w:instrText xml:space="preserve"> PAGEREF _Toc777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_Toc15107 </w:instrText>
      </w:r>
      <w:r>
        <w:fldChar w:fldCharType="separate"/>
      </w:r>
      <w:r>
        <w:rPr>
          <w:rFonts w:ascii="宋体" w:hAnsi="宋体" w:eastAsia="宋体"/>
          <w:szCs w:val="21"/>
        </w:rPr>
        <w:t>（四）评标细则</w:t>
      </w:r>
      <w:r>
        <w:tab/>
      </w:r>
      <w:r>
        <w:fldChar w:fldCharType="begin"/>
      </w:r>
      <w:r>
        <w:instrText xml:space="preserve"> PAGEREF _Toc15107 \h </w:instrText>
      </w:r>
      <w:r>
        <w:fldChar w:fldCharType="separate"/>
      </w:r>
      <w:r>
        <w:t>63</w:t>
      </w:r>
      <w:r>
        <w:fldChar w:fldCharType="end"/>
      </w:r>
      <w:r>
        <w:fldChar w:fldCharType="end"/>
      </w:r>
    </w:p>
    <w:p>
      <w:pPr>
        <w:spacing w:line="400" w:lineRule="exact"/>
      </w:pPr>
      <w:r>
        <w:fldChar w:fldCharType="end"/>
      </w:r>
    </w:p>
    <w:p>
      <w:pPr>
        <w:spacing w:line="360" w:lineRule="auto"/>
        <w:jc w:val="center"/>
        <w:outlineLvl w:val="0"/>
        <w:rPr>
          <w:rFonts w:ascii="Arial" w:hAnsi="Arial" w:cs="Arial"/>
          <w:b/>
          <w:bCs/>
          <w:sz w:val="28"/>
          <w:szCs w:val="28"/>
        </w:rPr>
      </w:pPr>
      <w:r>
        <w:br w:type="page"/>
      </w:r>
      <w:bookmarkStart w:id="9" w:name="_Toc12617"/>
      <w:r>
        <w:rPr>
          <w:rFonts w:ascii="Arial" w:hAnsi="宋体" w:cs="Arial"/>
          <w:b/>
          <w:bCs/>
          <w:sz w:val="28"/>
          <w:szCs w:val="28"/>
        </w:rPr>
        <w:t>第一部分  招标公告</w:t>
      </w:r>
      <w:bookmarkEnd w:id="9"/>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9141" w:type="dxa"/>
          </w:tcPr>
          <w:p>
            <w:pPr>
              <w:adjustRightInd w:val="0"/>
              <w:snapToGrid w:val="0"/>
              <w:spacing w:line="400" w:lineRule="exact"/>
              <w:ind w:firstLine="420" w:firstLineChars="200"/>
              <w:rPr>
                <w:color w:val="auto"/>
              </w:rPr>
            </w:pPr>
            <w:r>
              <w:rPr>
                <w:rFonts w:hint="eastAsia"/>
                <w:color w:val="auto"/>
              </w:rPr>
              <w:t>项目概况</w:t>
            </w:r>
          </w:p>
          <w:p>
            <w:pPr>
              <w:adjustRightInd w:val="0"/>
              <w:snapToGrid w:val="0"/>
              <w:spacing w:line="400" w:lineRule="exact"/>
              <w:ind w:firstLine="420" w:firstLineChars="200"/>
              <w:rPr>
                <w:color w:val="0000FF"/>
              </w:rPr>
            </w:pPr>
            <w:r>
              <w:rPr>
                <w:rFonts w:hint="eastAsia"/>
                <w:color w:val="auto"/>
              </w:rPr>
              <w:t>2024年瑞安市污水处理厂及泵站格栅机定期保养及修理服务外包采购项目的潜在</w:t>
            </w:r>
            <w:r>
              <w:rPr>
                <w:rFonts w:hint="eastAsia" w:ascii="宋体" w:hAnsi="宋体" w:cs="宋体"/>
                <w:szCs w:val="21"/>
              </w:rPr>
              <w:t>供应商应在“国企采购乐采云平台”（</w:t>
            </w:r>
            <w:r>
              <w:rPr>
                <w:color w:val="auto"/>
              </w:rPr>
              <w:fldChar w:fldCharType="begin"/>
            </w:r>
            <w:r>
              <w:rPr>
                <w:color w:val="auto"/>
              </w:rPr>
              <w:instrText xml:space="preserve"> HYPERLINK "http://www.lecaiyun.com/）获取招标文件，并于2023年" </w:instrText>
            </w:r>
            <w:r>
              <w:rPr>
                <w:color w:val="auto"/>
              </w:rPr>
              <w:fldChar w:fldCharType="separate"/>
            </w:r>
            <w:r>
              <w:rPr>
                <w:rStyle w:val="60"/>
                <w:rFonts w:hint="eastAsia" w:ascii="宋体" w:hAnsi="宋体" w:cs="宋体"/>
                <w:color w:val="auto"/>
                <w:szCs w:val="21"/>
              </w:rPr>
              <w:t>http://www.lecaiyun.com/）获取招标文件，并于</w:t>
            </w:r>
            <w:r>
              <w:rPr>
                <w:rStyle w:val="60"/>
                <w:rFonts w:hint="eastAsia" w:ascii="宋体" w:hAnsi="宋体"/>
                <w:bCs/>
                <w:color w:val="auto"/>
              </w:rPr>
              <w:t>2</w:t>
            </w:r>
            <w:r>
              <w:rPr>
                <w:rStyle w:val="60"/>
                <w:rFonts w:hint="eastAsia" w:ascii="宋体" w:hAnsi="宋体"/>
                <w:bCs/>
                <w:color w:val="auto"/>
                <w:lang w:val="en-US" w:eastAsia="zh-CN"/>
              </w:rPr>
              <w:t>024</w:t>
            </w:r>
            <w:r>
              <w:rPr>
                <w:rStyle w:val="60"/>
                <w:rFonts w:hint="eastAsia" w:ascii="宋体" w:hAnsi="宋体"/>
                <w:bCs/>
                <w:color w:val="auto"/>
              </w:rPr>
              <w:t>年</w:t>
            </w:r>
            <w:r>
              <w:rPr>
                <w:rStyle w:val="60"/>
                <w:rFonts w:hint="eastAsia" w:ascii="宋体" w:hAnsi="宋体"/>
                <w:bCs/>
                <w:color w:val="auto"/>
              </w:rPr>
              <w:fldChar w:fldCharType="end"/>
            </w:r>
            <w:r>
              <w:rPr>
                <w:rFonts w:hint="eastAsia"/>
                <w:color w:val="auto"/>
                <w:lang w:val="en-US" w:eastAsia="zh-CN"/>
              </w:rPr>
              <w:t>1</w:t>
            </w:r>
            <w:r>
              <w:rPr>
                <w:rFonts w:hint="eastAsia"/>
                <w:color w:val="auto"/>
              </w:rPr>
              <w:t>月</w:t>
            </w:r>
            <w:bookmarkStart w:id="88" w:name="_GoBack"/>
            <w:r>
              <w:rPr>
                <w:rFonts w:hint="eastAsia"/>
                <w:color w:val="auto"/>
                <w:lang w:val="en-US" w:eastAsia="zh-CN"/>
              </w:rPr>
              <w:t>25</w:t>
            </w:r>
            <w:r>
              <w:rPr>
                <w:rFonts w:hint="eastAsia"/>
                <w:color w:val="auto"/>
              </w:rPr>
              <w:t>日</w:t>
            </w:r>
            <w:bookmarkEnd w:id="88"/>
            <w:r>
              <w:rPr>
                <w:rFonts w:hint="eastAsia"/>
                <w:color w:val="auto"/>
                <w:lang w:val="en-US" w:eastAsia="zh-CN"/>
              </w:rPr>
              <w:t>9</w:t>
            </w:r>
            <w:r>
              <w:rPr>
                <w:rFonts w:hint="eastAsia"/>
                <w:color w:val="auto"/>
              </w:rPr>
              <w:t>点</w:t>
            </w:r>
            <w:r>
              <w:rPr>
                <w:rFonts w:hint="eastAsia"/>
                <w:color w:val="auto"/>
                <w:lang w:val="en-US" w:eastAsia="zh-CN"/>
              </w:rPr>
              <w:t>0</w:t>
            </w:r>
            <w:r>
              <w:rPr>
                <w:rFonts w:hint="eastAsia"/>
                <w:color w:val="auto"/>
              </w:rPr>
              <w:t>0分（北京时间）前提交投标文件。</w:t>
            </w:r>
          </w:p>
        </w:tc>
      </w:tr>
    </w:tbl>
    <w:p>
      <w:pPr>
        <w:pStyle w:val="288"/>
        <w:widowControl w:val="0"/>
        <w:numPr>
          <w:ilvl w:val="0"/>
          <w:numId w:val="4"/>
        </w:numPr>
        <w:tabs>
          <w:tab w:val="left" w:pos="426"/>
          <w:tab w:val="clear" w:pos="1100"/>
        </w:tabs>
        <w:spacing w:line="400" w:lineRule="exact"/>
        <w:ind w:hanging="1100" w:firstLineChars="0"/>
        <w:jc w:val="both"/>
        <w:rPr>
          <w:rFonts w:ascii="宋体" w:hAnsi="宋体" w:cs="宋体"/>
          <w:b/>
          <w:bCs/>
          <w:szCs w:val="21"/>
        </w:rPr>
      </w:pPr>
      <w:r>
        <w:rPr>
          <w:rFonts w:hint="eastAsia" w:ascii="宋体" w:hAnsi="宋体" w:cs="宋体"/>
          <w:b/>
          <w:bCs/>
          <w:szCs w:val="21"/>
        </w:rPr>
        <w:t>项目基本情况</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szCs w:val="21"/>
        </w:rPr>
        <w:t>1.项目</w:t>
      </w:r>
      <w:r>
        <w:rPr>
          <w:rFonts w:hint="eastAsia" w:ascii="宋体" w:hAnsi="宋体" w:cs="宋体"/>
          <w:bCs/>
          <w:color w:val="auto"/>
          <w:szCs w:val="21"/>
          <w:highlight w:val="none"/>
        </w:rPr>
        <w:t>编号：KBZC2023031</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2.项目名称：2024年瑞安市污水处理厂及泵站格栅机定期保养及修理服务外包采购项目</w:t>
      </w:r>
    </w:p>
    <w:p>
      <w:pPr>
        <w:spacing w:line="440" w:lineRule="exact"/>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3.预算总金额（元）：</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130000</w:t>
      </w:r>
      <w:r>
        <w:rPr>
          <w:rFonts w:hint="eastAsia" w:ascii="宋体" w:hAnsi="宋体" w:cs="宋体"/>
          <w:color w:val="auto"/>
          <w:szCs w:val="21"/>
          <w:highlight w:val="none"/>
          <w:lang w:eastAsia="zh-CN"/>
        </w:rPr>
        <w:t>元</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4.采购需求：</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标项一：</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标项内容：</w:t>
      </w:r>
      <w:r>
        <w:rPr>
          <w:rFonts w:hint="eastAsia" w:ascii="宋体" w:hAnsi="宋体" w:cs="宋体"/>
          <w:bCs/>
          <w:color w:val="auto"/>
          <w:szCs w:val="21"/>
          <w:highlight w:val="none"/>
          <w:lang w:val="en-US" w:eastAsia="zh-CN"/>
        </w:rPr>
        <w:t>2024年</w:t>
      </w:r>
      <w:r>
        <w:rPr>
          <w:rFonts w:hint="eastAsia" w:ascii="宋体" w:hAnsi="宋体" w:cs="宋体"/>
          <w:bCs/>
          <w:color w:val="auto"/>
          <w:szCs w:val="21"/>
          <w:highlight w:val="none"/>
        </w:rPr>
        <w:t>瑞安市污水处理厂及泵站格栅机定期保养及修理服务外包采购项目</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数量：1</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单位：项</w:t>
      </w:r>
    </w:p>
    <w:p>
      <w:pPr>
        <w:spacing w:line="440" w:lineRule="exact"/>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预算金额（元）：</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130000</w:t>
      </w:r>
      <w:r>
        <w:rPr>
          <w:rFonts w:hint="eastAsia" w:ascii="宋体" w:hAnsi="宋体" w:cs="宋体"/>
          <w:color w:val="auto"/>
          <w:szCs w:val="21"/>
          <w:highlight w:val="none"/>
          <w:lang w:eastAsia="zh-CN"/>
        </w:rPr>
        <w:t>元</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最高限价（元）：</w:t>
      </w:r>
      <w:r>
        <w:rPr>
          <w:rFonts w:hint="eastAsia" w:ascii="宋体" w:hAnsi="宋体" w:cs="宋体"/>
          <w:color w:val="auto"/>
          <w:szCs w:val="21"/>
          <w:highlight w:val="none"/>
        </w:rPr>
        <w:t>详见本招标文件第三部分</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允许联合体投标：否</w:t>
      </w:r>
    </w:p>
    <w:p>
      <w:pPr>
        <w:spacing w:line="400" w:lineRule="exact"/>
        <w:ind w:firstLine="420"/>
        <w:rPr>
          <w:rFonts w:ascii="宋体" w:hAnsi="宋体" w:cs="宋体"/>
          <w:bCs/>
          <w:szCs w:val="21"/>
        </w:rPr>
      </w:pPr>
      <w:r>
        <w:rPr>
          <w:rFonts w:hint="eastAsia" w:ascii="宋体" w:hAnsi="宋体" w:cs="宋体"/>
          <w:bCs/>
          <w:szCs w:val="21"/>
        </w:rPr>
        <w:t>合同履约期限：</w:t>
      </w:r>
      <w:r>
        <w:rPr>
          <w:rFonts w:hint="eastAsia" w:ascii="宋体" w:hAnsi="宋体"/>
          <w:color w:val="auto"/>
          <w:szCs w:val="21"/>
        </w:rPr>
        <w:t>合同签订之日起至2024年12月31日</w:t>
      </w:r>
      <w:r>
        <w:rPr>
          <w:rFonts w:hint="eastAsia" w:ascii="宋体" w:hAnsi="宋体"/>
          <w:color w:val="auto"/>
          <w:szCs w:val="21"/>
          <w:lang w:eastAsia="zh-CN"/>
        </w:rPr>
        <w:t>，</w:t>
      </w:r>
      <w:r>
        <w:rPr>
          <w:rFonts w:hint="eastAsia" w:ascii="Arial" w:hAnsi="Arial" w:cs="Arial"/>
          <w:color w:val="auto"/>
          <w:lang w:eastAsia="zh-CN"/>
        </w:rPr>
        <w:t>或</w:t>
      </w:r>
      <w:r>
        <w:rPr>
          <w:rFonts w:hint="eastAsia"/>
          <w:color w:val="auto"/>
          <w:highlight w:val="none"/>
          <w:u w:val="none"/>
        </w:rPr>
        <w:t>采购量达到</w:t>
      </w:r>
      <w:r>
        <w:rPr>
          <w:rFonts w:hint="eastAsia"/>
          <w:color w:val="auto"/>
          <w:highlight w:val="none"/>
          <w:u w:val="none"/>
          <w:lang w:eastAsia="zh-CN"/>
        </w:rPr>
        <w:t>本项目采购</w:t>
      </w:r>
      <w:r>
        <w:rPr>
          <w:rFonts w:hint="eastAsia"/>
          <w:color w:val="auto"/>
          <w:highlight w:val="none"/>
          <w:u w:val="none"/>
        </w:rPr>
        <w:t>预算金额，以先到为准</w:t>
      </w:r>
      <w:r>
        <w:rPr>
          <w:rFonts w:hint="eastAsia" w:ascii="宋体" w:hAnsi="宋体"/>
          <w:color w:val="auto"/>
          <w:szCs w:val="21"/>
          <w:u w:val="none"/>
        </w:rPr>
        <w:t>。</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简要规格描述或项目基本概况介绍、用途：泵站格栅机定期保养及修理，详见本招标文件第三部分。</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备注：/</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申请人的资格要求</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1.符合《瑞安市国有企业采购管理办法（试行）》第十二条；</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2.落实国企采购政策需满足的资格要求：/</w:t>
      </w:r>
    </w:p>
    <w:p>
      <w:pPr>
        <w:pStyle w:val="288"/>
        <w:tabs>
          <w:tab w:val="left" w:pos="426"/>
        </w:tabs>
        <w:spacing w:line="380" w:lineRule="exact"/>
        <w:rPr>
          <w:rFonts w:ascii="宋体" w:hAnsi="宋体" w:cs="宋体"/>
          <w:bCs/>
          <w:szCs w:val="21"/>
        </w:rPr>
      </w:pPr>
      <w:r>
        <w:rPr>
          <w:rFonts w:hint="eastAsia" w:ascii="宋体" w:hAnsi="宋体" w:cs="宋体"/>
          <w:bCs/>
          <w:szCs w:val="21"/>
        </w:rPr>
        <w:t>3.本项目的特定</w:t>
      </w:r>
      <w:r>
        <w:rPr>
          <w:rFonts w:hint="eastAsia" w:ascii="宋体" w:hAnsi="宋体" w:cs="宋体"/>
          <w:bCs/>
          <w:szCs w:val="21"/>
          <w:highlight w:val="none"/>
        </w:rPr>
        <w:t>资格要</w:t>
      </w:r>
      <w:r>
        <w:rPr>
          <w:rFonts w:hint="eastAsia" w:ascii="宋体" w:hAnsi="宋体" w:cs="宋体"/>
          <w:bCs/>
          <w:color w:val="auto"/>
          <w:szCs w:val="21"/>
          <w:highlight w:val="none"/>
        </w:rPr>
        <w:t>求：</w:t>
      </w:r>
      <w:r>
        <w:rPr>
          <w:rFonts w:hint="eastAsia" w:ascii="宋体" w:hAnsi="宋体" w:cs="Arial Unicode MS"/>
          <w:color w:val="auto"/>
          <w:szCs w:val="21"/>
          <w:highlight w:val="none"/>
          <w:lang w:val="en-US" w:eastAsia="zh-CN"/>
        </w:rPr>
        <w:t>无</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获取招标文件</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时间：</w:t>
      </w:r>
      <w:r>
        <w:rPr>
          <w:rFonts w:hint="eastAsia" w:ascii="宋体" w:hAnsi="宋体" w:cs="宋体"/>
          <w:bCs/>
          <w:color w:val="auto"/>
          <w:szCs w:val="21"/>
          <w:lang w:eastAsia="zh-CN"/>
        </w:rPr>
        <w:t>2024年1月10日</w:t>
      </w:r>
      <w:r>
        <w:rPr>
          <w:rFonts w:hint="eastAsia" w:ascii="宋体" w:hAnsi="宋体" w:cs="宋体"/>
          <w:bCs/>
          <w:color w:val="auto"/>
          <w:szCs w:val="21"/>
        </w:rPr>
        <w:t>至</w:t>
      </w:r>
      <w:r>
        <w:rPr>
          <w:rFonts w:hint="eastAsia" w:ascii="宋体" w:hAnsi="宋体" w:cs="宋体"/>
          <w:bCs/>
          <w:color w:val="auto"/>
          <w:szCs w:val="21"/>
          <w:lang w:eastAsia="zh-CN"/>
        </w:rPr>
        <w:t>2024年1月2</w:t>
      </w:r>
      <w:r>
        <w:rPr>
          <w:rFonts w:hint="eastAsia" w:ascii="宋体" w:hAnsi="宋体" w:cs="宋体"/>
          <w:bCs/>
          <w:color w:val="auto"/>
          <w:szCs w:val="21"/>
          <w:lang w:val="en-US" w:eastAsia="zh-CN"/>
        </w:rPr>
        <w:t>4</w:t>
      </w:r>
      <w:r>
        <w:rPr>
          <w:rFonts w:hint="eastAsia" w:ascii="宋体" w:hAnsi="宋体" w:cs="宋体"/>
          <w:bCs/>
          <w:color w:val="auto"/>
          <w:szCs w:val="21"/>
          <w:lang w:eastAsia="zh-CN"/>
        </w:rPr>
        <w:t>日</w:t>
      </w:r>
      <w:r>
        <w:rPr>
          <w:rFonts w:hint="eastAsia" w:ascii="宋体" w:hAnsi="宋体" w:cs="宋体"/>
          <w:bCs/>
          <w:color w:val="auto"/>
          <w:szCs w:val="21"/>
        </w:rPr>
        <w:t>，每天上午8:30至下午17:00</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地点：登录国企采购乐采云平台（http://www.lecaiyun.com/）申请获取招标文件。</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售价（元）：0</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提交投标文件截止时间、开标时间和地点</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提交投标文件截止时间：202</w:t>
      </w:r>
      <w:r>
        <w:rPr>
          <w:rFonts w:hint="eastAsia" w:ascii="宋体" w:hAnsi="宋体" w:cs="宋体"/>
          <w:bCs/>
          <w:color w:val="auto"/>
          <w:szCs w:val="21"/>
          <w:lang w:val="en-US" w:eastAsia="zh-CN"/>
        </w:rPr>
        <w:t>4</w:t>
      </w:r>
      <w:r>
        <w:rPr>
          <w:rFonts w:hint="eastAsia" w:ascii="宋体" w:hAnsi="宋体" w:cs="宋体"/>
          <w:bCs/>
          <w:color w:val="auto"/>
          <w:szCs w:val="21"/>
        </w:rPr>
        <w:t>年</w:t>
      </w:r>
      <w:r>
        <w:rPr>
          <w:rFonts w:hint="eastAsia" w:ascii="宋体" w:hAnsi="宋体" w:cs="宋体"/>
          <w:bCs/>
          <w:color w:val="auto"/>
          <w:szCs w:val="21"/>
          <w:lang w:val="en-US" w:eastAsia="zh-CN"/>
        </w:rPr>
        <w:t>1</w:t>
      </w:r>
      <w:r>
        <w:rPr>
          <w:rFonts w:hint="eastAsia" w:ascii="宋体" w:hAnsi="宋体" w:cs="宋体"/>
          <w:bCs/>
          <w:color w:val="auto"/>
          <w:szCs w:val="21"/>
        </w:rPr>
        <w:t>月</w:t>
      </w:r>
      <w:r>
        <w:rPr>
          <w:rFonts w:hint="eastAsia" w:ascii="宋体" w:hAnsi="宋体" w:cs="宋体"/>
          <w:bCs/>
          <w:color w:val="auto"/>
          <w:szCs w:val="21"/>
          <w:lang w:val="en-US" w:eastAsia="zh-CN"/>
        </w:rPr>
        <w:t>25日9</w:t>
      </w:r>
      <w:r>
        <w:rPr>
          <w:rFonts w:hint="eastAsia" w:ascii="宋体" w:hAnsi="宋体" w:cs="宋体"/>
          <w:bCs/>
          <w:color w:val="auto"/>
          <w:szCs w:val="21"/>
        </w:rPr>
        <w:t>点</w:t>
      </w:r>
      <w:r>
        <w:rPr>
          <w:rFonts w:hint="eastAsia" w:ascii="宋体" w:hAnsi="宋体" w:cs="宋体"/>
          <w:bCs/>
          <w:color w:val="auto"/>
          <w:szCs w:val="21"/>
          <w:lang w:val="en-US" w:eastAsia="zh-CN"/>
        </w:rPr>
        <w:t>0</w:t>
      </w:r>
      <w:r>
        <w:rPr>
          <w:rFonts w:hint="eastAsia" w:ascii="宋体" w:hAnsi="宋体" w:cs="宋体"/>
          <w:bCs/>
          <w:color w:val="auto"/>
          <w:szCs w:val="21"/>
        </w:rPr>
        <w:t>0分（北京时间）；</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投标地点：投标供应商应当在投标截止时间前将电子投标文件上传到“国企采购乐采云平台”。</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开标时间：202</w:t>
      </w:r>
      <w:r>
        <w:rPr>
          <w:rFonts w:hint="eastAsia" w:ascii="宋体" w:hAnsi="宋体" w:cs="宋体"/>
          <w:bCs/>
          <w:color w:val="auto"/>
          <w:szCs w:val="21"/>
          <w:lang w:val="en-US" w:eastAsia="zh-CN"/>
        </w:rPr>
        <w:t>4</w:t>
      </w:r>
      <w:r>
        <w:rPr>
          <w:rFonts w:hint="eastAsia" w:ascii="宋体" w:hAnsi="宋体" w:cs="宋体"/>
          <w:bCs/>
          <w:color w:val="auto"/>
          <w:szCs w:val="21"/>
        </w:rPr>
        <w:t>年</w:t>
      </w:r>
      <w:r>
        <w:rPr>
          <w:rFonts w:hint="eastAsia" w:ascii="宋体" w:hAnsi="宋体" w:cs="宋体"/>
          <w:bCs/>
          <w:color w:val="auto"/>
          <w:szCs w:val="21"/>
          <w:lang w:val="en-US" w:eastAsia="zh-CN"/>
        </w:rPr>
        <w:t>1</w:t>
      </w:r>
      <w:r>
        <w:rPr>
          <w:rFonts w:hint="eastAsia" w:ascii="宋体" w:hAnsi="宋体" w:cs="宋体"/>
          <w:bCs/>
          <w:color w:val="auto"/>
          <w:szCs w:val="21"/>
        </w:rPr>
        <w:t>月</w:t>
      </w:r>
      <w:r>
        <w:rPr>
          <w:rFonts w:hint="eastAsia" w:ascii="宋体" w:hAnsi="宋体" w:cs="宋体"/>
          <w:bCs/>
          <w:color w:val="auto"/>
          <w:szCs w:val="21"/>
          <w:lang w:val="en-US" w:eastAsia="zh-CN"/>
        </w:rPr>
        <w:t>25日9</w:t>
      </w:r>
      <w:r>
        <w:rPr>
          <w:rFonts w:hint="eastAsia" w:ascii="宋体" w:hAnsi="宋体" w:cs="宋体"/>
          <w:bCs/>
          <w:color w:val="auto"/>
          <w:szCs w:val="21"/>
        </w:rPr>
        <w:t>点</w:t>
      </w:r>
      <w:r>
        <w:rPr>
          <w:rFonts w:hint="eastAsia" w:ascii="宋体" w:hAnsi="宋体" w:cs="宋体"/>
          <w:bCs/>
          <w:color w:val="auto"/>
          <w:szCs w:val="21"/>
          <w:lang w:val="en-US" w:eastAsia="zh-CN"/>
        </w:rPr>
        <w:t>0</w:t>
      </w:r>
      <w:r>
        <w:rPr>
          <w:rFonts w:hint="eastAsia" w:ascii="宋体" w:hAnsi="宋体" w:cs="宋体"/>
          <w:bCs/>
          <w:color w:val="auto"/>
          <w:szCs w:val="21"/>
        </w:rPr>
        <w:t>0分（北京时间）；</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开标地点：投标供应商应当在投标截止时间前将电子投标文件上传到“国企采购乐采云平台”。</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公告期限</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自本公告发布之日起5个工作日。</w:t>
      </w:r>
    </w:p>
    <w:p>
      <w:pPr>
        <w:pStyle w:val="288"/>
        <w:widowControl w:val="0"/>
        <w:numPr>
          <w:ilvl w:val="0"/>
          <w:numId w:val="4"/>
        </w:numPr>
        <w:tabs>
          <w:tab w:val="left" w:pos="426"/>
          <w:tab w:val="clear" w:pos="1100"/>
        </w:tabs>
        <w:spacing w:line="400" w:lineRule="exact"/>
        <w:ind w:hanging="1100" w:firstLineChars="0"/>
        <w:jc w:val="both"/>
        <w:rPr>
          <w:rFonts w:ascii="宋体" w:hAnsi="宋体" w:cs="宋体"/>
          <w:b/>
          <w:bCs/>
          <w:szCs w:val="21"/>
        </w:rPr>
      </w:pPr>
      <w:r>
        <w:rPr>
          <w:rFonts w:hint="eastAsia" w:ascii="宋体" w:hAnsi="宋体" w:cs="宋体"/>
          <w:b/>
          <w:bCs/>
          <w:szCs w:val="21"/>
        </w:rPr>
        <w:t>其他补充事宜</w:t>
      </w:r>
    </w:p>
    <w:p>
      <w:pPr>
        <w:widowControl/>
        <w:spacing w:line="336" w:lineRule="auto"/>
        <w:ind w:left="420"/>
        <w:rPr>
          <w:rFonts w:ascii="宋体" w:hAnsi="宋体" w:cs="宋体"/>
          <w:szCs w:val="21"/>
        </w:rPr>
      </w:pPr>
      <w:r>
        <w:rPr>
          <w:rFonts w:hint="eastAsia" w:ascii="宋体" w:hAnsi="宋体" w:cs="宋体"/>
          <w:szCs w:val="21"/>
        </w:rPr>
        <w:t>（1）本项目通过“国企采购乐采云平台（http://www.lecaiyun.com/）”实行在线投标</w:t>
      </w:r>
    </w:p>
    <w:p>
      <w:pPr>
        <w:widowControl/>
        <w:spacing w:line="336" w:lineRule="auto"/>
        <w:rPr>
          <w:rFonts w:ascii="宋体" w:hAnsi="宋体" w:cs="宋体"/>
          <w:szCs w:val="21"/>
        </w:rPr>
      </w:pPr>
      <w:r>
        <w:rPr>
          <w:rFonts w:hint="eastAsia" w:ascii="宋体" w:hAnsi="宋体" w:cs="宋体"/>
          <w:szCs w:val="21"/>
        </w:rPr>
        <w:t>响应（电子投标），供应商通过国企采购乐采云平台下载安装“国企采购乐采云平台电子交易客户端”制作投标文件，同时按</w:t>
      </w:r>
      <w:r>
        <w:rPr>
          <w:rFonts w:ascii="宋体" w:hAnsi="宋体" w:cs="宋体"/>
          <w:szCs w:val="21"/>
        </w:rPr>
        <w:t>照</w:t>
      </w:r>
      <w:r>
        <w:rPr>
          <w:rFonts w:hint="eastAsia" w:ascii="宋体" w:hAnsi="宋体" w:cs="宋体"/>
          <w:szCs w:val="21"/>
        </w:rPr>
        <w:t>本</w:t>
      </w:r>
      <w:r>
        <w:rPr>
          <w:rFonts w:ascii="宋体" w:hAnsi="宋体" w:cs="宋体"/>
          <w:szCs w:val="21"/>
        </w:rPr>
        <w:t>招标</w:t>
      </w:r>
      <w:r>
        <w:rPr>
          <w:rFonts w:hint="eastAsia" w:ascii="宋体" w:hAnsi="宋体" w:cs="宋体"/>
          <w:szCs w:val="21"/>
        </w:rPr>
        <w:t>文件和“国企采购乐采云平台”的要求，编制并加密</w:t>
      </w:r>
      <w:r>
        <w:rPr>
          <w:rFonts w:ascii="宋体" w:hAnsi="宋体" w:cs="宋体"/>
          <w:szCs w:val="21"/>
        </w:rPr>
        <w:t>投标</w:t>
      </w:r>
      <w:r>
        <w:rPr>
          <w:rFonts w:hint="eastAsia" w:ascii="宋体" w:hAnsi="宋体" w:cs="宋体"/>
          <w:szCs w:val="21"/>
        </w:rPr>
        <w:t>文件</w:t>
      </w:r>
      <w:r>
        <w:rPr>
          <w:rFonts w:ascii="宋体" w:hAnsi="宋体" w:cs="宋体"/>
          <w:szCs w:val="21"/>
        </w:rPr>
        <w:t>。</w:t>
      </w:r>
      <w:r>
        <w:rPr>
          <w:rFonts w:hint="eastAsia" w:ascii="宋体" w:hAnsi="宋体" w:cs="宋体"/>
          <w:szCs w:val="21"/>
        </w:rPr>
        <w:t>供应商未按规定加密的</w:t>
      </w:r>
      <w:r>
        <w:rPr>
          <w:rFonts w:ascii="宋体" w:hAnsi="宋体" w:cs="宋体"/>
          <w:szCs w:val="21"/>
        </w:rPr>
        <w:t>投标</w:t>
      </w:r>
      <w:r>
        <w:rPr>
          <w:rFonts w:hint="eastAsia" w:ascii="宋体" w:hAnsi="宋体" w:cs="宋体"/>
          <w:szCs w:val="21"/>
        </w:rPr>
        <w:t>文件，“国企采购乐采云平台”将予以拒收。请供应商自行前往浙江省政府采购网下载并安装“国企采购乐采云平台电子交易客户端”</w:t>
      </w:r>
      <w:r>
        <w:rPr>
          <w:rFonts w:ascii="宋体" w:hAnsi="宋体" w:cs="宋体"/>
          <w:szCs w:val="21"/>
        </w:rPr>
        <w:t>。</w:t>
      </w:r>
    </w:p>
    <w:p>
      <w:pPr>
        <w:widowControl/>
        <w:spacing w:line="336" w:lineRule="auto"/>
        <w:ind w:left="420"/>
        <w:rPr>
          <w:rFonts w:ascii="宋体" w:hAnsi="宋体" w:cs="宋体"/>
          <w:szCs w:val="21"/>
        </w:rPr>
      </w:pPr>
      <w:r>
        <w:rPr>
          <w:rFonts w:hint="eastAsia" w:ascii="宋体" w:hAnsi="宋体" w:cs="宋体"/>
          <w:szCs w:val="21"/>
        </w:rPr>
        <w:t>下载网址：</w:t>
      </w:r>
      <w:r>
        <w:fldChar w:fldCharType="begin"/>
      </w:r>
      <w:r>
        <w:instrText xml:space="preserve"> HYPERLINK "http://zfcg.czt.zj.gov.cn/download/index.html?_=1571637782379），并按照本采购文件和“政府采购云平台”的要求，编制并加密响应文件。供应商未按规定加密的响应文件，“政府采购云平台”将予以拒收。" </w:instrText>
      </w:r>
      <w:r>
        <w:fldChar w:fldCharType="separate"/>
      </w:r>
      <w:r>
        <w:rPr>
          <w:rStyle w:val="60"/>
          <w:rFonts w:hint="eastAsia" w:ascii="宋体" w:hAnsi="宋体" w:cs="宋体"/>
          <w:color w:val="auto"/>
          <w:szCs w:val="21"/>
        </w:rPr>
        <w:t>http://zfcg.czt.zj.gov.cn/download/index.html?_=1571637782379）。</w:t>
      </w:r>
      <w:r>
        <w:rPr>
          <w:rStyle w:val="60"/>
          <w:rFonts w:hint="eastAsia" w:ascii="宋体" w:hAnsi="宋体" w:cs="宋体"/>
          <w:color w:val="auto"/>
          <w:szCs w:val="21"/>
        </w:rPr>
        <w:fldChar w:fldCharType="end"/>
      </w:r>
    </w:p>
    <w:p>
      <w:pPr>
        <w:widowControl/>
        <w:spacing w:line="336" w:lineRule="auto"/>
        <w:ind w:left="420"/>
        <w:rPr>
          <w:rFonts w:ascii="宋体" w:hAnsi="宋体" w:cs="宋体"/>
          <w:szCs w:val="21"/>
        </w:rPr>
      </w:pPr>
      <w:r>
        <w:rPr>
          <w:rFonts w:hint="eastAsia" w:ascii="宋体" w:hAnsi="宋体" w:cs="宋体"/>
          <w:szCs w:val="21"/>
        </w:rPr>
        <w:t>（2）.供应商应在开标前完成CA数字证书办理。（办理流程详见：</w:t>
      </w:r>
    </w:p>
    <w:p>
      <w:pPr>
        <w:widowControl/>
        <w:spacing w:line="336" w:lineRule="auto"/>
        <w:rPr>
          <w:rFonts w:ascii="宋体" w:hAnsi="宋体" w:cs="宋体"/>
          <w:szCs w:val="21"/>
        </w:rPr>
      </w:pPr>
      <w:r>
        <w:fldChar w:fldCharType="begin"/>
      </w:r>
      <w:r>
        <w:instrText xml:space="preserve"> HYPERLINK "http://www.zjzfcg.gov.cn/bidClientTemplate/2019-05-27/12945.html）。" </w:instrText>
      </w:r>
      <w:r>
        <w:fldChar w:fldCharType="separate"/>
      </w:r>
      <w:r>
        <w:rPr>
          <w:rStyle w:val="60"/>
          <w:rFonts w:hint="eastAsia" w:ascii="宋体" w:hAnsi="宋体" w:cs="宋体"/>
          <w:color w:val="auto"/>
          <w:szCs w:val="21"/>
        </w:rPr>
        <w:t>http://www.zjzfcg.gov.cn/bidClientTemplate/2019-05-27/12945.html）。</w:t>
      </w:r>
      <w:r>
        <w:rPr>
          <w:rStyle w:val="60"/>
          <w:rFonts w:hint="eastAsia" w:ascii="宋体" w:hAnsi="宋体" w:cs="宋体"/>
          <w:color w:val="auto"/>
          <w:szCs w:val="21"/>
        </w:rPr>
        <w:fldChar w:fldCharType="end"/>
      </w:r>
      <w:r>
        <w:rPr>
          <w:rFonts w:hint="eastAsia" w:ascii="宋体" w:hAnsi="宋体" w:cs="宋体"/>
          <w:szCs w:val="21"/>
        </w:rPr>
        <w:t>完成CA数字证书办理预计一周左右，各投标供应商</w:t>
      </w:r>
      <w:r>
        <w:rPr>
          <w:rFonts w:ascii="宋体" w:hAnsi="宋体" w:cs="宋体"/>
          <w:szCs w:val="21"/>
        </w:rPr>
        <w:t>自行考虑</w:t>
      </w:r>
      <w:r>
        <w:rPr>
          <w:rFonts w:hint="eastAsia" w:ascii="宋体" w:hAnsi="宋体" w:cs="宋体"/>
          <w:szCs w:val="21"/>
        </w:rPr>
        <w:t>办理</w:t>
      </w:r>
      <w:r>
        <w:rPr>
          <w:rFonts w:ascii="宋体" w:hAnsi="宋体" w:cs="宋体"/>
          <w:szCs w:val="21"/>
        </w:rPr>
        <w:t>时间</w:t>
      </w:r>
      <w:r>
        <w:rPr>
          <w:rFonts w:hint="eastAsia" w:ascii="宋体" w:hAnsi="宋体" w:cs="宋体"/>
          <w:szCs w:val="21"/>
        </w:rPr>
        <w:t>。</w:t>
      </w:r>
    </w:p>
    <w:p>
      <w:pPr>
        <w:widowControl/>
        <w:spacing w:line="336" w:lineRule="auto"/>
        <w:ind w:left="420"/>
        <w:rPr>
          <w:rFonts w:ascii="宋体" w:hAnsi="宋体" w:cs="宋体"/>
          <w:szCs w:val="21"/>
        </w:rPr>
      </w:pPr>
      <w:r>
        <w:rPr>
          <w:rFonts w:hint="eastAsia" w:ascii="宋体" w:hAnsi="宋体" w:cs="宋体"/>
          <w:szCs w:val="21"/>
        </w:rPr>
        <w:t>（3）供应商在使用系统进行投标的过程中遇到涉及平台使用的任何问题，可致电国企采</w:t>
      </w:r>
    </w:p>
    <w:p>
      <w:pPr>
        <w:widowControl/>
        <w:spacing w:line="336" w:lineRule="auto"/>
        <w:rPr>
          <w:b/>
        </w:rPr>
      </w:pPr>
      <w:r>
        <w:rPr>
          <w:rFonts w:hint="eastAsia" w:ascii="宋体" w:hAnsi="宋体" w:cs="宋体"/>
          <w:szCs w:val="21"/>
        </w:rPr>
        <w:t>购乐采云平台平台技术支持热线咨询，联系方式：400-881-7190。电子招投标全流程操作指南（以下简称操作指南）详见网址：</w:t>
      </w:r>
      <w:r>
        <w:fldChar w:fldCharType="begin"/>
      </w:r>
      <w:r>
        <w:instrText xml:space="preserve"> HYPERLINK "https://help.zcygov.cn/web/site_2/2018/12-28/2573.html" </w:instrText>
      </w:r>
      <w:r>
        <w:fldChar w:fldCharType="separate"/>
      </w:r>
      <w:r>
        <w:rPr>
          <w:rFonts w:hint="eastAsia" w:ascii="宋体" w:hAnsi="宋体" w:cs="宋体"/>
          <w:szCs w:val="21"/>
        </w:rPr>
        <w:t>https://help.zcygov.cn/web/site_2/2018/12-28/2573.html</w:t>
      </w:r>
      <w:r>
        <w:rPr>
          <w:rFonts w:hint="eastAsia" w:ascii="宋体" w:hAnsi="宋体" w:cs="宋体"/>
          <w:szCs w:val="21"/>
        </w:rPr>
        <w:fldChar w:fldCharType="end"/>
      </w:r>
      <w:r>
        <w:rPr>
          <w:rFonts w:hint="eastAsia" w:ascii="宋体" w:hAnsi="宋体" w:cs="宋体"/>
          <w:b/>
          <w:szCs w:val="21"/>
        </w:rPr>
        <w:t>。</w:t>
      </w:r>
    </w:p>
    <w:p>
      <w:pPr>
        <w:spacing w:line="336" w:lineRule="auto"/>
        <w:ind w:firstLine="420" w:firstLineChars="200"/>
        <w:rPr>
          <w:rFonts w:ascii="宋体" w:hAnsi="宋体" w:cs="宋体"/>
          <w:szCs w:val="21"/>
        </w:rPr>
      </w:pPr>
      <w:r>
        <w:rPr>
          <w:rFonts w:hint="eastAsia" w:ascii="宋体" w:hAnsi="宋体"/>
          <w:szCs w:val="21"/>
        </w:rPr>
        <w:t>（4）供应商认为招标文件使自己的权益受到损害的，可以自获取招标文件之日（发售截止日之后收到招标文件的，以发售截止日为准）或者招标文件公告期限届满之日（公告发布后的第6个工作日）起7个工作日内，以书面形式向招标人和采购代理机构提出质疑。</w:t>
      </w:r>
      <w:r>
        <w:rPr>
          <w:rFonts w:hint="eastAsia" w:hAnsi="宋体" w:cs="宋体"/>
        </w:rPr>
        <w:t>供应商应当在法定质疑期内须一次性提出针对同一采购程序环节的质疑，否则采购代理机构有权拒绝第一次质疑以外其他所有质疑。</w:t>
      </w:r>
      <w:r>
        <w:rPr>
          <w:rFonts w:hint="eastAsia" w:ascii="宋体" w:hAnsi="宋体"/>
          <w:szCs w:val="21"/>
        </w:rPr>
        <w:t>质疑供应商对招标人、采购代理机构的答复不满意或者招标人、采购代理机构未在规定的时间内作出答复的，可以在答复期满后十五个工作日内向人民法院提起诉讼。质疑函范本、投诉书范本请到浙江政府采购网下载专区下载。</w:t>
      </w:r>
    </w:p>
    <w:p>
      <w:pPr>
        <w:pStyle w:val="288"/>
        <w:widowControl w:val="0"/>
        <w:tabs>
          <w:tab w:val="left" w:pos="426"/>
        </w:tabs>
        <w:spacing w:line="400" w:lineRule="exact"/>
        <w:jc w:val="both"/>
        <w:rPr>
          <w:rFonts w:ascii="宋体" w:hAnsi="宋体"/>
          <w:b/>
          <w:color w:val="0000FF"/>
          <w:szCs w:val="21"/>
        </w:rPr>
      </w:pPr>
      <w:r>
        <w:rPr>
          <w:rFonts w:hint="eastAsia" w:ascii="宋体" w:hAnsi="宋体" w:cs="宋体"/>
          <w:szCs w:val="21"/>
        </w:rPr>
        <w:t>（5）潜在供应商应当按照规定方式获取招标文件，未按</w:t>
      </w:r>
      <w:r>
        <w:rPr>
          <w:rFonts w:ascii="宋体" w:hAnsi="宋体" w:cs="宋体"/>
          <w:szCs w:val="21"/>
        </w:rPr>
        <w:t>照</w:t>
      </w:r>
      <w:r>
        <w:rPr>
          <w:rFonts w:hint="eastAsia" w:ascii="宋体" w:hAnsi="宋体" w:cs="宋体"/>
          <w:szCs w:val="21"/>
        </w:rPr>
        <w:t>规定方式获取招标文件的，不得对</w:t>
      </w:r>
      <w:r>
        <w:rPr>
          <w:rFonts w:ascii="宋体" w:hAnsi="宋体" w:cs="宋体"/>
          <w:szCs w:val="21"/>
        </w:rPr>
        <w:t>招标文件</w:t>
      </w:r>
      <w:r>
        <w:rPr>
          <w:rFonts w:hint="eastAsia" w:ascii="宋体" w:hAnsi="宋体" w:cs="宋体"/>
          <w:szCs w:val="21"/>
        </w:rPr>
        <w:t>提起质疑投诉。</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对本次招标提出询问、质疑，请按以下方式联系</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1.采购人信息：</w:t>
      </w:r>
    </w:p>
    <w:p>
      <w:pPr>
        <w:pStyle w:val="288"/>
        <w:widowControl w:val="0"/>
        <w:tabs>
          <w:tab w:val="left" w:pos="426"/>
        </w:tabs>
        <w:spacing w:line="380" w:lineRule="exact"/>
        <w:jc w:val="both"/>
        <w:rPr>
          <w:rFonts w:hint="eastAsia" w:ascii="宋体" w:hAnsi="宋体" w:cs="宋体"/>
          <w:bCs/>
          <w:szCs w:val="21"/>
        </w:rPr>
      </w:pPr>
      <w:r>
        <w:rPr>
          <w:rFonts w:hint="eastAsia" w:ascii="宋体" w:hAnsi="宋体" w:cs="宋体"/>
          <w:bCs/>
          <w:szCs w:val="21"/>
        </w:rPr>
        <w:t>名称：瑞安市排水有限公司、瑞安市排水发展有限公司</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地址：瑞安市院士路288号</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项目联系人：林女士</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项目联系方式：0577-65810735</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质疑联系人：叶先生</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质疑联系方式：</w:t>
      </w:r>
      <w:r>
        <w:rPr>
          <w:rFonts w:ascii="宋体" w:hAnsi="宋体" w:cs="宋体"/>
          <w:bCs/>
          <w:szCs w:val="21"/>
        </w:rPr>
        <w:t>0577-66872613</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2.采购代理机构信息：</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名称：浙江凯宝工程项目管理有限公司</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地址：瑞安市东山街道安阳南路450号高尔大厦1幢902</w:t>
      </w:r>
    </w:p>
    <w:p>
      <w:pPr>
        <w:pStyle w:val="288"/>
        <w:widowControl w:val="0"/>
        <w:tabs>
          <w:tab w:val="left" w:pos="426"/>
        </w:tabs>
        <w:spacing w:line="380" w:lineRule="exact"/>
        <w:jc w:val="both"/>
        <w:rPr>
          <w:rFonts w:hint="eastAsia" w:ascii="宋体" w:hAnsi="宋体" w:eastAsia="宋体" w:cs="宋体"/>
          <w:bCs/>
          <w:szCs w:val="21"/>
          <w:lang w:eastAsia="zh-CN"/>
        </w:rPr>
      </w:pPr>
      <w:r>
        <w:rPr>
          <w:rFonts w:hint="eastAsia" w:ascii="宋体" w:hAnsi="宋体" w:cs="宋体"/>
          <w:bCs/>
          <w:szCs w:val="21"/>
        </w:rPr>
        <w:t>项目联系人：</w:t>
      </w:r>
      <w:r>
        <w:rPr>
          <w:rFonts w:hint="eastAsia" w:ascii="宋体" w:hAnsi="宋体" w:cs="宋体"/>
          <w:bCs/>
          <w:szCs w:val="21"/>
          <w:lang w:eastAsia="zh-CN"/>
        </w:rPr>
        <w:t>夏洁</w:t>
      </w:r>
    </w:p>
    <w:p>
      <w:pPr>
        <w:pStyle w:val="288"/>
        <w:widowControl w:val="0"/>
        <w:tabs>
          <w:tab w:val="left" w:pos="426"/>
        </w:tabs>
        <w:spacing w:line="380" w:lineRule="exact"/>
        <w:jc w:val="both"/>
        <w:rPr>
          <w:rFonts w:hint="eastAsia" w:ascii="宋体" w:hAnsi="宋体" w:eastAsia="宋体" w:cs="宋体"/>
          <w:bCs/>
          <w:szCs w:val="21"/>
          <w:lang w:eastAsia="zh-CN"/>
        </w:rPr>
      </w:pPr>
      <w:r>
        <w:rPr>
          <w:rFonts w:hint="eastAsia" w:ascii="宋体" w:hAnsi="宋体" w:cs="宋体"/>
          <w:bCs/>
          <w:szCs w:val="21"/>
        </w:rPr>
        <w:t>项目联系方式：</w:t>
      </w:r>
      <w:r>
        <w:rPr>
          <w:rFonts w:hint="eastAsia" w:ascii="宋体" w:hAnsi="宋体" w:cs="宋体"/>
          <w:bCs/>
          <w:szCs w:val="21"/>
          <w:lang w:eastAsia="zh-CN"/>
        </w:rPr>
        <w:t>13656534122</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质疑联系人：陈盈盈</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质疑联系方式：17857626256</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3.同级政国企采购监督管理部门</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名    称：温州公用事业发展集团瑞安水务有限公司纪检室</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地    址：瑞安市院士路288号</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联 系 人：林女士</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监督投诉电话：0577-66872595</w:t>
      </w:r>
      <w:r>
        <w:rPr>
          <w:rFonts w:hint="eastAsia" w:ascii="宋体" w:hAnsi="宋体" w:cs="宋体"/>
          <w:bCs/>
          <w:szCs w:val="21"/>
        </w:rPr>
        <w:br w:type="page"/>
      </w:r>
    </w:p>
    <w:p>
      <w:pPr>
        <w:pStyle w:val="21"/>
        <w:spacing w:after="50" w:line="360" w:lineRule="auto"/>
        <w:ind w:firstLine="0"/>
        <w:jc w:val="center"/>
        <w:outlineLvl w:val="0"/>
        <w:rPr>
          <w:rFonts w:ascii="Arial" w:hAnsi="Arial" w:cs="Arial"/>
          <w:b/>
          <w:bCs/>
          <w:szCs w:val="28"/>
        </w:rPr>
      </w:pPr>
      <w:bookmarkStart w:id="10" w:name="_Toc11857"/>
      <w:r>
        <w:rPr>
          <w:rFonts w:ascii="Arial" w:hAnsi="宋体" w:cs="Arial"/>
          <w:b/>
          <w:bCs/>
          <w:szCs w:val="28"/>
        </w:rPr>
        <w:t>第二部分</w:t>
      </w:r>
      <w:r>
        <w:rPr>
          <w:rFonts w:ascii="Arial" w:hAnsi="Arial" w:cs="Arial"/>
          <w:b/>
          <w:bCs/>
          <w:szCs w:val="28"/>
        </w:rPr>
        <w:t xml:space="preserve">  </w:t>
      </w:r>
      <w:r>
        <w:rPr>
          <w:rFonts w:ascii="Arial" w:hAnsi="宋体" w:cs="Arial"/>
          <w:b/>
          <w:bCs/>
          <w:szCs w:val="28"/>
        </w:rPr>
        <w:t>投标须知及前附表</w:t>
      </w:r>
      <w:bookmarkEnd w:id="10"/>
    </w:p>
    <w:p>
      <w:pPr>
        <w:spacing w:line="360" w:lineRule="auto"/>
        <w:jc w:val="center"/>
        <w:outlineLvl w:val="1"/>
        <w:rPr>
          <w:rFonts w:ascii="Arial" w:hAnsi="Arial" w:cs="Arial"/>
          <w:b/>
          <w:bCs/>
          <w:sz w:val="24"/>
        </w:rPr>
      </w:pPr>
      <w:bookmarkStart w:id="11" w:name="_Toc1965"/>
      <w:r>
        <w:rPr>
          <w:rFonts w:ascii="Arial" w:hAnsi="宋体" w:cs="Arial"/>
          <w:b/>
          <w:bCs/>
          <w:sz w:val="24"/>
        </w:rPr>
        <w:t>（</w:t>
      </w:r>
      <w:r>
        <w:rPr>
          <w:rFonts w:hint="eastAsia" w:ascii="Arial" w:hAnsi="宋体" w:cs="Arial"/>
          <w:b/>
          <w:bCs/>
          <w:sz w:val="24"/>
        </w:rPr>
        <w:t>一</w:t>
      </w:r>
      <w:r>
        <w:rPr>
          <w:rFonts w:ascii="Arial" w:hAnsi="宋体" w:cs="Arial"/>
          <w:b/>
          <w:bCs/>
          <w:sz w:val="24"/>
        </w:rPr>
        <w:t>）投标须知前附表</w:t>
      </w:r>
      <w:bookmarkEnd w:id="11"/>
    </w:p>
    <w:tbl>
      <w:tblPr>
        <w:tblStyle w:val="49"/>
        <w:tblW w:w="92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09"/>
        <w:gridCol w:w="2045"/>
        <w:gridCol w:w="6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09" w:type="dxa"/>
            <w:vAlign w:val="center"/>
          </w:tcPr>
          <w:p>
            <w:pPr>
              <w:spacing w:line="276" w:lineRule="auto"/>
              <w:jc w:val="center"/>
              <w:rPr>
                <w:rFonts w:ascii="Arial" w:hAnsi="Arial" w:cs="Arial"/>
                <w:b/>
                <w:szCs w:val="21"/>
              </w:rPr>
            </w:pPr>
            <w:r>
              <w:rPr>
                <w:rFonts w:ascii="Arial" w:hAnsi="宋体" w:cs="Arial"/>
                <w:b/>
                <w:szCs w:val="21"/>
              </w:rPr>
              <w:t>项号</w:t>
            </w:r>
          </w:p>
        </w:tc>
        <w:tc>
          <w:tcPr>
            <w:tcW w:w="2045" w:type="dxa"/>
            <w:vAlign w:val="center"/>
          </w:tcPr>
          <w:p>
            <w:pPr>
              <w:spacing w:line="276" w:lineRule="auto"/>
              <w:jc w:val="center"/>
              <w:rPr>
                <w:rFonts w:ascii="Arial" w:hAnsi="Arial" w:cs="Arial"/>
                <w:b/>
                <w:szCs w:val="21"/>
              </w:rPr>
            </w:pPr>
            <w:r>
              <w:rPr>
                <w:rFonts w:ascii="Arial" w:hAnsi="宋体" w:cs="Arial"/>
                <w:b/>
                <w:szCs w:val="21"/>
              </w:rPr>
              <w:t>内容</w:t>
            </w:r>
          </w:p>
        </w:tc>
        <w:tc>
          <w:tcPr>
            <w:tcW w:w="6620" w:type="dxa"/>
            <w:vAlign w:val="center"/>
          </w:tcPr>
          <w:p>
            <w:pPr>
              <w:spacing w:line="276" w:lineRule="auto"/>
              <w:jc w:val="center"/>
              <w:rPr>
                <w:rFonts w:ascii="Arial" w:hAnsi="Arial" w:cs="Arial"/>
                <w:b/>
                <w:szCs w:val="21"/>
              </w:rPr>
            </w:pPr>
            <w:r>
              <w:rPr>
                <w:rFonts w:ascii="Arial" w:hAnsi="宋体" w:cs="Arial"/>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9"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w:t>
            </w:r>
          </w:p>
        </w:tc>
        <w:tc>
          <w:tcPr>
            <w:tcW w:w="2045" w:type="dxa"/>
            <w:vAlign w:val="center"/>
          </w:tcPr>
          <w:p>
            <w:pPr>
              <w:spacing w:line="276" w:lineRule="auto"/>
              <w:jc w:val="center"/>
              <w:rPr>
                <w:rFonts w:ascii="Arial" w:hAnsi="Arial" w:cs="Arial"/>
                <w:szCs w:val="21"/>
              </w:rPr>
            </w:pPr>
            <w:r>
              <w:rPr>
                <w:rFonts w:ascii="Arial" w:hAnsi="宋体" w:cs="Arial"/>
                <w:szCs w:val="21"/>
              </w:rPr>
              <w:t>项目名称</w:t>
            </w:r>
          </w:p>
        </w:tc>
        <w:tc>
          <w:tcPr>
            <w:tcW w:w="6620" w:type="dxa"/>
            <w:vAlign w:val="center"/>
          </w:tcPr>
          <w:p>
            <w:pPr>
              <w:spacing w:line="276" w:lineRule="auto"/>
              <w:rPr>
                <w:rFonts w:ascii="Arial" w:hAnsi="Arial" w:cs="Arial"/>
                <w:szCs w:val="21"/>
              </w:rPr>
            </w:pPr>
            <w:r>
              <w:rPr>
                <w:rFonts w:hint="eastAsia" w:ascii="Arial" w:hAnsi="宋体" w:cs="Arial"/>
                <w:bCs/>
                <w:kern w:val="0"/>
                <w:szCs w:val="21"/>
              </w:rPr>
              <w:t>2024年瑞安市污水处理厂及泵站格栅机定期保养及修理服务外包采购项目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9"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w:t>
            </w:r>
          </w:p>
        </w:tc>
        <w:tc>
          <w:tcPr>
            <w:tcW w:w="2045" w:type="dxa"/>
            <w:vAlign w:val="center"/>
          </w:tcPr>
          <w:p>
            <w:pPr>
              <w:spacing w:line="276" w:lineRule="auto"/>
              <w:jc w:val="center"/>
              <w:rPr>
                <w:rFonts w:ascii="Arial" w:hAnsi="Arial" w:cs="Arial"/>
                <w:szCs w:val="21"/>
              </w:rPr>
            </w:pPr>
            <w:r>
              <w:rPr>
                <w:rFonts w:ascii="Arial" w:hAnsi="宋体" w:cs="Arial"/>
                <w:szCs w:val="21"/>
              </w:rPr>
              <w:t>资金来源</w:t>
            </w:r>
          </w:p>
        </w:tc>
        <w:tc>
          <w:tcPr>
            <w:tcW w:w="6620" w:type="dxa"/>
            <w:vAlign w:val="center"/>
          </w:tcPr>
          <w:p>
            <w:pPr>
              <w:spacing w:line="276" w:lineRule="auto"/>
              <w:rPr>
                <w:rFonts w:ascii="Arial" w:hAnsi="Arial" w:cs="Arial"/>
                <w:bCs/>
                <w:kern w:val="0"/>
                <w:szCs w:val="21"/>
              </w:rPr>
            </w:pPr>
            <w:r>
              <w:rPr>
                <w:rFonts w:hint="eastAsia" w:ascii="Arial" w:hAnsi="宋体" w:cs="Arial"/>
                <w:bCs/>
                <w:kern w:val="0"/>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62"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3</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招标人</w:t>
            </w:r>
          </w:p>
        </w:tc>
        <w:tc>
          <w:tcPr>
            <w:tcW w:w="6620" w:type="dxa"/>
            <w:vAlign w:val="center"/>
          </w:tcPr>
          <w:p>
            <w:pPr>
              <w:spacing w:line="276" w:lineRule="auto"/>
              <w:rPr>
                <w:rFonts w:hint="eastAsia" w:ascii="Arial" w:hAnsi="宋体" w:cs="Arial"/>
                <w:szCs w:val="21"/>
              </w:rPr>
            </w:pPr>
            <w:r>
              <w:rPr>
                <w:rFonts w:ascii="Arial" w:hAnsi="宋体" w:cs="Arial"/>
                <w:bCs/>
                <w:kern w:val="0"/>
                <w:szCs w:val="21"/>
              </w:rPr>
              <w:t>名称：</w:t>
            </w:r>
            <w:r>
              <w:rPr>
                <w:rFonts w:hint="eastAsia" w:ascii="Arial" w:hAnsi="宋体" w:cs="Arial"/>
                <w:szCs w:val="21"/>
              </w:rPr>
              <w:t>瑞安市排水有限公司、瑞安市排水发展有限公司</w:t>
            </w:r>
          </w:p>
          <w:p>
            <w:pPr>
              <w:spacing w:line="276" w:lineRule="auto"/>
              <w:rPr>
                <w:rFonts w:ascii="宋体" w:hAnsi="宋体" w:cs="宋体"/>
                <w:szCs w:val="21"/>
              </w:rPr>
            </w:pPr>
            <w:r>
              <w:rPr>
                <w:rFonts w:hint="eastAsia" w:ascii="宋体" w:hAnsi="宋体" w:cs="宋体"/>
                <w:szCs w:val="21"/>
              </w:rPr>
              <w:t>联系人：林女士</w:t>
            </w:r>
          </w:p>
          <w:p>
            <w:pPr>
              <w:spacing w:line="276" w:lineRule="auto"/>
              <w:rPr>
                <w:rFonts w:ascii="宋体" w:hAnsi="宋体" w:cs="宋体"/>
                <w:szCs w:val="21"/>
              </w:rPr>
            </w:pPr>
            <w:r>
              <w:rPr>
                <w:rFonts w:hint="eastAsia" w:ascii="宋体" w:hAnsi="宋体" w:cs="宋体"/>
                <w:szCs w:val="21"/>
              </w:rPr>
              <w:t>联系电话：0577-65810735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4</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招标代理机构</w:t>
            </w:r>
          </w:p>
        </w:tc>
        <w:tc>
          <w:tcPr>
            <w:tcW w:w="6620" w:type="dxa"/>
            <w:vAlign w:val="center"/>
          </w:tcPr>
          <w:p>
            <w:pPr>
              <w:adjustRightInd w:val="0"/>
              <w:spacing w:line="276" w:lineRule="auto"/>
              <w:rPr>
                <w:rFonts w:ascii="Arial" w:hAnsi="Arial" w:cs="Arial"/>
                <w:bCs/>
                <w:kern w:val="0"/>
                <w:szCs w:val="21"/>
              </w:rPr>
            </w:pPr>
            <w:r>
              <w:rPr>
                <w:rFonts w:ascii="Arial" w:hAnsi="宋体" w:cs="Arial"/>
                <w:bCs/>
                <w:kern w:val="0"/>
                <w:szCs w:val="21"/>
              </w:rPr>
              <w:t>名称：</w:t>
            </w:r>
            <w:r>
              <w:rPr>
                <w:rFonts w:hint="eastAsia" w:ascii="Arial" w:hAnsi="宋体" w:cs="Arial"/>
                <w:bCs/>
                <w:kern w:val="0"/>
                <w:szCs w:val="21"/>
              </w:rPr>
              <w:t>浙江凯宝工程项目管理有限公司</w:t>
            </w:r>
          </w:p>
          <w:p>
            <w:pPr>
              <w:adjustRightInd w:val="0"/>
              <w:spacing w:line="276" w:lineRule="auto"/>
              <w:rPr>
                <w:rFonts w:ascii="Arial" w:hAnsi="Arial" w:cs="Arial"/>
                <w:bCs/>
                <w:kern w:val="0"/>
                <w:szCs w:val="21"/>
              </w:rPr>
            </w:pPr>
            <w:r>
              <w:rPr>
                <w:rFonts w:ascii="Arial" w:hAnsi="宋体" w:cs="Arial"/>
                <w:bCs/>
                <w:kern w:val="0"/>
                <w:szCs w:val="21"/>
              </w:rPr>
              <w:t>地址：</w:t>
            </w:r>
            <w:r>
              <w:rPr>
                <w:rFonts w:hint="eastAsia" w:ascii="宋体" w:hAnsi="宋体" w:cs="宋体"/>
                <w:szCs w:val="21"/>
              </w:rPr>
              <w:t>瑞安市东山街道安阳南路450号高尔大厦1幢902</w:t>
            </w:r>
          </w:p>
          <w:p>
            <w:pPr>
              <w:adjustRightInd w:val="0"/>
              <w:spacing w:line="276" w:lineRule="auto"/>
              <w:rPr>
                <w:rFonts w:hint="eastAsia" w:ascii="Arial" w:hAnsi="Arial" w:eastAsia="宋体" w:cs="Arial"/>
                <w:bCs/>
                <w:kern w:val="0"/>
                <w:szCs w:val="21"/>
                <w:lang w:eastAsia="zh-CN"/>
              </w:rPr>
            </w:pPr>
            <w:r>
              <w:rPr>
                <w:rFonts w:hint="eastAsia" w:ascii="Arial" w:hAnsi="宋体" w:cs="Arial"/>
                <w:bCs/>
                <w:kern w:val="0"/>
                <w:szCs w:val="21"/>
              </w:rPr>
              <w:t>联系人</w:t>
            </w:r>
            <w:r>
              <w:rPr>
                <w:rFonts w:ascii="Arial" w:hAnsi="宋体" w:cs="Arial"/>
                <w:bCs/>
                <w:kern w:val="0"/>
                <w:szCs w:val="21"/>
              </w:rPr>
              <w:t>：</w:t>
            </w:r>
            <w:r>
              <w:rPr>
                <w:rFonts w:hint="eastAsia" w:ascii="Arial" w:hAnsi="宋体" w:cs="Arial"/>
                <w:bCs/>
                <w:kern w:val="0"/>
                <w:szCs w:val="21"/>
                <w:lang w:eastAsia="zh-CN"/>
              </w:rPr>
              <w:t>夏洁</w:t>
            </w:r>
          </w:p>
          <w:p>
            <w:pPr>
              <w:adjustRightInd w:val="0"/>
              <w:spacing w:line="276" w:lineRule="auto"/>
              <w:rPr>
                <w:rFonts w:ascii="Arial" w:hAnsi="Arial" w:cs="Arial"/>
                <w:bCs/>
                <w:kern w:val="0"/>
                <w:szCs w:val="21"/>
              </w:rPr>
            </w:pPr>
            <w:r>
              <w:rPr>
                <w:rFonts w:ascii="Arial" w:hAnsi="宋体" w:cs="Arial"/>
                <w:bCs/>
                <w:kern w:val="0"/>
                <w:szCs w:val="21"/>
              </w:rPr>
              <w:t>电话：</w:t>
            </w:r>
            <w:r>
              <w:rPr>
                <w:rFonts w:hint="eastAsia" w:ascii="Arial" w:hAnsi="宋体" w:cs="Arial"/>
                <w:bCs/>
                <w:kern w:val="0"/>
                <w:szCs w:val="21"/>
                <w:lang w:eastAsia="zh-CN"/>
              </w:rPr>
              <w:t>13656534122</w:t>
            </w:r>
            <w:r>
              <w:rPr>
                <w:rFonts w:hint="eastAsia" w:ascii="Arial" w:hAnsi="Arial" w:cs="Arial"/>
                <w:bCs/>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4"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5</w:t>
            </w:r>
          </w:p>
        </w:tc>
        <w:tc>
          <w:tcPr>
            <w:tcW w:w="2045" w:type="dxa"/>
            <w:vAlign w:val="center"/>
          </w:tcPr>
          <w:p>
            <w:pPr>
              <w:spacing w:line="276" w:lineRule="auto"/>
              <w:jc w:val="center"/>
              <w:rPr>
                <w:rFonts w:ascii="宋体" w:hAnsi="宋体"/>
                <w:spacing w:val="-2"/>
                <w:szCs w:val="21"/>
              </w:rPr>
            </w:pPr>
            <w:r>
              <w:rPr>
                <w:rFonts w:hint="eastAsia" w:ascii="宋体" w:hAnsi="宋体"/>
                <w:spacing w:val="-2"/>
                <w:szCs w:val="21"/>
              </w:rPr>
              <w:t>招标内容</w:t>
            </w:r>
          </w:p>
        </w:tc>
        <w:tc>
          <w:tcPr>
            <w:tcW w:w="6620" w:type="dxa"/>
            <w:vAlign w:val="center"/>
          </w:tcPr>
          <w:p>
            <w:pPr>
              <w:spacing w:line="276" w:lineRule="auto"/>
              <w:jc w:val="left"/>
              <w:rPr>
                <w:rFonts w:ascii="宋体" w:hAnsi="宋体"/>
                <w:spacing w:val="-2"/>
                <w:szCs w:val="21"/>
              </w:rPr>
            </w:pPr>
            <w:r>
              <w:rPr>
                <w:rFonts w:hint="eastAsia" w:ascii="宋体" w:hAnsi="宋体"/>
                <w:spacing w:val="-2"/>
                <w:szCs w:val="21"/>
              </w:rPr>
              <w:t>格栅机定期保养及修理服务，详见招标文件第三部分招标内容及要求。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28"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6</w:t>
            </w:r>
          </w:p>
        </w:tc>
        <w:tc>
          <w:tcPr>
            <w:tcW w:w="2045" w:type="dxa"/>
            <w:vAlign w:val="center"/>
          </w:tcPr>
          <w:p>
            <w:pPr>
              <w:spacing w:line="276" w:lineRule="auto"/>
              <w:jc w:val="center"/>
              <w:rPr>
                <w:rFonts w:ascii="Arial" w:hAnsi="Arial" w:cs="Arial"/>
                <w:color w:val="auto"/>
                <w:szCs w:val="21"/>
              </w:rPr>
            </w:pPr>
            <w:r>
              <w:rPr>
                <w:rFonts w:ascii="Arial" w:hAnsi="宋体" w:cs="Arial"/>
                <w:color w:val="auto"/>
                <w:szCs w:val="21"/>
              </w:rPr>
              <w:t>投标供应商</w:t>
            </w:r>
          </w:p>
          <w:p>
            <w:pPr>
              <w:spacing w:line="276" w:lineRule="auto"/>
              <w:jc w:val="center"/>
              <w:rPr>
                <w:rFonts w:ascii="Arial" w:hAnsi="Arial" w:cs="Arial"/>
                <w:color w:val="auto"/>
                <w:szCs w:val="21"/>
              </w:rPr>
            </w:pPr>
            <w:r>
              <w:rPr>
                <w:rFonts w:ascii="Arial" w:hAnsi="宋体" w:cs="Arial"/>
                <w:color w:val="auto"/>
                <w:szCs w:val="21"/>
              </w:rPr>
              <w:t>资格要求</w:t>
            </w:r>
          </w:p>
        </w:tc>
        <w:tc>
          <w:tcPr>
            <w:tcW w:w="6620" w:type="dxa"/>
            <w:vAlign w:val="center"/>
          </w:tcPr>
          <w:p>
            <w:pPr>
              <w:widowControl/>
              <w:spacing w:line="360" w:lineRule="auto"/>
              <w:jc w:val="left"/>
              <w:rPr>
                <w:rFonts w:hint="eastAsia" w:ascii="宋体" w:hAnsi="宋体" w:eastAsia="宋体" w:cs="宋体"/>
                <w:color w:val="auto"/>
                <w:szCs w:val="21"/>
                <w:lang w:eastAsia="zh-CN"/>
              </w:rPr>
            </w:pPr>
            <w:r>
              <w:rPr>
                <w:rFonts w:hint="eastAsia" w:ascii="宋体" w:hAnsi="宋体" w:cs="宋体"/>
                <w:color w:val="auto"/>
                <w:szCs w:val="21"/>
              </w:rPr>
              <w:t>1、符合《瑞安市国有企业采购管理办法（试行）》第十二条；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7"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7</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是否接受联合体投标</w:t>
            </w:r>
          </w:p>
        </w:tc>
        <w:tc>
          <w:tcPr>
            <w:tcW w:w="6620" w:type="dxa"/>
            <w:vAlign w:val="center"/>
          </w:tcPr>
          <w:p>
            <w:pPr>
              <w:adjustRightInd w:val="0"/>
              <w:spacing w:line="276" w:lineRule="auto"/>
              <w:rPr>
                <w:rFonts w:ascii="Arial" w:hAnsi="Arial" w:cs="Arial"/>
                <w:bCs/>
                <w:kern w:val="0"/>
                <w:szCs w:val="21"/>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宋体" w:cs="Arial"/>
                <w:bCs/>
                <w:kern w:val="0"/>
                <w:szCs w:val="21"/>
              </w:rPr>
              <w:t>不接受</w:t>
            </w:r>
          </w:p>
          <w:p>
            <w:pPr>
              <w:adjustRightInd w:val="0"/>
              <w:spacing w:line="276" w:lineRule="auto"/>
              <w:rPr>
                <w:rFonts w:ascii="Arial" w:hAnsi="宋体" w:cs="Arial"/>
                <w:bCs/>
                <w:kern w:val="0"/>
                <w:szCs w:val="21"/>
              </w:rPr>
            </w:pPr>
            <w:r>
              <w:rPr>
                <w:rFonts w:ascii="宋体" w:hAnsi="宋体" w:cs="Arial"/>
                <w:bCs/>
                <w:kern w:val="0"/>
                <w:szCs w:val="21"/>
              </w:rPr>
              <w:t>□</w:t>
            </w:r>
            <w:r>
              <w:rPr>
                <w:rFonts w:ascii="Arial" w:hAnsi="宋体" w:cs="Arial"/>
                <w:bCs/>
                <w:kern w:val="0"/>
                <w:szCs w:val="21"/>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8</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踏勘现场</w:t>
            </w:r>
          </w:p>
        </w:tc>
        <w:tc>
          <w:tcPr>
            <w:tcW w:w="6620" w:type="dxa"/>
            <w:vAlign w:val="center"/>
          </w:tcPr>
          <w:p>
            <w:pPr>
              <w:adjustRightInd w:val="0"/>
              <w:spacing w:line="276" w:lineRule="auto"/>
              <w:rPr>
                <w:rFonts w:ascii="Arial" w:hAnsi="Arial" w:cs="Arial"/>
                <w:bCs/>
                <w:kern w:val="0"/>
                <w:szCs w:val="21"/>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Arial" w:cs="Arial"/>
                <w:bCs/>
                <w:kern w:val="0"/>
                <w:szCs w:val="21"/>
              </w:rPr>
              <w:t xml:space="preserve"> </w:t>
            </w:r>
            <w:r>
              <w:rPr>
                <w:rFonts w:ascii="Arial" w:hAnsi="宋体" w:cs="Arial"/>
                <w:bCs/>
                <w:kern w:val="0"/>
                <w:szCs w:val="21"/>
              </w:rPr>
              <w:t>自行组织</w:t>
            </w:r>
          </w:p>
          <w:p>
            <w:pPr>
              <w:adjustRightInd w:val="0"/>
              <w:spacing w:line="276" w:lineRule="auto"/>
              <w:rPr>
                <w:rFonts w:ascii="Arial" w:hAnsi="Arial" w:cs="Arial"/>
                <w:bCs/>
                <w:kern w:val="0"/>
                <w:szCs w:val="21"/>
              </w:rPr>
            </w:pPr>
            <w:r>
              <w:rPr>
                <w:rFonts w:ascii="宋体" w:hAnsi="宋体" w:cs="Arial"/>
                <w:bCs/>
                <w:kern w:val="0"/>
                <w:szCs w:val="21"/>
              </w:rPr>
              <w:t>□</w:t>
            </w:r>
            <w:r>
              <w:rPr>
                <w:rFonts w:ascii="Arial" w:hAnsi="Arial" w:cs="Arial"/>
                <w:bCs/>
                <w:kern w:val="0"/>
                <w:szCs w:val="21"/>
              </w:rPr>
              <w:t xml:space="preserve"> </w:t>
            </w:r>
            <w:r>
              <w:rPr>
                <w:rFonts w:ascii="Arial" w:hAnsi="宋体" w:cs="Arial"/>
                <w:bCs/>
                <w:kern w:val="0"/>
                <w:szCs w:val="21"/>
              </w:rPr>
              <w:t>业主组织</w:t>
            </w:r>
            <w:r>
              <w:rPr>
                <w:rFonts w:ascii="Arial" w:hAnsi="Arial" w:cs="Arial"/>
                <w:bCs/>
                <w:kern w:val="0"/>
                <w:szCs w:val="21"/>
              </w:rPr>
              <w:t xml:space="preserve">    </w:t>
            </w:r>
            <w:r>
              <w:rPr>
                <w:rFonts w:ascii="Arial" w:hAnsi="宋体" w:cs="Arial"/>
                <w:bCs/>
                <w:kern w:val="0"/>
                <w:szCs w:val="21"/>
              </w:rPr>
              <w:t>踏勘时间：</w:t>
            </w:r>
            <w:r>
              <w:rPr>
                <w:rFonts w:ascii="Arial" w:hAnsi="Arial" w:cs="Arial"/>
                <w:bCs/>
                <w:kern w:val="0"/>
                <w:szCs w:val="21"/>
              </w:rPr>
              <w:t xml:space="preserve">                 </w:t>
            </w:r>
            <w:r>
              <w:rPr>
                <w:rFonts w:ascii="Arial" w:hAnsi="宋体" w:cs="Arial"/>
                <w:bCs/>
                <w:kern w:val="0"/>
                <w:szCs w:val="21"/>
              </w:rPr>
              <w:t>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7"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9</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是否允许递交备选投标方案</w:t>
            </w:r>
          </w:p>
        </w:tc>
        <w:tc>
          <w:tcPr>
            <w:tcW w:w="6620" w:type="dxa"/>
            <w:vAlign w:val="center"/>
          </w:tcPr>
          <w:p>
            <w:pPr>
              <w:adjustRightInd w:val="0"/>
              <w:spacing w:line="276" w:lineRule="auto"/>
              <w:rPr>
                <w:rFonts w:ascii="Arial" w:hAnsi="Arial" w:cs="Arial"/>
                <w:bCs/>
                <w:kern w:val="0"/>
                <w:szCs w:val="21"/>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Arial" w:cs="Arial"/>
                <w:bCs/>
                <w:kern w:val="0"/>
                <w:szCs w:val="21"/>
              </w:rPr>
              <w:t xml:space="preserve"> </w:t>
            </w:r>
            <w:r>
              <w:rPr>
                <w:rFonts w:ascii="Arial" w:hAnsi="宋体" w:cs="Arial"/>
                <w:bCs/>
                <w:kern w:val="0"/>
                <w:szCs w:val="21"/>
              </w:rPr>
              <w:t>不允许</w:t>
            </w:r>
          </w:p>
          <w:p>
            <w:pPr>
              <w:adjustRightInd w:val="0"/>
              <w:spacing w:line="276" w:lineRule="auto"/>
              <w:rPr>
                <w:rFonts w:ascii="Arial" w:hAnsi="Arial" w:cs="Arial"/>
                <w:bCs/>
                <w:kern w:val="0"/>
                <w:szCs w:val="21"/>
              </w:rPr>
            </w:pPr>
            <w:r>
              <w:rPr>
                <w:rFonts w:ascii="宋体" w:hAnsi="宋体" w:cs="Arial"/>
                <w:bCs/>
                <w:kern w:val="0"/>
                <w:szCs w:val="21"/>
              </w:rPr>
              <w:t>□</w:t>
            </w:r>
            <w:r>
              <w:rPr>
                <w:rFonts w:ascii="Arial" w:hAnsi="Arial" w:cs="Arial"/>
                <w:bCs/>
                <w:kern w:val="0"/>
                <w:szCs w:val="21"/>
              </w:rPr>
              <w:t xml:space="preserve"> </w:t>
            </w:r>
            <w:r>
              <w:rPr>
                <w:rFonts w:ascii="Arial" w:hAnsi="宋体" w:cs="Arial"/>
                <w:bCs/>
                <w:kern w:val="0"/>
                <w:szCs w:val="21"/>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1"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10</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投标货币</w:t>
            </w:r>
          </w:p>
        </w:tc>
        <w:tc>
          <w:tcPr>
            <w:tcW w:w="6620" w:type="dxa"/>
            <w:vAlign w:val="center"/>
          </w:tcPr>
          <w:p>
            <w:pPr>
              <w:adjustRightInd w:val="0"/>
              <w:spacing w:line="276" w:lineRule="auto"/>
              <w:rPr>
                <w:rFonts w:ascii="Arial" w:hAnsi="Arial" w:cs="Arial"/>
                <w:bCs/>
                <w:kern w:val="0"/>
                <w:szCs w:val="21"/>
              </w:rPr>
            </w:pPr>
            <w:r>
              <w:rPr>
                <w:rFonts w:ascii="Arial" w:hAnsi="宋体" w:cs="Arial"/>
                <w:bCs/>
                <w:kern w:val="0"/>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11</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投标语言</w:t>
            </w:r>
          </w:p>
        </w:tc>
        <w:tc>
          <w:tcPr>
            <w:tcW w:w="6620" w:type="dxa"/>
            <w:vAlign w:val="center"/>
          </w:tcPr>
          <w:p>
            <w:pPr>
              <w:adjustRightInd w:val="0"/>
              <w:spacing w:line="276" w:lineRule="auto"/>
              <w:rPr>
                <w:rFonts w:ascii="Arial" w:hAnsi="Arial" w:cs="Arial"/>
                <w:bCs/>
                <w:kern w:val="0"/>
                <w:szCs w:val="21"/>
              </w:rPr>
            </w:pPr>
            <w:r>
              <w:rPr>
                <w:rFonts w:ascii="Arial" w:hAnsi="宋体" w:cs="Arial"/>
                <w:bCs/>
                <w:kern w:val="0"/>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2"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12</w:t>
            </w:r>
          </w:p>
        </w:tc>
        <w:tc>
          <w:tcPr>
            <w:tcW w:w="2045" w:type="dxa"/>
            <w:vAlign w:val="center"/>
          </w:tcPr>
          <w:p>
            <w:pPr>
              <w:spacing w:line="276" w:lineRule="auto"/>
              <w:jc w:val="center"/>
              <w:rPr>
                <w:rFonts w:ascii="Arial" w:hAnsi="Arial" w:cs="Arial"/>
                <w:szCs w:val="21"/>
              </w:rPr>
            </w:pPr>
            <w:r>
              <w:rPr>
                <w:rFonts w:ascii="Arial" w:hAnsi="宋体" w:cs="Arial"/>
                <w:szCs w:val="21"/>
              </w:rPr>
              <w:t>投标文件份数</w:t>
            </w:r>
          </w:p>
        </w:tc>
        <w:tc>
          <w:tcPr>
            <w:tcW w:w="6620" w:type="dxa"/>
            <w:vAlign w:val="center"/>
          </w:tcPr>
          <w:p>
            <w:pPr>
              <w:adjustRightInd w:val="0"/>
              <w:spacing w:line="360" w:lineRule="auto"/>
              <w:rPr>
                <w:rFonts w:ascii="Arial" w:hAnsi="宋体" w:cs="Arial"/>
                <w:szCs w:val="21"/>
              </w:rPr>
            </w:pPr>
            <w:r>
              <w:rPr>
                <w:rFonts w:hint="eastAsia" w:ascii="Arial" w:hAnsi="宋体" w:cs="Arial"/>
                <w:szCs w:val="21"/>
              </w:rPr>
              <w:t>本项目电子投标文包括“电子加密投标文件”和“备份投标文件</w:t>
            </w:r>
            <w:r>
              <w:rPr>
                <w:rFonts w:ascii="Arial" w:hAnsi="宋体" w:cs="Arial"/>
                <w:szCs w:val="21"/>
              </w:rPr>
              <w:t>（可选）</w:t>
            </w:r>
            <w:r>
              <w:rPr>
                <w:rFonts w:hint="eastAsia" w:ascii="Arial" w:hAnsi="宋体" w:cs="Arial"/>
                <w:szCs w:val="21"/>
              </w:rPr>
              <w:t>”，在投标文件编制完成后同时生成。</w:t>
            </w:r>
          </w:p>
          <w:p>
            <w:pPr>
              <w:numPr>
                <w:ilvl w:val="0"/>
                <w:numId w:val="5"/>
              </w:numPr>
              <w:spacing w:line="360" w:lineRule="auto"/>
              <w:ind w:left="0" w:firstLine="1"/>
              <w:jc w:val="left"/>
              <w:rPr>
                <w:rFonts w:ascii="宋体" w:hAnsi="宋体" w:cs="宋体"/>
                <w:bCs/>
                <w:szCs w:val="21"/>
              </w:rPr>
            </w:pPr>
            <w:r>
              <w:rPr>
                <w:rFonts w:hint="eastAsia" w:ascii="宋体" w:hAnsi="宋体" w:cs="宋体"/>
                <w:bCs/>
                <w:szCs w:val="21"/>
              </w:rPr>
              <w:t>“电子加密投标文件”</w:t>
            </w:r>
            <w:r>
              <w:rPr>
                <w:rFonts w:hint="eastAsia" w:ascii="宋体" w:hAnsi="宋体" w:cs="宋体"/>
                <w:b/>
                <w:bCs/>
                <w:szCs w:val="21"/>
              </w:rPr>
              <w:t xml:space="preserve"> （文件后缀格式为.jmbs）</w:t>
            </w:r>
            <w:r>
              <w:rPr>
                <w:rFonts w:hint="eastAsia" w:ascii="宋体" w:hAnsi="宋体" w:cs="宋体"/>
                <w:bCs/>
                <w:szCs w:val="21"/>
              </w:rPr>
              <w:t>一份。</w:t>
            </w:r>
          </w:p>
          <w:p>
            <w:pPr>
              <w:numPr>
                <w:ilvl w:val="0"/>
                <w:numId w:val="5"/>
              </w:numPr>
              <w:spacing w:line="360" w:lineRule="auto"/>
              <w:ind w:left="0" w:firstLine="1"/>
              <w:jc w:val="left"/>
              <w:rPr>
                <w:rFonts w:ascii="宋体" w:hAnsi="宋体" w:cs="宋体"/>
                <w:bCs/>
                <w:szCs w:val="21"/>
              </w:rPr>
            </w:pPr>
            <w:r>
              <w:rPr>
                <w:rFonts w:hint="eastAsia" w:ascii="宋体" w:hAnsi="宋体" w:cs="宋体"/>
                <w:bCs/>
                <w:szCs w:val="21"/>
              </w:rPr>
              <w:t>“备份投标文件”</w:t>
            </w:r>
            <w:r>
              <w:rPr>
                <w:rFonts w:hint="eastAsia" w:ascii="宋体" w:hAnsi="宋体" w:cs="宋体"/>
                <w:b/>
                <w:bCs/>
                <w:szCs w:val="21"/>
              </w:rPr>
              <w:t>（文件后缀格式为.bfbs）</w:t>
            </w:r>
            <w:r>
              <w:rPr>
                <w:rFonts w:hint="eastAsia" w:ascii="宋体" w:hAnsi="宋体" w:cs="宋体"/>
                <w:bCs/>
                <w:szCs w:val="21"/>
              </w:rPr>
              <w:t>一份。</w:t>
            </w:r>
          </w:p>
          <w:p>
            <w:pPr>
              <w:spacing w:line="276" w:lineRule="auto"/>
              <w:rPr>
                <w:rFonts w:ascii="Arial" w:hAnsi="Arial" w:cs="Arial"/>
                <w:spacing w:val="-2"/>
                <w:szCs w:val="21"/>
              </w:rPr>
            </w:pPr>
            <w:r>
              <w:rPr>
                <w:rFonts w:hint="eastAsia" w:ascii="宋体" w:hAnsi="宋体" w:cs="宋体"/>
                <w:bCs/>
                <w:szCs w:val="21"/>
              </w:rPr>
              <w:t>中标供应商在领取中标通知书时按招标人要求提供全套纸质投标文件肆份。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13</w:t>
            </w:r>
          </w:p>
        </w:tc>
        <w:tc>
          <w:tcPr>
            <w:tcW w:w="2045" w:type="dxa"/>
            <w:vAlign w:val="center"/>
          </w:tcPr>
          <w:p>
            <w:pPr>
              <w:spacing w:line="276" w:lineRule="auto"/>
              <w:jc w:val="center"/>
              <w:rPr>
                <w:rFonts w:ascii="Arial" w:hAnsi="Arial" w:cs="Arial"/>
                <w:szCs w:val="21"/>
              </w:rPr>
            </w:pPr>
            <w:r>
              <w:rPr>
                <w:rFonts w:ascii="Arial" w:hAnsi="宋体" w:cs="Arial"/>
                <w:szCs w:val="21"/>
              </w:rPr>
              <w:t>投标有效期</w:t>
            </w:r>
          </w:p>
        </w:tc>
        <w:tc>
          <w:tcPr>
            <w:tcW w:w="6620" w:type="dxa"/>
            <w:vAlign w:val="center"/>
          </w:tcPr>
          <w:p>
            <w:pPr>
              <w:spacing w:line="276" w:lineRule="auto"/>
              <w:rPr>
                <w:rFonts w:ascii="Arial" w:hAnsi="Arial" w:cs="Arial"/>
                <w:bCs/>
                <w:kern w:val="0"/>
                <w:szCs w:val="21"/>
              </w:rPr>
            </w:pPr>
            <w:r>
              <w:rPr>
                <w:rFonts w:hint="eastAsia" w:ascii="Arial" w:hAnsi="宋体" w:cs="Arial"/>
                <w:bCs/>
                <w:kern w:val="0"/>
                <w:szCs w:val="21"/>
              </w:rPr>
              <w:t>投标截止时间起90日历天内有效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16" w:hRule="atLeast"/>
          <w:jc w:val="center"/>
        </w:trPr>
        <w:tc>
          <w:tcPr>
            <w:tcW w:w="609" w:type="dxa"/>
            <w:vAlign w:val="center"/>
          </w:tcPr>
          <w:p>
            <w:pPr>
              <w:spacing w:line="276" w:lineRule="auto"/>
              <w:jc w:val="center"/>
              <w:rPr>
                <w:rFonts w:ascii="Arial" w:hAnsi="Arial" w:cs="Arial"/>
                <w:color w:val="0000FF"/>
                <w:szCs w:val="21"/>
              </w:rPr>
            </w:pPr>
            <w:r>
              <w:rPr>
                <w:rFonts w:ascii="Arial" w:hAnsi="Arial" w:cs="Arial"/>
                <w:color w:val="0000FF"/>
                <w:szCs w:val="21"/>
              </w:rPr>
              <w:t>14</w:t>
            </w:r>
          </w:p>
        </w:tc>
        <w:tc>
          <w:tcPr>
            <w:tcW w:w="2045" w:type="dxa"/>
            <w:vAlign w:val="center"/>
          </w:tcPr>
          <w:p>
            <w:pPr>
              <w:spacing w:line="276" w:lineRule="auto"/>
              <w:jc w:val="center"/>
              <w:rPr>
                <w:rFonts w:ascii="Arial" w:hAnsi="Arial" w:cs="Arial"/>
                <w:color w:val="0000FF"/>
                <w:szCs w:val="21"/>
              </w:rPr>
            </w:pPr>
            <w:r>
              <w:rPr>
                <w:rFonts w:hint="eastAsia" w:ascii="Arial" w:hAnsi="宋体" w:cs="Arial"/>
                <w:szCs w:val="21"/>
              </w:rPr>
              <w:t>采购代理机构指定邮箱</w:t>
            </w:r>
          </w:p>
        </w:tc>
        <w:tc>
          <w:tcPr>
            <w:tcW w:w="6620" w:type="dxa"/>
            <w:vAlign w:val="center"/>
          </w:tcPr>
          <w:p>
            <w:pPr>
              <w:spacing w:line="276" w:lineRule="auto"/>
              <w:rPr>
                <w:rFonts w:ascii="Arial" w:hAnsi="宋体" w:cs="Arial"/>
                <w:bCs/>
                <w:color w:val="0000FF"/>
                <w:kern w:val="0"/>
                <w:szCs w:val="21"/>
              </w:rPr>
            </w:pPr>
            <w:r>
              <w:fldChar w:fldCharType="begin"/>
            </w:r>
            <w:r>
              <w:instrText xml:space="preserve"> HYPERLINK "mailto:153283989@qq.com" </w:instrText>
            </w:r>
            <w:r>
              <w:fldChar w:fldCharType="separate"/>
            </w:r>
            <w:r>
              <w:rPr>
                <w:rStyle w:val="60"/>
                <w:rFonts w:hint="eastAsia" w:hAnsi="宋体" w:cs="宋体"/>
                <w:b/>
                <w:bCs/>
                <w:color w:val="auto"/>
                <w:szCs w:val="21"/>
                <w:lang w:eastAsia="zh-CN"/>
              </w:rPr>
              <w:t>404199054</w:t>
            </w:r>
            <w:r>
              <w:rPr>
                <w:rStyle w:val="60"/>
                <w:rFonts w:hint="eastAsia" w:hAnsi="宋体" w:cs="宋体"/>
                <w:b/>
                <w:bCs/>
                <w:color w:val="auto"/>
                <w:szCs w:val="21"/>
              </w:rPr>
              <w:t>@qq.com</w:t>
            </w:r>
            <w:r>
              <w:rPr>
                <w:rStyle w:val="60"/>
                <w:rFonts w:hint="eastAsia" w:hAnsi="宋体" w:cs="宋体"/>
                <w:b/>
                <w:bCs/>
                <w:color w:val="auto"/>
                <w:szCs w:val="21"/>
              </w:rPr>
              <w:fldChar w:fldCharType="end"/>
            </w:r>
            <w:r>
              <w:rPr>
                <w:rFonts w:hint="eastAsia" w:hAnsi="宋体" w:cs="宋体"/>
                <w:b/>
                <w:bCs/>
                <w:szCs w:val="21"/>
              </w:rPr>
              <w:t>，本招标文件凡涉及采购代理机构指定邮箱的，均指该邮箱。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0" w:hRule="atLeast"/>
          <w:jc w:val="center"/>
        </w:trPr>
        <w:tc>
          <w:tcPr>
            <w:tcW w:w="609" w:type="dxa"/>
            <w:vAlign w:val="center"/>
          </w:tcPr>
          <w:p>
            <w:pPr>
              <w:spacing w:line="276" w:lineRule="auto"/>
              <w:jc w:val="center"/>
              <w:rPr>
                <w:rFonts w:ascii="Arial" w:hAnsi="Arial" w:cs="Arial"/>
                <w:color w:val="0000FF"/>
                <w:szCs w:val="21"/>
              </w:rPr>
            </w:pPr>
            <w:r>
              <w:rPr>
                <w:rFonts w:hint="eastAsia" w:ascii="Arial" w:hAnsi="Arial" w:cs="Arial"/>
                <w:color w:val="0000FF"/>
                <w:szCs w:val="21"/>
              </w:rPr>
              <w:t>15</w:t>
            </w:r>
          </w:p>
        </w:tc>
        <w:tc>
          <w:tcPr>
            <w:tcW w:w="2045" w:type="dxa"/>
            <w:vAlign w:val="center"/>
          </w:tcPr>
          <w:p>
            <w:pPr>
              <w:spacing w:line="276" w:lineRule="auto"/>
              <w:jc w:val="center"/>
              <w:rPr>
                <w:rFonts w:ascii="Arial" w:hAnsi="Arial" w:cs="Arial"/>
                <w:color w:val="0000FF"/>
                <w:szCs w:val="21"/>
              </w:rPr>
            </w:pPr>
            <w:r>
              <w:rPr>
                <w:rFonts w:hint="eastAsia" w:ascii="宋体" w:hAnsi="宋体" w:cs="Arial"/>
                <w:szCs w:val="21"/>
              </w:rPr>
              <w:t>投标文件的制作、递交</w:t>
            </w:r>
          </w:p>
        </w:tc>
        <w:tc>
          <w:tcPr>
            <w:tcW w:w="6620" w:type="dxa"/>
            <w:vAlign w:val="center"/>
          </w:tcPr>
          <w:p>
            <w:pPr>
              <w:pStyle w:val="289"/>
              <w:spacing w:before="0" w:line="276" w:lineRule="auto"/>
              <w:ind w:firstLine="0" w:firstLineChars="0"/>
              <w:contextualSpacing/>
              <w:rPr>
                <w:rFonts w:ascii="宋体" w:hAnsi="宋体" w:cs="宋体"/>
                <w:b/>
                <w:bCs/>
                <w:color w:val="auto"/>
                <w:sz w:val="21"/>
                <w:szCs w:val="21"/>
              </w:rPr>
            </w:pPr>
            <w:r>
              <w:rPr>
                <w:rFonts w:hint="eastAsia" w:ascii="宋体" w:hAnsi="宋体" w:cs="宋体"/>
                <w:b/>
                <w:bCs/>
                <w:color w:val="auto"/>
                <w:sz w:val="21"/>
                <w:szCs w:val="21"/>
              </w:rPr>
              <w:t>1、投标文件的制作</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①电子加密投标文件：供应商通过国企采购乐采云平台投标客户端线上制作投标文件并采用CA数字证书进行电子签章及加密，生成格式为.jmbs的投标文件。</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②备份投标文件（可选）：“备份投标文件”是指与“电子加密投标文件”同时生成的数据电文形式的电子文件（备份标书，用于供应商标书解密异常时应急使用），其他方式编制的备份投标文件视为无效备份投标文件</w:t>
            </w:r>
          </w:p>
          <w:p>
            <w:pPr>
              <w:pStyle w:val="289"/>
              <w:numPr>
                <w:ilvl w:val="0"/>
                <w:numId w:val="6"/>
              </w:numPr>
              <w:spacing w:before="0" w:line="276" w:lineRule="auto"/>
              <w:ind w:firstLine="0" w:firstLineChars="0"/>
              <w:contextualSpacing/>
              <w:rPr>
                <w:rFonts w:ascii="宋体" w:hAnsi="宋体" w:cs="宋体"/>
                <w:b/>
                <w:bCs/>
                <w:color w:val="auto"/>
                <w:sz w:val="21"/>
                <w:szCs w:val="21"/>
              </w:rPr>
            </w:pPr>
            <w:r>
              <w:rPr>
                <w:rFonts w:hint="eastAsia" w:ascii="宋体" w:hAnsi="宋体" w:cs="宋体"/>
                <w:b/>
                <w:bCs/>
                <w:color w:val="auto"/>
                <w:sz w:val="21"/>
                <w:szCs w:val="21"/>
              </w:rPr>
              <w:t>投标文件的递交</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①递交截止时间：202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1</w:t>
            </w:r>
            <w:r>
              <w:rPr>
                <w:rFonts w:hint="eastAsia" w:ascii="宋体" w:hAnsi="宋体" w:cs="宋体"/>
                <w:color w:val="auto"/>
                <w:sz w:val="21"/>
                <w:szCs w:val="21"/>
              </w:rPr>
              <w:t>月</w:t>
            </w:r>
            <w:r>
              <w:rPr>
                <w:rFonts w:hint="eastAsia" w:ascii="宋体" w:hAnsi="宋体" w:cs="宋体"/>
                <w:color w:val="auto"/>
                <w:sz w:val="21"/>
                <w:szCs w:val="21"/>
                <w:lang w:val="en-US" w:eastAsia="zh-CN"/>
              </w:rPr>
              <w:t>25日上</w:t>
            </w:r>
            <w:r>
              <w:rPr>
                <w:rFonts w:hint="eastAsia" w:ascii="宋体" w:hAnsi="宋体" w:cs="宋体"/>
                <w:color w:val="auto"/>
                <w:sz w:val="21"/>
                <w:szCs w:val="21"/>
              </w:rPr>
              <w:t>午</w:t>
            </w:r>
            <w:r>
              <w:rPr>
                <w:rFonts w:hint="eastAsia" w:ascii="宋体" w:hAnsi="宋体" w:cs="宋体"/>
                <w:color w:val="auto"/>
                <w:sz w:val="21"/>
                <w:szCs w:val="21"/>
                <w:lang w:val="en-US" w:eastAsia="zh-CN"/>
              </w:rPr>
              <w:t>9</w:t>
            </w:r>
            <w:r>
              <w:rPr>
                <w:rFonts w:hint="eastAsia" w:ascii="宋体" w:hAnsi="宋体" w:cs="宋体"/>
                <w:color w:val="auto"/>
                <w:sz w:val="21"/>
                <w:szCs w:val="21"/>
              </w:rPr>
              <w:t>点</w:t>
            </w:r>
            <w:r>
              <w:rPr>
                <w:rFonts w:hint="eastAsia" w:ascii="宋体" w:hAnsi="宋体" w:cs="宋体"/>
                <w:color w:val="auto"/>
                <w:sz w:val="21"/>
                <w:szCs w:val="21"/>
                <w:lang w:val="en-US" w:eastAsia="zh-CN"/>
              </w:rPr>
              <w:t>0</w:t>
            </w:r>
            <w:r>
              <w:rPr>
                <w:rFonts w:hint="eastAsia" w:ascii="宋体" w:hAnsi="宋体" w:cs="宋体"/>
                <w:color w:val="auto"/>
                <w:sz w:val="21"/>
                <w:szCs w:val="21"/>
              </w:rPr>
              <w:t>0分（北京时间）；</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② 递交地点：</w:t>
            </w:r>
          </w:p>
          <w:p>
            <w:pPr>
              <w:spacing w:line="276" w:lineRule="auto"/>
              <w:rPr>
                <w:rFonts w:ascii="Arial" w:hAnsi="Arial" w:cs="Arial"/>
                <w:bCs/>
                <w:color w:val="auto"/>
                <w:kern w:val="0"/>
                <w:szCs w:val="21"/>
              </w:rPr>
            </w:pPr>
            <w:r>
              <w:rPr>
                <w:rFonts w:hint="eastAsia" w:ascii="宋体" w:hAnsi="宋体" w:cs="宋体"/>
                <w:color w:val="auto"/>
                <w:szCs w:val="21"/>
              </w:rPr>
              <w:t>电子加密投标文件在“国企采购乐采云平台（http://www.lecaiyun.com/）”指定位置上传，“电子加密投标文件”成功上传递交后，供应商可自行打印投标文件接收回执。供应商在“国企采购乐采云平台”完成“电子加密投标文件”的上传递交后，“备份投标文件” 投标截止时间前以压缩文件形式加密发送至采购代理机构邮箱，并在接到在线解密通知后30分钟内发送压缩文件密码至采购代理机构邮箱：</w:t>
            </w:r>
            <w:r>
              <w:rPr>
                <w:rFonts w:hint="eastAsia" w:ascii="宋体" w:hAnsi="宋体" w:cs="宋体"/>
                <w:color w:val="auto"/>
                <w:szCs w:val="21"/>
                <w:lang w:eastAsia="zh-CN"/>
              </w:rPr>
              <w:t>404199054</w:t>
            </w:r>
            <w:r>
              <w:rPr>
                <w:rFonts w:hint="eastAsia" w:ascii="宋体" w:hAnsi="宋体" w:cs="宋体"/>
                <w:color w:val="auto"/>
                <w:szCs w:val="21"/>
              </w:rPr>
              <w:t>@qq.com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16</w:t>
            </w:r>
          </w:p>
        </w:tc>
        <w:tc>
          <w:tcPr>
            <w:tcW w:w="2045" w:type="dxa"/>
            <w:vAlign w:val="center"/>
          </w:tcPr>
          <w:p>
            <w:pPr>
              <w:spacing w:line="276" w:lineRule="auto"/>
              <w:jc w:val="center"/>
              <w:rPr>
                <w:rFonts w:ascii="Arial" w:hAnsi="Arial" w:cs="Arial"/>
                <w:szCs w:val="21"/>
              </w:rPr>
            </w:pPr>
            <w:r>
              <w:rPr>
                <w:rFonts w:ascii="Arial" w:hAnsi="宋体" w:cs="Arial"/>
                <w:szCs w:val="21"/>
              </w:rPr>
              <w:t>投标样品</w:t>
            </w:r>
          </w:p>
        </w:tc>
        <w:tc>
          <w:tcPr>
            <w:tcW w:w="6620" w:type="dxa"/>
            <w:vAlign w:val="center"/>
          </w:tcPr>
          <w:p>
            <w:pPr>
              <w:spacing w:line="276" w:lineRule="auto"/>
              <w:rPr>
                <w:rFonts w:ascii="Arial" w:hAnsi="宋体" w:cs="Arial"/>
                <w:bCs/>
                <w:kern w:val="0"/>
                <w:szCs w:val="21"/>
              </w:rPr>
            </w:pPr>
            <w:r>
              <w:rPr>
                <w:rFonts w:ascii="宋体" w:hAnsi="宋体" w:cs="Arial"/>
                <w:bCs/>
                <w:kern w:val="0"/>
                <w:szCs w:val="21"/>
              </w:rPr>
              <w:sym w:font="Wingdings 2" w:char="0052"/>
            </w:r>
            <w:r>
              <w:rPr>
                <w:rFonts w:ascii="Arial" w:hAnsi="宋体" w:cs="Arial"/>
                <w:bCs/>
                <w:kern w:val="0"/>
                <w:szCs w:val="21"/>
              </w:rPr>
              <w:t>不需要</w:t>
            </w:r>
          </w:p>
          <w:p>
            <w:pPr>
              <w:spacing w:line="276" w:lineRule="auto"/>
              <w:rPr>
                <w:rFonts w:ascii="Arial" w:hAnsi="Arial" w:cs="Arial"/>
                <w:szCs w:val="22"/>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Arial" w:cs="Arial"/>
                <w:bCs/>
                <w:kern w:val="0"/>
                <w:szCs w:val="21"/>
              </w:rPr>
              <w:t xml:space="preserve">  </w:t>
            </w:r>
            <w:r>
              <w:rPr>
                <w:rFonts w:ascii="Arial" w:hAnsi="宋体" w:cs="Arial"/>
                <w:bCs/>
                <w:kern w:val="0"/>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17</w:t>
            </w:r>
          </w:p>
        </w:tc>
        <w:tc>
          <w:tcPr>
            <w:tcW w:w="2045" w:type="dxa"/>
            <w:vAlign w:val="center"/>
          </w:tcPr>
          <w:p>
            <w:pPr>
              <w:spacing w:line="276" w:lineRule="auto"/>
              <w:jc w:val="center"/>
              <w:rPr>
                <w:rFonts w:ascii="Arial" w:hAnsi="Arial" w:cs="Arial"/>
                <w:szCs w:val="21"/>
              </w:rPr>
            </w:pPr>
            <w:r>
              <w:rPr>
                <w:rFonts w:ascii="Arial" w:hAnsi="宋体" w:cs="Arial"/>
                <w:szCs w:val="21"/>
              </w:rPr>
              <w:t>投标保证金</w:t>
            </w:r>
          </w:p>
        </w:tc>
        <w:tc>
          <w:tcPr>
            <w:tcW w:w="6620" w:type="dxa"/>
            <w:vAlign w:val="center"/>
          </w:tcPr>
          <w:p>
            <w:pPr>
              <w:spacing w:line="360" w:lineRule="auto"/>
              <w:rPr>
                <w:rFonts w:ascii="宋体" w:hAnsi="宋体" w:cs="Arial Unicode MS"/>
                <w:szCs w:val="21"/>
              </w:rPr>
            </w:pPr>
            <w:r>
              <w:rPr>
                <w:rFonts w:hint="eastAsia" w:ascii="宋体" w:hAnsi="宋体" w:cs="Arial Unicode MS"/>
                <w:sz w:val="18"/>
                <w:szCs w:val="21"/>
              </w:rPr>
              <w:fldChar w:fldCharType="begin"/>
            </w:r>
            <w:r>
              <w:rPr>
                <w:rFonts w:hint="eastAsia" w:ascii="宋体" w:hAnsi="宋体" w:cs="Arial Unicode MS"/>
                <w:sz w:val="18"/>
                <w:szCs w:val="21"/>
              </w:rPr>
              <w:instrText xml:space="preserve"> eq \o\ac(</w:instrText>
            </w:r>
            <w:r>
              <w:rPr>
                <w:rFonts w:hint="eastAsia" w:ascii="宋体" w:hAnsi="宋体" w:cs="Arial Unicode MS"/>
                <w:position w:val="-2"/>
                <w:sz w:val="24"/>
                <w:szCs w:val="21"/>
              </w:rPr>
              <w:instrText xml:space="preserve">□</w:instrText>
            </w:r>
            <w:r>
              <w:rPr>
                <w:rFonts w:hint="eastAsia" w:ascii="宋体" w:hAnsi="宋体" w:cs="Arial Unicode MS"/>
                <w:sz w:val="18"/>
                <w:szCs w:val="21"/>
              </w:rPr>
              <w:instrText xml:space="preserve">,√)</w:instrText>
            </w:r>
            <w:r>
              <w:rPr>
                <w:rFonts w:hint="eastAsia" w:ascii="宋体" w:hAnsi="宋体" w:cs="Arial Unicode MS"/>
                <w:sz w:val="18"/>
                <w:szCs w:val="21"/>
              </w:rPr>
              <w:fldChar w:fldCharType="end"/>
            </w:r>
            <w:r>
              <w:rPr>
                <w:rFonts w:hint="eastAsia" w:ascii="宋体" w:hAnsi="宋体" w:cs="Arial Unicode MS"/>
                <w:sz w:val="18"/>
                <w:szCs w:val="21"/>
              </w:rPr>
              <w:t xml:space="preserve"> </w:t>
            </w:r>
            <w:r>
              <w:rPr>
                <w:rFonts w:hint="eastAsia" w:ascii="宋体" w:hAnsi="宋体" w:cs="Arial Unicode MS"/>
                <w:szCs w:val="21"/>
              </w:rPr>
              <w:t>不需要</w:t>
            </w:r>
          </w:p>
          <w:p>
            <w:pPr>
              <w:widowControl/>
              <w:snapToGrid w:val="0"/>
              <w:spacing w:line="400" w:lineRule="atLeast"/>
              <w:rPr>
                <w:rFonts w:ascii="Arial" w:hAnsi="Arial" w:cs="Arial"/>
                <w:color w:val="0000FF"/>
              </w:rPr>
            </w:pPr>
            <w:r>
              <w:rPr>
                <w:rFonts w:hint="eastAsia" w:ascii="宋体" w:hAnsi="宋体" w:cs="Arial Unicode MS"/>
                <w:sz w:val="22"/>
                <w:szCs w:val="21"/>
              </w:rPr>
              <w:t xml:space="preserve">□ </w:t>
            </w:r>
            <w:r>
              <w:rPr>
                <w:rFonts w:hint="eastAsia" w:ascii="宋体" w:hAnsi="宋体" w:cs="Arial Unicode MS"/>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18</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履约担保</w:t>
            </w:r>
          </w:p>
        </w:tc>
        <w:tc>
          <w:tcPr>
            <w:tcW w:w="6620" w:type="dxa"/>
            <w:vAlign w:val="center"/>
          </w:tcPr>
          <w:p>
            <w:pPr>
              <w:spacing w:line="360" w:lineRule="auto"/>
              <w:rPr>
                <w:rFonts w:ascii="宋体" w:hAnsi="宋体"/>
                <w:szCs w:val="21"/>
              </w:rPr>
            </w:pPr>
            <w:r>
              <w:rPr>
                <w:rFonts w:ascii="宋体" w:hAnsi="宋体"/>
                <w:szCs w:val="21"/>
              </w:rPr>
              <w:t>□</w:t>
            </w:r>
            <w:r>
              <w:rPr>
                <w:rFonts w:hint="eastAsia" w:ascii="宋体" w:hAnsi="宋体"/>
                <w:szCs w:val="21"/>
              </w:rPr>
              <w:t>不需要</w:t>
            </w:r>
          </w:p>
          <w:p>
            <w:pPr>
              <w:spacing w:line="276"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 xml:space="preserve">需要  </w:t>
            </w:r>
          </w:p>
          <w:p>
            <w:pPr>
              <w:autoSpaceDE w:val="0"/>
              <w:autoSpaceDN w:val="0"/>
              <w:adjustRightInd w:val="0"/>
              <w:spacing w:line="276" w:lineRule="auto"/>
              <w:rPr>
                <w:rFonts w:ascii="宋体" w:hAnsi="宋体" w:cs="宋体"/>
                <w:szCs w:val="21"/>
              </w:rPr>
            </w:pPr>
            <w:r>
              <w:rPr>
                <w:rFonts w:hint="eastAsia" w:ascii="宋体" w:hAnsi="宋体" w:cs="宋体"/>
                <w:szCs w:val="21"/>
              </w:rPr>
              <w:t>履约担保的提交期限：合同协议书签署前；</w:t>
            </w:r>
          </w:p>
          <w:p>
            <w:pPr>
              <w:autoSpaceDE w:val="0"/>
              <w:autoSpaceDN w:val="0"/>
              <w:adjustRightInd w:val="0"/>
              <w:spacing w:line="276" w:lineRule="auto"/>
              <w:rPr>
                <w:rFonts w:ascii="宋体" w:hAnsi="宋体" w:cs="仿宋_GB2312"/>
                <w:color w:val="0000FF"/>
                <w:szCs w:val="21"/>
              </w:rPr>
            </w:pPr>
            <w:r>
              <w:rPr>
                <w:rFonts w:hint="eastAsia" w:ascii="宋体" w:hAnsi="宋体" w:cs="宋体"/>
                <w:bCs/>
                <w:szCs w:val="21"/>
              </w:rPr>
              <w:t>履约担保的金额：</w:t>
            </w:r>
            <w:r>
              <w:rPr>
                <w:rFonts w:hint="eastAsia" w:ascii="宋体" w:hAnsi="宋体" w:cs="宋体"/>
                <w:bCs/>
                <w:szCs w:val="21"/>
                <w:lang w:val="en-US" w:eastAsia="zh-CN"/>
              </w:rPr>
              <w:t>缴纳伍万元</w:t>
            </w:r>
            <w:r>
              <w:rPr>
                <w:rFonts w:hint="eastAsia" w:ascii="宋体" w:hAnsi="宋体" w:cs="宋体"/>
                <w:bCs/>
                <w:szCs w:val="21"/>
              </w:rPr>
              <w:t>作为履约担保，以银行转账/转帐支票/银行汇票/银行、保险公司出具的保函等非现金形式交纳。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19</w:t>
            </w:r>
          </w:p>
        </w:tc>
        <w:tc>
          <w:tcPr>
            <w:tcW w:w="2045" w:type="dxa"/>
            <w:vAlign w:val="center"/>
          </w:tcPr>
          <w:p>
            <w:pPr>
              <w:spacing w:line="276" w:lineRule="auto"/>
              <w:jc w:val="center"/>
              <w:rPr>
                <w:rFonts w:ascii="Arial" w:hAnsi="Arial" w:cs="Arial"/>
                <w:color w:val="auto"/>
                <w:szCs w:val="21"/>
              </w:rPr>
            </w:pPr>
            <w:r>
              <w:rPr>
                <w:rFonts w:ascii="Arial" w:hAnsi="宋体" w:cs="Arial"/>
                <w:color w:val="auto"/>
                <w:szCs w:val="21"/>
              </w:rPr>
              <w:t>招标文件发售时间及获取方式</w:t>
            </w:r>
          </w:p>
        </w:tc>
        <w:tc>
          <w:tcPr>
            <w:tcW w:w="6620" w:type="dxa"/>
            <w:vAlign w:val="center"/>
          </w:tcPr>
          <w:p>
            <w:pPr>
              <w:spacing w:line="276" w:lineRule="auto"/>
              <w:rPr>
                <w:rFonts w:ascii="宋体" w:hAnsi="宋体" w:cs="宋体"/>
                <w:bCs/>
                <w:color w:val="auto"/>
                <w:spacing w:val="-14"/>
                <w:kern w:val="0"/>
                <w:szCs w:val="21"/>
              </w:rPr>
            </w:pPr>
            <w:r>
              <w:rPr>
                <w:rFonts w:hint="eastAsia" w:ascii="宋体" w:hAnsi="宋体" w:cs="宋体"/>
                <w:color w:val="auto"/>
                <w:kern w:val="0"/>
                <w:szCs w:val="21"/>
                <w:lang w:eastAsia="zh-CN"/>
              </w:rPr>
              <w:t>2024年1月10日</w:t>
            </w:r>
            <w:r>
              <w:rPr>
                <w:rFonts w:hint="eastAsia" w:ascii="宋体" w:hAnsi="宋体" w:cs="宋体"/>
                <w:color w:val="auto"/>
                <w:kern w:val="0"/>
                <w:szCs w:val="21"/>
              </w:rPr>
              <w:t>上午8:30至</w:t>
            </w:r>
            <w:r>
              <w:rPr>
                <w:rFonts w:hint="eastAsia" w:ascii="宋体" w:hAnsi="宋体" w:cs="宋体"/>
                <w:color w:val="auto"/>
                <w:kern w:val="0"/>
                <w:szCs w:val="21"/>
                <w:lang w:eastAsia="zh-CN"/>
              </w:rPr>
              <w:t>2024年1月2</w:t>
            </w:r>
            <w:r>
              <w:rPr>
                <w:rFonts w:hint="eastAsia" w:ascii="宋体" w:hAnsi="宋体" w:cs="宋体"/>
                <w:color w:val="auto"/>
                <w:kern w:val="0"/>
                <w:szCs w:val="21"/>
                <w:lang w:val="en-US" w:eastAsia="zh-CN"/>
              </w:rPr>
              <w:t>4</w:t>
            </w:r>
            <w:r>
              <w:rPr>
                <w:rFonts w:hint="eastAsia" w:ascii="宋体" w:hAnsi="宋体" w:cs="宋体"/>
                <w:color w:val="auto"/>
                <w:kern w:val="0"/>
                <w:szCs w:val="21"/>
                <w:lang w:eastAsia="zh-CN"/>
              </w:rPr>
              <w:t>日</w:t>
            </w:r>
            <w:r>
              <w:rPr>
                <w:rFonts w:hint="eastAsia" w:ascii="宋体" w:hAnsi="宋体" w:cs="宋体"/>
                <w:color w:val="auto"/>
                <w:kern w:val="0"/>
                <w:szCs w:val="21"/>
              </w:rPr>
              <w:t>下午17:00</w:t>
            </w:r>
          </w:p>
          <w:p>
            <w:pPr>
              <w:spacing w:line="276" w:lineRule="auto"/>
              <w:rPr>
                <w:rFonts w:ascii="宋体" w:hAnsi="宋体" w:cs="宋体"/>
                <w:bCs/>
                <w:color w:val="auto"/>
                <w:kern w:val="0"/>
                <w:szCs w:val="21"/>
              </w:rPr>
            </w:pPr>
            <w:r>
              <w:rPr>
                <w:rFonts w:hint="eastAsia" w:ascii="宋体" w:hAnsi="宋体" w:cs="宋体"/>
                <w:color w:val="auto"/>
                <w:kern w:val="0"/>
                <w:szCs w:val="21"/>
              </w:rPr>
              <w:t>登录国企采购乐采云平台（http://www.lecaiyun.com/）申请获取招标文件。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20</w:t>
            </w:r>
          </w:p>
        </w:tc>
        <w:tc>
          <w:tcPr>
            <w:tcW w:w="2045" w:type="dxa"/>
            <w:vAlign w:val="center"/>
          </w:tcPr>
          <w:p>
            <w:pPr>
              <w:spacing w:line="276" w:lineRule="auto"/>
              <w:jc w:val="center"/>
              <w:rPr>
                <w:rFonts w:ascii="宋体" w:hAnsi="宋体" w:cs="宋体"/>
                <w:color w:val="auto"/>
                <w:szCs w:val="21"/>
              </w:rPr>
            </w:pPr>
            <w:r>
              <w:rPr>
                <w:rFonts w:hint="eastAsia" w:ascii="宋体" w:hAnsi="宋体" w:cs="宋体"/>
                <w:color w:val="auto"/>
                <w:szCs w:val="21"/>
              </w:rPr>
              <w:t>投标截止时间</w:t>
            </w:r>
          </w:p>
        </w:tc>
        <w:tc>
          <w:tcPr>
            <w:tcW w:w="6620" w:type="dxa"/>
            <w:vAlign w:val="center"/>
          </w:tcPr>
          <w:p>
            <w:pPr>
              <w:spacing w:line="276" w:lineRule="auto"/>
              <w:rPr>
                <w:rFonts w:ascii="宋体" w:hAnsi="宋体" w:cs="宋体"/>
                <w:color w:val="auto"/>
                <w:szCs w:val="21"/>
              </w:rPr>
            </w:pPr>
            <w:r>
              <w:rPr>
                <w:rFonts w:hint="eastAsia" w:ascii="宋体" w:hAnsi="宋体" w:cs="宋体"/>
                <w:bCs/>
                <w:color w:val="auto"/>
                <w:szCs w:val="21"/>
              </w:rPr>
              <w:t>202</w:t>
            </w:r>
            <w:r>
              <w:rPr>
                <w:rFonts w:hint="eastAsia" w:ascii="宋体" w:hAnsi="宋体" w:cs="宋体"/>
                <w:bCs/>
                <w:color w:val="auto"/>
                <w:szCs w:val="21"/>
                <w:lang w:val="en-US" w:eastAsia="zh-CN"/>
              </w:rPr>
              <w:t>4</w:t>
            </w:r>
            <w:r>
              <w:rPr>
                <w:rFonts w:hint="eastAsia" w:ascii="宋体" w:hAnsi="宋体" w:cs="宋体"/>
                <w:bCs/>
                <w:color w:val="auto"/>
                <w:szCs w:val="21"/>
              </w:rPr>
              <w:t>年</w:t>
            </w:r>
            <w:r>
              <w:rPr>
                <w:rFonts w:hint="eastAsia" w:ascii="宋体" w:hAnsi="宋体" w:cs="宋体"/>
                <w:bCs/>
                <w:color w:val="auto"/>
                <w:szCs w:val="21"/>
                <w:lang w:val="en-US" w:eastAsia="zh-CN"/>
              </w:rPr>
              <w:t>1</w:t>
            </w:r>
            <w:r>
              <w:rPr>
                <w:rFonts w:hint="eastAsia" w:ascii="宋体" w:hAnsi="宋体" w:cs="宋体"/>
                <w:bCs/>
                <w:color w:val="auto"/>
                <w:szCs w:val="21"/>
              </w:rPr>
              <w:t>月</w:t>
            </w:r>
            <w:r>
              <w:rPr>
                <w:rFonts w:hint="eastAsia" w:ascii="宋体" w:hAnsi="宋体" w:cs="宋体"/>
                <w:bCs/>
                <w:color w:val="auto"/>
                <w:szCs w:val="21"/>
                <w:lang w:val="en-US" w:eastAsia="zh-CN"/>
              </w:rPr>
              <w:t>25日9</w:t>
            </w:r>
            <w:r>
              <w:rPr>
                <w:rFonts w:hint="eastAsia" w:ascii="宋体" w:hAnsi="宋体" w:cs="宋体"/>
                <w:bCs/>
                <w:color w:val="auto"/>
                <w:szCs w:val="21"/>
              </w:rPr>
              <w:t>:</w:t>
            </w:r>
            <w:r>
              <w:rPr>
                <w:rFonts w:hint="eastAsia" w:ascii="宋体" w:hAnsi="宋体" w:cs="宋体"/>
                <w:bCs/>
                <w:color w:val="auto"/>
                <w:szCs w:val="21"/>
                <w:lang w:val="en-US" w:eastAsia="zh-CN"/>
              </w:rPr>
              <w:t>0</w:t>
            </w:r>
            <w:r>
              <w:rPr>
                <w:rFonts w:hint="eastAsia" w:ascii="宋体" w:hAnsi="宋体" w:cs="宋体"/>
                <w:bCs/>
                <w:color w:val="auto"/>
                <w:szCs w:val="21"/>
              </w:rPr>
              <w:t>0</w:t>
            </w:r>
            <w:r>
              <w:rPr>
                <w:rFonts w:hint="eastAsia" w:ascii="宋体" w:hAnsi="宋体" w:cs="宋体"/>
                <w:color w:val="auto"/>
                <w:szCs w:val="21"/>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21</w:t>
            </w:r>
          </w:p>
        </w:tc>
        <w:tc>
          <w:tcPr>
            <w:tcW w:w="2045" w:type="dxa"/>
            <w:vAlign w:val="center"/>
          </w:tcPr>
          <w:p>
            <w:pPr>
              <w:spacing w:line="276" w:lineRule="auto"/>
              <w:jc w:val="center"/>
              <w:rPr>
                <w:rFonts w:ascii="宋体" w:hAnsi="宋体" w:cs="宋体"/>
                <w:color w:val="auto"/>
                <w:szCs w:val="21"/>
              </w:rPr>
            </w:pPr>
            <w:r>
              <w:rPr>
                <w:rFonts w:ascii="Arial" w:hAnsi="宋体" w:cs="Arial"/>
                <w:color w:val="auto"/>
                <w:szCs w:val="21"/>
              </w:rPr>
              <w:t>开标时间</w:t>
            </w:r>
            <w:r>
              <w:rPr>
                <w:rFonts w:hint="eastAsia" w:ascii="Arial" w:hAnsi="Arial" w:cs="Arial"/>
                <w:color w:val="auto"/>
                <w:szCs w:val="21"/>
              </w:rPr>
              <w:t>、</w:t>
            </w:r>
            <w:r>
              <w:rPr>
                <w:rFonts w:ascii="Arial" w:hAnsi="宋体" w:cs="Arial"/>
                <w:color w:val="auto"/>
                <w:szCs w:val="21"/>
              </w:rPr>
              <w:t>地点</w:t>
            </w:r>
            <w:r>
              <w:rPr>
                <w:rFonts w:hint="eastAsia" w:ascii="Arial" w:hAnsi="宋体" w:cs="Arial"/>
                <w:color w:val="auto"/>
                <w:szCs w:val="21"/>
              </w:rPr>
              <w:t>、形式</w:t>
            </w:r>
          </w:p>
        </w:tc>
        <w:tc>
          <w:tcPr>
            <w:tcW w:w="6620" w:type="dxa"/>
            <w:vAlign w:val="center"/>
          </w:tcPr>
          <w:p>
            <w:pPr>
              <w:spacing w:line="360" w:lineRule="auto"/>
              <w:rPr>
                <w:rFonts w:ascii="宋体" w:hAnsi="宋体" w:cs="宋体"/>
                <w:color w:val="auto"/>
                <w:szCs w:val="21"/>
              </w:rPr>
            </w:pPr>
            <w:r>
              <w:rPr>
                <w:rFonts w:hint="eastAsia" w:ascii="宋体" w:hAnsi="宋体" w:cs="宋体"/>
                <w:color w:val="auto"/>
                <w:szCs w:val="21"/>
              </w:rPr>
              <w:t>开标时间：</w:t>
            </w:r>
            <w:r>
              <w:rPr>
                <w:rFonts w:hint="eastAsia" w:ascii="宋体" w:hAnsi="宋体"/>
                <w:bCs/>
                <w:color w:val="auto"/>
              </w:rPr>
              <w:t>202</w:t>
            </w:r>
            <w:r>
              <w:rPr>
                <w:rFonts w:hint="eastAsia" w:ascii="宋体" w:hAnsi="宋体"/>
                <w:bCs/>
                <w:color w:val="auto"/>
                <w:lang w:val="en-US" w:eastAsia="zh-CN"/>
              </w:rPr>
              <w:t>4</w:t>
            </w:r>
            <w:r>
              <w:rPr>
                <w:rFonts w:hint="eastAsia" w:ascii="宋体" w:hAnsi="宋体"/>
                <w:bCs/>
                <w:color w:val="auto"/>
              </w:rPr>
              <w:t>年</w:t>
            </w:r>
            <w:r>
              <w:rPr>
                <w:rFonts w:hint="eastAsia" w:ascii="宋体" w:hAnsi="宋体"/>
                <w:bCs/>
                <w:color w:val="auto"/>
                <w:lang w:val="en-US" w:eastAsia="zh-CN"/>
              </w:rPr>
              <w:t>1</w:t>
            </w:r>
            <w:r>
              <w:rPr>
                <w:rFonts w:hint="eastAsia" w:ascii="宋体" w:hAnsi="宋体"/>
                <w:bCs/>
                <w:color w:val="auto"/>
              </w:rPr>
              <w:t>月</w:t>
            </w:r>
            <w:r>
              <w:rPr>
                <w:rFonts w:hint="eastAsia" w:ascii="宋体" w:hAnsi="宋体"/>
                <w:bCs/>
                <w:color w:val="auto"/>
                <w:lang w:val="en-US" w:eastAsia="zh-CN"/>
              </w:rPr>
              <w:t>25日上</w:t>
            </w:r>
            <w:r>
              <w:rPr>
                <w:rFonts w:hint="eastAsia" w:ascii="宋体" w:hAnsi="宋体"/>
                <w:bCs/>
                <w:color w:val="auto"/>
              </w:rPr>
              <w:t>午</w:t>
            </w:r>
            <w:r>
              <w:rPr>
                <w:rFonts w:hint="eastAsia" w:ascii="宋体" w:hAnsi="宋体"/>
                <w:bCs/>
                <w:color w:val="auto"/>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0</w:t>
            </w:r>
            <w:r>
              <w:rPr>
                <w:rFonts w:hint="eastAsia" w:ascii="宋体" w:hAnsi="宋体" w:cs="宋体"/>
                <w:color w:val="auto"/>
                <w:szCs w:val="21"/>
              </w:rPr>
              <w:t>0分正</w:t>
            </w:r>
            <w:r>
              <w:rPr>
                <w:rFonts w:ascii="宋体" w:hAnsi="宋体" w:cs="宋体"/>
                <w:color w:val="auto"/>
                <w:szCs w:val="21"/>
              </w:rPr>
              <w:t>(</w:t>
            </w:r>
            <w:r>
              <w:rPr>
                <w:rFonts w:hint="eastAsia" w:ascii="宋体" w:hAnsi="宋体" w:cs="宋体"/>
                <w:color w:val="auto"/>
                <w:szCs w:val="21"/>
              </w:rPr>
              <w:t>北京时间</w:t>
            </w:r>
            <w:r>
              <w:rPr>
                <w:rFonts w:ascii="宋体" w:hAnsi="宋体" w:cs="宋体"/>
                <w:color w:val="auto"/>
                <w:szCs w:val="21"/>
              </w:rPr>
              <w:t>)</w:t>
            </w:r>
          </w:p>
          <w:p>
            <w:pPr>
              <w:widowControl/>
              <w:spacing w:line="360" w:lineRule="auto"/>
              <w:rPr>
                <w:rFonts w:ascii="宋体" w:hAnsi="宋体" w:cs="Arial Unicode MS"/>
                <w:color w:val="auto"/>
                <w:szCs w:val="21"/>
              </w:rPr>
            </w:pPr>
            <w:r>
              <w:rPr>
                <w:rFonts w:hint="eastAsia" w:ascii="宋体" w:hAnsi="宋体" w:cs="Arial Unicode MS"/>
                <w:color w:val="auto"/>
                <w:szCs w:val="21"/>
              </w:rPr>
              <w:t>开标地点：国企采购乐采云平台（http://www.lecaiyun.com/）</w:t>
            </w:r>
          </w:p>
          <w:p>
            <w:pPr>
              <w:spacing w:line="276" w:lineRule="auto"/>
              <w:rPr>
                <w:rFonts w:ascii="宋体" w:hAnsi="宋体" w:cs="宋体"/>
                <w:color w:val="auto"/>
                <w:szCs w:val="21"/>
              </w:rPr>
            </w:pPr>
            <w:r>
              <w:rPr>
                <w:rFonts w:hint="eastAsia" w:ascii="宋体" w:hAnsi="宋体" w:cs="宋体"/>
                <w:b/>
                <w:color w:val="auto"/>
                <w:szCs w:val="21"/>
              </w:rPr>
              <w:t>采购代理机构将按照招标文件规定的开标时间通过“国企采购乐采云平台”组织开标、开启投标文件，所有供应商均应当准时在线参加。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22</w:t>
            </w:r>
          </w:p>
        </w:tc>
        <w:tc>
          <w:tcPr>
            <w:tcW w:w="2045" w:type="dxa"/>
            <w:vAlign w:val="center"/>
          </w:tcPr>
          <w:p>
            <w:pPr>
              <w:spacing w:line="360" w:lineRule="auto"/>
              <w:jc w:val="center"/>
              <w:rPr>
                <w:rFonts w:ascii="宋体" w:hAnsi="宋体" w:cs="宋体"/>
                <w:szCs w:val="21"/>
              </w:rPr>
            </w:pPr>
            <w:r>
              <w:rPr>
                <w:rFonts w:ascii="宋体" w:hAnsi="宋体" w:cs="宋体"/>
                <w:bCs/>
                <w:szCs w:val="21"/>
              </w:rPr>
              <w:t>签字或盖章要求</w:t>
            </w:r>
          </w:p>
        </w:tc>
        <w:tc>
          <w:tcPr>
            <w:tcW w:w="6620" w:type="dxa"/>
            <w:vAlign w:val="center"/>
          </w:tcPr>
          <w:p>
            <w:pPr>
              <w:spacing w:line="276" w:lineRule="auto"/>
              <w:rPr>
                <w:rFonts w:ascii="宋体" w:hAnsi="宋体" w:cs="Arial"/>
                <w:szCs w:val="21"/>
              </w:rPr>
            </w:pPr>
            <w:r>
              <w:rPr>
                <w:rFonts w:hint="eastAsia" w:ascii="宋体" w:hAnsi="宋体" w:cs="Arial"/>
                <w:szCs w:val="21"/>
              </w:rPr>
              <w:t>1、按“投标文件格式”中提供的格式进行签字盖章。</w:t>
            </w:r>
          </w:p>
          <w:p>
            <w:pPr>
              <w:spacing w:line="276" w:lineRule="auto"/>
              <w:rPr>
                <w:rFonts w:ascii="宋体" w:hAnsi="宋体" w:cs="Arial"/>
                <w:szCs w:val="21"/>
              </w:rPr>
            </w:pPr>
            <w:r>
              <w:rPr>
                <w:rFonts w:hint="eastAsia" w:ascii="宋体" w:hAnsi="宋体" w:cs="Arial"/>
                <w:szCs w:val="21"/>
              </w:rPr>
              <w:t>2、投标文件签署人（签字或盖章）：投标文件</w:t>
            </w:r>
            <w:r>
              <w:rPr>
                <w:rFonts w:hint="eastAsia" w:ascii="宋体" w:hAnsi="宋体" w:cs="Arial Unicode MS"/>
                <w:szCs w:val="21"/>
              </w:rPr>
              <w:t>凡涉及法定代表人或其授权代表的签字（或盖章）的地方可使用电子签章或签字（或盖章）扫描后上传</w:t>
            </w:r>
            <w:r>
              <w:rPr>
                <w:rFonts w:hint="eastAsia" w:ascii="宋体" w:hAnsi="宋体" w:cs="Arial"/>
                <w:szCs w:val="21"/>
              </w:rPr>
              <w:t>。</w:t>
            </w:r>
          </w:p>
          <w:p>
            <w:pPr>
              <w:spacing w:line="360" w:lineRule="auto"/>
              <w:rPr>
                <w:rFonts w:ascii="宋体" w:hAnsi="宋体" w:cs="宋体"/>
                <w:color w:val="0000FF"/>
                <w:szCs w:val="21"/>
              </w:rPr>
            </w:pPr>
            <w:r>
              <w:rPr>
                <w:rFonts w:hint="eastAsia" w:ascii="宋体" w:hAnsi="宋体" w:cs="Arial"/>
                <w:szCs w:val="21"/>
              </w:rPr>
              <w:t>3、盖单位公章：投标</w:t>
            </w:r>
            <w:r>
              <w:rPr>
                <w:rFonts w:hint="eastAsia" w:ascii="宋体" w:hAnsi="宋体" w:cs="Arial Unicode MS"/>
                <w:szCs w:val="21"/>
              </w:rPr>
              <w:t>文件中须加盖单位公章的地方均可使用电子签章或加盖单位公章后扫描上传。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23</w:t>
            </w:r>
          </w:p>
        </w:tc>
        <w:tc>
          <w:tcPr>
            <w:tcW w:w="2045" w:type="dxa"/>
            <w:vAlign w:val="center"/>
          </w:tcPr>
          <w:p>
            <w:pPr>
              <w:spacing w:line="276" w:lineRule="auto"/>
              <w:jc w:val="center"/>
              <w:rPr>
                <w:rFonts w:ascii="Arial" w:hAnsi="Arial" w:cs="Arial"/>
                <w:szCs w:val="21"/>
              </w:rPr>
            </w:pPr>
            <w:r>
              <w:rPr>
                <w:rFonts w:ascii="Arial" w:hAnsi="宋体" w:cs="Arial"/>
                <w:szCs w:val="21"/>
              </w:rPr>
              <w:t>开标程序</w:t>
            </w:r>
          </w:p>
        </w:tc>
        <w:tc>
          <w:tcPr>
            <w:tcW w:w="6620" w:type="dxa"/>
            <w:vAlign w:val="center"/>
          </w:tcPr>
          <w:p>
            <w:pPr>
              <w:widowControl/>
              <w:numPr>
                <w:ilvl w:val="0"/>
                <w:numId w:val="7"/>
              </w:numPr>
              <w:spacing w:line="276" w:lineRule="auto"/>
              <w:ind w:firstLine="0"/>
              <w:jc w:val="left"/>
              <w:rPr>
                <w:rFonts w:ascii="宋体" w:hAnsi="宋体" w:cs="宋体"/>
                <w:szCs w:val="21"/>
                <w:lang w:bidi="ar"/>
              </w:rPr>
            </w:pPr>
            <w:r>
              <w:rPr>
                <w:rFonts w:hint="eastAsia" w:ascii="宋体" w:hAnsi="宋体" w:cs="宋体"/>
                <w:szCs w:val="21"/>
                <w:lang w:bidi="ar"/>
              </w:rPr>
              <w:t>开标程序</w:t>
            </w:r>
          </w:p>
          <w:p>
            <w:pPr>
              <w:tabs>
                <w:tab w:val="left" w:pos="-6"/>
              </w:tabs>
              <w:spacing w:line="276" w:lineRule="auto"/>
              <w:ind w:left="25"/>
              <w:rPr>
                <w:rFonts w:ascii="宋体" w:hAnsi="宋体" w:cs="宋体"/>
                <w:b/>
                <w:szCs w:val="21"/>
              </w:rPr>
            </w:pPr>
            <w:r>
              <w:rPr>
                <w:rFonts w:hint="eastAsia" w:ascii="宋体" w:hAnsi="宋体" w:cs="宋体"/>
                <w:b/>
                <w:szCs w:val="21"/>
              </w:rPr>
              <w:t>（1）开标后，采购代理机构将向各投标供应商发出“电子加密投标文件”的解密通知，各投标供应商代表应当在接到解密通知后30分钟内自行完成“电子加密投标文件”的在线解密。</w:t>
            </w:r>
          </w:p>
          <w:p>
            <w:pPr>
              <w:tabs>
                <w:tab w:val="left" w:pos="-6"/>
              </w:tabs>
              <w:spacing w:line="276" w:lineRule="auto"/>
              <w:ind w:left="25"/>
              <w:rPr>
                <w:b/>
              </w:rPr>
            </w:pPr>
            <w:r>
              <w:rPr>
                <w:rFonts w:hint="eastAsia" w:ascii="宋体" w:hAnsi="宋体" w:cs="宋体"/>
                <w:b/>
                <w:szCs w:val="21"/>
              </w:rPr>
              <w:t>（2）解</w:t>
            </w:r>
            <w:r>
              <w:rPr>
                <w:rFonts w:hint="eastAsia" w:cs="宋体"/>
                <w:b/>
                <w:szCs w:val="21"/>
                <w:lang w:bidi="ar"/>
              </w:rPr>
              <w:t>密结束后，各供应商授权代表完整填写《国企采购活动现场确认声明书》（详见第五部分附件）并签字后扫描，以电子邮件方式传送至采购代理机构指定电子邮箱。</w:t>
            </w:r>
          </w:p>
          <w:p>
            <w:pPr>
              <w:widowControl/>
              <w:numPr>
                <w:ilvl w:val="0"/>
                <w:numId w:val="7"/>
              </w:numPr>
              <w:spacing w:line="276" w:lineRule="auto"/>
              <w:ind w:firstLine="0"/>
              <w:jc w:val="left"/>
              <w:rPr>
                <w:rFonts w:ascii="宋体" w:hAnsi="宋体" w:cs="宋体"/>
                <w:szCs w:val="21"/>
                <w:lang w:bidi="ar"/>
              </w:rPr>
            </w:pPr>
            <w:r>
              <w:rPr>
                <w:rFonts w:hint="eastAsia" w:ascii="宋体" w:hAnsi="宋体" w:cs="宋体"/>
                <w:szCs w:val="21"/>
                <w:lang w:bidi="ar"/>
              </w:rPr>
              <w:t>评审程序</w:t>
            </w:r>
          </w:p>
          <w:p>
            <w:pPr>
              <w:widowControl/>
              <w:numPr>
                <w:ilvl w:val="0"/>
                <w:numId w:val="8"/>
              </w:numPr>
              <w:spacing w:line="276" w:lineRule="auto"/>
              <w:ind w:left="358"/>
              <w:jc w:val="left"/>
              <w:rPr>
                <w:rFonts w:ascii="宋体" w:hAnsi="宋体" w:cs="宋体"/>
                <w:szCs w:val="21"/>
                <w:lang w:bidi="ar"/>
              </w:rPr>
            </w:pPr>
            <w:r>
              <w:rPr>
                <w:rFonts w:hint="eastAsia" w:ascii="宋体" w:hAnsi="宋体" w:cs="宋体"/>
                <w:szCs w:val="21"/>
                <w:lang w:bidi="ar"/>
              </w:rPr>
              <w:t>先进行资格性、符合性评审；</w:t>
            </w:r>
          </w:p>
          <w:p>
            <w:pPr>
              <w:widowControl/>
              <w:numPr>
                <w:ilvl w:val="0"/>
                <w:numId w:val="8"/>
              </w:numPr>
              <w:spacing w:line="276" w:lineRule="auto"/>
              <w:ind w:left="358"/>
              <w:jc w:val="left"/>
              <w:rPr>
                <w:rFonts w:ascii="宋体" w:hAnsi="宋体" w:cs="宋体"/>
                <w:szCs w:val="21"/>
                <w:lang w:bidi="ar"/>
              </w:rPr>
            </w:pPr>
            <w:r>
              <w:rPr>
                <w:rFonts w:hint="eastAsia" w:ascii="宋体" w:hAnsi="宋体" w:cs="宋体"/>
                <w:szCs w:val="21"/>
                <w:lang w:bidi="ar"/>
              </w:rPr>
              <w:t>再对资格性、符合性审查合格的投标供应商进行技术、商务评审；</w:t>
            </w:r>
          </w:p>
          <w:p>
            <w:pPr>
              <w:widowControl/>
              <w:numPr>
                <w:ilvl w:val="0"/>
                <w:numId w:val="8"/>
              </w:numPr>
              <w:spacing w:line="276" w:lineRule="auto"/>
              <w:ind w:left="-68" w:firstLine="0"/>
              <w:jc w:val="left"/>
              <w:rPr>
                <w:rFonts w:ascii="宋体" w:hAnsi="宋体" w:cs="宋体"/>
                <w:szCs w:val="21"/>
                <w:lang w:bidi="ar"/>
              </w:rPr>
            </w:pPr>
            <w:r>
              <w:rPr>
                <w:rFonts w:hint="eastAsia" w:ascii="宋体" w:hAnsi="宋体" w:cs="宋体"/>
                <w:szCs w:val="21"/>
                <w:lang w:bidi="ar"/>
              </w:rPr>
              <w:t>然后对合格投标供应商（指资格性、符合性、技术商务文件均合格）报价文件评审；</w:t>
            </w:r>
          </w:p>
          <w:p>
            <w:pPr>
              <w:widowControl/>
              <w:numPr>
                <w:ilvl w:val="0"/>
                <w:numId w:val="8"/>
              </w:numPr>
              <w:spacing w:line="276" w:lineRule="auto"/>
              <w:ind w:left="-68" w:firstLine="0"/>
              <w:jc w:val="left"/>
              <w:rPr>
                <w:rFonts w:ascii="宋体" w:hAnsi="宋体" w:cs="宋体"/>
                <w:szCs w:val="21"/>
                <w:lang w:bidi="ar"/>
              </w:rPr>
            </w:pPr>
            <w:r>
              <w:rPr>
                <w:rFonts w:hint="eastAsia" w:ascii="宋体" w:hAnsi="宋体" w:cs="宋体"/>
                <w:szCs w:val="21"/>
                <w:lang w:bidi="ar"/>
              </w:rPr>
              <w:t>最后公布评审结果。</w:t>
            </w:r>
          </w:p>
          <w:p>
            <w:pPr>
              <w:spacing w:line="276" w:lineRule="auto"/>
              <w:rPr>
                <w:rFonts w:ascii="Arial" w:hAnsi="Arial" w:cs="Arial"/>
                <w:bCs/>
                <w:color w:val="0000FF"/>
                <w:kern w:val="0"/>
                <w:szCs w:val="21"/>
              </w:rPr>
            </w:pPr>
            <w:r>
              <w:rPr>
                <w:rFonts w:hint="eastAsia" w:ascii="宋体" w:hAnsi="宋体" w:cs="宋体"/>
                <w:b/>
                <w:szCs w:val="21"/>
                <w:lang w:bidi="ar"/>
              </w:rPr>
              <w:t>特别说明：</w:t>
            </w:r>
            <w:r>
              <w:rPr>
                <w:rFonts w:ascii="宋体" w:hAnsi="宋体" w:cs="宋体"/>
                <w:b/>
                <w:szCs w:val="21"/>
                <w:lang w:bidi="ar"/>
              </w:rPr>
              <w:t>当</w:t>
            </w:r>
            <w:r>
              <w:rPr>
                <w:rFonts w:hint="eastAsia" w:ascii="宋体" w:hAnsi="宋体" w:cs="宋体"/>
                <w:b/>
                <w:szCs w:val="21"/>
                <w:lang w:bidi="ar"/>
              </w:rPr>
              <w:t>“国企采购乐采云平台”电子化开标或评审程序调整</w:t>
            </w:r>
            <w:r>
              <w:rPr>
                <w:rFonts w:ascii="宋体" w:hAnsi="宋体" w:cs="宋体"/>
                <w:b/>
                <w:szCs w:val="21"/>
                <w:lang w:bidi="ar"/>
              </w:rPr>
              <w:t>时</w:t>
            </w:r>
            <w:r>
              <w:rPr>
                <w:rFonts w:hint="eastAsia" w:ascii="宋体" w:hAnsi="宋体" w:cs="宋体"/>
                <w:b/>
                <w:szCs w:val="21"/>
                <w:lang w:bidi="ar"/>
              </w:rPr>
              <w:t>，按调整后程序执行。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3"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24</w:t>
            </w:r>
          </w:p>
        </w:tc>
        <w:tc>
          <w:tcPr>
            <w:tcW w:w="2045" w:type="dxa"/>
            <w:vAlign w:val="center"/>
          </w:tcPr>
          <w:p>
            <w:pPr>
              <w:spacing w:line="276" w:lineRule="auto"/>
              <w:jc w:val="center"/>
              <w:rPr>
                <w:rFonts w:ascii="Arial" w:hAnsi="Arial" w:cs="Arial"/>
                <w:szCs w:val="21"/>
              </w:rPr>
            </w:pPr>
            <w:r>
              <w:rPr>
                <w:rFonts w:ascii="Arial" w:hAnsi="宋体" w:cs="Arial"/>
                <w:szCs w:val="21"/>
              </w:rPr>
              <w:t>评标委员会的组建</w:t>
            </w:r>
          </w:p>
        </w:tc>
        <w:tc>
          <w:tcPr>
            <w:tcW w:w="6620" w:type="dxa"/>
            <w:vAlign w:val="center"/>
          </w:tcPr>
          <w:p>
            <w:pPr>
              <w:widowControl/>
              <w:spacing w:line="360" w:lineRule="auto"/>
              <w:rPr>
                <w:rFonts w:ascii="宋体" w:hAnsi="宋体" w:cs="Arial Unicode MS"/>
                <w:szCs w:val="21"/>
              </w:rPr>
            </w:pPr>
            <w:r>
              <w:rPr>
                <w:rFonts w:hint="eastAsia" w:ascii="宋体" w:hAnsi="宋体" w:cs="Arial Unicode MS"/>
                <w:szCs w:val="21"/>
              </w:rPr>
              <w:t>评标委员会构成： 由招标人代表以及有关技术、经济等方面的专家组成，成员为3人及以上单数，其中技术、经济类专家不得少于总人数的2/3；</w:t>
            </w:r>
          </w:p>
          <w:p>
            <w:pPr>
              <w:spacing w:line="276" w:lineRule="auto"/>
              <w:rPr>
                <w:rFonts w:ascii="Arial" w:hAnsi="Arial" w:cs="Arial"/>
                <w:bCs/>
                <w:color w:val="0000FF"/>
                <w:kern w:val="0"/>
                <w:szCs w:val="21"/>
              </w:rPr>
            </w:pPr>
            <w:r>
              <w:rPr>
                <w:rFonts w:hint="eastAsia" w:ascii="宋体" w:hAnsi="宋体" w:cs="Arial Unicode MS"/>
                <w:szCs w:val="21"/>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25</w:t>
            </w:r>
          </w:p>
        </w:tc>
        <w:tc>
          <w:tcPr>
            <w:tcW w:w="2045" w:type="dxa"/>
            <w:vAlign w:val="center"/>
          </w:tcPr>
          <w:p>
            <w:pPr>
              <w:spacing w:line="276" w:lineRule="auto"/>
              <w:jc w:val="center"/>
              <w:rPr>
                <w:rFonts w:ascii="Arial" w:hAnsi="宋体" w:cs="Arial"/>
                <w:szCs w:val="21"/>
              </w:rPr>
            </w:pPr>
            <w:r>
              <w:rPr>
                <w:rFonts w:ascii="Arial" w:hAnsi="Arial" w:cs="Arial"/>
                <w:szCs w:val="21"/>
              </w:rPr>
              <w:t>合同管理</w:t>
            </w:r>
          </w:p>
        </w:tc>
        <w:tc>
          <w:tcPr>
            <w:tcW w:w="6620" w:type="dxa"/>
            <w:vAlign w:val="center"/>
          </w:tcPr>
          <w:p>
            <w:pPr>
              <w:widowControl/>
              <w:spacing w:line="276" w:lineRule="auto"/>
              <w:rPr>
                <w:rFonts w:ascii="宋体" w:hAnsi="宋体" w:cs="Arial Unicode MS"/>
                <w:szCs w:val="21"/>
              </w:rPr>
            </w:pPr>
            <w:r>
              <w:rPr>
                <w:rFonts w:hint="eastAsia" w:ascii="宋体" w:hAnsi="宋体" w:cs="Arial Unicode MS"/>
                <w:szCs w:val="21"/>
              </w:rPr>
              <w:t>1.中标供应商与招标人签订合同后，</w:t>
            </w:r>
            <w:r>
              <w:rPr>
                <w:rFonts w:hint="eastAsia" w:ascii="Arial" w:hAnsi="Arial" w:cs="Arial"/>
                <w:szCs w:val="21"/>
              </w:rPr>
              <w:t>两个工作日内将合同在国企采购乐采云平台上进行公示</w:t>
            </w:r>
            <w:r>
              <w:rPr>
                <w:rFonts w:hint="eastAsia" w:ascii="宋体" w:hAnsi="宋体" w:cs="Arial Unicode MS"/>
                <w:szCs w:val="21"/>
              </w:rPr>
              <w:t>。</w:t>
            </w:r>
          </w:p>
          <w:p>
            <w:pPr>
              <w:spacing w:line="276" w:lineRule="auto"/>
              <w:rPr>
                <w:rFonts w:ascii="Arial" w:hAnsi="Arial" w:cs="Arial"/>
                <w:szCs w:val="21"/>
              </w:rPr>
            </w:pPr>
            <w:r>
              <w:rPr>
                <w:rFonts w:hint="eastAsia" w:ascii="宋体" w:hAnsi="宋体" w:cs="Arial Unicode MS"/>
                <w:szCs w:val="21"/>
              </w:rPr>
              <w:t>2.招标人在合同签订后两个工作日内要及时向监督管理部门申请备案。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color w:val="0000FF"/>
                <w:szCs w:val="21"/>
              </w:rPr>
            </w:pPr>
            <w:r>
              <w:rPr>
                <w:rFonts w:hint="eastAsia" w:ascii="Arial" w:hAnsi="Arial" w:cs="Arial"/>
                <w:szCs w:val="21"/>
              </w:rPr>
              <w:t>26</w:t>
            </w:r>
          </w:p>
        </w:tc>
        <w:tc>
          <w:tcPr>
            <w:tcW w:w="2045" w:type="dxa"/>
            <w:vAlign w:val="center"/>
          </w:tcPr>
          <w:p>
            <w:pPr>
              <w:spacing w:line="276" w:lineRule="auto"/>
              <w:jc w:val="center"/>
              <w:rPr>
                <w:rFonts w:ascii="Arial" w:hAnsi="Arial" w:cs="Arial"/>
                <w:color w:val="0000FF"/>
                <w:szCs w:val="21"/>
              </w:rPr>
            </w:pPr>
            <w:r>
              <w:rPr>
                <w:rFonts w:ascii="Arial" w:hAnsi="宋体" w:cs="Arial"/>
                <w:szCs w:val="21"/>
              </w:rPr>
              <w:t>诚信履约管理</w:t>
            </w:r>
          </w:p>
        </w:tc>
        <w:tc>
          <w:tcPr>
            <w:tcW w:w="6620" w:type="dxa"/>
            <w:vAlign w:val="center"/>
          </w:tcPr>
          <w:p>
            <w:pPr>
              <w:spacing w:line="276" w:lineRule="auto"/>
              <w:rPr>
                <w:rFonts w:ascii="Arial" w:hAnsi="Arial" w:cs="Arial"/>
                <w:color w:val="0000FF"/>
                <w:szCs w:val="21"/>
              </w:rPr>
            </w:pPr>
            <w:r>
              <w:rPr>
                <w:rFonts w:hint="eastAsia" w:ascii="宋体" w:hAnsi="宋体" w:cs="Arial Unicode MS"/>
                <w:szCs w:val="21"/>
              </w:rPr>
              <w:t>合同签订后，招标人依法加强对合同履约进行管理，并在中标单位提供服务、项目验收等重要关节，建立中标供应商诚信履约评价制度，结果纳入诚信档案库。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color w:val="0000FF"/>
                <w:szCs w:val="21"/>
              </w:rPr>
            </w:pPr>
            <w:r>
              <w:rPr>
                <w:rFonts w:hint="eastAsia" w:ascii="Arial" w:hAnsi="Arial" w:cs="Arial"/>
                <w:szCs w:val="21"/>
              </w:rPr>
              <w:t>27</w:t>
            </w:r>
          </w:p>
        </w:tc>
        <w:tc>
          <w:tcPr>
            <w:tcW w:w="2045" w:type="dxa"/>
            <w:vAlign w:val="center"/>
          </w:tcPr>
          <w:p>
            <w:pPr>
              <w:spacing w:line="276" w:lineRule="auto"/>
              <w:jc w:val="center"/>
              <w:rPr>
                <w:rFonts w:ascii="Arial" w:hAnsi="宋体" w:cs="Arial"/>
                <w:szCs w:val="21"/>
              </w:rPr>
            </w:pPr>
            <w:r>
              <w:rPr>
                <w:rFonts w:ascii="Arial" w:hAnsi="宋体" w:cs="Arial"/>
                <w:szCs w:val="21"/>
              </w:rPr>
              <w:t>解释权</w:t>
            </w:r>
          </w:p>
        </w:tc>
        <w:tc>
          <w:tcPr>
            <w:tcW w:w="6620" w:type="dxa"/>
            <w:vAlign w:val="center"/>
          </w:tcPr>
          <w:p>
            <w:pPr>
              <w:spacing w:line="276" w:lineRule="auto"/>
              <w:rPr>
                <w:rFonts w:ascii="宋体" w:hAnsi="宋体" w:cs="Arial Unicode MS"/>
                <w:szCs w:val="21"/>
              </w:rPr>
            </w:pPr>
            <w:r>
              <w:rPr>
                <w:rFonts w:hint="eastAsia" w:ascii="宋体" w:hAnsi="宋体" w:cs="Arial Unicode MS"/>
                <w:szCs w:val="21"/>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28</w:t>
            </w:r>
          </w:p>
        </w:tc>
        <w:tc>
          <w:tcPr>
            <w:tcW w:w="2045" w:type="dxa"/>
            <w:vAlign w:val="center"/>
          </w:tcPr>
          <w:p>
            <w:pPr>
              <w:spacing w:line="276" w:lineRule="auto"/>
              <w:jc w:val="center"/>
              <w:rPr>
                <w:rFonts w:ascii="Arial" w:hAnsi="宋体" w:cs="Arial"/>
                <w:szCs w:val="21"/>
              </w:rPr>
            </w:pPr>
            <w:r>
              <w:rPr>
                <w:rFonts w:hint="eastAsia" w:ascii="Arial" w:hAnsi="Arial" w:cs="Arial"/>
                <w:szCs w:val="21"/>
              </w:rPr>
              <w:t>备注</w:t>
            </w:r>
          </w:p>
        </w:tc>
        <w:tc>
          <w:tcPr>
            <w:tcW w:w="6620" w:type="dxa"/>
            <w:vAlign w:val="center"/>
          </w:tcPr>
          <w:p>
            <w:pPr>
              <w:widowControl/>
              <w:numPr>
                <w:ilvl w:val="0"/>
                <w:numId w:val="9"/>
              </w:numPr>
              <w:spacing w:line="276" w:lineRule="auto"/>
              <w:ind w:left="0" w:firstLine="0"/>
              <w:jc w:val="left"/>
              <w:rPr>
                <w:rFonts w:ascii="宋体" w:hAnsi="宋体" w:cs="宋体"/>
                <w:b/>
                <w:bCs/>
                <w:szCs w:val="21"/>
              </w:rPr>
            </w:pPr>
            <w:r>
              <w:rPr>
                <w:rFonts w:hint="eastAsia" w:ascii="宋体" w:hAnsi="宋体" w:cs="宋体"/>
                <w:b/>
                <w:bCs/>
                <w:szCs w:val="21"/>
              </w:rPr>
              <w:t>请务必确保投标文件制作客户端为最新版本，旧版本可能导致投标文件解密失败。</w:t>
            </w:r>
          </w:p>
          <w:p>
            <w:pPr>
              <w:widowControl/>
              <w:numPr>
                <w:ilvl w:val="0"/>
                <w:numId w:val="9"/>
              </w:numPr>
              <w:spacing w:line="276" w:lineRule="auto"/>
              <w:ind w:left="0" w:firstLine="0"/>
              <w:jc w:val="left"/>
              <w:rPr>
                <w:rFonts w:ascii="宋体" w:hAnsi="宋体" w:cs="宋体"/>
                <w:b/>
                <w:bCs/>
                <w:szCs w:val="21"/>
              </w:rPr>
            </w:pPr>
            <w:r>
              <w:rPr>
                <w:rFonts w:hint="eastAsia" w:ascii="宋体" w:hAnsi="宋体" w:cs="宋体"/>
                <w:b/>
                <w:bCs/>
                <w:szCs w:val="21"/>
              </w:rPr>
              <w:t>请务必确保投标文件制作时所用的 CA 锁与投标文件解密时的 CA 锁为同一把，否则可能导致投标文件解密失败。</w:t>
            </w:r>
          </w:p>
          <w:p>
            <w:pPr>
              <w:widowControl/>
              <w:numPr>
                <w:ilvl w:val="0"/>
                <w:numId w:val="9"/>
              </w:numPr>
              <w:spacing w:line="276" w:lineRule="auto"/>
              <w:ind w:left="0" w:firstLine="0"/>
              <w:jc w:val="left"/>
              <w:rPr>
                <w:rFonts w:ascii="宋体" w:hAnsi="宋体" w:cs="宋体"/>
                <w:b/>
                <w:bCs/>
                <w:szCs w:val="21"/>
              </w:rPr>
            </w:pPr>
            <w:r>
              <w:rPr>
                <w:rFonts w:hint="eastAsia" w:ascii="宋体" w:hAnsi="宋体" w:cs="宋体"/>
                <w:b/>
                <w:bCs/>
                <w:szCs w:val="21"/>
              </w:rPr>
              <w:t>在投标文件解密前，请务必检验 CA 锁与所用电脑的兼容性，部分电脑因 CA 驱动未正常安装、USB 接口兼容性差等原因可能造成投标文件解密失败。</w:t>
            </w:r>
          </w:p>
          <w:p>
            <w:pPr>
              <w:spacing w:line="276" w:lineRule="auto"/>
              <w:rPr>
                <w:rFonts w:ascii="宋体" w:hAnsi="宋体" w:cs="Arial Unicode MS"/>
                <w:szCs w:val="21"/>
              </w:rPr>
            </w:pPr>
            <w:r>
              <w:rPr>
                <w:rFonts w:hint="eastAsia" w:ascii="新宋体" w:hAnsi="新宋体" w:eastAsia="新宋体" w:cs="新宋体"/>
                <w:b/>
                <w:sz w:val="22"/>
              </w:rPr>
              <w:t>在“国企采购乐采云平台电子交易客户端”编制投标文件并进行逐一关联响应，上传格式需用PDF格式。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szCs w:val="21"/>
              </w:rPr>
            </w:pPr>
          </w:p>
        </w:tc>
        <w:tc>
          <w:tcPr>
            <w:tcW w:w="2045" w:type="dxa"/>
            <w:vAlign w:val="center"/>
          </w:tcPr>
          <w:p>
            <w:pPr>
              <w:spacing w:line="276" w:lineRule="auto"/>
              <w:jc w:val="center"/>
              <w:rPr>
                <w:rFonts w:ascii="Arial" w:hAnsi="Arial" w:cs="Arial"/>
                <w:szCs w:val="21"/>
              </w:rPr>
            </w:pPr>
            <w:r>
              <w:rPr>
                <w:rFonts w:hint="eastAsia"/>
              </w:rPr>
              <w:t>温馨提示</w:t>
            </w:r>
          </w:p>
        </w:tc>
        <w:tc>
          <w:tcPr>
            <w:tcW w:w="6620" w:type="dxa"/>
            <w:vAlign w:val="center"/>
          </w:tcPr>
          <w:p>
            <w:pPr>
              <w:spacing w:line="276" w:lineRule="auto"/>
              <w:rPr>
                <w:rFonts w:ascii="新宋体" w:hAnsi="新宋体" w:eastAsia="新宋体" w:cs="新宋体"/>
                <w:b/>
                <w:sz w:val="22"/>
              </w:rPr>
            </w:pPr>
            <w:r>
              <w:rPr>
                <w:rFonts w:hint="eastAsia"/>
                <w:b/>
              </w:rPr>
              <w:t>1、供应商登入帐号与政府采购登入帐号一致，无需重复申请帐号，用原帐号即可；CA也是通用的，无需重复注册和申请。</w:t>
            </w:r>
          </w:p>
        </w:tc>
      </w:tr>
    </w:tbl>
    <w:p>
      <w:pPr>
        <w:spacing w:line="360" w:lineRule="auto"/>
        <w:jc w:val="center"/>
        <w:outlineLvl w:val="1"/>
        <w:rPr>
          <w:rFonts w:ascii="Arial" w:hAnsi="宋体" w:cs="Arial"/>
          <w:b/>
          <w:bCs/>
          <w:sz w:val="30"/>
        </w:rPr>
      </w:pPr>
      <w:bookmarkStart w:id="12" w:name="_Toc3052"/>
      <w:r>
        <w:rPr>
          <w:rFonts w:ascii="Arial" w:hAnsi="宋体" w:cs="Arial"/>
          <w:b/>
          <w:bCs/>
          <w:sz w:val="28"/>
        </w:rPr>
        <w:t>（</w:t>
      </w:r>
      <w:r>
        <w:rPr>
          <w:rFonts w:hint="eastAsia" w:ascii="Arial" w:hAnsi="宋体" w:cs="Arial"/>
          <w:b/>
          <w:bCs/>
          <w:sz w:val="28"/>
        </w:rPr>
        <w:t>二</w:t>
      </w:r>
      <w:r>
        <w:rPr>
          <w:rFonts w:ascii="Arial" w:hAnsi="宋体" w:cs="Arial"/>
          <w:b/>
          <w:bCs/>
          <w:sz w:val="28"/>
        </w:rPr>
        <w:t>）总</w:t>
      </w:r>
      <w:r>
        <w:rPr>
          <w:rFonts w:ascii="Arial" w:hAnsi="Arial" w:cs="Arial"/>
          <w:b/>
          <w:bCs/>
          <w:sz w:val="28"/>
        </w:rPr>
        <w:t xml:space="preserve"> </w:t>
      </w:r>
      <w:r>
        <w:rPr>
          <w:rFonts w:ascii="Arial" w:hAnsi="宋体" w:cs="Arial"/>
          <w:b/>
          <w:bCs/>
          <w:sz w:val="28"/>
        </w:rPr>
        <w:t>则</w:t>
      </w:r>
      <w:bookmarkEnd w:id="12"/>
    </w:p>
    <w:p>
      <w:pPr>
        <w:snapToGrid w:val="0"/>
        <w:spacing w:line="360" w:lineRule="auto"/>
        <w:ind w:left="614" w:hanging="614" w:hangingChars="255"/>
        <w:rPr>
          <w:rFonts w:ascii="Arial" w:hAnsi="Arial" w:cs="Arial"/>
          <w:b/>
        </w:rPr>
      </w:pPr>
      <w:r>
        <w:rPr>
          <w:rFonts w:ascii="Arial" w:hAnsi="Arial" w:cs="Arial"/>
          <w:b/>
          <w:sz w:val="24"/>
        </w:rPr>
        <w:t>1.</w:t>
      </w:r>
      <w:r>
        <w:rPr>
          <w:rFonts w:ascii="Arial" w:hAnsi="宋体" w:cs="Arial"/>
          <w:b/>
        </w:rPr>
        <w:t>说明</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w:t>
      </w:r>
      <w:r>
        <w:rPr>
          <w:rFonts w:ascii="Arial" w:hAnsi="宋体" w:cs="Arial"/>
        </w:rPr>
        <w:t>本次招标工作是按照《瑞安市国有企业采购管理办法（试行）》和浙江省及项目所在地的有关招投标规定，结合本项目的实际，组织和实施。</w:t>
      </w:r>
    </w:p>
    <w:p>
      <w:pPr>
        <w:numPr>
          <w:ilvl w:val="1"/>
          <w:numId w:val="0"/>
        </w:numPr>
        <w:tabs>
          <w:tab w:val="left" w:pos="592"/>
        </w:tabs>
        <w:snapToGrid w:val="0"/>
        <w:spacing w:line="360" w:lineRule="auto"/>
        <w:ind w:left="588" w:hanging="588" w:hangingChars="280"/>
        <w:rPr>
          <w:rFonts w:ascii="Arial" w:hAnsi="Arial" w:cs="Arial"/>
          <w:u w:val="wave"/>
        </w:rPr>
      </w:pPr>
      <w:r>
        <w:rPr>
          <w:rFonts w:ascii="Arial" w:hAnsi="Arial" w:cs="Arial"/>
        </w:rPr>
        <w:t>1.2</w:t>
      </w:r>
      <w:r>
        <w:rPr>
          <w:rFonts w:ascii="Arial" w:hAnsi="宋体" w:cs="Arial"/>
        </w:rPr>
        <w:t>资金来源：</w:t>
      </w:r>
      <w:r>
        <w:rPr>
          <w:rFonts w:hint="eastAsia" w:ascii="Arial" w:hAnsi="宋体" w:cs="Arial"/>
        </w:rPr>
        <w:t>自筹资金</w:t>
      </w:r>
      <w:r>
        <w:rPr>
          <w:rFonts w:ascii="Arial" w:hAnsi="宋体" w:cs="Arial"/>
        </w:rPr>
        <w:t>，</w:t>
      </w:r>
      <w:r>
        <w:rPr>
          <w:rFonts w:ascii="Arial" w:hAnsi="宋体" w:cs="Arial"/>
          <w:szCs w:val="22"/>
        </w:rPr>
        <w:t>已落实</w:t>
      </w:r>
      <w:r>
        <w:rPr>
          <w:rFonts w:ascii="Arial" w:hAnsi="宋体" w:cs="Arial"/>
        </w:rPr>
        <w:t>。</w:t>
      </w:r>
    </w:p>
    <w:p>
      <w:pPr>
        <w:snapToGrid w:val="0"/>
        <w:spacing w:line="360" w:lineRule="auto"/>
        <w:ind w:left="961" w:hanging="961" w:hangingChars="399"/>
        <w:rPr>
          <w:rFonts w:ascii="Arial" w:hAnsi="Arial" w:cs="Arial"/>
          <w:b/>
        </w:rPr>
      </w:pPr>
      <w:r>
        <w:rPr>
          <w:rFonts w:ascii="Arial" w:hAnsi="Arial" w:cs="Arial"/>
          <w:b/>
          <w:sz w:val="24"/>
        </w:rPr>
        <w:t>2.</w:t>
      </w:r>
      <w:r>
        <w:rPr>
          <w:rFonts w:ascii="Arial" w:hAnsi="宋体" w:cs="Arial"/>
          <w:b/>
        </w:rPr>
        <w:t>定义及解释</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2.1</w:t>
      </w:r>
      <w:r>
        <w:rPr>
          <w:rFonts w:ascii="Arial" w:hAnsi="宋体" w:cs="Arial"/>
        </w:rPr>
        <w:t>招标人：</w:t>
      </w:r>
      <w:r>
        <w:rPr>
          <w:rFonts w:hint="eastAsia" w:ascii="Arial" w:hAnsi="宋体" w:cs="Arial"/>
          <w:szCs w:val="21"/>
        </w:rPr>
        <w:t>瑞安市排水有限公司、瑞安市排水发展有限公司</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2.2</w:t>
      </w:r>
      <w:r>
        <w:rPr>
          <w:rFonts w:ascii="Arial" w:hAnsi="宋体" w:cs="Arial"/>
        </w:rPr>
        <w:t>招标代理机构：</w:t>
      </w:r>
      <w:r>
        <w:rPr>
          <w:rFonts w:hint="eastAsia" w:ascii="Arial" w:hAnsi="宋体" w:cs="Arial"/>
        </w:rPr>
        <w:t>浙江凯宝工程项目管理有限公司。</w:t>
      </w:r>
    </w:p>
    <w:p>
      <w:pPr>
        <w:numPr>
          <w:ilvl w:val="1"/>
          <w:numId w:val="0"/>
        </w:numPr>
        <w:tabs>
          <w:tab w:val="left" w:pos="592"/>
        </w:tabs>
        <w:snapToGrid w:val="0"/>
        <w:spacing w:line="360" w:lineRule="auto"/>
        <w:ind w:left="588" w:hanging="588" w:hangingChars="280"/>
        <w:rPr>
          <w:rFonts w:ascii="Arial" w:hAnsi="Arial" w:cs="Arial"/>
          <w:b/>
        </w:rPr>
      </w:pPr>
      <w:r>
        <w:rPr>
          <w:rFonts w:ascii="Arial" w:hAnsi="Arial" w:cs="Arial"/>
        </w:rPr>
        <w:t>2.3</w:t>
      </w:r>
      <w:r>
        <w:rPr>
          <w:rFonts w:ascii="Arial" w:hAnsi="宋体" w:cs="Arial"/>
        </w:rPr>
        <w:t>投标供应商：系响应招标、参加投标竞争的依法成立的供应商。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2.4</w:t>
      </w:r>
      <w:r>
        <w:rPr>
          <w:rFonts w:ascii="Arial" w:hAnsi="宋体" w:cs="Arial"/>
        </w:rPr>
        <w:t>中标供应商：系在本次招标中，中标的投标供应商。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2.5</w:t>
      </w:r>
      <w:r>
        <w:rPr>
          <w:rFonts w:ascii="Arial" w:hAnsi="宋体" w:cs="Arial"/>
        </w:rPr>
        <w:t>评标委员会：评标委员会是依据《瑞安市国有企业采购管理办法（试行）》和浙江省及项目所在地的有关招投标规定，结合本项目的实际组建的专门负责招标评标工作的临时性机构。</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2.6</w:t>
      </w:r>
      <w:r>
        <w:rPr>
          <w:rFonts w:ascii="Arial" w:hAnsi="宋体" w:cs="Arial"/>
        </w:rPr>
        <w:t>日期：指公历日。</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2.7</w:t>
      </w:r>
      <w:r>
        <w:rPr>
          <w:rFonts w:ascii="Arial" w:hAnsi="宋体" w:cs="Arial"/>
        </w:rPr>
        <w:t>合同：指由招标所产生的合同或合约文件。</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2.8“</w:t>
      </w:r>
      <w:r>
        <w:rPr>
          <w:rFonts w:ascii="Arial" w:hAnsi="宋体" w:cs="Arial"/>
        </w:rPr>
        <w:t>书面形式</w:t>
      </w:r>
      <w:r>
        <w:rPr>
          <w:rFonts w:ascii="Arial" w:hAnsi="Arial" w:cs="Arial"/>
        </w:rPr>
        <w:t>”</w:t>
      </w:r>
      <w:r>
        <w:rPr>
          <w:rFonts w:ascii="Arial" w:hAnsi="宋体" w:cs="Arial"/>
        </w:rPr>
        <w:t>是指任何手写的、打印的或印刷的文件，包括电报和传真发送。</w:t>
      </w:r>
    </w:p>
    <w:p>
      <w:pPr>
        <w:snapToGrid w:val="0"/>
        <w:spacing w:line="360" w:lineRule="auto"/>
        <w:ind w:left="961" w:hanging="961" w:hangingChars="399"/>
        <w:rPr>
          <w:rFonts w:ascii="Arial" w:hAnsi="Arial" w:cs="Arial"/>
        </w:rPr>
      </w:pPr>
      <w:r>
        <w:rPr>
          <w:rFonts w:ascii="Arial" w:hAnsi="Arial" w:cs="Arial"/>
          <w:b/>
          <w:sz w:val="24"/>
        </w:rPr>
        <w:t>3.</w:t>
      </w:r>
      <w:r>
        <w:rPr>
          <w:rFonts w:ascii="Arial" w:hAnsi="宋体" w:cs="Arial"/>
          <w:b/>
        </w:rPr>
        <w:t>合格的投标供应商</w:t>
      </w:r>
    </w:p>
    <w:p>
      <w:pPr>
        <w:numPr>
          <w:ilvl w:val="1"/>
          <w:numId w:val="0"/>
        </w:numPr>
        <w:tabs>
          <w:tab w:val="left" w:pos="592"/>
        </w:tabs>
        <w:snapToGrid w:val="0"/>
        <w:spacing w:line="360" w:lineRule="auto"/>
        <w:ind w:left="588" w:hanging="588" w:hangingChars="280"/>
        <w:rPr>
          <w:rFonts w:ascii="宋体" w:hAnsi="宋体" w:cs="宋体"/>
          <w:color w:val="auto"/>
          <w:szCs w:val="21"/>
        </w:rPr>
      </w:pPr>
      <w:r>
        <w:rPr>
          <w:rFonts w:ascii="Arial" w:hAnsi="Arial" w:cs="宋体"/>
          <w:color w:val="auto"/>
          <w:szCs w:val="21"/>
        </w:rPr>
        <w:t>3.1</w:t>
      </w:r>
      <w:r>
        <w:rPr>
          <w:rFonts w:hint="eastAsia" w:ascii="宋体" w:hAnsi="宋体" w:cs="宋体"/>
          <w:color w:val="auto"/>
          <w:szCs w:val="21"/>
        </w:rPr>
        <w:t>符合《瑞安市国有企业采购管理办法（试行）》第十二条；</w:t>
      </w:r>
    </w:p>
    <w:p>
      <w:pPr>
        <w:spacing w:line="360" w:lineRule="auto"/>
        <w:ind w:left="961" w:hanging="961" w:hangingChars="399"/>
        <w:rPr>
          <w:rFonts w:ascii="Arial" w:hAnsi="Arial" w:cs="Arial"/>
          <w:b/>
        </w:rPr>
      </w:pPr>
      <w:r>
        <w:rPr>
          <w:rFonts w:ascii="Arial" w:hAnsi="Arial" w:cs="Arial"/>
          <w:b/>
          <w:sz w:val="24"/>
        </w:rPr>
        <w:t>4.</w:t>
      </w:r>
      <w:r>
        <w:rPr>
          <w:rFonts w:ascii="Arial" w:hAnsi="宋体" w:cs="Arial"/>
          <w:b/>
        </w:rPr>
        <w:t>联合体投标：</w:t>
      </w:r>
      <w:r>
        <w:rPr>
          <w:rFonts w:hint="eastAsia" w:ascii="Arial" w:hAnsi="宋体" w:cs="Arial"/>
          <w:b/>
        </w:rPr>
        <w:t>本项目不接受</w:t>
      </w:r>
      <w:r>
        <w:rPr>
          <w:rFonts w:ascii="Arial" w:hAnsi="宋体" w:cs="Arial"/>
          <w:b/>
        </w:rPr>
        <w:t>。</w:t>
      </w:r>
    </w:p>
    <w:p>
      <w:pPr>
        <w:spacing w:line="360" w:lineRule="auto"/>
        <w:ind w:left="961" w:hanging="961" w:hangingChars="399"/>
        <w:rPr>
          <w:rFonts w:ascii="Arial" w:hAnsi="Arial" w:cs="Arial"/>
          <w:b/>
        </w:rPr>
      </w:pPr>
      <w:r>
        <w:rPr>
          <w:rFonts w:ascii="Arial" w:hAnsi="Arial" w:cs="Arial"/>
          <w:b/>
          <w:sz w:val="24"/>
        </w:rPr>
        <w:t>5.</w:t>
      </w:r>
      <w:r>
        <w:rPr>
          <w:rFonts w:ascii="Arial" w:hAnsi="宋体" w:cs="Arial"/>
          <w:b/>
        </w:rPr>
        <w:t>保密与披露事项</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5.1</w:t>
      </w:r>
      <w:r>
        <w:rPr>
          <w:rFonts w:ascii="Arial" w:hAnsi="宋体" w:cs="Arial"/>
        </w:rPr>
        <w:t>投标供应商不得串通，以不正当的手段妨碍排挤其他投标供应商，扰乱市场，破坏公平竞争原则。</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5.2</w:t>
      </w:r>
      <w:r>
        <w:rPr>
          <w:rFonts w:ascii="Arial" w:hAnsi="宋体" w:cs="Arial"/>
        </w:rPr>
        <w:t>投标供应商自购买招标文件之日起，须承诺承担本招标项目的保密义务，不得将因本次招标获得的信息向第三方外传。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5.3</w:t>
      </w:r>
      <w:r>
        <w:rPr>
          <w:rFonts w:ascii="Arial" w:hAnsi="宋体" w:cs="Arial"/>
        </w:rPr>
        <w:t>招标人有权将投标供应商提供的所有资料向其他政府部门或有关的非政府机构负责评审标书的人员或与评标有关的人员披露。</w:t>
      </w:r>
    </w:p>
    <w:p>
      <w:pPr>
        <w:numPr>
          <w:ilvl w:val="1"/>
          <w:numId w:val="0"/>
        </w:numPr>
        <w:tabs>
          <w:tab w:val="left" w:pos="592"/>
        </w:tabs>
        <w:snapToGrid w:val="0"/>
        <w:spacing w:line="360" w:lineRule="auto"/>
        <w:ind w:left="588" w:hanging="588" w:hangingChars="280"/>
        <w:rPr>
          <w:rFonts w:ascii="Arial" w:hAnsi="Arial" w:cs="Arial"/>
          <w:b/>
        </w:rPr>
      </w:pPr>
      <w:r>
        <w:rPr>
          <w:rFonts w:ascii="Arial" w:hAnsi="Arial" w:cs="Arial"/>
        </w:rPr>
        <w:t>5.4</w:t>
      </w:r>
      <w:r>
        <w:rPr>
          <w:rFonts w:ascii="Arial" w:hAnsi="宋体" w:cs="Arial"/>
        </w:rPr>
        <w:t>招标人有权在认为适当时，或在任何第三者提出要求（书面或其他方式）时，无须事先征求中标供应商同意而披露关于已订立合约的资料、中标供应商的名称及地址、中标服务的有关信息以及合约条款等。</w:t>
      </w:r>
    </w:p>
    <w:p>
      <w:pPr>
        <w:snapToGrid w:val="0"/>
        <w:spacing w:line="360" w:lineRule="auto"/>
        <w:ind w:left="961" w:hanging="961" w:hangingChars="399"/>
        <w:rPr>
          <w:rFonts w:ascii="Arial" w:hAnsi="Arial" w:cs="Arial"/>
          <w:b/>
        </w:rPr>
      </w:pPr>
      <w:r>
        <w:rPr>
          <w:rFonts w:ascii="Arial" w:hAnsi="Arial" w:cs="Arial"/>
          <w:b/>
          <w:sz w:val="24"/>
        </w:rPr>
        <w:t>6.</w:t>
      </w:r>
      <w:r>
        <w:rPr>
          <w:rFonts w:ascii="Arial" w:hAnsi="宋体" w:cs="Arial"/>
          <w:b/>
        </w:rPr>
        <w:t>投标费用</w:t>
      </w:r>
    </w:p>
    <w:p>
      <w:pPr>
        <w:tabs>
          <w:tab w:val="left" w:pos="1003"/>
        </w:tabs>
        <w:snapToGrid w:val="0"/>
        <w:spacing w:line="360" w:lineRule="auto"/>
        <w:ind w:left="525" w:leftChars="250"/>
        <w:rPr>
          <w:rFonts w:ascii="Arial" w:hAnsi="Arial" w:cs="Arial"/>
          <w:b/>
        </w:rPr>
      </w:pPr>
      <w:r>
        <w:rPr>
          <w:rFonts w:ascii="Arial" w:hAnsi="宋体" w:cs="Arial"/>
        </w:rPr>
        <w:t>投标供应商应承担所有与编写和提交投标文件有关的费用，不论投标的结果如何，招标人和招标代理机构在任何情况下均无义务和责任承担这些费用。</w:t>
      </w:r>
    </w:p>
    <w:p>
      <w:pPr>
        <w:spacing w:line="360" w:lineRule="auto"/>
        <w:ind w:left="961" w:hanging="961" w:hangingChars="399"/>
        <w:rPr>
          <w:rFonts w:ascii="Arial" w:hAnsi="Arial" w:cs="Arial"/>
          <w:b/>
        </w:rPr>
      </w:pPr>
      <w:r>
        <w:rPr>
          <w:rFonts w:ascii="Arial" w:hAnsi="Arial" w:cs="Arial"/>
          <w:b/>
          <w:sz w:val="24"/>
        </w:rPr>
        <w:t>7.</w:t>
      </w:r>
      <w:r>
        <w:rPr>
          <w:rFonts w:ascii="Arial" w:hAnsi="宋体" w:cs="Arial"/>
          <w:b/>
        </w:rPr>
        <w:t>踏勘现场</w:t>
      </w:r>
    </w:p>
    <w:p>
      <w:pPr>
        <w:spacing w:line="360" w:lineRule="auto"/>
        <w:ind w:firstLine="630" w:firstLineChars="300"/>
        <w:rPr>
          <w:rFonts w:ascii="Arial" w:hAnsi="Arial" w:cs="Arial"/>
        </w:rPr>
      </w:pPr>
      <w:r>
        <w:rPr>
          <w:rFonts w:ascii="Arial" w:hAnsi="宋体" w:cs="Arial"/>
        </w:rPr>
        <w:t>投标供应商自行前往现场踏勘，以便投标供应商获取有关编制投标文件和签署合同所涉及现场的资料，投标供应商承担现场踏勘所发生的费用。</w:t>
      </w:r>
    </w:p>
    <w:p>
      <w:pPr>
        <w:spacing w:line="360" w:lineRule="auto"/>
        <w:ind w:firstLine="630" w:firstLineChars="300"/>
        <w:rPr>
          <w:rFonts w:ascii="Arial" w:hAnsi="Arial" w:cs="Arial"/>
          <w:b/>
        </w:rPr>
      </w:pPr>
      <w:r>
        <w:rPr>
          <w:rFonts w:ascii="Arial" w:hAnsi="宋体" w:cs="Arial"/>
        </w:rPr>
        <w:t>投标供应商由于对现场条件不了解而造成中标后发生一切不良后果和风险，均由投标供应商自负。</w:t>
      </w:r>
    </w:p>
    <w:p>
      <w:pPr>
        <w:spacing w:line="360" w:lineRule="auto"/>
        <w:ind w:left="961" w:hanging="961" w:hangingChars="399"/>
        <w:rPr>
          <w:rFonts w:ascii="Arial" w:hAnsi="Arial" w:cs="Arial"/>
          <w:b/>
        </w:rPr>
      </w:pPr>
      <w:r>
        <w:rPr>
          <w:rFonts w:ascii="Arial" w:hAnsi="Arial" w:cs="Arial"/>
          <w:b/>
          <w:sz w:val="24"/>
        </w:rPr>
        <w:t>8.</w:t>
      </w:r>
      <w:r>
        <w:rPr>
          <w:rFonts w:ascii="Arial" w:hAnsi="宋体" w:cs="Arial"/>
          <w:b/>
        </w:rPr>
        <w:t>投标委托</w:t>
      </w:r>
    </w:p>
    <w:p>
      <w:pPr>
        <w:tabs>
          <w:tab w:val="left" w:pos="1003"/>
        </w:tabs>
        <w:snapToGrid w:val="0"/>
        <w:spacing w:line="360" w:lineRule="auto"/>
        <w:ind w:firstLine="630" w:firstLineChars="300"/>
        <w:rPr>
          <w:rFonts w:ascii="Arial" w:hAnsi="宋体" w:cs="Arial"/>
        </w:rPr>
      </w:pPr>
      <w:r>
        <w:rPr>
          <w:rFonts w:ascii="Arial" w:hAnsi="宋体" w:cs="Arial"/>
        </w:rPr>
        <w:t>如投标供应商代表不是法定代表人，须持有《法定代表人授权委托书》（见第五部分）。</w:t>
      </w:r>
    </w:p>
    <w:p>
      <w:pPr>
        <w:spacing w:line="360" w:lineRule="auto"/>
        <w:jc w:val="center"/>
        <w:outlineLvl w:val="1"/>
        <w:rPr>
          <w:rFonts w:ascii="Arial" w:hAnsi="宋体" w:cs="Arial"/>
          <w:b/>
          <w:bCs/>
          <w:sz w:val="28"/>
        </w:rPr>
      </w:pPr>
      <w:bookmarkStart w:id="13" w:name="_Toc495977855"/>
      <w:bookmarkStart w:id="14" w:name="_Toc2345"/>
      <w:r>
        <w:rPr>
          <w:rFonts w:ascii="Arial" w:hAnsi="宋体" w:cs="Arial"/>
          <w:b/>
          <w:bCs/>
          <w:sz w:val="28"/>
        </w:rPr>
        <w:t>（</w:t>
      </w:r>
      <w:r>
        <w:rPr>
          <w:rFonts w:hint="eastAsia" w:ascii="Arial" w:hAnsi="宋体" w:cs="Arial"/>
          <w:b/>
          <w:bCs/>
          <w:sz w:val="28"/>
        </w:rPr>
        <w:t>三</w:t>
      </w:r>
      <w:r>
        <w:rPr>
          <w:rFonts w:ascii="Arial" w:hAnsi="宋体" w:cs="Arial"/>
          <w:b/>
          <w:bCs/>
          <w:sz w:val="28"/>
        </w:rPr>
        <w:t>）招标文件</w:t>
      </w:r>
      <w:bookmarkEnd w:id="13"/>
      <w:r>
        <w:rPr>
          <w:rFonts w:ascii="Arial" w:hAnsi="宋体" w:cs="Arial"/>
          <w:b/>
          <w:bCs/>
          <w:sz w:val="28"/>
        </w:rPr>
        <w:t>说明</w:t>
      </w:r>
      <w:bookmarkEnd w:id="14"/>
    </w:p>
    <w:p>
      <w:pPr>
        <w:snapToGrid w:val="0"/>
        <w:spacing w:line="360" w:lineRule="auto"/>
        <w:ind w:left="961" w:hanging="961" w:hangingChars="399"/>
        <w:rPr>
          <w:rFonts w:ascii="Arial" w:hAnsi="Arial" w:cs="Arial"/>
          <w:b/>
        </w:rPr>
      </w:pPr>
      <w:r>
        <w:rPr>
          <w:rFonts w:ascii="Arial" w:hAnsi="Arial" w:cs="Arial"/>
          <w:b/>
          <w:sz w:val="24"/>
        </w:rPr>
        <w:t>9.</w:t>
      </w:r>
      <w:r>
        <w:rPr>
          <w:rFonts w:ascii="Arial" w:hAnsi="宋体" w:cs="Arial"/>
          <w:b/>
        </w:rPr>
        <w:t>招标文件构成</w:t>
      </w:r>
      <w:bookmarkStart w:id="15" w:name="_Hlt509038174"/>
      <w:bookmarkEnd w:id="15"/>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9.1</w:t>
      </w:r>
      <w:r>
        <w:rPr>
          <w:rFonts w:ascii="Arial" w:hAnsi="宋体" w:cs="Arial"/>
        </w:rPr>
        <w:t>招标文件是用以阐明所需货物、服务及工程，以及招标、投标程序和相应的合同条款。</w:t>
      </w:r>
      <w:r>
        <w:rPr>
          <w:rFonts w:ascii="Arial" w:hAnsi="Arial" w:cs="Arial"/>
        </w:rPr>
        <w:t>“</w:t>
      </w:r>
      <w:r>
        <w:rPr>
          <w:rFonts w:ascii="Arial" w:hAnsi="宋体" w:cs="Arial"/>
        </w:rPr>
        <w:t>招标文件</w:t>
      </w:r>
      <w:r>
        <w:rPr>
          <w:rFonts w:ascii="Arial" w:hAnsi="Arial" w:cs="Arial"/>
        </w:rPr>
        <w:t>”</w:t>
      </w:r>
      <w:r>
        <w:rPr>
          <w:rFonts w:ascii="Arial" w:hAnsi="宋体" w:cs="Arial"/>
        </w:rPr>
        <w:t>由下述部分组成：</w:t>
      </w:r>
      <w:r>
        <w:rPr>
          <w:rFonts w:ascii="Arial" w:hAnsi="Arial" w:cs="Arial"/>
        </w:rPr>
        <w:t xml:space="preserve"> </w:t>
      </w:r>
    </w:p>
    <w:p>
      <w:pPr>
        <w:snapToGrid w:val="0"/>
        <w:spacing w:line="360" w:lineRule="auto"/>
        <w:ind w:left="839" w:leftChars="257" w:hanging="299" w:hangingChars="142"/>
        <w:rPr>
          <w:rFonts w:ascii="Arial" w:hAnsi="Arial" w:cs="Arial"/>
          <w:b/>
          <w:bCs/>
        </w:rPr>
      </w:pPr>
      <w:r>
        <w:rPr>
          <w:rFonts w:ascii="Arial" w:hAnsi="宋体" w:cs="Arial"/>
          <w:b/>
          <w:bCs/>
        </w:rPr>
        <w:t>第一部分</w:t>
      </w:r>
      <w:r>
        <w:rPr>
          <w:rFonts w:ascii="Arial" w:hAnsi="Arial" w:cs="Arial"/>
          <w:b/>
          <w:bCs/>
        </w:rPr>
        <w:t xml:space="preserve">   </w:t>
      </w:r>
      <w:r>
        <w:rPr>
          <w:rFonts w:hint="eastAsia" w:ascii="Arial" w:hAnsi="宋体" w:cs="Arial"/>
          <w:b/>
          <w:bCs/>
        </w:rPr>
        <w:t>招标公告</w:t>
      </w:r>
    </w:p>
    <w:p>
      <w:pPr>
        <w:snapToGrid w:val="0"/>
        <w:spacing w:line="360" w:lineRule="auto"/>
        <w:ind w:left="839" w:leftChars="257" w:hanging="299" w:hangingChars="142"/>
        <w:rPr>
          <w:rFonts w:ascii="Arial" w:hAnsi="Arial" w:cs="Arial"/>
          <w:b/>
          <w:bCs/>
        </w:rPr>
      </w:pPr>
      <w:r>
        <w:rPr>
          <w:rFonts w:ascii="Arial" w:hAnsi="宋体" w:cs="Arial"/>
          <w:b/>
          <w:bCs/>
        </w:rPr>
        <w:t>第二部分</w:t>
      </w:r>
      <w:r>
        <w:rPr>
          <w:rFonts w:ascii="Arial" w:hAnsi="Arial" w:cs="Arial"/>
          <w:b/>
          <w:bCs/>
        </w:rPr>
        <w:t xml:space="preserve">   </w:t>
      </w:r>
      <w:r>
        <w:rPr>
          <w:rFonts w:ascii="Arial" w:hAnsi="宋体" w:cs="Arial"/>
          <w:b/>
          <w:bCs/>
        </w:rPr>
        <w:t>投标须知及前附表</w:t>
      </w:r>
    </w:p>
    <w:p>
      <w:pPr>
        <w:snapToGrid w:val="0"/>
        <w:spacing w:line="360" w:lineRule="auto"/>
        <w:ind w:left="839" w:leftChars="257" w:hanging="299" w:hangingChars="142"/>
        <w:rPr>
          <w:rFonts w:ascii="Arial" w:hAnsi="Arial" w:cs="Arial"/>
          <w:b/>
          <w:bCs/>
        </w:rPr>
      </w:pPr>
      <w:r>
        <w:rPr>
          <w:rFonts w:ascii="Arial" w:hAnsi="宋体" w:cs="Arial"/>
          <w:b/>
          <w:bCs/>
        </w:rPr>
        <w:t>第三部分</w:t>
      </w:r>
      <w:r>
        <w:rPr>
          <w:rFonts w:ascii="Arial" w:hAnsi="Arial" w:cs="Arial"/>
          <w:b/>
          <w:bCs/>
        </w:rPr>
        <w:t xml:space="preserve">   </w:t>
      </w:r>
      <w:r>
        <w:rPr>
          <w:rFonts w:hint="eastAsia" w:ascii="Arial" w:hAnsi="宋体" w:cs="Arial"/>
          <w:b/>
          <w:bCs/>
        </w:rPr>
        <w:t>招标内容及技术要求</w:t>
      </w:r>
    </w:p>
    <w:p>
      <w:pPr>
        <w:snapToGrid w:val="0"/>
        <w:spacing w:line="360" w:lineRule="auto"/>
        <w:ind w:left="839" w:leftChars="257" w:hanging="299" w:hangingChars="142"/>
        <w:rPr>
          <w:rFonts w:ascii="Arial" w:hAnsi="Arial" w:cs="Arial"/>
          <w:b/>
          <w:bCs/>
        </w:rPr>
      </w:pPr>
      <w:r>
        <w:rPr>
          <w:rFonts w:ascii="Arial" w:hAnsi="宋体" w:cs="Arial"/>
          <w:b/>
          <w:bCs/>
        </w:rPr>
        <w:t>第四部分</w:t>
      </w:r>
      <w:r>
        <w:rPr>
          <w:rFonts w:ascii="Arial" w:hAnsi="Arial" w:cs="Arial"/>
          <w:b/>
          <w:bCs/>
        </w:rPr>
        <w:t xml:space="preserve">   </w:t>
      </w:r>
      <w:r>
        <w:rPr>
          <w:rFonts w:ascii="Arial" w:hAnsi="宋体" w:cs="Arial"/>
          <w:b/>
          <w:bCs/>
        </w:rPr>
        <w:t>合同条款</w:t>
      </w:r>
    </w:p>
    <w:p>
      <w:pPr>
        <w:snapToGrid w:val="0"/>
        <w:spacing w:line="360" w:lineRule="auto"/>
        <w:ind w:left="839" w:leftChars="257" w:hanging="299" w:hangingChars="142"/>
        <w:rPr>
          <w:rFonts w:ascii="Arial" w:hAnsi="Arial" w:cs="Arial"/>
          <w:b/>
          <w:bCs/>
        </w:rPr>
      </w:pPr>
      <w:r>
        <w:rPr>
          <w:rFonts w:ascii="Arial" w:hAnsi="宋体" w:cs="Arial"/>
          <w:b/>
          <w:bCs/>
        </w:rPr>
        <w:t>第五部分</w:t>
      </w:r>
      <w:r>
        <w:rPr>
          <w:rFonts w:ascii="Arial" w:hAnsi="Arial" w:cs="Arial"/>
          <w:b/>
          <w:bCs/>
        </w:rPr>
        <w:t xml:space="preserve">   </w:t>
      </w:r>
      <w:r>
        <w:rPr>
          <w:rFonts w:ascii="Arial" w:hAnsi="宋体" w:cs="Arial"/>
          <w:b/>
          <w:bCs/>
        </w:rPr>
        <w:t>投标文件格式</w:t>
      </w:r>
    </w:p>
    <w:p>
      <w:pPr>
        <w:snapToGrid w:val="0"/>
        <w:spacing w:line="360" w:lineRule="auto"/>
        <w:ind w:left="839" w:leftChars="257" w:hanging="299" w:hangingChars="142"/>
        <w:rPr>
          <w:rFonts w:ascii="Arial" w:hAnsi="Arial" w:cs="Arial"/>
          <w:b/>
          <w:bCs/>
        </w:rPr>
      </w:pPr>
      <w:r>
        <w:rPr>
          <w:rFonts w:ascii="Arial" w:hAnsi="宋体" w:cs="Arial"/>
          <w:b/>
          <w:bCs/>
        </w:rPr>
        <w:t>第六部分</w:t>
      </w:r>
      <w:r>
        <w:rPr>
          <w:rFonts w:ascii="Arial" w:hAnsi="Arial" w:cs="Arial"/>
          <w:b/>
          <w:bCs/>
        </w:rPr>
        <w:t xml:space="preserve">   </w:t>
      </w:r>
      <w:r>
        <w:rPr>
          <w:rFonts w:ascii="Arial" w:hAnsi="宋体" w:cs="Arial"/>
          <w:b/>
          <w:bCs/>
        </w:rPr>
        <w:t>评标办法</w:t>
      </w:r>
    </w:p>
    <w:p>
      <w:pPr>
        <w:snapToGrid w:val="0"/>
        <w:spacing w:line="360" w:lineRule="auto"/>
        <w:ind w:left="839" w:leftChars="257" w:hanging="299" w:hangingChars="142"/>
        <w:rPr>
          <w:rFonts w:ascii="Arial" w:hAnsi="Arial" w:cs="Arial"/>
          <w:sz w:val="30"/>
        </w:rPr>
      </w:pPr>
      <w:r>
        <w:rPr>
          <w:rFonts w:ascii="Arial" w:hAnsi="宋体" w:cs="Arial"/>
          <w:b/>
          <w:bCs/>
        </w:rPr>
        <w:t>第七部分</w:t>
      </w:r>
      <w:r>
        <w:rPr>
          <w:rFonts w:ascii="Arial" w:hAnsi="Arial" w:cs="Arial"/>
          <w:b/>
          <w:bCs/>
        </w:rPr>
        <w:t xml:space="preserve">   </w:t>
      </w:r>
      <w:r>
        <w:rPr>
          <w:rFonts w:ascii="Arial" w:hAnsi="宋体" w:cs="Arial"/>
          <w:b/>
          <w:bCs/>
        </w:rPr>
        <w:t>补充通知及答疑（如有）</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9.2</w:t>
      </w:r>
      <w:r>
        <w:rPr>
          <w:rFonts w:ascii="Arial" w:hAnsi="宋体" w:cs="Arial"/>
        </w:rPr>
        <w:t>投标供应商应详细阅读招标文件的全部内容。如果投标供应商没有按照招标文件要求提交全部资料或者投标书没有对招标文件在各方面的要求都做出实质性响应，是投标供应商的风险。没有实质上响应招标文件要求的投标将被</w:t>
      </w:r>
      <w:r>
        <w:rPr>
          <w:rFonts w:hint="eastAsia" w:ascii="Arial" w:hAnsi="宋体" w:cs="Arial"/>
        </w:rPr>
        <w:t>否决</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snapToGrid w:val="0"/>
          <w:kern w:val="0"/>
          <w:szCs w:val="21"/>
        </w:rPr>
      </w:pPr>
      <w:r>
        <w:rPr>
          <w:rFonts w:ascii="Arial" w:hAnsi="Arial" w:cs="Arial"/>
          <w:snapToGrid w:val="0"/>
          <w:kern w:val="0"/>
          <w:szCs w:val="21"/>
        </w:rPr>
        <w:t>9.3</w:t>
      </w:r>
      <w:r>
        <w:rPr>
          <w:rFonts w:ascii="Arial" w:hAnsi="宋体" w:cs="Arial"/>
          <w:snapToGrid w:val="0"/>
          <w:spacing w:val="-4"/>
          <w:kern w:val="0"/>
          <w:szCs w:val="21"/>
        </w:rPr>
        <w:t>本招标文件要求投标供应商作出实质性响应的有关技术和商务条款，将在该条款前以</w:t>
      </w:r>
      <w:r>
        <w:rPr>
          <w:rFonts w:ascii="Arial" w:hAnsi="Arial" w:cs="Arial"/>
          <w:snapToGrid w:val="0"/>
          <w:spacing w:val="-4"/>
          <w:kern w:val="0"/>
          <w:szCs w:val="21"/>
        </w:rPr>
        <w:t>“▲”</w:t>
      </w:r>
      <w:r>
        <w:rPr>
          <w:rFonts w:ascii="Arial" w:hAnsi="宋体" w:cs="Arial"/>
          <w:snapToGrid w:val="0"/>
          <w:spacing w:val="-4"/>
          <w:kern w:val="0"/>
          <w:szCs w:val="21"/>
        </w:rPr>
        <w:t>醒目标识</w:t>
      </w:r>
      <w:r>
        <w:rPr>
          <w:rFonts w:ascii="Arial" w:hAnsi="宋体" w:cs="Arial"/>
          <w:snapToGrid w:val="0"/>
          <w:kern w:val="0"/>
          <w:szCs w:val="21"/>
        </w:rPr>
        <w:t>。</w:t>
      </w:r>
    </w:p>
    <w:p>
      <w:pPr>
        <w:snapToGrid w:val="0"/>
        <w:spacing w:line="360" w:lineRule="auto"/>
        <w:ind w:left="961" w:hanging="961" w:hangingChars="399"/>
        <w:rPr>
          <w:rFonts w:ascii="Arial" w:hAnsi="Arial" w:cs="Arial"/>
          <w:b/>
        </w:rPr>
      </w:pPr>
      <w:r>
        <w:rPr>
          <w:rFonts w:ascii="Arial" w:hAnsi="Arial" w:cs="Arial"/>
          <w:b/>
          <w:sz w:val="24"/>
        </w:rPr>
        <w:t>10.</w:t>
      </w:r>
      <w:r>
        <w:rPr>
          <w:rFonts w:ascii="Arial" w:hAnsi="宋体" w:cs="Arial"/>
          <w:b/>
        </w:rPr>
        <w:t>招标文件的澄清</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10.1</w:t>
      </w:r>
      <w:r>
        <w:rPr>
          <w:rFonts w:ascii="Arial" w:hAnsi="宋体" w:cs="Arial"/>
        </w:rPr>
        <w:t>任何要求对招标文件进行澄清的投标供应商，均应按投标邀请书中的通讯地址，在答疑截止时间前以书面形式传真或寄送给招标代理单位，招标人对收到的澄清要求将酌情以书面形式予以答复。</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10.2</w:t>
      </w:r>
      <w:r>
        <w:rPr>
          <w:rFonts w:ascii="Arial" w:hAnsi="宋体" w:cs="Arial"/>
        </w:rPr>
        <w:t>招标人将视情况确定是否有必要召开标前会，如果召开时会将标前会的通知（包括时间和地点）发给所有投标供应商。</w:t>
      </w:r>
    </w:p>
    <w:p>
      <w:pPr>
        <w:snapToGrid w:val="0"/>
        <w:spacing w:line="360" w:lineRule="auto"/>
        <w:ind w:left="961" w:hanging="961" w:hangingChars="399"/>
        <w:rPr>
          <w:rFonts w:ascii="Arial" w:hAnsi="Arial" w:cs="Arial"/>
          <w:b/>
        </w:rPr>
      </w:pPr>
      <w:r>
        <w:rPr>
          <w:rFonts w:ascii="Arial" w:hAnsi="Arial" w:cs="Arial"/>
          <w:b/>
          <w:sz w:val="24"/>
        </w:rPr>
        <w:t>11.</w:t>
      </w:r>
      <w:r>
        <w:rPr>
          <w:rFonts w:ascii="Arial" w:hAnsi="宋体" w:cs="Arial"/>
          <w:b/>
        </w:rPr>
        <w:t>招标文件的修改</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11.1</w:t>
      </w:r>
      <w:r>
        <w:rPr>
          <w:rFonts w:ascii="Arial" w:hAnsi="宋体" w:cs="Arial"/>
        </w:rPr>
        <w:t>在投标截止时间前任何时候，招标人无论是出于何种原因，均可对招标文件用补充文件的方式进行修改。</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11.2</w:t>
      </w:r>
      <w:r>
        <w:rPr>
          <w:rFonts w:ascii="Arial" w:hAnsi="宋体" w:cs="Arial"/>
        </w:rPr>
        <w:t>对招标文件的修改，将以书面、电子邮件或传真的形式通知已领取招标文件的每一投标供应商。投标供应商应立即以书面形式回复确认已收到修改文件。</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11.3</w:t>
      </w:r>
      <w:r>
        <w:rPr>
          <w:rFonts w:ascii="Arial" w:hAnsi="宋体" w:cs="Arial"/>
        </w:rPr>
        <w:t>为使投标供应商有足够的时间按招标文件的修改要求修正投标文件，招标人可酌情推迟投标的截止日期和开标日期，并将具体变更情况通知上述每一投标供应商。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11.4</w:t>
      </w:r>
      <w:r>
        <w:rPr>
          <w:rFonts w:ascii="Arial" w:hAnsi="宋体" w:cs="Arial"/>
        </w:rPr>
        <w:t>补充文件将作为招标文件的组成部分，对所有投标供应商有约束力。</w:t>
      </w:r>
    </w:p>
    <w:p>
      <w:pPr>
        <w:spacing w:line="360" w:lineRule="auto"/>
        <w:jc w:val="center"/>
        <w:outlineLvl w:val="1"/>
        <w:rPr>
          <w:rFonts w:ascii="Arial" w:hAnsi="宋体" w:cs="Arial"/>
          <w:b/>
          <w:bCs/>
          <w:sz w:val="28"/>
        </w:rPr>
      </w:pPr>
      <w:bookmarkStart w:id="16" w:name="_Toc694"/>
      <w:r>
        <w:rPr>
          <w:rFonts w:ascii="Arial" w:hAnsi="宋体" w:cs="Arial"/>
          <w:b/>
          <w:bCs/>
          <w:sz w:val="28"/>
        </w:rPr>
        <w:t>（</w:t>
      </w:r>
      <w:r>
        <w:rPr>
          <w:rFonts w:hint="eastAsia" w:ascii="Arial" w:hAnsi="宋体" w:cs="Arial"/>
          <w:b/>
          <w:bCs/>
          <w:sz w:val="28"/>
        </w:rPr>
        <w:t>四</w:t>
      </w:r>
      <w:r>
        <w:rPr>
          <w:rFonts w:ascii="Arial" w:hAnsi="宋体" w:cs="Arial"/>
          <w:b/>
          <w:bCs/>
          <w:sz w:val="28"/>
        </w:rPr>
        <w:t>）投标文件的编制</w:t>
      </w:r>
      <w:bookmarkEnd w:id="16"/>
    </w:p>
    <w:p>
      <w:pPr>
        <w:snapToGrid w:val="0"/>
        <w:spacing w:line="360" w:lineRule="auto"/>
        <w:ind w:left="961" w:hanging="961" w:hangingChars="399"/>
        <w:rPr>
          <w:rFonts w:ascii="Arial" w:hAnsi="Arial" w:cs="Arial"/>
          <w:b/>
          <w:bCs/>
        </w:rPr>
      </w:pPr>
      <w:r>
        <w:rPr>
          <w:rFonts w:ascii="Arial" w:hAnsi="Arial" w:cs="Arial"/>
          <w:b/>
          <w:bCs/>
          <w:sz w:val="24"/>
        </w:rPr>
        <w:t>12.</w:t>
      </w:r>
      <w:r>
        <w:rPr>
          <w:rFonts w:ascii="Arial" w:hAnsi="宋体" w:cs="Arial"/>
          <w:b/>
          <w:bCs/>
        </w:rPr>
        <w:t>投标文件的语言和计量单位</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12.1</w:t>
      </w:r>
      <w:r>
        <w:rPr>
          <w:rFonts w:ascii="Arial" w:hAnsi="宋体" w:cs="Arial"/>
        </w:rPr>
        <w:t>投标供应商提交的投标书以及投标供应商与招标人就有关投标的所有来往函电均应使用中文。</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12.2</w:t>
      </w:r>
      <w:r>
        <w:rPr>
          <w:rFonts w:ascii="Arial" w:hAnsi="宋体" w:cs="Arial"/>
        </w:rPr>
        <w:t>投标文件应字迹清楚、内容齐全、不得涂改。如有修改，修改处须有法定代表人或其</w:t>
      </w:r>
      <w:r>
        <w:rPr>
          <w:rFonts w:hint="eastAsia" w:ascii="Arial" w:hAnsi="宋体" w:cs="Arial"/>
        </w:rPr>
        <w:t>授权代表</w:t>
      </w:r>
      <w:r>
        <w:rPr>
          <w:rFonts w:ascii="Arial" w:hAnsi="宋体" w:cs="Arial"/>
        </w:rPr>
        <w:t>签章。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12.3</w:t>
      </w:r>
      <w:r>
        <w:rPr>
          <w:rFonts w:ascii="Arial" w:hAnsi="宋体" w:cs="Arial"/>
        </w:rPr>
        <w:t>投标供应商所提供的技术文件和资料，包括图纸中的说明，应使用中文简化字。所使用的计量单位，应使用国家法定计量单位。</w:t>
      </w:r>
    </w:p>
    <w:p>
      <w:pPr>
        <w:numPr>
          <w:ilvl w:val="1"/>
          <w:numId w:val="0"/>
        </w:numPr>
        <w:tabs>
          <w:tab w:val="left" w:pos="592"/>
        </w:tabs>
        <w:snapToGrid w:val="0"/>
        <w:spacing w:line="360" w:lineRule="auto"/>
        <w:ind w:left="588" w:hanging="588" w:hangingChars="280"/>
        <w:rPr>
          <w:rFonts w:ascii="Arial" w:hAnsi="Arial" w:cs="Arial"/>
          <w:color w:val="0000FF"/>
        </w:rPr>
      </w:pPr>
      <w:r>
        <w:rPr>
          <w:rFonts w:ascii="Arial" w:hAnsi="Arial" w:cs="Arial"/>
        </w:rPr>
        <w:t>12.4</w:t>
      </w:r>
      <w:r>
        <w:rPr>
          <w:rFonts w:ascii="Arial" w:hAnsi="宋体" w:cs="Arial"/>
        </w:rPr>
        <w:t>投标供应商必须按招标文件的要求提供相关技术参数、资料，包括采用的计量单位，并保证投标文件的正确性和真实性，否则评标委员会将作出不利于其投标的评定。不按招标文件的要求提供的投标文件</w:t>
      </w:r>
      <w:r>
        <w:rPr>
          <w:rFonts w:hint="eastAsia" w:ascii="Arial" w:hAnsi="宋体" w:cs="Arial"/>
        </w:rPr>
        <w:t>可能导致</w:t>
      </w:r>
      <w:r>
        <w:rPr>
          <w:rFonts w:ascii="Arial" w:hAnsi="宋体" w:cs="Arial"/>
        </w:rPr>
        <w:t>无效</w:t>
      </w:r>
      <w:r>
        <w:rPr>
          <w:rFonts w:ascii="Arial" w:hAnsi="Arial" w:cs="Arial"/>
        </w:rPr>
        <w:t xml:space="preserve"> </w:t>
      </w:r>
      <w:r>
        <w:rPr>
          <w:rFonts w:ascii="Arial" w:hAnsi="宋体" w:cs="Arial"/>
        </w:rPr>
        <w:t>。</w:t>
      </w:r>
    </w:p>
    <w:p>
      <w:pPr>
        <w:snapToGrid w:val="0"/>
        <w:spacing w:line="360" w:lineRule="auto"/>
        <w:ind w:left="961" w:hanging="961" w:hangingChars="399"/>
        <w:rPr>
          <w:rFonts w:ascii="Arial" w:hAnsi="宋体" w:cs="Arial"/>
          <w:b/>
          <w:bCs/>
        </w:rPr>
      </w:pPr>
      <w:r>
        <w:rPr>
          <w:rFonts w:ascii="Arial" w:hAnsi="Arial" w:cs="Arial"/>
          <w:b/>
          <w:bCs/>
          <w:sz w:val="24"/>
        </w:rPr>
        <w:t>13.</w:t>
      </w:r>
      <w:r>
        <w:rPr>
          <w:rFonts w:ascii="Arial" w:hAnsi="宋体" w:cs="Arial"/>
          <w:b/>
          <w:bCs/>
        </w:rPr>
        <w:t>投标文件的组成（具体格式详见本文件第五部分，表格可以按同样格式扩展）</w:t>
      </w:r>
    </w:p>
    <w:p>
      <w:pPr>
        <w:numPr>
          <w:ilvl w:val="1"/>
          <w:numId w:val="0"/>
        </w:numPr>
        <w:tabs>
          <w:tab w:val="left" w:pos="592"/>
        </w:tabs>
        <w:snapToGrid w:val="0"/>
        <w:spacing w:line="360" w:lineRule="auto"/>
        <w:ind w:left="588" w:hanging="588" w:hangingChars="280"/>
        <w:rPr>
          <w:rFonts w:ascii="Arial" w:hAnsi="宋体" w:cs="Arial"/>
        </w:rPr>
      </w:pPr>
      <w:r>
        <w:rPr>
          <w:rFonts w:ascii="Arial" w:hAnsi="Arial" w:cs="Arial"/>
        </w:rPr>
        <w:t>13.1</w:t>
      </w:r>
      <w:r>
        <w:rPr>
          <w:rFonts w:ascii="Arial" w:hAnsi="宋体" w:cs="Arial"/>
        </w:rPr>
        <w:t>投标文件由商务</w:t>
      </w:r>
      <w:r>
        <w:rPr>
          <w:rFonts w:hint="eastAsia" w:ascii="Arial" w:hAnsi="宋体" w:cs="Arial"/>
        </w:rPr>
        <w:t>标（投标函）、资信技术标等两部分</w:t>
      </w:r>
      <w:r>
        <w:rPr>
          <w:rFonts w:ascii="Arial" w:hAnsi="宋体" w:cs="Arial"/>
        </w:rPr>
        <w:t>组成。</w:t>
      </w:r>
    </w:p>
    <w:p>
      <w:pPr>
        <w:tabs>
          <w:tab w:val="left" w:pos="6358"/>
        </w:tabs>
        <w:snapToGrid w:val="0"/>
        <w:spacing w:line="380" w:lineRule="exact"/>
        <w:ind w:left="567"/>
        <w:rPr>
          <w:rFonts w:ascii="宋体" w:hAnsi="宋体"/>
          <w:b/>
        </w:rPr>
      </w:pPr>
      <w:r>
        <w:rPr>
          <w:rFonts w:hint="eastAsia" w:ascii="宋体" w:hAnsi="宋体"/>
          <w:b/>
        </w:rPr>
        <w:t>13.1.1商务标：</w:t>
      </w:r>
    </w:p>
    <w:p>
      <w:pPr>
        <w:numPr>
          <w:ilvl w:val="0"/>
          <w:numId w:val="10"/>
        </w:numPr>
        <w:spacing w:line="400" w:lineRule="exact"/>
        <w:rPr>
          <w:rFonts w:ascii="宋体" w:hAnsi="宋体"/>
        </w:rPr>
      </w:pPr>
      <w:r>
        <w:rPr>
          <w:rFonts w:ascii="宋体" w:hAnsi="宋体"/>
        </w:rPr>
        <w:t>封面；</w:t>
      </w:r>
    </w:p>
    <w:p>
      <w:pPr>
        <w:numPr>
          <w:ilvl w:val="0"/>
          <w:numId w:val="10"/>
        </w:numPr>
        <w:spacing w:line="400" w:lineRule="exact"/>
        <w:rPr>
          <w:rFonts w:ascii="宋体" w:hAnsi="宋体"/>
        </w:rPr>
      </w:pPr>
      <w:r>
        <w:rPr>
          <w:rFonts w:hint="eastAsia" w:ascii="宋体" w:hAnsi="宋体"/>
        </w:rPr>
        <w:t>目录；</w:t>
      </w:r>
    </w:p>
    <w:p>
      <w:pPr>
        <w:widowControl/>
        <w:numPr>
          <w:ilvl w:val="0"/>
          <w:numId w:val="10"/>
        </w:numPr>
        <w:snapToGrid w:val="0"/>
        <w:spacing w:line="400" w:lineRule="exact"/>
        <w:rPr>
          <w:rFonts w:ascii="Arial" w:hAnsi="Arial" w:cs="Arial"/>
          <w:b/>
          <w:szCs w:val="21"/>
        </w:rPr>
      </w:pPr>
      <w:r>
        <w:rPr>
          <w:rFonts w:ascii="宋体" w:hAnsi="宋体"/>
        </w:rPr>
        <w:t>投标函；</w:t>
      </w:r>
      <w:r>
        <w:rPr>
          <w:rFonts w:hint="eastAsia" w:ascii="Arial" w:hAnsi="Arial" w:cs="Arial"/>
        </w:rPr>
        <w:t xml:space="preserve">                                                 附件1</w:t>
      </w:r>
    </w:p>
    <w:p>
      <w:pPr>
        <w:widowControl/>
        <w:numPr>
          <w:ilvl w:val="0"/>
          <w:numId w:val="10"/>
        </w:numPr>
        <w:snapToGrid w:val="0"/>
        <w:spacing w:line="400" w:lineRule="exact"/>
        <w:rPr>
          <w:rFonts w:ascii="Arial" w:hAnsi="Arial" w:cs="Arial"/>
          <w:b/>
          <w:szCs w:val="21"/>
        </w:rPr>
      </w:pPr>
      <w:r>
        <w:rPr>
          <w:rFonts w:hint="eastAsia" w:ascii="Arial" w:hAnsi="宋体" w:cs="Arial"/>
          <w:szCs w:val="22"/>
        </w:rPr>
        <w:t>开标一览表</w:t>
      </w:r>
      <w:r>
        <w:rPr>
          <w:rFonts w:hint="eastAsia" w:ascii="Arial" w:hAnsi="Arial" w:cs="Arial"/>
        </w:rPr>
        <w:t>；                                             附件2</w:t>
      </w:r>
    </w:p>
    <w:p>
      <w:pPr>
        <w:widowControl/>
        <w:numPr>
          <w:ilvl w:val="0"/>
          <w:numId w:val="10"/>
        </w:numPr>
        <w:snapToGrid w:val="0"/>
        <w:spacing w:line="400" w:lineRule="exact"/>
        <w:rPr>
          <w:rFonts w:ascii="Arial" w:hAnsi="Arial" w:cs="Arial"/>
          <w:b/>
          <w:szCs w:val="21"/>
        </w:rPr>
      </w:pPr>
      <w:r>
        <w:rPr>
          <w:rFonts w:hint="eastAsia" w:ascii="Arial" w:hAnsi="宋体" w:cs="Arial"/>
          <w:szCs w:val="22"/>
        </w:rPr>
        <w:t>投标货物数量价格明细表</w:t>
      </w:r>
      <w:r>
        <w:rPr>
          <w:rFonts w:hint="eastAsia" w:ascii="Arial" w:hAnsi="Arial" w:cs="Arial"/>
        </w:rPr>
        <w:t xml:space="preserve">                                   附件3</w:t>
      </w:r>
    </w:p>
    <w:p>
      <w:pPr>
        <w:widowControl/>
        <w:numPr>
          <w:ilvl w:val="0"/>
          <w:numId w:val="10"/>
        </w:numPr>
        <w:snapToGrid w:val="0"/>
        <w:spacing w:line="400" w:lineRule="exact"/>
        <w:rPr>
          <w:rFonts w:ascii="Arial" w:hAnsi="Arial" w:cs="Arial"/>
          <w:b/>
          <w:szCs w:val="21"/>
        </w:rPr>
      </w:pPr>
      <w:r>
        <w:rPr>
          <w:rFonts w:hint="eastAsia" w:ascii="Arial" w:hAnsi="Arial" w:cs="Arial"/>
        </w:rPr>
        <w:t>投标供应商认为需要提供的文件和资料。</w:t>
      </w:r>
    </w:p>
    <w:p>
      <w:pPr>
        <w:tabs>
          <w:tab w:val="left" w:pos="2450"/>
        </w:tabs>
        <w:snapToGrid w:val="0"/>
        <w:spacing w:line="360" w:lineRule="exact"/>
        <w:ind w:left="840"/>
        <w:rPr>
          <w:rFonts w:ascii="Arial" w:hAnsi="Arial" w:cs="Arial"/>
          <w:b/>
        </w:rPr>
      </w:pPr>
      <w:r>
        <w:rPr>
          <w:rFonts w:ascii="Arial" w:hAnsi="Arial" w:cs="Arial"/>
          <w:b/>
        </w:rPr>
        <w:t>▲注：商务标开标一览表应有</w:t>
      </w:r>
      <w:r>
        <w:rPr>
          <w:rFonts w:hint="eastAsia" w:ascii="Arial" w:hAnsi="Arial" w:cs="Arial"/>
          <w:b/>
        </w:rPr>
        <w:t>投标供应商</w:t>
      </w:r>
      <w:r>
        <w:rPr>
          <w:rFonts w:ascii="Arial" w:hAnsi="Arial" w:cs="Arial"/>
          <w:b/>
        </w:rPr>
        <w:t>公章及法定代表人或其授权代表盖章或签字，否则做无效投标处理。</w:t>
      </w:r>
    </w:p>
    <w:p>
      <w:pPr>
        <w:tabs>
          <w:tab w:val="left" w:pos="6358"/>
        </w:tabs>
        <w:snapToGrid w:val="0"/>
        <w:spacing w:line="380" w:lineRule="exact"/>
        <w:ind w:left="567"/>
        <w:rPr>
          <w:rFonts w:ascii="宋体" w:hAnsi="宋体"/>
          <w:b/>
        </w:rPr>
      </w:pPr>
      <w:r>
        <w:rPr>
          <w:rFonts w:hint="eastAsia" w:ascii="宋体" w:hAnsi="宋体"/>
          <w:b/>
        </w:rPr>
        <w:t>13.1.2资信技术标</w:t>
      </w:r>
      <w:r>
        <w:rPr>
          <w:rFonts w:ascii="宋体" w:hAnsi="宋体"/>
          <w:b/>
        </w:rPr>
        <w:t>（格式见附件）内容包括：</w:t>
      </w:r>
    </w:p>
    <w:p>
      <w:pPr>
        <w:widowControl/>
        <w:numPr>
          <w:ilvl w:val="0"/>
          <w:numId w:val="11"/>
        </w:numPr>
        <w:snapToGrid w:val="0"/>
        <w:spacing w:line="400" w:lineRule="exact"/>
        <w:rPr>
          <w:rFonts w:eastAsia="仿宋_GB2312"/>
        </w:rPr>
      </w:pPr>
      <w:r>
        <w:rPr>
          <w:rFonts w:ascii="宋体" w:hAnsi="宋体"/>
        </w:rPr>
        <w:t>法定代表人身份证明书；</w:t>
      </w:r>
      <w:r>
        <w:rPr>
          <w:rFonts w:hint="eastAsia" w:ascii="Arial" w:hAnsi="Arial" w:cs="Arial"/>
        </w:rPr>
        <w:t xml:space="preserve">                                   附件4</w:t>
      </w:r>
      <w:r>
        <w:rPr>
          <w:rFonts w:ascii="Arial" w:hAnsi="Arial" w:cs="Arial"/>
        </w:rPr>
        <w:t>-1</w:t>
      </w:r>
    </w:p>
    <w:p>
      <w:pPr>
        <w:numPr>
          <w:ilvl w:val="0"/>
          <w:numId w:val="11"/>
        </w:numPr>
        <w:snapToGrid w:val="0"/>
        <w:spacing w:line="360" w:lineRule="exact"/>
        <w:rPr>
          <w:rFonts w:ascii="Arial" w:hAnsi="宋体" w:cs="Arial"/>
          <w:szCs w:val="22"/>
        </w:rPr>
      </w:pPr>
      <w:r>
        <w:rPr>
          <w:rFonts w:hint="eastAsia" w:ascii="Arial" w:hAnsi="宋体" w:cs="Arial"/>
          <w:szCs w:val="22"/>
        </w:rPr>
        <w:t xml:space="preserve">法定代表人授权委托书              </w:t>
      </w:r>
      <w:r>
        <w:rPr>
          <w:rFonts w:hint="eastAsia" w:ascii="Arial" w:hAnsi="Arial" w:cs="Arial"/>
        </w:rPr>
        <w:t xml:space="preserve">                 </w:t>
      </w:r>
      <w:r>
        <w:rPr>
          <w:rFonts w:hint="eastAsia" w:ascii="Arial" w:hAnsi="宋体" w:cs="Arial"/>
          <w:szCs w:val="22"/>
        </w:rPr>
        <w:t xml:space="preserve">      </w:t>
      </w:r>
      <w:r>
        <w:rPr>
          <w:rFonts w:hint="eastAsia" w:ascii="Arial" w:hAnsi="Arial" w:cs="Arial"/>
        </w:rPr>
        <w:t>附件4-2</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rPr>
        <w:t xml:space="preserve">投标供应商情况说明；                                     </w:t>
      </w:r>
      <w:r>
        <w:rPr>
          <w:rFonts w:hint="eastAsia" w:ascii="Arial" w:hAnsi="Arial" w:cs="Arial"/>
          <w:color w:val="auto"/>
        </w:rPr>
        <w:t>附件</w:t>
      </w:r>
      <w:r>
        <w:rPr>
          <w:rFonts w:ascii="Arial" w:hAnsi="Arial" w:cs="Arial"/>
          <w:color w:val="auto"/>
        </w:rPr>
        <w:t>5</w:t>
      </w:r>
    </w:p>
    <w:p>
      <w:pPr>
        <w:numPr>
          <w:ilvl w:val="0"/>
          <w:numId w:val="11"/>
        </w:numPr>
        <w:snapToGrid w:val="0"/>
        <w:spacing w:line="360" w:lineRule="exact"/>
        <w:rPr>
          <w:rFonts w:ascii="Arial" w:hAnsi="宋体" w:cs="Arial"/>
          <w:color w:val="auto"/>
          <w:szCs w:val="22"/>
        </w:rPr>
      </w:pPr>
      <w:r>
        <w:rPr>
          <w:rFonts w:ascii="Arial" w:hAnsi="宋体" w:cs="Arial"/>
          <w:color w:val="auto"/>
          <w:szCs w:val="22"/>
        </w:rPr>
        <w:t>资信证明文件，包括但不限于（复印件均须加盖公章）：</w:t>
      </w:r>
      <w:r>
        <w:rPr>
          <w:rFonts w:hint="eastAsia" w:ascii="Arial" w:hAnsi="宋体" w:cs="Arial"/>
          <w:color w:val="auto"/>
          <w:szCs w:val="22"/>
        </w:rPr>
        <w:t xml:space="preserve">       </w:t>
      </w:r>
      <w:r>
        <w:rPr>
          <w:rFonts w:hint="eastAsia" w:ascii="Arial" w:hAnsi="Arial" w:cs="Arial"/>
          <w:color w:val="auto"/>
        </w:rPr>
        <w:t>附件</w:t>
      </w:r>
      <w:r>
        <w:rPr>
          <w:rFonts w:ascii="Arial" w:hAnsi="Arial" w:cs="Arial"/>
          <w:color w:val="auto"/>
        </w:rPr>
        <w:t>6</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投标人综合实力</w:t>
      </w:r>
      <w:r>
        <w:rPr>
          <w:rFonts w:hint="eastAsia" w:ascii="Arial" w:hAnsi="宋体" w:cs="Arial"/>
          <w:color w:val="auto"/>
        </w:rPr>
        <w:t xml:space="preserve"> </w:t>
      </w:r>
      <w:r>
        <w:rPr>
          <w:rFonts w:hint="eastAsia" w:ascii="Arial" w:hAnsi="宋体" w:cs="Arial"/>
          <w:color w:val="auto"/>
          <w:szCs w:val="22"/>
        </w:rPr>
        <w:t xml:space="preserve">    </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投标人业绩</w:t>
      </w:r>
      <w:r>
        <w:rPr>
          <w:rFonts w:hint="eastAsia" w:ascii="Arial" w:hAnsi="宋体" w:cs="Arial"/>
          <w:color w:val="auto"/>
          <w:szCs w:val="22"/>
        </w:rPr>
        <w:t>；</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项目服务人员情况</w:t>
      </w:r>
      <w:r>
        <w:rPr>
          <w:rFonts w:hint="eastAsia" w:ascii="Arial" w:hAnsi="宋体" w:cs="Arial"/>
          <w:color w:val="auto"/>
          <w:szCs w:val="22"/>
        </w:rPr>
        <w:t xml:space="preserve">  </w:t>
      </w:r>
      <w:r>
        <w:rPr>
          <w:rFonts w:hint="eastAsia" w:ascii="Arial" w:hAnsi="宋体" w:cs="Arial"/>
          <w:color w:val="auto"/>
          <w:szCs w:val="22"/>
          <w:lang w:eastAsia="zh-CN"/>
        </w:rPr>
        <w:t>；</w:t>
      </w:r>
      <w:r>
        <w:rPr>
          <w:rFonts w:hint="eastAsia" w:ascii="Arial" w:hAnsi="宋体" w:cs="Arial"/>
          <w:color w:val="auto"/>
          <w:szCs w:val="22"/>
        </w:rPr>
        <w:t xml:space="preserve">                                                   </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投入本项目专业设备及工具</w:t>
      </w:r>
      <w:r>
        <w:rPr>
          <w:rFonts w:hint="eastAsia" w:ascii="Arial" w:hAnsi="宋体" w:cs="Arial"/>
          <w:color w:val="auto"/>
          <w:szCs w:val="22"/>
        </w:rPr>
        <w:t>；</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项目实施方案及合理化建议</w:t>
      </w:r>
      <w:r>
        <w:rPr>
          <w:rFonts w:hint="eastAsia" w:ascii="Arial" w:hAnsi="宋体" w:cs="Arial"/>
          <w:color w:val="auto"/>
          <w:szCs w:val="22"/>
        </w:rPr>
        <w:t>；</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服务网点及服务承诺</w:t>
      </w:r>
      <w:r>
        <w:rPr>
          <w:rFonts w:hint="eastAsia" w:ascii="Arial" w:hAnsi="宋体" w:cs="Arial"/>
          <w:color w:val="auto"/>
          <w:szCs w:val="22"/>
        </w:rPr>
        <w:t>；</w:t>
      </w:r>
      <w:r>
        <w:rPr>
          <w:rFonts w:hint="eastAsia" w:ascii="Arial" w:hAnsi="Arial" w:cs="Arial"/>
          <w:snapToGrid w:val="0"/>
          <w:color w:val="auto"/>
          <w:szCs w:val="21"/>
        </w:rPr>
        <w:t xml:space="preserve">                                    </w:t>
      </w:r>
    </w:p>
    <w:p>
      <w:pPr>
        <w:numPr>
          <w:ilvl w:val="0"/>
          <w:numId w:val="11"/>
        </w:numPr>
        <w:snapToGrid w:val="0"/>
        <w:spacing w:line="360" w:lineRule="exact"/>
        <w:rPr>
          <w:rFonts w:ascii="Arial" w:hAnsi="宋体" w:cs="Arial"/>
          <w:color w:val="auto"/>
          <w:szCs w:val="22"/>
        </w:rPr>
      </w:pPr>
      <w:r>
        <w:rPr>
          <w:rFonts w:ascii="Arial" w:hAnsi="宋体" w:cs="Arial"/>
          <w:color w:val="auto"/>
          <w:szCs w:val="22"/>
        </w:rPr>
        <w:t>招标文件要求提供的其他文件和资料及投标供应商认为需要提供的文件和资料</w:t>
      </w:r>
      <w:r>
        <w:rPr>
          <w:rFonts w:hint="eastAsia" w:ascii="Arial" w:hAnsi="宋体" w:cs="Arial"/>
          <w:color w:val="auto"/>
          <w:szCs w:val="22"/>
        </w:rPr>
        <w:t>。</w:t>
      </w:r>
    </w:p>
    <w:p>
      <w:pPr>
        <w:snapToGrid w:val="0"/>
        <w:spacing w:line="360" w:lineRule="auto"/>
        <w:ind w:left="961" w:hanging="961" w:hangingChars="399"/>
        <w:rPr>
          <w:rFonts w:ascii="Arial" w:hAnsi="Arial" w:cs="Arial"/>
          <w:b/>
        </w:rPr>
      </w:pPr>
      <w:r>
        <w:rPr>
          <w:rFonts w:ascii="Arial" w:hAnsi="Arial" w:cs="Arial"/>
          <w:b/>
          <w:sz w:val="24"/>
        </w:rPr>
        <w:t>14.</w:t>
      </w:r>
      <w:r>
        <w:rPr>
          <w:rFonts w:ascii="Arial" w:hAnsi="宋体" w:cs="Arial"/>
          <w:b/>
        </w:rPr>
        <w:t>投标文件格式填写说明</w:t>
      </w:r>
    </w:p>
    <w:p>
      <w:pPr>
        <w:numPr>
          <w:ilvl w:val="1"/>
          <w:numId w:val="0"/>
        </w:numPr>
        <w:tabs>
          <w:tab w:val="left" w:pos="592"/>
        </w:tabs>
        <w:snapToGrid w:val="0"/>
        <w:spacing w:line="360" w:lineRule="auto"/>
        <w:ind w:left="588" w:hanging="588" w:hangingChars="280"/>
        <w:rPr>
          <w:rFonts w:ascii="Arial" w:hAnsi="Arial" w:cs="Arial"/>
          <w:u w:val="wave"/>
        </w:rPr>
      </w:pPr>
      <w:r>
        <w:rPr>
          <w:rFonts w:ascii="Arial" w:hAnsi="Arial" w:cs="Arial"/>
        </w:rPr>
        <w:t>14.1</w:t>
      </w:r>
      <w:r>
        <w:rPr>
          <w:rFonts w:ascii="Arial" w:hAnsi="宋体" w:cs="Arial"/>
        </w:rPr>
        <w:t>投标供应商应在认真阅读招标文件所有内容的基础上，按照招标文件的要求编制完整的投标文件。投标书应按照招标文件中规定的统一格式填写，严格按照规定的顺序装订成册并编制目录，混乱的编排导致投标文件被误读或招标人查找不到有效文件是投标供应商的风险。招标文件对投标文件格式有要求的应按格式逐项填写内容，不准有空项；无相应内容可填的项应填写</w:t>
      </w:r>
      <w:r>
        <w:rPr>
          <w:rFonts w:ascii="Arial" w:hAnsi="Arial" w:cs="Arial"/>
        </w:rPr>
        <w:t>“</w:t>
      </w:r>
      <w:r>
        <w:rPr>
          <w:rFonts w:ascii="Arial" w:hAnsi="宋体" w:cs="Arial"/>
        </w:rPr>
        <w:t>无</w:t>
      </w:r>
      <w:r>
        <w:rPr>
          <w:rFonts w:ascii="Arial" w:hAnsi="Arial" w:cs="Arial"/>
        </w:rPr>
        <w:t>”</w:t>
      </w:r>
      <w:r>
        <w:rPr>
          <w:rFonts w:ascii="Arial" w:hAnsi="宋体" w:cs="Arial"/>
        </w:rPr>
        <w:t>、</w:t>
      </w:r>
      <w:r>
        <w:rPr>
          <w:rFonts w:ascii="Arial" w:hAnsi="Arial" w:cs="Arial"/>
        </w:rPr>
        <w:t>“</w:t>
      </w:r>
      <w:r>
        <w:rPr>
          <w:rFonts w:ascii="Arial" w:hAnsi="宋体" w:cs="Arial"/>
        </w:rPr>
        <w:t>未测试</w:t>
      </w:r>
      <w:r>
        <w:rPr>
          <w:rFonts w:ascii="Arial" w:hAnsi="Arial" w:cs="Arial"/>
        </w:rPr>
        <w:t>”</w:t>
      </w:r>
      <w:r>
        <w:rPr>
          <w:rFonts w:ascii="Arial" w:hAnsi="宋体" w:cs="Arial"/>
        </w:rPr>
        <w:t>、</w:t>
      </w:r>
      <w:r>
        <w:rPr>
          <w:rFonts w:ascii="Arial" w:hAnsi="Arial" w:cs="Arial"/>
        </w:rPr>
        <w:t>“</w:t>
      </w:r>
      <w:r>
        <w:rPr>
          <w:rFonts w:ascii="Arial" w:hAnsi="宋体" w:cs="Arial"/>
        </w:rPr>
        <w:t>没有相应指标</w:t>
      </w:r>
      <w:r>
        <w:rPr>
          <w:rFonts w:ascii="Arial" w:hAnsi="Arial" w:cs="Arial"/>
        </w:rPr>
        <w:t>”</w:t>
      </w:r>
      <w:r>
        <w:rPr>
          <w:rFonts w:ascii="Arial" w:hAnsi="宋体" w:cs="Arial"/>
        </w:rPr>
        <w:t>等明确的回答文字。</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14.2</w:t>
      </w:r>
      <w:r>
        <w:rPr>
          <w:rFonts w:ascii="Arial" w:hAnsi="宋体" w:cs="Arial"/>
        </w:rPr>
        <w:t>投标文件应装订成册，要求如下：</w:t>
      </w:r>
    </w:p>
    <w:p>
      <w:pPr>
        <w:snapToGrid w:val="0"/>
        <w:spacing w:line="360" w:lineRule="auto"/>
        <w:ind w:left="836" w:leftChars="257" w:hanging="296" w:hangingChars="141"/>
        <w:rPr>
          <w:rFonts w:ascii="Arial" w:hAnsi="Arial" w:cs="Arial"/>
        </w:rPr>
      </w:pPr>
      <w:r>
        <w:rPr>
          <w:rFonts w:ascii="Arial" w:hAnsi="宋体" w:cs="Arial"/>
        </w:rPr>
        <w:t>（</w:t>
      </w:r>
      <w:r>
        <w:rPr>
          <w:rFonts w:ascii="Arial" w:hAnsi="Arial" w:cs="Arial"/>
        </w:rPr>
        <w:t>1</w:t>
      </w:r>
      <w:r>
        <w:rPr>
          <w:rFonts w:ascii="Arial" w:hAnsi="宋体" w:cs="Arial"/>
        </w:rPr>
        <w:t>）</w:t>
      </w:r>
      <w:r>
        <w:rPr>
          <w:rFonts w:ascii="Arial" w:hAnsi="Arial" w:cs="Arial"/>
        </w:rPr>
        <w:t xml:space="preserve"> </w:t>
      </w:r>
      <w:r>
        <w:rPr>
          <w:rFonts w:ascii="Arial" w:hAnsi="宋体" w:cs="Arial"/>
        </w:rPr>
        <w:t>对本招标文件所要求信息的叙述尽量清晰简洁；</w:t>
      </w:r>
    </w:p>
    <w:p>
      <w:pPr>
        <w:snapToGrid w:val="0"/>
        <w:spacing w:line="360" w:lineRule="auto"/>
        <w:ind w:left="836" w:leftChars="257" w:hanging="296" w:hangingChars="141"/>
        <w:rPr>
          <w:rFonts w:ascii="Arial" w:hAnsi="Arial" w:cs="Arial"/>
        </w:rPr>
      </w:pPr>
      <w:r>
        <w:rPr>
          <w:rFonts w:ascii="Arial" w:hAnsi="宋体" w:cs="Arial"/>
        </w:rPr>
        <w:t>（</w:t>
      </w:r>
      <w:r>
        <w:rPr>
          <w:rFonts w:ascii="Arial" w:hAnsi="Arial" w:cs="Arial"/>
        </w:rPr>
        <w:t>2</w:t>
      </w:r>
      <w:r>
        <w:rPr>
          <w:rFonts w:ascii="Arial" w:hAnsi="宋体" w:cs="Arial"/>
        </w:rPr>
        <w:t>）</w:t>
      </w:r>
      <w:r>
        <w:rPr>
          <w:rFonts w:ascii="Arial" w:hAnsi="Arial" w:cs="Arial"/>
        </w:rPr>
        <w:t xml:space="preserve"> </w:t>
      </w:r>
      <w:r>
        <w:rPr>
          <w:rFonts w:ascii="Arial" w:hAnsi="宋体" w:cs="Arial"/>
        </w:rPr>
        <w:t>投标供应商应提交招标文件要求的所有资格文件。</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14.3</w:t>
      </w:r>
      <w:r>
        <w:rPr>
          <w:rFonts w:ascii="Arial" w:hAnsi="宋体" w:cs="Arial"/>
        </w:rPr>
        <w:t>投标供应商的投标在合同执行期间是固定不变的，不得以任何理由予以变更。投标不是固定的投标文件将予以</w:t>
      </w:r>
      <w:r>
        <w:rPr>
          <w:rFonts w:hint="eastAsia" w:ascii="Arial" w:hAnsi="宋体" w:cs="Arial"/>
        </w:rPr>
        <w:t>否决</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14.4</w:t>
      </w:r>
      <w:r>
        <w:rPr>
          <w:rFonts w:ascii="Arial" w:hAnsi="宋体" w:cs="Arial"/>
        </w:rPr>
        <w:t>投标供应商必须保证投标文件所提供的全部资料真实可靠，并接受招标人对其中任何资料进一步审查的要求。提供虚假证明的投标供应商将被取消供应商资格，并予以公告。</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14.5</w:t>
      </w:r>
      <w:r>
        <w:rPr>
          <w:rFonts w:ascii="Arial" w:hAnsi="宋体" w:cs="Arial"/>
        </w:rPr>
        <w:t>投标文件须对招标文件中的内容做出实质性和完整的响应（文中带</w:t>
      </w:r>
      <w:r>
        <w:rPr>
          <w:rFonts w:ascii="Arial" w:hAnsi="Arial" w:cs="Arial"/>
        </w:rPr>
        <w:t>“▲”</w:t>
      </w:r>
      <w:r>
        <w:rPr>
          <w:rFonts w:ascii="Arial" w:hAnsi="宋体" w:cs="Arial"/>
        </w:rPr>
        <w:t>标识），否则其投标将视作无效标。</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14.6</w:t>
      </w:r>
      <w:r>
        <w:rPr>
          <w:rFonts w:ascii="Arial" w:hAnsi="宋体" w:cs="Arial"/>
        </w:rPr>
        <w:t>投标文件的格式：投标供应商提交的投标文件应当使用招标文件所提供的投标文件全部格式（表格可以按同样格式扩展）。</w:t>
      </w:r>
    </w:p>
    <w:p>
      <w:pPr>
        <w:snapToGrid w:val="0"/>
        <w:spacing w:line="360" w:lineRule="auto"/>
        <w:ind w:left="961" w:hanging="961" w:hangingChars="399"/>
        <w:rPr>
          <w:rFonts w:ascii="Arial" w:hAnsi="Arial" w:cs="Arial"/>
          <w:b/>
          <w:bCs/>
        </w:rPr>
      </w:pPr>
      <w:r>
        <w:rPr>
          <w:rFonts w:ascii="Arial" w:hAnsi="Arial" w:cs="Arial"/>
          <w:b/>
          <w:bCs/>
          <w:sz w:val="24"/>
        </w:rPr>
        <w:t>15.</w:t>
      </w:r>
      <w:r>
        <w:rPr>
          <w:rFonts w:ascii="Arial" w:hAnsi="宋体" w:cs="Arial"/>
          <w:b/>
          <w:bCs/>
        </w:rPr>
        <w:t>投标供应商其他文件的编制及编目</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15.1</w:t>
      </w:r>
      <w:r>
        <w:rPr>
          <w:rFonts w:ascii="Arial" w:hAnsi="宋体" w:cs="Arial"/>
        </w:rPr>
        <w:t>投标供应商其他文件由投标供应商视需要自行编制。规格幅面（</w:t>
      </w:r>
      <w:r>
        <w:rPr>
          <w:rFonts w:ascii="Arial" w:hAnsi="Arial" w:cs="Arial"/>
        </w:rPr>
        <w:t>A4</w:t>
      </w:r>
      <w:r>
        <w:rPr>
          <w:rFonts w:ascii="Arial" w:hAnsi="宋体" w:cs="Arial"/>
        </w:rPr>
        <w:t>）应与正文一致，附于正文之后。</w:t>
      </w:r>
    </w:p>
    <w:p>
      <w:pPr>
        <w:snapToGrid w:val="0"/>
        <w:spacing w:line="360" w:lineRule="auto"/>
        <w:ind w:left="961" w:hanging="961" w:hangingChars="399"/>
        <w:rPr>
          <w:rFonts w:ascii="Arial" w:hAnsi="Arial" w:cs="Arial"/>
          <w:b/>
        </w:rPr>
      </w:pPr>
      <w:r>
        <w:rPr>
          <w:rFonts w:ascii="Arial" w:hAnsi="Arial" w:cs="Arial"/>
          <w:b/>
          <w:sz w:val="24"/>
        </w:rPr>
        <w:t>16.</w:t>
      </w:r>
      <w:r>
        <w:rPr>
          <w:rFonts w:ascii="Arial" w:hAnsi="宋体" w:cs="Arial"/>
          <w:b/>
        </w:rPr>
        <w:t>投标报价</w:t>
      </w:r>
    </w:p>
    <w:p>
      <w:pPr>
        <w:numPr>
          <w:ilvl w:val="1"/>
          <w:numId w:val="0"/>
        </w:numPr>
        <w:tabs>
          <w:tab w:val="left" w:pos="610"/>
        </w:tabs>
        <w:snapToGrid w:val="0"/>
        <w:spacing w:line="360" w:lineRule="auto"/>
        <w:ind w:left="588" w:hanging="588" w:hangingChars="280"/>
        <w:rPr>
          <w:rFonts w:ascii="宋体" w:hAnsi="宋体"/>
        </w:rPr>
      </w:pPr>
      <w:r>
        <w:rPr>
          <w:rFonts w:ascii="Arial" w:hAnsi="Arial"/>
        </w:rPr>
        <w:t>16.1</w:t>
      </w:r>
      <w:r>
        <w:rPr>
          <w:rFonts w:hint="eastAsia" w:ascii="Arial" w:hAnsi="宋体" w:cs="Arial"/>
        </w:rPr>
        <w:t>见本招标文件第三部分</w:t>
      </w:r>
      <w:r>
        <w:rPr>
          <w:rFonts w:hint="eastAsia" w:ascii="宋体" w:hAnsi="宋体"/>
          <w:szCs w:val="21"/>
        </w:rPr>
        <w:t>。</w:t>
      </w:r>
    </w:p>
    <w:p>
      <w:pPr>
        <w:snapToGrid w:val="0"/>
        <w:spacing w:line="360" w:lineRule="auto"/>
        <w:ind w:left="961" w:hanging="961" w:hangingChars="399"/>
        <w:rPr>
          <w:rFonts w:ascii="Arial" w:hAnsi="Arial" w:cs="Arial"/>
          <w:b/>
        </w:rPr>
      </w:pPr>
      <w:r>
        <w:rPr>
          <w:rFonts w:ascii="Arial" w:hAnsi="Arial" w:cs="Arial"/>
          <w:b/>
          <w:sz w:val="24"/>
        </w:rPr>
        <w:t>17.</w:t>
      </w:r>
      <w:r>
        <w:rPr>
          <w:rFonts w:ascii="Arial" w:hAnsi="宋体" w:cs="Arial"/>
          <w:b/>
        </w:rPr>
        <w:t>投标有效期</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17.1▲</w:t>
      </w:r>
      <w:r>
        <w:rPr>
          <w:rFonts w:ascii="Arial" w:hAnsi="宋体" w:cs="Arial"/>
          <w:u w:val="wave"/>
        </w:rPr>
        <w:t>投标文件应在</w:t>
      </w:r>
      <w:r>
        <w:rPr>
          <w:rFonts w:ascii="Arial" w:hAnsi="宋体" w:cs="Arial"/>
          <w:szCs w:val="21"/>
          <w:u w:val="wave"/>
        </w:rPr>
        <w:t>投标截止日后的</w:t>
      </w:r>
      <w:r>
        <w:rPr>
          <w:rFonts w:ascii="Arial" w:hAnsi="Arial" w:cs="Arial"/>
          <w:szCs w:val="21"/>
          <w:u w:val="wave"/>
        </w:rPr>
        <w:t>90</w:t>
      </w:r>
      <w:r>
        <w:rPr>
          <w:rFonts w:hint="eastAsia" w:ascii="Arial" w:hAnsi="宋体" w:cs="Arial"/>
          <w:szCs w:val="21"/>
          <w:u w:val="wave"/>
        </w:rPr>
        <w:t>日历天</w:t>
      </w:r>
      <w:r>
        <w:rPr>
          <w:rFonts w:ascii="Arial" w:hAnsi="宋体" w:cs="Arial"/>
          <w:szCs w:val="21"/>
          <w:u w:val="wave"/>
        </w:rPr>
        <w:t>保持有效</w:t>
      </w:r>
      <w:r>
        <w:rPr>
          <w:rFonts w:ascii="Arial" w:hAnsi="宋体" w:cs="Arial"/>
        </w:rPr>
        <w:t>。投标有效期比规定期限短的将有可能被视为非响应投标而予以无效标。</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17.2</w:t>
      </w:r>
      <w:r>
        <w:rPr>
          <w:rFonts w:ascii="Arial" w:hAnsi="宋体" w:cs="Arial"/>
        </w:rPr>
        <w:t>特殊情况下，招标人可于投标有效期满之前要求投标供应商同意延长有效期，要求与答复均应为书面形式。</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17.3</w:t>
      </w:r>
      <w:r>
        <w:rPr>
          <w:rFonts w:ascii="Arial" w:hAnsi="宋体" w:cs="Arial"/>
        </w:rPr>
        <w:t>对于同意该要求的投标供应商，既不要求也不允许其修改投标文件，但将要求其相应延长投标保证金的有效期，有关退还和不予退还投标保证金的规定在投标有效期的延长期内继续有效。</w:t>
      </w:r>
    </w:p>
    <w:p>
      <w:pPr>
        <w:snapToGrid w:val="0"/>
        <w:spacing w:line="360" w:lineRule="auto"/>
        <w:ind w:left="961" w:hanging="961" w:hangingChars="399"/>
        <w:rPr>
          <w:rFonts w:ascii="Arial" w:hAnsi="Arial" w:cs="Arial"/>
          <w:b/>
        </w:rPr>
      </w:pPr>
      <w:r>
        <w:rPr>
          <w:rFonts w:ascii="Arial" w:hAnsi="Arial" w:cs="Arial"/>
          <w:b/>
          <w:sz w:val="24"/>
        </w:rPr>
        <w:t>18.</w:t>
      </w:r>
      <w:r>
        <w:rPr>
          <w:rFonts w:ascii="Arial" w:hAnsi="宋体" w:cs="Arial"/>
          <w:b/>
        </w:rPr>
        <w:t>投标文件的式样和签署</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18.1</w:t>
      </w:r>
      <w:r>
        <w:rPr>
          <w:rFonts w:ascii="Arial" w:hAnsi="宋体" w:cs="Arial"/>
        </w:rPr>
        <w:t>投标供应商应准备</w:t>
      </w:r>
      <w:r>
        <w:rPr>
          <w:rFonts w:hint="eastAsia" w:ascii="Arial" w:hAnsi="宋体" w:cs="Arial"/>
        </w:rPr>
        <w:t>商务标和资信技术标各</w:t>
      </w:r>
      <w:r>
        <w:rPr>
          <w:rFonts w:ascii="Arial" w:hAnsi="宋体" w:cs="Arial"/>
          <w:b/>
          <w:bCs/>
          <w:u w:val="wave"/>
        </w:rPr>
        <w:t>一份正本、</w:t>
      </w:r>
      <w:r>
        <w:rPr>
          <w:rFonts w:hint="eastAsia" w:ascii="Arial" w:hAnsi="宋体" w:cs="Arial"/>
          <w:b/>
          <w:bCs/>
          <w:u w:val="wave"/>
        </w:rPr>
        <w:t>叁</w:t>
      </w:r>
      <w:r>
        <w:rPr>
          <w:rFonts w:ascii="Arial" w:hAnsi="宋体" w:cs="Arial"/>
          <w:b/>
          <w:bCs/>
          <w:u w:val="wave"/>
        </w:rPr>
        <w:t>份副本</w:t>
      </w:r>
      <w:r>
        <w:rPr>
          <w:rFonts w:hint="eastAsia" w:ascii="Arial" w:hAnsi="宋体" w:cs="Arial"/>
          <w:b/>
          <w:bCs/>
          <w:u w:val="wave"/>
        </w:rPr>
        <w:t>。</w:t>
      </w:r>
      <w:r>
        <w:rPr>
          <w:rFonts w:ascii="Arial" w:hAnsi="宋体" w:cs="Arial"/>
        </w:rPr>
        <w:t>其中正、副本投标文件的封面须清楚地标明</w:t>
      </w:r>
      <w:r>
        <w:rPr>
          <w:rFonts w:ascii="Arial" w:hAnsi="Arial" w:cs="Arial"/>
        </w:rPr>
        <w:t>“</w:t>
      </w:r>
      <w:r>
        <w:rPr>
          <w:rFonts w:ascii="Arial" w:hAnsi="宋体" w:cs="Arial"/>
        </w:rPr>
        <w:t>正本</w:t>
      </w:r>
      <w:r>
        <w:rPr>
          <w:rFonts w:ascii="Arial" w:hAnsi="Arial" w:cs="Arial"/>
        </w:rPr>
        <w:t>”</w:t>
      </w:r>
      <w:r>
        <w:rPr>
          <w:rFonts w:ascii="Arial" w:hAnsi="宋体" w:cs="Arial"/>
        </w:rPr>
        <w:t>或</w:t>
      </w:r>
      <w:r>
        <w:rPr>
          <w:rFonts w:ascii="Arial" w:hAnsi="Arial" w:cs="Arial"/>
        </w:rPr>
        <w:t>“</w:t>
      </w:r>
      <w:r>
        <w:rPr>
          <w:rFonts w:ascii="Arial" w:hAnsi="宋体" w:cs="Arial"/>
        </w:rPr>
        <w:t>副本</w:t>
      </w:r>
      <w:r>
        <w:rPr>
          <w:rFonts w:ascii="Arial" w:hAnsi="Arial" w:cs="Arial"/>
        </w:rPr>
        <w:t>”</w:t>
      </w:r>
      <w:r>
        <w:rPr>
          <w:rFonts w:ascii="Arial" w:hAnsi="宋体" w:cs="Arial"/>
        </w:rPr>
        <w:t>。一旦正本和副本不符，以正本为准。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18.2▲</w:t>
      </w:r>
      <w:r>
        <w:rPr>
          <w:rFonts w:ascii="Arial" w:hAnsi="宋体" w:cs="Arial"/>
          <w:szCs w:val="21"/>
        </w:rPr>
        <w:t>投标文件</w:t>
      </w:r>
      <w:r>
        <w:rPr>
          <w:rFonts w:ascii="Arial" w:hAnsi="Arial" w:cs="Arial"/>
          <w:szCs w:val="21"/>
        </w:rPr>
        <w:t>“</w:t>
      </w:r>
      <w:r>
        <w:rPr>
          <w:rFonts w:ascii="Arial" w:hAnsi="宋体" w:cs="Arial"/>
          <w:szCs w:val="21"/>
        </w:rPr>
        <w:t>正本</w:t>
      </w:r>
      <w:r>
        <w:rPr>
          <w:rFonts w:ascii="Arial" w:hAnsi="Arial" w:cs="Arial"/>
          <w:szCs w:val="21"/>
        </w:rPr>
        <w:t>”</w:t>
      </w:r>
      <w:r>
        <w:rPr>
          <w:rFonts w:ascii="Arial" w:hAnsi="宋体" w:cs="Arial"/>
          <w:szCs w:val="21"/>
        </w:rPr>
        <w:t>的内容是属于投标供应商自己制作的，并合成本装订（统一规格用</w:t>
      </w:r>
      <w:r>
        <w:rPr>
          <w:rFonts w:ascii="Arial" w:hAnsi="Arial" w:cs="Arial"/>
          <w:szCs w:val="21"/>
        </w:rPr>
        <w:t>A4</w:t>
      </w:r>
      <w:r>
        <w:rPr>
          <w:rFonts w:ascii="Arial" w:hAnsi="宋体" w:cs="Arial"/>
          <w:szCs w:val="21"/>
        </w:rPr>
        <w:t>纸）。均须用不褪色墨水书写或打印，并在</w:t>
      </w:r>
      <w:r>
        <w:rPr>
          <w:rFonts w:ascii="Arial" w:hAnsi="Arial" w:cs="Arial"/>
          <w:szCs w:val="21"/>
        </w:rPr>
        <w:t>“</w:t>
      </w:r>
      <w:r>
        <w:rPr>
          <w:rFonts w:ascii="Arial" w:hAnsi="宋体" w:cs="Arial"/>
          <w:szCs w:val="21"/>
        </w:rPr>
        <w:t>投标文件格式</w:t>
      </w:r>
      <w:r>
        <w:rPr>
          <w:rFonts w:ascii="Arial" w:hAnsi="Arial" w:cs="Arial"/>
          <w:szCs w:val="21"/>
        </w:rPr>
        <w:t>”</w:t>
      </w:r>
      <w:r>
        <w:rPr>
          <w:rFonts w:ascii="Arial" w:hAnsi="宋体" w:cs="Arial"/>
        </w:rPr>
        <w:t>规定处由投标供应商的法定代表人或其授权代表签字或盖章并加盖公章。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18.3▲</w:t>
      </w:r>
      <w:r>
        <w:rPr>
          <w:rFonts w:ascii="Arial" w:hAnsi="宋体" w:cs="Arial"/>
          <w:u w:val="wave"/>
        </w:rPr>
        <w:t>投标书中所涉及的公章必须是投标供应商全称的公章，不得使用投标专用章、合同章等类似图章代替。</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18.4</w:t>
      </w:r>
      <w:r>
        <w:rPr>
          <w:rFonts w:ascii="Arial" w:hAnsi="宋体" w:cs="Arial"/>
        </w:rPr>
        <w:t>投标文件副本可以用投标文件的正本复印而成。</w:t>
      </w:r>
    </w:p>
    <w:p>
      <w:pPr>
        <w:numPr>
          <w:ilvl w:val="1"/>
          <w:numId w:val="0"/>
        </w:numPr>
        <w:tabs>
          <w:tab w:val="left" w:pos="640"/>
        </w:tabs>
        <w:snapToGrid w:val="0"/>
        <w:spacing w:line="360" w:lineRule="auto"/>
        <w:ind w:left="580" w:hanging="579" w:hangingChars="276"/>
        <w:rPr>
          <w:rFonts w:ascii="Arial" w:hAnsi="Arial" w:cs="Arial"/>
        </w:rPr>
      </w:pPr>
      <w:r>
        <w:rPr>
          <w:rFonts w:ascii="Arial" w:hAnsi="Arial" w:cs="Arial"/>
        </w:rPr>
        <w:t>18.5▲</w:t>
      </w:r>
      <w:r>
        <w:rPr>
          <w:rFonts w:ascii="Arial" w:hAnsi="宋体" w:cs="Arial"/>
          <w:u w:val="wave"/>
        </w:rPr>
        <w:t>传真和电传的投标文件将被</w:t>
      </w:r>
      <w:r>
        <w:rPr>
          <w:rFonts w:hint="eastAsia" w:ascii="Arial" w:hAnsi="宋体" w:cs="Arial"/>
          <w:u w:val="wave"/>
        </w:rPr>
        <w:t>否决</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18.6</w:t>
      </w:r>
      <w:r>
        <w:rPr>
          <w:rFonts w:ascii="Arial" w:hAnsi="宋体" w:cs="Arial"/>
        </w:rPr>
        <w:t>投标文件不得涂改和增删，如有修改错漏处，必须由同一签署人签字或盖章。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18.7</w:t>
      </w:r>
      <w:r>
        <w:rPr>
          <w:rFonts w:ascii="Arial" w:hAnsi="宋体" w:cs="Arial"/>
        </w:rPr>
        <w:t>投标文件因字迹潦草或表达不清所引起的后果由投标供应商负责。</w:t>
      </w:r>
    </w:p>
    <w:p>
      <w:pPr>
        <w:snapToGrid w:val="0"/>
        <w:spacing w:line="360" w:lineRule="auto"/>
        <w:ind w:left="961" w:hanging="961" w:hangingChars="399"/>
        <w:rPr>
          <w:rFonts w:ascii="Arial" w:hAnsi="宋体" w:cs="Arial"/>
          <w:b/>
          <w:sz w:val="24"/>
        </w:rPr>
      </w:pPr>
      <w:bookmarkStart w:id="17" w:name="_Toc495977857"/>
      <w:r>
        <w:rPr>
          <w:rFonts w:ascii="Arial" w:hAnsi="Arial" w:cs="Arial"/>
          <w:b/>
          <w:sz w:val="24"/>
        </w:rPr>
        <w:t>19.</w:t>
      </w:r>
      <w:r>
        <w:rPr>
          <w:rFonts w:ascii="Arial" w:hAnsi="宋体" w:cs="Arial"/>
          <w:b/>
          <w:sz w:val="24"/>
        </w:rPr>
        <w:t>投标有效期</w:t>
      </w:r>
    </w:p>
    <w:p>
      <w:pPr>
        <w:snapToGrid w:val="0"/>
        <w:spacing w:line="360" w:lineRule="auto"/>
        <w:ind w:left="210" w:hanging="210" w:hangingChars="100"/>
        <w:rPr>
          <w:rFonts w:ascii="Arial" w:hAnsi="Arial" w:cs="Arial"/>
        </w:rPr>
      </w:pPr>
      <w:r>
        <w:rPr>
          <w:rFonts w:hint="eastAsia" w:ascii="Arial" w:hAnsi="宋体" w:cs="Arial"/>
        </w:rPr>
        <w:t>19.1</w:t>
      </w:r>
      <w:r>
        <w:rPr>
          <w:rFonts w:ascii="Arial" w:hAnsi="宋体" w:cs="Arial"/>
        </w:rPr>
        <w:t>提</w:t>
      </w:r>
      <w:r>
        <w:rPr>
          <w:rFonts w:ascii="宋体" w:hAnsi="宋体" w:cs="Arial Unicode MS"/>
        </w:rPr>
        <w:t>交投标文件截止日起90</w:t>
      </w:r>
      <w:r>
        <w:rPr>
          <w:rFonts w:hint="eastAsia" w:ascii="宋体" w:hAnsi="宋体" w:cs="Arial Unicode MS"/>
        </w:rPr>
        <w:t>日历天</w:t>
      </w:r>
      <w:r>
        <w:rPr>
          <w:rFonts w:ascii="宋体" w:hAnsi="宋体" w:cs="Arial Unicode MS"/>
        </w:rPr>
        <w:t>，</w:t>
      </w:r>
      <w:r>
        <w:rPr>
          <w:rFonts w:hint="eastAsia" w:ascii="宋体" w:hAnsi="宋体" w:cs="Arial Unicode MS"/>
        </w:rPr>
        <w:t>投标文件</w:t>
      </w:r>
      <w:r>
        <w:rPr>
          <w:rFonts w:ascii="宋体" w:hAnsi="宋体" w:cs="Arial Unicode MS"/>
        </w:rPr>
        <w:t>应保持有效。投标有效期比规定期限短的将被视为非响应投标而予以</w:t>
      </w:r>
      <w:r>
        <w:rPr>
          <w:rFonts w:hint="eastAsia" w:ascii="宋体" w:hAnsi="宋体" w:cs="Arial Unicode MS"/>
        </w:rPr>
        <w:t>否决</w:t>
      </w:r>
      <w:r>
        <w:rPr>
          <w:rFonts w:ascii="Arial" w:hAnsi="宋体" w:cs="Arial"/>
        </w:rPr>
        <w:t>。</w:t>
      </w:r>
    </w:p>
    <w:p>
      <w:pPr>
        <w:tabs>
          <w:tab w:val="left" w:pos="993"/>
        </w:tabs>
        <w:snapToGrid w:val="0"/>
        <w:spacing w:line="360" w:lineRule="auto"/>
        <w:rPr>
          <w:rFonts w:ascii="Arial" w:hAnsi="Arial" w:cs="Arial"/>
          <w:color w:val="0000FF"/>
        </w:rPr>
      </w:pPr>
      <w:r>
        <w:rPr>
          <w:rFonts w:hint="eastAsia" w:ascii="Arial" w:hAnsi="宋体" w:cs="Arial"/>
        </w:rPr>
        <w:t>19.2</w:t>
      </w:r>
      <w:r>
        <w:rPr>
          <w:rFonts w:ascii="Arial" w:hAnsi="宋体" w:cs="Arial"/>
        </w:rPr>
        <w:t>特</w:t>
      </w:r>
      <w:r>
        <w:rPr>
          <w:rFonts w:ascii="宋体" w:hAnsi="宋体" w:cs="Arial Unicode MS"/>
        </w:rPr>
        <w:t>殊情况下，招标人可于投标有效期满之前要求投标供应商同意延长有效期，要求与答复均应为书面形式。对于同意该要求的投标供应商，既不要求也不允许其修改投标文件</w:t>
      </w:r>
      <w:r>
        <w:rPr>
          <w:rFonts w:ascii="Arial" w:hAnsi="宋体" w:cs="Arial"/>
        </w:rPr>
        <w:t>。</w:t>
      </w:r>
    </w:p>
    <w:p>
      <w:pPr>
        <w:tabs>
          <w:tab w:val="left" w:pos="592"/>
          <w:tab w:val="left" w:pos="777"/>
        </w:tabs>
        <w:snapToGrid w:val="0"/>
        <w:spacing w:line="360" w:lineRule="auto"/>
        <w:ind w:left="-588" w:leftChars="-280" w:firstLine="632" w:firstLineChars="300"/>
        <w:rPr>
          <w:rFonts w:ascii="Arial" w:hAnsi="Arial" w:cs="Arial"/>
        </w:rPr>
      </w:pPr>
      <w:r>
        <w:rPr>
          <w:rFonts w:hint="eastAsia" w:ascii="Arial" w:hAnsi="宋体" w:cs="Arial"/>
          <w:b/>
          <w:szCs w:val="21"/>
        </w:rPr>
        <w:t>20.</w:t>
      </w:r>
      <w:r>
        <w:rPr>
          <w:rFonts w:ascii="Arial" w:hAnsi="宋体" w:cs="Arial"/>
          <w:b/>
          <w:szCs w:val="21"/>
        </w:rPr>
        <w:t>有下列情形之一的，属于串通投标行为：</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）招标人（或招标代理机构）在规定的提交投标文件截止时间后，协助投标供应商撤换投标文件、更改报价的；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）招标人（或招标代理机构）向利害关系人泄露投标供应商名称、数量或联系方式等应当保密事项的；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3</w:t>
      </w:r>
      <w:r>
        <w:rPr>
          <w:rFonts w:ascii="Arial" w:hAnsi="宋体" w:cs="Arial"/>
          <w:szCs w:val="21"/>
        </w:rPr>
        <w:t>）投标供应商之间相互约定中标者或约定给予未中标的投标供应商费用补偿的；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4</w:t>
      </w:r>
      <w:r>
        <w:rPr>
          <w:rFonts w:ascii="Arial" w:hAnsi="宋体" w:cs="Arial"/>
          <w:szCs w:val="21"/>
        </w:rPr>
        <w:t>）投标供应商之间为谋取中标或者排斥特定投标供应商而联合采取行动的；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5</w:t>
      </w:r>
      <w:r>
        <w:rPr>
          <w:rFonts w:ascii="Arial" w:hAnsi="宋体" w:cs="Arial"/>
          <w:szCs w:val="21"/>
        </w:rPr>
        <w:t>）投标供应商之间相互约定抬高或者压低投标报价；</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6</w:t>
      </w:r>
      <w:r>
        <w:rPr>
          <w:rFonts w:ascii="Arial" w:hAnsi="宋体" w:cs="Arial"/>
          <w:szCs w:val="21"/>
        </w:rPr>
        <w:t>）不同投标供应商的投标报价相近和各分项报价、综合单价分析表内容存在异常一致或呈规律性变化，且不能合理解释的；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7</w:t>
      </w:r>
      <w:r>
        <w:rPr>
          <w:rFonts w:ascii="Arial" w:hAnsi="宋体" w:cs="Arial"/>
          <w:szCs w:val="21"/>
        </w:rPr>
        <w:t>）不同投标供应商的投标文件载明的关键岗位管理人员出现同一人的；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8</w:t>
      </w:r>
      <w:r>
        <w:rPr>
          <w:rFonts w:ascii="Arial" w:hAnsi="宋体" w:cs="Arial"/>
          <w:szCs w:val="21"/>
        </w:rPr>
        <w:t>）不同投标供应商的投标文件相互混装的；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9</w:t>
      </w:r>
      <w:r>
        <w:rPr>
          <w:rFonts w:ascii="Arial" w:hAnsi="宋体" w:cs="Arial"/>
          <w:szCs w:val="21"/>
        </w:rPr>
        <w:t>）不同投标供应商的法定代表人、授权代表、关键岗位管理人员在同一个单位缴纳社会保险的；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10</w:t>
      </w:r>
      <w:r>
        <w:rPr>
          <w:rFonts w:ascii="Arial" w:hAnsi="宋体" w:cs="Arial"/>
          <w:szCs w:val="21"/>
        </w:rPr>
        <w:t>）不同投标供应商使用同一人或者同一单位的资金交纳投标保证金的；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11</w:t>
      </w:r>
      <w:r>
        <w:rPr>
          <w:rFonts w:ascii="Arial" w:hAnsi="宋体" w:cs="Arial"/>
          <w:szCs w:val="21"/>
        </w:rPr>
        <w:t>）不同投标供应商委托同一人或者同一单位办理投标事宜、编制投标文件或提供投标咨询服务的；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12</w:t>
      </w:r>
      <w:r>
        <w:rPr>
          <w:rFonts w:ascii="Arial" w:hAnsi="宋体" w:cs="Arial"/>
          <w:szCs w:val="21"/>
        </w:rPr>
        <w:t>）不同投标供应商与同一投标供应商联合投标的；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13</w:t>
      </w:r>
      <w:r>
        <w:rPr>
          <w:rFonts w:ascii="Arial" w:hAnsi="宋体" w:cs="Arial"/>
          <w:szCs w:val="21"/>
        </w:rPr>
        <w:t>）不同投标供应商的投标文件存在存在异常一致或呈规律性变化的；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14</w:t>
      </w:r>
      <w:r>
        <w:rPr>
          <w:rFonts w:ascii="Arial" w:hAnsi="宋体" w:cs="Arial"/>
          <w:szCs w:val="21"/>
        </w:rPr>
        <w:t>）不同投标供应商的投标文件由同一电脑编制，或投标报价用同一预算编制软件密码锁制作，或出自同一电子文档的；</w:t>
      </w:r>
    </w:p>
    <w:p>
      <w:pPr>
        <w:tabs>
          <w:tab w:val="left" w:pos="592"/>
          <w:tab w:val="left" w:pos="777"/>
        </w:tabs>
        <w:snapToGrid w:val="0"/>
        <w:spacing w:line="360" w:lineRule="auto"/>
        <w:ind w:firstLine="420" w:firstLineChars="200"/>
        <w:rPr>
          <w:rFonts w:ascii="Arial" w:hAnsi="宋体" w:cs="Arial"/>
          <w:b/>
          <w:szCs w:val="21"/>
        </w:rPr>
      </w:pPr>
      <w:r>
        <w:rPr>
          <w:rFonts w:ascii="Arial" w:hAnsi="宋体" w:cs="Arial"/>
          <w:szCs w:val="21"/>
        </w:rPr>
        <w:t>（</w:t>
      </w:r>
      <w:r>
        <w:rPr>
          <w:rFonts w:ascii="Arial" w:hAnsi="Arial" w:cs="Arial"/>
          <w:szCs w:val="21"/>
        </w:rPr>
        <w:t>15</w:t>
      </w:r>
      <w:r>
        <w:rPr>
          <w:rFonts w:ascii="Arial" w:hAnsi="宋体" w:cs="Arial"/>
          <w:szCs w:val="21"/>
        </w:rPr>
        <w:t>）法律、法规或规章规定的其他串通投标行为。</w:t>
      </w:r>
    </w:p>
    <w:p>
      <w:pPr>
        <w:tabs>
          <w:tab w:val="left" w:pos="592"/>
          <w:tab w:val="left" w:pos="777"/>
        </w:tabs>
        <w:snapToGrid w:val="0"/>
        <w:spacing w:line="360" w:lineRule="auto"/>
        <w:ind w:firstLine="211" w:firstLineChars="100"/>
        <w:rPr>
          <w:rFonts w:ascii="Arial" w:hAnsi="宋体" w:cs="Arial"/>
          <w:b/>
          <w:szCs w:val="21"/>
        </w:rPr>
      </w:pPr>
      <w:r>
        <w:rPr>
          <w:rFonts w:hint="eastAsia" w:ascii="Arial" w:hAnsi="宋体" w:cs="Arial"/>
          <w:b/>
          <w:szCs w:val="21"/>
        </w:rPr>
        <w:t>20.1</w:t>
      </w:r>
      <w:r>
        <w:rPr>
          <w:rFonts w:ascii="Arial" w:hAnsi="宋体" w:cs="Arial"/>
          <w:b/>
          <w:szCs w:val="21"/>
        </w:rPr>
        <w:t xml:space="preserve"> 有下列情形之一的，属于以他人名义投标的行为，认定为“挂靠”行为：</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）投标保证金不是从投标供应商基本账户转出的；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）通过转让或者租借等方式从其他单位获取资格或者资质证书投标的；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3</w:t>
      </w:r>
      <w:r>
        <w:rPr>
          <w:rFonts w:ascii="Arial" w:hAnsi="宋体" w:cs="Arial"/>
          <w:szCs w:val="21"/>
        </w:rPr>
        <w:t>）由其他单位或者其他单位负责人在自己编制的投标文件上加盖印章或者签字的；</w:t>
      </w:r>
    </w:p>
    <w:p>
      <w:pPr>
        <w:autoSpaceDE w:val="0"/>
        <w:autoSpaceDN w:val="0"/>
        <w:adjustRightInd w:val="0"/>
        <w:spacing w:line="360" w:lineRule="auto"/>
        <w:ind w:firstLine="420" w:firstLineChars="200"/>
        <w:jc w:val="left"/>
        <w:rPr>
          <w:rFonts w:ascii="Arial" w:hAnsi="Arial" w:cs="Arial"/>
          <w:color w:val="0000FF"/>
          <w:szCs w:val="21"/>
        </w:rPr>
      </w:pPr>
      <w:r>
        <w:rPr>
          <w:rFonts w:ascii="Arial" w:hAnsi="宋体" w:cs="Arial"/>
          <w:szCs w:val="21"/>
        </w:rPr>
        <w:t>（</w:t>
      </w:r>
      <w:r>
        <w:rPr>
          <w:rFonts w:ascii="Arial" w:hAnsi="Arial" w:cs="Arial"/>
          <w:szCs w:val="21"/>
        </w:rPr>
        <w:t>4</w:t>
      </w:r>
      <w:r>
        <w:rPr>
          <w:rFonts w:ascii="Arial" w:hAnsi="宋体" w:cs="Arial"/>
          <w:szCs w:val="21"/>
        </w:rPr>
        <w:t>）法律法规规章规定的以他人名义投标的其他行为。</w:t>
      </w:r>
    </w:p>
    <w:p>
      <w:pPr>
        <w:spacing w:line="360" w:lineRule="auto"/>
        <w:jc w:val="center"/>
        <w:outlineLvl w:val="1"/>
        <w:rPr>
          <w:rFonts w:ascii="Arial" w:hAnsi="宋体" w:cs="Arial"/>
          <w:b/>
          <w:bCs/>
          <w:sz w:val="28"/>
        </w:rPr>
      </w:pPr>
    </w:p>
    <w:p>
      <w:pPr>
        <w:spacing w:line="360" w:lineRule="auto"/>
        <w:jc w:val="center"/>
        <w:outlineLvl w:val="1"/>
        <w:rPr>
          <w:rFonts w:ascii="Arial" w:hAnsi="宋体" w:cs="Arial"/>
          <w:b/>
          <w:bCs/>
          <w:sz w:val="28"/>
        </w:rPr>
      </w:pPr>
      <w:bookmarkStart w:id="18" w:name="_Toc21689"/>
      <w:r>
        <w:rPr>
          <w:rFonts w:ascii="Arial" w:hAnsi="宋体" w:cs="Arial"/>
          <w:b/>
          <w:bCs/>
          <w:sz w:val="28"/>
        </w:rPr>
        <w:t>（</w:t>
      </w:r>
      <w:r>
        <w:rPr>
          <w:rFonts w:hint="eastAsia" w:ascii="Arial" w:hAnsi="宋体" w:cs="Arial"/>
          <w:b/>
          <w:bCs/>
          <w:sz w:val="28"/>
        </w:rPr>
        <w:t>五</w:t>
      </w:r>
      <w:r>
        <w:rPr>
          <w:rFonts w:ascii="Arial" w:hAnsi="宋体" w:cs="Arial"/>
          <w:b/>
          <w:bCs/>
          <w:sz w:val="28"/>
        </w:rPr>
        <w:t>）投标文件的递交</w:t>
      </w:r>
      <w:bookmarkEnd w:id="17"/>
      <w:bookmarkEnd w:id="18"/>
    </w:p>
    <w:p>
      <w:pPr>
        <w:snapToGrid w:val="0"/>
        <w:spacing w:line="360" w:lineRule="auto"/>
        <w:ind w:left="-838" w:leftChars="-399" w:firstLine="843" w:firstLineChars="400"/>
        <w:rPr>
          <w:rFonts w:ascii="Arial" w:hAnsi="Arial" w:cs="Arial"/>
        </w:rPr>
      </w:pPr>
      <w:r>
        <w:rPr>
          <w:rFonts w:hint="eastAsia" w:ascii="Arial" w:hAnsi="宋体" w:cs="Arial"/>
          <w:b/>
        </w:rPr>
        <w:t>21.</w:t>
      </w:r>
      <w:r>
        <w:rPr>
          <w:rFonts w:ascii="Arial" w:hAnsi="宋体" w:cs="Arial"/>
          <w:b/>
        </w:rPr>
        <w:t>投标文件的密封和标记</w:t>
      </w:r>
    </w:p>
    <w:p>
      <w:pPr>
        <w:tabs>
          <w:tab w:val="left" w:pos="592"/>
        </w:tabs>
        <w:snapToGrid w:val="0"/>
        <w:spacing w:line="360" w:lineRule="auto"/>
        <w:ind w:left="46" w:leftChars="22"/>
        <w:rPr>
          <w:rFonts w:ascii="Arial" w:hAnsi="Arial" w:cs="Arial"/>
        </w:rPr>
      </w:pPr>
      <w:r>
        <w:rPr>
          <w:rFonts w:hint="eastAsia" w:ascii="Arial" w:hAnsi="宋体" w:cs="Arial"/>
          <w:b/>
        </w:rPr>
        <w:t>21.1供应商在投标文件递交截止时间之前将生成的电子加密投标文件上传至国企采购乐采云平台，供应商未按要求提交的电子加密投标文件，国企采购乐采云平台将予以拒收。</w:t>
      </w:r>
    </w:p>
    <w:p>
      <w:pPr>
        <w:widowControl/>
        <w:snapToGrid w:val="0"/>
        <w:spacing w:line="360" w:lineRule="auto"/>
        <w:rPr>
          <w:rFonts w:ascii="Arial" w:hAnsi="Arial" w:cs="Arial"/>
          <w:u w:val="wave"/>
        </w:rPr>
      </w:pPr>
      <w:r>
        <w:rPr>
          <w:rFonts w:hint="eastAsia" w:ascii="Arial" w:hAnsi="宋体" w:cs="Arial"/>
        </w:rPr>
        <w:t>21.2</w:t>
      </w:r>
      <w:r>
        <w:rPr>
          <w:rFonts w:hint="eastAsia" w:ascii="宋体" w:hAnsi="宋体" w:cs="宋体"/>
          <w:bCs/>
          <w:szCs w:val="21"/>
          <w:lang w:bidi="ar"/>
        </w:rPr>
        <w:t>建议供应商在投标文件递交截止时间之前将备份投标文件以电子邮件方式提交至采购代理机构指定邮箱，邮件标题注明项目名称及供应商名称。提交的备份投标文件需打包压缩并加密，加密密码由供应商自行保管。如供应商多次提交文件，以采购代理机构指定邮箱收到的最近时间（投标文件递交截止时间之前）的备份投标文件为准。</w:t>
      </w:r>
      <w:r>
        <w:rPr>
          <w:rFonts w:hint="eastAsia" w:ascii="宋体" w:hAnsi="宋体" w:cs="宋体"/>
          <w:b/>
          <w:szCs w:val="21"/>
          <w:lang w:bidi="ar"/>
        </w:rPr>
        <w:t>供应商未在投标文件递交截止时间之前提交备份投标文件的，视为无效备份投标文件。</w:t>
      </w:r>
    </w:p>
    <w:p>
      <w:pPr>
        <w:tabs>
          <w:tab w:val="left" w:pos="592"/>
        </w:tabs>
        <w:snapToGrid w:val="0"/>
        <w:spacing w:line="360" w:lineRule="auto"/>
        <w:ind w:left="-588" w:leftChars="-280" w:firstLine="630" w:firstLineChars="300"/>
        <w:rPr>
          <w:rFonts w:ascii="Arial" w:hAnsi="Arial" w:eastAsia="新宋体" w:cs="Arial"/>
        </w:rPr>
      </w:pPr>
      <w:r>
        <w:rPr>
          <w:rFonts w:hint="eastAsia" w:ascii="Arial" w:hAnsi="宋体" w:cs="Arial"/>
        </w:rPr>
        <w:t>21.3</w:t>
      </w:r>
      <w:r>
        <w:rPr>
          <w:rFonts w:ascii="新宋体" w:hAnsi="新宋体" w:eastAsia="新宋体" w:cs="新宋体"/>
          <w:bCs/>
          <w:kern w:val="0"/>
          <w:szCs w:val="21"/>
        </w:rPr>
        <w:t>投标文件递交截止时间后，投标供应商不得撤回、修改</w:t>
      </w:r>
      <w:r>
        <w:rPr>
          <w:rFonts w:hint="eastAsia" w:ascii="新宋体" w:hAnsi="新宋体" w:eastAsia="新宋体" w:cs="新宋体"/>
          <w:bCs/>
          <w:kern w:val="0"/>
          <w:szCs w:val="21"/>
        </w:rPr>
        <w:t>投标文件。</w:t>
      </w:r>
    </w:p>
    <w:p>
      <w:pPr>
        <w:snapToGrid w:val="0"/>
        <w:spacing w:line="360" w:lineRule="auto"/>
        <w:ind w:left="-838" w:leftChars="-399" w:firstLine="843" w:firstLineChars="400"/>
        <w:rPr>
          <w:rFonts w:ascii="Arial" w:hAnsi="Arial" w:cs="Arial"/>
          <w:b/>
        </w:rPr>
      </w:pPr>
      <w:r>
        <w:rPr>
          <w:rFonts w:hint="eastAsia" w:ascii="Arial" w:hAnsi="宋体" w:cs="Arial"/>
          <w:b/>
        </w:rPr>
        <w:t>22.</w:t>
      </w:r>
      <w:r>
        <w:rPr>
          <w:rFonts w:ascii="Arial" w:hAnsi="宋体" w:cs="Arial"/>
          <w:b/>
        </w:rPr>
        <w:t>投标截止时间</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22.1</w:t>
      </w:r>
      <w:r>
        <w:rPr>
          <w:rFonts w:ascii="Arial" w:hAnsi="宋体" w:cs="Arial"/>
        </w:rPr>
        <w:t>本次招标的投标截止时间及投标文件递交截止时间：见本招标文件</w:t>
      </w:r>
      <w:r>
        <w:rPr>
          <w:rFonts w:ascii="Arial" w:hAnsi="Arial" w:cs="Arial"/>
        </w:rPr>
        <w:t>“</w:t>
      </w:r>
      <w:r>
        <w:rPr>
          <w:rFonts w:hint="eastAsia" w:ascii="Arial" w:hAnsi="宋体" w:cs="Arial"/>
          <w:kern w:val="28"/>
        </w:rPr>
        <w:t>招标公告</w:t>
      </w:r>
      <w:r>
        <w:rPr>
          <w:rFonts w:ascii="Arial" w:hAnsi="Arial" w:cs="Arial"/>
          <w:kern w:val="28"/>
        </w:rPr>
        <w:t>”</w:t>
      </w:r>
      <w:r>
        <w:rPr>
          <w:rFonts w:ascii="Arial" w:hAnsi="宋体" w:cs="Arial"/>
        </w:rPr>
        <w:t>。</w:t>
      </w:r>
    </w:p>
    <w:p>
      <w:pPr>
        <w:tabs>
          <w:tab w:val="left" w:pos="592"/>
        </w:tabs>
        <w:snapToGrid w:val="0"/>
        <w:spacing w:line="360" w:lineRule="auto"/>
        <w:ind w:left="-588" w:leftChars="-280" w:firstLine="630" w:firstLineChars="300"/>
        <w:rPr>
          <w:rFonts w:ascii="Arial" w:hAnsi="Arial" w:cs="Arial"/>
          <w:b/>
        </w:rPr>
      </w:pPr>
      <w:r>
        <w:rPr>
          <w:rFonts w:hint="eastAsia" w:ascii="Arial" w:hAnsi="宋体" w:cs="Arial"/>
        </w:rPr>
        <w:t>22.2</w:t>
      </w:r>
      <w:r>
        <w:rPr>
          <w:rFonts w:ascii="Arial" w:hAnsi="宋体" w:cs="Arial"/>
        </w:rPr>
        <w:t>在推迟了投标截止时间的情况下，招标单位和投标供应商受投标截止时间制约的所有权利和义务均应延长至新的截止时间。</w:t>
      </w:r>
    </w:p>
    <w:p>
      <w:pPr>
        <w:snapToGrid w:val="0"/>
        <w:spacing w:line="360" w:lineRule="auto"/>
        <w:ind w:left="-838" w:leftChars="-399" w:firstLine="843" w:firstLineChars="400"/>
        <w:rPr>
          <w:rFonts w:ascii="Arial" w:hAnsi="Arial" w:cs="Arial"/>
          <w:b/>
        </w:rPr>
      </w:pPr>
      <w:r>
        <w:rPr>
          <w:rFonts w:hint="eastAsia" w:ascii="Arial" w:hAnsi="宋体" w:cs="Arial"/>
          <w:b/>
        </w:rPr>
        <w:t>23.</w:t>
      </w:r>
      <w:r>
        <w:rPr>
          <w:rFonts w:ascii="Arial" w:hAnsi="宋体" w:cs="Arial"/>
          <w:b/>
        </w:rPr>
        <w:t>投标文件有下列情形之一的，招标人不予受理：</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23.1</w:t>
      </w:r>
      <w:r>
        <w:rPr>
          <w:rFonts w:ascii="Arial" w:hAnsi="宋体" w:cs="Arial"/>
        </w:rPr>
        <w:t>逾期送达的或者未送达指定地点的；</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23.2</w:t>
      </w:r>
      <w:r>
        <w:rPr>
          <w:rFonts w:ascii="Arial" w:hAnsi="宋体" w:cs="Arial"/>
        </w:rPr>
        <w:t>未按招标文件要求密封的。</w:t>
      </w:r>
    </w:p>
    <w:p>
      <w:pPr>
        <w:snapToGrid w:val="0"/>
        <w:spacing w:line="360" w:lineRule="auto"/>
        <w:ind w:left="-838" w:leftChars="-399" w:firstLine="843" w:firstLineChars="400"/>
        <w:rPr>
          <w:rFonts w:ascii="Arial" w:hAnsi="Arial" w:cs="Arial"/>
          <w:b/>
        </w:rPr>
      </w:pPr>
      <w:r>
        <w:rPr>
          <w:rFonts w:hint="eastAsia" w:ascii="Arial" w:hAnsi="宋体" w:cs="Arial"/>
          <w:b/>
        </w:rPr>
        <w:t>24.</w:t>
      </w:r>
      <w:r>
        <w:rPr>
          <w:rFonts w:ascii="Arial" w:hAnsi="宋体" w:cs="Arial"/>
          <w:b/>
        </w:rPr>
        <w:t>投标文件的补充、修改与撤回</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24.1</w:t>
      </w:r>
      <w:r>
        <w:rPr>
          <w:rFonts w:ascii="Arial" w:hAnsi="宋体" w:cs="Arial"/>
        </w:rPr>
        <w:t>投标供应商在递交投标文件后，可以补充、修改或撤回其投标文件，但招标人必须在规定的投标截止时间之前，收到修改包括替代或撤回的书面通知。该通知须有经正式授权的投标供应商代表签字。</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24.2</w:t>
      </w:r>
      <w:r>
        <w:rPr>
          <w:rFonts w:ascii="Arial" w:hAnsi="宋体" w:cs="Arial"/>
        </w:rPr>
        <w:t>投标供应商对投标文件补充、修改的书面材料或撤销的通知应按规定进行编写、密封、标注和递送，并注明</w:t>
      </w:r>
      <w:r>
        <w:rPr>
          <w:rFonts w:ascii="Arial" w:hAnsi="Arial" w:cs="Arial"/>
        </w:rPr>
        <w:t>“</w:t>
      </w:r>
      <w:r>
        <w:rPr>
          <w:rFonts w:ascii="Arial" w:hAnsi="宋体" w:cs="Arial"/>
        </w:rPr>
        <w:t>补充</w:t>
      </w:r>
      <w:r>
        <w:rPr>
          <w:rFonts w:ascii="Arial" w:hAnsi="Arial" w:cs="Arial"/>
        </w:rPr>
        <w:t>/</w:t>
      </w:r>
      <w:r>
        <w:rPr>
          <w:rFonts w:ascii="Arial" w:hAnsi="宋体" w:cs="Arial"/>
        </w:rPr>
        <w:t>修改投标文件</w:t>
      </w:r>
      <w:r>
        <w:rPr>
          <w:rFonts w:ascii="Arial" w:hAnsi="Arial" w:cs="Arial"/>
        </w:rPr>
        <w:t>”</w:t>
      </w:r>
      <w:r>
        <w:rPr>
          <w:rFonts w:ascii="Arial" w:hAnsi="宋体" w:cs="Arial"/>
        </w:rPr>
        <w:t>或</w:t>
      </w:r>
      <w:r>
        <w:rPr>
          <w:rFonts w:ascii="Arial" w:hAnsi="Arial" w:cs="Arial"/>
        </w:rPr>
        <w:t>“</w:t>
      </w:r>
      <w:r>
        <w:rPr>
          <w:rFonts w:ascii="Arial" w:hAnsi="宋体" w:cs="Arial"/>
        </w:rPr>
        <w:t>撤销投标</w:t>
      </w:r>
      <w:r>
        <w:rPr>
          <w:rFonts w:ascii="Arial" w:hAnsi="Arial" w:cs="Arial"/>
        </w:rPr>
        <w:t>”</w:t>
      </w:r>
      <w:r>
        <w:rPr>
          <w:rFonts w:ascii="Arial" w:hAnsi="宋体" w:cs="Arial"/>
        </w:rPr>
        <w:t>字样</w:t>
      </w:r>
    </w:p>
    <w:p>
      <w:pPr>
        <w:tabs>
          <w:tab w:val="left" w:pos="592"/>
        </w:tabs>
        <w:snapToGrid w:val="0"/>
        <w:spacing w:line="360" w:lineRule="auto"/>
        <w:ind w:left="-588" w:leftChars="-280" w:firstLine="630" w:firstLineChars="300"/>
        <w:rPr>
          <w:rFonts w:ascii="Arial" w:hAnsi="Arial" w:cs="Arial"/>
          <w:color w:val="0000FF"/>
        </w:rPr>
      </w:pPr>
      <w:r>
        <w:rPr>
          <w:rFonts w:hint="eastAsia" w:ascii="Arial" w:hAnsi="宋体" w:cs="Arial"/>
        </w:rPr>
        <w:t>24.3</w:t>
      </w:r>
      <w:r>
        <w:rPr>
          <w:rFonts w:ascii="Arial" w:hAnsi="宋体" w:cs="Arial"/>
        </w:rPr>
        <w:t>在投标截止时间之后至投标有效期之间的这段时间内，投标供应商不得对其投标文件做任何补充或修改，亦不得撤回其投标。</w:t>
      </w:r>
    </w:p>
    <w:p>
      <w:pPr>
        <w:spacing w:line="360" w:lineRule="auto"/>
        <w:jc w:val="center"/>
        <w:outlineLvl w:val="1"/>
        <w:rPr>
          <w:rFonts w:ascii="Arial" w:hAnsi="宋体" w:cs="Arial"/>
          <w:b/>
          <w:bCs/>
          <w:sz w:val="28"/>
        </w:rPr>
      </w:pPr>
      <w:bookmarkStart w:id="19" w:name="_Toc495977858"/>
      <w:bookmarkStart w:id="20" w:name="_Toc11103"/>
      <w:r>
        <w:rPr>
          <w:rFonts w:ascii="Arial" w:hAnsi="宋体" w:cs="Arial"/>
          <w:b/>
          <w:bCs/>
          <w:sz w:val="28"/>
        </w:rPr>
        <w:t>（</w:t>
      </w:r>
      <w:r>
        <w:rPr>
          <w:rFonts w:hint="eastAsia" w:ascii="Arial" w:hAnsi="宋体" w:cs="Arial"/>
          <w:b/>
          <w:bCs/>
          <w:sz w:val="28"/>
        </w:rPr>
        <w:t>六</w:t>
      </w:r>
      <w:r>
        <w:rPr>
          <w:rFonts w:ascii="Arial" w:hAnsi="宋体" w:cs="Arial"/>
          <w:b/>
          <w:bCs/>
          <w:sz w:val="28"/>
        </w:rPr>
        <w:t>）开标与评审</w:t>
      </w:r>
      <w:bookmarkEnd w:id="19"/>
      <w:bookmarkEnd w:id="20"/>
    </w:p>
    <w:p>
      <w:pPr>
        <w:spacing w:line="360" w:lineRule="auto"/>
        <w:ind w:left="-838" w:leftChars="-399" w:firstLine="843" w:firstLineChars="400"/>
        <w:rPr>
          <w:rFonts w:ascii="Arial" w:hAnsi="Arial" w:cs="Arial"/>
        </w:rPr>
      </w:pPr>
      <w:r>
        <w:rPr>
          <w:rFonts w:hint="eastAsia" w:ascii="Arial" w:hAnsi="宋体" w:cs="Arial"/>
          <w:b/>
        </w:rPr>
        <w:t>25.</w:t>
      </w:r>
      <w:r>
        <w:rPr>
          <w:rFonts w:ascii="Arial" w:hAnsi="宋体" w:cs="Arial"/>
          <w:b/>
        </w:rPr>
        <w:t>开标</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25.1</w:t>
      </w:r>
      <w:r>
        <w:rPr>
          <w:rFonts w:ascii="Arial" w:hAnsi="宋体" w:cs="Arial"/>
        </w:rPr>
        <w:t>开标时间和地点：见本招标文件</w:t>
      </w:r>
      <w:r>
        <w:rPr>
          <w:rFonts w:ascii="Arial" w:hAnsi="Arial" w:cs="Arial"/>
        </w:rPr>
        <w:t>“</w:t>
      </w:r>
      <w:r>
        <w:rPr>
          <w:rFonts w:hint="eastAsia" w:ascii="Arial" w:hAnsi="宋体" w:cs="Arial"/>
          <w:kern w:val="28"/>
        </w:rPr>
        <w:t>招标公告</w:t>
      </w:r>
      <w:r>
        <w:rPr>
          <w:rFonts w:ascii="Arial" w:hAnsi="Arial" w:cs="Arial"/>
          <w:kern w:val="28"/>
        </w:rPr>
        <w:t>”</w:t>
      </w:r>
      <w:r>
        <w:rPr>
          <w:rFonts w:ascii="Arial" w:hAnsi="宋体" w:cs="Arial"/>
        </w:rPr>
        <w:t>。</w:t>
      </w:r>
    </w:p>
    <w:p>
      <w:pPr>
        <w:tabs>
          <w:tab w:val="left" w:pos="592"/>
        </w:tabs>
        <w:snapToGrid w:val="0"/>
        <w:spacing w:line="360" w:lineRule="auto"/>
        <w:ind w:left="-588" w:leftChars="-280" w:firstLine="630" w:firstLineChars="300"/>
        <w:rPr>
          <w:rFonts w:ascii="Arial" w:hAnsi="Arial" w:cs="Arial"/>
          <w:color w:val="0000FF"/>
        </w:rPr>
      </w:pPr>
      <w:r>
        <w:rPr>
          <w:rFonts w:hint="eastAsia" w:ascii="Arial" w:hAnsi="Arial"/>
        </w:rPr>
        <w:t>25.2采</w:t>
      </w:r>
      <w:r>
        <w:rPr>
          <w:rFonts w:hint="eastAsia" w:ascii="宋体" w:hAnsi="宋体" w:cs="Arial Unicode MS"/>
        </w:rPr>
        <w:t>购代理机构组织和主持开标会，</w:t>
      </w:r>
      <w:r>
        <w:rPr>
          <w:rFonts w:hint="eastAsia" w:ascii="宋体" w:hAnsi="宋体" w:cs="宋体"/>
          <w:szCs w:val="21"/>
        </w:rPr>
        <w:t>所有供应商均应当准时在线参加。</w:t>
      </w:r>
      <w:r>
        <w:rPr>
          <w:rFonts w:hint="eastAsia" w:ascii="宋体" w:hAnsi="宋体" w:cs="宋体"/>
          <w:kern w:val="0"/>
          <w:szCs w:val="21"/>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left="-838" w:leftChars="-399" w:firstLine="630" w:firstLineChars="300"/>
        <w:rPr>
          <w:rFonts w:ascii="Arial" w:hAnsi="Arial" w:cs="Arial"/>
          <w:b/>
        </w:rPr>
      </w:pPr>
      <w:r>
        <w:rPr>
          <w:rFonts w:hint="eastAsia" w:ascii="宋体" w:hAnsi="宋体" w:cs="宋体"/>
          <w:bCs/>
          <w:szCs w:val="21"/>
        </w:rPr>
        <w:t>25.3开标后，</w:t>
      </w:r>
      <w:r>
        <w:rPr>
          <w:rFonts w:ascii="宋体" w:hAnsi="宋体" w:cs="宋体"/>
          <w:bCs/>
          <w:szCs w:val="21"/>
        </w:rPr>
        <w:t>采购代理机构</w:t>
      </w:r>
      <w:r>
        <w:rPr>
          <w:rFonts w:hint="eastAsia" w:ascii="宋体" w:hAnsi="宋体" w:cs="宋体"/>
          <w:bCs/>
          <w:szCs w:val="21"/>
        </w:rPr>
        <w:t>将在“国企采购乐采云平台”向各投标供应商发出“电子加密投标文件”的解密通知，各投标供应商代表应当在接到解密通知后30分钟内自行完成“电子加密投标文件”的在线解密</w:t>
      </w:r>
      <w:r>
        <w:rPr>
          <w:rFonts w:hint="eastAsia" w:ascii="宋体" w:hAnsi="宋体" w:cs="宋体"/>
          <w:szCs w:val="21"/>
          <w:lang w:bidi="ar"/>
        </w:rPr>
        <w:t>。</w:t>
      </w:r>
    </w:p>
    <w:p>
      <w:pPr>
        <w:spacing w:line="360" w:lineRule="auto"/>
        <w:rPr>
          <w:rFonts w:ascii="Arial" w:hAnsi="Arial" w:cs="Arial"/>
          <w:b/>
        </w:rPr>
      </w:pPr>
      <w:r>
        <w:rPr>
          <w:rFonts w:hint="eastAsia" w:ascii="Arial" w:hAnsi="宋体" w:cs="Arial"/>
          <w:b/>
        </w:rPr>
        <w:t>26.</w:t>
      </w:r>
      <w:r>
        <w:rPr>
          <w:rFonts w:ascii="Arial" w:hAnsi="宋体" w:cs="Arial"/>
          <w:b/>
        </w:rPr>
        <w:t>评标委员会</w:t>
      </w:r>
    </w:p>
    <w:p>
      <w:pPr>
        <w:tabs>
          <w:tab w:val="left" w:pos="592"/>
        </w:tabs>
        <w:snapToGrid w:val="0"/>
        <w:spacing w:line="360" w:lineRule="auto"/>
        <w:ind w:left="-588" w:leftChars="-280" w:firstLine="420" w:firstLineChars="200"/>
        <w:rPr>
          <w:rFonts w:ascii="Arial" w:hAnsi="Arial" w:cs="Arial"/>
        </w:rPr>
      </w:pPr>
      <w:r>
        <w:rPr>
          <w:rFonts w:hint="eastAsia" w:ascii="Arial" w:hAnsi="宋体" w:cs="Arial"/>
        </w:rPr>
        <w:t xml:space="preserve"> 26.1</w:t>
      </w:r>
      <w:r>
        <w:rPr>
          <w:rFonts w:ascii="Arial" w:hAnsi="宋体" w:cs="Arial"/>
        </w:rPr>
        <w:t>本次招标依法组建评标委员会。</w:t>
      </w:r>
    </w:p>
    <w:p>
      <w:pPr>
        <w:tabs>
          <w:tab w:val="left" w:pos="592"/>
        </w:tabs>
        <w:snapToGrid w:val="0"/>
        <w:spacing w:line="360" w:lineRule="auto"/>
        <w:rPr>
          <w:rFonts w:ascii="Arial" w:hAnsi="Arial" w:cs="Arial"/>
        </w:rPr>
      </w:pPr>
      <w:r>
        <w:rPr>
          <w:rFonts w:hint="eastAsia" w:ascii="Arial" w:hAnsi="宋体" w:cs="Arial"/>
        </w:rPr>
        <w:t>26.2</w:t>
      </w:r>
      <w:r>
        <w:rPr>
          <w:rFonts w:ascii="Arial" w:hAnsi="宋体" w:cs="Arial"/>
        </w:rPr>
        <w:t>评标委员会依法根据招标文件的规定分别对每一个投标供应商的投标文件进行评审、提交评审报告并推荐有排名次序的预中标单位。</w:t>
      </w:r>
    </w:p>
    <w:p>
      <w:pPr>
        <w:spacing w:line="360" w:lineRule="auto"/>
        <w:ind w:left="-838" w:leftChars="-399" w:firstLine="843" w:firstLineChars="400"/>
        <w:rPr>
          <w:rFonts w:ascii="Arial" w:hAnsi="Arial" w:cs="Arial"/>
          <w:b/>
        </w:rPr>
      </w:pPr>
      <w:r>
        <w:rPr>
          <w:rFonts w:hint="eastAsia" w:ascii="Arial" w:hAnsi="宋体" w:cs="Arial"/>
          <w:b/>
        </w:rPr>
        <w:t>27.</w:t>
      </w:r>
      <w:r>
        <w:rPr>
          <w:rFonts w:ascii="Arial" w:hAnsi="宋体" w:cs="Arial"/>
          <w:b/>
        </w:rPr>
        <w:t>评标原则和评标方法</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27.1评标</w:t>
      </w:r>
      <w:r>
        <w:rPr>
          <w:rFonts w:ascii="Arial" w:hAnsi="宋体" w:cs="Arial"/>
        </w:rPr>
        <w:t>基本原则：评标工作应依据《瑞安市国有企业采购管理办法（试行）》、《评标委员会和评标方法暂行规定》以及国家和地方政府有关政府招标的有关规定，遵循</w:t>
      </w:r>
      <w:r>
        <w:rPr>
          <w:rFonts w:ascii="Arial" w:hAnsi="Arial" w:cs="Arial"/>
        </w:rPr>
        <w:t>“</w:t>
      </w:r>
      <w:r>
        <w:rPr>
          <w:rFonts w:ascii="Arial" w:hAnsi="宋体" w:cs="Arial"/>
        </w:rPr>
        <w:t>公开、公平、公正、择优、信用</w:t>
      </w:r>
      <w:r>
        <w:rPr>
          <w:rFonts w:ascii="Arial" w:hAnsi="Arial" w:cs="Arial"/>
        </w:rPr>
        <w:t>”</w:t>
      </w:r>
      <w:r>
        <w:rPr>
          <w:rFonts w:ascii="Arial" w:hAnsi="宋体" w:cs="Arial"/>
        </w:rPr>
        <w:t>的原则。</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27.2</w:t>
      </w:r>
      <w:r>
        <w:rPr>
          <w:rFonts w:ascii="Arial" w:hAnsi="宋体" w:cs="Arial"/>
        </w:rPr>
        <w:t>评标方法：本次招标的评标方法详见本招标文件</w:t>
      </w:r>
      <w:r>
        <w:rPr>
          <w:rFonts w:ascii="Arial" w:hAnsi="Arial" w:cs="Arial"/>
        </w:rPr>
        <w:t>“</w:t>
      </w:r>
      <w:r>
        <w:rPr>
          <w:rFonts w:ascii="Arial" w:hAnsi="宋体" w:cs="Arial"/>
        </w:rPr>
        <w:t>第</w:t>
      </w:r>
      <w:r>
        <w:rPr>
          <w:rFonts w:hint="eastAsia" w:ascii="Arial" w:hAnsi="宋体" w:cs="Arial"/>
        </w:rPr>
        <w:t>六</w:t>
      </w:r>
      <w:r>
        <w:rPr>
          <w:rFonts w:ascii="Arial" w:hAnsi="宋体" w:cs="Arial"/>
        </w:rPr>
        <w:t>部分</w:t>
      </w:r>
      <w:r>
        <w:rPr>
          <w:rFonts w:ascii="Arial" w:hAnsi="Arial" w:cs="Arial"/>
        </w:rPr>
        <w:t>”</w:t>
      </w:r>
      <w:r>
        <w:rPr>
          <w:rFonts w:ascii="Arial" w:hAnsi="宋体" w:cs="Arial"/>
        </w:rPr>
        <w:t>。</w:t>
      </w:r>
    </w:p>
    <w:p>
      <w:pPr>
        <w:spacing w:line="360" w:lineRule="auto"/>
        <w:ind w:left="-838" w:leftChars="-399" w:firstLine="843" w:firstLineChars="400"/>
        <w:rPr>
          <w:rFonts w:ascii="Arial" w:hAnsi="Arial" w:cs="Arial"/>
        </w:rPr>
      </w:pPr>
      <w:r>
        <w:rPr>
          <w:rFonts w:hint="eastAsia" w:ascii="Arial" w:hAnsi="宋体" w:cs="Arial"/>
          <w:b/>
        </w:rPr>
        <w:t>28.</w:t>
      </w:r>
      <w:r>
        <w:rPr>
          <w:rFonts w:ascii="Arial" w:hAnsi="宋体" w:cs="Arial"/>
          <w:b/>
        </w:rPr>
        <w:t>评标工作程序</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28.1</w:t>
      </w:r>
      <w:r>
        <w:rPr>
          <w:rFonts w:ascii="Arial" w:hAnsi="宋体" w:cs="Arial"/>
        </w:rPr>
        <w:t>初步评审：</w:t>
      </w:r>
      <w:r>
        <w:rPr>
          <w:rFonts w:ascii="Arial" w:hAnsi="Arial" w:cs="Arial"/>
        </w:rPr>
        <w:t xml:space="preserve"> </w:t>
      </w:r>
    </w:p>
    <w:p>
      <w:pPr>
        <w:numPr>
          <w:ilvl w:val="0"/>
          <w:numId w:val="12"/>
        </w:numPr>
        <w:tabs>
          <w:tab w:val="left" w:pos="993"/>
        </w:tabs>
        <w:spacing w:line="360" w:lineRule="auto"/>
        <w:ind w:left="824" w:leftChars="257" w:hanging="284" w:hangingChars="141"/>
        <w:rPr>
          <w:rFonts w:ascii="Arial" w:hAnsi="Arial" w:cs="Arial"/>
          <w:spacing w:val="-4"/>
        </w:rPr>
      </w:pPr>
      <w:r>
        <w:rPr>
          <w:rFonts w:ascii="Arial" w:hAnsi="宋体" w:cs="Arial"/>
          <w:spacing w:val="-4"/>
        </w:rPr>
        <w:t>资格性检查：评标委员会根据法律法规和招标文件的规定，检查投标文件提供的资格证明文件是否齐全、是否满足招标文件的要求、投标保证金是否提交、投标文件是否装订编排有序等。</w:t>
      </w:r>
    </w:p>
    <w:p>
      <w:pPr>
        <w:numPr>
          <w:ilvl w:val="0"/>
          <w:numId w:val="12"/>
        </w:numPr>
        <w:tabs>
          <w:tab w:val="left" w:pos="993"/>
        </w:tabs>
        <w:spacing w:line="360" w:lineRule="auto"/>
        <w:ind w:left="836" w:leftChars="257" w:hanging="296" w:hangingChars="141"/>
        <w:rPr>
          <w:rFonts w:ascii="Arial" w:hAnsi="Arial" w:cs="Arial"/>
        </w:rPr>
      </w:pPr>
      <w:r>
        <w:rPr>
          <w:rFonts w:ascii="Arial" w:hAnsi="宋体" w:cs="Arial"/>
        </w:rPr>
        <w:t>符合性检查：评标委员会根据招标文件的规定，从投标文件的有效性、完整性和对招标文件的响应程度进行检查，以确定是否对招标文件的实质性要求作出响应。</w:t>
      </w:r>
    </w:p>
    <w:p>
      <w:pPr>
        <w:numPr>
          <w:ilvl w:val="0"/>
          <w:numId w:val="12"/>
        </w:numPr>
        <w:tabs>
          <w:tab w:val="left" w:pos="993"/>
        </w:tabs>
        <w:spacing w:line="360" w:lineRule="auto"/>
        <w:ind w:left="836" w:leftChars="257" w:hanging="296" w:hangingChars="141"/>
        <w:rPr>
          <w:rFonts w:ascii="Arial" w:hAnsi="Arial" w:cs="Arial"/>
        </w:rPr>
      </w:pPr>
      <w:r>
        <w:rPr>
          <w:rFonts w:ascii="Arial" w:hAnsi="Arial" w:cs="Arial"/>
        </w:rPr>
        <w:t>▲</w:t>
      </w:r>
      <w:r>
        <w:rPr>
          <w:rFonts w:ascii="Arial" w:hAnsi="宋体" w:cs="Arial"/>
        </w:rPr>
        <w:t>在资格性检查和符合性检查时下列情况按照</w:t>
      </w:r>
      <w:r>
        <w:rPr>
          <w:rFonts w:ascii="Arial" w:hAnsi="Arial" w:cs="Arial"/>
          <w:u w:val="wave"/>
        </w:rPr>
        <w:t xml:space="preserve"> </w:t>
      </w:r>
      <w:r>
        <w:rPr>
          <w:rFonts w:ascii="Arial" w:hAnsi="宋体" w:cs="Arial"/>
          <w:b/>
          <w:bCs/>
          <w:u w:val="wave"/>
        </w:rPr>
        <w:t>无效投标</w:t>
      </w:r>
      <w:r>
        <w:rPr>
          <w:rFonts w:ascii="Arial" w:hAnsi="Arial" w:cs="Arial"/>
          <w:b/>
          <w:bCs/>
          <w:u w:val="wave"/>
        </w:rPr>
        <w:t xml:space="preserve"> </w:t>
      </w:r>
      <w:r>
        <w:rPr>
          <w:rFonts w:ascii="Arial" w:hAnsi="宋体" w:cs="Arial"/>
        </w:rPr>
        <w:t>处理：</w:t>
      </w:r>
    </w:p>
    <w:p>
      <w:pPr>
        <w:widowControl/>
        <w:numPr>
          <w:ilvl w:val="0"/>
          <w:numId w:val="13"/>
        </w:numPr>
        <w:spacing w:line="360" w:lineRule="auto"/>
        <w:jc w:val="left"/>
        <w:rPr>
          <w:rFonts w:ascii="Arial" w:hAnsi="Arial" w:cs="Arial"/>
          <w:bCs/>
        </w:rPr>
      </w:pPr>
      <w:r>
        <w:rPr>
          <w:rFonts w:hint="eastAsia" w:ascii="Arial" w:hAnsi="Arial" w:cs="Arial"/>
          <w:bCs/>
        </w:rPr>
        <w:t>报价</w:t>
      </w:r>
      <w:r>
        <w:rPr>
          <w:rFonts w:ascii="Arial" w:hAnsi="Arial" w:cs="Arial"/>
          <w:bCs/>
        </w:rPr>
        <w:t>有效期不足的；</w:t>
      </w:r>
    </w:p>
    <w:p>
      <w:pPr>
        <w:widowControl/>
        <w:numPr>
          <w:ilvl w:val="0"/>
          <w:numId w:val="13"/>
        </w:numPr>
        <w:spacing w:line="360" w:lineRule="auto"/>
        <w:jc w:val="left"/>
        <w:rPr>
          <w:rFonts w:ascii="Arial" w:hAnsi="Arial" w:cs="Arial"/>
          <w:bCs/>
        </w:rPr>
      </w:pPr>
      <w:r>
        <w:rPr>
          <w:rFonts w:ascii="Arial" w:hAnsi="宋体" w:cs="Arial"/>
          <w:bCs/>
        </w:rPr>
        <w:t>投标报价不是唯一的；</w:t>
      </w:r>
    </w:p>
    <w:p>
      <w:pPr>
        <w:widowControl/>
        <w:numPr>
          <w:ilvl w:val="0"/>
          <w:numId w:val="13"/>
        </w:numPr>
        <w:spacing w:line="360" w:lineRule="auto"/>
        <w:jc w:val="left"/>
        <w:rPr>
          <w:rFonts w:ascii="Arial" w:hAnsi="Arial" w:cs="Arial"/>
          <w:bCs/>
        </w:rPr>
      </w:pPr>
      <w:r>
        <w:rPr>
          <w:rFonts w:hint="eastAsia" w:ascii="Arial" w:hAnsi="宋体" w:cs="Arial"/>
          <w:bCs/>
        </w:rPr>
        <w:t>投标综合单价超过综合单价最高限价的或投标报价超过最高限价的</w:t>
      </w:r>
      <w:r>
        <w:rPr>
          <w:rFonts w:ascii="Arial" w:hAnsi="宋体" w:cs="Arial"/>
          <w:bCs/>
        </w:rPr>
        <w:t>；</w:t>
      </w:r>
    </w:p>
    <w:p>
      <w:pPr>
        <w:widowControl/>
        <w:numPr>
          <w:ilvl w:val="0"/>
          <w:numId w:val="13"/>
        </w:numPr>
        <w:spacing w:line="360" w:lineRule="auto"/>
        <w:jc w:val="left"/>
        <w:rPr>
          <w:rFonts w:ascii="Arial" w:hAnsi="Arial" w:cs="Arial"/>
          <w:bCs/>
        </w:rPr>
      </w:pPr>
      <w:r>
        <w:rPr>
          <w:rFonts w:ascii="Arial" w:hAnsi="宋体" w:cs="Arial"/>
          <w:bCs/>
        </w:rPr>
        <w:t>评标委员会认为投标文件未实质性响应招标文件的要求的；</w:t>
      </w:r>
    </w:p>
    <w:p>
      <w:pPr>
        <w:widowControl/>
        <w:numPr>
          <w:ilvl w:val="0"/>
          <w:numId w:val="13"/>
        </w:numPr>
        <w:spacing w:line="360" w:lineRule="auto"/>
        <w:jc w:val="left"/>
        <w:rPr>
          <w:rFonts w:ascii="Arial" w:hAnsi="Arial" w:cs="Arial"/>
          <w:bCs/>
        </w:rPr>
      </w:pPr>
      <w:r>
        <w:rPr>
          <w:rFonts w:ascii="Arial" w:hAnsi="宋体" w:cs="Arial"/>
          <w:bCs/>
        </w:rPr>
        <w:t>投标文件中载明的</w:t>
      </w:r>
      <w:r>
        <w:rPr>
          <w:rFonts w:hint="eastAsia" w:ascii="Arial" w:hAnsi="宋体" w:cs="Arial"/>
          <w:bCs/>
        </w:rPr>
        <w:t>工期</w:t>
      </w:r>
      <w:r>
        <w:rPr>
          <w:rFonts w:ascii="Arial" w:hAnsi="宋体" w:cs="Arial"/>
          <w:bCs/>
        </w:rPr>
        <w:t>超过招标</w:t>
      </w:r>
      <w:r>
        <w:rPr>
          <w:rFonts w:hint="eastAsia" w:ascii="Arial" w:hAnsi="宋体" w:cs="Arial"/>
          <w:bCs/>
        </w:rPr>
        <w:t>工期</w:t>
      </w:r>
      <w:r>
        <w:rPr>
          <w:rFonts w:ascii="Arial" w:hAnsi="宋体" w:cs="Arial"/>
          <w:bCs/>
        </w:rPr>
        <w:t>的；</w:t>
      </w:r>
    </w:p>
    <w:p>
      <w:pPr>
        <w:widowControl/>
        <w:numPr>
          <w:ilvl w:val="0"/>
          <w:numId w:val="13"/>
        </w:numPr>
        <w:spacing w:line="360" w:lineRule="auto"/>
        <w:jc w:val="left"/>
        <w:rPr>
          <w:rFonts w:ascii="Arial" w:hAnsi="宋体" w:cs="Arial"/>
          <w:bCs/>
        </w:rPr>
      </w:pPr>
      <w:r>
        <w:rPr>
          <w:rFonts w:hint="eastAsia" w:ascii="Arial" w:hAnsi="宋体" w:cs="Arial"/>
          <w:bCs/>
        </w:rPr>
        <w:t>主要技术要求不满足招标文件的要求或有重大偏离，或者商务条款有重大偏离或保留的；</w:t>
      </w:r>
    </w:p>
    <w:p>
      <w:pPr>
        <w:widowControl/>
        <w:numPr>
          <w:ilvl w:val="0"/>
          <w:numId w:val="13"/>
        </w:numPr>
        <w:spacing w:line="360" w:lineRule="auto"/>
        <w:jc w:val="left"/>
        <w:rPr>
          <w:rFonts w:ascii="Arial" w:hAnsi="Arial" w:cs="Arial"/>
          <w:bCs/>
        </w:rPr>
      </w:pPr>
      <w:r>
        <w:rPr>
          <w:rFonts w:ascii="Arial" w:hAnsi="宋体" w:cs="Arial"/>
        </w:rPr>
        <w:t>未按规定提供投标保证金的</w:t>
      </w:r>
      <w:r>
        <w:rPr>
          <w:rFonts w:hint="eastAsia" w:ascii="Arial" w:hAnsi="宋体" w:cs="Arial"/>
        </w:rPr>
        <w:t>投标文件</w:t>
      </w:r>
      <w:r>
        <w:rPr>
          <w:rFonts w:ascii="Arial" w:hAnsi="宋体" w:cs="Arial"/>
        </w:rPr>
        <w:t>的；</w:t>
      </w:r>
    </w:p>
    <w:p>
      <w:pPr>
        <w:widowControl/>
        <w:numPr>
          <w:ilvl w:val="0"/>
          <w:numId w:val="13"/>
        </w:numPr>
        <w:spacing w:line="360" w:lineRule="auto"/>
        <w:jc w:val="left"/>
        <w:rPr>
          <w:rFonts w:ascii="Arial" w:hAnsi="Arial" w:cs="Arial"/>
          <w:bCs/>
        </w:rPr>
      </w:pPr>
      <w:r>
        <w:rPr>
          <w:rFonts w:hint="eastAsia" w:ascii="Arial" w:hAnsi="Arial" w:cs="Arial"/>
          <w:bCs/>
        </w:rPr>
        <w:t>近3年内在经营活动中有重大违法记录（包括行贿犯罪记录）的或未按规定提供参加国有企业活动前3年内在经营活动中有/无重大违法记录（包括行贿犯罪记录）书面声明的</w:t>
      </w:r>
    </w:p>
    <w:p>
      <w:pPr>
        <w:widowControl/>
        <w:numPr>
          <w:ilvl w:val="0"/>
          <w:numId w:val="13"/>
        </w:numPr>
        <w:spacing w:line="360" w:lineRule="auto"/>
        <w:jc w:val="left"/>
        <w:rPr>
          <w:rFonts w:ascii="Arial" w:hAnsi="Arial" w:cs="Arial"/>
          <w:bCs/>
        </w:rPr>
      </w:pPr>
      <w:r>
        <w:rPr>
          <w:rFonts w:hint="eastAsia" w:ascii="Arial" w:hAnsi="Arial" w:cs="Arial"/>
          <w:bCs/>
        </w:rPr>
        <w:t>单价与总价不相符，又不接受评标委员会修正的报价总价或报价明显不合理而投标供应商不能合理说明的；</w:t>
      </w:r>
    </w:p>
    <w:p>
      <w:pPr>
        <w:widowControl/>
        <w:numPr>
          <w:ilvl w:val="0"/>
          <w:numId w:val="13"/>
        </w:numPr>
        <w:spacing w:line="360" w:lineRule="auto"/>
        <w:jc w:val="left"/>
        <w:rPr>
          <w:rFonts w:ascii="Arial" w:hAnsi="Arial" w:cs="Arial"/>
          <w:bCs/>
        </w:rPr>
      </w:pPr>
      <w:r>
        <w:rPr>
          <w:rFonts w:ascii="Arial" w:hAnsi="宋体" w:cs="Arial"/>
          <w:bCs/>
        </w:rPr>
        <w:t>存在串标</w:t>
      </w:r>
      <w:r>
        <w:rPr>
          <w:rFonts w:hint="eastAsia" w:ascii="Arial" w:hAnsi="宋体" w:cs="Arial"/>
          <w:bCs/>
        </w:rPr>
        <w:t>、</w:t>
      </w:r>
      <w:r>
        <w:rPr>
          <w:rFonts w:ascii="Arial" w:hAnsi="宋体" w:cs="Arial"/>
          <w:bCs/>
        </w:rPr>
        <w:t>弄虚作假情况的；</w:t>
      </w:r>
    </w:p>
    <w:p>
      <w:pPr>
        <w:widowControl/>
        <w:numPr>
          <w:ilvl w:val="0"/>
          <w:numId w:val="13"/>
        </w:numPr>
        <w:spacing w:line="360" w:lineRule="auto"/>
        <w:jc w:val="left"/>
        <w:rPr>
          <w:rFonts w:ascii="Arial" w:hAnsi="Arial" w:cs="Arial"/>
          <w:bCs/>
        </w:rPr>
      </w:pPr>
      <w:r>
        <w:rPr>
          <w:rFonts w:hint="eastAsia" w:ascii="宋体" w:hAnsi="宋体"/>
          <w:szCs w:val="21"/>
        </w:rPr>
        <w:t>投标文件中需签字或盖章的地方未加盖投标供应商单位全称的公章，或使用投标专用章、合同章等类似图章代替，或未经法定代表人或其授权代表签字或盖章。</w:t>
      </w:r>
    </w:p>
    <w:p>
      <w:pPr>
        <w:widowControl/>
        <w:numPr>
          <w:ilvl w:val="0"/>
          <w:numId w:val="13"/>
        </w:numPr>
        <w:spacing w:line="360" w:lineRule="auto"/>
        <w:jc w:val="left"/>
        <w:rPr>
          <w:rFonts w:ascii="Arial" w:hAnsi="Arial" w:cs="Arial"/>
          <w:bCs/>
        </w:rPr>
      </w:pPr>
      <w:r>
        <w:rPr>
          <w:rFonts w:hint="eastAsia" w:ascii="Arial" w:hAnsi="Arial" w:cs="Arial"/>
          <w:bCs/>
        </w:rPr>
        <w:t>授权代表出席</w:t>
      </w:r>
      <w:r>
        <w:rPr>
          <w:rFonts w:ascii="Arial" w:hAnsi="Arial" w:cs="Arial"/>
          <w:bCs/>
        </w:rPr>
        <w:t>开</w:t>
      </w:r>
      <w:r>
        <w:rPr>
          <w:rFonts w:hint="eastAsia" w:ascii="Arial" w:hAnsi="Arial" w:cs="Arial"/>
          <w:bCs/>
        </w:rPr>
        <w:t>标</w:t>
      </w:r>
      <w:r>
        <w:rPr>
          <w:rFonts w:ascii="Arial" w:hAnsi="Arial" w:cs="Arial"/>
          <w:bCs/>
        </w:rPr>
        <w:t>未</w:t>
      </w:r>
      <w:r>
        <w:rPr>
          <w:rFonts w:hint="eastAsia" w:ascii="Arial" w:hAnsi="Arial" w:cs="Arial"/>
          <w:bCs/>
        </w:rPr>
        <w:t>在</w:t>
      </w:r>
      <w:r>
        <w:rPr>
          <w:rFonts w:ascii="Arial" w:hAnsi="Arial" w:cs="Arial"/>
          <w:bCs/>
        </w:rPr>
        <w:t>投标文件中提供有效法定</w:t>
      </w:r>
      <w:r>
        <w:rPr>
          <w:rFonts w:hint="eastAsia" w:ascii="Arial" w:hAnsi="Arial" w:cs="Arial"/>
          <w:bCs/>
        </w:rPr>
        <w:t>代表人</w:t>
      </w:r>
      <w:r>
        <w:rPr>
          <w:rFonts w:ascii="Arial" w:hAnsi="Arial" w:cs="Arial"/>
          <w:bCs/>
        </w:rPr>
        <w:t>授权委托书的</w:t>
      </w:r>
      <w:r>
        <w:rPr>
          <w:rFonts w:hint="eastAsia" w:ascii="Arial" w:hAnsi="Arial" w:cs="Arial"/>
          <w:bCs/>
        </w:rPr>
        <w:t>；</w:t>
      </w:r>
    </w:p>
    <w:p>
      <w:pPr>
        <w:widowControl/>
        <w:numPr>
          <w:ilvl w:val="0"/>
          <w:numId w:val="13"/>
        </w:numPr>
        <w:spacing w:line="360" w:lineRule="auto"/>
        <w:jc w:val="left"/>
        <w:rPr>
          <w:rFonts w:ascii="Arial" w:hAnsi="Arial" w:cs="Arial"/>
          <w:bCs/>
        </w:rPr>
      </w:pPr>
      <w:r>
        <w:rPr>
          <w:rFonts w:ascii="Arial" w:hAnsi="宋体" w:cs="Arial"/>
        </w:rPr>
        <w:t>不符合法律、法规和招标文件中规定的其他实质性要求的。</w:t>
      </w:r>
    </w:p>
    <w:p>
      <w:pPr>
        <w:tabs>
          <w:tab w:val="left" w:pos="592"/>
        </w:tabs>
        <w:snapToGrid w:val="0"/>
        <w:spacing w:line="360" w:lineRule="auto"/>
        <w:ind w:left="-588" w:leftChars="-280" w:firstLine="630" w:firstLineChars="300"/>
        <w:rPr>
          <w:rFonts w:ascii="Arial" w:hAnsi="Arial" w:cs="Arial"/>
          <w:b/>
        </w:rPr>
      </w:pPr>
      <w:r>
        <w:rPr>
          <w:rFonts w:hint="eastAsia" w:ascii="Arial" w:hAnsi="宋体" w:cs="Arial"/>
        </w:rPr>
        <w:t>28.2</w:t>
      </w:r>
      <w:r>
        <w:rPr>
          <w:rFonts w:ascii="Arial" w:hAnsi="宋体" w:cs="Arial"/>
        </w:rPr>
        <w:t>澄清有关问题：</w:t>
      </w:r>
    </w:p>
    <w:p>
      <w:pPr>
        <w:numPr>
          <w:ilvl w:val="0"/>
          <w:numId w:val="12"/>
        </w:numPr>
        <w:tabs>
          <w:tab w:val="left" w:pos="993"/>
        </w:tabs>
        <w:spacing w:line="360" w:lineRule="auto"/>
        <w:ind w:left="836" w:leftChars="257" w:hanging="296" w:hangingChars="141"/>
        <w:rPr>
          <w:rFonts w:ascii="Arial" w:hAnsi="Arial" w:cs="Arial"/>
          <w:snapToGrid w:val="0"/>
          <w:kern w:val="0"/>
          <w:szCs w:val="21"/>
        </w:rPr>
      </w:pPr>
      <w:r>
        <w:rPr>
          <w:rFonts w:ascii="Arial" w:hAnsi="宋体" w:cs="Arial"/>
          <w:snapToGrid w:val="0"/>
          <w:kern w:val="0"/>
          <w:szCs w:val="21"/>
        </w:rPr>
        <w:t>为有助于对投标文件的审核、评价和比较。评标委员会对资格性检查和符合性检查合格的投标文件进行澄清，对投标文件中含义不明确、同类问题表述不一致或者有明显文字和计算错误的内容，评标委员会可以书面形式（应当由评标委员会专家签字）要求投标供应商作出必要的澄清、说明或者纠正。</w:t>
      </w:r>
    </w:p>
    <w:p>
      <w:pPr>
        <w:numPr>
          <w:ilvl w:val="0"/>
          <w:numId w:val="12"/>
        </w:numPr>
        <w:tabs>
          <w:tab w:val="left" w:pos="993"/>
        </w:tabs>
        <w:spacing w:line="360" w:lineRule="auto"/>
        <w:ind w:left="836" w:leftChars="257" w:hanging="296" w:hangingChars="141"/>
        <w:rPr>
          <w:rFonts w:ascii="Arial" w:hAnsi="Arial" w:cs="Arial"/>
          <w:snapToGrid w:val="0"/>
          <w:kern w:val="0"/>
          <w:szCs w:val="21"/>
        </w:rPr>
      </w:pPr>
      <w:r>
        <w:rPr>
          <w:rFonts w:ascii="Arial" w:hAnsi="宋体" w:cs="Arial"/>
          <w:snapToGrid w:val="0"/>
          <w:kern w:val="0"/>
          <w:szCs w:val="21"/>
        </w:rPr>
        <w:t>投标供应商的澄清、说明或者补正答复先以口头形式答辩，然后在要求的时间内以书面形式提交，书面由其授权的代表签字，并不得超出投标文件的范围，或者改变投标文件的实质性内容。</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28.3</w:t>
      </w:r>
      <w:r>
        <w:rPr>
          <w:rFonts w:ascii="Arial" w:hAnsi="宋体" w:cs="Arial"/>
        </w:rPr>
        <w:t>评标委员会详细分析、核准价格表，看其是否有计算上或累加上的算术错误，</w:t>
      </w:r>
      <w:r>
        <w:rPr>
          <w:rFonts w:ascii="Arial" w:hAnsi="宋体" w:cs="Arial"/>
          <w:u w:val="wave"/>
        </w:rPr>
        <w:t>并按本招标文件第六部分</w:t>
      </w:r>
      <w:r>
        <w:rPr>
          <w:rFonts w:ascii="Arial" w:hAnsi="Arial" w:cs="Arial"/>
          <w:u w:val="wave"/>
        </w:rPr>
        <w:t>“</w:t>
      </w:r>
      <w:r>
        <w:rPr>
          <w:rFonts w:ascii="Arial" w:hAnsi="宋体" w:cs="Arial"/>
          <w:u w:val="wave"/>
        </w:rPr>
        <w:t>评标办法</w:t>
      </w:r>
      <w:r>
        <w:rPr>
          <w:rFonts w:ascii="Arial" w:hAnsi="Arial" w:cs="Arial"/>
          <w:u w:val="wave"/>
        </w:rPr>
        <w:t>”</w:t>
      </w:r>
      <w:r>
        <w:rPr>
          <w:rFonts w:ascii="Arial" w:hAnsi="宋体" w:cs="Arial"/>
          <w:u w:val="wave"/>
        </w:rPr>
        <w:t>中</w:t>
      </w:r>
      <w:r>
        <w:rPr>
          <w:rFonts w:ascii="Arial" w:hAnsi="Arial" w:cs="Arial"/>
          <w:u w:val="wave"/>
        </w:rPr>
        <w:t>“</w:t>
      </w:r>
      <w:r>
        <w:rPr>
          <w:rFonts w:ascii="Arial" w:hAnsi="宋体" w:cs="Arial"/>
          <w:snapToGrid w:val="0"/>
          <w:kern w:val="0"/>
          <w:u w:val="wave"/>
        </w:rPr>
        <w:t>评标价的确定</w:t>
      </w:r>
      <w:r>
        <w:rPr>
          <w:rFonts w:ascii="Arial" w:hAnsi="Arial" w:cs="Arial"/>
          <w:snapToGrid w:val="0"/>
          <w:kern w:val="0"/>
          <w:u w:val="wave"/>
        </w:rPr>
        <w:t>”</w:t>
      </w:r>
      <w:r>
        <w:rPr>
          <w:rFonts w:ascii="Arial" w:hAnsi="宋体" w:cs="Arial"/>
          <w:snapToGrid w:val="0"/>
          <w:kern w:val="0"/>
          <w:u w:val="wave"/>
        </w:rPr>
        <w:t>条款中所明确的原则、修正错误的方法，调整投标文件中的投标报价，并确定评标价。调整后的价格对投标供应商具有约束力。如果投标供应商不接受修正后的价格，则其投标将被</w:t>
      </w:r>
      <w:r>
        <w:rPr>
          <w:rFonts w:hint="eastAsia" w:ascii="Arial" w:hAnsi="宋体" w:cs="Arial"/>
          <w:snapToGrid w:val="0"/>
          <w:kern w:val="0"/>
          <w:u w:val="wave"/>
        </w:rPr>
        <w:t>否决</w:t>
      </w:r>
      <w:r>
        <w:rPr>
          <w:rFonts w:ascii="Arial" w:hAnsi="宋体" w:cs="Arial"/>
          <w:snapToGrid w:val="0"/>
          <w:kern w:val="0"/>
          <w:u w:val="wave"/>
        </w:rPr>
        <w:t>。</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28.4</w:t>
      </w:r>
      <w:r>
        <w:rPr>
          <w:rFonts w:ascii="Arial" w:hAnsi="宋体" w:cs="Arial"/>
        </w:rPr>
        <w:t>比较与评价：评标委员会按招标文件第六部分</w:t>
      </w:r>
      <w:r>
        <w:rPr>
          <w:rFonts w:ascii="Arial" w:hAnsi="Arial" w:cs="Arial"/>
        </w:rPr>
        <w:t>“</w:t>
      </w:r>
      <w:r>
        <w:rPr>
          <w:rFonts w:ascii="Arial" w:hAnsi="宋体" w:cs="Arial"/>
        </w:rPr>
        <w:t>评标办法</w:t>
      </w:r>
      <w:r>
        <w:rPr>
          <w:rFonts w:ascii="Arial" w:hAnsi="Arial" w:cs="Arial"/>
        </w:rPr>
        <w:t>”</w:t>
      </w:r>
      <w:r>
        <w:rPr>
          <w:rFonts w:ascii="Arial" w:hAnsi="宋体" w:cs="Arial"/>
        </w:rPr>
        <w:t>。规定的评标方法和标准，对资格性检查和符合性检查合格的投标文件进行商务技术评估，综合比较与评价。</w:t>
      </w:r>
      <w:r>
        <w:rPr>
          <w:rFonts w:ascii="Arial" w:hAnsi="宋体" w:cs="Arial"/>
          <w:snapToGrid w:val="0"/>
          <w:kern w:val="0"/>
          <w:u w:val="wave"/>
        </w:rPr>
        <w:t>评标委员会对投标文件的判定，只依据投标文件内容本身，不依据任何外来证明</w:t>
      </w:r>
      <w:r>
        <w:rPr>
          <w:rFonts w:ascii="Arial" w:hAnsi="Arial" w:cs="Arial"/>
          <w:snapToGrid w:val="0"/>
          <w:kern w:val="0"/>
          <w:u w:val="wave"/>
        </w:rPr>
        <w:t xml:space="preserve"> </w:t>
      </w:r>
      <w:r>
        <w:rPr>
          <w:rFonts w:ascii="Arial" w:hAnsi="宋体" w:cs="Arial"/>
        </w:rPr>
        <w:t>。</w:t>
      </w:r>
    </w:p>
    <w:p>
      <w:pPr>
        <w:tabs>
          <w:tab w:val="left" w:pos="592"/>
        </w:tabs>
        <w:snapToGrid w:val="0"/>
        <w:spacing w:line="360" w:lineRule="auto"/>
        <w:rPr>
          <w:rFonts w:ascii="Arial" w:hAnsi="宋体" w:cs="Arial"/>
        </w:rPr>
      </w:pPr>
      <w:r>
        <w:rPr>
          <w:rFonts w:hint="eastAsia" w:ascii="Arial" w:hAnsi="宋体" w:cs="Arial"/>
        </w:rPr>
        <w:t>28.5</w:t>
      </w:r>
      <w:r>
        <w:rPr>
          <w:rFonts w:ascii="Arial" w:hAnsi="宋体" w:cs="Arial"/>
        </w:rPr>
        <w:t>按评审</w:t>
      </w:r>
      <w:r>
        <w:rPr>
          <w:rFonts w:hint="eastAsia" w:ascii="Arial" w:hAnsi="宋体" w:cs="Arial"/>
        </w:rPr>
        <w:t>综合</w:t>
      </w:r>
      <w:r>
        <w:rPr>
          <w:rFonts w:ascii="Arial" w:hAnsi="宋体" w:cs="Arial"/>
        </w:rPr>
        <w:t>得分之和由高到低确定</w:t>
      </w:r>
      <w:r>
        <w:rPr>
          <w:rFonts w:hint="eastAsia" w:ascii="Arial" w:hAnsi="宋体" w:cs="Arial"/>
        </w:rPr>
        <w:t>候选中标人</w:t>
      </w:r>
      <w:r>
        <w:rPr>
          <w:rFonts w:hint="eastAsia" w:ascii="宋体" w:hAnsi="宋体"/>
        </w:rPr>
        <w:t>，并出具评审报告。</w:t>
      </w:r>
      <w:r>
        <w:rPr>
          <w:rFonts w:ascii="Arial" w:hAnsi="宋体" w:cs="Arial"/>
        </w:rPr>
        <w:t>合计</w:t>
      </w:r>
      <w:r>
        <w:rPr>
          <w:rFonts w:hint="eastAsia" w:ascii="Arial" w:hAnsi="宋体" w:cs="Arial"/>
        </w:rPr>
        <w:t>综合</w:t>
      </w:r>
      <w:r>
        <w:rPr>
          <w:rFonts w:ascii="Arial" w:hAnsi="宋体" w:cs="Arial"/>
        </w:rPr>
        <w:t>得分相同的，按投标报价由低到高顺序排列；若</w:t>
      </w:r>
      <w:r>
        <w:rPr>
          <w:rFonts w:hint="eastAsia" w:ascii="Arial" w:hAnsi="宋体" w:cs="Arial"/>
        </w:rPr>
        <w:t>综合</w:t>
      </w:r>
      <w:r>
        <w:rPr>
          <w:rFonts w:ascii="Arial" w:hAnsi="宋体" w:cs="Arial"/>
        </w:rPr>
        <w:t>得分</w:t>
      </w:r>
      <w:r>
        <w:rPr>
          <w:rFonts w:hint="eastAsia" w:ascii="Arial" w:hAnsi="宋体" w:cs="Arial"/>
        </w:rPr>
        <w:t>及</w:t>
      </w:r>
      <w:r>
        <w:rPr>
          <w:rFonts w:ascii="Arial" w:hAnsi="宋体" w:cs="Arial"/>
        </w:rPr>
        <w:t>投标报价均相同，则由招标人代表在</w:t>
      </w:r>
      <w:r>
        <w:rPr>
          <w:rFonts w:hint="eastAsia" w:ascii="Arial" w:hAnsi="宋体" w:cs="Arial"/>
        </w:rPr>
        <w:t>综合</w:t>
      </w:r>
      <w:r>
        <w:rPr>
          <w:rFonts w:ascii="Arial" w:hAnsi="宋体" w:cs="Arial"/>
        </w:rPr>
        <w:t>得分</w:t>
      </w:r>
      <w:r>
        <w:rPr>
          <w:rFonts w:hint="eastAsia" w:ascii="Arial" w:hAnsi="宋体" w:cs="Arial"/>
        </w:rPr>
        <w:t>及</w:t>
      </w:r>
      <w:r>
        <w:rPr>
          <w:rFonts w:ascii="Arial" w:hAnsi="宋体" w:cs="Arial"/>
        </w:rPr>
        <w:t>投标报价均相同者中随机抽取一名为名次优先者</w:t>
      </w:r>
      <w:r>
        <w:rPr>
          <w:rFonts w:hint="eastAsia" w:ascii="Arial" w:hAnsi="宋体" w:cs="Arial"/>
        </w:rPr>
        <w:t>。</w:t>
      </w:r>
    </w:p>
    <w:p>
      <w:pPr>
        <w:tabs>
          <w:tab w:val="left" w:pos="592"/>
        </w:tabs>
        <w:snapToGrid w:val="0"/>
        <w:spacing w:line="360" w:lineRule="auto"/>
        <w:ind w:left="-588" w:leftChars="-280" w:firstLine="630" w:firstLineChars="300"/>
        <w:rPr>
          <w:rFonts w:ascii="Arial" w:hAnsi="Arial" w:cs="Arial"/>
          <w:b/>
          <w:color w:val="0000FF"/>
        </w:rPr>
      </w:pPr>
      <w:r>
        <w:rPr>
          <w:rFonts w:hint="eastAsia" w:ascii="Arial" w:hAnsi="宋体" w:cs="Arial"/>
        </w:rPr>
        <w:t>28.6</w:t>
      </w:r>
      <w:r>
        <w:rPr>
          <w:rFonts w:ascii="Arial" w:hAnsi="宋体" w:cs="Arial"/>
        </w:rPr>
        <w:t>如评标委员会一致认为某个投标供应商的报价明显不合理，有降低服务质量、不能诚信履行及不正当竞争的可能时，评标委员会有权通知投标供应商限期进行解释。若该投标供应商未在规定期限内做出解释，或做出的解释不合理，经评标委员会取得一致意见后，可确定</w:t>
      </w:r>
      <w:r>
        <w:rPr>
          <w:rFonts w:hint="eastAsia" w:ascii="Arial" w:hAnsi="宋体" w:cs="Arial"/>
        </w:rPr>
        <w:t>否决</w:t>
      </w:r>
      <w:r>
        <w:rPr>
          <w:rFonts w:ascii="Arial" w:hAnsi="宋体" w:cs="Arial"/>
        </w:rPr>
        <w:t>该投标。</w:t>
      </w:r>
    </w:p>
    <w:p>
      <w:pPr>
        <w:spacing w:line="360" w:lineRule="auto"/>
        <w:ind w:left="-838" w:leftChars="-399" w:firstLine="632" w:firstLineChars="300"/>
        <w:rPr>
          <w:rFonts w:ascii="Arial" w:hAnsi="Arial" w:cs="Arial"/>
          <w:b/>
          <w:bCs/>
        </w:rPr>
      </w:pPr>
      <w:r>
        <w:rPr>
          <w:rFonts w:hint="eastAsia" w:ascii="Arial" w:hAnsi="宋体" w:cs="Arial"/>
          <w:b/>
          <w:bCs/>
        </w:rPr>
        <w:t>29.</w:t>
      </w:r>
      <w:r>
        <w:rPr>
          <w:rFonts w:ascii="Arial" w:hAnsi="宋体" w:cs="Arial"/>
          <w:b/>
          <w:bCs/>
        </w:rPr>
        <w:t>评标过程保密</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29.1</w:t>
      </w:r>
      <w:r>
        <w:rPr>
          <w:rFonts w:ascii="Arial" w:hAnsi="宋体" w:cs="Arial"/>
        </w:rPr>
        <w:t>开标之后，直到授予投标供应商合同止，凡是属于审查、澄清、评价和比较投标的有关资料以及授标意向等，均不得向投标供应商或其他无关的人员透露。</w:t>
      </w:r>
    </w:p>
    <w:p>
      <w:pPr>
        <w:tabs>
          <w:tab w:val="left" w:pos="592"/>
        </w:tabs>
        <w:snapToGrid w:val="0"/>
        <w:spacing w:line="360" w:lineRule="auto"/>
        <w:ind w:left="-588" w:leftChars="-280" w:firstLine="630" w:firstLineChars="300"/>
        <w:rPr>
          <w:rFonts w:ascii="Arial" w:hAnsi="Arial" w:cs="Arial"/>
          <w:color w:val="0000FF"/>
        </w:rPr>
      </w:pPr>
      <w:r>
        <w:rPr>
          <w:rFonts w:hint="eastAsia" w:ascii="Arial" w:hAnsi="宋体" w:cs="Arial"/>
        </w:rPr>
        <w:t>29.2</w:t>
      </w:r>
      <w:r>
        <w:rPr>
          <w:rFonts w:ascii="Arial" w:hAnsi="宋体" w:cs="Arial"/>
        </w:rPr>
        <w:t>在评标期间，投标供应商企图影响招标人或评标委员会的任何活动，都将导致投标被</w:t>
      </w:r>
      <w:r>
        <w:rPr>
          <w:rFonts w:hint="eastAsia" w:ascii="Arial" w:hAnsi="宋体" w:cs="Arial"/>
        </w:rPr>
        <w:t>否决</w:t>
      </w:r>
      <w:r>
        <w:rPr>
          <w:rFonts w:ascii="Arial" w:hAnsi="宋体" w:cs="Arial"/>
        </w:rPr>
        <w:t>，并由其承担相应的法律责任。</w:t>
      </w:r>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0.</w:t>
      </w:r>
      <w:r>
        <w:rPr>
          <w:rFonts w:ascii="Arial" w:hAnsi="宋体" w:cs="Arial"/>
          <w:b/>
        </w:rPr>
        <w:t>中标供应商的确定</w:t>
      </w:r>
    </w:p>
    <w:p>
      <w:pPr>
        <w:snapToGrid w:val="0"/>
        <w:spacing w:line="360" w:lineRule="auto"/>
        <w:ind w:left="420"/>
        <w:rPr>
          <w:rFonts w:ascii="Arial" w:hAnsi="Arial" w:cs="Arial"/>
          <w:color w:val="0000FF"/>
        </w:rPr>
      </w:pPr>
      <w:r>
        <w:rPr>
          <w:rFonts w:hint="eastAsia" w:ascii="Arial" w:hAnsi="Arial" w:cs="Arial"/>
        </w:rPr>
        <w:t>3</w:t>
      </w:r>
      <w:r>
        <w:rPr>
          <w:rFonts w:ascii="Arial" w:hAnsi="Arial" w:cs="Arial"/>
        </w:rPr>
        <w:t>0.1</w:t>
      </w:r>
      <w:r>
        <w:rPr>
          <w:rFonts w:ascii="Arial" w:hAnsi="宋体" w:cs="Arial"/>
        </w:rPr>
        <w:t>招</w:t>
      </w:r>
      <w:r>
        <w:rPr>
          <w:rFonts w:hint="eastAsia" w:ascii="宋体" w:hAnsi="宋体" w:cs="Arial Unicode MS"/>
        </w:rPr>
        <w:t>标人按评标委员会的评审结果，在评标委员会推荐的候选供应商中依法确定排名第一的候选供应商（投标价不超过采购预算资金的前提下）为中标供应商。招标人将在 “浙江省政府采购网” （网址：http://zfcg.czt.zj.gov.cn/）发布《中标结果公示》，公告期限为1个工作日</w:t>
      </w:r>
      <w:r>
        <w:rPr>
          <w:rFonts w:ascii="Arial" w:hAnsi="宋体" w:cs="Arial"/>
        </w:rPr>
        <w:t>。</w:t>
      </w:r>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1.</w:t>
      </w:r>
      <w:r>
        <w:rPr>
          <w:rFonts w:hint="eastAsia" w:ascii="Arial" w:hAnsi="宋体" w:cs="Arial"/>
          <w:b/>
        </w:rPr>
        <w:t>否决</w:t>
      </w:r>
      <w:r>
        <w:rPr>
          <w:rFonts w:ascii="Arial" w:hAnsi="宋体" w:cs="Arial"/>
          <w:b/>
        </w:rPr>
        <w:t>任何或所有投标的权利</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1.1</w:t>
      </w:r>
      <w:r>
        <w:rPr>
          <w:rFonts w:ascii="Arial" w:hAnsi="宋体" w:cs="Arial"/>
          <w:spacing w:val="-2"/>
        </w:rPr>
        <w:t>评标委员会经评审，认为任何或所有投标都不符合招标文件要求的，可以否决任何或所有投标</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1.2</w:t>
      </w:r>
      <w:r>
        <w:rPr>
          <w:rFonts w:ascii="Arial" w:hAnsi="宋体" w:cs="Arial"/>
        </w:rPr>
        <w:t>若在开、评标期间出现符合条件的投标供应商或者对招标文件作出实质响应的投标供应商（有效投标）不足三家，按</w:t>
      </w:r>
      <w:r>
        <w:rPr>
          <w:rFonts w:hint="eastAsia" w:ascii="Arial" w:hAnsi="宋体" w:cs="Arial"/>
        </w:rPr>
        <w:t>国企</w:t>
      </w:r>
      <w:r>
        <w:rPr>
          <w:rFonts w:ascii="Arial" w:hAnsi="宋体" w:cs="Arial"/>
        </w:rPr>
        <w:t>采购有关规定执行。</w:t>
      </w:r>
    </w:p>
    <w:p>
      <w:pPr>
        <w:numPr>
          <w:ilvl w:val="1"/>
          <w:numId w:val="0"/>
        </w:numPr>
        <w:tabs>
          <w:tab w:val="left" w:pos="592"/>
        </w:tabs>
        <w:snapToGrid w:val="0"/>
        <w:spacing w:line="360" w:lineRule="auto"/>
        <w:ind w:left="588" w:hanging="588" w:hangingChars="280"/>
        <w:rPr>
          <w:rFonts w:ascii="Arial" w:hAnsi="Arial" w:cs="Arial"/>
          <w:szCs w:val="21"/>
        </w:rPr>
      </w:pPr>
      <w:r>
        <w:rPr>
          <w:rFonts w:hint="eastAsia" w:ascii="Arial" w:hAnsi="Arial" w:cs="Arial"/>
          <w:szCs w:val="21"/>
        </w:rPr>
        <w:t>3</w:t>
      </w:r>
      <w:r>
        <w:rPr>
          <w:rFonts w:ascii="Arial" w:hAnsi="Arial" w:cs="Arial"/>
          <w:szCs w:val="21"/>
        </w:rPr>
        <w:t>1.3</w:t>
      </w:r>
      <w:r>
        <w:rPr>
          <w:rFonts w:hint="eastAsia" w:ascii="宋体" w:hAnsi="宋体"/>
          <w:szCs w:val="21"/>
        </w:rPr>
        <w:t>排名第一的中标候选人放弃中标；因不可抗力提出不能履行合同；或者招标文件规定应当提交履约保证金而在规定的期限内未能提交的；或未能在规定时间内与招标人签订合同的；或者经质疑，招标人审查后，确因排名第一的候选人在本次招标活动中存在违法违规行为或其他原因使质疑成立的，招标人可视具体情况确定是否由排名第二的中标候选人为中标供应商</w:t>
      </w:r>
      <w:r>
        <w:rPr>
          <w:rFonts w:ascii="Arial" w:hAnsi="宋体" w:cs="Arial"/>
          <w:szCs w:val="21"/>
        </w:rPr>
        <w:t>。</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1.4</w:t>
      </w:r>
      <w:r>
        <w:rPr>
          <w:rFonts w:ascii="Arial" w:hAnsi="宋体" w:cs="Arial"/>
        </w:rPr>
        <w:t>招标人对决标结果不做任何解释，也不保证最低报价者中标。</w:t>
      </w:r>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2.</w:t>
      </w:r>
      <w:r>
        <w:rPr>
          <w:rFonts w:ascii="Arial" w:hAnsi="宋体" w:cs="Arial"/>
          <w:b/>
        </w:rPr>
        <w:t>评标结果质疑与投诉</w:t>
      </w:r>
    </w:p>
    <w:p>
      <w:pPr>
        <w:numPr>
          <w:ilvl w:val="1"/>
          <w:numId w:val="0"/>
        </w:numPr>
        <w:tabs>
          <w:tab w:val="left" w:pos="592"/>
        </w:tabs>
        <w:snapToGrid w:val="0"/>
        <w:spacing w:line="360" w:lineRule="auto"/>
        <w:ind w:left="588" w:hanging="588" w:hangingChars="280"/>
        <w:rPr>
          <w:rFonts w:ascii="宋体" w:hAnsi="宋体" w:cs="宋体"/>
        </w:rPr>
      </w:pPr>
      <w:bookmarkStart w:id="21" w:name="_Toc495977859"/>
      <w:r>
        <w:rPr>
          <w:rFonts w:hint="eastAsia" w:ascii="Arial" w:hAnsi="Arial" w:cs="宋体"/>
        </w:rPr>
        <w:t>3</w:t>
      </w:r>
      <w:r>
        <w:rPr>
          <w:rFonts w:ascii="Arial" w:hAnsi="Arial" w:cs="宋体"/>
        </w:rPr>
        <w:t>2.1</w:t>
      </w:r>
      <w:r>
        <w:rPr>
          <w:rFonts w:hint="eastAsia" w:ascii="宋体" w:hAnsi="宋体" w:cs="宋体"/>
        </w:rPr>
        <w:t>各参加国企采购活动的投标人认为中标结果和采购过程等使自己的权益受到损害的，可以自结果公告期限届满之日（公告发布之日后第2个工作日）起7个工作日内，以书面形式向招标人或受其委托的招标代理机构提出质疑。质疑供应商对招标人、招标代理机构的答复不满意或者招标人、招标代理机构未在规定的时间内作出答复的，可以在答复期满后十五个工作日内向温州公用事业发展集团瑞安水务有限公司纪检室投诉。质疑函范本、投诉书范本请到浙江政府采购网下载专区下载。</w:t>
      </w:r>
    </w:p>
    <w:p>
      <w:pPr>
        <w:numPr>
          <w:ilvl w:val="1"/>
          <w:numId w:val="0"/>
        </w:numPr>
        <w:tabs>
          <w:tab w:val="left" w:pos="592"/>
        </w:tabs>
        <w:snapToGrid w:val="0"/>
        <w:spacing w:line="360" w:lineRule="auto"/>
        <w:ind w:left="588" w:hanging="588" w:hangingChars="280"/>
        <w:rPr>
          <w:rFonts w:ascii="Arial" w:hAnsi="宋体" w:cs="Arial"/>
        </w:rPr>
      </w:pPr>
      <w:r>
        <w:rPr>
          <w:rFonts w:hint="eastAsia" w:ascii="Arial" w:hAnsi="Arial" w:cs="Arial"/>
        </w:rPr>
        <w:t>3</w:t>
      </w:r>
      <w:r>
        <w:rPr>
          <w:rFonts w:ascii="Arial" w:hAnsi="Arial" w:cs="Arial"/>
        </w:rPr>
        <w:t>2.2</w:t>
      </w:r>
      <w:r>
        <w:rPr>
          <w:rFonts w:hint="eastAsia" w:ascii="Arial" w:hAnsi="宋体" w:cs="Arial"/>
        </w:rPr>
        <w:t>质疑、投诉应当采用书面形式，质疑书、投诉书均应明确阐述招标文件、招标过程和中标结果中使自己合法权益受到损害的实质性内容，提供相关事实、依据和证据及其来源或线索，便于有关单位调查、答复和处理。</w:t>
      </w:r>
    </w:p>
    <w:p>
      <w:pPr>
        <w:tabs>
          <w:tab w:val="left" w:pos="900"/>
        </w:tabs>
        <w:spacing w:line="360" w:lineRule="auto"/>
        <w:ind w:left="840" w:leftChars="400"/>
        <w:rPr>
          <w:rFonts w:ascii="Arial" w:hAnsi="宋体" w:cs="Arial"/>
        </w:rPr>
      </w:pPr>
      <w:r>
        <w:rPr>
          <w:rFonts w:hint="eastAsia" w:ascii="Arial" w:hAnsi="宋体" w:cs="Arial"/>
        </w:rPr>
        <w:t>1）  质疑受理机构：浙江凯宝工程项目管理有限公司</w:t>
      </w:r>
    </w:p>
    <w:p>
      <w:pPr>
        <w:tabs>
          <w:tab w:val="left" w:pos="900"/>
        </w:tabs>
        <w:spacing w:line="360" w:lineRule="auto"/>
        <w:ind w:left="840" w:leftChars="400"/>
        <w:rPr>
          <w:rFonts w:ascii="Arial" w:hAnsi="宋体" w:cs="Arial"/>
        </w:rPr>
      </w:pPr>
      <w:r>
        <w:rPr>
          <w:rFonts w:hint="eastAsia" w:ascii="Arial" w:hAnsi="宋体" w:cs="Arial"/>
        </w:rPr>
        <w:t>联系电话：17857626256</w:t>
      </w:r>
    </w:p>
    <w:p>
      <w:pPr>
        <w:tabs>
          <w:tab w:val="left" w:pos="900"/>
        </w:tabs>
        <w:spacing w:line="360" w:lineRule="auto"/>
        <w:ind w:left="840" w:leftChars="400"/>
        <w:rPr>
          <w:rFonts w:ascii="Arial" w:hAnsi="宋体" w:cs="Arial"/>
        </w:rPr>
      </w:pPr>
      <w:r>
        <w:rPr>
          <w:rFonts w:hint="eastAsia" w:ascii="Arial" w:hAnsi="宋体" w:cs="Arial"/>
        </w:rPr>
        <w:t>2）  投诉受理机构：温州公用事业发展集团瑞安水务有限公司纪检室</w:t>
      </w:r>
    </w:p>
    <w:p>
      <w:pPr>
        <w:tabs>
          <w:tab w:val="left" w:pos="900"/>
        </w:tabs>
        <w:spacing w:line="360" w:lineRule="auto"/>
        <w:ind w:left="840" w:leftChars="400"/>
        <w:rPr>
          <w:rFonts w:ascii="Arial" w:hAnsi="宋体" w:cs="Arial"/>
        </w:rPr>
      </w:pPr>
      <w:r>
        <w:rPr>
          <w:rFonts w:hint="eastAsia" w:ascii="Arial" w:hAnsi="宋体" w:cs="Arial"/>
        </w:rPr>
        <w:t>投诉地址：瑞安市院士路288号</w:t>
      </w:r>
    </w:p>
    <w:p>
      <w:pPr>
        <w:tabs>
          <w:tab w:val="left" w:pos="900"/>
        </w:tabs>
        <w:spacing w:line="360" w:lineRule="auto"/>
        <w:ind w:left="840" w:leftChars="400"/>
        <w:rPr>
          <w:rFonts w:ascii="Arial" w:hAnsi="宋体" w:cs="Arial"/>
        </w:rPr>
      </w:pPr>
      <w:r>
        <w:rPr>
          <w:rFonts w:hint="eastAsia" w:ascii="Arial" w:hAnsi="宋体" w:cs="Arial"/>
        </w:rPr>
        <w:t>投诉电话：0577-66872595</w:t>
      </w:r>
    </w:p>
    <w:p>
      <w:pPr>
        <w:spacing w:line="360" w:lineRule="auto"/>
        <w:jc w:val="center"/>
        <w:outlineLvl w:val="1"/>
        <w:rPr>
          <w:rFonts w:ascii="Arial" w:hAnsi="宋体" w:cs="Arial"/>
          <w:b/>
          <w:bCs/>
          <w:sz w:val="28"/>
        </w:rPr>
      </w:pPr>
      <w:bookmarkStart w:id="22" w:name="_Toc26443"/>
      <w:r>
        <w:rPr>
          <w:rFonts w:ascii="Arial" w:hAnsi="宋体" w:cs="Arial"/>
          <w:b/>
          <w:bCs/>
          <w:sz w:val="28"/>
        </w:rPr>
        <w:t>（</w:t>
      </w:r>
      <w:r>
        <w:rPr>
          <w:rFonts w:hint="eastAsia" w:ascii="Arial" w:hAnsi="宋体" w:cs="Arial"/>
          <w:b/>
          <w:bCs/>
          <w:sz w:val="28"/>
        </w:rPr>
        <w:t>七</w:t>
      </w:r>
      <w:r>
        <w:rPr>
          <w:rFonts w:ascii="Arial" w:hAnsi="宋体" w:cs="Arial"/>
          <w:b/>
          <w:bCs/>
          <w:sz w:val="28"/>
        </w:rPr>
        <w:t>）授予合同</w:t>
      </w:r>
      <w:bookmarkEnd w:id="21"/>
      <w:bookmarkEnd w:id="22"/>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3.</w:t>
      </w:r>
      <w:r>
        <w:rPr>
          <w:rFonts w:ascii="Arial" w:hAnsi="宋体" w:cs="Arial"/>
          <w:b/>
        </w:rPr>
        <w:t>合同授予标准</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3.1</w:t>
      </w:r>
      <w:r>
        <w:rPr>
          <w:rFonts w:ascii="Arial" w:hAnsi="宋体" w:cs="Arial"/>
        </w:rPr>
        <w:t>最终审查</w:t>
      </w:r>
    </w:p>
    <w:p>
      <w:pPr>
        <w:snapToGrid w:val="0"/>
        <w:spacing w:line="360" w:lineRule="auto"/>
        <w:ind w:firstLine="660" w:firstLineChars="300"/>
        <w:rPr>
          <w:rFonts w:ascii="Arial" w:hAnsi="Arial" w:cs="Arial"/>
        </w:rPr>
      </w:pPr>
      <w:r>
        <w:rPr>
          <w:rFonts w:hint="eastAsia" w:ascii="宋体" w:hAnsi="宋体"/>
          <w:bCs/>
          <w:sz w:val="22"/>
          <w:szCs w:val="22"/>
        </w:rPr>
        <w:t>评审结束后，招标人将对中标候选人进行最终审查，审查内容主要是</w:t>
      </w:r>
      <w:r>
        <w:rPr>
          <w:rFonts w:ascii="Arial" w:hAnsi="宋体" w:cs="Arial"/>
        </w:rPr>
        <w:t>：</w:t>
      </w:r>
    </w:p>
    <w:p>
      <w:pPr>
        <w:numPr>
          <w:ilvl w:val="0"/>
          <w:numId w:val="14"/>
        </w:numPr>
        <w:snapToGrid w:val="0"/>
        <w:spacing w:line="360" w:lineRule="auto"/>
        <w:rPr>
          <w:rFonts w:ascii="Arial" w:hAnsi="Arial" w:cs="Arial"/>
          <w:szCs w:val="21"/>
        </w:rPr>
      </w:pPr>
      <w:r>
        <w:rPr>
          <w:rFonts w:hint="eastAsia" w:ascii="宋体" w:hAnsi="宋体"/>
          <w:szCs w:val="21"/>
        </w:rPr>
        <w:t>投标供应商的实力、资信的真实性及行业口碑等</w:t>
      </w:r>
      <w:r>
        <w:rPr>
          <w:rFonts w:ascii="Arial" w:hAnsi="宋体" w:cs="Arial"/>
          <w:szCs w:val="21"/>
        </w:rPr>
        <w:t>；</w:t>
      </w:r>
    </w:p>
    <w:p>
      <w:pPr>
        <w:numPr>
          <w:ilvl w:val="0"/>
          <w:numId w:val="14"/>
        </w:numPr>
        <w:snapToGrid w:val="0"/>
        <w:spacing w:line="360" w:lineRule="auto"/>
        <w:rPr>
          <w:rFonts w:ascii="Arial" w:hAnsi="Arial" w:cs="Arial"/>
          <w:szCs w:val="21"/>
        </w:rPr>
      </w:pPr>
      <w:r>
        <w:rPr>
          <w:rFonts w:hint="eastAsia" w:ascii="宋体" w:hAnsi="宋体"/>
          <w:szCs w:val="21"/>
        </w:rPr>
        <w:t>投标供应商履行合同的能力</w:t>
      </w:r>
      <w:r>
        <w:rPr>
          <w:rFonts w:ascii="Arial" w:hAnsi="宋体" w:cs="Arial"/>
          <w:szCs w:val="21"/>
        </w:rPr>
        <w:t>；</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3.2</w:t>
      </w:r>
      <w:r>
        <w:rPr>
          <w:rFonts w:ascii="Arial" w:hAnsi="宋体" w:cs="Arial"/>
        </w:rPr>
        <w:t>最终审查工作如需中标供应商配合，中标供应商必须接受。</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3.3</w:t>
      </w:r>
      <w:r>
        <w:rPr>
          <w:rFonts w:ascii="Arial" w:hAnsi="宋体" w:cs="Arial"/>
        </w:rPr>
        <w:t>中标供应商如未能通过最终审查，招标人将视具体情况，提出具体限时整改要求，中标供应商如未能达到整改要求，其中标资格将被取消。</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3.4</w:t>
      </w:r>
      <w:r>
        <w:rPr>
          <w:rFonts w:ascii="Arial" w:hAnsi="宋体" w:cs="Arial"/>
        </w:rPr>
        <w:t>招标人将合同授予获接受的投标供应商。</w:t>
      </w:r>
    </w:p>
    <w:p>
      <w:pPr>
        <w:snapToGrid w:val="0"/>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4.</w:t>
      </w:r>
      <w:r>
        <w:rPr>
          <w:rFonts w:ascii="Arial" w:hAnsi="宋体" w:cs="Arial"/>
          <w:b/>
        </w:rPr>
        <w:t>中标通知</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4.1</w:t>
      </w:r>
      <w:r>
        <w:rPr>
          <w:rFonts w:ascii="Arial" w:hAnsi="宋体" w:cs="Arial"/>
        </w:rPr>
        <w:t>在投标有效期期满之前，招标人将用书面形式向获接受的投标供应商发出书面的《中标通知书》。</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4.2</w:t>
      </w:r>
      <w:r>
        <w:rPr>
          <w:rFonts w:ascii="Arial" w:hAnsi="宋体" w:cs="Arial"/>
        </w:rPr>
        <w:t>《中标通知书》将是合同的一个组成部分。</w:t>
      </w:r>
    </w:p>
    <w:p>
      <w:pPr>
        <w:snapToGrid w:val="0"/>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5.</w:t>
      </w:r>
      <w:r>
        <w:rPr>
          <w:rFonts w:ascii="Arial" w:hAnsi="宋体" w:cs="Arial"/>
          <w:b/>
        </w:rPr>
        <w:t>签订合同</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5.1</w:t>
      </w:r>
      <w:r>
        <w:rPr>
          <w:rFonts w:ascii="Arial" w:hAnsi="宋体" w:cs="Arial"/>
        </w:rPr>
        <w:t>在收到《中标通知书》后</w:t>
      </w:r>
      <w:r>
        <w:rPr>
          <w:rFonts w:hint="eastAsia" w:ascii="Arial" w:hAnsi="宋体" w:cs="Arial"/>
        </w:rPr>
        <w:t>30天内</w:t>
      </w:r>
      <w:r>
        <w:rPr>
          <w:rFonts w:ascii="Arial" w:hAnsi="宋体" w:cs="Arial"/>
        </w:rPr>
        <w:t>中标供应商应按照</w:t>
      </w:r>
      <w:r>
        <w:rPr>
          <w:rFonts w:ascii="Arial" w:hAnsi="Arial" w:cs="Arial"/>
        </w:rPr>
        <w:t>“</w:t>
      </w:r>
      <w:r>
        <w:rPr>
          <w:rFonts w:ascii="Arial" w:hAnsi="宋体" w:cs="Arial"/>
        </w:rPr>
        <w:t>通知书</w:t>
      </w:r>
      <w:r>
        <w:rPr>
          <w:rFonts w:ascii="Arial" w:hAnsi="Arial" w:cs="Arial"/>
        </w:rPr>
        <w:t>”</w:t>
      </w:r>
      <w:r>
        <w:rPr>
          <w:rFonts w:ascii="Arial" w:hAnsi="宋体" w:cs="Arial"/>
        </w:rPr>
        <w:t>的规定，派遣其代表前往与</w:t>
      </w:r>
      <w:r>
        <w:rPr>
          <w:rFonts w:hint="eastAsia" w:ascii="宋体" w:hAnsi="宋体" w:cs="宋体"/>
          <w:szCs w:val="21"/>
        </w:rPr>
        <w:t>瑞安市排水有限公司、瑞安市排水发展有限公司</w:t>
      </w:r>
      <w:r>
        <w:rPr>
          <w:rFonts w:hint="eastAsia" w:ascii="宋体" w:hAnsi="宋体" w:cs="宋体"/>
          <w:szCs w:val="21"/>
          <w:lang w:eastAsia="zh-CN"/>
        </w:rPr>
        <w:t>、</w:t>
      </w:r>
      <w:r>
        <w:rPr>
          <w:rFonts w:hint="eastAsia" w:ascii="宋体" w:hAnsi="宋体" w:eastAsia="宋体" w:cs="宋体"/>
          <w:szCs w:val="21"/>
          <w:highlight w:val="none"/>
          <w:lang w:val="en-US" w:eastAsia="zh-CN"/>
        </w:rPr>
        <w:t>温州公用事业发展集团瑞安水务有限公司、</w:t>
      </w:r>
      <w:r>
        <w:rPr>
          <w:rFonts w:hint="eastAsia" w:ascii="宋体" w:hAnsi="宋体" w:cs="宋体"/>
          <w:szCs w:val="21"/>
          <w:highlight w:val="none"/>
          <w:lang w:eastAsia="zh-CN"/>
        </w:rPr>
        <w:t>瑞安市市区自来水有限公司</w:t>
      </w:r>
      <w:r>
        <w:rPr>
          <w:rFonts w:ascii="Arial" w:hAnsi="宋体" w:cs="Arial"/>
          <w:highlight w:val="none"/>
        </w:rPr>
        <w:t>签</w:t>
      </w:r>
      <w:r>
        <w:rPr>
          <w:rFonts w:ascii="Arial" w:hAnsi="宋体" w:cs="Arial"/>
        </w:rPr>
        <w:t>署书面合同。投标供应商不得再要求订立背离合同实质性内容的其它合同或要求甲方签署其它任何声明或合同，否则将被取消其中标资格。</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5.2</w:t>
      </w:r>
      <w:r>
        <w:rPr>
          <w:rFonts w:ascii="Arial" w:hAnsi="宋体" w:cs="Arial"/>
        </w:rPr>
        <w:t>招标文件、中标供应商的投标文件及投标修改文件、评标过程中有关澄清文件、经双方签字的询标纪要和中标通知书，均应作为签订合同的依据。</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5.3</w:t>
      </w:r>
      <w:r>
        <w:rPr>
          <w:rFonts w:ascii="Arial" w:hAnsi="宋体" w:cs="Arial"/>
        </w:rPr>
        <w:t>拒签合同的责任：中标方接到中标通知书后，在规定时间内借故否认已经承诺的条件而拒签合同或拒交履约保证金者，以投标违约处理，并赔偿招标人由此造成的直接经济损失</w:t>
      </w:r>
      <w:r>
        <w:rPr>
          <w:rFonts w:hint="eastAsia" w:ascii="Arial" w:hAnsi="宋体" w:cs="Arial"/>
        </w:rPr>
        <w:t>（</w:t>
      </w:r>
      <w:r>
        <w:rPr>
          <w:rFonts w:ascii="Arial" w:hAnsi="宋体" w:cs="Arial"/>
        </w:rPr>
        <w:t>按中标金额的</w:t>
      </w:r>
      <w:r>
        <w:rPr>
          <w:rFonts w:ascii="Arial" w:hAnsi="Arial" w:cs="Arial"/>
        </w:rPr>
        <w:t>1%</w:t>
      </w:r>
      <w:r>
        <w:rPr>
          <w:rFonts w:hint="eastAsia" w:ascii="Arial" w:hAnsi="Arial" w:cs="Arial"/>
        </w:rPr>
        <w:t>计算赔偿金）</w:t>
      </w:r>
      <w:r>
        <w:rPr>
          <w:rFonts w:ascii="Arial" w:hAnsi="宋体" w:cs="Arial"/>
        </w:rPr>
        <w:t>。</w:t>
      </w:r>
    </w:p>
    <w:p>
      <w:pPr>
        <w:widowControl/>
        <w:tabs>
          <w:tab w:val="left" w:pos="425"/>
        </w:tabs>
        <w:spacing w:line="360" w:lineRule="auto"/>
        <w:ind w:left="425" w:hanging="425"/>
        <w:rPr>
          <w:rFonts w:ascii="Arial" w:hAnsi="Arial" w:cs="Arial"/>
          <w:b/>
          <w:sz w:val="24"/>
        </w:rPr>
      </w:pPr>
      <w:r>
        <w:rPr>
          <w:rFonts w:hint="eastAsia" w:ascii="Arial" w:hAnsi="Arial" w:cs="Arial"/>
          <w:b/>
          <w:sz w:val="24"/>
        </w:rPr>
        <w:t>3</w:t>
      </w:r>
      <w:r>
        <w:rPr>
          <w:rFonts w:ascii="Arial" w:hAnsi="Arial" w:cs="Arial"/>
          <w:b/>
          <w:sz w:val="24"/>
        </w:rPr>
        <w:t>6.</w:t>
      </w:r>
      <w:r>
        <w:rPr>
          <w:rFonts w:ascii="Arial" w:hAnsi="宋体" w:cs="Arial"/>
          <w:b/>
          <w:sz w:val="24"/>
        </w:rPr>
        <w:t>招标结果通知</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6.1</w:t>
      </w:r>
      <w:r>
        <w:rPr>
          <w:rFonts w:ascii="Arial" w:hAnsi="宋体" w:cs="Arial"/>
        </w:rPr>
        <w:t>在</w:t>
      </w:r>
      <w:r>
        <w:rPr>
          <w:rFonts w:ascii="Arial" w:hAnsi="Arial" w:cs="Arial"/>
        </w:rPr>
        <w:t>“</w:t>
      </w:r>
      <w:r>
        <w:rPr>
          <w:rFonts w:hint="eastAsia" w:ascii="Arial" w:hAnsi="Arial" w:cs="Arial"/>
        </w:rPr>
        <w:t>温州市公共资源交易网-瑞安市分网</w:t>
      </w:r>
      <w:r>
        <w:rPr>
          <w:rFonts w:ascii="Arial" w:hAnsi="Arial" w:cs="Arial"/>
        </w:rPr>
        <w:t>”</w:t>
      </w:r>
      <w:r>
        <w:rPr>
          <w:rFonts w:ascii="Arial" w:hAnsi="宋体" w:cs="Arial"/>
        </w:rPr>
        <w:t>（网址：</w:t>
      </w:r>
      <w:r>
        <w:rPr>
          <w:rFonts w:ascii="Arial" w:hAnsi="Arial" w:cs="Arial"/>
        </w:rPr>
        <w:t>http://ggzy.ruian.gov.cn</w:t>
      </w:r>
      <w:r>
        <w:rPr>
          <w:rFonts w:ascii="Arial" w:hAnsi="宋体" w:cs="Arial"/>
        </w:rPr>
        <w:t>）发布中标结果。</w:t>
      </w:r>
    </w:p>
    <w:p>
      <w:pPr>
        <w:snapToGrid w:val="0"/>
        <w:spacing w:line="400" w:lineRule="exact"/>
        <w:rPr>
          <w:rFonts w:ascii="Arial" w:hAnsi="Arial" w:cs="Arial"/>
          <w:b/>
          <w:sz w:val="24"/>
        </w:rPr>
      </w:pPr>
      <w:r>
        <w:rPr>
          <w:rFonts w:hint="eastAsia" w:ascii="Arial" w:hAnsi="Arial" w:cs="Arial"/>
          <w:b/>
          <w:sz w:val="24"/>
        </w:rPr>
        <w:t>3</w:t>
      </w:r>
      <w:r>
        <w:rPr>
          <w:rFonts w:ascii="Arial" w:hAnsi="Arial" w:cs="Arial"/>
          <w:b/>
          <w:sz w:val="24"/>
        </w:rPr>
        <w:t>7.</w:t>
      </w:r>
      <w:r>
        <w:rPr>
          <w:rFonts w:ascii="Arial" w:hAnsi="宋体" w:cs="Arial"/>
          <w:b/>
          <w:sz w:val="24"/>
        </w:rPr>
        <w:t>代理服务费</w:t>
      </w:r>
    </w:p>
    <w:p>
      <w:pPr>
        <w:snapToGrid w:val="0"/>
        <w:spacing w:line="400" w:lineRule="exact"/>
        <w:rPr>
          <w:rFonts w:ascii="宋体" w:hAnsi="宋体"/>
          <w:b/>
          <w:szCs w:val="21"/>
        </w:rPr>
      </w:pPr>
      <w:r>
        <w:rPr>
          <w:rFonts w:hint="eastAsia" w:ascii="宋体" w:hAnsi="宋体"/>
          <w:b/>
          <w:bCs/>
          <w:szCs w:val="21"/>
        </w:rPr>
        <w:t>本次采购代理服务费由中标供应商支付，按国家计委计价格[2002]1980号文件结合瑞公发[2022]23号文件，以预算金额为基数，按服务类标准的50%计取执行，最高不超过2万元，最低不低于8000元。在领取成交通知书前一次性付清。分摊在各项目中报价。</w:t>
      </w:r>
    </w:p>
    <w:p>
      <w:pPr>
        <w:numPr>
          <w:ilvl w:val="1"/>
          <w:numId w:val="0"/>
        </w:numPr>
        <w:tabs>
          <w:tab w:val="left" w:pos="567"/>
        </w:tabs>
        <w:snapToGrid w:val="0"/>
        <w:spacing w:line="360" w:lineRule="exact"/>
        <w:ind w:left="567" w:hanging="567"/>
        <w:rPr>
          <w:rFonts w:ascii="Arial" w:hAnsi="Arial" w:cs="Arial"/>
          <w:b/>
          <w:color w:val="0000FF"/>
        </w:rPr>
      </w:pPr>
    </w:p>
    <w:p>
      <w:pPr>
        <w:pStyle w:val="21"/>
        <w:spacing w:after="50" w:line="360" w:lineRule="auto"/>
        <w:ind w:firstLine="0"/>
        <w:jc w:val="center"/>
        <w:outlineLvl w:val="0"/>
        <w:rPr>
          <w:rFonts w:ascii="Arial" w:hAnsi="宋体" w:cs="Arial"/>
          <w:b/>
          <w:bCs/>
          <w:color w:val="0000FF"/>
          <w:szCs w:val="28"/>
        </w:rPr>
      </w:pPr>
      <w:r>
        <w:rPr>
          <w:rFonts w:ascii="Arial" w:hAnsi="宋体" w:cs="Arial"/>
          <w:b/>
          <w:bCs/>
          <w:color w:val="0000FF"/>
          <w:szCs w:val="28"/>
        </w:rPr>
        <w:br w:type="page"/>
      </w:r>
      <w:bookmarkStart w:id="23" w:name="_Toc16925"/>
      <w:r>
        <w:rPr>
          <w:rFonts w:ascii="Arial" w:hAnsi="宋体" w:cs="Arial"/>
          <w:b/>
          <w:bCs/>
          <w:szCs w:val="28"/>
        </w:rPr>
        <w:t>第三部分</w:t>
      </w:r>
      <w:r>
        <w:rPr>
          <w:rFonts w:hint="eastAsia" w:ascii="Arial" w:hAnsi="宋体" w:cs="Arial"/>
          <w:b/>
          <w:bCs/>
          <w:szCs w:val="28"/>
        </w:rPr>
        <w:t xml:space="preserve"> </w:t>
      </w:r>
      <w:r>
        <w:rPr>
          <w:rFonts w:ascii="Arial" w:hAnsi="宋体" w:cs="Arial"/>
          <w:b/>
          <w:bCs/>
          <w:szCs w:val="28"/>
        </w:rPr>
        <w:t xml:space="preserve"> </w:t>
      </w:r>
      <w:r>
        <w:rPr>
          <w:rFonts w:hint="eastAsia" w:ascii="Arial" w:hAnsi="宋体" w:cs="Arial"/>
          <w:b/>
          <w:bCs/>
          <w:szCs w:val="28"/>
        </w:rPr>
        <w:t>招标内容及技术要求</w:t>
      </w:r>
      <w:bookmarkEnd w:id="23"/>
      <w:bookmarkStart w:id="24" w:name="_Toc361996155"/>
    </w:p>
    <w:p>
      <w:pPr>
        <w:numPr>
          <w:ilvl w:val="0"/>
          <w:numId w:val="15"/>
        </w:numPr>
        <w:spacing w:line="360" w:lineRule="auto"/>
        <w:jc w:val="center"/>
        <w:rPr>
          <w:rFonts w:ascii="宋体" w:hAnsi="宋体" w:cs="宋体"/>
          <w:b/>
          <w:bCs/>
          <w:szCs w:val="21"/>
        </w:rPr>
      </w:pPr>
      <w:r>
        <w:rPr>
          <w:rFonts w:hint="eastAsia" w:ascii="宋体" w:hAnsi="宋体" w:cs="宋体"/>
          <w:b/>
          <w:bCs/>
          <w:szCs w:val="21"/>
        </w:rPr>
        <w:t>概述</w:t>
      </w:r>
    </w:p>
    <w:p>
      <w:pPr>
        <w:snapToGrid w:val="0"/>
        <w:spacing w:line="360" w:lineRule="auto"/>
        <w:ind w:left="420" w:hanging="420" w:hangingChars="200"/>
        <w:rPr>
          <w:rFonts w:ascii="Arial" w:hAnsi="宋体" w:cs="Arial"/>
        </w:rPr>
      </w:pPr>
      <w:r>
        <w:rPr>
          <w:rFonts w:hint="eastAsia" w:ascii="Arial" w:hAnsi="宋体" w:cs="Arial"/>
        </w:rPr>
        <w:t>1.1瑞安市排水</w:t>
      </w:r>
      <w:r>
        <w:rPr>
          <w:rFonts w:hint="eastAsia" w:ascii="Arial" w:hAnsi="宋体" w:cs="Arial"/>
          <w:lang w:eastAsia="zh-CN"/>
        </w:rPr>
        <w:t>有限公司、瑞安市排水</w:t>
      </w:r>
      <w:r>
        <w:rPr>
          <w:rFonts w:hint="eastAsia" w:ascii="Arial" w:hAnsi="宋体" w:cs="Arial"/>
        </w:rPr>
        <w:t>发展有限公司</w:t>
      </w:r>
      <w:r>
        <w:rPr>
          <w:rFonts w:hint="eastAsia" w:ascii="Arial" w:hAnsi="宋体" w:cs="Arial"/>
          <w:lang w:eastAsia="zh-CN"/>
        </w:rPr>
        <w:t>、瑞安市市区自来水有限公</w:t>
      </w:r>
      <w:r>
        <w:rPr>
          <w:rFonts w:hint="eastAsia" w:ascii="Arial" w:hAnsi="宋体" w:cs="Arial"/>
          <w:color w:val="auto"/>
          <w:highlight w:val="none"/>
          <w:lang w:eastAsia="zh-CN"/>
        </w:rPr>
        <w:t>司、</w:t>
      </w:r>
      <w:r>
        <w:rPr>
          <w:rFonts w:hint="eastAsia" w:ascii="宋体" w:hAnsi="宋体" w:eastAsia="宋体" w:cs="宋体"/>
          <w:color w:val="auto"/>
          <w:szCs w:val="21"/>
          <w:highlight w:val="none"/>
          <w:lang w:val="en-US" w:eastAsia="zh-CN"/>
        </w:rPr>
        <w:t>温州公用事业发展集团瑞安水务有限公司</w:t>
      </w:r>
      <w:r>
        <w:rPr>
          <w:rFonts w:hint="eastAsia" w:ascii="Arial" w:hAnsi="宋体" w:cs="Arial"/>
          <w:color w:val="auto"/>
          <w:highlight w:val="none"/>
        </w:rPr>
        <w:t>负责我</w:t>
      </w:r>
      <w:r>
        <w:rPr>
          <w:rFonts w:hint="eastAsia" w:ascii="Arial" w:hAnsi="宋体" w:cs="Arial"/>
        </w:rPr>
        <w:t>市</w:t>
      </w:r>
      <w:r>
        <w:rPr>
          <w:rFonts w:hint="eastAsia" w:ascii="Arial" w:hAnsi="宋体" w:cs="Arial"/>
          <w:lang w:eastAsia="zh-CN"/>
        </w:rPr>
        <w:t>供</w:t>
      </w:r>
      <w:r>
        <w:rPr>
          <w:rFonts w:hint="eastAsia" w:ascii="Arial" w:hAnsi="宋体" w:cs="Arial"/>
        </w:rPr>
        <w:t>排水管网、城市污水处理厂</w:t>
      </w:r>
      <w:r>
        <w:rPr>
          <w:rFonts w:hint="eastAsia" w:ascii="Arial" w:hAnsi="宋体" w:cs="Arial"/>
          <w:lang w:eastAsia="zh-CN"/>
        </w:rPr>
        <w:t>、自来水厂</w:t>
      </w:r>
      <w:r>
        <w:rPr>
          <w:rFonts w:hint="eastAsia" w:ascii="Arial" w:hAnsi="宋体" w:cs="Arial"/>
        </w:rPr>
        <w:t>及各类泵站等市政公共设施的运维和管理工作</w:t>
      </w:r>
      <w:r>
        <w:rPr>
          <w:rFonts w:hint="eastAsia" w:ascii="Arial" w:hAnsi="宋体" w:cs="Arial"/>
          <w:lang w:eastAsia="zh-CN"/>
        </w:rPr>
        <w:t>。</w:t>
      </w:r>
      <w:r>
        <w:rPr>
          <w:rFonts w:hint="eastAsia" w:ascii="Arial" w:hAnsi="宋体" w:cs="Arial"/>
        </w:rPr>
        <w:t>近几年来，作为主要</w:t>
      </w:r>
      <w:r>
        <w:rPr>
          <w:rFonts w:hint="eastAsia" w:ascii="Arial" w:hAnsi="宋体" w:cs="Arial"/>
          <w:lang w:eastAsia="zh-CN"/>
        </w:rPr>
        <w:t>水处理</w:t>
      </w:r>
      <w:r>
        <w:rPr>
          <w:rFonts w:hint="eastAsia" w:ascii="Arial" w:hAnsi="宋体" w:cs="Arial"/>
        </w:rPr>
        <w:t>设备的格栅机维修及定期保养工作量日益增加，难度和复杂性日渐提升，为规范采购程序，不断提升</w:t>
      </w:r>
      <w:r>
        <w:rPr>
          <w:rFonts w:hint="eastAsia" w:ascii="Arial" w:hAnsi="宋体" w:cs="Arial"/>
          <w:lang w:eastAsia="zh-CN"/>
        </w:rPr>
        <w:t>自来水厂、</w:t>
      </w:r>
      <w:r>
        <w:rPr>
          <w:rFonts w:hint="eastAsia" w:ascii="Arial" w:hAnsi="宋体" w:cs="Arial"/>
        </w:rPr>
        <w:t>泵站、污水处理厂安全运行水平，现对格栅机定期保养及修理服务进行采购。</w:t>
      </w:r>
    </w:p>
    <w:p>
      <w:pPr>
        <w:snapToGrid w:val="0"/>
        <w:spacing w:line="360" w:lineRule="auto"/>
        <w:ind w:left="420" w:hanging="420" w:hangingChars="200"/>
        <w:rPr>
          <w:rFonts w:ascii="Arial" w:hAnsi="Arial" w:cs="Arial"/>
        </w:rPr>
      </w:pPr>
      <w:r>
        <w:rPr>
          <w:rFonts w:hint="eastAsia" w:ascii="Arial" w:hAnsi="宋体" w:cs="Arial"/>
        </w:rPr>
        <w:t>1.2 投标供应商</w:t>
      </w:r>
      <w:r>
        <w:rPr>
          <w:rFonts w:ascii="Arial" w:hAnsi="宋体" w:cs="Arial"/>
        </w:rPr>
        <w:t>应根据</w:t>
      </w:r>
      <w:r>
        <w:rPr>
          <w:rFonts w:hint="eastAsia" w:ascii="Arial" w:hAnsi="宋体" w:cs="Arial"/>
        </w:rPr>
        <w:t>招标文件</w:t>
      </w:r>
      <w:r>
        <w:rPr>
          <w:rFonts w:ascii="Arial" w:hAnsi="宋体" w:cs="Arial"/>
        </w:rPr>
        <w:t>所提出的</w:t>
      </w:r>
      <w:r>
        <w:rPr>
          <w:rFonts w:hint="eastAsia" w:ascii="Arial" w:hAnsi="宋体" w:cs="Arial"/>
        </w:rPr>
        <w:t>招标的</w:t>
      </w:r>
      <w:r>
        <w:rPr>
          <w:rFonts w:hint="eastAsia" w:ascii="Arial" w:hAnsi="Arial" w:cs="Arial"/>
        </w:rPr>
        <w:t>产品</w:t>
      </w:r>
      <w:r>
        <w:rPr>
          <w:rFonts w:ascii="Arial" w:hAnsi="宋体" w:cs="Arial"/>
        </w:rPr>
        <w:t>技术规格、参数、数量和服务要求，综合考虑</w:t>
      </w:r>
      <w:r>
        <w:rPr>
          <w:rFonts w:hint="eastAsia" w:ascii="Arial" w:hAnsi="宋体" w:cs="Arial"/>
        </w:rPr>
        <w:t>材料</w:t>
      </w:r>
      <w:r>
        <w:rPr>
          <w:rFonts w:ascii="Arial" w:hAnsi="宋体" w:cs="Arial"/>
        </w:rPr>
        <w:t>的适应性，选择具有最佳性能价格比的</w:t>
      </w:r>
      <w:r>
        <w:rPr>
          <w:rFonts w:hint="eastAsia" w:ascii="Arial" w:hAnsi="Arial" w:cs="Arial"/>
        </w:rPr>
        <w:t>产品</w:t>
      </w:r>
      <w:r>
        <w:rPr>
          <w:rFonts w:ascii="Arial" w:hAnsi="宋体" w:cs="Arial"/>
        </w:rPr>
        <w:t>前来</w:t>
      </w:r>
      <w:r>
        <w:rPr>
          <w:rFonts w:hint="eastAsia" w:ascii="Arial" w:hAnsi="宋体" w:cs="Arial"/>
        </w:rPr>
        <w:t>投标</w:t>
      </w:r>
      <w:r>
        <w:rPr>
          <w:rFonts w:ascii="Arial" w:hAnsi="宋体" w:cs="Arial"/>
        </w:rPr>
        <w:t>。希望</w:t>
      </w:r>
      <w:r>
        <w:rPr>
          <w:rFonts w:hint="eastAsia" w:ascii="Arial" w:hAnsi="宋体" w:cs="Arial"/>
        </w:rPr>
        <w:t>投标供应商</w:t>
      </w:r>
      <w:r>
        <w:rPr>
          <w:rFonts w:ascii="Arial" w:hAnsi="宋体" w:cs="Arial"/>
        </w:rPr>
        <w:t>以</w:t>
      </w:r>
      <w:r>
        <w:rPr>
          <w:rFonts w:hint="eastAsia" w:ascii="Arial" w:hAnsi="宋体" w:cs="Arial"/>
        </w:rPr>
        <w:t>优质的产品</w:t>
      </w:r>
      <w:r>
        <w:rPr>
          <w:rFonts w:ascii="Arial" w:hAnsi="宋体" w:cs="Arial"/>
        </w:rPr>
        <w:t>、优良的服务和优惠的价格，充分显示自身的竞争实力</w:t>
      </w:r>
      <w:r>
        <w:rPr>
          <w:rFonts w:hint="eastAsia" w:ascii="Arial" w:hAnsi="宋体" w:cs="Arial"/>
        </w:rPr>
        <w:t>。</w:t>
      </w:r>
    </w:p>
    <w:p>
      <w:pPr>
        <w:snapToGrid w:val="0"/>
        <w:spacing w:line="360" w:lineRule="auto"/>
        <w:ind w:left="420" w:hanging="420" w:hangingChars="200"/>
        <w:rPr>
          <w:rFonts w:ascii="Arial" w:hAnsi="Arial" w:cs="Arial"/>
          <w:bCs/>
        </w:rPr>
      </w:pPr>
      <w:r>
        <w:rPr>
          <w:rFonts w:hint="eastAsia" w:ascii="Arial" w:hAnsi="Arial" w:cs="Arial"/>
          <w:bCs/>
        </w:rPr>
        <w:t>1.3</w:t>
      </w:r>
      <w:r>
        <w:rPr>
          <w:rFonts w:ascii="Arial" w:hAnsi="Arial" w:cs="Arial"/>
          <w:bCs/>
        </w:rPr>
        <w:t>本技术规范只是对</w:t>
      </w:r>
      <w:r>
        <w:rPr>
          <w:rFonts w:hint="eastAsia" w:ascii="Arial" w:hAnsi="Arial" w:cs="Arial"/>
          <w:bCs/>
        </w:rPr>
        <w:t>招标技术要求</w:t>
      </w:r>
      <w:r>
        <w:rPr>
          <w:rFonts w:ascii="Arial" w:hAnsi="Arial" w:cs="Arial"/>
          <w:bCs/>
        </w:rPr>
        <w:t>的一些原则性规定，并不是详尽的要求，</w:t>
      </w:r>
      <w:r>
        <w:rPr>
          <w:rFonts w:hint="eastAsia" w:ascii="Arial" w:hAnsi="Arial" w:cs="Arial"/>
          <w:bCs/>
        </w:rPr>
        <w:t>投标供应商</w:t>
      </w:r>
      <w:r>
        <w:rPr>
          <w:rFonts w:ascii="Arial" w:hAnsi="Arial" w:cs="Arial"/>
          <w:bCs/>
        </w:rPr>
        <w:t>有责任对</w:t>
      </w:r>
      <w:r>
        <w:rPr>
          <w:rFonts w:hint="eastAsia" w:ascii="Arial" w:hAnsi="Arial" w:cs="Arial"/>
          <w:bCs/>
        </w:rPr>
        <w:t>招标的</w:t>
      </w:r>
      <w:r>
        <w:rPr>
          <w:rFonts w:hint="eastAsia" w:ascii="Arial" w:hAnsi="Arial" w:cs="Arial"/>
        </w:rPr>
        <w:t>材料</w:t>
      </w:r>
      <w:r>
        <w:rPr>
          <w:rFonts w:ascii="Arial" w:hAnsi="Arial" w:cs="Arial"/>
          <w:bCs/>
        </w:rPr>
        <w:t>符合技术规范的要求负责。</w:t>
      </w:r>
    </w:p>
    <w:p>
      <w:pPr>
        <w:snapToGrid w:val="0"/>
        <w:spacing w:line="360" w:lineRule="auto"/>
        <w:ind w:left="420" w:hanging="420" w:hangingChars="200"/>
        <w:rPr>
          <w:rFonts w:ascii="Arial" w:hAnsi="Arial" w:cs="Arial"/>
          <w:bCs/>
        </w:rPr>
      </w:pPr>
      <w:r>
        <w:rPr>
          <w:rFonts w:hint="eastAsia" w:ascii="Arial" w:hAnsi="Arial" w:cs="Arial"/>
          <w:bCs/>
        </w:rPr>
        <w:t>1.4</w:t>
      </w:r>
      <w:r>
        <w:rPr>
          <w:rFonts w:ascii="Arial" w:hAnsi="Arial" w:cs="Arial"/>
          <w:bCs/>
        </w:rPr>
        <w:t>在</w:t>
      </w:r>
      <w:r>
        <w:rPr>
          <w:rFonts w:hint="eastAsia" w:ascii="Arial" w:hAnsi="Arial" w:cs="Arial"/>
          <w:bCs/>
        </w:rPr>
        <w:t>投标</w:t>
      </w:r>
      <w:r>
        <w:rPr>
          <w:rFonts w:ascii="Arial" w:hAnsi="Arial" w:cs="Arial"/>
          <w:bCs/>
        </w:rPr>
        <w:t>之前，</w:t>
      </w:r>
      <w:r>
        <w:rPr>
          <w:rFonts w:hint="eastAsia" w:ascii="Arial" w:hAnsi="Arial" w:cs="Arial"/>
          <w:bCs/>
        </w:rPr>
        <w:t>投标供应商</w:t>
      </w:r>
      <w:r>
        <w:rPr>
          <w:rFonts w:ascii="Arial" w:hAnsi="Arial" w:cs="Arial"/>
          <w:bCs/>
        </w:rPr>
        <w:t>须仔细阅读</w:t>
      </w:r>
      <w:r>
        <w:rPr>
          <w:rFonts w:hint="eastAsia" w:ascii="Arial" w:hAnsi="Arial" w:cs="Arial"/>
          <w:bCs/>
        </w:rPr>
        <w:t>招标文件</w:t>
      </w:r>
      <w:r>
        <w:rPr>
          <w:rFonts w:ascii="Arial" w:hAnsi="Arial" w:cs="Arial"/>
          <w:bCs/>
        </w:rPr>
        <w:t>，如发现有任何疑问、冲突或技术问题，</w:t>
      </w:r>
      <w:r>
        <w:rPr>
          <w:rFonts w:hint="eastAsia" w:ascii="Arial" w:hAnsi="Arial" w:cs="Arial"/>
          <w:bCs/>
        </w:rPr>
        <w:t>投标供应商</w:t>
      </w:r>
      <w:r>
        <w:rPr>
          <w:rFonts w:ascii="Arial" w:hAnsi="Arial" w:cs="Arial"/>
          <w:bCs/>
        </w:rPr>
        <w:t>须向</w:t>
      </w:r>
      <w:r>
        <w:rPr>
          <w:rFonts w:hint="eastAsia" w:ascii="Arial" w:hAnsi="Arial" w:cs="Arial"/>
          <w:bCs/>
        </w:rPr>
        <w:t>招标人或招标代理单位</w:t>
      </w:r>
      <w:r>
        <w:rPr>
          <w:rFonts w:ascii="Arial" w:hAnsi="Arial" w:cs="Arial"/>
          <w:bCs/>
        </w:rPr>
        <w:t>咨询。</w:t>
      </w:r>
    </w:p>
    <w:p>
      <w:pPr>
        <w:snapToGrid w:val="0"/>
        <w:spacing w:line="360" w:lineRule="auto"/>
        <w:ind w:left="420" w:hanging="420" w:hangingChars="200"/>
        <w:rPr>
          <w:rFonts w:ascii="宋体" w:hAnsi="宋体"/>
        </w:rPr>
      </w:pPr>
      <w:r>
        <w:rPr>
          <w:rFonts w:hint="eastAsia" w:ascii="Arial" w:hAnsi="Arial"/>
          <w:bCs/>
        </w:rPr>
        <w:t>1.5投标供应商须对招标文件中涉及到的知识产权负责，并保证不伤害招标单位的利益。在法律范围内，所有文字、商标和技术侵权造成的相关费用，招标单位概不负责。</w:t>
      </w:r>
    </w:p>
    <w:p>
      <w:pPr>
        <w:snapToGrid w:val="0"/>
        <w:spacing w:line="360" w:lineRule="auto"/>
        <w:ind w:left="420" w:hanging="420" w:hangingChars="200"/>
        <w:rPr>
          <w:rFonts w:ascii="Arial" w:hAnsi="宋体" w:cs="Arial"/>
          <w:color w:val="auto"/>
        </w:rPr>
      </w:pPr>
      <w:r>
        <w:rPr>
          <w:rFonts w:hint="eastAsia" w:ascii="Arial" w:hAnsi="宋体" w:cs="Arial"/>
        </w:rPr>
        <w:t>1.6</w:t>
      </w:r>
      <w:r>
        <w:rPr>
          <w:rFonts w:ascii="Arial" w:hAnsi="宋体" w:cs="Arial"/>
        </w:rPr>
        <w:t>本次</w:t>
      </w:r>
      <w:r>
        <w:rPr>
          <w:rFonts w:hint="eastAsia" w:ascii="Arial" w:hAnsi="宋体" w:cs="Arial"/>
        </w:rPr>
        <w:t>招标</w:t>
      </w:r>
      <w:r>
        <w:rPr>
          <w:rFonts w:ascii="Arial" w:hAnsi="宋体" w:cs="Arial"/>
        </w:rPr>
        <w:t>设</w:t>
      </w:r>
      <w:r>
        <w:rPr>
          <w:rFonts w:hint="eastAsia" w:ascii="Arial" w:hAnsi="宋体" w:cs="Arial"/>
        </w:rPr>
        <w:t>一</w:t>
      </w:r>
      <w:r>
        <w:rPr>
          <w:rFonts w:ascii="Arial" w:hAnsi="宋体" w:cs="Arial"/>
        </w:rPr>
        <w:t>个标段</w:t>
      </w:r>
      <w:r>
        <w:rPr>
          <w:rFonts w:hint="eastAsia" w:ascii="Arial" w:hAnsi="宋体" w:cs="Arial"/>
        </w:rPr>
        <w:t>。</w:t>
      </w:r>
      <w:r>
        <w:rPr>
          <w:rFonts w:ascii="Arial" w:hAnsi="宋体" w:cs="Arial"/>
        </w:rPr>
        <w:t>投标供应商须对招标范围内的全部内容进行</w:t>
      </w:r>
      <w:r>
        <w:rPr>
          <w:rFonts w:hint="eastAsia" w:ascii="Arial" w:hAnsi="宋体" w:cs="Arial"/>
        </w:rPr>
        <w:t>报价</w:t>
      </w:r>
      <w:r>
        <w:rPr>
          <w:rFonts w:ascii="Arial" w:hAnsi="宋体" w:cs="Arial"/>
        </w:rPr>
        <w:t>，而不允许只对范围内其</w:t>
      </w:r>
      <w:r>
        <w:rPr>
          <w:rFonts w:ascii="Arial" w:hAnsi="宋体" w:cs="Arial"/>
          <w:color w:val="auto"/>
        </w:rPr>
        <w:t>中部分内容进行</w:t>
      </w:r>
      <w:r>
        <w:rPr>
          <w:rFonts w:hint="eastAsia" w:ascii="Arial" w:hAnsi="宋体" w:cs="Arial"/>
          <w:color w:val="auto"/>
        </w:rPr>
        <w:t>报价</w:t>
      </w:r>
      <w:r>
        <w:rPr>
          <w:rFonts w:ascii="Arial" w:hAnsi="宋体" w:cs="Arial"/>
          <w:color w:val="auto"/>
        </w:rPr>
        <w:t>，否则有可能</w:t>
      </w:r>
      <w:r>
        <w:rPr>
          <w:rFonts w:hint="eastAsia" w:ascii="Arial" w:hAnsi="宋体" w:cs="Arial"/>
          <w:color w:val="auto"/>
        </w:rPr>
        <w:t>失去投标资格</w:t>
      </w:r>
      <w:r>
        <w:rPr>
          <w:rFonts w:ascii="Arial" w:hAnsi="宋体" w:cs="Arial"/>
          <w:color w:val="auto"/>
        </w:rPr>
        <w:t>。</w:t>
      </w:r>
    </w:p>
    <w:p>
      <w:pPr>
        <w:snapToGrid w:val="0"/>
        <w:spacing w:line="360" w:lineRule="auto"/>
        <w:ind w:left="420" w:hanging="420" w:hangingChars="200"/>
        <w:rPr>
          <w:rFonts w:hint="eastAsia" w:ascii="Arial" w:hAnsi="宋体" w:eastAsia="宋体" w:cs="Arial"/>
          <w:lang w:val="en-US" w:eastAsia="zh-CN"/>
        </w:rPr>
      </w:pPr>
      <w:r>
        <w:rPr>
          <w:rFonts w:hint="eastAsia" w:ascii="Arial" w:hAnsi="宋体" w:eastAsia="宋体" w:cs="Arial"/>
          <w:color w:val="auto"/>
          <w:lang w:val="en-US" w:eastAsia="zh-CN"/>
        </w:rPr>
        <w:t>1.7总预算金额为113</w:t>
      </w:r>
      <w:r>
        <w:rPr>
          <w:rFonts w:hint="eastAsia" w:ascii="Arial" w:hAnsi="宋体" w:cs="Arial"/>
          <w:color w:val="auto"/>
          <w:lang w:val="en-US" w:eastAsia="zh-CN"/>
        </w:rPr>
        <w:t>0000</w:t>
      </w:r>
      <w:r>
        <w:rPr>
          <w:rFonts w:hint="eastAsia" w:ascii="Arial" w:hAnsi="宋体" w:eastAsia="宋体" w:cs="Arial"/>
          <w:color w:val="auto"/>
          <w:lang w:val="en-US" w:eastAsia="zh-CN"/>
        </w:rPr>
        <w:t>元，其中</w:t>
      </w:r>
      <w:r>
        <w:rPr>
          <w:rFonts w:hint="eastAsia" w:ascii="Arial" w:hAnsi="宋体" w:eastAsia="宋体" w:cs="Arial"/>
          <w:color w:val="auto"/>
          <w:lang w:eastAsia="zh-CN"/>
        </w:rPr>
        <w:t>瑞安市排水有限公司750000元、瑞安市排水发展有限公司250000元、</w:t>
      </w:r>
      <w:r>
        <w:rPr>
          <w:rFonts w:hint="eastAsia" w:ascii="Arial" w:hAnsi="宋体" w:eastAsia="宋体" w:cs="Arial"/>
          <w:color w:val="auto"/>
          <w:lang w:val="en-US" w:eastAsia="zh-CN"/>
        </w:rPr>
        <w:t>温州公用事业发展集团瑞安水务有限公司80000元、</w:t>
      </w:r>
      <w:r>
        <w:rPr>
          <w:rFonts w:hint="eastAsia" w:ascii="Arial" w:hAnsi="宋体" w:eastAsia="宋体" w:cs="Arial"/>
          <w:color w:val="auto"/>
          <w:lang w:eastAsia="zh-CN"/>
        </w:rPr>
        <w:t>瑞安市市区自来水有限公司</w:t>
      </w:r>
      <w:r>
        <w:rPr>
          <w:rFonts w:hint="eastAsia" w:ascii="Arial" w:hAnsi="宋体" w:eastAsia="宋体" w:cs="Arial"/>
          <w:color w:val="auto"/>
          <w:lang w:val="en-US" w:eastAsia="zh-CN"/>
        </w:rPr>
        <w:t>50000元，中标人需</w:t>
      </w:r>
      <w:r>
        <w:rPr>
          <w:rFonts w:hint="eastAsia" w:ascii="Arial" w:hAnsi="宋体" w:cs="Arial"/>
          <w:color w:val="auto"/>
          <w:lang w:val="en-US" w:eastAsia="zh-CN"/>
        </w:rPr>
        <w:t>与</w:t>
      </w:r>
      <w:r>
        <w:rPr>
          <w:rFonts w:hint="eastAsia" w:ascii="宋体" w:hAnsi="宋体" w:cs="宋体"/>
          <w:color w:val="auto"/>
          <w:szCs w:val="21"/>
        </w:rPr>
        <w:t>瑞安市排水有限公司、瑞安市排水发展有限公司</w:t>
      </w:r>
      <w:r>
        <w:rPr>
          <w:rFonts w:hint="eastAsia" w:ascii="宋体" w:hAnsi="宋体" w:cs="宋体"/>
          <w:color w:val="auto"/>
          <w:szCs w:val="21"/>
          <w:lang w:eastAsia="zh-CN"/>
        </w:rPr>
        <w:t>、</w:t>
      </w:r>
      <w:r>
        <w:rPr>
          <w:rFonts w:hint="eastAsia" w:ascii="宋体" w:hAnsi="宋体" w:eastAsia="宋体" w:cs="宋体"/>
          <w:color w:val="auto"/>
          <w:szCs w:val="21"/>
          <w:highlight w:val="none"/>
          <w:lang w:val="en-US" w:eastAsia="zh-CN"/>
        </w:rPr>
        <w:t>温州公用事业发展集团瑞安水务有限公司、</w:t>
      </w:r>
      <w:r>
        <w:rPr>
          <w:rFonts w:hint="eastAsia" w:ascii="宋体" w:hAnsi="宋体" w:cs="宋体"/>
          <w:color w:val="auto"/>
          <w:szCs w:val="21"/>
          <w:highlight w:val="none"/>
          <w:lang w:eastAsia="zh-CN"/>
        </w:rPr>
        <w:t>瑞安市市区自来水有限公司分别</w:t>
      </w:r>
      <w:r>
        <w:rPr>
          <w:rFonts w:ascii="Arial" w:hAnsi="宋体" w:cs="Arial"/>
          <w:color w:val="auto"/>
          <w:highlight w:val="none"/>
        </w:rPr>
        <w:t>签署合同</w:t>
      </w:r>
      <w:r>
        <w:rPr>
          <w:rFonts w:hint="eastAsia" w:ascii="Arial" w:hAnsi="宋体" w:cs="Arial"/>
          <w:color w:val="auto"/>
          <w:highlight w:val="none"/>
          <w:lang w:eastAsia="zh-CN"/>
        </w:rPr>
        <w:t>。</w:t>
      </w:r>
    </w:p>
    <w:p>
      <w:pPr>
        <w:numPr>
          <w:ilvl w:val="0"/>
          <w:numId w:val="15"/>
        </w:numPr>
        <w:spacing w:line="360" w:lineRule="auto"/>
        <w:jc w:val="center"/>
        <w:rPr>
          <w:rFonts w:ascii="宋体" w:hAnsi="宋体" w:cs="宋体"/>
          <w:b/>
          <w:bCs/>
          <w:szCs w:val="21"/>
        </w:rPr>
      </w:pPr>
      <w:r>
        <w:rPr>
          <w:rFonts w:hint="eastAsia" w:ascii="宋体" w:hAnsi="宋体" w:cs="宋体"/>
          <w:b/>
          <w:bCs/>
          <w:szCs w:val="21"/>
        </w:rPr>
        <w:t>招标内容</w:t>
      </w:r>
    </w:p>
    <w:p>
      <w:pPr>
        <w:snapToGrid w:val="0"/>
        <w:spacing w:line="360" w:lineRule="auto"/>
        <w:ind w:left="1"/>
        <w:rPr>
          <w:rFonts w:hint="eastAsia" w:ascii="Arial" w:hAnsi="宋体" w:cs="Arial"/>
          <w:b/>
        </w:rPr>
      </w:pPr>
      <w:r>
        <w:rPr>
          <w:rFonts w:hint="eastAsia" w:ascii="Arial" w:hAnsi="宋体" w:cs="Arial"/>
          <w:b/>
        </w:rPr>
        <w:t>2.1</w:t>
      </w:r>
      <w:r>
        <w:rPr>
          <w:rFonts w:hint="eastAsia" w:ascii="Arial" w:hAnsi="宋体" w:cs="Arial"/>
          <w:b/>
          <w:lang w:val="en-US" w:eastAsia="zh-CN"/>
        </w:rPr>
        <w:t>瑞安市排水有限公司</w:t>
      </w:r>
      <w:r>
        <w:rPr>
          <w:rFonts w:hint="eastAsia" w:ascii="Arial" w:hAnsi="宋体" w:cs="Arial"/>
          <w:b/>
          <w:lang w:eastAsia="zh-CN"/>
        </w:rPr>
        <w:t>设备</w:t>
      </w:r>
      <w:r>
        <w:rPr>
          <w:rFonts w:hint="eastAsia" w:ascii="Arial" w:hAnsi="宋体" w:cs="Arial"/>
          <w:b/>
        </w:rPr>
        <w:t>清单</w:t>
      </w:r>
    </w:p>
    <w:p>
      <w:pPr>
        <w:snapToGrid w:val="0"/>
        <w:spacing w:line="360" w:lineRule="auto"/>
        <w:ind w:left="1"/>
        <w:rPr>
          <w:rFonts w:hint="eastAsia" w:ascii="Arial" w:hAnsi="宋体" w:cs="Arial"/>
          <w:b/>
        </w:rPr>
      </w:pPr>
    </w:p>
    <w:tbl>
      <w:tblPr>
        <w:tblStyle w:val="50"/>
        <w:tblW w:w="53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254"/>
        <w:gridCol w:w="899"/>
        <w:gridCol w:w="900"/>
        <w:gridCol w:w="1041"/>
        <w:gridCol w:w="1095"/>
        <w:gridCol w:w="1208"/>
        <w:gridCol w:w="125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6"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i w:val="0"/>
                <w:iCs w:val="0"/>
                <w:color w:val="000000"/>
                <w:kern w:val="0"/>
                <w:sz w:val="20"/>
                <w:szCs w:val="20"/>
                <w:u w:val="none"/>
                <w:lang w:val="en-US" w:eastAsia="zh-CN" w:bidi="ar"/>
              </w:rPr>
              <w:t>序号</w:t>
            </w:r>
          </w:p>
        </w:tc>
        <w:tc>
          <w:tcPr>
            <w:tcW w:w="1254"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格栅类型</w:t>
            </w:r>
          </w:p>
        </w:tc>
        <w:tc>
          <w:tcPr>
            <w:tcW w:w="899"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安装位置</w:t>
            </w:r>
          </w:p>
        </w:tc>
        <w:tc>
          <w:tcPr>
            <w:tcW w:w="900"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是否配套螺杆输送机</w:t>
            </w:r>
          </w:p>
        </w:tc>
        <w:tc>
          <w:tcPr>
            <w:tcW w:w="1041"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设备型号</w:t>
            </w:r>
          </w:p>
        </w:tc>
        <w:tc>
          <w:tcPr>
            <w:tcW w:w="1095"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渠宽（mm）</w:t>
            </w:r>
          </w:p>
        </w:tc>
        <w:tc>
          <w:tcPr>
            <w:tcW w:w="1208"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格栅栅隙（mm）</w:t>
            </w:r>
          </w:p>
        </w:tc>
        <w:tc>
          <w:tcPr>
            <w:tcW w:w="1570"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陶山污水处理厂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10.6</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10.6</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3</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HZ-800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4</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HZ-800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马屿污水处理厂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ZHG-700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ZHG-700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湖岭污水处理厂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530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530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回旋式耙齿格栅机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联光泵站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JSHG-1200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中国金山环保集团公司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12</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回转式耙齿格栅机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JSHG-1200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中国金山环保集团公司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13</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南垟泵站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 xml:space="preserve"> 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14</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回转式耙齿格栅机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JSHG-1200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中国金山环保集团公司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15</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中村泵站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16</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回转式耙齿格栅机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17</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之江泵站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1800/20mm/2.2kw</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1800</w:t>
            </w:r>
          </w:p>
        </w:tc>
        <w:tc>
          <w:tcPr>
            <w:tcW w:w="1208" w:type="dxa"/>
            <w:vAlign w:val="center"/>
          </w:tcPr>
          <w:p>
            <w:pPr>
              <w:jc w:val="center"/>
              <w:rPr>
                <w:rFonts w:hint="default" w:ascii="宋体" w:hAnsi="宋体" w:eastAsia="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7000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19</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风荷泵站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GSHZ-400-6400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19</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城西泵站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GSHZ2000-6450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回旋式耙齿格栅机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GSHZ2000-6450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龙湖泵站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HF 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22</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回旋式耙齿格栅机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HF 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23</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马屿泵站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95</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24</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山下泵站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XGC-1000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9.25</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25</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XGC-1000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9.25</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26</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前村泵站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HF-700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7.8</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27</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上东泵站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TG8-1400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乐清市水泵厂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28</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TG8-1400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乐清市水泵厂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29</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30</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长春泵站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1750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江苏泉溪环保公司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32</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1750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江苏泉溪环保公司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33</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粉碎性格栅</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邮电南路泵站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DFS600X400</w:t>
            </w:r>
          </w:p>
        </w:tc>
        <w:tc>
          <w:tcPr>
            <w:tcW w:w="1095" w:type="dxa"/>
            <w:vAlign w:val="center"/>
          </w:tcPr>
          <w:p>
            <w:pPr>
              <w:jc w:val="center"/>
              <w:rPr>
                <w:rFonts w:ascii="宋体" w:hAnsi="宋体" w:cs="宋体"/>
                <w:color w:val="000000"/>
                <w:sz w:val="16"/>
                <w:szCs w:val="16"/>
              </w:rPr>
            </w:pPr>
          </w:p>
        </w:tc>
        <w:tc>
          <w:tcPr>
            <w:tcW w:w="1208" w:type="dxa"/>
            <w:vAlign w:val="center"/>
          </w:tcPr>
          <w:p>
            <w:pPr>
              <w:jc w:val="center"/>
              <w:rPr>
                <w:rFonts w:ascii="宋体" w:hAnsi="宋体" w:cs="宋体"/>
                <w:color w:val="000000"/>
                <w:sz w:val="16"/>
                <w:szCs w:val="16"/>
              </w:rPr>
            </w:pPr>
          </w:p>
        </w:tc>
        <w:tc>
          <w:tcPr>
            <w:tcW w:w="1258" w:type="dxa"/>
            <w:vAlign w:val="center"/>
          </w:tcPr>
          <w:p>
            <w:pPr>
              <w:jc w:val="center"/>
              <w:rPr>
                <w:rFonts w:ascii="宋体" w:hAnsi="宋体" w:cs="宋体"/>
                <w:color w:val="000000"/>
                <w:sz w:val="16"/>
                <w:szCs w:val="16"/>
              </w:rPr>
            </w:pP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宜兴久华环保科技有限公司</w:t>
            </w:r>
          </w:p>
        </w:tc>
      </w:tr>
    </w:tbl>
    <w:p>
      <w:pPr>
        <w:snapToGrid w:val="0"/>
        <w:spacing w:line="360" w:lineRule="auto"/>
        <w:ind w:left="1"/>
        <w:rPr>
          <w:rFonts w:hint="eastAsia" w:ascii="Arial" w:hAnsi="宋体" w:cs="Arial"/>
          <w:b/>
          <w:lang w:val="en-US" w:eastAsia="zh-CN"/>
        </w:rPr>
      </w:pPr>
    </w:p>
    <w:p>
      <w:pPr>
        <w:snapToGrid w:val="0"/>
        <w:spacing w:line="360" w:lineRule="auto"/>
        <w:ind w:left="1"/>
        <w:rPr>
          <w:rFonts w:hint="default" w:ascii="Arial" w:hAnsi="宋体" w:cs="Arial"/>
          <w:b/>
          <w:lang w:val="en-US" w:eastAsia="zh-CN"/>
        </w:rPr>
      </w:pPr>
      <w:r>
        <w:rPr>
          <w:rFonts w:hint="eastAsia" w:ascii="Arial" w:hAnsi="宋体" w:cs="Arial"/>
          <w:b/>
          <w:lang w:val="en-US" w:eastAsia="zh-CN"/>
        </w:rPr>
        <w:t>2.2瑞安市排水发展有限公司</w:t>
      </w:r>
      <w:r>
        <w:rPr>
          <w:rFonts w:hint="eastAsia" w:ascii="Arial" w:hAnsi="宋体" w:cs="Arial"/>
          <w:b/>
          <w:lang w:eastAsia="zh-CN"/>
        </w:rPr>
        <w:t>设备</w:t>
      </w:r>
      <w:r>
        <w:rPr>
          <w:rFonts w:hint="eastAsia" w:ascii="Arial" w:hAnsi="宋体" w:cs="Arial"/>
          <w:b/>
        </w:rPr>
        <w:t>清单</w:t>
      </w:r>
    </w:p>
    <w:tbl>
      <w:tblPr>
        <w:tblStyle w:val="50"/>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85"/>
        <w:gridCol w:w="1045"/>
        <w:gridCol w:w="754"/>
        <w:gridCol w:w="1041"/>
        <w:gridCol w:w="1095"/>
        <w:gridCol w:w="1208"/>
        <w:gridCol w:w="125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序号</w:t>
            </w:r>
          </w:p>
        </w:tc>
        <w:tc>
          <w:tcPr>
            <w:tcW w:w="128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格栅类型</w:t>
            </w:r>
          </w:p>
        </w:tc>
        <w:tc>
          <w:tcPr>
            <w:tcW w:w="104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安装位置</w:t>
            </w:r>
          </w:p>
        </w:tc>
        <w:tc>
          <w:tcPr>
            <w:tcW w:w="754"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是否配套螺杆输送机</w:t>
            </w:r>
          </w:p>
        </w:tc>
        <w:tc>
          <w:tcPr>
            <w:tcW w:w="1041"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设备型号</w:t>
            </w:r>
          </w:p>
        </w:tc>
        <w:tc>
          <w:tcPr>
            <w:tcW w:w="109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渠宽（mm）</w:t>
            </w:r>
          </w:p>
        </w:tc>
        <w:tc>
          <w:tcPr>
            <w:tcW w:w="1208"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格栅栅隙（mm）</w:t>
            </w:r>
          </w:p>
        </w:tc>
        <w:tc>
          <w:tcPr>
            <w:tcW w:w="1479"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cs="宋体"/>
                <w:color w:val="000000"/>
                <w:kern w:val="2"/>
                <w:sz w:val="16"/>
                <w:szCs w:val="16"/>
                <w:lang w:val="en-US" w:eastAsia="zh-CN" w:bidi="ar-SA"/>
              </w:rPr>
              <w:t>1</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双桥泵站</w:t>
            </w:r>
          </w:p>
        </w:tc>
        <w:tc>
          <w:tcPr>
            <w:tcW w:w="754"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GSHZ650-8500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650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8500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w:t>
            </w:r>
          </w:p>
        </w:tc>
        <w:tc>
          <w:tcPr>
            <w:tcW w:w="128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ascii="宋体" w:hAnsi="宋体" w:cs="宋体"/>
                <w:color w:val="000000"/>
                <w:sz w:val="16"/>
                <w:szCs w:val="16"/>
              </w:rPr>
            </w:pPr>
          </w:p>
        </w:tc>
        <w:tc>
          <w:tcPr>
            <w:tcW w:w="754" w:type="dxa"/>
            <w:vMerge w:val="continue"/>
            <w:vAlign w:val="center"/>
          </w:tcPr>
          <w:p>
            <w:pPr>
              <w:keepNext w:val="0"/>
              <w:keepLines w:val="0"/>
              <w:widowControl/>
              <w:suppressLineNumbers w:val="0"/>
              <w:jc w:val="center"/>
              <w:textAlignment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GSHZ65-8500</w:t>
            </w:r>
          </w:p>
        </w:tc>
        <w:tc>
          <w:tcPr>
            <w:tcW w:w="109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650</w:t>
            </w:r>
          </w:p>
        </w:tc>
        <w:tc>
          <w:tcPr>
            <w:tcW w:w="120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8500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w:t>
            </w:r>
          </w:p>
        </w:tc>
        <w:tc>
          <w:tcPr>
            <w:tcW w:w="128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肇平垟泵站</w:t>
            </w:r>
          </w:p>
        </w:tc>
        <w:tc>
          <w:tcPr>
            <w:tcW w:w="754" w:type="dxa"/>
            <w:vMerge w:val="restart"/>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GSHZ880</w:t>
            </w:r>
          </w:p>
        </w:tc>
        <w:tc>
          <w:tcPr>
            <w:tcW w:w="109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880</w:t>
            </w:r>
          </w:p>
        </w:tc>
        <w:tc>
          <w:tcPr>
            <w:tcW w:w="120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8550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GSHZ880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880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8550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上马泵站</w:t>
            </w:r>
          </w:p>
        </w:tc>
        <w:tc>
          <w:tcPr>
            <w:tcW w:w="754"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GSHZ110-9150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9150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41"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GSHZ110-9150</w:t>
            </w:r>
          </w:p>
        </w:tc>
        <w:tc>
          <w:tcPr>
            <w:tcW w:w="1095"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9150</w:t>
            </w:r>
          </w:p>
        </w:tc>
        <w:tc>
          <w:tcPr>
            <w:tcW w:w="1258"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1479"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海东泵站</w:t>
            </w:r>
          </w:p>
        </w:tc>
        <w:tc>
          <w:tcPr>
            <w:tcW w:w="754"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GSHZ500-9900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9900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GSHZ500-9900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9900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0"/>
                <w:sz w:val="16"/>
                <w:szCs w:val="16"/>
                <w:lang w:val="en-US" w:eastAsia="zh-CN" w:bidi="ar"/>
              </w:rPr>
            </w:pPr>
            <w:r>
              <w:rPr>
                <w:rFonts w:hint="eastAsia" w:ascii="宋体" w:hAnsi="宋体" w:eastAsia="宋体" w:cs="宋体"/>
                <w:i w:val="0"/>
                <w:iCs w:val="0"/>
                <w:color w:val="000000"/>
                <w:kern w:val="0"/>
                <w:sz w:val="20"/>
                <w:szCs w:val="20"/>
                <w:u w:val="none"/>
                <w:lang w:val="en-US" w:eastAsia="zh-CN" w:bidi="ar"/>
              </w:rPr>
              <w:t>粉碎性格栅</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林垟泵站</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N=4KW</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浙江天行健水务有限公司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0"/>
                <w:sz w:val="16"/>
                <w:szCs w:val="16"/>
                <w:lang w:val="en-US" w:eastAsia="zh-CN" w:bidi="ar"/>
              </w:rPr>
            </w:pPr>
            <w:r>
              <w:rPr>
                <w:rFonts w:hint="eastAsia" w:ascii="宋体" w:hAnsi="宋体" w:eastAsia="宋体" w:cs="宋体"/>
                <w:i w:val="0"/>
                <w:iCs w:val="0"/>
                <w:color w:val="000000"/>
                <w:kern w:val="0"/>
                <w:sz w:val="20"/>
                <w:szCs w:val="20"/>
                <w:u w:val="none"/>
                <w:lang w:val="en-US" w:eastAsia="zh-CN" w:bidi="ar"/>
              </w:rPr>
              <w:t>粉碎性格栅</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江浦泵站</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N=4KW</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栅距6mm</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0"/>
                <w:sz w:val="16"/>
                <w:szCs w:val="16"/>
                <w:lang w:val="en-US" w:eastAsia="zh-CN" w:bidi="ar"/>
              </w:rPr>
            </w:pPr>
            <w:r>
              <w:rPr>
                <w:rFonts w:hint="eastAsia" w:ascii="宋体" w:hAnsi="宋体" w:eastAsia="宋体" w:cs="宋体"/>
                <w:i w:val="0"/>
                <w:iCs w:val="0"/>
                <w:color w:val="000000"/>
                <w:kern w:val="0"/>
                <w:sz w:val="20"/>
                <w:szCs w:val="20"/>
                <w:u w:val="none"/>
                <w:lang w:val="en-US" w:eastAsia="zh-CN" w:bidi="ar"/>
              </w:rPr>
              <w:t>粉碎性格栅</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曹村泵站</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N=4KW</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栅距6mm</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江苏兆盛环保股份有限公司</w:t>
            </w:r>
          </w:p>
        </w:tc>
      </w:tr>
    </w:tbl>
    <w:p>
      <w:pPr>
        <w:rPr>
          <w:rFonts w:hint="default" w:ascii="Arial" w:hAnsi="宋体" w:cs="Arial"/>
          <w:b/>
          <w:lang w:val="en-US" w:eastAsia="zh-CN"/>
        </w:rPr>
      </w:pPr>
      <w:r>
        <w:rPr>
          <w:rFonts w:hint="eastAsia" w:ascii="Arial" w:hAnsi="宋体" w:cs="Arial"/>
          <w:b/>
          <w:lang w:val="en-US" w:eastAsia="zh-CN"/>
        </w:rPr>
        <w:t>2.3温州公用事业发展集团瑞安水务有限公司设备清单</w:t>
      </w:r>
    </w:p>
    <w:tbl>
      <w:tblPr>
        <w:tblStyle w:val="50"/>
        <w:tblW w:w="52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039"/>
        <w:gridCol w:w="1045"/>
        <w:gridCol w:w="754"/>
        <w:gridCol w:w="798"/>
        <w:gridCol w:w="1003"/>
        <w:gridCol w:w="1543"/>
        <w:gridCol w:w="1258"/>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704" w:type="dxa"/>
            <w:gridSpan w:val="9"/>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温州公用事业发展集团瑞安水务有限公司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序号</w:t>
            </w:r>
          </w:p>
        </w:tc>
        <w:tc>
          <w:tcPr>
            <w:tcW w:w="103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格栅类型</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安装位置</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是否配套螺杆输送机</w:t>
            </w:r>
          </w:p>
        </w:tc>
        <w:tc>
          <w:tcPr>
            <w:tcW w:w="79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设备型号</w:t>
            </w:r>
          </w:p>
        </w:tc>
        <w:tc>
          <w:tcPr>
            <w:tcW w:w="100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渠宽（mm）</w:t>
            </w:r>
          </w:p>
        </w:tc>
        <w:tc>
          <w:tcPr>
            <w:tcW w:w="154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格栅栅隙（mm）</w:t>
            </w:r>
          </w:p>
        </w:tc>
        <w:tc>
          <w:tcPr>
            <w:tcW w:w="128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03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高楼泵站</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BGF</w:t>
            </w:r>
          </w:p>
        </w:tc>
        <w:tc>
          <w:tcPr>
            <w:tcW w:w="100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1500</w:t>
            </w:r>
          </w:p>
        </w:tc>
        <w:tc>
          <w:tcPr>
            <w:tcW w:w="154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9000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128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浙江余姚市浙东给排水机械设备厂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高楼泵站</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BGF</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浙江余姚市浙东给排水机械设备厂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高楼泵站</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BGF</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浙江余姚市浙东给排水机械设备厂</w:t>
            </w:r>
          </w:p>
        </w:tc>
      </w:tr>
    </w:tbl>
    <w:p>
      <w:pPr>
        <w:snapToGrid w:val="0"/>
        <w:spacing w:line="360" w:lineRule="auto"/>
        <w:rPr>
          <w:rFonts w:hint="eastAsia" w:ascii="Arial" w:hAnsi="宋体" w:cs="Arial"/>
          <w:b/>
          <w:lang w:val="en-US" w:eastAsia="zh-CN"/>
        </w:rPr>
      </w:pPr>
    </w:p>
    <w:p>
      <w:pPr>
        <w:snapToGrid w:val="0"/>
        <w:spacing w:line="360" w:lineRule="auto"/>
        <w:rPr>
          <w:rFonts w:hint="eastAsia" w:ascii="Arial" w:hAnsi="宋体" w:cs="Arial"/>
          <w:b/>
          <w:lang w:val="en-US" w:eastAsia="zh-CN"/>
        </w:rPr>
      </w:pPr>
    </w:p>
    <w:p>
      <w:pPr>
        <w:snapToGrid w:val="0"/>
        <w:spacing w:line="360" w:lineRule="auto"/>
        <w:rPr>
          <w:rFonts w:hint="default" w:ascii="Arial" w:hAnsi="宋体" w:cs="Arial"/>
          <w:b/>
          <w:lang w:val="en-US" w:eastAsia="zh-CN"/>
        </w:rPr>
      </w:pPr>
      <w:r>
        <w:rPr>
          <w:rFonts w:hint="eastAsia" w:ascii="Arial" w:hAnsi="宋体" w:cs="Arial"/>
          <w:b/>
          <w:lang w:val="en-US" w:eastAsia="zh-CN"/>
        </w:rPr>
        <w:t>2.4瑞安市市区自来水有限公司设备清单</w:t>
      </w:r>
    </w:p>
    <w:tbl>
      <w:tblPr>
        <w:tblStyle w:val="50"/>
        <w:tblW w:w="52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039"/>
        <w:gridCol w:w="1045"/>
        <w:gridCol w:w="754"/>
        <w:gridCol w:w="798"/>
        <w:gridCol w:w="1003"/>
        <w:gridCol w:w="1543"/>
        <w:gridCol w:w="1258"/>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序号</w:t>
            </w:r>
          </w:p>
        </w:tc>
        <w:tc>
          <w:tcPr>
            <w:tcW w:w="103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格栅类型</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安装位置</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是否配套螺杆输送机</w:t>
            </w:r>
          </w:p>
        </w:tc>
        <w:tc>
          <w:tcPr>
            <w:tcW w:w="79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设备型号</w:t>
            </w:r>
          </w:p>
        </w:tc>
        <w:tc>
          <w:tcPr>
            <w:tcW w:w="100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渠宽（mm）</w:t>
            </w:r>
          </w:p>
        </w:tc>
        <w:tc>
          <w:tcPr>
            <w:tcW w:w="154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格栅栅隙（mm）</w:t>
            </w:r>
          </w:p>
        </w:tc>
        <w:tc>
          <w:tcPr>
            <w:tcW w:w="128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03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bl>
    <w:p/>
    <w:p/>
    <w:p>
      <w:pPr>
        <w:rPr>
          <w:rFonts w:hint="eastAsia" w:ascii="Arial" w:hAnsi="宋体" w:cs="Arial"/>
          <w:b/>
        </w:rPr>
      </w:pPr>
      <w:r>
        <w:rPr>
          <w:rFonts w:hint="eastAsia" w:ascii="Arial" w:hAnsi="宋体" w:cs="Arial"/>
          <w:b/>
        </w:rPr>
        <w:br w:type="page"/>
      </w:r>
    </w:p>
    <w:p>
      <w:pPr>
        <w:snapToGrid w:val="0"/>
        <w:spacing w:before="156" w:beforeLines="50" w:line="360" w:lineRule="auto"/>
        <w:ind w:left="422" w:hanging="422" w:hangingChars="200"/>
        <w:rPr>
          <w:rFonts w:ascii="Arial" w:hAnsi="宋体" w:cs="Arial"/>
          <w:b/>
        </w:rPr>
      </w:pPr>
      <w:r>
        <w:rPr>
          <w:rFonts w:hint="eastAsia" w:ascii="Arial" w:hAnsi="宋体" w:cs="Arial"/>
          <w:b/>
        </w:rPr>
        <w:t>2.</w:t>
      </w:r>
      <w:r>
        <w:rPr>
          <w:rFonts w:hint="eastAsia" w:ascii="Arial" w:hAnsi="宋体" w:cs="Arial"/>
          <w:b/>
          <w:lang w:val="en-US" w:eastAsia="zh-CN"/>
        </w:rPr>
        <w:t>5服务</w:t>
      </w:r>
      <w:r>
        <w:rPr>
          <w:rFonts w:hint="eastAsia" w:ascii="Arial" w:hAnsi="宋体" w:cs="Arial"/>
          <w:b/>
          <w:strike w:val="0"/>
          <w:dstrike w:val="0"/>
          <w:color w:val="auto"/>
          <w:highlight w:val="none"/>
          <w:lang w:eastAsia="zh-CN"/>
        </w:rPr>
        <w:t>限价</w:t>
      </w:r>
      <w:r>
        <w:rPr>
          <w:rFonts w:hint="eastAsia" w:ascii="Arial" w:hAnsi="宋体" w:cs="Arial"/>
          <w:b/>
        </w:rPr>
        <w:t>清单：</w:t>
      </w:r>
    </w:p>
    <w:tbl>
      <w:tblPr>
        <w:tblStyle w:val="4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2045"/>
        <w:gridCol w:w="1196"/>
        <w:gridCol w:w="1743"/>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000" w:type="pct"/>
            <w:gridSpan w:val="5"/>
            <w:vAlign w:val="center"/>
          </w:tcPr>
          <w:p>
            <w:pPr>
              <w:jc w:val="center"/>
              <w:rPr>
                <w:rFonts w:hint="eastAsia"/>
                <w:b/>
              </w:rPr>
            </w:pPr>
            <w:r>
              <w:rPr>
                <w:rFonts w:hint="eastAsia"/>
                <w:b/>
                <w:lang w:eastAsia="zh-CN"/>
              </w:rPr>
              <w:t>设备日常巡查及</w:t>
            </w:r>
            <w:r>
              <w:rPr>
                <w:rFonts w:hint="eastAsia"/>
                <w:b/>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45" w:type="pct"/>
            <w:vAlign w:val="center"/>
          </w:tcPr>
          <w:p>
            <w:pPr>
              <w:jc w:val="center"/>
              <w:rPr>
                <w:b/>
              </w:rPr>
            </w:pPr>
            <w:r>
              <w:rPr>
                <w:rFonts w:hint="eastAsia"/>
                <w:b/>
              </w:rPr>
              <w:t>服务内容</w:t>
            </w:r>
          </w:p>
        </w:tc>
        <w:tc>
          <w:tcPr>
            <w:tcW w:w="1081" w:type="pct"/>
            <w:vAlign w:val="center"/>
          </w:tcPr>
          <w:p>
            <w:pPr>
              <w:jc w:val="center"/>
              <w:rPr>
                <w:b/>
              </w:rPr>
            </w:pPr>
            <w:r>
              <w:rPr>
                <w:rFonts w:hint="eastAsia"/>
                <w:b/>
              </w:rPr>
              <w:t>服务项目</w:t>
            </w:r>
          </w:p>
        </w:tc>
        <w:tc>
          <w:tcPr>
            <w:tcW w:w="1553" w:type="pct"/>
            <w:gridSpan w:val="2"/>
            <w:vAlign w:val="center"/>
          </w:tcPr>
          <w:p>
            <w:pPr>
              <w:jc w:val="center"/>
              <w:rPr>
                <w:rFonts w:hint="eastAsia" w:eastAsia="宋体"/>
                <w:b/>
                <w:lang w:eastAsia="zh-CN"/>
              </w:rPr>
            </w:pPr>
            <w:r>
              <w:rPr>
                <w:rFonts w:hint="eastAsia"/>
                <w:b/>
              </w:rPr>
              <w:t>单台年度最高限价</w:t>
            </w:r>
            <w:r>
              <w:rPr>
                <w:rFonts w:hint="eastAsia"/>
                <w:b/>
                <w:lang w:eastAsia="zh-CN"/>
              </w:rPr>
              <w:t>（元</w:t>
            </w:r>
            <w:r>
              <w:rPr>
                <w:rFonts w:hint="eastAsia"/>
                <w:b/>
                <w:lang w:val="en-US" w:eastAsia="zh-CN"/>
              </w:rPr>
              <w:t>/台</w:t>
            </w:r>
            <w:r>
              <w:rPr>
                <w:rFonts w:hint="eastAsia"/>
                <w:b/>
                <w:lang w:eastAsia="zh-CN"/>
              </w:rPr>
              <w:t>）</w:t>
            </w:r>
          </w:p>
        </w:tc>
        <w:tc>
          <w:tcPr>
            <w:tcW w:w="1519" w:type="pct"/>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5" w:type="pct"/>
            <w:vAlign w:val="center"/>
          </w:tcPr>
          <w:p>
            <w:pPr>
              <w:jc w:val="center"/>
              <w:rPr>
                <w:rFonts w:hint="eastAsia"/>
                <w:lang w:eastAsia="zh-CN"/>
              </w:rPr>
            </w:pPr>
            <w:r>
              <w:rPr>
                <w:rFonts w:hint="eastAsia"/>
                <w:lang w:eastAsia="zh-CN"/>
              </w:rPr>
              <w:t>回转式格栅机日常巡查</w:t>
            </w:r>
          </w:p>
        </w:tc>
        <w:tc>
          <w:tcPr>
            <w:tcW w:w="1081" w:type="pct"/>
            <w:vAlign w:val="center"/>
          </w:tcPr>
          <w:p>
            <w:pPr>
              <w:jc w:val="center"/>
              <w:rPr>
                <w:rFonts w:hint="eastAsia"/>
                <w:lang w:eastAsia="zh-CN"/>
              </w:rPr>
            </w:pPr>
            <w:r>
              <w:rPr>
                <w:rFonts w:hint="eastAsia"/>
                <w:lang w:eastAsia="zh-CN"/>
              </w:rPr>
              <w:t>日常巡查</w:t>
            </w:r>
          </w:p>
        </w:tc>
        <w:tc>
          <w:tcPr>
            <w:tcW w:w="1553" w:type="pct"/>
            <w:gridSpan w:val="2"/>
            <w:vAlign w:val="center"/>
          </w:tcPr>
          <w:p>
            <w:pPr>
              <w:jc w:val="center"/>
              <w:rPr>
                <w:rFonts w:hint="default" w:eastAsia="宋体"/>
                <w:color w:val="auto"/>
                <w:lang w:val="en-US" w:eastAsia="zh-CN"/>
              </w:rPr>
            </w:pPr>
            <w:r>
              <w:rPr>
                <w:rFonts w:hint="eastAsia"/>
                <w:color w:val="auto"/>
                <w:lang w:val="en-US" w:eastAsia="zh-CN"/>
              </w:rPr>
              <w:t>900</w:t>
            </w:r>
          </w:p>
        </w:tc>
        <w:tc>
          <w:tcPr>
            <w:tcW w:w="1519" w:type="pct"/>
            <w:vAlign w:val="center"/>
          </w:tcPr>
          <w:p>
            <w:pPr>
              <w:jc w:val="center"/>
              <w:rPr>
                <w:rFonts w:hint="eastAsia" w:ascii="宋体" w:hAnsi="宋体" w:cs="宋体"/>
                <w:color w:val="auto"/>
                <w:sz w:val="22"/>
                <w:szCs w:val="22"/>
                <w:lang w:eastAsia="zh-CN"/>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；其中包含每年设备日常巡查三次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5" w:type="pct"/>
            <w:vAlign w:val="center"/>
          </w:tcPr>
          <w:p>
            <w:pPr>
              <w:jc w:val="center"/>
              <w:rPr>
                <w:rFonts w:hint="eastAsia"/>
                <w:lang w:eastAsia="zh-CN"/>
              </w:rPr>
            </w:pPr>
            <w:r>
              <w:rPr>
                <w:rFonts w:hint="eastAsia"/>
                <w:lang w:eastAsia="zh-CN"/>
              </w:rPr>
              <w:t>回转式格栅机</w:t>
            </w:r>
            <w:r>
              <w:rPr>
                <w:rFonts w:hint="eastAsia"/>
              </w:rPr>
              <w:t>保养</w:t>
            </w:r>
          </w:p>
        </w:tc>
        <w:tc>
          <w:tcPr>
            <w:tcW w:w="1081" w:type="pct"/>
            <w:vAlign w:val="center"/>
          </w:tcPr>
          <w:p>
            <w:pPr>
              <w:jc w:val="center"/>
              <w:rPr>
                <w:rFonts w:hint="eastAsia"/>
                <w:lang w:eastAsia="zh-CN"/>
              </w:rPr>
            </w:pPr>
            <w:r>
              <w:rPr>
                <w:rFonts w:hint="eastAsia"/>
              </w:rPr>
              <w:t>保养</w:t>
            </w:r>
          </w:p>
        </w:tc>
        <w:tc>
          <w:tcPr>
            <w:tcW w:w="1553" w:type="pct"/>
            <w:gridSpan w:val="2"/>
            <w:vAlign w:val="center"/>
          </w:tcPr>
          <w:p>
            <w:pPr>
              <w:jc w:val="center"/>
              <w:rPr>
                <w:rFonts w:hint="default"/>
                <w:color w:val="auto"/>
                <w:lang w:val="en-US" w:eastAsia="zh-CN"/>
              </w:rPr>
            </w:pPr>
            <w:r>
              <w:rPr>
                <w:rFonts w:hint="eastAsia"/>
                <w:color w:val="auto"/>
                <w:lang w:val="en-US" w:eastAsia="zh-CN"/>
              </w:rPr>
              <w:t>1500</w:t>
            </w:r>
          </w:p>
        </w:tc>
        <w:tc>
          <w:tcPr>
            <w:tcW w:w="1519" w:type="pct"/>
            <w:vAlign w:val="center"/>
          </w:tcPr>
          <w:p>
            <w:pPr>
              <w:jc w:val="center"/>
              <w:rPr>
                <w:rFonts w:hint="eastAsia" w:ascii="宋体" w:hAnsi="宋体" w:cs="宋体"/>
                <w:color w:val="auto"/>
                <w:sz w:val="22"/>
                <w:szCs w:val="22"/>
                <w:lang w:eastAsia="zh-CN"/>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；其中包含每年定期保养一次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5" w:type="pct"/>
            <w:vAlign w:val="center"/>
          </w:tcPr>
          <w:p>
            <w:pPr>
              <w:jc w:val="center"/>
            </w:pPr>
            <w:r>
              <w:rPr>
                <w:rFonts w:hint="eastAsia"/>
                <w:lang w:eastAsia="zh-CN"/>
              </w:rPr>
              <w:t>粉碎性格栅机</w:t>
            </w:r>
            <w:r>
              <w:rPr>
                <w:rFonts w:hint="eastAsia"/>
              </w:rPr>
              <w:t>保养</w:t>
            </w:r>
          </w:p>
        </w:tc>
        <w:tc>
          <w:tcPr>
            <w:tcW w:w="1081" w:type="pct"/>
            <w:vAlign w:val="center"/>
          </w:tcPr>
          <w:p>
            <w:pPr>
              <w:jc w:val="center"/>
              <w:rPr>
                <w:rFonts w:hint="eastAsia" w:eastAsia="宋体"/>
                <w:lang w:eastAsia="zh-CN"/>
              </w:rPr>
            </w:pPr>
            <w:r>
              <w:rPr>
                <w:rFonts w:hint="eastAsia"/>
              </w:rPr>
              <w:t>保养</w:t>
            </w:r>
          </w:p>
        </w:tc>
        <w:tc>
          <w:tcPr>
            <w:tcW w:w="1553" w:type="pct"/>
            <w:gridSpan w:val="2"/>
            <w:vAlign w:val="center"/>
          </w:tcPr>
          <w:p>
            <w:pPr>
              <w:jc w:val="center"/>
              <w:rPr>
                <w:rFonts w:hint="default" w:eastAsia="宋体"/>
                <w:color w:val="auto"/>
                <w:lang w:val="en-US" w:eastAsia="zh-CN"/>
              </w:rPr>
            </w:pPr>
            <w:r>
              <w:rPr>
                <w:rFonts w:hint="eastAsia"/>
                <w:color w:val="auto"/>
                <w:lang w:val="en-US" w:eastAsia="zh-CN"/>
              </w:rPr>
              <w:t>2000</w:t>
            </w:r>
          </w:p>
        </w:tc>
        <w:tc>
          <w:tcPr>
            <w:tcW w:w="1519" w:type="pct"/>
            <w:vAlign w:val="center"/>
          </w:tcPr>
          <w:p>
            <w:pPr>
              <w:jc w:val="center"/>
              <w:rPr>
                <w:color w:val="auto"/>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w:t>
            </w:r>
            <w:r>
              <w:rPr>
                <w:rFonts w:hint="eastAsia" w:ascii="宋体" w:hAnsi="宋体" w:cs="宋体"/>
                <w:color w:val="auto"/>
                <w:sz w:val="22"/>
                <w:szCs w:val="22"/>
                <w:lang w:eastAsia="zh-CN"/>
              </w:rPr>
              <w:t>格栅机起吊、安装、</w:t>
            </w:r>
            <w:r>
              <w:rPr>
                <w:rFonts w:hint="eastAsia" w:ascii="宋体" w:hAnsi="宋体" w:cs="宋体"/>
                <w:color w:val="auto"/>
                <w:sz w:val="22"/>
                <w:szCs w:val="22"/>
              </w:rPr>
              <w:t>安全措施等所有费用</w:t>
            </w:r>
            <w:r>
              <w:rPr>
                <w:rFonts w:hint="eastAsia" w:ascii="宋体" w:hAnsi="宋体" w:cs="宋体"/>
                <w:color w:val="auto"/>
                <w:sz w:val="22"/>
                <w:szCs w:val="22"/>
                <w:lang w:eastAsia="zh-CN"/>
              </w:rPr>
              <w:t>；其中包含年度保养一次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000" w:type="pct"/>
            <w:gridSpan w:val="5"/>
            <w:vAlign w:val="center"/>
          </w:tcPr>
          <w:p>
            <w:pPr>
              <w:jc w:val="center"/>
              <w:rPr>
                <w:rFonts w:hint="eastAsia"/>
                <w:b/>
                <w:color w:val="auto"/>
              </w:rPr>
            </w:pPr>
            <w:r>
              <w:rPr>
                <w:rFonts w:hint="eastAsia"/>
                <w:b/>
                <w:bCs/>
                <w:color w:val="auto"/>
              </w:rPr>
              <w:t>设备维修及配件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45" w:type="pct"/>
            <w:vAlign w:val="center"/>
          </w:tcPr>
          <w:p>
            <w:pPr>
              <w:jc w:val="center"/>
              <w:rPr>
                <w:rFonts w:hint="eastAsia"/>
                <w:b/>
                <w:bCs/>
              </w:rPr>
            </w:pPr>
            <w:r>
              <w:rPr>
                <w:rFonts w:hint="eastAsia"/>
                <w:b/>
              </w:rPr>
              <w:t>服务内容</w:t>
            </w:r>
          </w:p>
        </w:tc>
        <w:tc>
          <w:tcPr>
            <w:tcW w:w="1081" w:type="pct"/>
            <w:vAlign w:val="center"/>
          </w:tcPr>
          <w:p>
            <w:pPr>
              <w:jc w:val="center"/>
              <w:rPr>
                <w:rFonts w:hint="eastAsia"/>
                <w:b/>
                <w:bCs/>
              </w:rPr>
            </w:pPr>
            <w:r>
              <w:rPr>
                <w:rFonts w:hint="eastAsia"/>
                <w:b/>
              </w:rPr>
              <w:t>服务项目</w:t>
            </w:r>
          </w:p>
        </w:tc>
        <w:tc>
          <w:tcPr>
            <w:tcW w:w="632" w:type="pct"/>
            <w:vAlign w:val="center"/>
          </w:tcPr>
          <w:p>
            <w:pPr>
              <w:jc w:val="center"/>
              <w:rPr>
                <w:rFonts w:hint="eastAsia"/>
                <w:b/>
                <w:bCs/>
                <w:color w:val="auto"/>
              </w:rPr>
            </w:pPr>
            <w:r>
              <w:rPr>
                <w:rFonts w:hint="eastAsia"/>
                <w:b/>
                <w:color w:val="auto"/>
              </w:rPr>
              <w:t>数量</w:t>
            </w:r>
          </w:p>
        </w:tc>
        <w:tc>
          <w:tcPr>
            <w:tcW w:w="921" w:type="pct"/>
            <w:vAlign w:val="center"/>
          </w:tcPr>
          <w:p>
            <w:pPr>
              <w:jc w:val="center"/>
              <w:rPr>
                <w:rFonts w:hint="eastAsia"/>
                <w:b/>
                <w:bCs/>
                <w:color w:val="auto"/>
              </w:rPr>
            </w:pPr>
            <w:r>
              <w:rPr>
                <w:rFonts w:hint="eastAsia"/>
                <w:b/>
                <w:color w:val="auto"/>
              </w:rPr>
              <w:t>最高限价</w:t>
            </w:r>
          </w:p>
        </w:tc>
        <w:tc>
          <w:tcPr>
            <w:tcW w:w="1519" w:type="pct"/>
            <w:vAlign w:val="center"/>
          </w:tcPr>
          <w:p>
            <w:pPr>
              <w:jc w:val="center"/>
              <w:rPr>
                <w:rFonts w:hint="eastAsia"/>
                <w:b/>
                <w:bCs/>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45" w:type="pct"/>
            <w:vAlign w:val="center"/>
          </w:tcPr>
          <w:p>
            <w:pPr>
              <w:jc w:val="center"/>
            </w:pPr>
            <w:r>
              <w:rPr>
                <w:rFonts w:hint="eastAsia"/>
              </w:rPr>
              <w:t>设备维修及配件</w:t>
            </w:r>
          </w:p>
        </w:tc>
        <w:tc>
          <w:tcPr>
            <w:tcW w:w="1081" w:type="pct"/>
            <w:vAlign w:val="center"/>
          </w:tcPr>
          <w:p>
            <w:pPr>
              <w:jc w:val="center"/>
            </w:pPr>
            <w:r>
              <w:rPr>
                <w:rFonts w:hint="eastAsia"/>
                <w:lang w:eastAsia="zh-CN"/>
              </w:rPr>
              <w:t>维修</w:t>
            </w:r>
          </w:p>
        </w:tc>
        <w:tc>
          <w:tcPr>
            <w:tcW w:w="632" w:type="pct"/>
            <w:vAlign w:val="center"/>
          </w:tcPr>
          <w:p>
            <w:pPr>
              <w:jc w:val="center"/>
              <w:rPr>
                <w:rFonts w:hint="eastAsia" w:eastAsia="宋体"/>
                <w:color w:val="auto"/>
                <w:lang w:val="en-US" w:eastAsia="zh-CN"/>
              </w:rPr>
            </w:pPr>
            <w:r>
              <w:rPr>
                <w:rFonts w:hint="eastAsia"/>
                <w:color w:val="auto"/>
                <w:lang w:val="en-US" w:eastAsia="zh-CN"/>
              </w:rPr>
              <w:t>按实</w:t>
            </w:r>
          </w:p>
        </w:tc>
        <w:tc>
          <w:tcPr>
            <w:tcW w:w="921" w:type="pct"/>
            <w:vAlign w:val="center"/>
          </w:tcPr>
          <w:p>
            <w:pPr>
              <w:rPr>
                <w:color w:val="auto"/>
              </w:rPr>
            </w:pPr>
            <w:r>
              <w:rPr>
                <w:rFonts w:hint="eastAsia"/>
                <w:color w:val="auto"/>
              </w:rPr>
              <w:t>最高限价详见下列</w:t>
            </w:r>
            <w:r>
              <w:rPr>
                <w:rFonts w:hint="eastAsia" w:ascii="Arial" w:hAnsi="宋体" w:cs="Arial"/>
                <w:bCs/>
                <w:color w:val="auto"/>
              </w:rPr>
              <w:t>设备维修及配件分类限价表</w:t>
            </w:r>
          </w:p>
        </w:tc>
        <w:tc>
          <w:tcPr>
            <w:tcW w:w="1519" w:type="pct"/>
            <w:vAlign w:val="center"/>
          </w:tcPr>
          <w:p>
            <w:pPr>
              <w:jc w:val="center"/>
            </w:pPr>
            <w:r>
              <w:rPr>
                <w:rFonts w:hint="eastAsia"/>
              </w:rPr>
              <w:t>设备维修及配件按实结算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5" w:type="pct"/>
            <w:vAlign w:val="center"/>
          </w:tcPr>
          <w:p>
            <w:pPr>
              <w:jc w:val="center"/>
              <w:rPr>
                <w:rFonts w:hint="eastAsia"/>
              </w:rPr>
            </w:pPr>
            <w:r>
              <w:rPr>
                <w:rFonts w:hint="eastAsia"/>
              </w:rPr>
              <w:t>设备运行异常维修费</w:t>
            </w:r>
          </w:p>
        </w:tc>
        <w:tc>
          <w:tcPr>
            <w:tcW w:w="1081" w:type="pct"/>
            <w:vAlign w:val="center"/>
          </w:tcPr>
          <w:p>
            <w:pPr>
              <w:jc w:val="center"/>
              <w:rPr>
                <w:rFonts w:hint="eastAsia"/>
              </w:rPr>
            </w:pPr>
            <w:r>
              <w:rPr>
                <w:rFonts w:hint="eastAsia"/>
                <w:color w:val="auto"/>
              </w:rPr>
              <w:t>维修</w:t>
            </w:r>
          </w:p>
        </w:tc>
        <w:tc>
          <w:tcPr>
            <w:tcW w:w="632" w:type="pct"/>
            <w:vAlign w:val="center"/>
          </w:tcPr>
          <w:p>
            <w:pPr>
              <w:jc w:val="center"/>
              <w:rPr>
                <w:rFonts w:hint="eastAsia"/>
                <w:color w:val="auto"/>
              </w:rPr>
            </w:pPr>
            <w:r>
              <w:rPr>
                <w:rFonts w:hint="eastAsia"/>
                <w:color w:val="auto"/>
                <w:lang w:val="en-US" w:eastAsia="zh-CN"/>
              </w:rPr>
              <w:t>按实</w:t>
            </w:r>
          </w:p>
        </w:tc>
        <w:tc>
          <w:tcPr>
            <w:tcW w:w="921" w:type="pct"/>
            <w:vAlign w:val="center"/>
          </w:tcPr>
          <w:p>
            <w:pPr>
              <w:jc w:val="center"/>
              <w:rPr>
                <w:rFonts w:hint="default" w:eastAsia="宋体"/>
                <w:color w:val="auto"/>
                <w:lang w:val="en-US" w:eastAsia="zh-CN"/>
              </w:rPr>
            </w:pPr>
            <w:r>
              <w:rPr>
                <w:rFonts w:hint="eastAsia"/>
                <w:color w:val="auto"/>
                <w:lang w:val="en-US" w:eastAsia="zh-CN"/>
              </w:rPr>
              <w:t>1800（元/次）</w:t>
            </w:r>
          </w:p>
        </w:tc>
        <w:tc>
          <w:tcPr>
            <w:tcW w:w="1519" w:type="pct"/>
            <w:vAlign w:val="center"/>
          </w:tcPr>
          <w:p>
            <w:pPr>
              <w:jc w:val="center"/>
              <w:rPr>
                <w:rFonts w:hint="eastAsia"/>
              </w:rPr>
            </w:pPr>
            <w:r>
              <w:rPr>
                <w:rFonts w:hint="eastAsia" w:ascii="宋体" w:hAnsi="宋体" w:cs="宋体"/>
                <w:sz w:val="22"/>
                <w:szCs w:val="22"/>
              </w:rPr>
              <w:t>机油、润滑脂（油）、人工、安全措施等所有费用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Align w:val="center"/>
          </w:tcPr>
          <w:p>
            <w:pPr>
              <w:jc w:val="center"/>
              <w:rPr>
                <w:rFonts w:hint="eastAsia"/>
              </w:rPr>
            </w:pPr>
            <w:r>
              <w:rPr>
                <w:rFonts w:hint="eastAsia" w:ascii="宋体" w:hAnsi="宋体" w:cs="宋体"/>
                <w:kern w:val="0"/>
                <w:sz w:val="20"/>
                <w:szCs w:val="20"/>
                <w:lang w:bidi="ar"/>
              </w:rPr>
              <w:t>设备吊装费</w:t>
            </w:r>
          </w:p>
        </w:tc>
        <w:tc>
          <w:tcPr>
            <w:tcW w:w="1081" w:type="pct"/>
            <w:vAlign w:val="center"/>
          </w:tcPr>
          <w:p>
            <w:pPr>
              <w:jc w:val="center"/>
              <w:rPr>
                <w:rFonts w:hint="eastAsia"/>
              </w:rPr>
            </w:pPr>
            <w:r>
              <w:rPr>
                <w:rFonts w:hint="eastAsia"/>
                <w:color w:val="auto"/>
              </w:rPr>
              <w:t>维修</w:t>
            </w:r>
          </w:p>
        </w:tc>
        <w:tc>
          <w:tcPr>
            <w:tcW w:w="632" w:type="pct"/>
            <w:vAlign w:val="center"/>
          </w:tcPr>
          <w:p>
            <w:pPr>
              <w:jc w:val="center"/>
              <w:rPr>
                <w:rFonts w:hint="eastAsia"/>
                <w:color w:val="auto"/>
              </w:rPr>
            </w:pPr>
            <w:r>
              <w:rPr>
                <w:rFonts w:hint="eastAsia"/>
                <w:color w:val="auto"/>
                <w:lang w:val="en-US" w:eastAsia="zh-CN"/>
              </w:rPr>
              <w:t>按实</w:t>
            </w:r>
          </w:p>
        </w:tc>
        <w:tc>
          <w:tcPr>
            <w:tcW w:w="921" w:type="pct"/>
            <w:vAlign w:val="center"/>
          </w:tcPr>
          <w:p>
            <w:pPr>
              <w:jc w:val="center"/>
              <w:rPr>
                <w:rFonts w:hint="default" w:eastAsia="宋体"/>
                <w:color w:val="auto"/>
                <w:lang w:val="en-US" w:eastAsia="zh-CN"/>
              </w:rPr>
            </w:pPr>
            <w:r>
              <w:rPr>
                <w:rFonts w:hint="eastAsia"/>
                <w:color w:val="auto"/>
                <w:lang w:val="en-US" w:eastAsia="zh-CN"/>
              </w:rPr>
              <w:t>2000（元/次）</w:t>
            </w:r>
          </w:p>
        </w:tc>
        <w:tc>
          <w:tcPr>
            <w:tcW w:w="1519" w:type="pct"/>
            <w:vAlign w:val="center"/>
          </w:tcPr>
          <w:p>
            <w:pPr>
              <w:jc w:val="left"/>
              <w:rPr>
                <w:rFonts w:hint="eastAsia"/>
                <w:color w:val="auto"/>
              </w:rPr>
            </w:pPr>
            <w:r>
              <w:rPr>
                <w:rFonts w:hint="eastAsia" w:ascii="宋体" w:hAnsi="宋体" w:cs="宋体"/>
                <w:color w:val="auto"/>
                <w:kern w:val="0"/>
                <w:sz w:val="20"/>
                <w:szCs w:val="20"/>
                <w:lang w:bidi="ar"/>
              </w:rPr>
              <w:t>①格栅机现场起吊安装费用</w:t>
            </w:r>
            <w:r>
              <w:rPr>
                <w:rFonts w:hint="eastAsia" w:ascii="宋体" w:hAnsi="宋体" w:cs="宋体"/>
                <w:color w:val="auto"/>
                <w:kern w:val="0"/>
                <w:sz w:val="20"/>
                <w:szCs w:val="20"/>
                <w:lang w:eastAsia="zh-CN" w:bidi="ar"/>
              </w:rPr>
              <w:t>：</w:t>
            </w:r>
            <w:r>
              <w:rPr>
                <w:rFonts w:hint="eastAsia" w:ascii="宋体" w:hAnsi="宋体" w:cs="宋体"/>
                <w:i w:val="0"/>
                <w:iCs w:val="0"/>
                <w:color w:val="auto"/>
                <w:kern w:val="0"/>
                <w:sz w:val="20"/>
                <w:szCs w:val="20"/>
                <w:u w:val="none"/>
                <w:lang w:val="en-US" w:eastAsia="zh-CN" w:bidi="ar"/>
              </w:rPr>
              <w:t>包含一次维修中的起吊和安装费用；②同一安装地点在一次维修派单中吊装格栅机数量超过1台的，只能按一次计算；③因中标人原因导致在一次维修中设备重复吊装的按一次计算）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45" w:type="pct"/>
            <w:vAlign w:val="center"/>
          </w:tcPr>
          <w:p>
            <w:pPr>
              <w:jc w:val="center"/>
              <w:rPr>
                <w:rFonts w:hint="eastAsia"/>
              </w:rPr>
            </w:pPr>
            <w:r>
              <w:rPr>
                <w:rFonts w:hint="eastAsia" w:ascii="宋体" w:hAnsi="宋体" w:cs="宋体"/>
                <w:kern w:val="0"/>
                <w:sz w:val="20"/>
                <w:szCs w:val="20"/>
                <w:lang w:bidi="ar"/>
              </w:rPr>
              <w:t>阳光房拆装费</w:t>
            </w:r>
          </w:p>
        </w:tc>
        <w:tc>
          <w:tcPr>
            <w:tcW w:w="1081" w:type="pct"/>
            <w:vAlign w:val="center"/>
          </w:tcPr>
          <w:p>
            <w:pPr>
              <w:jc w:val="center"/>
              <w:rPr>
                <w:rFonts w:hint="eastAsia"/>
              </w:rPr>
            </w:pPr>
            <w:r>
              <w:rPr>
                <w:rFonts w:hint="eastAsia"/>
                <w:color w:val="auto"/>
              </w:rPr>
              <w:t>维修</w:t>
            </w:r>
          </w:p>
        </w:tc>
        <w:tc>
          <w:tcPr>
            <w:tcW w:w="632" w:type="pct"/>
            <w:vAlign w:val="center"/>
          </w:tcPr>
          <w:p>
            <w:pPr>
              <w:jc w:val="center"/>
              <w:rPr>
                <w:rFonts w:hint="eastAsia"/>
                <w:color w:val="auto"/>
              </w:rPr>
            </w:pPr>
            <w:r>
              <w:rPr>
                <w:rFonts w:hint="eastAsia"/>
                <w:color w:val="auto"/>
                <w:lang w:val="en-US" w:eastAsia="zh-CN"/>
              </w:rPr>
              <w:t>按实</w:t>
            </w:r>
          </w:p>
        </w:tc>
        <w:tc>
          <w:tcPr>
            <w:tcW w:w="921" w:type="pct"/>
            <w:vAlign w:val="center"/>
          </w:tcPr>
          <w:p>
            <w:pPr>
              <w:jc w:val="center"/>
              <w:rPr>
                <w:rFonts w:hint="default" w:eastAsia="宋体"/>
                <w:color w:val="auto"/>
                <w:lang w:val="en-US" w:eastAsia="zh-CN"/>
              </w:rPr>
            </w:pPr>
            <w:r>
              <w:rPr>
                <w:rFonts w:hint="eastAsia"/>
                <w:color w:val="auto"/>
                <w:lang w:val="en-US" w:eastAsia="zh-CN"/>
              </w:rPr>
              <w:t>1000（元/次）</w:t>
            </w:r>
          </w:p>
        </w:tc>
        <w:tc>
          <w:tcPr>
            <w:tcW w:w="1519" w:type="pct"/>
            <w:vAlign w:val="center"/>
          </w:tcPr>
          <w:p>
            <w:pPr>
              <w:jc w:val="center"/>
              <w:rPr>
                <w:rFonts w:hint="eastAsia"/>
              </w:rPr>
            </w:pPr>
            <w:r>
              <w:rPr>
                <w:rFonts w:hint="eastAsia" w:ascii="宋体" w:hAnsi="宋体" w:cs="宋体"/>
                <w:kern w:val="0"/>
                <w:sz w:val="20"/>
                <w:szCs w:val="20"/>
                <w:lang w:bidi="ar"/>
              </w:rPr>
              <w:t>阳光房现场拆除起吊安装费用（包含一次</w:t>
            </w:r>
            <w:r>
              <w:rPr>
                <w:rFonts w:hint="eastAsia" w:ascii="宋体" w:hAnsi="宋体" w:cs="宋体"/>
                <w:kern w:val="0"/>
                <w:sz w:val="20"/>
                <w:szCs w:val="20"/>
                <w:lang w:eastAsia="zh-CN" w:bidi="ar"/>
              </w:rPr>
              <w:t>维修中的</w:t>
            </w:r>
            <w:r>
              <w:rPr>
                <w:rFonts w:hint="eastAsia" w:ascii="宋体" w:hAnsi="宋体" w:cs="宋体"/>
                <w:kern w:val="0"/>
                <w:sz w:val="20"/>
                <w:szCs w:val="20"/>
                <w:lang w:bidi="ar"/>
              </w:rPr>
              <w:t>拆除、起吊和安装，污水处理厂包含房顶阳光罩起吊安装费用）</w:t>
            </w:r>
          </w:p>
        </w:tc>
      </w:tr>
    </w:tbl>
    <w:p>
      <w:pPr>
        <w:autoSpaceDE w:val="0"/>
        <w:autoSpaceDN w:val="0"/>
        <w:adjustRightInd w:val="0"/>
        <w:snapToGrid w:val="0"/>
        <w:spacing w:line="360" w:lineRule="auto"/>
        <w:textAlignment w:val="bottom"/>
        <w:rPr>
          <w:rFonts w:ascii="Arial" w:hAnsi="宋体" w:cs="Arial"/>
        </w:rPr>
      </w:pPr>
    </w:p>
    <w:p>
      <w:pPr>
        <w:autoSpaceDE w:val="0"/>
        <w:autoSpaceDN w:val="0"/>
        <w:adjustRightInd w:val="0"/>
        <w:snapToGrid w:val="0"/>
        <w:spacing w:line="360" w:lineRule="auto"/>
        <w:textAlignment w:val="bottom"/>
        <w:rPr>
          <w:rFonts w:hint="eastAsia" w:ascii="Arial" w:hAnsi="宋体" w:cs="Arial"/>
        </w:rPr>
      </w:pPr>
      <w:r>
        <w:rPr>
          <w:rFonts w:hint="eastAsia" w:ascii="Arial" w:hAnsi="宋体" w:cs="Arial"/>
        </w:rPr>
        <w:t>注：</w:t>
      </w:r>
    </w:p>
    <w:p>
      <w:pPr>
        <w:numPr>
          <w:ilvl w:val="0"/>
          <w:numId w:val="16"/>
        </w:numPr>
        <w:autoSpaceDE w:val="0"/>
        <w:autoSpaceDN w:val="0"/>
        <w:adjustRightInd w:val="0"/>
        <w:snapToGrid w:val="0"/>
        <w:spacing w:line="360" w:lineRule="auto"/>
        <w:textAlignment w:val="bottom"/>
        <w:rPr>
          <w:rFonts w:hint="eastAsia" w:ascii="Arial" w:hAnsi="宋体" w:cs="Arial"/>
          <w:b/>
          <w:bCs/>
          <w:color w:val="auto"/>
          <w:lang w:eastAsia="zh-CN"/>
        </w:rPr>
      </w:pPr>
      <w:r>
        <w:rPr>
          <w:rFonts w:hint="eastAsia" w:ascii="Arial" w:hAnsi="宋体" w:cs="Arial"/>
          <w:b/>
          <w:bCs/>
          <w:lang w:eastAsia="zh-CN"/>
        </w:rPr>
        <w:t>回转式格栅机</w:t>
      </w:r>
      <w:r>
        <w:rPr>
          <w:rFonts w:hint="eastAsia" w:ascii="Arial" w:hAnsi="宋体" w:eastAsia="宋体" w:cs="Arial"/>
          <w:b/>
          <w:bCs/>
          <w:lang w:eastAsia="zh-CN"/>
        </w:rPr>
        <w:t>日常巡查单台年度最高限价为清单</w:t>
      </w:r>
      <w:r>
        <w:rPr>
          <w:rFonts w:hint="eastAsia" w:ascii="Arial" w:hAnsi="宋体" w:cs="Arial"/>
          <w:b/>
          <w:bCs/>
          <w:lang w:val="en-US" w:eastAsia="zh-CN"/>
        </w:rPr>
        <w:t>回转式格栅机</w:t>
      </w:r>
      <w:r>
        <w:rPr>
          <w:rFonts w:hint="eastAsia" w:ascii="Arial" w:hAnsi="宋体" w:eastAsia="宋体" w:cs="Arial"/>
          <w:b/>
          <w:bCs/>
          <w:lang w:eastAsia="zh-CN"/>
        </w:rPr>
        <w:t>全年日常巡查费用</w:t>
      </w:r>
      <w:r>
        <w:rPr>
          <w:rFonts w:hint="eastAsia" w:ascii="Arial" w:hAnsi="宋体" w:eastAsia="宋体" w:cs="Arial"/>
          <w:b/>
          <w:bCs/>
          <w:lang w:val="en-US" w:eastAsia="zh-CN"/>
        </w:rPr>
        <w:t>,每年</w:t>
      </w:r>
      <w:r>
        <w:rPr>
          <w:rFonts w:hint="eastAsia" w:ascii="Arial" w:hAnsi="宋体" w:eastAsia="宋体" w:cs="Arial"/>
          <w:b/>
          <w:bCs/>
          <w:lang w:eastAsia="zh-CN"/>
        </w:rPr>
        <w:t>设备日常巡查为三次</w:t>
      </w:r>
      <w:r>
        <w:rPr>
          <w:rFonts w:hint="eastAsia" w:ascii="Arial" w:hAnsi="宋体" w:cs="Arial"/>
          <w:b/>
          <w:bCs/>
          <w:lang w:eastAsia="zh-CN"/>
        </w:rPr>
        <w:t>，回转式格栅机保养最高限价为</w:t>
      </w:r>
      <w:r>
        <w:rPr>
          <w:rFonts w:hint="eastAsia" w:ascii="Arial" w:hAnsi="宋体" w:cs="Arial"/>
          <w:b/>
          <w:bCs/>
          <w:lang w:val="en-US" w:eastAsia="zh-CN"/>
        </w:rPr>
        <w:t>回转式格栅机</w:t>
      </w:r>
      <w:r>
        <w:rPr>
          <w:rFonts w:hint="eastAsia" w:ascii="Arial" w:hAnsi="宋体" w:eastAsia="宋体" w:cs="Arial"/>
          <w:b/>
          <w:bCs/>
          <w:lang w:eastAsia="zh-CN"/>
        </w:rPr>
        <w:t>全年年度保养</w:t>
      </w:r>
      <w:r>
        <w:rPr>
          <w:rFonts w:hint="eastAsia" w:ascii="Arial" w:hAnsi="宋体" w:cs="Arial"/>
          <w:b/>
          <w:bCs/>
          <w:lang w:eastAsia="zh-CN"/>
        </w:rPr>
        <w:t>费用，保养频次为</w:t>
      </w:r>
      <w:r>
        <w:rPr>
          <w:rFonts w:hint="eastAsia" w:ascii="Arial" w:hAnsi="宋体" w:eastAsia="宋体" w:cs="Arial"/>
          <w:b/>
          <w:bCs/>
          <w:lang w:eastAsia="zh-CN"/>
        </w:rPr>
        <w:t>一次；</w:t>
      </w:r>
      <w:r>
        <w:rPr>
          <w:rFonts w:hint="eastAsia" w:ascii="宋体" w:hAnsi="宋体" w:eastAsia="宋体" w:cs="宋体"/>
          <w:b/>
          <w:bCs/>
          <w:color w:val="auto"/>
          <w:sz w:val="22"/>
          <w:szCs w:val="22"/>
          <w:highlight w:val="none"/>
          <w:lang w:val="en-US" w:eastAsia="zh-CN"/>
        </w:rPr>
        <w:t>螺旋压榨机为回转式格栅机</w:t>
      </w:r>
      <w:r>
        <w:rPr>
          <w:rFonts w:hint="eastAsia" w:ascii="宋体" w:hAnsi="宋体" w:cs="宋体"/>
          <w:b/>
          <w:bCs/>
          <w:color w:val="auto"/>
          <w:sz w:val="22"/>
          <w:szCs w:val="22"/>
          <w:highlight w:val="none"/>
          <w:lang w:val="en-US" w:eastAsia="zh-CN"/>
        </w:rPr>
        <w:t>附属设施，已</w:t>
      </w:r>
      <w:r>
        <w:rPr>
          <w:rFonts w:hint="eastAsia" w:ascii="宋体" w:hAnsi="宋体" w:eastAsia="宋体" w:cs="宋体"/>
          <w:b/>
          <w:bCs/>
          <w:color w:val="auto"/>
          <w:sz w:val="22"/>
          <w:szCs w:val="22"/>
          <w:highlight w:val="none"/>
          <w:lang w:val="en-US" w:eastAsia="zh-CN"/>
        </w:rPr>
        <w:t>包含</w:t>
      </w:r>
      <w:r>
        <w:rPr>
          <w:rFonts w:hint="eastAsia" w:ascii="宋体" w:hAnsi="宋体" w:cs="宋体"/>
          <w:b/>
          <w:bCs/>
          <w:color w:val="auto"/>
          <w:sz w:val="22"/>
          <w:szCs w:val="22"/>
          <w:highlight w:val="none"/>
          <w:lang w:val="en-US" w:eastAsia="zh-CN"/>
        </w:rPr>
        <w:t>在</w:t>
      </w:r>
      <w:r>
        <w:rPr>
          <w:rFonts w:hint="eastAsia"/>
          <w:b/>
          <w:bCs/>
          <w:lang w:eastAsia="zh-CN"/>
        </w:rPr>
        <w:t>回转式格栅机日常巡查及</w:t>
      </w:r>
      <w:r>
        <w:rPr>
          <w:rFonts w:hint="eastAsia"/>
          <w:b/>
          <w:bCs/>
        </w:rPr>
        <w:t>保养</w:t>
      </w:r>
      <w:r>
        <w:rPr>
          <w:rFonts w:hint="eastAsia" w:ascii="宋体" w:hAnsi="宋体" w:eastAsia="宋体" w:cs="宋体"/>
          <w:b/>
          <w:bCs/>
          <w:color w:val="auto"/>
          <w:sz w:val="22"/>
          <w:szCs w:val="22"/>
          <w:highlight w:val="none"/>
          <w:lang w:val="en-US" w:eastAsia="zh-CN"/>
        </w:rPr>
        <w:t>范围内。</w:t>
      </w:r>
      <w:r>
        <w:rPr>
          <w:rFonts w:hint="eastAsia" w:ascii="Arial" w:hAnsi="宋体" w:cs="Arial"/>
          <w:b/>
          <w:bCs/>
          <w:color w:val="auto"/>
          <w:lang w:eastAsia="zh-CN"/>
        </w:rPr>
        <w:t>粉碎性格栅机保养</w:t>
      </w:r>
      <w:r>
        <w:rPr>
          <w:rFonts w:hint="eastAsia" w:ascii="Arial" w:hAnsi="宋体" w:cs="Arial"/>
          <w:b/>
          <w:bCs/>
          <w:lang w:eastAsia="zh-CN"/>
        </w:rPr>
        <w:t>最高限价为</w:t>
      </w:r>
      <w:r>
        <w:rPr>
          <w:rFonts w:hint="eastAsia" w:ascii="Arial" w:hAnsi="宋体" w:cs="Arial"/>
          <w:b/>
          <w:bCs/>
          <w:lang w:val="en-US" w:eastAsia="zh-CN"/>
        </w:rPr>
        <w:t>粉碎性格栅机</w:t>
      </w:r>
      <w:r>
        <w:rPr>
          <w:rFonts w:hint="eastAsia" w:ascii="Arial" w:hAnsi="宋体" w:eastAsia="宋体" w:cs="Arial"/>
          <w:b/>
          <w:bCs/>
          <w:lang w:eastAsia="zh-CN"/>
        </w:rPr>
        <w:t>全年年度保养</w:t>
      </w:r>
      <w:r>
        <w:rPr>
          <w:rFonts w:hint="eastAsia" w:ascii="Arial" w:hAnsi="宋体" w:cs="Arial"/>
          <w:b/>
          <w:bCs/>
          <w:lang w:eastAsia="zh-CN"/>
        </w:rPr>
        <w:t>费用，保养频次为</w:t>
      </w:r>
      <w:r>
        <w:rPr>
          <w:rFonts w:hint="eastAsia" w:ascii="Arial" w:hAnsi="宋体" w:cs="Arial"/>
          <w:b/>
          <w:bCs/>
          <w:lang w:val="en-US" w:eastAsia="zh-CN"/>
        </w:rPr>
        <w:t>1次/年</w:t>
      </w:r>
      <w:r>
        <w:rPr>
          <w:rFonts w:hint="eastAsia" w:ascii="Arial" w:hAnsi="宋体" w:cs="Arial"/>
          <w:b/>
          <w:bCs/>
          <w:lang w:eastAsia="zh-CN"/>
        </w:rPr>
        <w:t>，</w:t>
      </w:r>
      <w:r>
        <w:rPr>
          <w:rFonts w:hint="eastAsia" w:ascii="Arial" w:hAnsi="宋体" w:eastAsia="宋体" w:cs="Arial"/>
          <w:b/>
          <w:bCs/>
          <w:lang w:eastAsia="zh-CN"/>
        </w:rPr>
        <w:t>粉碎性格栅机保养费用包含设备起吊保养及安装费用。</w:t>
      </w:r>
    </w:p>
    <w:p>
      <w:pPr>
        <w:autoSpaceDE w:val="0"/>
        <w:autoSpaceDN w:val="0"/>
        <w:adjustRightInd w:val="0"/>
        <w:snapToGrid w:val="0"/>
        <w:spacing w:line="360" w:lineRule="auto"/>
        <w:textAlignment w:val="bottom"/>
        <w:rPr>
          <w:rFonts w:ascii="Arial" w:hAnsi="宋体" w:cs="Arial"/>
          <w:color w:val="auto"/>
        </w:rPr>
      </w:pPr>
      <w:r>
        <w:rPr>
          <w:rFonts w:hint="eastAsia" w:ascii="Arial" w:hAnsi="宋体" w:cs="Arial"/>
          <w:color w:val="auto"/>
          <w:lang w:val="en-US" w:eastAsia="zh-CN"/>
        </w:rPr>
        <w:t>2</w:t>
      </w:r>
      <w:r>
        <w:rPr>
          <w:rFonts w:hint="eastAsia" w:ascii="Arial" w:hAnsi="宋体" w:cs="Arial"/>
          <w:color w:val="auto"/>
        </w:rPr>
        <w:t>、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p>
    <w:p>
      <w:pPr>
        <w:autoSpaceDE w:val="0"/>
        <w:autoSpaceDN w:val="0"/>
        <w:adjustRightInd w:val="0"/>
        <w:snapToGrid w:val="0"/>
        <w:spacing w:line="360" w:lineRule="auto"/>
        <w:textAlignment w:val="bottom"/>
        <w:rPr>
          <w:rFonts w:hint="eastAsia" w:ascii="Arial" w:hAnsi="宋体" w:cs="Arial"/>
          <w:color w:val="auto"/>
        </w:rPr>
      </w:pPr>
      <w:r>
        <w:rPr>
          <w:rFonts w:hint="eastAsia" w:ascii="Arial" w:hAnsi="宋体" w:cs="Arial"/>
          <w:color w:val="auto"/>
          <w:lang w:val="en-US" w:eastAsia="zh-CN"/>
        </w:rPr>
        <w:t>3</w:t>
      </w:r>
      <w:r>
        <w:rPr>
          <w:rFonts w:hint="eastAsia" w:ascii="Arial" w:hAnsi="宋体" w:cs="Arial"/>
          <w:color w:val="auto"/>
        </w:rPr>
        <w:t>、上述</w:t>
      </w:r>
      <w:r>
        <w:rPr>
          <w:rFonts w:hint="eastAsia"/>
          <w:b w:val="0"/>
          <w:bCs/>
          <w:color w:val="auto"/>
          <w:lang w:eastAsia="zh-CN"/>
        </w:rPr>
        <w:t>设备日常巡查及</w:t>
      </w:r>
      <w:r>
        <w:rPr>
          <w:rFonts w:hint="eastAsia"/>
          <w:b w:val="0"/>
          <w:bCs/>
          <w:color w:val="auto"/>
        </w:rPr>
        <w:t>保养</w:t>
      </w:r>
      <w:r>
        <w:rPr>
          <w:rFonts w:hint="eastAsia" w:ascii="Arial" w:hAnsi="宋体" w:cs="Arial"/>
          <w:color w:val="auto"/>
        </w:rPr>
        <w:t>内容按次数实行</w:t>
      </w:r>
      <w:r>
        <w:rPr>
          <w:rFonts w:hint="eastAsia" w:ascii="Arial" w:hAnsi="宋体" w:cs="Arial"/>
          <w:color w:val="auto"/>
          <w:lang w:eastAsia="zh-CN"/>
        </w:rPr>
        <w:t>单</w:t>
      </w:r>
      <w:r>
        <w:rPr>
          <w:rFonts w:hint="eastAsia" w:ascii="Arial" w:hAnsi="宋体" w:cs="Arial"/>
          <w:color w:val="auto"/>
        </w:rPr>
        <w:t>价包干；</w:t>
      </w:r>
      <w:r>
        <w:rPr>
          <w:rFonts w:hint="eastAsia" w:ascii="Arial" w:hAnsi="宋体" w:cs="Arial"/>
        </w:rPr>
        <w:t>设备维修及配件更换数量不定，按实结算，</w:t>
      </w:r>
      <w:r>
        <w:rPr>
          <w:rFonts w:hint="eastAsia" w:ascii="Arial" w:hAnsi="宋体" w:cs="Arial"/>
          <w:color w:val="auto"/>
        </w:rPr>
        <w:t>无论材料、人工或其他因素价格涨跌，中标综合单价不予调整。</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kern w:val="0"/>
          <w:szCs w:val="21"/>
        </w:rPr>
      </w:pPr>
      <w:r>
        <w:rPr>
          <w:rFonts w:hint="eastAsia" w:ascii="Arial" w:hAnsi="宋体" w:cs="Arial"/>
          <w:color w:val="auto"/>
          <w:lang w:val="en-US" w:eastAsia="zh-CN"/>
        </w:rPr>
        <w:t>4、由于个别设备资料不全，清单中可能存在参数不全或一定的误差，</w:t>
      </w:r>
      <w:r>
        <w:rPr>
          <w:rFonts w:hint="eastAsia" w:ascii="宋体" w:hAnsi="宋体" w:eastAsia="宋体" w:cs="宋体"/>
          <w:color w:val="auto"/>
          <w:kern w:val="0"/>
          <w:szCs w:val="21"/>
        </w:rPr>
        <w:t>建议各</w:t>
      </w:r>
      <w:r>
        <w:rPr>
          <w:rFonts w:hint="eastAsia" w:ascii="宋体" w:hAnsi="宋体" w:eastAsia="宋体" w:cs="宋体"/>
          <w:color w:val="auto"/>
          <w:kern w:val="0"/>
          <w:szCs w:val="21"/>
          <w:lang w:eastAsia="zh-CN"/>
        </w:rPr>
        <w:t>投标供应商</w:t>
      </w:r>
      <w:r>
        <w:rPr>
          <w:rFonts w:hint="eastAsia" w:ascii="宋体" w:hAnsi="宋体" w:eastAsia="宋体" w:cs="宋体"/>
          <w:color w:val="auto"/>
          <w:kern w:val="0"/>
          <w:szCs w:val="21"/>
        </w:rPr>
        <w:t>自行现场踏勘，确定</w:t>
      </w:r>
      <w:r>
        <w:rPr>
          <w:rFonts w:hint="eastAsia" w:ascii="宋体" w:hAnsi="宋体" w:eastAsia="宋体" w:cs="宋体"/>
          <w:color w:val="auto"/>
          <w:kern w:val="0"/>
          <w:szCs w:val="21"/>
          <w:lang w:eastAsia="zh-CN"/>
        </w:rPr>
        <w:t>服务</w:t>
      </w:r>
      <w:r>
        <w:rPr>
          <w:rFonts w:hint="eastAsia" w:ascii="宋体" w:hAnsi="宋体" w:eastAsia="宋体" w:cs="宋体"/>
          <w:color w:val="auto"/>
          <w:kern w:val="0"/>
          <w:szCs w:val="21"/>
        </w:rPr>
        <w:t>方案，确保</w:t>
      </w:r>
      <w:r>
        <w:rPr>
          <w:rFonts w:hint="eastAsia" w:ascii="宋体" w:hAnsi="宋体" w:eastAsia="宋体" w:cs="宋体"/>
          <w:color w:val="auto"/>
          <w:kern w:val="0"/>
          <w:szCs w:val="21"/>
          <w:lang w:eastAsia="zh-CN"/>
        </w:rPr>
        <w:t>服务质量</w:t>
      </w:r>
      <w:r>
        <w:rPr>
          <w:rFonts w:hint="eastAsia" w:ascii="宋体" w:hAnsi="宋体" w:eastAsia="宋体" w:cs="宋体"/>
          <w:color w:val="auto"/>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Arial" w:hAnsi="宋体" w:eastAsia="宋体" w:cs="Arial"/>
          <w:color w:val="auto"/>
          <w:lang w:val="en-US" w:eastAsia="zh-CN"/>
        </w:rPr>
      </w:pPr>
      <w:r>
        <w:rPr>
          <w:rFonts w:hint="eastAsia" w:ascii="Arial" w:hAnsi="宋体" w:eastAsia="宋体" w:cs="Arial"/>
          <w:color w:val="auto"/>
          <w:lang w:val="en-US" w:eastAsia="zh-CN"/>
        </w:rPr>
        <w:t>5、保养及维修需要的工具、机械、施工措施各投标供应商自行现场踏勘，所产生的一切费用由中标单位自行考虑，费用包含在报价中。</w:t>
      </w:r>
    </w:p>
    <w:p>
      <w:pPr>
        <w:snapToGrid w:val="0"/>
        <w:spacing w:before="156" w:beforeLines="50" w:line="360" w:lineRule="auto"/>
        <w:ind w:left="422" w:hanging="422" w:hangingChars="200"/>
        <w:rPr>
          <w:rFonts w:hint="eastAsia" w:ascii="Arial" w:hAnsi="宋体" w:eastAsia="宋体" w:cs="Arial"/>
          <w:b/>
        </w:rPr>
      </w:pPr>
      <w:r>
        <w:rPr>
          <w:rFonts w:hint="eastAsia" w:ascii="Arial" w:hAnsi="宋体" w:eastAsia="宋体" w:cs="Arial"/>
          <w:b/>
          <w:lang w:val="en-US" w:eastAsia="zh-CN"/>
        </w:rPr>
        <w:t>2.6</w:t>
      </w:r>
      <w:r>
        <w:rPr>
          <w:rFonts w:hint="eastAsia" w:ascii="Arial" w:hAnsi="宋体" w:eastAsia="宋体" w:cs="Arial"/>
          <w:b/>
        </w:rPr>
        <w:t>设备维修及配件分类限价表</w:t>
      </w:r>
    </w:p>
    <w:tbl>
      <w:tblPr>
        <w:tblStyle w:val="49"/>
        <w:tblW w:w="9399" w:type="dxa"/>
        <w:tblInd w:w="91" w:type="dxa"/>
        <w:tblLayout w:type="fixed"/>
        <w:tblCellMar>
          <w:top w:w="0" w:type="dxa"/>
          <w:left w:w="108" w:type="dxa"/>
          <w:bottom w:w="0" w:type="dxa"/>
          <w:right w:w="108" w:type="dxa"/>
        </w:tblCellMar>
      </w:tblPr>
      <w:tblGrid>
        <w:gridCol w:w="978"/>
        <w:gridCol w:w="1800"/>
        <w:gridCol w:w="2520"/>
        <w:gridCol w:w="1560"/>
        <w:gridCol w:w="975"/>
        <w:gridCol w:w="1566"/>
      </w:tblGrid>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名称</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规格</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材质</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单位</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单价（元）</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小链轮(带轴套)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w:t>
            </w:r>
            <w:r>
              <w:rPr>
                <w:rStyle w:val="291"/>
                <w:rFonts w:hint="default"/>
                <w:color w:val="auto"/>
                <w:lang w:bidi="ar"/>
              </w:rPr>
              <w:t>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477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大链轮(带轴套)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939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张紧轮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263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丝杆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146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螺栓（剪切螺栓含螺母垫片）</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cs="宋体"/>
                <w:i w:val="0"/>
                <w:iCs w:val="0"/>
                <w:color w:val="auto"/>
                <w:kern w:val="0"/>
                <w:sz w:val="20"/>
                <w:szCs w:val="20"/>
                <w:u w:val="none"/>
                <w:lang w:val="en-US" w:eastAsia="zh-CN" w:bidi="ar"/>
              </w:rPr>
              <w:t>5</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梅花轮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968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导轮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760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导轮座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249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324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630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链板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10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挡板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滚轮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20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平垫</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0.8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卡簧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0.8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开口销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0.8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回转式耙齿/雨水格栅长度为0.4(含)-1米（含）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1547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回转式耙齿/雨水格栅1米（不含）-2米（含）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2532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路轨（直轨）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123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路轨（弯轨）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200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尼龙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链条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45#</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179 </w:t>
            </w:r>
          </w:p>
        </w:tc>
      </w:tr>
      <w:tr>
        <w:tblPrEx>
          <w:tblCellMar>
            <w:top w:w="0" w:type="dxa"/>
            <w:left w:w="108" w:type="dxa"/>
            <w:bottom w:w="0" w:type="dxa"/>
            <w:right w:w="108" w:type="dxa"/>
          </w:tblCellMar>
        </w:tblPrEx>
        <w:trPr>
          <w:trHeight w:val="377"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轴销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橡胶板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color w:val="auto"/>
                <w:lang w:bidi="ar"/>
              </w:rPr>
            </w:pPr>
            <w:r>
              <w:rPr>
                <w:rStyle w:val="292"/>
                <w:rFonts w:hint="eastAsia"/>
                <w:color w:val="auto"/>
                <w:lang w:bidi="ar"/>
              </w:rPr>
              <w:t>橡胶</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cs="宋体"/>
                <w:i w:val="0"/>
                <w:iCs w:val="0"/>
                <w:color w:val="auto"/>
                <w:kern w:val="0"/>
                <w:sz w:val="20"/>
                <w:szCs w:val="20"/>
                <w:u w:val="none"/>
                <w:lang w:val="en-US" w:eastAsia="zh-CN" w:bidi="ar"/>
              </w:rPr>
              <w:t>50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1230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cs="宋体"/>
                <w:i w:val="0"/>
                <w:iCs w:val="0"/>
                <w:color w:val="auto"/>
                <w:kern w:val="0"/>
                <w:sz w:val="20"/>
                <w:szCs w:val="20"/>
                <w:u w:val="none"/>
                <w:lang w:val="en-US" w:eastAsia="zh-CN" w:bidi="ar"/>
              </w:rPr>
              <w:t>1550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4500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cs="宋体"/>
                <w:i w:val="0"/>
                <w:iCs w:val="0"/>
                <w:color w:val="auto"/>
                <w:kern w:val="0"/>
                <w:sz w:val="20"/>
                <w:szCs w:val="20"/>
                <w:u w:val="none"/>
                <w:lang w:val="en-US" w:eastAsia="zh-CN" w:bidi="ar"/>
              </w:rPr>
              <w:t xml:space="preserve">13500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回转式耙齿格栅0.4(含)-1米（含）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cs="宋体"/>
                <w:i w:val="0"/>
                <w:iCs w:val="0"/>
                <w:color w:val="auto"/>
                <w:kern w:val="0"/>
                <w:sz w:val="20"/>
                <w:szCs w:val="20"/>
                <w:u w:val="none"/>
                <w:lang w:val="en-US" w:eastAsia="zh-CN" w:bidi="ar"/>
              </w:rPr>
              <w:t>137</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1米（不含）-1.5米（含）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203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1.5米（不含）-2米（含）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233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765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921 </w:t>
            </w:r>
          </w:p>
        </w:tc>
      </w:tr>
      <w:tr>
        <w:tblPrEx>
          <w:tblCellMar>
            <w:top w:w="0" w:type="dxa"/>
            <w:left w:w="108" w:type="dxa"/>
            <w:bottom w:w="0" w:type="dxa"/>
            <w:right w:w="108" w:type="dxa"/>
          </w:tblCellMar>
        </w:tblPrEx>
        <w:trPr>
          <w:trHeight w:val="631"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固定栅条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ss304，8*45  L=3m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活动栅条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ss304，8*45  L=0.5m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97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cs="宋体"/>
                <w:i w:val="0"/>
                <w:iCs w:val="0"/>
                <w:color w:val="auto"/>
                <w:kern w:val="0"/>
                <w:sz w:val="20"/>
                <w:szCs w:val="20"/>
                <w:u w:val="none"/>
                <w:lang w:val="en-US" w:eastAsia="zh-CN" w:bidi="ar"/>
              </w:rPr>
              <w:t xml:space="preserve">950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1440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532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41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输送机衬板更换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Cs w:val="21"/>
                <w:lang w:bidi="ar"/>
              </w:rPr>
            </w:pPr>
            <w:r>
              <w:rPr>
                <w:rFonts w:hint="eastAsia" w:ascii="宋体" w:hAnsi="宋体" w:cs="宋体"/>
                <w:color w:val="auto"/>
                <w:kern w:val="0"/>
                <w:sz w:val="20"/>
                <w:szCs w:val="20"/>
                <w:lang w:bidi="ar"/>
              </w:rPr>
              <w:t>耐磨型高分子材料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cs="宋体"/>
                <w:i w:val="0"/>
                <w:iCs w:val="0"/>
                <w:color w:val="auto"/>
                <w:kern w:val="0"/>
                <w:sz w:val="20"/>
                <w:szCs w:val="20"/>
                <w:u w:val="none"/>
                <w:lang w:val="en-US" w:eastAsia="zh-CN" w:bidi="ar"/>
              </w:rPr>
              <w:t>710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1230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43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Cs w:val="21"/>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1380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5400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14400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465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绞龙更换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锰钢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1020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绞龙修复</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color w:val="auto"/>
                <w:lang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810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刀片（主刀+丛刀+隔片</w:t>
            </w:r>
            <w:r>
              <w:rPr>
                <w:rFonts w:hint="eastAsia" w:ascii="宋体" w:hAnsi="宋体" w:cs="宋体"/>
                <w:color w:val="auto"/>
                <w:kern w:val="0"/>
                <w:sz w:val="20"/>
                <w:szCs w:val="20"/>
                <w:lang w:eastAsia="zh-CN" w:bidi="ar"/>
              </w:rPr>
              <w:t>各一片</w:t>
            </w:r>
            <w:r>
              <w:rPr>
                <w:rFonts w:hint="eastAsia" w:ascii="宋体" w:hAnsi="宋体" w:cs="宋体"/>
                <w:color w:val="auto"/>
                <w:kern w:val="0"/>
                <w:sz w:val="20"/>
                <w:szCs w:val="20"/>
                <w:lang w:bidi="ar"/>
              </w:rPr>
              <w:t>）</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高强度合金钢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eastAsia="zh-CN" w:bidi="ar"/>
              </w:rPr>
            </w:pPr>
            <w:r>
              <w:rPr>
                <w:rFonts w:hint="eastAsia" w:ascii="宋体" w:hAnsi="宋体" w:cs="宋体"/>
                <w:color w:val="auto"/>
                <w:kern w:val="0"/>
                <w:sz w:val="20"/>
                <w:szCs w:val="20"/>
                <w:lang w:eastAsia="zh-CN" w:bidi="ar"/>
              </w:rPr>
              <w:t>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00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50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1560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51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4110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52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8355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23400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机体更换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碳钢或者铸铁</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14550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1515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3960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color w:val="auto"/>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kern w:val="0"/>
                <w:sz w:val="22"/>
                <w:szCs w:val="22"/>
                <w:lang w:eastAsia="zh-CN" w:bidi="ar"/>
              </w:rPr>
            </w:pPr>
            <w:r>
              <w:rPr>
                <w:rFonts w:hint="eastAsia" w:ascii="宋体" w:hAnsi="宋体" w:cs="宋体"/>
                <w:kern w:val="0"/>
                <w:sz w:val="20"/>
                <w:szCs w:val="20"/>
                <w:lang w:bidi="ar"/>
              </w:rPr>
              <w:t>5</w:t>
            </w:r>
            <w:r>
              <w:rPr>
                <w:rFonts w:hint="eastAsia" w:ascii="宋体" w:hAnsi="宋体" w:cs="宋体"/>
                <w:kern w:val="0"/>
                <w:sz w:val="20"/>
                <w:szCs w:val="20"/>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主轴更换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3750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eastAsia="宋体" w:cs="宋体"/>
                <w:kern w:val="0"/>
                <w:sz w:val="22"/>
                <w:szCs w:val="22"/>
                <w:lang w:val="en-US" w:eastAsia="zh-CN" w:bidi="ar"/>
              </w:rPr>
            </w:pPr>
            <w:r>
              <w:rPr>
                <w:rFonts w:hint="eastAsia" w:ascii="宋体" w:hAnsi="宋体" w:cs="宋体"/>
                <w:kern w:val="0"/>
                <w:sz w:val="20"/>
                <w:szCs w:val="20"/>
                <w:lang w:val="en-US" w:eastAsia="zh-CN" w:bidi="ar"/>
              </w:rPr>
              <w:t>59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转鼓维修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3150 </w:t>
            </w:r>
          </w:p>
        </w:tc>
      </w:tr>
    </w:tbl>
    <w:p>
      <w:pPr>
        <w:pStyle w:val="22"/>
        <w:ind w:left="0"/>
        <w:rPr>
          <w:rFonts w:ascii="Arial" w:hAnsi="宋体" w:cs="Arial"/>
        </w:rPr>
      </w:pPr>
    </w:p>
    <w:p>
      <w:pPr>
        <w:numPr>
          <w:ilvl w:val="0"/>
          <w:numId w:val="15"/>
        </w:numPr>
        <w:spacing w:line="360" w:lineRule="auto"/>
        <w:ind w:firstLine="0"/>
        <w:jc w:val="center"/>
        <w:rPr>
          <w:rFonts w:ascii="宋体" w:hAnsi="宋体" w:cs="宋体"/>
          <w:b/>
          <w:bCs/>
          <w:szCs w:val="21"/>
        </w:rPr>
      </w:pPr>
      <w:r>
        <w:rPr>
          <w:rFonts w:hint="eastAsia" w:ascii="宋体" w:hAnsi="宋体" w:cs="宋体"/>
          <w:b/>
          <w:bCs/>
          <w:szCs w:val="21"/>
        </w:rPr>
        <w:t>服务及技术要求</w:t>
      </w:r>
    </w:p>
    <w:p>
      <w:pPr>
        <w:snapToGrid w:val="0"/>
        <w:spacing w:before="156" w:beforeLines="50" w:line="360" w:lineRule="auto"/>
        <w:ind w:left="422" w:hanging="422" w:hangingChars="200"/>
        <w:rPr>
          <w:rFonts w:ascii="Arial" w:hAnsi="宋体" w:cs="Arial"/>
          <w:b/>
        </w:rPr>
      </w:pPr>
      <w:r>
        <w:rPr>
          <w:rFonts w:hint="eastAsia" w:ascii="Arial" w:hAnsi="宋体" w:cs="Arial"/>
          <w:b/>
        </w:rPr>
        <w:t>3.1服务要求</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w:t>
      </w:r>
      <w:r>
        <w:rPr>
          <w:rFonts w:hint="eastAsia" w:ascii="Arial" w:hAnsi="宋体" w:cs="Arial"/>
        </w:rPr>
        <w:t>格栅机（输送机）保养：指的是定期对格栅机进行的维护保养，包括格栅机进行外部检查清洁、耙齿检查和杂物清理、减速机电机检查、减速机润滑油检查或更换、耙齿及挡板矫正、各传动部件润滑、涨紧轮调节等；</w:t>
      </w:r>
    </w:p>
    <w:p>
      <w:pPr>
        <w:pStyle w:val="83"/>
        <w:snapToGrid w:val="0"/>
        <w:spacing w:line="360" w:lineRule="auto"/>
        <w:ind w:firstLine="0" w:firstLineChars="0"/>
        <w:rPr>
          <w:rFonts w:ascii="Arial" w:hAnsi="宋体" w:cs="Arial"/>
        </w:rPr>
      </w:pPr>
      <w:r>
        <w:rPr>
          <w:rFonts w:ascii="Arial" w:hAnsi="宋体" w:cs="Arial"/>
        </w:rPr>
        <w:t>3.1.2</w:t>
      </w:r>
      <w:r>
        <w:rPr>
          <w:rFonts w:hint="eastAsia" w:ascii="Arial" w:hAnsi="宋体" w:cs="Arial"/>
        </w:rPr>
        <w:t>格栅机（输送机）修理：指的是格栅机出现故障或工况异常时，对格栅机提升、装卸、外运、整体拆解对整体清洁、防腐处理、故障部件进行更换或维修，配件费用另计。</w:t>
      </w:r>
    </w:p>
    <w:p>
      <w:pPr>
        <w:snapToGrid w:val="0"/>
        <w:spacing w:line="360" w:lineRule="auto"/>
        <w:rPr>
          <w:rFonts w:ascii="Arial" w:hAnsi="宋体" w:cs="Arial"/>
        </w:rPr>
      </w:pPr>
      <w:r>
        <w:rPr>
          <w:rFonts w:hint="eastAsia" w:ascii="Arial" w:hAnsi="宋体" w:cs="Arial"/>
        </w:rPr>
        <w:t>3</w:t>
      </w:r>
      <w:r>
        <w:rPr>
          <w:rFonts w:ascii="Arial" w:hAnsi="宋体" w:cs="Arial"/>
        </w:rPr>
        <w:t>.1.3</w:t>
      </w:r>
      <w:r>
        <w:rPr>
          <w:rFonts w:hint="eastAsia" w:ascii="Arial" w:hAnsi="宋体" w:cs="Arial"/>
        </w:rPr>
        <w:t>按安全规程、维修标准完成承担的各项工作。</w:t>
      </w:r>
    </w:p>
    <w:p>
      <w:pPr>
        <w:snapToGrid w:val="0"/>
        <w:spacing w:line="360" w:lineRule="auto"/>
        <w:rPr>
          <w:rFonts w:ascii="Arial" w:hAnsi="宋体" w:cs="Arial"/>
        </w:rPr>
      </w:pPr>
      <w:r>
        <w:rPr>
          <w:rFonts w:hint="eastAsia" w:ascii="Arial" w:hAnsi="宋体" w:cs="Arial"/>
        </w:rPr>
        <w:t>3</w:t>
      </w:r>
      <w:r>
        <w:rPr>
          <w:rFonts w:ascii="Arial" w:hAnsi="宋体" w:cs="Arial"/>
        </w:rPr>
        <w:t>.1.4</w:t>
      </w:r>
      <w:r>
        <w:rPr>
          <w:rFonts w:hint="eastAsia" w:ascii="Arial" w:hAnsi="宋体" w:cs="Arial"/>
        </w:rPr>
        <w:t>在规定的响应时间内到达现场，按安全规程、维修标准规范开展维修工作。维修过程中做好现场安全管理工作。维修结束后做好现场清理工作。</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.1.5</w:t>
      </w:r>
      <w:r>
        <w:rPr>
          <w:rFonts w:hint="eastAsia" w:ascii="Arial" w:hAnsi="宋体" w:cs="Arial"/>
        </w:rPr>
        <w:t>涉及到有限空间作业，投标单位中标后，须配备安全措施设备。</w:t>
      </w:r>
    </w:p>
    <w:p>
      <w:pPr>
        <w:pStyle w:val="83"/>
        <w:snapToGrid w:val="0"/>
        <w:spacing w:line="360" w:lineRule="auto"/>
        <w:ind w:firstLine="0" w:firstLineChars="0"/>
        <w:rPr>
          <w:rFonts w:ascii="Arial" w:hAnsi="宋体" w:cs="Arial"/>
        </w:rPr>
      </w:pPr>
      <w:r>
        <w:rPr>
          <w:rFonts w:ascii="Arial" w:hAnsi="宋体" w:cs="Arial"/>
        </w:rPr>
        <w:t>3.1.6</w:t>
      </w:r>
      <w:r>
        <w:rPr>
          <w:rFonts w:hint="eastAsia" w:ascii="Arial" w:hAnsi="宋体" w:cs="Arial"/>
        </w:rPr>
        <w:t>中标人现场维修人员必须具备工作对应的上岗证，否则由此引起的一切不良后果均有中标人承担。</w:t>
      </w:r>
    </w:p>
    <w:p>
      <w:pPr>
        <w:snapToGrid w:val="0"/>
        <w:spacing w:line="360" w:lineRule="auto"/>
        <w:rPr>
          <w:rFonts w:ascii="Arial" w:hAnsi="宋体" w:cs="Arial"/>
        </w:rPr>
      </w:pPr>
      <w:r>
        <w:rPr>
          <w:rFonts w:hint="eastAsia" w:ascii="Arial" w:hAnsi="宋体" w:cs="Arial"/>
        </w:rPr>
        <w:t>3</w:t>
      </w:r>
      <w:r>
        <w:rPr>
          <w:rFonts w:ascii="Arial" w:hAnsi="宋体" w:cs="Arial"/>
        </w:rPr>
        <w:t>.1.7</w:t>
      </w:r>
      <w:r>
        <w:rPr>
          <w:rFonts w:hint="eastAsia" w:ascii="Arial" w:hAnsi="宋体" w:cs="Arial"/>
        </w:rPr>
        <w:t>中标人施工期间，必须按照国家规定做好安全预防措施，如设置现场安全警示、用于确保安全的技术措施、维护作业人员的作业安全措施等。工作现场要有专职安全文明施工管理人员。由于中标人未做好安全预防措施所造成的事故，由中标人承担全部责任。</w:t>
      </w:r>
    </w:p>
    <w:p>
      <w:pPr>
        <w:snapToGrid w:val="0"/>
        <w:spacing w:line="360" w:lineRule="auto"/>
        <w:rPr>
          <w:rFonts w:ascii="Arial" w:hAnsi="宋体" w:cs="Arial"/>
        </w:rPr>
      </w:pPr>
      <w:r>
        <w:rPr>
          <w:rFonts w:hint="eastAsia" w:ascii="Arial" w:hAnsi="宋体" w:cs="Arial"/>
        </w:rPr>
        <w:t>3</w:t>
      </w:r>
      <w:r>
        <w:rPr>
          <w:rFonts w:ascii="Arial" w:hAnsi="宋体" w:cs="Arial"/>
        </w:rPr>
        <w:t>.1.8</w:t>
      </w:r>
      <w:r>
        <w:rPr>
          <w:rFonts w:hint="eastAsia" w:ascii="Arial" w:hAnsi="宋体" w:cs="Arial"/>
        </w:rPr>
        <w:t>参与故障、事故格栅机的分析、处理，提出书面的预防及改善设备性能的意见和建议。</w:t>
      </w:r>
    </w:p>
    <w:p>
      <w:pPr>
        <w:snapToGrid w:val="0"/>
        <w:spacing w:line="360" w:lineRule="auto"/>
        <w:rPr>
          <w:rFonts w:ascii="Arial" w:hAnsi="宋体" w:cs="Arial"/>
        </w:rPr>
      </w:pPr>
      <w:r>
        <w:rPr>
          <w:rFonts w:hint="eastAsia" w:ascii="Arial" w:hAnsi="宋体" w:cs="Arial"/>
        </w:rPr>
        <w:t>3</w:t>
      </w:r>
      <w:r>
        <w:rPr>
          <w:rFonts w:ascii="Arial" w:hAnsi="宋体" w:cs="Arial"/>
        </w:rPr>
        <w:t>.1.9</w:t>
      </w:r>
      <w:r>
        <w:rPr>
          <w:rFonts w:hint="eastAsia" w:ascii="Arial" w:hAnsi="宋体" w:cs="Arial"/>
        </w:rPr>
        <w:t>负责设备修理过程中所有的数据及测试记录、整理工作，并及时报招标人确认。</w:t>
      </w:r>
    </w:p>
    <w:p>
      <w:pPr>
        <w:snapToGrid w:val="0"/>
        <w:spacing w:line="360" w:lineRule="auto"/>
        <w:rPr>
          <w:rFonts w:ascii="Arial" w:hAnsi="宋体" w:cs="Arial"/>
        </w:rPr>
      </w:pPr>
      <w:r>
        <w:rPr>
          <w:rFonts w:hint="eastAsia" w:ascii="Arial" w:hAnsi="宋体" w:cs="Arial"/>
        </w:rPr>
        <w:t>3</w:t>
      </w:r>
      <w:r>
        <w:rPr>
          <w:rFonts w:ascii="Arial" w:hAnsi="宋体" w:cs="Arial"/>
        </w:rPr>
        <w:t>.1.10</w:t>
      </w:r>
      <w:r>
        <w:rPr>
          <w:rFonts w:hint="eastAsia" w:ascii="Arial" w:hAnsi="宋体" w:cs="Arial"/>
        </w:rPr>
        <w:t>配合招标人完成设备修理后的实际工况测试和验收工作。</w:t>
      </w:r>
    </w:p>
    <w:p>
      <w:pPr>
        <w:snapToGrid w:val="0"/>
        <w:spacing w:line="360" w:lineRule="auto"/>
        <w:rPr>
          <w:rFonts w:ascii="Arial" w:hAnsi="宋体" w:cs="Arial"/>
        </w:rPr>
      </w:pPr>
      <w:r>
        <w:rPr>
          <w:rFonts w:hint="eastAsia" w:ascii="Arial" w:hAnsi="宋体" w:cs="Arial"/>
        </w:rPr>
        <w:t>3</w:t>
      </w:r>
      <w:r>
        <w:rPr>
          <w:rFonts w:ascii="Arial" w:hAnsi="宋体" w:cs="Arial"/>
        </w:rPr>
        <w:t>.1.11</w:t>
      </w:r>
      <w:r>
        <w:rPr>
          <w:rFonts w:hint="eastAsia" w:ascii="Arial" w:hAnsi="宋体" w:cs="Arial"/>
        </w:rPr>
        <w:t>中标人应掌握所有</w:t>
      </w:r>
      <w:r>
        <w:rPr>
          <w:rFonts w:hint="eastAsia" w:ascii="Arial" w:hAnsi="宋体" w:cs="Arial"/>
          <w:lang w:eastAsia="zh-CN"/>
        </w:rPr>
        <w:t>设备日常巡查及保养</w:t>
      </w:r>
      <w:r>
        <w:rPr>
          <w:rFonts w:hint="eastAsia" w:ascii="Arial" w:hAnsi="宋体" w:cs="Arial"/>
        </w:rPr>
        <w:t>格栅机设备的准确信息，如出现合同</w:t>
      </w:r>
      <w:r>
        <w:rPr>
          <w:rFonts w:hint="eastAsia" w:ascii="Arial" w:hAnsi="宋体" w:cs="Arial"/>
          <w:lang w:eastAsia="zh-CN"/>
        </w:rPr>
        <w:t>设备日常巡查及保养</w:t>
      </w:r>
      <w:r>
        <w:rPr>
          <w:rFonts w:hint="eastAsia" w:ascii="Arial" w:hAnsi="宋体" w:cs="Arial"/>
        </w:rPr>
        <w:t>内容不能满足格栅机设备正常运行的条件时，中标人有及时书面告知招标人的义务，并提出整改建议。</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.1.12</w:t>
      </w:r>
      <w:r>
        <w:rPr>
          <w:rFonts w:hint="eastAsia" w:ascii="Arial" w:hAnsi="宋体" w:cs="Arial"/>
        </w:rPr>
        <w:t>如遇格栅机或部件无修复价值时，通知招标人，由招标人处理。</w:t>
      </w:r>
    </w:p>
    <w:p>
      <w:pPr>
        <w:pStyle w:val="83"/>
        <w:snapToGrid w:val="0"/>
        <w:spacing w:line="360" w:lineRule="auto"/>
        <w:ind w:firstLine="0" w:firstLineChars="0"/>
        <w:rPr>
          <w:rFonts w:ascii="Arial" w:hAnsi="宋体" w:cs="Arial"/>
        </w:rPr>
      </w:pPr>
      <w:r>
        <w:rPr>
          <w:rFonts w:ascii="Arial" w:hAnsi="宋体" w:cs="Arial"/>
        </w:rPr>
        <w:t>3.1.13</w:t>
      </w:r>
      <w:r>
        <w:rPr>
          <w:rFonts w:hint="eastAsia" w:ascii="Arial" w:hAnsi="宋体" w:cs="Arial"/>
        </w:rPr>
        <w:t>中标人对维护保养的设备的使用性能负责，在维护保养过程中严格执行技术规范要求，保证设备的性能符合相关技术标准要求。在保养期间，中标人应对设备可能存在的故障隐患作出评估，并进行恰当的预防性处理，以保证设备的安全运行。若故障隐患超出维护保养范围的，应及时书面通知招标人，并提出消除隐患建议。</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.1.14</w:t>
      </w:r>
      <w:r>
        <w:rPr>
          <w:rFonts w:hint="eastAsia" w:ascii="Arial" w:hAnsi="宋体" w:cs="Arial"/>
        </w:rPr>
        <w:t>由于中标人保养不当所造成的损失，由中标人承担全部责任。</w:t>
      </w:r>
    </w:p>
    <w:p>
      <w:pPr>
        <w:pStyle w:val="83"/>
        <w:snapToGrid w:val="0"/>
        <w:spacing w:line="360" w:lineRule="auto"/>
        <w:ind w:firstLine="0" w:firstLineChars="0"/>
        <w:rPr>
          <w:rFonts w:ascii="Arial" w:hAnsi="宋体" w:cs="Arial"/>
        </w:rPr>
      </w:pPr>
      <w:r>
        <w:rPr>
          <w:rFonts w:ascii="Arial" w:hAnsi="宋体" w:cs="Arial"/>
        </w:rPr>
        <w:t>3.1.15</w:t>
      </w:r>
      <w:r>
        <w:rPr>
          <w:rFonts w:hint="eastAsia" w:ascii="Arial" w:hAnsi="宋体" w:cs="Arial"/>
        </w:rPr>
        <w:t>经过</w:t>
      </w:r>
      <w:r>
        <w:rPr>
          <w:rFonts w:hint="eastAsia" w:ascii="Arial" w:hAnsi="宋体" w:cs="Arial"/>
          <w:lang w:eastAsia="zh-CN"/>
        </w:rPr>
        <w:t>设备日常巡查及保养</w:t>
      </w:r>
      <w:r>
        <w:rPr>
          <w:rFonts w:hint="eastAsia" w:ascii="Arial" w:hAnsi="宋体" w:cs="Arial"/>
        </w:rPr>
        <w:t>的格栅机，在经过招标人验收合格后保修期内，如果维修部分出现质量问题，中标人负责免费维修（意外引起的故障或人为原因、电气原因造成格栅机损失的除外）。对在保养期间，发现有些设备应保养而未进行保养出现故障的，所产生的费用和维修费用由中标人承担。</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.1.16</w:t>
      </w:r>
      <w:r>
        <w:rPr>
          <w:rFonts w:hint="eastAsia" w:ascii="Arial" w:hAnsi="宋体" w:cs="Arial"/>
        </w:rPr>
        <w:t>招标人根据单台维修费用有权取消该格栅机的维修。</w:t>
      </w:r>
    </w:p>
    <w:p>
      <w:pPr>
        <w:pStyle w:val="83"/>
        <w:snapToGrid w:val="0"/>
        <w:spacing w:line="360" w:lineRule="auto"/>
        <w:ind w:firstLine="0" w:firstLineChars="0"/>
        <w:rPr>
          <w:rFonts w:ascii="Arial" w:hAnsi="宋体" w:cs="Arial"/>
        </w:rPr>
      </w:pPr>
      <w:r>
        <w:rPr>
          <w:rFonts w:ascii="Arial" w:hAnsi="宋体" w:cs="Arial"/>
        </w:rPr>
        <w:t>3.1.17</w:t>
      </w:r>
      <w:r>
        <w:rPr>
          <w:rFonts w:hint="eastAsia" w:ascii="Arial" w:hAnsi="宋体" w:cs="Arial"/>
        </w:rPr>
        <w:t>格栅机维修需更换的减速机、主轴、耙齿、链条、传动轴、电机等主要部件的，原损坏部件需归还招标人。</w:t>
      </w:r>
    </w:p>
    <w:p>
      <w:pPr>
        <w:snapToGrid w:val="0"/>
        <w:spacing w:line="360" w:lineRule="auto"/>
        <w:rPr>
          <w:rFonts w:ascii="Arial" w:hAnsi="宋体" w:cs="Arial"/>
        </w:rPr>
      </w:pPr>
      <w:r>
        <w:rPr>
          <w:rFonts w:hint="eastAsia" w:ascii="Arial" w:hAnsi="宋体" w:cs="Arial"/>
        </w:rPr>
        <w:t>3</w:t>
      </w:r>
      <w:r>
        <w:rPr>
          <w:rFonts w:ascii="Arial" w:hAnsi="宋体" w:cs="Arial"/>
        </w:rPr>
        <w:t>.1.18</w:t>
      </w:r>
      <w:r>
        <w:rPr>
          <w:rFonts w:hint="eastAsia" w:ascii="Arial" w:hAnsi="宋体" w:cs="Arial"/>
        </w:rPr>
        <w:t>设备的安装、调试和验收</w:t>
      </w:r>
    </w:p>
    <w:p>
      <w:pPr>
        <w:numPr>
          <w:ilvl w:val="0"/>
          <w:numId w:val="17"/>
        </w:numPr>
        <w:snapToGrid w:val="0"/>
        <w:spacing w:line="360" w:lineRule="auto"/>
        <w:rPr>
          <w:rFonts w:ascii="Arial" w:hAnsi="宋体" w:cs="Arial"/>
        </w:rPr>
      </w:pPr>
      <w:r>
        <w:rPr>
          <w:rFonts w:hint="eastAsia" w:ascii="Arial" w:hAnsi="宋体" w:cs="Arial"/>
        </w:rPr>
        <w:t>供应商须在合同规定的工作日内完成设备解体、保养、安装、调试工作，并确保正常运行。</w:t>
      </w:r>
    </w:p>
    <w:p>
      <w:pPr>
        <w:numPr>
          <w:ilvl w:val="0"/>
          <w:numId w:val="17"/>
        </w:numPr>
        <w:snapToGrid w:val="0"/>
        <w:spacing w:line="360" w:lineRule="auto"/>
        <w:rPr>
          <w:rFonts w:ascii="Arial" w:hAnsi="宋体" w:cs="Arial"/>
        </w:rPr>
      </w:pPr>
      <w:r>
        <w:rPr>
          <w:rFonts w:hint="eastAsia" w:ascii="Arial" w:hAnsi="宋体" w:cs="Arial"/>
        </w:rPr>
        <w:t>安装范围包括设备本身安装及配套控制系统的调试，安装必须符合有关标准和规范。</w:t>
      </w:r>
    </w:p>
    <w:p>
      <w:pPr>
        <w:numPr>
          <w:ilvl w:val="0"/>
          <w:numId w:val="17"/>
        </w:numPr>
        <w:snapToGrid w:val="0"/>
        <w:spacing w:line="360" w:lineRule="auto"/>
        <w:rPr>
          <w:rFonts w:ascii="Arial" w:hAnsi="宋体" w:cs="Arial"/>
        </w:rPr>
      </w:pPr>
      <w:r>
        <w:rPr>
          <w:rFonts w:hint="eastAsia" w:ascii="Arial" w:hAnsi="宋体" w:cs="Arial"/>
        </w:rPr>
        <w:t>设备经过试运行后达到并符合合同要求，其中故障和隐患均已排除或解决，所有的技术资料均已向采购人移交并被接受，并由双方验收后，视为合格。格栅机根据实际维修数量逐台验收。</w:t>
      </w:r>
    </w:p>
    <w:p>
      <w:pPr>
        <w:autoSpaceDE w:val="0"/>
        <w:autoSpaceDN w:val="0"/>
        <w:adjustRightInd w:val="0"/>
        <w:snapToGrid w:val="0"/>
        <w:spacing w:line="360" w:lineRule="auto"/>
        <w:textAlignment w:val="bottom"/>
        <w:rPr>
          <w:rFonts w:ascii="Arial" w:hAnsi="宋体" w:cs="Arial"/>
        </w:rPr>
      </w:pPr>
    </w:p>
    <w:p>
      <w:pPr>
        <w:snapToGrid w:val="0"/>
        <w:spacing w:before="156" w:beforeLines="50" w:line="360" w:lineRule="auto"/>
        <w:ind w:left="422" w:hanging="422" w:hangingChars="200"/>
        <w:rPr>
          <w:rFonts w:ascii="Arial" w:hAnsi="宋体" w:cs="Arial"/>
          <w:b/>
        </w:rPr>
      </w:pPr>
      <w:r>
        <w:rPr>
          <w:rFonts w:hint="eastAsia" w:ascii="Arial" w:hAnsi="宋体" w:cs="Arial"/>
          <w:b/>
        </w:rPr>
        <w:t>3.2技术要求</w:t>
      </w:r>
    </w:p>
    <w:p>
      <w:pPr>
        <w:snapToGrid w:val="0"/>
        <w:spacing w:line="360" w:lineRule="auto"/>
        <w:ind w:left="1"/>
        <w:rPr>
          <w:rFonts w:ascii="Arial" w:hAnsi="宋体" w:cs="Arial"/>
        </w:rPr>
      </w:pPr>
      <w:r>
        <w:rPr>
          <w:rFonts w:hint="eastAsia" w:ascii="Arial" w:hAnsi="宋体" w:cs="Arial"/>
        </w:rPr>
        <w:t>3.2.1格栅机保养技术要求</w:t>
      </w:r>
    </w:p>
    <w:p>
      <w:pPr>
        <w:keepNext/>
        <w:keepLines/>
        <w:spacing w:line="460" w:lineRule="exact"/>
        <w:rPr>
          <w:rFonts w:ascii="宋体" w:hAnsi="宋体" w:cs="宋体"/>
          <w:sz w:val="22"/>
          <w:szCs w:val="22"/>
        </w:rPr>
      </w:pPr>
      <w:r>
        <w:rPr>
          <w:rFonts w:hint="eastAsia" w:ascii="宋体" w:hAnsi="宋体" w:cs="宋体"/>
          <w:sz w:val="22"/>
          <w:szCs w:val="22"/>
        </w:rPr>
        <w:t>1、格栅机的日常巡查养护要求。</w:t>
      </w:r>
    </w:p>
    <w:p>
      <w:pPr>
        <w:pStyle w:val="48"/>
        <w:ind w:firstLine="440"/>
        <w:rPr>
          <w:rFonts w:ascii="宋体" w:hAnsi="宋体" w:cs="宋体"/>
          <w:sz w:val="22"/>
          <w:szCs w:val="22"/>
        </w:rPr>
      </w:pPr>
      <w:r>
        <w:rPr>
          <w:rFonts w:hint="eastAsia" w:ascii="宋体" w:hAnsi="宋体" w:cs="宋体"/>
          <w:sz w:val="22"/>
          <w:szCs w:val="22"/>
        </w:rPr>
        <w:t>1.1.清除格栅机、电控箱及格栅条上污物，保持操作平台清洁、无锈蚀；</w:t>
      </w:r>
    </w:p>
    <w:p>
      <w:pPr>
        <w:pStyle w:val="48"/>
        <w:ind w:firstLine="440"/>
        <w:rPr>
          <w:rFonts w:ascii="宋体" w:hAnsi="宋体" w:cs="宋体"/>
          <w:sz w:val="22"/>
          <w:szCs w:val="22"/>
        </w:rPr>
      </w:pPr>
      <w:r>
        <w:rPr>
          <w:rFonts w:hint="eastAsia" w:ascii="宋体" w:hAnsi="宋体" w:cs="宋体"/>
          <w:sz w:val="22"/>
          <w:szCs w:val="22"/>
        </w:rPr>
        <w:t>1.2.维护格栅片无松动、变形、脱落；</w:t>
      </w:r>
    </w:p>
    <w:p>
      <w:pPr>
        <w:pStyle w:val="48"/>
        <w:ind w:firstLine="440"/>
        <w:rPr>
          <w:rFonts w:ascii="宋体" w:hAnsi="宋体" w:cs="宋体"/>
          <w:sz w:val="22"/>
          <w:szCs w:val="22"/>
        </w:rPr>
      </w:pPr>
      <w:r>
        <w:rPr>
          <w:rFonts w:hint="eastAsia" w:ascii="宋体" w:hAnsi="宋体" w:cs="宋体"/>
          <w:sz w:val="22"/>
          <w:szCs w:val="22"/>
        </w:rPr>
        <w:t>1.3.养护轴承、齿轮、液压箱、钢丝绳、传动机构等的润滑应良好。</w:t>
      </w:r>
    </w:p>
    <w:p>
      <w:pPr>
        <w:pStyle w:val="48"/>
        <w:ind w:firstLine="440"/>
        <w:rPr>
          <w:rFonts w:ascii="宋体" w:hAnsi="宋体" w:cs="宋体"/>
          <w:sz w:val="22"/>
          <w:szCs w:val="22"/>
        </w:rPr>
      </w:pPr>
      <w:r>
        <w:rPr>
          <w:rFonts w:hint="eastAsia" w:ascii="宋体" w:hAnsi="宋体" w:cs="宋体"/>
          <w:sz w:val="22"/>
          <w:szCs w:val="22"/>
        </w:rPr>
        <w:t>1.4.调整松紧丝杆、调试格栅，使格栅机达到最佳运行状态。</w:t>
      </w:r>
    </w:p>
    <w:p>
      <w:pPr>
        <w:pStyle w:val="48"/>
        <w:ind w:firstLine="440"/>
        <w:rPr>
          <w:rFonts w:ascii="宋体" w:hAnsi="宋体" w:cs="宋体"/>
          <w:sz w:val="22"/>
          <w:szCs w:val="22"/>
        </w:rPr>
      </w:pPr>
      <w:r>
        <w:rPr>
          <w:rFonts w:hint="eastAsia" w:ascii="宋体" w:hAnsi="宋体" w:cs="宋体"/>
          <w:sz w:val="22"/>
          <w:szCs w:val="22"/>
        </w:rPr>
        <w:t>1.5.养护齿耙、刮板应运行正常。</w:t>
      </w:r>
    </w:p>
    <w:p>
      <w:pPr>
        <w:pStyle w:val="48"/>
        <w:ind w:firstLine="440"/>
        <w:rPr>
          <w:rFonts w:ascii="宋体" w:hAnsi="宋体" w:cs="宋体"/>
          <w:sz w:val="22"/>
          <w:szCs w:val="22"/>
        </w:rPr>
      </w:pPr>
      <w:r>
        <w:rPr>
          <w:rFonts w:hint="eastAsia" w:ascii="宋体" w:hAnsi="宋体" w:cs="宋体"/>
          <w:sz w:val="22"/>
          <w:szCs w:val="22"/>
        </w:rPr>
        <w:t>1.6.保证机座、传动机构紧固件无松动。</w:t>
      </w:r>
    </w:p>
    <w:p>
      <w:pPr>
        <w:pStyle w:val="48"/>
        <w:ind w:firstLine="440"/>
        <w:rPr>
          <w:rFonts w:ascii="宋体" w:hAnsi="宋体" w:cs="宋体"/>
          <w:sz w:val="22"/>
          <w:szCs w:val="22"/>
        </w:rPr>
      </w:pPr>
      <w:r>
        <w:rPr>
          <w:rFonts w:hint="eastAsia" w:ascii="宋体" w:hAnsi="宋体" w:cs="宋体"/>
          <w:sz w:val="22"/>
          <w:szCs w:val="22"/>
        </w:rPr>
        <w:t>1.7.驱动链轮、链条、移动式机组应行走运行正常无异响卡顿现象，定位机构可靠。</w:t>
      </w:r>
    </w:p>
    <w:p>
      <w:pPr>
        <w:pStyle w:val="48"/>
        <w:ind w:firstLine="440"/>
        <w:rPr>
          <w:rFonts w:ascii="宋体" w:hAnsi="宋体" w:cs="宋体"/>
          <w:sz w:val="22"/>
          <w:szCs w:val="22"/>
        </w:rPr>
      </w:pPr>
      <w:r>
        <w:rPr>
          <w:rFonts w:hint="eastAsia" w:ascii="宋体" w:hAnsi="宋体" w:cs="宋体"/>
          <w:sz w:val="22"/>
          <w:szCs w:val="22"/>
        </w:rPr>
        <w:t>1.8</w:t>
      </w:r>
      <w:r>
        <w:rPr>
          <w:rFonts w:hint="eastAsia" w:hAnsi="宋体" w:cs="宋体"/>
          <w:sz w:val="22"/>
          <w:szCs w:val="22"/>
        </w:rPr>
        <w:t>回转式</w:t>
      </w:r>
      <w:r>
        <w:rPr>
          <w:rFonts w:hint="eastAsia" w:ascii="宋体" w:hAnsi="宋体" w:cs="宋体"/>
          <w:sz w:val="22"/>
          <w:szCs w:val="22"/>
        </w:rPr>
        <w:t>格栅除污机的行走机构运行应无卡滞，定位准确。</w:t>
      </w:r>
    </w:p>
    <w:p>
      <w:pPr>
        <w:pStyle w:val="48"/>
        <w:ind w:firstLine="440"/>
        <w:rPr>
          <w:rFonts w:ascii="宋体" w:hAnsi="宋体" w:cs="宋体"/>
          <w:sz w:val="22"/>
          <w:szCs w:val="22"/>
        </w:rPr>
      </w:pPr>
      <w:r>
        <w:rPr>
          <w:rFonts w:hint="eastAsia" w:ascii="宋体" w:hAnsi="宋体" w:cs="宋体"/>
          <w:sz w:val="22"/>
          <w:szCs w:val="22"/>
        </w:rPr>
        <w:t>1.9格栅机的</w:t>
      </w:r>
      <w:r>
        <w:rPr>
          <w:rFonts w:hint="eastAsia" w:hAnsi="宋体" w:cs="宋体"/>
          <w:sz w:val="22"/>
          <w:szCs w:val="22"/>
        </w:rPr>
        <w:t>日常养护及巡查</w:t>
      </w:r>
      <w:r>
        <w:rPr>
          <w:rFonts w:hint="eastAsia" w:ascii="宋体" w:hAnsi="宋体" w:cs="宋体"/>
          <w:sz w:val="22"/>
          <w:szCs w:val="22"/>
        </w:rPr>
        <w:t>，每个泵站</w:t>
      </w:r>
      <w:r>
        <w:rPr>
          <w:rFonts w:hint="eastAsia" w:hAnsi="宋体" w:cs="宋体"/>
          <w:sz w:val="22"/>
          <w:szCs w:val="22"/>
        </w:rPr>
        <w:t>、污水处理厂</w:t>
      </w:r>
      <w:r>
        <w:rPr>
          <w:rFonts w:hint="eastAsia" w:ascii="宋体" w:hAnsi="宋体" w:cs="宋体"/>
          <w:sz w:val="22"/>
          <w:szCs w:val="22"/>
        </w:rPr>
        <w:t>每季度不少于1次，以及汛期的特殊巡查要求，每年不少于4次（其中包含年度维养）。</w:t>
      </w:r>
    </w:p>
    <w:p>
      <w:pPr>
        <w:pStyle w:val="48"/>
        <w:ind w:firstLine="0" w:firstLineChars="0"/>
        <w:rPr>
          <w:rFonts w:ascii="宋体" w:hAnsi="宋体" w:cs="宋体"/>
          <w:sz w:val="22"/>
          <w:szCs w:val="22"/>
        </w:rPr>
      </w:pPr>
      <w:r>
        <w:rPr>
          <w:rFonts w:hint="eastAsia" w:ascii="宋体" w:hAnsi="宋体" w:cs="宋体"/>
          <w:sz w:val="22"/>
          <w:szCs w:val="22"/>
        </w:rPr>
        <w:t>2、格栅机的年度定期维养要求。</w:t>
      </w:r>
    </w:p>
    <w:p>
      <w:pPr>
        <w:pStyle w:val="48"/>
        <w:ind w:firstLine="440"/>
        <w:rPr>
          <w:rFonts w:ascii="宋体" w:hAnsi="宋体" w:cs="宋体"/>
          <w:sz w:val="22"/>
          <w:szCs w:val="22"/>
        </w:rPr>
      </w:pPr>
      <w:r>
        <w:rPr>
          <w:rFonts w:hint="eastAsia" w:ascii="宋体" w:hAnsi="宋体" w:cs="宋体"/>
          <w:sz w:val="22"/>
          <w:szCs w:val="22"/>
        </w:rPr>
        <w:t>2.1.清除格栅机耙齿上的垃圾及污物，冲洗格栅机平台，保持环境整洁。</w:t>
      </w:r>
    </w:p>
    <w:p>
      <w:pPr>
        <w:pStyle w:val="48"/>
        <w:ind w:firstLine="440"/>
        <w:rPr>
          <w:rFonts w:ascii="宋体" w:hAnsi="宋体" w:cs="宋体"/>
          <w:sz w:val="22"/>
          <w:szCs w:val="22"/>
        </w:rPr>
      </w:pPr>
      <w:r>
        <w:rPr>
          <w:rFonts w:hint="eastAsia" w:ascii="宋体" w:hAnsi="宋体" w:cs="宋体"/>
          <w:sz w:val="22"/>
          <w:szCs w:val="22"/>
        </w:rPr>
        <w:t>2.2.检查格栅机耙齿，如有松动、变形或损坏，则应整修或更换。</w:t>
      </w:r>
    </w:p>
    <w:p>
      <w:pPr>
        <w:pStyle w:val="48"/>
        <w:ind w:firstLine="440"/>
        <w:rPr>
          <w:rFonts w:ascii="宋体" w:hAnsi="宋体" w:cs="宋体"/>
          <w:sz w:val="22"/>
          <w:szCs w:val="22"/>
        </w:rPr>
      </w:pPr>
      <w:r>
        <w:rPr>
          <w:rFonts w:hint="eastAsia" w:ascii="宋体" w:hAnsi="宋体" w:cs="宋体"/>
          <w:sz w:val="22"/>
          <w:szCs w:val="22"/>
        </w:rPr>
        <w:t>2.3.检查传动机构、链条、链板、滚轮等工作状况，应润滑良好、无严重磨损，运转平稳顺畅无异响、松紧正常。</w:t>
      </w:r>
    </w:p>
    <w:p>
      <w:pPr>
        <w:pStyle w:val="48"/>
        <w:ind w:firstLine="440"/>
        <w:rPr>
          <w:rFonts w:ascii="宋体" w:hAnsi="宋体" w:cs="宋体"/>
          <w:sz w:val="22"/>
          <w:szCs w:val="22"/>
        </w:rPr>
      </w:pPr>
      <w:r>
        <w:rPr>
          <w:rFonts w:hint="eastAsia" w:ascii="宋体" w:hAnsi="宋体" w:cs="宋体"/>
          <w:sz w:val="22"/>
          <w:szCs w:val="22"/>
        </w:rPr>
        <w:t>2.4.调整松紧丝杆、调试格栅，使格栅机达到最佳运行状态。</w:t>
      </w:r>
    </w:p>
    <w:p>
      <w:pPr>
        <w:pStyle w:val="48"/>
        <w:ind w:firstLine="220" w:firstLineChars="100"/>
        <w:rPr>
          <w:rFonts w:ascii="宋体" w:hAnsi="宋体" w:cs="宋体"/>
          <w:sz w:val="22"/>
          <w:szCs w:val="22"/>
        </w:rPr>
      </w:pPr>
      <w:r>
        <w:rPr>
          <w:rFonts w:hint="eastAsia" w:ascii="宋体" w:hAnsi="宋体" w:cs="宋体"/>
          <w:sz w:val="22"/>
          <w:szCs w:val="22"/>
        </w:rPr>
        <w:t>▲2.5.检查轴承及轴承座、加注润滑脂。</w:t>
      </w:r>
    </w:p>
    <w:p>
      <w:pPr>
        <w:pStyle w:val="48"/>
        <w:ind w:firstLine="220" w:firstLineChars="100"/>
        <w:rPr>
          <w:rFonts w:ascii="宋体" w:hAnsi="宋体" w:cs="宋体"/>
          <w:sz w:val="22"/>
          <w:szCs w:val="22"/>
        </w:rPr>
      </w:pPr>
      <w:r>
        <w:rPr>
          <w:rFonts w:hint="eastAsia" w:ascii="宋体" w:hAnsi="宋体" w:cs="宋体"/>
          <w:sz w:val="22"/>
          <w:szCs w:val="22"/>
        </w:rPr>
        <w:t>▲2.6.检查减速机、电机运行状态，密封是否良好、确保无异响、无漏油现象，并更换减速机润滑油（润滑油品牌指定为美孚、</w:t>
      </w:r>
      <w:r>
        <w:rPr>
          <w:rFonts w:hint="eastAsia" w:ascii="宋体" w:hAnsi="宋体" w:cs="宋体"/>
          <w:sz w:val="22"/>
          <w:szCs w:val="22"/>
          <w:shd w:val="clear" w:color="auto" w:fill="FFFFFF"/>
        </w:rPr>
        <w:t>壳牌、嘉实多</w:t>
      </w:r>
      <w:r>
        <w:rPr>
          <w:rFonts w:hint="eastAsia" w:ascii="宋体" w:hAnsi="宋体" w:cs="宋体"/>
          <w:sz w:val="22"/>
          <w:szCs w:val="22"/>
        </w:rPr>
        <w:t>）。</w:t>
      </w:r>
    </w:p>
    <w:p>
      <w:pPr>
        <w:pStyle w:val="48"/>
        <w:ind w:left="420" w:leftChars="200" w:firstLine="0" w:firstLineChars="0"/>
        <w:rPr>
          <w:rFonts w:ascii="宋体" w:hAnsi="宋体" w:cs="宋体"/>
          <w:sz w:val="22"/>
          <w:szCs w:val="22"/>
        </w:rPr>
      </w:pPr>
      <w:r>
        <w:rPr>
          <w:rFonts w:hint="eastAsia" w:ascii="宋体" w:hAnsi="宋体" w:cs="宋体"/>
          <w:sz w:val="22"/>
          <w:szCs w:val="22"/>
        </w:rPr>
        <w:t>2.7.驱动链轮、链条、齿耙、刮板检查维护，轴承、链轮、链条如有异常磨损，应及时更换。</w:t>
      </w:r>
    </w:p>
    <w:p>
      <w:pPr>
        <w:pStyle w:val="48"/>
        <w:ind w:left="420" w:leftChars="200" w:firstLine="0" w:firstLineChars="0"/>
        <w:rPr>
          <w:rFonts w:ascii="宋体" w:hAnsi="宋体" w:cs="宋体"/>
          <w:sz w:val="22"/>
          <w:szCs w:val="22"/>
        </w:rPr>
      </w:pPr>
      <w:r>
        <w:rPr>
          <w:rFonts w:hint="eastAsia" w:ascii="宋体" w:hAnsi="宋体" w:cs="宋体"/>
          <w:sz w:val="22"/>
          <w:szCs w:val="22"/>
        </w:rPr>
        <w:t>2.8.格栅机年度定期维养为每年一次。每季度不少于1次，以及汛期的特殊巡查要求，每年不少于4次（其中包含年度维养）</w:t>
      </w:r>
    </w:p>
    <w:p>
      <w:pPr>
        <w:pStyle w:val="48"/>
        <w:ind w:firstLine="220" w:firstLineChars="100"/>
        <w:rPr>
          <w:rFonts w:ascii="宋体" w:hAnsi="宋体" w:cs="宋体"/>
          <w:sz w:val="22"/>
          <w:szCs w:val="22"/>
        </w:rPr>
      </w:pPr>
      <w:r>
        <w:rPr>
          <w:rFonts w:hint="eastAsia" w:ascii="宋体" w:hAnsi="宋体" w:cs="宋体"/>
          <w:sz w:val="22"/>
          <w:szCs w:val="22"/>
        </w:rPr>
        <w:t>▲2.9.易腐蚀件应做防腐处理。</w:t>
      </w:r>
    </w:p>
    <w:p>
      <w:pPr>
        <w:pStyle w:val="48"/>
        <w:numPr>
          <w:ilvl w:val="0"/>
          <w:numId w:val="18"/>
        </w:numPr>
        <w:ind w:firstLine="440"/>
        <w:rPr>
          <w:rFonts w:ascii="宋体" w:hAnsi="宋体" w:cs="宋体"/>
          <w:sz w:val="22"/>
          <w:szCs w:val="22"/>
        </w:rPr>
      </w:pPr>
      <w:r>
        <w:rPr>
          <w:rFonts w:hint="eastAsia" w:ascii="宋体" w:hAnsi="宋体" w:cs="宋体"/>
          <w:sz w:val="22"/>
          <w:szCs w:val="22"/>
        </w:rPr>
        <w:t>保障一年内格栅机的正常运行，每年每台异常或停机不多于20天,特殊情况需要和采购人说明，经采购人同意后方可延期。</w:t>
      </w:r>
    </w:p>
    <w:p>
      <w:pPr>
        <w:pStyle w:val="48"/>
        <w:ind w:firstLine="0" w:firstLineChars="0"/>
        <w:rPr>
          <w:rFonts w:ascii="宋体" w:hAnsi="宋体" w:cs="宋体"/>
          <w:sz w:val="22"/>
          <w:szCs w:val="22"/>
        </w:rPr>
      </w:pPr>
    </w:p>
    <w:p>
      <w:pPr>
        <w:snapToGrid w:val="0"/>
        <w:spacing w:line="360" w:lineRule="auto"/>
        <w:ind w:left="1"/>
        <w:rPr>
          <w:rFonts w:ascii="Arial" w:hAnsi="宋体" w:cs="Arial"/>
        </w:rPr>
      </w:pPr>
      <w:r>
        <w:rPr>
          <w:rFonts w:hint="eastAsia" w:ascii="Arial" w:hAnsi="宋体" w:cs="Arial"/>
        </w:rPr>
        <w:t>3.2.2格栅机（输送机）维修技术要求：</w:t>
      </w:r>
    </w:p>
    <w:p>
      <w:pPr>
        <w:numPr>
          <w:ilvl w:val="0"/>
          <w:numId w:val="19"/>
        </w:numPr>
        <w:snapToGrid w:val="0"/>
        <w:spacing w:line="360" w:lineRule="auto"/>
        <w:rPr>
          <w:rFonts w:ascii="Arial" w:hAnsi="宋体" w:cs="Arial"/>
        </w:rPr>
      </w:pPr>
      <w:r>
        <w:rPr>
          <w:rFonts w:hint="eastAsia" w:ascii="Arial" w:hAnsi="宋体" w:cs="Arial"/>
        </w:rPr>
        <w:t>格栅机安装维修结束后，电机试空载后，联机调试。</w:t>
      </w:r>
    </w:p>
    <w:p>
      <w:pPr>
        <w:numPr>
          <w:ilvl w:val="0"/>
          <w:numId w:val="19"/>
        </w:numPr>
        <w:snapToGrid w:val="0"/>
        <w:spacing w:line="360" w:lineRule="auto"/>
        <w:rPr>
          <w:rFonts w:ascii="Arial" w:hAnsi="宋体" w:cs="Arial"/>
        </w:rPr>
      </w:pPr>
      <w:r>
        <w:rPr>
          <w:rFonts w:hint="eastAsia" w:ascii="Arial" w:hAnsi="宋体" w:cs="Arial"/>
        </w:rPr>
        <w:t>调试运行时应测电机的电流、电压、功率等，并将修理后与修理前的数据进行比较，分析、判断修理的效果。</w:t>
      </w:r>
    </w:p>
    <w:p>
      <w:pPr>
        <w:numPr>
          <w:ilvl w:val="0"/>
          <w:numId w:val="19"/>
        </w:numPr>
        <w:snapToGrid w:val="0"/>
        <w:spacing w:line="360" w:lineRule="auto"/>
        <w:rPr>
          <w:rFonts w:ascii="Arial" w:hAnsi="宋体" w:cs="Arial"/>
        </w:rPr>
      </w:pPr>
      <w:r>
        <w:rPr>
          <w:rFonts w:hint="eastAsia" w:ascii="Arial" w:hAnsi="宋体" w:cs="Arial"/>
        </w:rPr>
        <w:t>试运行2h，正常后，方可转入正式运行。</w:t>
      </w:r>
    </w:p>
    <w:p>
      <w:pPr>
        <w:numPr>
          <w:ilvl w:val="0"/>
          <w:numId w:val="19"/>
        </w:numPr>
        <w:snapToGrid w:val="0"/>
        <w:spacing w:line="360" w:lineRule="auto"/>
        <w:rPr>
          <w:rFonts w:ascii="Arial" w:hAnsi="宋体" w:cs="Arial"/>
        </w:rPr>
      </w:pPr>
      <w:r>
        <w:rPr>
          <w:rFonts w:hint="eastAsia" w:ascii="Arial" w:hAnsi="宋体" w:cs="Arial"/>
        </w:rPr>
        <w:t>建立设备档案（每台设备有档案，有设备履历，泵体上做好唯一标识），对每次保养检修有详细记录和影像资料，并及时提交业主。</w:t>
      </w:r>
    </w:p>
    <w:p>
      <w:pPr>
        <w:numPr>
          <w:ilvl w:val="0"/>
          <w:numId w:val="20"/>
        </w:numPr>
        <w:snapToGrid w:val="0"/>
        <w:spacing w:line="360" w:lineRule="auto"/>
        <w:ind w:left="420"/>
        <w:rPr>
          <w:rFonts w:ascii="Arial" w:hAnsi="宋体" w:cs="Arial"/>
        </w:rPr>
      </w:pPr>
      <w:r>
        <w:rPr>
          <w:rFonts w:hint="eastAsia" w:ascii="Arial" w:hAnsi="宋体" w:cs="Arial"/>
        </w:rPr>
        <w:t>维修报告包括以下内容</w:t>
      </w:r>
    </w:p>
    <w:p>
      <w:pPr>
        <w:numPr>
          <w:ilvl w:val="0"/>
          <w:numId w:val="21"/>
        </w:numPr>
        <w:snapToGrid w:val="0"/>
        <w:spacing w:line="360" w:lineRule="auto"/>
        <w:rPr>
          <w:rFonts w:hint="eastAsia" w:ascii="Arial" w:hAnsi="宋体" w:cs="Arial"/>
        </w:rPr>
      </w:pPr>
      <w:r>
        <w:rPr>
          <w:rFonts w:hint="eastAsia" w:ascii="Arial" w:hAnsi="宋体" w:cs="Arial"/>
        </w:rPr>
        <w:t>更换零件明细表</w:t>
      </w:r>
    </w:p>
    <w:p>
      <w:pPr>
        <w:numPr>
          <w:ilvl w:val="0"/>
          <w:numId w:val="21"/>
        </w:numPr>
        <w:snapToGrid w:val="0"/>
        <w:spacing w:line="360" w:lineRule="auto"/>
        <w:rPr>
          <w:rFonts w:ascii="Arial" w:hAnsi="宋体" w:cs="Arial"/>
        </w:rPr>
      </w:pPr>
      <w:r>
        <w:rPr>
          <w:rFonts w:hint="eastAsia" w:ascii="Arial" w:hAnsi="宋体" w:cs="Arial"/>
        </w:rPr>
        <w:t>新更换的零部件的规格、参数及详细照片</w:t>
      </w:r>
    </w:p>
    <w:p>
      <w:pPr>
        <w:numPr>
          <w:ilvl w:val="0"/>
          <w:numId w:val="21"/>
        </w:numPr>
        <w:snapToGrid w:val="0"/>
        <w:spacing w:line="360" w:lineRule="auto"/>
        <w:rPr>
          <w:rFonts w:ascii="Arial" w:hAnsi="宋体" w:cs="Arial"/>
        </w:rPr>
      </w:pPr>
      <w:r>
        <w:rPr>
          <w:rFonts w:ascii="宋体" w:hAnsi="宋体"/>
          <w:sz w:val="22"/>
          <w:szCs w:val="21"/>
        </w:rPr>
        <w:t>设备维修装配表</w:t>
      </w:r>
    </w:p>
    <w:p>
      <w:pPr>
        <w:numPr>
          <w:ilvl w:val="0"/>
          <w:numId w:val="21"/>
        </w:numPr>
        <w:snapToGrid w:val="0"/>
        <w:spacing w:line="360" w:lineRule="auto"/>
        <w:rPr>
          <w:rFonts w:ascii="Arial" w:hAnsi="宋体" w:cs="Arial"/>
        </w:rPr>
      </w:pPr>
      <w:r>
        <w:rPr>
          <w:rFonts w:hint="eastAsia" w:ascii="Arial" w:hAnsi="宋体" w:cs="Arial"/>
        </w:rPr>
        <w:t>各零部件维修好之后与维修前对比照</w:t>
      </w:r>
    </w:p>
    <w:p>
      <w:pPr>
        <w:numPr>
          <w:ilvl w:val="0"/>
          <w:numId w:val="21"/>
        </w:numPr>
        <w:snapToGrid w:val="0"/>
        <w:spacing w:line="360" w:lineRule="auto"/>
        <w:rPr>
          <w:rFonts w:ascii="Arial" w:hAnsi="宋体" w:cs="Arial"/>
        </w:rPr>
      </w:pPr>
      <w:r>
        <w:rPr>
          <w:rFonts w:ascii="宋体" w:hAnsi="宋体"/>
          <w:sz w:val="22"/>
          <w:szCs w:val="21"/>
        </w:rPr>
        <w:t>现场调试报告</w:t>
      </w:r>
    </w:p>
    <w:p>
      <w:pPr>
        <w:numPr>
          <w:ilvl w:val="0"/>
          <w:numId w:val="20"/>
        </w:numPr>
        <w:snapToGrid w:val="0"/>
        <w:spacing w:line="360" w:lineRule="auto"/>
        <w:ind w:left="420"/>
        <w:rPr>
          <w:rFonts w:ascii="Arial" w:hAnsi="宋体" w:cs="Arial"/>
        </w:rPr>
      </w:pPr>
      <w:r>
        <w:rPr>
          <w:rFonts w:hint="eastAsia" w:ascii="Arial" w:hAnsi="宋体" w:cs="Arial"/>
        </w:rPr>
        <w:t>完成维修后提供格栅机检测报告包括以下内容：</w:t>
      </w:r>
    </w:p>
    <w:p>
      <w:pPr>
        <w:numPr>
          <w:ilvl w:val="0"/>
          <w:numId w:val="22"/>
        </w:numPr>
        <w:snapToGrid w:val="0"/>
        <w:spacing w:line="360" w:lineRule="auto"/>
        <w:rPr>
          <w:rFonts w:ascii="Arial" w:hAnsi="宋体" w:cs="Arial"/>
        </w:rPr>
      </w:pPr>
      <w:r>
        <w:rPr>
          <w:rFonts w:hint="eastAsia" w:ascii="Arial" w:hAnsi="宋体" w:cs="Arial"/>
        </w:rPr>
        <w:t>格栅机维修后基本情况描述</w:t>
      </w:r>
    </w:p>
    <w:p>
      <w:pPr>
        <w:numPr>
          <w:ilvl w:val="0"/>
          <w:numId w:val="22"/>
        </w:numPr>
        <w:snapToGrid w:val="0"/>
        <w:spacing w:line="360" w:lineRule="auto"/>
        <w:rPr>
          <w:rFonts w:ascii="Arial" w:hAnsi="宋体" w:cs="Arial"/>
        </w:rPr>
      </w:pPr>
      <w:r>
        <w:rPr>
          <w:rFonts w:hint="eastAsia" w:ascii="Arial" w:hAnsi="宋体" w:cs="Arial"/>
        </w:rPr>
        <w:t>格栅机、电机、减速机的铭牌、电缆、吊钩（吊环）等各部位外观照片</w:t>
      </w:r>
    </w:p>
    <w:p>
      <w:pPr>
        <w:numPr>
          <w:ilvl w:val="0"/>
          <w:numId w:val="22"/>
        </w:numPr>
        <w:snapToGrid w:val="0"/>
        <w:spacing w:line="360" w:lineRule="auto"/>
        <w:rPr>
          <w:rFonts w:ascii="Arial" w:hAnsi="宋体" w:cs="Arial"/>
        </w:rPr>
      </w:pPr>
      <w:r>
        <w:rPr>
          <w:rFonts w:hint="eastAsia" w:ascii="Arial" w:hAnsi="宋体" w:cs="Arial"/>
        </w:rPr>
        <w:t>格栅机、电机绕组的相间、对地阻值记录</w:t>
      </w:r>
    </w:p>
    <w:p>
      <w:pPr>
        <w:numPr>
          <w:ilvl w:val="0"/>
          <w:numId w:val="22"/>
        </w:numPr>
        <w:snapToGrid w:val="0"/>
        <w:spacing w:line="360" w:lineRule="auto"/>
      </w:pPr>
      <w:r>
        <w:rPr>
          <w:rFonts w:hint="eastAsia" w:ascii="Arial" w:hAnsi="宋体" w:cs="Arial"/>
        </w:rPr>
        <w:t>格栅机空载试验情况说明，空载电流记录</w:t>
      </w:r>
    </w:p>
    <w:p>
      <w:pPr>
        <w:pStyle w:val="22"/>
      </w:pPr>
    </w:p>
    <w:p>
      <w:pPr>
        <w:numPr>
          <w:ilvl w:val="0"/>
          <w:numId w:val="15"/>
        </w:numPr>
        <w:spacing w:line="360" w:lineRule="auto"/>
        <w:ind w:firstLine="0"/>
        <w:jc w:val="center"/>
        <w:rPr>
          <w:rFonts w:ascii="宋体" w:hAnsi="宋体" w:cs="宋体"/>
          <w:b/>
          <w:bCs/>
          <w:sz w:val="22"/>
          <w:szCs w:val="22"/>
        </w:rPr>
      </w:pPr>
      <w:r>
        <w:rPr>
          <w:rFonts w:hint="eastAsia" w:ascii="宋体" w:hAnsi="宋体" w:cs="宋体"/>
          <w:b/>
          <w:bCs/>
          <w:szCs w:val="21"/>
        </w:rPr>
        <w:t>招标要求</w:t>
      </w:r>
    </w:p>
    <w:p>
      <w:pPr>
        <w:spacing w:line="460" w:lineRule="exact"/>
        <w:ind w:firstLine="442" w:firstLineChars="200"/>
        <w:jc w:val="left"/>
        <w:outlineLvl w:val="3"/>
        <w:rPr>
          <w:rFonts w:ascii="宋体" w:hAnsi="宋体" w:cs="宋体"/>
          <w:sz w:val="22"/>
          <w:szCs w:val="22"/>
        </w:rPr>
      </w:pPr>
      <w:r>
        <w:rPr>
          <w:rFonts w:hint="eastAsia" w:ascii="宋体" w:hAnsi="宋体" w:cs="宋体"/>
          <w:b/>
          <w:bCs/>
          <w:sz w:val="22"/>
          <w:szCs w:val="22"/>
        </w:rPr>
        <w:t>1、报价要求</w:t>
      </w:r>
    </w:p>
    <w:p>
      <w:pPr>
        <w:spacing w:line="460" w:lineRule="exact"/>
        <w:ind w:firstLine="420" w:firstLineChars="200"/>
        <w:jc w:val="left"/>
        <w:rPr>
          <w:rFonts w:ascii="宋体" w:hAnsi="宋体" w:cs="宋体"/>
          <w:color w:val="auto"/>
          <w:sz w:val="22"/>
          <w:szCs w:val="22"/>
        </w:rPr>
      </w:pPr>
      <w:r>
        <w:rPr>
          <w:rFonts w:hint="eastAsia" w:ascii="宋体" w:hAnsi="宋体" w:cs="Arial"/>
          <w:color w:val="auto"/>
          <w:szCs w:val="21"/>
        </w:rPr>
        <w:t>投</w:t>
      </w:r>
      <w:r>
        <w:rPr>
          <w:rFonts w:ascii="宋体" w:hAnsi="宋体" w:cs="Arial"/>
          <w:color w:val="auto"/>
          <w:szCs w:val="21"/>
        </w:rPr>
        <w:t>标报价采用</w:t>
      </w:r>
      <w:r>
        <w:rPr>
          <w:rFonts w:hint="eastAsia" w:ascii="宋体" w:hAnsi="宋体" w:cs="Arial"/>
          <w:color w:val="auto"/>
          <w:szCs w:val="21"/>
        </w:rPr>
        <w:t>固定</w:t>
      </w:r>
      <w:r>
        <w:rPr>
          <w:rFonts w:hint="eastAsia" w:ascii="宋体" w:hAnsi="宋体" w:cs="Arial"/>
          <w:color w:val="auto"/>
          <w:szCs w:val="21"/>
          <w:lang w:eastAsia="zh-CN"/>
        </w:rPr>
        <w:t>下浮率</w:t>
      </w:r>
      <w:r>
        <w:rPr>
          <w:rFonts w:hint="eastAsia" w:ascii="宋体" w:hAnsi="宋体" w:cs="Arial"/>
          <w:color w:val="auto"/>
          <w:szCs w:val="21"/>
        </w:rPr>
        <w:t>报价方式</w:t>
      </w:r>
      <w:r>
        <w:rPr>
          <w:rFonts w:ascii="宋体" w:hAnsi="宋体" w:cs="Arial"/>
          <w:color w:val="auto"/>
          <w:szCs w:val="21"/>
        </w:rPr>
        <w:t>。</w:t>
      </w:r>
      <w:r>
        <w:rPr>
          <w:rFonts w:hint="eastAsia" w:ascii="Arial" w:hAnsi="宋体" w:cs="Arial"/>
          <w:color w:val="auto"/>
        </w:rPr>
        <w:t>设备维修及配件更换数量不定，按实结算，单次无论材料、人工或其他因素价格涨跌，中标综合单价不予调整。</w:t>
      </w:r>
    </w:p>
    <w:p>
      <w:pPr>
        <w:spacing w:line="460" w:lineRule="exact"/>
        <w:ind w:firstLine="442" w:firstLineChars="200"/>
        <w:jc w:val="left"/>
        <w:outlineLvl w:val="3"/>
        <w:rPr>
          <w:rFonts w:ascii="宋体" w:hAnsi="宋体" w:cs="宋体"/>
          <w:strike/>
          <w:color w:val="auto"/>
          <w:sz w:val="22"/>
          <w:szCs w:val="22"/>
          <w:highlight w:val="none"/>
        </w:rPr>
      </w:pPr>
      <w:r>
        <w:rPr>
          <w:rFonts w:hint="eastAsia" w:ascii="宋体" w:hAnsi="宋体" w:cs="宋体"/>
          <w:b/>
          <w:bCs/>
          <w:color w:val="auto"/>
          <w:sz w:val="22"/>
          <w:szCs w:val="22"/>
        </w:rPr>
        <w:t>2、售后服务及质</w:t>
      </w:r>
      <w:r>
        <w:rPr>
          <w:rFonts w:ascii="宋体" w:hAnsi="宋体" w:cs="宋体"/>
          <w:b/>
          <w:bCs/>
          <w:color w:val="auto"/>
          <w:sz w:val="22"/>
          <w:szCs w:val="22"/>
        </w:rPr>
        <w:t>保</w:t>
      </w:r>
      <w:r>
        <w:rPr>
          <w:rFonts w:hint="eastAsia" w:ascii="宋体" w:hAnsi="宋体" w:cs="宋体"/>
          <w:b/>
          <w:bCs/>
          <w:color w:val="auto"/>
          <w:sz w:val="22"/>
          <w:szCs w:val="22"/>
        </w:rPr>
        <w:t>要求</w:t>
      </w:r>
    </w:p>
    <w:p>
      <w:pPr>
        <w:spacing w:line="400" w:lineRule="exact"/>
        <w:ind w:firstLine="422" w:firstLineChars="200"/>
        <w:rPr>
          <w:rFonts w:hint="eastAsia" w:ascii="宋体" w:hAnsi="宋体"/>
          <w:b/>
          <w:bCs/>
          <w:color w:val="auto"/>
          <w:szCs w:val="21"/>
        </w:rPr>
      </w:pPr>
      <w:r>
        <w:rPr>
          <w:rFonts w:hint="eastAsia" w:ascii="宋体" w:hAnsi="宋体"/>
          <w:b/>
          <w:bCs/>
          <w:color w:val="auto"/>
          <w:szCs w:val="21"/>
        </w:rPr>
        <w:t>格栅机（输送机）整</w:t>
      </w:r>
      <w:r>
        <w:rPr>
          <w:rFonts w:ascii="宋体" w:hAnsi="宋体"/>
          <w:b/>
          <w:bCs/>
          <w:color w:val="auto"/>
          <w:szCs w:val="21"/>
        </w:rPr>
        <w:t>机大修</w:t>
      </w:r>
      <w:r>
        <w:rPr>
          <w:rFonts w:hint="eastAsia" w:ascii="宋体" w:hAnsi="宋体" w:cs="宋体"/>
          <w:b/>
          <w:bCs/>
          <w:color w:val="auto"/>
          <w:szCs w:val="21"/>
        </w:rPr>
        <w:t>（金额单台超过2万），</w:t>
      </w:r>
      <w:r>
        <w:rPr>
          <w:rFonts w:ascii="宋体" w:hAnsi="宋体" w:cs="宋体"/>
          <w:b/>
          <w:bCs/>
          <w:color w:val="auto"/>
          <w:szCs w:val="21"/>
        </w:rPr>
        <w:t>整</w:t>
      </w:r>
      <w:r>
        <w:rPr>
          <w:rFonts w:hint="eastAsia" w:ascii="宋体" w:hAnsi="宋体" w:cs="宋体"/>
          <w:b/>
          <w:bCs/>
          <w:color w:val="auto"/>
          <w:szCs w:val="21"/>
        </w:rPr>
        <w:t>机</w:t>
      </w:r>
      <w:r>
        <w:rPr>
          <w:rFonts w:hint="eastAsia" w:ascii="宋体" w:hAnsi="宋体"/>
          <w:b/>
          <w:bCs/>
          <w:color w:val="auto"/>
          <w:szCs w:val="21"/>
        </w:rPr>
        <w:t>需提供自验收合格并交付使用后至少</w:t>
      </w:r>
      <w:r>
        <w:rPr>
          <w:rFonts w:ascii="宋体" w:hAnsi="宋体"/>
          <w:b/>
          <w:bCs/>
          <w:color w:val="auto"/>
          <w:szCs w:val="21"/>
        </w:rPr>
        <w:t>6</w:t>
      </w:r>
      <w:r>
        <w:rPr>
          <w:rFonts w:hint="eastAsia" w:ascii="宋体" w:hAnsi="宋体"/>
          <w:b/>
          <w:bCs/>
          <w:color w:val="auto"/>
          <w:szCs w:val="21"/>
        </w:rPr>
        <w:t>个月的现场免费质保期；</w:t>
      </w:r>
      <w:r>
        <w:rPr>
          <w:rFonts w:hint="eastAsia" w:ascii="宋体" w:hAnsi="宋体" w:cs="宋体"/>
          <w:b/>
          <w:bCs/>
          <w:color w:val="auto"/>
          <w:szCs w:val="21"/>
        </w:rPr>
        <w:t>格栅机</w:t>
      </w:r>
      <w:r>
        <w:rPr>
          <w:rFonts w:hint="eastAsia" w:ascii="宋体" w:hAnsi="宋体"/>
          <w:b/>
          <w:bCs/>
          <w:color w:val="auto"/>
          <w:szCs w:val="21"/>
        </w:rPr>
        <w:t>（输送机）</w:t>
      </w:r>
      <w:r>
        <w:rPr>
          <w:rFonts w:hint="eastAsia" w:ascii="宋体" w:hAnsi="宋体" w:cs="宋体"/>
          <w:b/>
          <w:bCs/>
          <w:color w:val="auto"/>
          <w:szCs w:val="21"/>
        </w:rPr>
        <w:t>维</w:t>
      </w:r>
      <w:r>
        <w:rPr>
          <w:rFonts w:ascii="宋体" w:hAnsi="宋体" w:cs="宋体"/>
          <w:b/>
          <w:bCs/>
          <w:color w:val="auto"/>
          <w:szCs w:val="21"/>
        </w:rPr>
        <w:t>修</w:t>
      </w:r>
      <w:r>
        <w:rPr>
          <w:rFonts w:hint="eastAsia" w:ascii="宋体" w:hAnsi="宋体" w:cs="宋体"/>
          <w:b/>
          <w:bCs/>
          <w:color w:val="auto"/>
          <w:szCs w:val="21"/>
        </w:rPr>
        <w:t>更</w:t>
      </w:r>
      <w:r>
        <w:rPr>
          <w:rFonts w:ascii="宋体" w:hAnsi="宋体" w:cs="宋体"/>
          <w:b/>
          <w:bCs/>
          <w:color w:val="auto"/>
          <w:szCs w:val="21"/>
        </w:rPr>
        <w:t>换</w:t>
      </w:r>
      <w:r>
        <w:rPr>
          <w:rFonts w:hint="eastAsia" w:ascii="宋体" w:hAnsi="宋体" w:cs="宋体"/>
          <w:b/>
          <w:bCs/>
          <w:color w:val="auto"/>
          <w:szCs w:val="21"/>
        </w:rPr>
        <w:t>提供</w:t>
      </w:r>
      <w:r>
        <w:rPr>
          <w:rFonts w:ascii="宋体" w:hAnsi="宋体" w:cs="宋体"/>
          <w:b/>
          <w:bCs/>
          <w:color w:val="auto"/>
          <w:szCs w:val="21"/>
        </w:rPr>
        <w:t>新的配件</w:t>
      </w:r>
      <w:r>
        <w:rPr>
          <w:rFonts w:hint="eastAsia" w:ascii="宋体" w:hAnsi="宋体" w:cs="宋体"/>
          <w:b/>
          <w:bCs/>
          <w:color w:val="auto"/>
          <w:szCs w:val="21"/>
        </w:rPr>
        <w:t>需提供免费保修期至少</w:t>
      </w:r>
      <w:r>
        <w:rPr>
          <w:rFonts w:ascii="宋体" w:hAnsi="宋体" w:cs="宋体"/>
          <w:b/>
          <w:bCs/>
          <w:color w:val="auto"/>
          <w:szCs w:val="21"/>
        </w:rPr>
        <w:t>12</w:t>
      </w:r>
      <w:r>
        <w:rPr>
          <w:rFonts w:hint="eastAsia" w:ascii="宋体" w:hAnsi="宋体" w:cs="宋体"/>
          <w:b/>
          <w:bCs/>
          <w:color w:val="auto"/>
          <w:szCs w:val="21"/>
        </w:rPr>
        <w:t>个月。</w:t>
      </w:r>
    </w:p>
    <w:p>
      <w:pPr>
        <w:spacing w:line="400" w:lineRule="exact"/>
        <w:ind w:firstLine="422" w:firstLineChars="200"/>
        <w:rPr>
          <w:rFonts w:ascii="宋体" w:hAnsi="宋体"/>
          <w:b/>
          <w:bCs/>
          <w:color w:val="auto"/>
          <w:szCs w:val="21"/>
        </w:rPr>
      </w:pPr>
      <w:r>
        <w:rPr>
          <w:rFonts w:hint="eastAsia" w:ascii="宋体" w:hAnsi="宋体"/>
          <w:b/>
          <w:bCs/>
          <w:color w:val="auto"/>
          <w:szCs w:val="21"/>
        </w:rPr>
        <w:t>保修期内，投标人应遵循本协议的规定，采购人在使用过程中若发现新的缺陷和损坏或原修复的缺陷或部位又遭损坏，投标人接到采购人的相关通知后</w:t>
      </w:r>
      <w:r>
        <w:rPr>
          <w:rFonts w:ascii="宋体" w:hAnsi="宋体"/>
          <w:b/>
          <w:bCs/>
          <w:color w:val="auto"/>
          <w:szCs w:val="21"/>
        </w:rPr>
        <w:t>48</w:t>
      </w:r>
      <w:r>
        <w:rPr>
          <w:rFonts w:hint="eastAsia" w:ascii="宋体" w:hAnsi="宋体"/>
          <w:b/>
          <w:bCs/>
          <w:color w:val="auto"/>
          <w:szCs w:val="21"/>
        </w:rPr>
        <w:t>小时内应到达现场排除故障，并由双方共同调查，如经检查确定属于投标人的维修质量缺陷、维修技术问题或其它责任，则应有投标人继续负责修复直至合格为止，并由投标人承担修复费用。由不可抗力事由或自然情况造成泵站格栅机损坏，投标人不负责任。</w:t>
      </w:r>
    </w:p>
    <w:p>
      <w:pPr>
        <w:spacing w:line="460" w:lineRule="exact"/>
        <w:ind w:firstLine="442" w:firstLineChars="200"/>
        <w:jc w:val="left"/>
        <w:outlineLvl w:val="3"/>
        <w:rPr>
          <w:rFonts w:ascii="宋体" w:hAnsi="宋体" w:cs="宋体"/>
          <w:b/>
          <w:bCs/>
          <w:sz w:val="22"/>
          <w:szCs w:val="22"/>
        </w:rPr>
      </w:pPr>
      <w:r>
        <w:rPr>
          <w:rFonts w:hint="eastAsia" w:ascii="宋体" w:hAnsi="宋体" w:cs="宋体"/>
          <w:b/>
          <w:bCs/>
          <w:color w:val="auto"/>
          <w:sz w:val="22"/>
          <w:szCs w:val="22"/>
        </w:rPr>
        <w:t>3、维修流程</w:t>
      </w:r>
    </w:p>
    <w:p>
      <w:pPr>
        <w:spacing w:line="460" w:lineRule="exact"/>
        <w:ind w:firstLine="440" w:firstLineChars="200"/>
        <w:jc w:val="left"/>
        <w:rPr>
          <w:rFonts w:ascii="宋体" w:hAnsi="宋体" w:cs="宋体"/>
          <w:color w:val="auto"/>
          <w:sz w:val="22"/>
          <w:szCs w:val="22"/>
        </w:rPr>
      </w:pPr>
      <w:r>
        <w:rPr>
          <w:rFonts w:hint="eastAsia" w:ascii="宋体" w:hAnsi="宋体" w:cs="宋体"/>
          <w:sz w:val="22"/>
          <w:szCs w:val="22"/>
        </w:rPr>
        <w:t>设备运行异常时，采购人通知中标人（或中标人排查发现运行异常）。中标人展开故障排查，排查后应出具书面排查报告，排查报告内容应包括设备型号名称、故障情况及原因、更换配件清单及价格等。维修前中标人应将配件清单、维修方式、配件预算以排查报告的方式告知采购人，采购人认可后通知中标人开始维修。维修完成后</w:t>
      </w:r>
      <w:r>
        <w:rPr>
          <w:rFonts w:hint="eastAsia" w:ascii="宋体" w:hAnsi="宋体" w:cs="宋体"/>
          <w:color w:val="auto"/>
          <w:sz w:val="22"/>
          <w:szCs w:val="22"/>
        </w:rPr>
        <w:t>，中标人提供维养报告，并根据现场情况出具维修验收单作为结算依据。</w:t>
      </w:r>
    </w:p>
    <w:p>
      <w:pPr>
        <w:keepNext/>
        <w:spacing w:line="460" w:lineRule="exact"/>
        <w:ind w:firstLine="442"/>
        <w:jc w:val="left"/>
        <w:rPr>
          <w:rFonts w:ascii="宋体" w:hAnsi="宋体" w:cs="宋体"/>
          <w:color w:val="auto"/>
          <w:sz w:val="22"/>
          <w:szCs w:val="22"/>
        </w:rPr>
      </w:pPr>
      <w:r>
        <w:rPr>
          <w:rFonts w:hint="eastAsia" w:ascii="宋体" w:hAnsi="宋体" w:cs="宋体"/>
          <w:bCs/>
          <w:color w:val="auto"/>
          <w:sz w:val="22"/>
          <w:szCs w:val="22"/>
        </w:rPr>
        <w:t>日常巡查养护流程，中标人将巡查养护计划（包含巡查时间、地点、人员、车辆）提供采购人，采购人结合泵站、污水处理厂调度许可，通知中标人执行日常巡查养护计划。中标人在执行</w:t>
      </w:r>
      <w:r>
        <w:rPr>
          <w:rFonts w:hint="eastAsia" w:ascii="宋体" w:hAnsi="宋体" w:cs="宋体"/>
          <w:color w:val="auto"/>
          <w:sz w:val="22"/>
          <w:szCs w:val="22"/>
        </w:rPr>
        <w:t>日常巡查养护过程，做好巡查养护记录表，并经采购人现场人员确认签字。巡查养护记录表内容应包含巡查时间、巡查人员、现场设备情况描述、现场照片、现场施工内容以及现场人员签字确认等。完成日常巡查养护后，将日常巡查养护记录表提供给采购人，并作为结算依据。</w:t>
      </w:r>
    </w:p>
    <w:p>
      <w:pPr>
        <w:spacing w:line="46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年度定期维护保养流程，采购人根据现场实际情况发出的年度定期维护保养调度指令，中标人随时做好各项准备工作，按照采购人要求分批次进行维养，维养完</w:t>
      </w:r>
      <w:r>
        <w:rPr>
          <w:rFonts w:ascii="宋体" w:hAnsi="宋体" w:cs="宋体"/>
          <w:color w:val="auto"/>
          <w:sz w:val="22"/>
          <w:szCs w:val="22"/>
        </w:rPr>
        <w:t>成后</w:t>
      </w:r>
      <w:r>
        <w:rPr>
          <w:rFonts w:hint="eastAsia" w:ascii="宋体" w:hAnsi="宋体" w:cs="宋体"/>
          <w:color w:val="auto"/>
          <w:sz w:val="22"/>
          <w:szCs w:val="22"/>
        </w:rPr>
        <w:t>中标人向采购人提供维养报告。采购人确认维养报告后作为结算依据。</w:t>
      </w:r>
    </w:p>
    <w:p>
      <w:pPr>
        <w:spacing w:line="460" w:lineRule="exact"/>
        <w:ind w:firstLine="442" w:firstLineChars="200"/>
        <w:jc w:val="left"/>
        <w:outlineLvl w:val="3"/>
        <w:rPr>
          <w:rFonts w:ascii="宋体" w:hAnsi="宋体" w:cs="宋体"/>
          <w:b/>
          <w:bCs/>
          <w:color w:val="auto"/>
          <w:sz w:val="22"/>
          <w:szCs w:val="22"/>
        </w:rPr>
      </w:pPr>
      <w:r>
        <w:rPr>
          <w:rFonts w:hint="eastAsia" w:ascii="宋体" w:hAnsi="宋体" w:cs="宋体"/>
          <w:b/>
          <w:bCs/>
          <w:color w:val="auto"/>
          <w:sz w:val="22"/>
          <w:szCs w:val="22"/>
        </w:rPr>
        <w:t>4、服务要求</w:t>
      </w:r>
    </w:p>
    <w:p>
      <w:pPr>
        <w:spacing w:line="460" w:lineRule="exact"/>
        <w:ind w:firstLine="440" w:firstLineChars="200"/>
        <w:jc w:val="left"/>
        <w:rPr>
          <w:rFonts w:ascii="宋体" w:hAnsi="宋体" w:cs="宋体"/>
          <w:b/>
          <w:bCs/>
          <w:sz w:val="22"/>
          <w:szCs w:val="22"/>
          <w:u w:val="single"/>
        </w:rPr>
      </w:pPr>
      <w:r>
        <w:rPr>
          <w:rFonts w:hint="eastAsia" w:ascii="宋体" w:hAnsi="宋体" w:cs="宋体"/>
          <w:sz w:val="22"/>
          <w:szCs w:val="22"/>
        </w:rPr>
        <w:t>4.1中标人应根据采购人的调度计划，提供年度定期维养、日常巡查维护计划，包括人员配置、安全措施等。</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4.2中标人应自行查看各泵站格栅机的运行现状，不得以任何理由增加保养费用及维养人工费。</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w:t>
      </w:r>
      <w:r>
        <w:rPr>
          <w:rFonts w:ascii="宋体" w:hAnsi="宋体" w:cs="宋体"/>
          <w:sz w:val="22"/>
          <w:szCs w:val="22"/>
        </w:rPr>
        <w:t>.3</w:t>
      </w:r>
      <w:r>
        <w:rPr>
          <w:rFonts w:hint="eastAsia" w:ascii="宋体" w:hAnsi="宋体" w:cs="宋体"/>
          <w:sz w:val="22"/>
          <w:szCs w:val="22"/>
        </w:rPr>
        <w:t>中标人常规维护保养及维修所涉及的标准件的名称、品牌、型号、技术参数、数量、单价、总价、厂商、产地、材质、质保期等应在</w:t>
      </w:r>
      <w:r>
        <w:rPr>
          <w:rFonts w:hint="eastAsia" w:ascii="宋体" w:hAnsi="宋体" w:cs="宋体"/>
          <w:sz w:val="22"/>
          <w:szCs w:val="22"/>
          <w:lang w:eastAsia="zh-CN"/>
        </w:rPr>
        <w:t>设备日常巡查及保养</w:t>
      </w:r>
      <w:r>
        <w:rPr>
          <w:rFonts w:hint="eastAsia" w:ascii="宋体" w:hAnsi="宋体" w:cs="宋体"/>
          <w:sz w:val="22"/>
          <w:szCs w:val="22"/>
        </w:rPr>
        <w:t>报告中明确注明。维修中需用到的轴承推荐使用SKF、NSK、FAG，减速机更换推荐国产品牌为国茂、泰隆、通力，进口品牌为</w:t>
      </w:r>
      <w:r>
        <w:rPr>
          <w:rFonts w:hint="eastAsia" w:ascii="宋体" w:hAnsi="宋体" w:cs="宋体"/>
          <w:sz w:val="22"/>
          <w:szCs w:val="22"/>
          <w:shd w:val="clear" w:color="auto" w:fill="FFFFFF"/>
        </w:rPr>
        <w:t>诺德、SEW、弗兰德。减速机维修单价根据实际维修报价并记为维修配件费用，减速机维修报价明显高于市场价，采购人有权委托市场维修，维修价格高于更换价格的50%，方考虑更换</w:t>
      </w:r>
      <w:r>
        <w:rPr>
          <w:rFonts w:hint="eastAsia" w:ascii="宋体" w:hAnsi="宋体" w:cs="宋体"/>
          <w:sz w:val="22"/>
          <w:szCs w:val="22"/>
        </w:rPr>
        <w:t>。</w:t>
      </w:r>
      <w:r>
        <w:rPr>
          <w:rFonts w:hint="eastAsia" w:ascii="宋体" w:hAnsi="宋体" w:cs="宋体"/>
          <w:b/>
          <w:bCs/>
          <w:sz w:val="22"/>
          <w:szCs w:val="22"/>
          <w:u w:val="single"/>
        </w:rPr>
        <w:t>维修更换的零部件、易损件等的材质、性能、参数须相当或优于原品牌产品水平。</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4.4格栅机保养、解体、维修、检测须符合《城镇排水管渠与泵站运行、维护及安全技术规程 CJJ68-2016》、《CJ/T443-2014给水排水用格栅除污机通用技术条件要求》及国家或行业相关规定。如有新的标准应采纳新标准，如是国外相应标准应不得低于国内相关标准。</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4.5中标人在格栅机年度维养及维修后应提供书面维养报告，包括以下内容：</w:t>
      </w:r>
    </w:p>
    <w:p>
      <w:pPr>
        <w:numPr>
          <w:ilvl w:val="0"/>
          <w:numId w:val="23"/>
        </w:numPr>
        <w:spacing w:line="460" w:lineRule="exact"/>
        <w:ind w:left="420" w:leftChars="200" w:firstLine="0"/>
        <w:rPr>
          <w:sz w:val="22"/>
          <w:szCs w:val="28"/>
        </w:rPr>
      </w:pPr>
      <w:r>
        <w:rPr>
          <w:rFonts w:hint="eastAsia"/>
          <w:sz w:val="22"/>
          <w:szCs w:val="28"/>
        </w:rPr>
        <w:t>格栅机基本情况描述（格栅机基本参数、故障现象、相关数据记录等）</w:t>
      </w:r>
    </w:p>
    <w:p>
      <w:pPr>
        <w:numPr>
          <w:ilvl w:val="0"/>
          <w:numId w:val="23"/>
        </w:numPr>
        <w:spacing w:line="460" w:lineRule="exact"/>
        <w:ind w:left="420" w:leftChars="200" w:firstLine="0"/>
        <w:rPr>
          <w:sz w:val="22"/>
          <w:szCs w:val="28"/>
        </w:rPr>
      </w:pPr>
      <w:r>
        <w:rPr>
          <w:rFonts w:hint="eastAsia"/>
          <w:sz w:val="22"/>
          <w:szCs w:val="28"/>
        </w:rPr>
        <w:t>格栅机各部位外观照片</w:t>
      </w:r>
    </w:p>
    <w:p>
      <w:pPr>
        <w:numPr>
          <w:ilvl w:val="0"/>
          <w:numId w:val="23"/>
        </w:numPr>
        <w:spacing w:line="460" w:lineRule="exact"/>
        <w:ind w:left="420" w:leftChars="200" w:firstLine="0"/>
        <w:rPr>
          <w:sz w:val="22"/>
          <w:szCs w:val="28"/>
        </w:rPr>
      </w:pPr>
      <w:r>
        <w:rPr>
          <w:rFonts w:hint="eastAsia"/>
          <w:sz w:val="22"/>
          <w:szCs w:val="28"/>
        </w:rPr>
        <w:t>格栅机检查检测情况说明</w:t>
      </w:r>
    </w:p>
    <w:p>
      <w:pPr>
        <w:numPr>
          <w:ilvl w:val="0"/>
          <w:numId w:val="23"/>
        </w:numPr>
        <w:spacing w:line="460" w:lineRule="exact"/>
        <w:ind w:left="420" w:leftChars="200" w:firstLine="0"/>
        <w:rPr>
          <w:sz w:val="22"/>
          <w:szCs w:val="28"/>
        </w:rPr>
      </w:pPr>
      <w:r>
        <w:rPr>
          <w:rFonts w:hint="eastAsia"/>
          <w:sz w:val="22"/>
          <w:szCs w:val="28"/>
        </w:rPr>
        <w:t>新更换的零部件名称、照片、数量</w:t>
      </w:r>
    </w:p>
    <w:p>
      <w:pPr>
        <w:numPr>
          <w:ilvl w:val="0"/>
          <w:numId w:val="23"/>
        </w:numPr>
        <w:spacing w:line="460" w:lineRule="exact"/>
        <w:ind w:left="420" w:leftChars="200" w:firstLine="0"/>
        <w:rPr>
          <w:sz w:val="22"/>
          <w:szCs w:val="28"/>
        </w:rPr>
      </w:pPr>
      <w:r>
        <w:rPr>
          <w:rFonts w:hint="eastAsia"/>
          <w:sz w:val="22"/>
          <w:szCs w:val="28"/>
        </w:rPr>
        <w:t>各零部件维修好之后与维修前对比照片</w:t>
      </w:r>
    </w:p>
    <w:p>
      <w:pPr>
        <w:numPr>
          <w:ilvl w:val="0"/>
          <w:numId w:val="23"/>
        </w:numPr>
        <w:spacing w:line="460" w:lineRule="exact"/>
        <w:ind w:left="420" w:leftChars="200" w:firstLine="0"/>
        <w:rPr>
          <w:sz w:val="22"/>
          <w:szCs w:val="28"/>
        </w:rPr>
      </w:pPr>
      <w:r>
        <w:rPr>
          <w:rFonts w:hint="eastAsia"/>
          <w:sz w:val="22"/>
          <w:szCs w:val="28"/>
        </w:rPr>
        <w:t xml:space="preserve">完成维养后提供格栅机调试运行及检测报告 </w:t>
      </w:r>
    </w:p>
    <w:p>
      <w:pPr>
        <w:spacing w:line="460" w:lineRule="exact"/>
        <w:outlineLvl w:val="2"/>
        <w:rPr>
          <w:rFonts w:ascii="宋体" w:hAnsi="宋体" w:cs="宋体"/>
          <w:b/>
          <w:strike/>
          <w:color w:val="FF0000"/>
          <w:szCs w:val="21"/>
        </w:rPr>
      </w:pPr>
      <w:bookmarkStart w:id="25" w:name="_Toc23379"/>
      <w:r>
        <w:rPr>
          <w:rFonts w:hint="eastAsia" w:ascii="宋体" w:hAnsi="宋体"/>
          <w:b/>
          <w:bCs/>
          <w:szCs w:val="21"/>
          <w:lang w:val="en-US" w:eastAsia="zh-CN"/>
        </w:rPr>
        <w:t>5</w:t>
      </w:r>
      <w:r>
        <w:rPr>
          <w:rFonts w:hint="eastAsia" w:ascii="宋体" w:hAnsi="宋体"/>
          <w:b/>
          <w:bCs/>
          <w:szCs w:val="21"/>
        </w:rPr>
        <w:t>、</w:t>
      </w:r>
      <w:r>
        <w:rPr>
          <w:rFonts w:hint="eastAsia" w:ascii="宋体" w:hAnsi="宋体" w:cs="宋体"/>
          <w:b/>
          <w:szCs w:val="21"/>
        </w:rPr>
        <w:t>设备的安装、调试、验收</w:t>
      </w:r>
      <w:bookmarkEnd w:id="25"/>
    </w:p>
    <w:p>
      <w:pPr>
        <w:spacing w:line="460" w:lineRule="exact"/>
        <w:ind w:firstLine="420" w:firstLineChars="200"/>
        <w:jc w:val="left"/>
        <w:rPr>
          <w:rFonts w:ascii="宋体" w:hAnsi="宋体" w:cs="宋体"/>
          <w:szCs w:val="21"/>
        </w:rPr>
      </w:pPr>
      <w:r>
        <w:rPr>
          <w:rFonts w:hint="eastAsia" w:ascii="宋体" w:hAnsi="宋体" w:cs="宋体"/>
          <w:szCs w:val="21"/>
        </w:rPr>
        <w:t>合同期满，中标人应保证设备的正常运转，如有运行异常未修复，采购人将拒绝支付该台格栅机的总维养费用，并从履约保证金及合同余款中扣除该台格栅机的后期维修成本，采购人经交接验收确认设备正常运行无故障后支付合同余额。</w:t>
      </w:r>
    </w:p>
    <w:p>
      <w:pPr>
        <w:spacing w:line="460" w:lineRule="exact"/>
        <w:ind w:firstLine="420" w:firstLineChars="200"/>
        <w:jc w:val="left"/>
        <w:rPr>
          <w:rFonts w:ascii="宋体" w:hAnsi="宋体" w:cs="宋体"/>
          <w:szCs w:val="21"/>
        </w:rPr>
      </w:pPr>
      <w:r>
        <w:rPr>
          <w:rFonts w:hint="eastAsia" w:ascii="宋体" w:hAnsi="宋体" w:cs="宋体"/>
          <w:szCs w:val="21"/>
        </w:rPr>
        <w:t>中标人须在合同规定的工作日内完成设备维养、调试，日常巡查及维修工作，并确保正常运行。</w:t>
      </w:r>
    </w:p>
    <w:p>
      <w:pPr>
        <w:spacing w:line="460" w:lineRule="exact"/>
        <w:ind w:firstLine="420" w:firstLineChars="200"/>
        <w:jc w:val="left"/>
        <w:rPr>
          <w:rFonts w:ascii="宋体" w:hAnsi="宋体" w:cs="宋体"/>
          <w:szCs w:val="21"/>
        </w:rPr>
      </w:pPr>
      <w:r>
        <w:rPr>
          <w:rFonts w:hint="eastAsia" w:ascii="宋体" w:hAnsi="宋体" w:cs="宋体"/>
          <w:szCs w:val="21"/>
        </w:rPr>
        <w:t>年度定期维养后，其中故障和隐患均已排除或解决，所有的技术资料均已向采购人移交并被接收，设备经试运行符合合同要求。根据实际维养数量逐台验收，并由双方验收确认后，视为年度定期维养合格。</w:t>
      </w:r>
    </w:p>
    <w:p>
      <w:pPr>
        <w:spacing w:line="460" w:lineRule="exact"/>
        <w:outlineLvl w:val="2"/>
        <w:rPr>
          <w:rFonts w:ascii="宋体" w:hAnsi="宋体" w:cs="宋体"/>
          <w:b/>
          <w:szCs w:val="21"/>
        </w:rPr>
      </w:pPr>
      <w:bookmarkStart w:id="26" w:name="_Toc21086"/>
      <w:r>
        <w:rPr>
          <w:rFonts w:hint="eastAsia" w:ascii="宋体" w:hAnsi="宋体" w:cs="宋体"/>
          <w:b/>
          <w:szCs w:val="21"/>
          <w:lang w:val="en-US" w:eastAsia="zh-CN"/>
        </w:rPr>
        <w:t>6</w:t>
      </w:r>
      <w:r>
        <w:rPr>
          <w:rFonts w:hint="eastAsia" w:ascii="宋体" w:hAnsi="宋体" w:cs="宋体"/>
          <w:b/>
          <w:szCs w:val="21"/>
        </w:rPr>
        <w:t>、付款方式</w:t>
      </w:r>
      <w:bookmarkEnd w:id="26"/>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1、在合同签订前，中标人收到中标通知书后于7日内应先向招标人缴纳伍万元整的履约保证金，如中标人未按规定提交履约保证金则招标人有权拒签合同。履约保证金在服务期满后转为质保金，中标人承诺的质保期满后无息退还。</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2、中标人完成格栅机的</w:t>
      </w:r>
      <w:r>
        <w:rPr>
          <w:rFonts w:hint="eastAsia" w:ascii="宋体" w:hAnsi="宋体" w:cs="宋体"/>
          <w:color w:val="auto"/>
          <w:szCs w:val="21"/>
          <w:lang w:val="en-US" w:eastAsia="zh-CN"/>
        </w:rPr>
        <w:t>年度</w:t>
      </w:r>
      <w:r>
        <w:rPr>
          <w:rFonts w:hint="eastAsia" w:ascii="宋体" w:hAnsi="宋体" w:cs="宋体"/>
          <w:color w:val="auto"/>
          <w:szCs w:val="21"/>
        </w:rPr>
        <w:t>定期维养工作，经采购人验收合格后且季度考核95分以上，</w:t>
      </w:r>
      <w:r>
        <w:rPr>
          <w:rFonts w:hint="eastAsia" w:ascii="宋体" w:hAnsi="宋体" w:cs="宋体"/>
          <w:color w:val="auto"/>
          <w:szCs w:val="21"/>
          <w:lang w:eastAsia="zh-CN"/>
        </w:rPr>
        <w:t>每季度</w:t>
      </w:r>
      <w:r>
        <w:rPr>
          <w:rFonts w:hint="eastAsia" w:ascii="宋体" w:hAnsi="宋体" w:cs="宋体"/>
          <w:color w:val="auto"/>
          <w:szCs w:val="21"/>
        </w:rPr>
        <w:t>支付已完成定期维养</w:t>
      </w:r>
      <w:r>
        <w:rPr>
          <w:rFonts w:hint="eastAsia" w:ascii="宋体" w:hAnsi="宋体" w:cs="宋体"/>
          <w:color w:val="auto"/>
          <w:szCs w:val="21"/>
          <w:lang w:eastAsia="zh-CN"/>
        </w:rPr>
        <w:t>工作量</w:t>
      </w:r>
      <w:r>
        <w:rPr>
          <w:rFonts w:hint="eastAsia" w:ascii="宋体" w:hAnsi="宋体" w:cs="宋体"/>
          <w:color w:val="auto"/>
          <w:szCs w:val="21"/>
        </w:rPr>
        <w:t>费用的100%；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3、中标人完成日常巡查养护后</w:t>
      </w:r>
      <w:r>
        <w:rPr>
          <w:rFonts w:hint="eastAsia" w:ascii="宋体" w:hAnsi="宋体" w:cs="宋体"/>
          <w:color w:val="auto"/>
          <w:szCs w:val="21"/>
          <w:lang w:eastAsia="zh-CN"/>
        </w:rPr>
        <w:t>，</w:t>
      </w:r>
      <w:r>
        <w:rPr>
          <w:rFonts w:hint="eastAsia" w:ascii="宋体" w:hAnsi="宋体" w:cs="宋体"/>
          <w:color w:val="auto"/>
          <w:szCs w:val="21"/>
        </w:rPr>
        <w:t>且季度考核95分以上，每季度</w:t>
      </w:r>
      <w:r>
        <w:rPr>
          <w:rFonts w:hint="eastAsia" w:ascii="宋体" w:hAnsi="宋体" w:cs="宋体"/>
          <w:color w:val="auto"/>
          <w:szCs w:val="21"/>
          <w:lang w:eastAsia="zh-CN"/>
        </w:rPr>
        <w:t>支付</w:t>
      </w:r>
      <w:r>
        <w:rPr>
          <w:rFonts w:hint="eastAsia" w:ascii="宋体" w:hAnsi="宋体" w:cs="宋体"/>
          <w:color w:val="auto"/>
          <w:szCs w:val="21"/>
        </w:rPr>
        <w:t>已完成</w:t>
      </w:r>
      <w:r>
        <w:rPr>
          <w:rFonts w:hint="eastAsia" w:ascii="宋体" w:hAnsi="宋体" w:cs="宋体"/>
          <w:color w:val="auto"/>
          <w:szCs w:val="21"/>
          <w:lang w:eastAsia="zh-CN"/>
        </w:rPr>
        <w:t>日常巡查</w:t>
      </w:r>
      <w:r>
        <w:rPr>
          <w:rFonts w:hint="eastAsia" w:ascii="宋体" w:hAnsi="宋体" w:cs="宋体"/>
          <w:color w:val="auto"/>
          <w:szCs w:val="21"/>
        </w:rPr>
        <w:t>工作量</w:t>
      </w:r>
      <w:r>
        <w:rPr>
          <w:rFonts w:hint="eastAsia" w:ascii="宋体" w:hAnsi="宋体" w:cs="宋体"/>
          <w:color w:val="auto"/>
          <w:szCs w:val="21"/>
          <w:lang w:eastAsia="zh-CN"/>
        </w:rPr>
        <w:t>费用</w:t>
      </w:r>
      <w:r>
        <w:rPr>
          <w:rFonts w:hint="eastAsia" w:ascii="宋体" w:hAnsi="宋体" w:cs="宋体"/>
          <w:color w:val="auto"/>
          <w:szCs w:val="21"/>
        </w:rPr>
        <w:t>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4、维修工</w:t>
      </w:r>
      <w:r>
        <w:rPr>
          <w:rFonts w:ascii="宋体" w:hAnsi="宋体" w:cs="宋体"/>
          <w:color w:val="auto"/>
          <w:szCs w:val="21"/>
        </w:rPr>
        <w:t>作量</w:t>
      </w:r>
      <w:r>
        <w:rPr>
          <w:rFonts w:hint="eastAsia" w:ascii="宋体" w:hAnsi="宋体" w:cs="宋体"/>
          <w:color w:val="auto"/>
          <w:szCs w:val="21"/>
        </w:rPr>
        <w:t>经</w:t>
      </w:r>
      <w:r>
        <w:rPr>
          <w:rFonts w:ascii="宋体" w:hAnsi="宋体" w:cs="宋体"/>
          <w:color w:val="auto"/>
          <w:szCs w:val="21"/>
        </w:rPr>
        <w:t>双方确认</w:t>
      </w:r>
      <w:r>
        <w:rPr>
          <w:rFonts w:hint="eastAsia" w:ascii="宋体" w:hAnsi="宋体" w:cs="宋体"/>
          <w:color w:val="auto"/>
          <w:szCs w:val="21"/>
        </w:rPr>
        <w:t>，按实</w:t>
      </w:r>
      <w:r>
        <w:rPr>
          <w:rFonts w:ascii="宋体" w:hAnsi="宋体" w:cs="宋体"/>
          <w:color w:val="auto"/>
          <w:szCs w:val="21"/>
        </w:rPr>
        <w:t>际</w:t>
      </w:r>
      <w:r>
        <w:rPr>
          <w:rFonts w:hint="eastAsia" w:ascii="宋体" w:hAnsi="宋体" w:cs="宋体"/>
          <w:color w:val="auto"/>
          <w:szCs w:val="21"/>
        </w:rPr>
        <w:t>维</w:t>
      </w:r>
      <w:r>
        <w:rPr>
          <w:rFonts w:ascii="宋体" w:hAnsi="宋体" w:cs="宋体"/>
          <w:color w:val="auto"/>
          <w:szCs w:val="21"/>
        </w:rPr>
        <w:t>修</w:t>
      </w:r>
      <w:r>
        <w:rPr>
          <w:rFonts w:hint="eastAsia" w:ascii="宋体" w:hAnsi="宋体" w:cs="宋体"/>
          <w:color w:val="auto"/>
          <w:szCs w:val="21"/>
        </w:rPr>
        <w:t>配件发</w:t>
      </w:r>
      <w:r>
        <w:rPr>
          <w:rFonts w:ascii="宋体" w:hAnsi="宋体" w:cs="宋体"/>
          <w:color w:val="auto"/>
          <w:szCs w:val="21"/>
        </w:rPr>
        <w:t>生</w:t>
      </w:r>
      <w:r>
        <w:rPr>
          <w:rFonts w:hint="eastAsia" w:ascii="宋体" w:hAnsi="宋体" w:cs="宋体"/>
          <w:color w:val="auto"/>
          <w:szCs w:val="21"/>
        </w:rPr>
        <w:t>数</w:t>
      </w:r>
      <w:r>
        <w:rPr>
          <w:rFonts w:ascii="宋体" w:hAnsi="宋体" w:cs="宋体"/>
          <w:color w:val="auto"/>
          <w:szCs w:val="21"/>
        </w:rPr>
        <w:t>量</w:t>
      </w:r>
      <w:r>
        <w:rPr>
          <w:rFonts w:hint="eastAsia" w:ascii="宋体" w:hAnsi="宋体" w:cs="宋体"/>
          <w:color w:val="auto"/>
          <w:szCs w:val="21"/>
        </w:rPr>
        <w:t>且季度考核95分以上，采购人向中标人每季度支付相应金额的100%；</w:t>
      </w:r>
    </w:p>
    <w:p>
      <w:pPr>
        <w:pStyle w:val="7"/>
        <w:keepNext/>
        <w:spacing w:line="460" w:lineRule="exact"/>
        <w:rPr>
          <w:rFonts w:hint="eastAsia" w:ascii="宋体" w:hAnsi="宋体" w:eastAsia="宋体" w:cs="宋体"/>
          <w:b/>
          <w:color w:val="auto"/>
          <w:kern w:val="2"/>
          <w:sz w:val="22"/>
          <w:szCs w:val="22"/>
        </w:rPr>
      </w:pPr>
      <w:bookmarkStart w:id="27" w:name="_Toc9770"/>
      <w:r>
        <w:rPr>
          <w:rFonts w:hint="eastAsia" w:ascii="宋体" w:hAnsi="宋体" w:eastAsia="宋体" w:cs="宋体"/>
          <w:b/>
          <w:color w:val="auto"/>
          <w:kern w:val="2"/>
          <w:sz w:val="22"/>
          <w:szCs w:val="22"/>
        </w:rPr>
        <w:t>六、考核</w:t>
      </w:r>
      <w:r>
        <w:rPr>
          <w:rFonts w:ascii="宋体" w:hAnsi="宋体" w:eastAsia="宋体" w:cs="宋体"/>
          <w:b/>
          <w:color w:val="auto"/>
          <w:kern w:val="2"/>
          <w:sz w:val="22"/>
          <w:szCs w:val="22"/>
        </w:rPr>
        <w:t>标准：</w:t>
      </w:r>
      <w:bookmarkEnd w:id="27"/>
    </w:p>
    <w:p>
      <w:pPr>
        <w:spacing w:line="460" w:lineRule="exact"/>
        <w:ind w:firstLine="420" w:firstLineChars="200"/>
        <w:jc w:val="left"/>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、价款支付根据考核标准表（详见合同附件）每季度考核得分情况支付一次，得分95分及以上按已完成工作量支付相</w:t>
      </w:r>
      <w:r>
        <w:rPr>
          <w:rFonts w:ascii="宋体" w:hAnsi="宋体" w:cs="宋体"/>
          <w:color w:val="auto"/>
          <w:szCs w:val="21"/>
        </w:rPr>
        <w:t>应</w:t>
      </w:r>
      <w:r>
        <w:rPr>
          <w:rFonts w:hint="eastAsia" w:ascii="宋体" w:hAnsi="宋体" w:cs="宋体"/>
          <w:color w:val="auto"/>
          <w:szCs w:val="21"/>
        </w:rPr>
        <w:t>价款的100%（包含年度维养金额、日常巡查养护金额、运行异常维修金额）；得分85（含）-95（不含）分按已完成工作量支付相</w:t>
      </w:r>
      <w:r>
        <w:rPr>
          <w:rFonts w:ascii="宋体" w:hAnsi="宋体" w:cs="宋体"/>
          <w:color w:val="auto"/>
          <w:szCs w:val="21"/>
        </w:rPr>
        <w:t>应</w:t>
      </w:r>
      <w:r>
        <w:rPr>
          <w:rFonts w:hint="eastAsia" w:ascii="宋体" w:hAnsi="宋体" w:cs="宋体"/>
          <w:color w:val="auto"/>
          <w:szCs w:val="21"/>
        </w:rPr>
        <w:t>价款的90%（包含年度维养金额、日常巡查养护金额、运行异常维修金额）；得分75（含）-85（不含）分按已完成工作量支付相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80</w:t>
      </w:r>
      <w:r>
        <w:rPr>
          <w:rFonts w:hint="eastAsia" w:ascii="宋体" w:hAnsi="宋体" w:cs="宋体"/>
          <w:color w:val="auto"/>
          <w:szCs w:val="21"/>
        </w:rPr>
        <w:t>%（包含年度维养金额、日常巡查养护金额、运行异常维修金额）；得分75分以下按已完成工作量支付相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50</w:t>
      </w:r>
      <w:r>
        <w:rPr>
          <w:rFonts w:hint="eastAsia" w:ascii="宋体" w:hAnsi="宋体" w:cs="宋体"/>
          <w:color w:val="auto"/>
          <w:szCs w:val="21"/>
        </w:rPr>
        <w:t>%（包含年度维养金额、日常巡查养护金额、运行异常维修金额）；得分60分以下的采购人有权不予支付并终止合同。</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2、中标人接到采购人的检修通知4小时内响应，48小时内到达现场。如48小时未到达现场，按每超过24小时扣罚5</w:t>
      </w:r>
      <w:r>
        <w:rPr>
          <w:rFonts w:ascii="宋体" w:hAnsi="宋体" w:cs="宋体"/>
          <w:color w:val="auto"/>
          <w:szCs w:val="21"/>
        </w:rPr>
        <w:t>00</w:t>
      </w:r>
      <w:r>
        <w:rPr>
          <w:rFonts w:hint="eastAsia" w:ascii="宋体" w:hAnsi="宋体" w:cs="宋体"/>
          <w:color w:val="auto"/>
          <w:szCs w:val="21"/>
        </w:rPr>
        <w:t>元。</w:t>
      </w:r>
    </w:p>
    <w:p>
      <w:pPr>
        <w:spacing w:line="460" w:lineRule="exact"/>
        <w:ind w:firstLine="422" w:firstLineChars="200"/>
        <w:jc w:val="left"/>
        <w:rPr>
          <w:rFonts w:ascii="Arial" w:hAnsi="宋体" w:cs="Arial"/>
          <w:b/>
          <w:bCs/>
          <w:color w:val="auto"/>
          <w:szCs w:val="28"/>
        </w:rPr>
      </w:pPr>
      <w:r>
        <w:rPr>
          <w:rFonts w:hint="eastAsia" w:ascii="Arial" w:hAnsi="宋体" w:cs="Arial"/>
          <w:b/>
          <w:bCs/>
          <w:color w:val="auto"/>
          <w:szCs w:val="28"/>
        </w:rPr>
        <w:br w:type="page"/>
      </w:r>
      <w:r>
        <w:rPr>
          <w:rFonts w:hint="eastAsia" w:ascii="Arial" w:hAnsi="宋体" w:cs="Arial"/>
          <w:b/>
          <w:bCs/>
          <w:color w:val="auto"/>
          <w:szCs w:val="28"/>
        </w:rPr>
        <w:t>第四部分  合同条款</w:t>
      </w:r>
      <w:bookmarkEnd w:id="24"/>
    </w:p>
    <w:p>
      <w:pPr>
        <w:pStyle w:val="119"/>
        <w:spacing w:before="62" w:after="62"/>
        <w:rPr>
          <w:rFonts w:hAnsi="宋体"/>
          <w:color w:val="auto"/>
          <w:spacing w:val="0"/>
          <w:szCs w:val="32"/>
        </w:rPr>
      </w:pPr>
      <w:r>
        <w:rPr>
          <w:rFonts w:hint="eastAsia" w:hAnsi="宋体"/>
          <w:color w:val="auto"/>
          <w:spacing w:val="0"/>
          <w:szCs w:val="32"/>
        </w:rPr>
        <w:t>合同协议书</w:t>
      </w:r>
    </w:p>
    <w:p>
      <w:pPr>
        <w:pStyle w:val="27"/>
        <w:spacing w:line="440" w:lineRule="exact"/>
        <w:rPr>
          <w:rFonts w:hAnsi="宋体"/>
          <w:color w:val="auto"/>
          <w:szCs w:val="21"/>
        </w:rPr>
      </w:pPr>
      <w:r>
        <w:rPr>
          <w:rFonts w:hAnsi="宋体"/>
          <w:color w:val="auto"/>
          <w:szCs w:val="21"/>
        </w:rPr>
        <w:t>委托方(甲方)：</w:t>
      </w:r>
    </w:p>
    <w:p>
      <w:pPr>
        <w:spacing w:line="340" w:lineRule="exact"/>
        <w:rPr>
          <w:rFonts w:ascii="宋体" w:hAnsi="宋体"/>
          <w:color w:val="auto"/>
          <w:szCs w:val="21"/>
        </w:rPr>
      </w:pPr>
      <w:r>
        <w:rPr>
          <w:rFonts w:ascii="宋体" w:hAnsi="宋体"/>
          <w:color w:val="auto"/>
          <w:szCs w:val="21"/>
        </w:rPr>
        <w:t>服务方(乙方)：</w:t>
      </w:r>
    </w:p>
    <w:p>
      <w:pPr>
        <w:spacing w:line="340" w:lineRule="exact"/>
        <w:rPr>
          <w:rFonts w:ascii="宋体" w:hAnsi="宋体"/>
          <w:color w:val="auto"/>
          <w:szCs w:val="21"/>
        </w:rPr>
      </w:pPr>
    </w:p>
    <w:p>
      <w:pPr>
        <w:spacing w:line="400" w:lineRule="exact"/>
        <w:ind w:firstLine="420" w:firstLineChars="200"/>
        <w:rPr>
          <w:rFonts w:ascii="宋体" w:hAnsi="宋体"/>
          <w:color w:val="auto"/>
          <w:szCs w:val="21"/>
        </w:rPr>
      </w:pPr>
      <w:r>
        <w:rPr>
          <w:rFonts w:ascii="宋体" w:hAnsi="宋体"/>
          <w:color w:val="auto"/>
          <w:szCs w:val="21"/>
        </w:rPr>
        <w:t>甲方为确保所属</w:t>
      </w:r>
      <w:r>
        <w:rPr>
          <w:rFonts w:hint="eastAsia" w:ascii="宋体" w:hAnsi="宋体"/>
          <w:color w:val="auto"/>
          <w:szCs w:val="21"/>
        </w:rPr>
        <w:t>污水处理厂</w:t>
      </w:r>
      <w:r>
        <w:rPr>
          <w:rFonts w:hint="eastAsia" w:ascii="宋体" w:hAnsi="宋体"/>
          <w:color w:val="auto"/>
          <w:szCs w:val="21"/>
          <w:lang w:eastAsia="zh-CN"/>
        </w:rPr>
        <w:t>、自来水厂</w:t>
      </w:r>
      <w:r>
        <w:rPr>
          <w:rFonts w:hint="eastAsia" w:ascii="宋体" w:hAnsi="宋体"/>
          <w:color w:val="auto"/>
          <w:szCs w:val="21"/>
        </w:rPr>
        <w:t>及</w:t>
      </w:r>
      <w:r>
        <w:rPr>
          <w:rFonts w:ascii="宋体" w:hAnsi="宋体"/>
          <w:color w:val="auto"/>
          <w:szCs w:val="21"/>
        </w:rPr>
        <w:t>泵站</w:t>
      </w:r>
      <w:r>
        <w:rPr>
          <w:rFonts w:hint="eastAsia" w:ascii="宋体" w:hAnsi="宋体"/>
          <w:color w:val="auto"/>
          <w:szCs w:val="21"/>
        </w:rPr>
        <w:t>格栅机（输送机）</w:t>
      </w:r>
      <w:r>
        <w:rPr>
          <w:rFonts w:ascii="宋体" w:hAnsi="宋体"/>
          <w:color w:val="auto"/>
          <w:szCs w:val="21"/>
        </w:rPr>
        <w:t>安全运行，发挥正常使用功能，需要一家稳定的</w:t>
      </w:r>
      <w:r>
        <w:rPr>
          <w:rFonts w:hint="eastAsia" w:ascii="宋体" w:hAnsi="宋体"/>
          <w:color w:val="auto"/>
          <w:szCs w:val="21"/>
        </w:rPr>
        <w:t>格栅机（输送机）</w:t>
      </w:r>
      <w:r>
        <w:rPr>
          <w:rFonts w:hint="eastAsia" w:ascii="宋体" w:hAnsi="宋体"/>
          <w:color w:val="auto"/>
          <w:szCs w:val="21"/>
          <w:lang w:eastAsia="zh-CN"/>
        </w:rPr>
        <w:t>设备日常巡查及保养</w:t>
      </w:r>
      <w:r>
        <w:rPr>
          <w:rFonts w:ascii="宋体" w:hAnsi="宋体"/>
          <w:color w:val="auto"/>
          <w:szCs w:val="21"/>
        </w:rPr>
        <w:t>承包单位。经招标后确定乙方为甲方工程承包单位。双方本着诚实信用、友好合作的原则签订本协议，具体内容如下:</w:t>
      </w:r>
    </w:p>
    <w:p>
      <w:pPr>
        <w:spacing w:before="93" w:beforeLines="30" w:after="93" w:afterLines="30" w:line="300" w:lineRule="exact"/>
        <w:rPr>
          <w:b/>
          <w:color w:val="auto"/>
          <w:szCs w:val="21"/>
        </w:rPr>
      </w:pPr>
      <w:r>
        <w:rPr>
          <w:b/>
          <w:color w:val="auto"/>
          <w:szCs w:val="21"/>
        </w:rPr>
        <w:t>一、维修范围</w:t>
      </w:r>
    </w:p>
    <w:p>
      <w:pPr>
        <w:spacing w:line="400" w:lineRule="exact"/>
        <w:ind w:firstLine="420" w:firstLineChars="200"/>
        <w:rPr>
          <w:rFonts w:ascii="宋体" w:hAnsi="宋体"/>
          <w:color w:val="auto"/>
          <w:szCs w:val="21"/>
        </w:rPr>
      </w:pPr>
      <w:r>
        <w:rPr>
          <w:rFonts w:ascii="宋体" w:hAnsi="宋体"/>
          <w:color w:val="auto"/>
          <w:szCs w:val="21"/>
        </w:rPr>
        <w:t>为确保甲方</w:t>
      </w:r>
      <w:r>
        <w:rPr>
          <w:rFonts w:hint="eastAsia" w:ascii="宋体" w:hAnsi="宋体"/>
          <w:color w:val="auto"/>
          <w:szCs w:val="21"/>
        </w:rPr>
        <w:t>污水处理厂</w:t>
      </w:r>
      <w:r>
        <w:rPr>
          <w:rFonts w:hint="eastAsia" w:ascii="宋体" w:hAnsi="宋体"/>
          <w:color w:val="auto"/>
          <w:szCs w:val="21"/>
          <w:lang w:eastAsia="zh-CN"/>
        </w:rPr>
        <w:t>、自来水厂</w:t>
      </w:r>
      <w:r>
        <w:rPr>
          <w:rFonts w:hint="eastAsia" w:ascii="宋体" w:hAnsi="宋体"/>
          <w:color w:val="auto"/>
          <w:szCs w:val="21"/>
        </w:rPr>
        <w:t>及</w:t>
      </w:r>
      <w:r>
        <w:rPr>
          <w:rFonts w:ascii="宋体" w:hAnsi="宋体"/>
          <w:color w:val="auto"/>
          <w:szCs w:val="21"/>
        </w:rPr>
        <w:t>泵站</w:t>
      </w:r>
      <w:r>
        <w:rPr>
          <w:rFonts w:hint="eastAsia" w:ascii="宋体" w:hAnsi="宋体"/>
          <w:color w:val="auto"/>
          <w:szCs w:val="21"/>
        </w:rPr>
        <w:t>格栅机（输送机）</w:t>
      </w:r>
      <w:r>
        <w:rPr>
          <w:rFonts w:ascii="宋体" w:hAnsi="宋体"/>
          <w:color w:val="auto"/>
          <w:szCs w:val="21"/>
        </w:rPr>
        <w:t>设备安全、正常、可靠的运行，甲方委托乙方承担甲方</w:t>
      </w:r>
      <w:r>
        <w:rPr>
          <w:rFonts w:hint="eastAsia" w:ascii="宋体" w:hAnsi="宋体"/>
          <w:color w:val="auto"/>
          <w:szCs w:val="21"/>
        </w:rPr>
        <w:t>格栅机（输送机）</w:t>
      </w:r>
      <w:r>
        <w:rPr>
          <w:rFonts w:ascii="宋体" w:hAnsi="宋体"/>
          <w:color w:val="auto"/>
          <w:szCs w:val="21"/>
        </w:rPr>
        <w:t>设备保养与维修服务，按照机电设备服务规范，乙方保证以快速的响应、熟练的维护及维修技术向甲方提供全面优质的服务，具体包括设备的预防性维护，现场维修，运回车间维修，故障及时抢修，做好相关的台账记录以及提供相应的技术咨询、培训等方面的服务。</w:t>
      </w:r>
    </w:p>
    <w:p>
      <w:pPr>
        <w:spacing w:line="400" w:lineRule="exact"/>
        <w:ind w:firstLine="420" w:firstLineChars="200"/>
        <w:rPr>
          <w:rFonts w:ascii="宋体" w:hAnsi="宋体"/>
          <w:color w:val="auto"/>
          <w:szCs w:val="21"/>
        </w:rPr>
      </w:pPr>
      <w:r>
        <w:rPr>
          <w:rFonts w:hint="eastAsia" w:ascii="宋体" w:hAnsi="宋体"/>
          <w:color w:val="auto"/>
          <w:szCs w:val="21"/>
        </w:rPr>
        <w:t>格栅机保养、修理</w:t>
      </w:r>
      <w:r>
        <w:rPr>
          <w:rFonts w:ascii="宋体" w:hAnsi="宋体"/>
          <w:color w:val="auto"/>
          <w:szCs w:val="21"/>
        </w:rPr>
        <w:t>的主要工作内容：</w:t>
      </w:r>
    </w:p>
    <w:tbl>
      <w:tblPr>
        <w:tblStyle w:val="4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2047"/>
        <w:gridCol w:w="1196"/>
        <w:gridCol w:w="1743"/>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461" w:type="dxa"/>
            <w:gridSpan w:val="5"/>
            <w:vAlign w:val="center"/>
          </w:tcPr>
          <w:p>
            <w:pPr>
              <w:jc w:val="center"/>
              <w:rPr>
                <w:rFonts w:hint="eastAsia"/>
                <w:b/>
                <w:color w:val="auto"/>
              </w:rPr>
            </w:pPr>
            <w:r>
              <w:rPr>
                <w:rFonts w:hint="eastAsia"/>
                <w:b/>
                <w:color w:val="auto"/>
                <w:lang w:eastAsia="zh-CN"/>
              </w:rPr>
              <w:t>设备日常巡查及</w:t>
            </w:r>
            <w:r>
              <w:rPr>
                <w:rFonts w:hint="eastAsia"/>
                <w:b/>
                <w:color w:val="auto"/>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99" w:type="dxa"/>
            <w:vAlign w:val="center"/>
          </w:tcPr>
          <w:p>
            <w:pPr>
              <w:jc w:val="center"/>
              <w:rPr>
                <w:b/>
                <w:color w:val="auto"/>
              </w:rPr>
            </w:pPr>
            <w:r>
              <w:rPr>
                <w:rFonts w:hint="eastAsia"/>
                <w:b/>
                <w:color w:val="auto"/>
              </w:rPr>
              <w:t>服务内容</w:t>
            </w:r>
          </w:p>
        </w:tc>
        <w:tc>
          <w:tcPr>
            <w:tcW w:w="2047" w:type="dxa"/>
            <w:vAlign w:val="center"/>
          </w:tcPr>
          <w:p>
            <w:pPr>
              <w:jc w:val="center"/>
              <w:rPr>
                <w:b/>
                <w:color w:val="auto"/>
              </w:rPr>
            </w:pPr>
            <w:r>
              <w:rPr>
                <w:rFonts w:hint="eastAsia"/>
                <w:b/>
                <w:color w:val="auto"/>
              </w:rPr>
              <w:t>服务项目</w:t>
            </w:r>
          </w:p>
        </w:tc>
        <w:tc>
          <w:tcPr>
            <w:tcW w:w="2939" w:type="dxa"/>
            <w:gridSpan w:val="2"/>
            <w:vAlign w:val="center"/>
          </w:tcPr>
          <w:p>
            <w:pPr>
              <w:jc w:val="center"/>
              <w:rPr>
                <w:rFonts w:hint="eastAsia" w:eastAsia="宋体"/>
                <w:b/>
                <w:color w:val="auto"/>
                <w:lang w:eastAsia="zh-CN"/>
              </w:rPr>
            </w:pPr>
            <w:r>
              <w:rPr>
                <w:rFonts w:hint="eastAsia"/>
                <w:b/>
                <w:color w:val="auto"/>
              </w:rPr>
              <w:t>单台</w:t>
            </w:r>
            <w:r>
              <w:rPr>
                <w:rFonts w:hint="eastAsia"/>
                <w:b/>
                <w:color w:val="auto"/>
                <w:lang w:val="en-US" w:eastAsia="zh-CN"/>
              </w:rPr>
              <w:t>年度价格</w:t>
            </w:r>
            <w:r>
              <w:rPr>
                <w:rFonts w:hint="eastAsia"/>
                <w:b/>
                <w:color w:val="auto"/>
                <w:lang w:eastAsia="zh-CN"/>
              </w:rPr>
              <w:t>（元</w:t>
            </w:r>
            <w:r>
              <w:rPr>
                <w:rFonts w:hint="eastAsia"/>
                <w:b/>
                <w:color w:val="auto"/>
                <w:lang w:val="en-US" w:eastAsia="zh-CN"/>
              </w:rPr>
              <w:t>/台</w:t>
            </w:r>
            <w:r>
              <w:rPr>
                <w:rFonts w:hint="eastAsia"/>
                <w:b/>
                <w:color w:val="auto"/>
                <w:lang w:eastAsia="zh-CN"/>
              </w:rPr>
              <w:t>）</w:t>
            </w:r>
          </w:p>
        </w:tc>
        <w:tc>
          <w:tcPr>
            <w:tcW w:w="2876" w:type="dxa"/>
            <w:vAlign w:val="center"/>
          </w:tcPr>
          <w:p>
            <w:pPr>
              <w:jc w:val="center"/>
              <w:rPr>
                <w:b/>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9" w:type="dxa"/>
            <w:vAlign w:val="center"/>
          </w:tcPr>
          <w:p>
            <w:pPr>
              <w:jc w:val="center"/>
              <w:rPr>
                <w:rFonts w:hint="eastAsia"/>
                <w:color w:val="auto"/>
                <w:lang w:eastAsia="zh-CN"/>
              </w:rPr>
            </w:pPr>
            <w:r>
              <w:rPr>
                <w:rFonts w:hint="eastAsia"/>
                <w:color w:val="auto"/>
                <w:lang w:eastAsia="zh-CN"/>
              </w:rPr>
              <w:t>回转式格栅机日常巡查</w:t>
            </w:r>
          </w:p>
        </w:tc>
        <w:tc>
          <w:tcPr>
            <w:tcW w:w="2047" w:type="dxa"/>
            <w:vAlign w:val="center"/>
          </w:tcPr>
          <w:p>
            <w:pPr>
              <w:jc w:val="center"/>
              <w:rPr>
                <w:rFonts w:hint="eastAsia"/>
                <w:color w:val="auto"/>
                <w:lang w:eastAsia="zh-CN"/>
              </w:rPr>
            </w:pPr>
            <w:r>
              <w:rPr>
                <w:rFonts w:hint="eastAsia"/>
                <w:color w:val="auto"/>
                <w:lang w:eastAsia="zh-CN"/>
              </w:rPr>
              <w:t>日常巡查</w:t>
            </w:r>
          </w:p>
        </w:tc>
        <w:tc>
          <w:tcPr>
            <w:tcW w:w="2939" w:type="dxa"/>
            <w:gridSpan w:val="2"/>
            <w:vAlign w:val="center"/>
          </w:tcPr>
          <w:p>
            <w:pPr>
              <w:jc w:val="center"/>
              <w:rPr>
                <w:rFonts w:hint="default" w:eastAsia="宋体"/>
                <w:color w:val="auto"/>
                <w:lang w:val="en-US" w:eastAsia="zh-CN"/>
              </w:rPr>
            </w:pPr>
          </w:p>
        </w:tc>
        <w:tc>
          <w:tcPr>
            <w:tcW w:w="2876" w:type="dxa"/>
            <w:vAlign w:val="center"/>
          </w:tcPr>
          <w:p>
            <w:pPr>
              <w:jc w:val="center"/>
              <w:rPr>
                <w:rFonts w:hint="eastAsia" w:ascii="宋体" w:hAnsi="宋体" w:cs="宋体"/>
                <w:color w:val="auto"/>
                <w:sz w:val="22"/>
                <w:szCs w:val="22"/>
                <w:lang w:eastAsia="zh-CN"/>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；其中包含设备日常巡查三次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9" w:type="dxa"/>
            <w:vAlign w:val="center"/>
          </w:tcPr>
          <w:p>
            <w:pPr>
              <w:jc w:val="center"/>
              <w:rPr>
                <w:color w:val="auto"/>
              </w:rPr>
            </w:pPr>
            <w:r>
              <w:rPr>
                <w:rFonts w:hint="eastAsia"/>
                <w:color w:val="auto"/>
                <w:lang w:eastAsia="zh-CN"/>
              </w:rPr>
              <w:t>回转式格栅机</w:t>
            </w:r>
            <w:r>
              <w:rPr>
                <w:rFonts w:hint="eastAsia"/>
                <w:color w:val="auto"/>
              </w:rPr>
              <w:t>保养</w:t>
            </w:r>
          </w:p>
        </w:tc>
        <w:tc>
          <w:tcPr>
            <w:tcW w:w="2047" w:type="dxa"/>
            <w:vAlign w:val="center"/>
          </w:tcPr>
          <w:p>
            <w:pPr>
              <w:jc w:val="center"/>
              <w:rPr>
                <w:rFonts w:hint="eastAsia" w:eastAsia="宋体"/>
                <w:color w:val="auto"/>
                <w:lang w:eastAsia="zh-CN"/>
              </w:rPr>
            </w:pPr>
            <w:r>
              <w:rPr>
                <w:rFonts w:hint="eastAsia"/>
                <w:color w:val="auto"/>
              </w:rPr>
              <w:t>保养</w:t>
            </w:r>
          </w:p>
        </w:tc>
        <w:tc>
          <w:tcPr>
            <w:tcW w:w="2939" w:type="dxa"/>
            <w:gridSpan w:val="2"/>
            <w:vAlign w:val="center"/>
          </w:tcPr>
          <w:p>
            <w:pPr>
              <w:jc w:val="center"/>
              <w:rPr>
                <w:rFonts w:hint="default" w:eastAsia="宋体"/>
                <w:color w:val="auto"/>
                <w:lang w:val="en-US" w:eastAsia="zh-CN"/>
              </w:rPr>
            </w:pPr>
          </w:p>
        </w:tc>
        <w:tc>
          <w:tcPr>
            <w:tcW w:w="2876" w:type="dxa"/>
            <w:vAlign w:val="center"/>
          </w:tcPr>
          <w:p>
            <w:pPr>
              <w:jc w:val="center"/>
              <w:rPr>
                <w:color w:val="auto"/>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；其中包含年度定期保养一次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99" w:type="dxa"/>
            <w:vAlign w:val="center"/>
          </w:tcPr>
          <w:p>
            <w:pPr>
              <w:jc w:val="center"/>
              <w:rPr>
                <w:rFonts w:hint="eastAsia"/>
                <w:b/>
                <w:color w:val="auto"/>
              </w:rPr>
            </w:pPr>
            <w:r>
              <w:rPr>
                <w:rFonts w:hint="eastAsia"/>
                <w:color w:val="auto"/>
                <w:lang w:eastAsia="zh-CN"/>
              </w:rPr>
              <w:t>粉碎性格栅机</w:t>
            </w:r>
            <w:r>
              <w:rPr>
                <w:rFonts w:hint="eastAsia"/>
                <w:color w:val="auto"/>
              </w:rPr>
              <w:t>保养</w:t>
            </w:r>
          </w:p>
        </w:tc>
        <w:tc>
          <w:tcPr>
            <w:tcW w:w="2047" w:type="dxa"/>
            <w:vAlign w:val="center"/>
          </w:tcPr>
          <w:p>
            <w:pPr>
              <w:jc w:val="center"/>
              <w:rPr>
                <w:color w:val="auto"/>
              </w:rPr>
            </w:pPr>
            <w:r>
              <w:rPr>
                <w:rFonts w:hint="eastAsia"/>
                <w:color w:val="auto"/>
              </w:rPr>
              <w:t>保养</w:t>
            </w:r>
          </w:p>
        </w:tc>
        <w:tc>
          <w:tcPr>
            <w:tcW w:w="2939" w:type="dxa"/>
            <w:gridSpan w:val="2"/>
            <w:vAlign w:val="center"/>
          </w:tcPr>
          <w:p>
            <w:pPr>
              <w:jc w:val="center"/>
              <w:rPr>
                <w:color w:val="auto"/>
              </w:rPr>
            </w:pPr>
          </w:p>
        </w:tc>
        <w:tc>
          <w:tcPr>
            <w:tcW w:w="2876" w:type="dxa"/>
            <w:vAlign w:val="center"/>
          </w:tcPr>
          <w:p>
            <w:pPr>
              <w:jc w:val="center"/>
              <w:rPr>
                <w:color w:val="auto"/>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w:t>
            </w:r>
            <w:r>
              <w:rPr>
                <w:rFonts w:hint="eastAsia" w:ascii="宋体" w:hAnsi="宋体" w:cs="宋体"/>
                <w:color w:val="auto"/>
                <w:sz w:val="22"/>
                <w:szCs w:val="22"/>
                <w:lang w:eastAsia="zh-CN"/>
              </w:rPr>
              <w:t>格栅机起吊、安装、</w:t>
            </w:r>
            <w:r>
              <w:rPr>
                <w:rFonts w:hint="eastAsia" w:ascii="宋体" w:hAnsi="宋体" w:cs="宋体"/>
                <w:color w:val="auto"/>
                <w:sz w:val="22"/>
                <w:szCs w:val="22"/>
              </w:rPr>
              <w:t>安全措施等所有费用</w:t>
            </w:r>
            <w:r>
              <w:rPr>
                <w:rFonts w:hint="eastAsia" w:ascii="宋体" w:hAnsi="宋体" w:cs="宋体"/>
                <w:color w:val="auto"/>
                <w:sz w:val="22"/>
                <w:szCs w:val="22"/>
                <w:lang w:eastAsia="zh-CN"/>
              </w:rPr>
              <w:t>；其中包含年度保养一次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61" w:type="dxa"/>
            <w:gridSpan w:val="5"/>
            <w:vAlign w:val="center"/>
          </w:tcPr>
          <w:p>
            <w:pPr>
              <w:jc w:val="center"/>
              <w:rPr>
                <w:rFonts w:hint="eastAsia"/>
                <w:b/>
                <w:bCs/>
                <w:color w:val="auto"/>
              </w:rPr>
            </w:pPr>
            <w:r>
              <w:rPr>
                <w:rFonts w:hint="eastAsia"/>
                <w:b/>
                <w:bCs/>
                <w:color w:val="auto"/>
              </w:rPr>
              <w:t>设备维修及配件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color w:val="auto"/>
              </w:rPr>
            </w:pPr>
            <w:r>
              <w:rPr>
                <w:rFonts w:hint="eastAsia"/>
                <w:b/>
                <w:color w:val="auto"/>
              </w:rPr>
              <w:t>服务内容</w:t>
            </w:r>
          </w:p>
        </w:tc>
        <w:tc>
          <w:tcPr>
            <w:tcW w:w="2047" w:type="dxa"/>
            <w:vAlign w:val="center"/>
          </w:tcPr>
          <w:p>
            <w:pPr>
              <w:jc w:val="center"/>
              <w:rPr>
                <w:color w:val="auto"/>
              </w:rPr>
            </w:pPr>
            <w:r>
              <w:rPr>
                <w:rFonts w:hint="eastAsia"/>
                <w:b/>
                <w:color w:val="auto"/>
              </w:rPr>
              <w:t>服务项目</w:t>
            </w:r>
          </w:p>
        </w:tc>
        <w:tc>
          <w:tcPr>
            <w:tcW w:w="1196" w:type="dxa"/>
            <w:vAlign w:val="center"/>
          </w:tcPr>
          <w:p>
            <w:pPr>
              <w:jc w:val="center"/>
              <w:rPr>
                <w:color w:val="auto"/>
              </w:rPr>
            </w:pPr>
            <w:r>
              <w:rPr>
                <w:rFonts w:hint="eastAsia"/>
                <w:b/>
                <w:color w:val="auto"/>
              </w:rPr>
              <w:t>数量</w:t>
            </w:r>
          </w:p>
        </w:tc>
        <w:tc>
          <w:tcPr>
            <w:tcW w:w="1743" w:type="dxa"/>
            <w:vAlign w:val="center"/>
          </w:tcPr>
          <w:p>
            <w:pPr>
              <w:jc w:val="center"/>
              <w:rPr>
                <w:rFonts w:hint="eastAsia" w:eastAsia="宋体"/>
                <w:color w:val="auto"/>
                <w:lang w:val="en-US" w:eastAsia="zh-CN"/>
              </w:rPr>
            </w:pPr>
            <w:r>
              <w:rPr>
                <w:rFonts w:hint="eastAsia"/>
                <w:color w:val="auto"/>
                <w:lang w:val="en-US" w:eastAsia="zh-CN"/>
              </w:rPr>
              <w:t>价格</w:t>
            </w:r>
          </w:p>
        </w:tc>
        <w:tc>
          <w:tcPr>
            <w:tcW w:w="2876" w:type="dxa"/>
            <w:vAlign w:val="center"/>
          </w:tcPr>
          <w:p>
            <w:pPr>
              <w:jc w:val="center"/>
              <w:rPr>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99" w:type="dxa"/>
            <w:vAlign w:val="center"/>
          </w:tcPr>
          <w:p>
            <w:pPr>
              <w:jc w:val="center"/>
              <w:rPr>
                <w:rFonts w:hint="eastAsia"/>
                <w:color w:val="auto"/>
              </w:rPr>
            </w:pPr>
            <w:r>
              <w:rPr>
                <w:rFonts w:hint="eastAsia"/>
                <w:color w:val="auto"/>
              </w:rPr>
              <w:t>设备维修及配件</w:t>
            </w:r>
          </w:p>
        </w:tc>
        <w:tc>
          <w:tcPr>
            <w:tcW w:w="2047" w:type="dxa"/>
            <w:vAlign w:val="center"/>
          </w:tcPr>
          <w:p>
            <w:pPr>
              <w:jc w:val="center"/>
              <w:rPr>
                <w:rFonts w:hint="eastAsia"/>
                <w:color w:val="auto"/>
              </w:rPr>
            </w:pPr>
            <w:r>
              <w:rPr>
                <w:rFonts w:hint="eastAsia"/>
                <w:color w:val="auto"/>
                <w:lang w:eastAsia="zh-CN"/>
              </w:rPr>
              <w:t>维修</w:t>
            </w:r>
          </w:p>
        </w:tc>
        <w:tc>
          <w:tcPr>
            <w:tcW w:w="1196" w:type="dxa"/>
            <w:vAlign w:val="center"/>
          </w:tcPr>
          <w:p>
            <w:pPr>
              <w:jc w:val="center"/>
              <w:rPr>
                <w:rFonts w:hint="eastAsia"/>
                <w:color w:val="auto"/>
              </w:rPr>
            </w:pPr>
            <w:r>
              <w:rPr>
                <w:rFonts w:hint="eastAsia"/>
                <w:color w:val="auto"/>
                <w:lang w:val="en-US" w:eastAsia="zh-CN"/>
              </w:rPr>
              <w:t>按实</w:t>
            </w:r>
          </w:p>
        </w:tc>
        <w:tc>
          <w:tcPr>
            <w:tcW w:w="1743" w:type="dxa"/>
            <w:vAlign w:val="center"/>
          </w:tcPr>
          <w:p>
            <w:pPr>
              <w:rPr>
                <w:rFonts w:hint="default" w:eastAsia="宋体"/>
                <w:color w:val="auto"/>
                <w:lang w:val="en-US" w:eastAsia="zh-CN"/>
              </w:rPr>
            </w:pPr>
            <w:r>
              <w:rPr>
                <w:rFonts w:hint="eastAsia"/>
                <w:color w:val="auto"/>
                <w:lang w:eastAsia="zh-CN"/>
              </w:rPr>
              <w:t>单价</w:t>
            </w:r>
            <w:r>
              <w:rPr>
                <w:rFonts w:hint="eastAsia"/>
                <w:color w:val="auto"/>
              </w:rPr>
              <w:t>详见</w:t>
            </w:r>
            <w:r>
              <w:rPr>
                <w:rFonts w:hint="eastAsia"/>
                <w:color w:val="auto"/>
                <w:lang w:eastAsia="zh-CN"/>
              </w:rPr>
              <w:t>合同附件</w:t>
            </w:r>
            <w:r>
              <w:rPr>
                <w:rFonts w:hint="eastAsia"/>
                <w:color w:val="auto"/>
                <w:lang w:val="en-US" w:eastAsia="zh-CN"/>
              </w:rPr>
              <w:t>1</w:t>
            </w:r>
          </w:p>
        </w:tc>
        <w:tc>
          <w:tcPr>
            <w:tcW w:w="2876" w:type="dxa"/>
            <w:vAlign w:val="center"/>
          </w:tcPr>
          <w:p>
            <w:pPr>
              <w:jc w:val="center"/>
              <w:rPr>
                <w:rFonts w:hint="eastAsia"/>
                <w:color w:val="auto"/>
              </w:rPr>
            </w:pPr>
            <w:r>
              <w:rPr>
                <w:rFonts w:hint="eastAsia"/>
                <w:color w:val="auto"/>
              </w:rPr>
              <w:t>设备维修及配件按实结算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rFonts w:hint="eastAsia"/>
                <w:color w:val="auto"/>
              </w:rPr>
            </w:pPr>
            <w:r>
              <w:rPr>
                <w:rFonts w:hint="eastAsia"/>
                <w:color w:val="auto"/>
              </w:rPr>
              <w:t>设备运行异常维修费</w:t>
            </w:r>
          </w:p>
        </w:tc>
        <w:tc>
          <w:tcPr>
            <w:tcW w:w="2047" w:type="dxa"/>
            <w:vAlign w:val="center"/>
          </w:tcPr>
          <w:p>
            <w:pPr>
              <w:jc w:val="center"/>
              <w:rPr>
                <w:rFonts w:hint="eastAsia"/>
                <w:color w:val="auto"/>
              </w:rPr>
            </w:pPr>
            <w:r>
              <w:rPr>
                <w:rFonts w:hint="eastAsia"/>
                <w:color w:val="auto"/>
              </w:rPr>
              <w:t>维修</w:t>
            </w:r>
          </w:p>
        </w:tc>
        <w:tc>
          <w:tcPr>
            <w:tcW w:w="1196" w:type="dxa"/>
            <w:vAlign w:val="center"/>
          </w:tcPr>
          <w:p>
            <w:pPr>
              <w:jc w:val="center"/>
              <w:rPr>
                <w:rFonts w:hint="eastAsia"/>
                <w:color w:val="auto"/>
              </w:rPr>
            </w:pPr>
            <w:r>
              <w:rPr>
                <w:rFonts w:hint="eastAsia"/>
                <w:color w:val="auto"/>
                <w:lang w:val="en-US" w:eastAsia="zh-CN"/>
              </w:rPr>
              <w:t>按实</w:t>
            </w:r>
          </w:p>
        </w:tc>
        <w:tc>
          <w:tcPr>
            <w:tcW w:w="1743" w:type="dxa"/>
            <w:vAlign w:val="center"/>
          </w:tcPr>
          <w:p>
            <w:pPr>
              <w:jc w:val="center"/>
              <w:rPr>
                <w:rFonts w:hint="default" w:eastAsia="宋体"/>
                <w:color w:val="auto"/>
                <w:lang w:val="en-US" w:eastAsia="zh-CN"/>
              </w:rPr>
            </w:pPr>
          </w:p>
        </w:tc>
        <w:tc>
          <w:tcPr>
            <w:tcW w:w="2876" w:type="dxa"/>
            <w:vAlign w:val="center"/>
          </w:tcPr>
          <w:p>
            <w:pPr>
              <w:jc w:val="center"/>
              <w:rPr>
                <w:rFonts w:hint="eastAsia"/>
                <w:color w:val="auto"/>
              </w:rPr>
            </w:pPr>
            <w:r>
              <w:rPr>
                <w:rFonts w:hint="eastAsia" w:ascii="宋体" w:hAnsi="宋体" w:cs="宋体"/>
                <w:color w:val="auto"/>
                <w:sz w:val="22"/>
                <w:szCs w:val="22"/>
              </w:rPr>
              <w:t>机油、润滑脂（油）、人工、安全措施等所有费用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rFonts w:hint="eastAsia"/>
                <w:color w:val="auto"/>
              </w:rPr>
            </w:pPr>
            <w:r>
              <w:rPr>
                <w:rFonts w:hint="eastAsia" w:ascii="宋体" w:hAnsi="宋体" w:cs="宋体"/>
                <w:color w:val="auto"/>
                <w:kern w:val="0"/>
                <w:sz w:val="20"/>
                <w:szCs w:val="20"/>
                <w:lang w:bidi="ar"/>
              </w:rPr>
              <w:t>设备吊装费</w:t>
            </w:r>
          </w:p>
        </w:tc>
        <w:tc>
          <w:tcPr>
            <w:tcW w:w="2047" w:type="dxa"/>
            <w:vAlign w:val="center"/>
          </w:tcPr>
          <w:p>
            <w:pPr>
              <w:jc w:val="center"/>
              <w:rPr>
                <w:rFonts w:hint="eastAsia"/>
                <w:color w:val="auto"/>
              </w:rPr>
            </w:pPr>
            <w:r>
              <w:rPr>
                <w:rFonts w:hint="eastAsia"/>
                <w:color w:val="auto"/>
              </w:rPr>
              <w:t>维修</w:t>
            </w:r>
          </w:p>
        </w:tc>
        <w:tc>
          <w:tcPr>
            <w:tcW w:w="1196" w:type="dxa"/>
            <w:vAlign w:val="center"/>
          </w:tcPr>
          <w:p>
            <w:pPr>
              <w:jc w:val="center"/>
              <w:rPr>
                <w:rFonts w:hint="eastAsia"/>
                <w:color w:val="auto"/>
              </w:rPr>
            </w:pPr>
            <w:r>
              <w:rPr>
                <w:rFonts w:hint="eastAsia"/>
                <w:color w:val="auto"/>
                <w:lang w:val="en-US" w:eastAsia="zh-CN"/>
              </w:rPr>
              <w:t>按实</w:t>
            </w:r>
          </w:p>
        </w:tc>
        <w:tc>
          <w:tcPr>
            <w:tcW w:w="1743" w:type="dxa"/>
            <w:vAlign w:val="center"/>
          </w:tcPr>
          <w:p>
            <w:pPr>
              <w:jc w:val="center"/>
              <w:rPr>
                <w:rFonts w:hint="default" w:eastAsia="宋体"/>
                <w:color w:val="auto"/>
                <w:lang w:val="en-US" w:eastAsia="zh-CN"/>
              </w:rPr>
            </w:pPr>
          </w:p>
        </w:tc>
        <w:tc>
          <w:tcPr>
            <w:tcW w:w="2876" w:type="dxa"/>
            <w:vAlign w:val="center"/>
          </w:tcPr>
          <w:p>
            <w:pPr>
              <w:jc w:val="left"/>
              <w:rPr>
                <w:rFonts w:hint="eastAsia"/>
                <w:color w:val="auto"/>
              </w:rPr>
            </w:pPr>
            <w:r>
              <w:rPr>
                <w:rFonts w:hint="eastAsia" w:ascii="宋体" w:hAnsi="宋体" w:cs="宋体"/>
                <w:color w:val="auto"/>
                <w:kern w:val="0"/>
                <w:sz w:val="20"/>
                <w:szCs w:val="20"/>
                <w:lang w:bidi="ar"/>
              </w:rPr>
              <w:t>①格栅机现场起吊安装费用</w:t>
            </w:r>
            <w:r>
              <w:rPr>
                <w:rFonts w:hint="eastAsia" w:ascii="宋体" w:hAnsi="宋体" w:cs="宋体"/>
                <w:color w:val="auto"/>
                <w:kern w:val="0"/>
                <w:sz w:val="20"/>
                <w:szCs w:val="20"/>
                <w:lang w:eastAsia="zh-CN" w:bidi="ar"/>
              </w:rPr>
              <w:t>：</w:t>
            </w:r>
            <w:r>
              <w:rPr>
                <w:rFonts w:hint="eastAsia" w:ascii="宋体" w:hAnsi="宋体" w:cs="宋体"/>
                <w:i w:val="0"/>
                <w:iCs w:val="0"/>
                <w:color w:val="auto"/>
                <w:kern w:val="0"/>
                <w:sz w:val="20"/>
                <w:szCs w:val="20"/>
                <w:u w:val="none"/>
                <w:lang w:val="en-US" w:eastAsia="zh-CN" w:bidi="ar"/>
              </w:rPr>
              <w:t>包含一次维修中的起吊和安装费用；②同一安装地点在一次维修派单中吊装格栅机数量超过1台的，只能按一次计算；③因乙方原因导致在一次维修中设备重复吊装的按一次计算）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kern w:val="0"/>
                <w:sz w:val="20"/>
                <w:szCs w:val="20"/>
                <w:lang w:bidi="ar"/>
              </w:rPr>
              <w:t>阳光房拆装费</w:t>
            </w:r>
          </w:p>
        </w:tc>
        <w:tc>
          <w:tcPr>
            <w:tcW w:w="2047"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维修</w:t>
            </w:r>
          </w:p>
        </w:tc>
        <w:tc>
          <w:tcPr>
            <w:tcW w:w="119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按实</w:t>
            </w:r>
          </w:p>
        </w:tc>
        <w:tc>
          <w:tcPr>
            <w:tcW w:w="1743" w:type="dxa"/>
            <w:vAlign w:val="center"/>
          </w:tcPr>
          <w:p>
            <w:pPr>
              <w:jc w:val="center"/>
              <w:rPr>
                <w:rFonts w:hint="eastAsia" w:ascii="Times New Roman" w:hAnsi="Times New Roman" w:eastAsia="宋体" w:cs="Times New Roman"/>
                <w:color w:val="auto"/>
                <w:kern w:val="2"/>
                <w:sz w:val="21"/>
                <w:szCs w:val="24"/>
                <w:lang w:val="en-US" w:eastAsia="zh-CN" w:bidi="ar-SA"/>
              </w:rPr>
            </w:pPr>
          </w:p>
        </w:tc>
        <w:tc>
          <w:tcPr>
            <w:tcW w:w="287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kern w:val="0"/>
                <w:sz w:val="20"/>
                <w:szCs w:val="20"/>
                <w:lang w:bidi="ar"/>
              </w:rPr>
              <w:t>阳光房现场拆除起吊安装费用（包含一次</w:t>
            </w:r>
            <w:r>
              <w:rPr>
                <w:rFonts w:hint="eastAsia" w:ascii="宋体" w:hAnsi="宋体" w:cs="宋体"/>
                <w:color w:val="auto"/>
                <w:kern w:val="0"/>
                <w:sz w:val="20"/>
                <w:szCs w:val="20"/>
                <w:lang w:eastAsia="zh-CN" w:bidi="ar"/>
              </w:rPr>
              <w:t>维修中的</w:t>
            </w:r>
            <w:r>
              <w:rPr>
                <w:rFonts w:hint="eastAsia" w:ascii="宋体" w:hAnsi="宋体" w:cs="宋体"/>
                <w:color w:val="auto"/>
                <w:kern w:val="0"/>
                <w:sz w:val="20"/>
                <w:szCs w:val="20"/>
                <w:lang w:bidi="ar"/>
              </w:rPr>
              <w:t>拆除、起吊和安装，污水处理厂包含房顶阳光罩起吊安装费用）</w:t>
            </w:r>
          </w:p>
        </w:tc>
      </w:tr>
    </w:tbl>
    <w:p>
      <w:pPr>
        <w:autoSpaceDE w:val="0"/>
        <w:autoSpaceDN w:val="0"/>
        <w:adjustRightInd w:val="0"/>
        <w:snapToGrid w:val="0"/>
        <w:spacing w:line="360" w:lineRule="auto"/>
        <w:textAlignment w:val="bottom"/>
        <w:rPr>
          <w:rFonts w:hint="eastAsia" w:ascii="Arial" w:hAnsi="宋体" w:cs="Arial"/>
          <w:color w:val="auto"/>
        </w:rPr>
      </w:pPr>
      <w:r>
        <w:rPr>
          <w:rFonts w:hint="eastAsia" w:ascii="Arial" w:hAnsi="宋体" w:cs="Arial"/>
          <w:color w:val="auto"/>
        </w:rPr>
        <w:t>注：</w:t>
      </w:r>
    </w:p>
    <w:p>
      <w:pPr>
        <w:numPr>
          <w:ilvl w:val="0"/>
          <w:numId w:val="16"/>
        </w:numPr>
        <w:autoSpaceDE w:val="0"/>
        <w:autoSpaceDN w:val="0"/>
        <w:adjustRightInd w:val="0"/>
        <w:snapToGrid w:val="0"/>
        <w:spacing w:line="360" w:lineRule="auto"/>
        <w:textAlignment w:val="bottom"/>
        <w:rPr>
          <w:rFonts w:hint="eastAsia" w:ascii="Arial" w:hAnsi="宋体" w:cs="Arial"/>
          <w:b/>
          <w:bCs/>
          <w:color w:val="auto"/>
          <w:lang w:eastAsia="zh-CN"/>
        </w:rPr>
      </w:pPr>
      <w:r>
        <w:rPr>
          <w:rFonts w:hint="eastAsia" w:ascii="Arial" w:hAnsi="宋体" w:cs="Arial"/>
          <w:b/>
          <w:bCs/>
          <w:color w:val="auto"/>
          <w:lang w:eastAsia="zh-CN"/>
        </w:rPr>
        <w:t>回转式格栅机</w:t>
      </w:r>
      <w:r>
        <w:rPr>
          <w:rFonts w:hint="eastAsia" w:ascii="Arial" w:hAnsi="宋体" w:eastAsia="宋体" w:cs="Arial"/>
          <w:b/>
          <w:bCs/>
          <w:color w:val="auto"/>
          <w:lang w:eastAsia="zh-CN"/>
        </w:rPr>
        <w:t>日常巡查单台年度最高限价为清单</w:t>
      </w:r>
      <w:r>
        <w:rPr>
          <w:rFonts w:hint="eastAsia" w:ascii="Arial" w:hAnsi="宋体" w:cs="Arial"/>
          <w:b/>
          <w:bCs/>
          <w:color w:val="auto"/>
          <w:lang w:val="en-US" w:eastAsia="zh-CN"/>
        </w:rPr>
        <w:t>回转式格栅机</w:t>
      </w:r>
      <w:r>
        <w:rPr>
          <w:rFonts w:hint="eastAsia" w:ascii="Arial" w:hAnsi="宋体" w:eastAsia="宋体" w:cs="Arial"/>
          <w:b/>
          <w:bCs/>
          <w:color w:val="auto"/>
          <w:lang w:eastAsia="zh-CN"/>
        </w:rPr>
        <w:t>全年日常巡查费用</w:t>
      </w:r>
      <w:r>
        <w:rPr>
          <w:rFonts w:hint="eastAsia" w:ascii="Arial" w:hAnsi="宋体" w:eastAsia="宋体" w:cs="Arial"/>
          <w:b/>
          <w:bCs/>
          <w:color w:val="auto"/>
          <w:lang w:val="en-US" w:eastAsia="zh-CN"/>
        </w:rPr>
        <w:t>,每年</w:t>
      </w:r>
      <w:r>
        <w:rPr>
          <w:rFonts w:hint="eastAsia" w:ascii="Arial" w:hAnsi="宋体" w:eastAsia="宋体" w:cs="Arial"/>
          <w:b/>
          <w:bCs/>
          <w:color w:val="auto"/>
          <w:lang w:eastAsia="zh-CN"/>
        </w:rPr>
        <w:t>设备日常巡查为三次</w:t>
      </w:r>
      <w:r>
        <w:rPr>
          <w:rFonts w:hint="eastAsia" w:ascii="Arial" w:hAnsi="宋体" w:cs="Arial"/>
          <w:b/>
          <w:bCs/>
          <w:color w:val="auto"/>
          <w:lang w:eastAsia="zh-CN"/>
        </w:rPr>
        <w:t>，回转式格栅机保养最高限价为</w:t>
      </w:r>
      <w:r>
        <w:rPr>
          <w:rFonts w:hint="eastAsia" w:ascii="Arial" w:hAnsi="宋体" w:cs="Arial"/>
          <w:b/>
          <w:bCs/>
          <w:color w:val="auto"/>
          <w:lang w:val="en-US" w:eastAsia="zh-CN"/>
        </w:rPr>
        <w:t>回转式格栅机</w:t>
      </w:r>
      <w:r>
        <w:rPr>
          <w:rFonts w:hint="eastAsia" w:ascii="Arial" w:hAnsi="宋体" w:eastAsia="宋体" w:cs="Arial"/>
          <w:b/>
          <w:bCs/>
          <w:color w:val="auto"/>
          <w:lang w:eastAsia="zh-CN"/>
        </w:rPr>
        <w:t>全年年度保养</w:t>
      </w:r>
      <w:r>
        <w:rPr>
          <w:rFonts w:hint="eastAsia" w:ascii="Arial" w:hAnsi="宋体" w:cs="Arial"/>
          <w:b/>
          <w:bCs/>
          <w:color w:val="auto"/>
          <w:lang w:eastAsia="zh-CN"/>
        </w:rPr>
        <w:t>费用，保养频次为</w:t>
      </w:r>
      <w:r>
        <w:rPr>
          <w:rFonts w:hint="eastAsia" w:ascii="Arial" w:hAnsi="宋体" w:eastAsia="宋体" w:cs="Arial"/>
          <w:b/>
          <w:bCs/>
          <w:color w:val="auto"/>
          <w:lang w:eastAsia="zh-CN"/>
        </w:rPr>
        <w:t>一次；</w:t>
      </w:r>
      <w:r>
        <w:rPr>
          <w:rFonts w:hint="eastAsia" w:ascii="宋体" w:hAnsi="宋体" w:eastAsia="宋体" w:cs="宋体"/>
          <w:b/>
          <w:bCs/>
          <w:color w:val="auto"/>
          <w:sz w:val="22"/>
          <w:szCs w:val="22"/>
          <w:highlight w:val="none"/>
          <w:lang w:val="en-US" w:eastAsia="zh-CN"/>
        </w:rPr>
        <w:t>螺旋压榨机为回转式格栅机附件包含于</w:t>
      </w:r>
      <w:r>
        <w:rPr>
          <w:rFonts w:hint="eastAsia"/>
          <w:b/>
          <w:bCs/>
          <w:color w:val="auto"/>
          <w:lang w:eastAsia="zh-CN"/>
        </w:rPr>
        <w:t>回转式格栅机日常巡查及</w:t>
      </w:r>
      <w:r>
        <w:rPr>
          <w:rFonts w:hint="eastAsia"/>
          <w:b/>
          <w:bCs/>
          <w:color w:val="auto"/>
        </w:rPr>
        <w:t>保养</w:t>
      </w:r>
      <w:r>
        <w:rPr>
          <w:rFonts w:hint="eastAsia" w:ascii="宋体" w:hAnsi="宋体" w:eastAsia="宋体" w:cs="宋体"/>
          <w:b/>
          <w:bCs/>
          <w:color w:val="auto"/>
          <w:sz w:val="22"/>
          <w:szCs w:val="22"/>
          <w:highlight w:val="none"/>
          <w:lang w:val="en-US" w:eastAsia="zh-CN"/>
        </w:rPr>
        <w:t>范围内。</w:t>
      </w:r>
      <w:r>
        <w:rPr>
          <w:rFonts w:hint="eastAsia" w:ascii="Arial" w:hAnsi="宋体" w:cs="Arial"/>
          <w:b/>
          <w:bCs/>
          <w:color w:val="auto"/>
          <w:lang w:eastAsia="zh-CN"/>
        </w:rPr>
        <w:t>粉碎性格栅机保养最高限价为</w:t>
      </w:r>
      <w:r>
        <w:rPr>
          <w:rFonts w:hint="eastAsia" w:ascii="Arial" w:hAnsi="宋体" w:cs="Arial"/>
          <w:b/>
          <w:bCs/>
          <w:color w:val="auto"/>
          <w:lang w:val="en-US" w:eastAsia="zh-CN"/>
        </w:rPr>
        <w:t>粉碎性格栅机</w:t>
      </w:r>
      <w:r>
        <w:rPr>
          <w:rFonts w:hint="eastAsia" w:ascii="Arial" w:hAnsi="宋体" w:eastAsia="宋体" w:cs="Arial"/>
          <w:b/>
          <w:bCs/>
          <w:color w:val="auto"/>
          <w:lang w:eastAsia="zh-CN"/>
        </w:rPr>
        <w:t>全年年度保养</w:t>
      </w:r>
      <w:r>
        <w:rPr>
          <w:rFonts w:hint="eastAsia" w:ascii="Arial" w:hAnsi="宋体" w:cs="Arial"/>
          <w:b/>
          <w:bCs/>
          <w:color w:val="auto"/>
          <w:lang w:eastAsia="zh-CN"/>
        </w:rPr>
        <w:t>费用，保养频次为</w:t>
      </w:r>
      <w:r>
        <w:rPr>
          <w:rFonts w:hint="eastAsia" w:ascii="Arial" w:hAnsi="宋体" w:eastAsia="宋体" w:cs="Arial"/>
          <w:b/>
          <w:bCs/>
          <w:color w:val="auto"/>
          <w:lang w:eastAsia="zh-CN"/>
        </w:rPr>
        <w:t>一次粉碎性格栅机保养费用包含设备起吊保养及安装费用。</w:t>
      </w:r>
    </w:p>
    <w:p>
      <w:pPr>
        <w:numPr>
          <w:ilvl w:val="0"/>
          <w:numId w:val="16"/>
        </w:numPr>
        <w:autoSpaceDE w:val="0"/>
        <w:autoSpaceDN w:val="0"/>
        <w:adjustRightInd w:val="0"/>
        <w:snapToGrid w:val="0"/>
        <w:spacing w:line="360" w:lineRule="auto"/>
        <w:textAlignment w:val="bottom"/>
        <w:rPr>
          <w:rFonts w:ascii="Arial" w:hAnsi="宋体" w:cs="Arial"/>
          <w:color w:val="auto"/>
        </w:rPr>
      </w:pPr>
      <w:r>
        <w:rPr>
          <w:rFonts w:hint="eastAsia" w:ascii="Arial" w:hAnsi="宋体" w:cs="Arial"/>
          <w:color w:val="auto"/>
        </w:rPr>
        <w:t>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p>
    <w:p>
      <w:pPr>
        <w:numPr>
          <w:ilvl w:val="0"/>
          <w:numId w:val="16"/>
        </w:numPr>
        <w:autoSpaceDE w:val="0"/>
        <w:autoSpaceDN w:val="0"/>
        <w:adjustRightInd w:val="0"/>
        <w:snapToGrid w:val="0"/>
        <w:spacing w:line="360" w:lineRule="auto"/>
        <w:ind w:left="0" w:leftChars="0" w:firstLine="0" w:firstLineChars="0"/>
        <w:textAlignment w:val="bottom"/>
        <w:rPr>
          <w:rFonts w:hint="eastAsia" w:ascii="Arial" w:hAnsi="宋体" w:cs="Arial"/>
          <w:color w:val="auto"/>
          <w:lang w:eastAsia="zh-CN"/>
        </w:rPr>
      </w:pPr>
      <w:r>
        <w:rPr>
          <w:rFonts w:hint="eastAsia" w:ascii="Arial" w:hAnsi="宋体" w:cs="Arial"/>
          <w:color w:val="auto"/>
        </w:rPr>
        <w:t>上述</w:t>
      </w:r>
      <w:r>
        <w:rPr>
          <w:rFonts w:hint="eastAsia"/>
          <w:b w:val="0"/>
          <w:bCs/>
          <w:color w:val="auto"/>
          <w:lang w:eastAsia="zh-CN"/>
        </w:rPr>
        <w:t>设备日常巡查及</w:t>
      </w:r>
      <w:r>
        <w:rPr>
          <w:rFonts w:hint="eastAsia"/>
          <w:b w:val="0"/>
          <w:bCs/>
          <w:color w:val="auto"/>
        </w:rPr>
        <w:t>保养</w:t>
      </w:r>
      <w:r>
        <w:rPr>
          <w:rFonts w:hint="eastAsia" w:ascii="Arial" w:hAnsi="宋体" w:cs="Arial"/>
          <w:color w:val="auto"/>
        </w:rPr>
        <w:t>内容按次数实行</w:t>
      </w:r>
      <w:r>
        <w:rPr>
          <w:rFonts w:hint="eastAsia" w:ascii="Arial" w:hAnsi="宋体" w:cs="Arial"/>
          <w:color w:val="auto"/>
          <w:lang w:eastAsia="zh-CN"/>
        </w:rPr>
        <w:t>单</w:t>
      </w:r>
      <w:r>
        <w:rPr>
          <w:rFonts w:hint="eastAsia" w:ascii="Arial" w:hAnsi="宋体" w:cs="Arial"/>
          <w:color w:val="auto"/>
        </w:rPr>
        <w:t>价包干；设备维修及配件更换数量不定，按实结算，无论材料、人工或其他因素价格涨跌，中标综合单价不予调整</w:t>
      </w:r>
      <w:r>
        <w:rPr>
          <w:rFonts w:hint="eastAsia" w:ascii="Arial" w:hAnsi="宋体" w:cs="Arial"/>
          <w:color w:val="auto"/>
          <w:lang w:eastAsia="zh-CN"/>
        </w:rPr>
        <w:t>。</w:t>
      </w:r>
    </w:p>
    <w:p>
      <w:pPr>
        <w:pStyle w:val="27"/>
        <w:jc w:val="left"/>
        <w:rPr>
          <w:rFonts w:hint="eastAsia"/>
          <w:b/>
          <w:color w:val="auto"/>
          <w:highlight w:val="none"/>
        </w:rPr>
      </w:pPr>
      <w:r>
        <w:rPr>
          <w:rFonts w:hint="eastAsia"/>
          <w:b/>
          <w:color w:val="auto"/>
          <w:highlight w:val="none"/>
          <w:lang w:eastAsia="zh-CN"/>
        </w:rPr>
        <w:t>二、</w:t>
      </w:r>
      <w:r>
        <w:rPr>
          <w:rFonts w:hint="eastAsia"/>
          <w:b/>
          <w:color w:val="auto"/>
          <w:highlight w:val="none"/>
        </w:rPr>
        <w:t>预算金额</w:t>
      </w:r>
    </w:p>
    <w:p>
      <w:pPr>
        <w:pStyle w:val="27"/>
        <w:jc w:val="left"/>
        <w:rPr>
          <w:color w:val="auto"/>
          <w:highlight w:val="none"/>
        </w:rPr>
      </w:pPr>
      <w:r>
        <w:rPr>
          <w:rFonts w:hint="eastAsia" w:hAnsi="宋体"/>
          <w:color w:val="auto"/>
          <w:highlight w:val="none"/>
        </w:rPr>
        <w:t>本项目采购预算金额为人民币大写：</w:t>
      </w:r>
      <w:r>
        <w:rPr>
          <w:rFonts w:hint="eastAsia" w:hAnsi="宋体"/>
          <w:color w:val="auto"/>
          <w:highlight w:val="none"/>
          <w:u w:val="single"/>
          <w:lang w:val="en-US" w:eastAsia="zh-CN"/>
        </w:rPr>
        <w:t xml:space="preserve">          </w:t>
      </w:r>
      <w:r>
        <w:rPr>
          <w:rFonts w:hint="eastAsia" w:hAnsi="宋体"/>
          <w:color w:val="auto"/>
          <w:highlight w:val="none"/>
        </w:rPr>
        <w:t>元整，小写￥</w:t>
      </w:r>
      <w:r>
        <w:rPr>
          <w:rFonts w:hint="eastAsia" w:hAnsi="宋体"/>
          <w:color w:val="auto"/>
          <w:highlight w:val="none"/>
          <w:u w:val="single"/>
          <w:lang w:val="en-US" w:eastAsia="zh-CN"/>
        </w:rPr>
        <w:t xml:space="preserve">         </w:t>
      </w:r>
      <w:r>
        <w:rPr>
          <w:rFonts w:hint="eastAsia" w:hAnsi="宋体"/>
          <w:color w:val="auto"/>
          <w:highlight w:val="none"/>
        </w:rPr>
        <w:t>元</w:t>
      </w:r>
    </w:p>
    <w:p>
      <w:pPr>
        <w:spacing w:before="93" w:beforeLines="30" w:after="93" w:afterLines="30" w:line="300" w:lineRule="exact"/>
        <w:rPr>
          <w:b/>
          <w:color w:val="auto"/>
          <w:szCs w:val="21"/>
        </w:rPr>
      </w:pPr>
      <w:r>
        <w:rPr>
          <w:rFonts w:hint="eastAsia"/>
          <w:b/>
          <w:color w:val="auto"/>
          <w:szCs w:val="21"/>
          <w:lang w:eastAsia="zh-CN"/>
        </w:rPr>
        <w:t>三</w:t>
      </w:r>
      <w:r>
        <w:rPr>
          <w:rFonts w:hint="eastAsia"/>
          <w:b/>
          <w:color w:val="auto"/>
          <w:szCs w:val="21"/>
        </w:rPr>
        <w:t>、服务期及修理周期</w:t>
      </w:r>
    </w:p>
    <w:p>
      <w:pPr>
        <w:spacing w:line="400" w:lineRule="exact"/>
        <w:ind w:firstLine="420"/>
        <w:rPr>
          <w:rFonts w:ascii="宋体" w:hAnsi="宋体"/>
          <w:color w:val="auto"/>
          <w:szCs w:val="21"/>
          <w:u w:val="none"/>
        </w:rPr>
      </w:pPr>
      <w:r>
        <w:rPr>
          <w:rFonts w:hint="eastAsia" w:ascii="宋体" w:hAnsi="宋体"/>
          <w:color w:val="auto"/>
          <w:szCs w:val="21"/>
        </w:rPr>
        <w:t>1、服务期：合同签订之日起至2024年12月31日</w:t>
      </w:r>
      <w:r>
        <w:rPr>
          <w:rFonts w:hint="eastAsia" w:ascii="宋体" w:hAnsi="宋体"/>
          <w:color w:val="auto"/>
          <w:szCs w:val="21"/>
          <w:lang w:eastAsia="zh-CN"/>
        </w:rPr>
        <w:t>，</w:t>
      </w:r>
      <w:r>
        <w:rPr>
          <w:rFonts w:hint="eastAsia" w:ascii="Arial" w:hAnsi="Arial" w:cs="Arial"/>
          <w:color w:val="auto"/>
          <w:lang w:eastAsia="zh-CN"/>
        </w:rPr>
        <w:t>或</w:t>
      </w:r>
      <w:r>
        <w:rPr>
          <w:rFonts w:hint="eastAsia"/>
          <w:color w:val="auto"/>
          <w:highlight w:val="none"/>
          <w:u w:val="none"/>
        </w:rPr>
        <w:t>采购量达到</w:t>
      </w:r>
      <w:r>
        <w:rPr>
          <w:rFonts w:hint="eastAsia"/>
          <w:color w:val="auto"/>
          <w:highlight w:val="none"/>
          <w:u w:val="none"/>
          <w:lang w:eastAsia="zh-CN"/>
        </w:rPr>
        <w:t>本项目采购</w:t>
      </w:r>
      <w:r>
        <w:rPr>
          <w:rFonts w:hint="eastAsia"/>
          <w:color w:val="auto"/>
          <w:highlight w:val="none"/>
          <w:u w:val="none"/>
        </w:rPr>
        <w:t>预算金额，以先到为准</w:t>
      </w:r>
      <w:r>
        <w:rPr>
          <w:rFonts w:hint="eastAsia" w:ascii="宋体" w:hAnsi="宋体"/>
          <w:color w:val="auto"/>
          <w:szCs w:val="21"/>
          <w:u w:val="none"/>
        </w:rPr>
        <w:t>。</w:t>
      </w:r>
    </w:p>
    <w:p>
      <w:pPr>
        <w:spacing w:line="400" w:lineRule="exact"/>
        <w:ind w:firstLine="420"/>
        <w:rPr>
          <w:rFonts w:ascii="宋体" w:hAnsi="宋体"/>
          <w:szCs w:val="21"/>
        </w:rPr>
      </w:pPr>
      <w:r>
        <w:rPr>
          <w:rFonts w:hint="eastAsia" w:ascii="宋体" w:hAnsi="宋体"/>
          <w:color w:val="auto"/>
          <w:szCs w:val="21"/>
        </w:rPr>
        <w:t>2、修理周期：正常修理周期为15日历</w:t>
      </w:r>
      <w:r>
        <w:rPr>
          <w:rFonts w:hint="eastAsia" w:ascii="宋体" w:hAnsi="宋体"/>
          <w:szCs w:val="21"/>
        </w:rPr>
        <w:t>天，加急维修周期为正常修理周期的一半。维修过程中涉及到非易损件更换的，双方另行协商确定时间。</w:t>
      </w:r>
    </w:p>
    <w:p>
      <w:pPr>
        <w:spacing w:before="93" w:beforeLines="30" w:after="93" w:afterLines="30" w:line="300" w:lineRule="exact"/>
        <w:rPr>
          <w:b/>
          <w:szCs w:val="21"/>
        </w:rPr>
      </w:pPr>
      <w:r>
        <w:rPr>
          <w:rFonts w:hint="eastAsia"/>
          <w:b/>
          <w:szCs w:val="21"/>
          <w:lang w:eastAsia="zh-CN"/>
        </w:rPr>
        <w:t>四</w:t>
      </w:r>
      <w:r>
        <w:rPr>
          <w:b/>
          <w:szCs w:val="21"/>
        </w:rPr>
        <w:t>、服务要求</w:t>
      </w:r>
    </w:p>
    <w:p>
      <w:pPr>
        <w:pStyle w:val="83"/>
        <w:snapToGrid w:val="0"/>
        <w:spacing w:line="360" w:lineRule="auto"/>
        <w:ind w:firstLine="0" w:firstLineChars="0"/>
        <w:rPr>
          <w:rFonts w:ascii="Arial" w:hAnsi="宋体" w:cs="Arial"/>
        </w:rPr>
      </w:pPr>
      <w:r>
        <w:rPr>
          <w:rFonts w:hint="eastAsia" w:ascii="Arial" w:hAnsi="宋体" w:cs="Arial"/>
        </w:rPr>
        <w:t>1、格栅机（输送机）保养：指的是定期对格栅机进行的维护保养，包括格栅机进行外部检查清洁、耙齿检查和杂物清理、减速机电机检查、减速机润滑油检查或更换、耙齿及挡板矫正、各传动部件润滑、涨紧轮调节等；</w:t>
      </w:r>
    </w:p>
    <w:p>
      <w:pPr>
        <w:pStyle w:val="83"/>
        <w:snapToGrid w:val="0"/>
        <w:spacing w:line="360" w:lineRule="auto"/>
        <w:ind w:firstLine="0" w:firstLineChars="0"/>
        <w:rPr>
          <w:rFonts w:ascii="Arial" w:hAnsi="宋体" w:cs="Arial"/>
        </w:rPr>
      </w:pPr>
      <w:r>
        <w:rPr>
          <w:rFonts w:ascii="Arial" w:hAnsi="宋体" w:cs="Arial"/>
        </w:rPr>
        <w:t>2</w:t>
      </w:r>
      <w:r>
        <w:rPr>
          <w:rFonts w:hint="eastAsia" w:ascii="Arial" w:hAnsi="宋体" w:cs="Arial"/>
        </w:rPr>
        <w:t>、格栅机（输送机）修理：指的是格栅机出现故障或工况异常时，对格栅机提升、装卸、外运、整体拆解对整体清洁、防腐处理、故障部件进行更换或维修，配件费用另计。</w:t>
      </w:r>
    </w:p>
    <w:p>
      <w:pPr>
        <w:snapToGrid w:val="0"/>
        <w:spacing w:line="360" w:lineRule="auto"/>
        <w:rPr>
          <w:rFonts w:ascii="Arial" w:hAnsi="宋体" w:cs="Arial"/>
        </w:rPr>
      </w:pPr>
      <w:r>
        <w:rPr>
          <w:rFonts w:ascii="Arial" w:hAnsi="宋体" w:cs="Arial"/>
        </w:rPr>
        <w:t>3</w:t>
      </w:r>
      <w:r>
        <w:rPr>
          <w:rFonts w:hint="eastAsia" w:ascii="Arial" w:hAnsi="宋体" w:cs="Arial"/>
        </w:rPr>
        <w:t>、按安全规程、维修标准完成承担的各项工作。</w:t>
      </w:r>
    </w:p>
    <w:p>
      <w:pPr>
        <w:snapToGrid w:val="0"/>
        <w:spacing w:line="360" w:lineRule="auto"/>
        <w:rPr>
          <w:rFonts w:ascii="Arial" w:hAnsi="宋体" w:cs="Arial"/>
        </w:rPr>
      </w:pPr>
      <w:r>
        <w:rPr>
          <w:rFonts w:ascii="Arial" w:hAnsi="宋体" w:cs="Arial"/>
        </w:rPr>
        <w:t>4</w:t>
      </w:r>
      <w:r>
        <w:rPr>
          <w:rFonts w:hint="eastAsia" w:ascii="Arial" w:hAnsi="宋体" w:cs="Arial"/>
        </w:rPr>
        <w:t>、在规定的响应时间内到达现场，按安全规程、维修标准规范开展维修工作。维修过程中做好现场安全管理工作。维修结束后做好现场清理工作。</w:t>
      </w:r>
    </w:p>
    <w:p>
      <w:pPr>
        <w:pStyle w:val="83"/>
        <w:snapToGrid w:val="0"/>
        <w:spacing w:line="360" w:lineRule="auto"/>
        <w:ind w:firstLine="0" w:firstLineChars="0"/>
        <w:rPr>
          <w:rFonts w:ascii="Arial" w:hAnsi="宋体" w:cs="Arial"/>
        </w:rPr>
      </w:pPr>
      <w:r>
        <w:rPr>
          <w:rFonts w:ascii="Arial" w:hAnsi="宋体" w:cs="Arial"/>
        </w:rPr>
        <w:t>5</w:t>
      </w:r>
      <w:r>
        <w:rPr>
          <w:rFonts w:hint="eastAsia" w:ascii="Arial" w:hAnsi="宋体" w:cs="Arial"/>
        </w:rPr>
        <w:t>、涉及到有限空间作业，投标单位中标后，须配备安全措施设备。</w:t>
      </w:r>
    </w:p>
    <w:p>
      <w:pPr>
        <w:pStyle w:val="83"/>
        <w:snapToGrid w:val="0"/>
        <w:spacing w:line="360" w:lineRule="auto"/>
        <w:ind w:firstLine="0" w:firstLineChars="0"/>
        <w:rPr>
          <w:rFonts w:ascii="Arial" w:hAnsi="宋体" w:cs="Arial"/>
        </w:rPr>
      </w:pPr>
      <w:r>
        <w:rPr>
          <w:rFonts w:ascii="Arial" w:hAnsi="宋体" w:cs="Arial"/>
        </w:rPr>
        <w:t>6</w:t>
      </w:r>
      <w:r>
        <w:rPr>
          <w:rFonts w:hint="eastAsia" w:ascii="Arial" w:hAnsi="宋体" w:cs="Arial"/>
        </w:rPr>
        <w:t>、</w:t>
      </w:r>
      <w:r>
        <w:rPr>
          <w:rFonts w:hint="eastAsia" w:ascii="Arial" w:hAnsi="宋体" w:cs="Arial"/>
          <w:lang w:eastAsia="zh-CN"/>
        </w:rPr>
        <w:t>乙方</w:t>
      </w:r>
      <w:r>
        <w:rPr>
          <w:rFonts w:hint="eastAsia" w:ascii="Arial" w:hAnsi="宋体" w:cs="Arial"/>
        </w:rPr>
        <w:t>现场维修人员必须具备工作对应的上岗证，否则由此引起的一切不良后果均有</w:t>
      </w:r>
      <w:r>
        <w:rPr>
          <w:rFonts w:hint="eastAsia" w:ascii="Arial" w:hAnsi="宋体" w:cs="Arial"/>
          <w:lang w:eastAsia="zh-CN"/>
        </w:rPr>
        <w:t>乙方</w:t>
      </w:r>
      <w:r>
        <w:rPr>
          <w:rFonts w:hint="eastAsia" w:ascii="Arial" w:hAnsi="宋体" w:cs="Arial"/>
        </w:rPr>
        <w:t>承担。</w:t>
      </w:r>
    </w:p>
    <w:p>
      <w:pPr>
        <w:snapToGrid w:val="0"/>
        <w:spacing w:line="360" w:lineRule="auto"/>
        <w:rPr>
          <w:rFonts w:ascii="Arial" w:hAnsi="宋体" w:cs="Arial"/>
        </w:rPr>
      </w:pPr>
      <w:r>
        <w:rPr>
          <w:rFonts w:ascii="Arial" w:hAnsi="宋体" w:cs="Arial"/>
        </w:rPr>
        <w:t>7</w:t>
      </w:r>
      <w:r>
        <w:rPr>
          <w:rFonts w:hint="eastAsia" w:ascii="Arial" w:hAnsi="宋体" w:cs="Arial"/>
        </w:rPr>
        <w:t>、</w:t>
      </w:r>
      <w:r>
        <w:rPr>
          <w:rFonts w:hint="eastAsia" w:ascii="Arial" w:hAnsi="宋体" w:cs="Arial"/>
          <w:lang w:eastAsia="zh-CN"/>
        </w:rPr>
        <w:t>乙方</w:t>
      </w:r>
      <w:r>
        <w:rPr>
          <w:rFonts w:hint="eastAsia" w:ascii="Arial" w:hAnsi="宋体" w:cs="Arial"/>
        </w:rPr>
        <w:t>施工期间，必须按照国家规定做好安全预防措施，如设置现场安全警示、用于确保安全的技术措施、维护作业人员的作业安全措施等。工作现场要有专职安全文明施工管理人员。由于</w:t>
      </w:r>
      <w:r>
        <w:rPr>
          <w:rFonts w:hint="eastAsia" w:ascii="Arial" w:hAnsi="宋体" w:cs="Arial"/>
          <w:lang w:eastAsia="zh-CN"/>
        </w:rPr>
        <w:t>乙方</w:t>
      </w:r>
      <w:r>
        <w:rPr>
          <w:rFonts w:hint="eastAsia" w:ascii="Arial" w:hAnsi="宋体" w:cs="Arial"/>
        </w:rPr>
        <w:t>未做好安全预防措施所造成的事故，由</w:t>
      </w:r>
      <w:r>
        <w:rPr>
          <w:rFonts w:hint="eastAsia" w:ascii="Arial" w:hAnsi="宋体" w:cs="Arial"/>
          <w:lang w:eastAsia="zh-CN"/>
        </w:rPr>
        <w:t>乙方</w:t>
      </w:r>
      <w:r>
        <w:rPr>
          <w:rFonts w:hint="eastAsia" w:ascii="Arial" w:hAnsi="宋体" w:cs="Arial"/>
        </w:rPr>
        <w:t>承担全部责任。</w:t>
      </w:r>
    </w:p>
    <w:p>
      <w:pPr>
        <w:snapToGrid w:val="0"/>
        <w:spacing w:line="360" w:lineRule="auto"/>
        <w:rPr>
          <w:rFonts w:ascii="Arial" w:hAnsi="宋体" w:cs="Arial"/>
        </w:rPr>
      </w:pPr>
      <w:r>
        <w:rPr>
          <w:rFonts w:ascii="Arial" w:hAnsi="宋体" w:cs="Arial"/>
        </w:rPr>
        <w:t>8</w:t>
      </w:r>
      <w:r>
        <w:rPr>
          <w:rFonts w:hint="eastAsia" w:ascii="Arial" w:hAnsi="宋体" w:cs="Arial"/>
        </w:rPr>
        <w:t>、参与故障、事故格栅机的分析、处理，提出书面的预防及改善设备性能的意见和建议。</w:t>
      </w:r>
    </w:p>
    <w:p>
      <w:pPr>
        <w:snapToGrid w:val="0"/>
        <w:spacing w:line="360" w:lineRule="auto"/>
        <w:rPr>
          <w:rFonts w:ascii="Arial" w:hAnsi="宋体" w:cs="Arial"/>
        </w:rPr>
      </w:pPr>
      <w:r>
        <w:rPr>
          <w:rFonts w:ascii="Arial" w:hAnsi="宋体" w:cs="Arial"/>
        </w:rPr>
        <w:t>9</w:t>
      </w:r>
      <w:r>
        <w:rPr>
          <w:rFonts w:hint="eastAsia" w:ascii="Arial" w:hAnsi="宋体" w:cs="Arial"/>
        </w:rPr>
        <w:t>、负责设备修理过程中所有的数据及测试记录、整理工作，并及时报</w:t>
      </w:r>
      <w:r>
        <w:rPr>
          <w:rFonts w:hint="eastAsia" w:ascii="Arial" w:hAnsi="宋体" w:cs="Arial"/>
          <w:lang w:eastAsia="zh-CN"/>
        </w:rPr>
        <w:t>甲方</w:t>
      </w:r>
      <w:r>
        <w:rPr>
          <w:rFonts w:hint="eastAsia" w:ascii="Arial" w:hAnsi="宋体" w:cs="Arial"/>
        </w:rPr>
        <w:t>确认。</w:t>
      </w:r>
    </w:p>
    <w:p>
      <w:pPr>
        <w:snapToGrid w:val="0"/>
        <w:spacing w:line="360" w:lineRule="auto"/>
        <w:rPr>
          <w:rFonts w:ascii="Arial" w:hAnsi="宋体" w:cs="Arial"/>
        </w:rPr>
      </w:pPr>
      <w:r>
        <w:rPr>
          <w:rFonts w:ascii="Arial" w:hAnsi="宋体" w:cs="Arial"/>
        </w:rPr>
        <w:t>10</w:t>
      </w:r>
      <w:r>
        <w:rPr>
          <w:rFonts w:hint="eastAsia" w:ascii="Arial" w:hAnsi="宋体" w:cs="Arial"/>
        </w:rPr>
        <w:t>、配合</w:t>
      </w:r>
      <w:r>
        <w:rPr>
          <w:rFonts w:hint="eastAsia" w:ascii="Arial" w:hAnsi="宋体" w:cs="Arial"/>
          <w:lang w:eastAsia="zh-CN"/>
        </w:rPr>
        <w:t>甲方</w:t>
      </w:r>
      <w:r>
        <w:rPr>
          <w:rFonts w:hint="eastAsia" w:ascii="Arial" w:hAnsi="宋体" w:cs="Arial"/>
        </w:rPr>
        <w:t>完成设备修理后的实际工况测试和验收工作。</w:t>
      </w:r>
    </w:p>
    <w:p>
      <w:pPr>
        <w:snapToGrid w:val="0"/>
        <w:spacing w:line="360" w:lineRule="auto"/>
        <w:rPr>
          <w:rFonts w:ascii="Arial" w:hAnsi="宋体" w:cs="Arial"/>
        </w:rPr>
      </w:pPr>
      <w:r>
        <w:rPr>
          <w:rFonts w:ascii="Arial" w:hAnsi="宋体" w:cs="Arial"/>
        </w:rPr>
        <w:t>11</w:t>
      </w:r>
      <w:r>
        <w:rPr>
          <w:rFonts w:hint="eastAsia" w:ascii="Arial" w:hAnsi="宋体" w:cs="Arial"/>
        </w:rPr>
        <w:t>、</w:t>
      </w:r>
      <w:r>
        <w:rPr>
          <w:rFonts w:hint="eastAsia" w:ascii="Arial" w:hAnsi="宋体" w:cs="Arial"/>
          <w:lang w:eastAsia="zh-CN"/>
        </w:rPr>
        <w:t>乙方</w:t>
      </w:r>
      <w:r>
        <w:rPr>
          <w:rFonts w:hint="eastAsia" w:ascii="Arial" w:hAnsi="宋体" w:cs="Arial"/>
        </w:rPr>
        <w:t>应掌握所有</w:t>
      </w:r>
      <w:r>
        <w:rPr>
          <w:rFonts w:hint="eastAsia" w:ascii="Arial" w:hAnsi="宋体" w:cs="Arial"/>
          <w:lang w:eastAsia="zh-CN"/>
        </w:rPr>
        <w:t>设备日常巡查及保养</w:t>
      </w:r>
      <w:r>
        <w:rPr>
          <w:rFonts w:hint="eastAsia" w:ascii="Arial" w:hAnsi="宋体" w:cs="Arial"/>
        </w:rPr>
        <w:t>格栅机设备的准确信息，如出现合同</w:t>
      </w:r>
      <w:r>
        <w:rPr>
          <w:rFonts w:hint="eastAsia" w:ascii="Arial" w:hAnsi="宋体" w:cs="Arial"/>
          <w:lang w:eastAsia="zh-CN"/>
        </w:rPr>
        <w:t>设备日常巡查及保养</w:t>
      </w:r>
      <w:r>
        <w:rPr>
          <w:rFonts w:hint="eastAsia" w:ascii="Arial" w:hAnsi="宋体" w:cs="Arial"/>
        </w:rPr>
        <w:t>内容不能满足格栅机设备正常运行的条件时，</w:t>
      </w:r>
      <w:r>
        <w:rPr>
          <w:rFonts w:hint="eastAsia" w:ascii="Arial" w:hAnsi="宋体" w:cs="Arial"/>
          <w:lang w:eastAsia="zh-CN"/>
        </w:rPr>
        <w:t>乙方</w:t>
      </w:r>
      <w:r>
        <w:rPr>
          <w:rFonts w:hint="eastAsia" w:ascii="Arial" w:hAnsi="宋体" w:cs="Arial"/>
        </w:rPr>
        <w:t>有及时书面告知</w:t>
      </w:r>
      <w:r>
        <w:rPr>
          <w:rFonts w:hint="eastAsia" w:ascii="Arial" w:hAnsi="宋体" w:cs="Arial"/>
          <w:lang w:eastAsia="zh-CN"/>
        </w:rPr>
        <w:t>甲方</w:t>
      </w:r>
      <w:r>
        <w:rPr>
          <w:rFonts w:hint="eastAsia" w:ascii="Arial" w:hAnsi="宋体" w:cs="Arial"/>
        </w:rPr>
        <w:t>的义务，并提出整改建议。</w:t>
      </w:r>
    </w:p>
    <w:p>
      <w:pPr>
        <w:pStyle w:val="83"/>
        <w:snapToGrid w:val="0"/>
        <w:spacing w:line="360" w:lineRule="auto"/>
        <w:ind w:firstLine="0" w:firstLineChars="0"/>
        <w:rPr>
          <w:rFonts w:ascii="Arial" w:hAnsi="宋体" w:cs="Arial"/>
        </w:rPr>
      </w:pPr>
      <w:r>
        <w:rPr>
          <w:rFonts w:ascii="Arial" w:hAnsi="宋体" w:cs="Arial"/>
        </w:rPr>
        <w:t>12</w:t>
      </w:r>
      <w:r>
        <w:rPr>
          <w:rFonts w:hint="eastAsia" w:ascii="Arial" w:hAnsi="宋体" w:cs="Arial"/>
        </w:rPr>
        <w:t>、如遇格栅机或部件无修复价值时，通知</w:t>
      </w:r>
      <w:r>
        <w:rPr>
          <w:rFonts w:hint="eastAsia" w:ascii="Arial" w:hAnsi="宋体" w:cs="Arial"/>
          <w:lang w:eastAsia="zh-CN"/>
        </w:rPr>
        <w:t>甲方</w:t>
      </w:r>
      <w:r>
        <w:rPr>
          <w:rFonts w:hint="eastAsia" w:ascii="Arial" w:hAnsi="宋体" w:cs="Arial"/>
        </w:rPr>
        <w:t>，由</w:t>
      </w:r>
      <w:r>
        <w:rPr>
          <w:rFonts w:hint="eastAsia" w:ascii="Arial" w:hAnsi="宋体" w:cs="Arial"/>
          <w:lang w:eastAsia="zh-CN"/>
        </w:rPr>
        <w:t>甲方</w:t>
      </w:r>
      <w:r>
        <w:rPr>
          <w:rFonts w:hint="eastAsia" w:ascii="Arial" w:hAnsi="宋体" w:cs="Arial"/>
        </w:rPr>
        <w:t>处理。</w:t>
      </w:r>
    </w:p>
    <w:p>
      <w:pPr>
        <w:pStyle w:val="83"/>
        <w:snapToGrid w:val="0"/>
        <w:spacing w:line="360" w:lineRule="auto"/>
        <w:ind w:firstLine="0" w:firstLineChars="0"/>
        <w:rPr>
          <w:rFonts w:ascii="Arial" w:hAnsi="宋体" w:cs="Arial"/>
        </w:rPr>
      </w:pPr>
      <w:r>
        <w:rPr>
          <w:rFonts w:ascii="Arial" w:hAnsi="宋体" w:cs="Arial"/>
        </w:rPr>
        <w:t>13</w:t>
      </w:r>
      <w:r>
        <w:rPr>
          <w:rFonts w:hint="eastAsia" w:ascii="Arial" w:hAnsi="宋体" w:cs="Arial"/>
        </w:rPr>
        <w:t>、</w:t>
      </w:r>
      <w:r>
        <w:rPr>
          <w:rFonts w:hint="eastAsia" w:ascii="Arial" w:hAnsi="宋体" w:cs="Arial"/>
          <w:lang w:eastAsia="zh-CN"/>
        </w:rPr>
        <w:t>乙方</w:t>
      </w:r>
      <w:r>
        <w:rPr>
          <w:rFonts w:hint="eastAsia" w:ascii="Arial" w:hAnsi="宋体" w:cs="Arial"/>
        </w:rPr>
        <w:t>对维护保养的设备的使用性能负责，在维护保养过程中严格执行技术规范要求，保证设备的性能符合相关技术标准要求。在保养期间，</w:t>
      </w:r>
      <w:r>
        <w:rPr>
          <w:rFonts w:hint="eastAsia" w:ascii="Arial" w:hAnsi="宋体" w:cs="Arial"/>
          <w:lang w:eastAsia="zh-CN"/>
        </w:rPr>
        <w:t>乙方</w:t>
      </w:r>
      <w:r>
        <w:rPr>
          <w:rFonts w:hint="eastAsia" w:ascii="Arial" w:hAnsi="宋体" w:cs="Arial"/>
        </w:rPr>
        <w:t>应对设备可能存在的故障隐患作出评估，并进行恰当的预防性处理，以保证设备的安全运行。若故障隐患超出维护保养范围的，应及时书面通知</w:t>
      </w:r>
      <w:r>
        <w:rPr>
          <w:rFonts w:hint="eastAsia" w:ascii="Arial" w:hAnsi="宋体" w:cs="Arial"/>
          <w:lang w:eastAsia="zh-CN"/>
        </w:rPr>
        <w:t>甲方</w:t>
      </w:r>
      <w:r>
        <w:rPr>
          <w:rFonts w:hint="eastAsia" w:ascii="Arial" w:hAnsi="宋体" w:cs="Arial"/>
        </w:rPr>
        <w:t>，并提出消除隐患建议。</w:t>
      </w:r>
    </w:p>
    <w:p>
      <w:pPr>
        <w:pStyle w:val="83"/>
        <w:snapToGrid w:val="0"/>
        <w:spacing w:line="360" w:lineRule="auto"/>
        <w:ind w:firstLine="0" w:firstLineChars="0"/>
        <w:rPr>
          <w:rFonts w:ascii="Arial" w:hAnsi="宋体" w:cs="Arial"/>
        </w:rPr>
      </w:pPr>
      <w:r>
        <w:rPr>
          <w:rFonts w:ascii="Arial" w:hAnsi="宋体" w:cs="Arial"/>
        </w:rPr>
        <w:t>14</w:t>
      </w:r>
      <w:r>
        <w:rPr>
          <w:rFonts w:hint="eastAsia" w:ascii="Arial" w:hAnsi="宋体" w:cs="Arial"/>
        </w:rPr>
        <w:t>、由于</w:t>
      </w:r>
      <w:r>
        <w:rPr>
          <w:rFonts w:hint="eastAsia" w:ascii="Arial" w:hAnsi="宋体" w:cs="Arial"/>
          <w:lang w:eastAsia="zh-CN"/>
        </w:rPr>
        <w:t>乙方</w:t>
      </w:r>
      <w:r>
        <w:rPr>
          <w:rFonts w:hint="eastAsia" w:ascii="Arial" w:hAnsi="宋体" w:cs="Arial"/>
        </w:rPr>
        <w:t>保养不当所造成的损失，由</w:t>
      </w:r>
      <w:r>
        <w:rPr>
          <w:rFonts w:hint="eastAsia" w:ascii="Arial" w:hAnsi="宋体" w:cs="Arial"/>
          <w:lang w:eastAsia="zh-CN"/>
        </w:rPr>
        <w:t>乙方</w:t>
      </w:r>
      <w:r>
        <w:rPr>
          <w:rFonts w:hint="eastAsia" w:ascii="Arial" w:hAnsi="宋体" w:cs="Arial"/>
        </w:rPr>
        <w:t>承担全部责任。</w:t>
      </w:r>
    </w:p>
    <w:p>
      <w:pPr>
        <w:pStyle w:val="83"/>
        <w:snapToGrid w:val="0"/>
        <w:spacing w:line="360" w:lineRule="auto"/>
        <w:ind w:firstLine="0" w:firstLineChars="0"/>
        <w:rPr>
          <w:rFonts w:ascii="Arial" w:hAnsi="宋体" w:cs="Arial"/>
        </w:rPr>
      </w:pPr>
      <w:r>
        <w:rPr>
          <w:rFonts w:ascii="Arial" w:hAnsi="宋体" w:cs="Arial"/>
        </w:rPr>
        <w:t>15</w:t>
      </w:r>
      <w:r>
        <w:rPr>
          <w:rFonts w:hint="eastAsia" w:ascii="Arial" w:hAnsi="宋体" w:cs="Arial"/>
        </w:rPr>
        <w:t>、经过</w:t>
      </w:r>
      <w:r>
        <w:rPr>
          <w:rFonts w:hint="eastAsia" w:ascii="Arial" w:hAnsi="宋体" w:cs="Arial"/>
          <w:lang w:eastAsia="zh-CN"/>
        </w:rPr>
        <w:t>设备日常巡查及保养</w:t>
      </w:r>
      <w:r>
        <w:rPr>
          <w:rFonts w:hint="eastAsia" w:ascii="Arial" w:hAnsi="宋体" w:cs="Arial"/>
        </w:rPr>
        <w:t>的格栅机，在经过</w:t>
      </w:r>
      <w:r>
        <w:rPr>
          <w:rFonts w:hint="eastAsia" w:ascii="Arial" w:hAnsi="宋体" w:cs="Arial"/>
          <w:lang w:eastAsia="zh-CN"/>
        </w:rPr>
        <w:t>甲方</w:t>
      </w:r>
      <w:r>
        <w:rPr>
          <w:rFonts w:hint="eastAsia" w:ascii="Arial" w:hAnsi="宋体" w:cs="Arial"/>
        </w:rPr>
        <w:t>验收合格后保修期内，如果维修部分出现质量问题，</w:t>
      </w:r>
      <w:r>
        <w:rPr>
          <w:rFonts w:hint="eastAsia" w:ascii="Arial" w:hAnsi="宋体" w:cs="Arial"/>
          <w:lang w:eastAsia="zh-CN"/>
        </w:rPr>
        <w:t>乙方</w:t>
      </w:r>
      <w:r>
        <w:rPr>
          <w:rFonts w:hint="eastAsia" w:ascii="Arial" w:hAnsi="宋体" w:cs="Arial"/>
        </w:rPr>
        <w:t>负责免费维修（意外引起的故障或人为原因、电气原因造成格栅机损失的除外）。对在保养期间，发现有些设备应保养而未进行保养出现故障的，所产生的费用和维修费用由</w:t>
      </w:r>
      <w:r>
        <w:rPr>
          <w:rFonts w:hint="eastAsia" w:ascii="Arial" w:hAnsi="宋体" w:cs="Arial"/>
          <w:lang w:eastAsia="zh-CN"/>
        </w:rPr>
        <w:t>乙方</w:t>
      </w:r>
      <w:r>
        <w:rPr>
          <w:rFonts w:hint="eastAsia" w:ascii="Arial" w:hAnsi="宋体" w:cs="Arial"/>
        </w:rPr>
        <w:t>承担。</w:t>
      </w:r>
    </w:p>
    <w:p>
      <w:pPr>
        <w:pStyle w:val="83"/>
        <w:snapToGrid w:val="0"/>
        <w:spacing w:line="360" w:lineRule="auto"/>
        <w:ind w:firstLine="0" w:firstLineChars="0"/>
        <w:rPr>
          <w:rFonts w:ascii="Arial" w:hAnsi="宋体" w:cs="Arial"/>
        </w:rPr>
      </w:pPr>
      <w:r>
        <w:rPr>
          <w:rFonts w:ascii="Arial" w:hAnsi="宋体" w:cs="Arial"/>
        </w:rPr>
        <w:t>16</w:t>
      </w:r>
      <w:r>
        <w:rPr>
          <w:rFonts w:hint="eastAsia" w:ascii="Arial" w:hAnsi="宋体" w:cs="Arial"/>
        </w:rPr>
        <w:t>、</w:t>
      </w:r>
      <w:r>
        <w:rPr>
          <w:rFonts w:hint="eastAsia" w:ascii="Arial" w:hAnsi="宋体" w:cs="Arial"/>
          <w:lang w:eastAsia="zh-CN"/>
        </w:rPr>
        <w:t>甲方</w:t>
      </w:r>
      <w:r>
        <w:rPr>
          <w:rFonts w:hint="eastAsia" w:ascii="Arial" w:hAnsi="宋体" w:cs="Arial"/>
        </w:rPr>
        <w:t>根据单台维修费用有权取消该格栅机的维修。</w:t>
      </w:r>
    </w:p>
    <w:p>
      <w:pPr>
        <w:pStyle w:val="83"/>
        <w:snapToGrid w:val="0"/>
        <w:spacing w:line="360" w:lineRule="auto"/>
        <w:ind w:firstLine="0" w:firstLineChars="0"/>
        <w:rPr>
          <w:rFonts w:ascii="Arial" w:hAnsi="宋体" w:cs="Arial"/>
        </w:rPr>
      </w:pPr>
      <w:r>
        <w:rPr>
          <w:rFonts w:ascii="Arial" w:hAnsi="宋体" w:cs="Arial"/>
        </w:rPr>
        <w:t>17</w:t>
      </w:r>
      <w:r>
        <w:rPr>
          <w:rFonts w:hint="eastAsia" w:ascii="Arial" w:hAnsi="宋体" w:cs="Arial"/>
        </w:rPr>
        <w:t>、格栅机维修需更换的减速机、主轴、耙齿、链条、传动轴、电机等主要部件的，原损坏部件需归还</w:t>
      </w:r>
      <w:r>
        <w:rPr>
          <w:rFonts w:hint="eastAsia" w:ascii="Arial" w:hAnsi="宋体" w:cs="Arial"/>
          <w:lang w:eastAsia="zh-CN"/>
        </w:rPr>
        <w:t>甲方</w:t>
      </w:r>
      <w:r>
        <w:rPr>
          <w:rFonts w:hint="eastAsia" w:ascii="Arial" w:hAnsi="宋体" w:cs="Arial"/>
        </w:rPr>
        <w:t>。</w:t>
      </w:r>
    </w:p>
    <w:p>
      <w:pPr>
        <w:snapToGrid w:val="0"/>
        <w:spacing w:line="360" w:lineRule="auto"/>
        <w:rPr>
          <w:rFonts w:ascii="Arial" w:hAnsi="宋体" w:cs="Arial"/>
        </w:rPr>
      </w:pPr>
      <w:r>
        <w:rPr>
          <w:rFonts w:ascii="Arial" w:hAnsi="宋体" w:cs="Arial"/>
        </w:rPr>
        <w:t>18</w:t>
      </w:r>
      <w:r>
        <w:rPr>
          <w:rFonts w:hint="eastAsia" w:ascii="Arial" w:hAnsi="宋体" w:cs="Arial"/>
        </w:rPr>
        <w:t>、设备的安装、调试和验收</w:t>
      </w:r>
    </w:p>
    <w:p>
      <w:pPr>
        <w:numPr>
          <w:ilvl w:val="0"/>
          <w:numId w:val="17"/>
        </w:numPr>
        <w:snapToGrid w:val="0"/>
        <w:spacing w:line="360" w:lineRule="auto"/>
        <w:rPr>
          <w:rFonts w:ascii="Arial" w:hAnsi="宋体" w:cs="Arial"/>
        </w:rPr>
      </w:pPr>
      <w:r>
        <w:rPr>
          <w:rFonts w:hint="eastAsia" w:ascii="Arial" w:hAnsi="宋体" w:cs="Arial"/>
        </w:rPr>
        <w:t>供应商须在合同规定的工作日内完成设备解体、保养、安装、调试工作，并确保正常运行。</w:t>
      </w:r>
    </w:p>
    <w:p>
      <w:pPr>
        <w:numPr>
          <w:ilvl w:val="0"/>
          <w:numId w:val="17"/>
        </w:numPr>
        <w:snapToGrid w:val="0"/>
        <w:spacing w:line="360" w:lineRule="auto"/>
        <w:rPr>
          <w:rFonts w:ascii="Arial" w:hAnsi="宋体" w:cs="Arial"/>
        </w:rPr>
      </w:pPr>
      <w:r>
        <w:rPr>
          <w:rFonts w:hint="eastAsia" w:ascii="Arial" w:hAnsi="宋体" w:cs="Arial"/>
        </w:rPr>
        <w:t>安装范围包括设备本身安装及配套控制系统的调试，安装必须符合有关标准和规范。</w:t>
      </w:r>
    </w:p>
    <w:p>
      <w:pPr>
        <w:numPr>
          <w:ilvl w:val="0"/>
          <w:numId w:val="17"/>
        </w:numPr>
        <w:snapToGrid w:val="0"/>
        <w:spacing w:line="360" w:lineRule="auto"/>
        <w:rPr>
          <w:rFonts w:ascii="Arial" w:hAnsi="宋体" w:cs="Arial"/>
        </w:rPr>
      </w:pPr>
      <w:r>
        <w:rPr>
          <w:rFonts w:hint="eastAsia" w:ascii="Arial" w:hAnsi="宋体" w:cs="Arial"/>
        </w:rPr>
        <w:t>设备经过试运行后达到并符合合同要求，其中故障和隐患均已排除或解决，所有的技术资料均已向采购人移交并被接受，并由双方验收后，视为合格。格栅机根据实际维修数量逐台验收。</w:t>
      </w:r>
    </w:p>
    <w:p>
      <w:pPr>
        <w:spacing w:before="93" w:beforeLines="30" w:after="93" w:afterLines="30" w:line="300" w:lineRule="exact"/>
        <w:rPr>
          <w:b/>
          <w:color w:val="auto"/>
          <w:szCs w:val="21"/>
        </w:rPr>
      </w:pPr>
      <w:r>
        <w:rPr>
          <w:rFonts w:hint="eastAsia"/>
          <w:b/>
          <w:color w:val="auto"/>
          <w:szCs w:val="21"/>
          <w:lang w:eastAsia="zh-CN"/>
        </w:rPr>
        <w:t>五</w:t>
      </w:r>
      <w:r>
        <w:rPr>
          <w:rFonts w:hint="eastAsia"/>
          <w:b/>
          <w:color w:val="auto"/>
          <w:szCs w:val="21"/>
        </w:rPr>
        <w:t>、乙方向甲方提交的资料</w:t>
      </w:r>
    </w:p>
    <w:p>
      <w:pPr>
        <w:numPr>
          <w:ilvl w:val="0"/>
          <w:numId w:val="24"/>
        </w:numPr>
        <w:snapToGrid w:val="0"/>
        <w:spacing w:line="360" w:lineRule="auto"/>
        <w:ind w:firstLine="5"/>
        <w:rPr>
          <w:color w:val="auto"/>
        </w:rPr>
      </w:pPr>
      <w:r>
        <w:rPr>
          <w:rFonts w:hint="eastAsia" w:ascii="宋体" w:hAnsi="宋体" w:cs="宋体"/>
          <w:color w:val="auto"/>
          <w:szCs w:val="21"/>
        </w:rPr>
        <w:t>乙方应根据甲方的调度计划，提供年度定期维养、日常巡查维护计划，包括人员配置、安全措施等。</w:t>
      </w:r>
    </w:p>
    <w:p>
      <w:pPr>
        <w:numPr>
          <w:ilvl w:val="0"/>
          <w:numId w:val="24"/>
        </w:numPr>
        <w:snapToGrid w:val="0"/>
        <w:spacing w:line="360" w:lineRule="auto"/>
        <w:ind w:firstLine="5"/>
        <w:rPr>
          <w:color w:val="auto"/>
        </w:rPr>
      </w:pPr>
      <w:r>
        <w:rPr>
          <w:rFonts w:hint="eastAsia" w:ascii="宋体" w:hAnsi="宋体" w:cs="宋体"/>
          <w:color w:val="auto"/>
          <w:szCs w:val="21"/>
        </w:rPr>
        <w:t>乙方在日常巡查养护或年度维养完成后中须填写巡查养护记录表，完成日常巡查养护或年度维养后，需</w:t>
      </w:r>
      <w:r>
        <w:rPr>
          <w:rFonts w:hint="eastAsia" w:ascii="宋体" w:hAnsi="宋体" w:cs="宋体"/>
          <w:color w:val="auto"/>
          <w:sz w:val="22"/>
          <w:szCs w:val="22"/>
        </w:rPr>
        <w:t>编制维养报告（详细记录说明本次巡查养护所有设备情况、照片等）同</w:t>
      </w:r>
      <w:r>
        <w:rPr>
          <w:rFonts w:hint="eastAsia" w:ascii="宋体" w:hAnsi="宋体" w:cs="宋体"/>
          <w:color w:val="auto"/>
          <w:szCs w:val="21"/>
        </w:rPr>
        <w:t>巡查养护记录表一同交给甲方。</w:t>
      </w:r>
    </w:p>
    <w:p>
      <w:pPr>
        <w:numPr>
          <w:ilvl w:val="0"/>
          <w:numId w:val="24"/>
        </w:numPr>
        <w:snapToGrid w:val="0"/>
        <w:spacing w:line="360" w:lineRule="auto"/>
        <w:ind w:firstLine="5"/>
        <w:rPr>
          <w:color w:val="auto"/>
        </w:rPr>
      </w:pPr>
      <w:r>
        <w:rPr>
          <w:rFonts w:hint="eastAsia" w:ascii="宋体" w:hAnsi="宋体" w:cs="宋体"/>
          <w:color w:val="auto"/>
          <w:szCs w:val="21"/>
        </w:rPr>
        <w:t>设备运行异常时，乙方向甲方出具书面排查报告，排查报告内容应包括设备型号名称、故障情况及原因、更换配件清单及价格等。</w:t>
      </w:r>
    </w:p>
    <w:p>
      <w:pPr>
        <w:numPr>
          <w:ilvl w:val="0"/>
          <w:numId w:val="24"/>
        </w:numPr>
        <w:snapToGrid w:val="0"/>
        <w:spacing w:line="360" w:lineRule="auto"/>
        <w:ind w:firstLine="5"/>
        <w:rPr>
          <w:color w:val="auto"/>
        </w:rPr>
      </w:pPr>
      <w:r>
        <w:rPr>
          <w:rFonts w:hint="eastAsia" w:ascii="Arial" w:hAnsi="宋体" w:cs="Arial"/>
          <w:color w:val="auto"/>
          <w:szCs w:val="21"/>
        </w:rPr>
        <w:t>格栅机（输送机）解体后提供解体书面报告包括以下内容：</w:t>
      </w:r>
    </w:p>
    <w:p>
      <w:pPr>
        <w:snapToGrid w:val="0"/>
        <w:spacing w:line="360" w:lineRule="auto"/>
        <w:ind w:left="1" w:firstLine="210" w:firstLineChars="100"/>
        <w:rPr>
          <w:rFonts w:ascii="Arial" w:hAnsi="宋体" w:cs="Arial"/>
          <w:color w:val="auto"/>
        </w:rPr>
      </w:pPr>
      <w:r>
        <w:rPr>
          <w:rFonts w:hint="eastAsia" w:ascii="Arial" w:hAnsi="宋体" w:cs="Arial"/>
          <w:color w:val="auto"/>
        </w:rPr>
        <w:t>（1）建立设备档案（每台设备有档案，有设备履历，机体上做好唯一标识），对每次保养检修有详细记录和影像资料，并及时提交业主。</w:t>
      </w:r>
    </w:p>
    <w:p>
      <w:pPr>
        <w:snapToGrid w:val="0"/>
        <w:spacing w:line="360" w:lineRule="auto"/>
        <w:ind w:left="1" w:firstLine="220" w:firstLineChars="100"/>
        <w:rPr>
          <w:rFonts w:ascii="宋体" w:hAnsi="宋体"/>
          <w:color w:val="auto"/>
          <w:sz w:val="22"/>
          <w:szCs w:val="21"/>
        </w:rPr>
      </w:pPr>
      <w:r>
        <w:rPr>
          <w:rFonts w:hint="eastAsia" w:ascii="宋体" w:hAnsi="宋体"/>
          <w:color w:val="auto"/>
          <w:sz w:val="22"/>
          <w:szCs w:val="21"/>
        </w:rPr>
        <w:t>（2）</w:t>
      </w:r>
      <w:r>
        <w:rPr>
          <w:rFonts w:ascii="宋体" w:hAnsi="宋体"/>
          <w:color w:val="auto"/>
          <w:sz w:val="22"/>
          <w:szCs w:val="21"/>
        </w:rPr>
        <w:t>更换零件明细表</w:t>
      </w:r>
    </w:p>
    <w:p>
      <w:pPr>
        <w:snapToGrid w:val="0"/>
        <w:spacing w:line="360" w:lineRule="auto"/>
        <w:ind w:left="1" w:firstLine="220" w:firstLineChars="100"/>
        <w:rPr>
          <w:rFonts w:ascii="Arial" w:hAnsi="宋体" w:cs="Arial"/>
          <w:color w:val="auto"/>
        </w:rPr>
      </w:pPr>
      <w:r>
        <w:rPr>
          <w:rFonts w:hint="eastAsia" w:ascii="宋体" w:hAnsi="宋体"/>
          <w:color w:val="auto"/>
          <w:sz w:val="22"/>
          <w:szCs w:val="21"/>
        </w:rPr>
        <w:t>（3）</w:t>
      </w:r>
      <w:r>
        <w:rPr>
          <w:rFonts w:hint="eastAsia" w:ascii="Arial" w:hAnsi="宋体" w:cs="Arial"/>
          <w:color w:val="auto"/>
        </w:rPr>
        <w:t>新更换的零部件的规格、参数及详细照片</w:t>
      </w:r>
    </w:p>
    <w:p>
      <w:pPr>
        <w:snapToGrid w:val="0"/>
        <w:spacing w:line="360" w:lineRule="auto"/>
        <w:ind w:left="1" w:firstLine="220" w:firstLineChars="100"/>
        <w:rPr>
          <w:rFonts w:ascii="Arial" w:hAnsi="宋体" w:cs="Arial"/>
          <w:color w:val="auto"/>
        </w:rPr>
      </w:pPr>
      <w:r>
        <w:rPr>
          <w:rFonts w:hint="eastAsia" w:ascii="宋体" w:hAnsi="宋体"/>
          <w:color w:val="auto"/>
          <w:sz w:val="22"/>
          <w:szCs w:val="21"/>
        </w:rPr>
        <w:t>（4）</w:t>
      </w:r>
      <w:r>
        <w:rPr>
          <w:rFonts w:ascii="宋体" w:hAnsi="宋体"/>
          <w:color w:val="auto"/>
          <w:sz w:val="22"/>
          <w:szCs w:val="21"/>
        </w:rPr>
        <w:t>设备维修装配表</w:t>
      </w:r>
    </w:p>
    <w:p>
      <w:pPr>
        <w:snapToGrid w:val="0"/>
        <w:spacing w:line="360" w:lineRule="auto"/>
        <w:ind w:left="1" w:firstLine="210" w:firstLineChars="100"/>
        <w:rPr>
          <w:rFonts w:ascii="Arial" w:hAnsi="宋体" w:cs="Arial"/>
          <w:color w:val="auto"/>
        </w:rPr>
      </w:pPr>
      <w:r>
        <w:rPr>
          <w:rFonts w:hint="eastAsia" w:ascii="Arial" w:hAnsi="宋体" w:cs="Arial"/>
          <w:color w:val="auto"/>
        </w:rPr>
        <w:t>（5）各零部件维修好之后与维修前对比照</w:t>
      </w:r>
    </w:p>
    <w:p>
      <w:pPr>
        <w:snapToGrid w:val="0"/>
        <w:spacing w:line="360" w:lineRule="auto"/>
        <w:ind w:left="1" w:firstLine="220" w:firstLineChars="100"/>
        <w:rPr>
          <w:rFonts w:ascii="宋体" w:hAnsi="宋体"/>
          <w:color w:val="auto"/>
          <w:sz w:val="22"/>
          <w:szCs w:val="21"/>
        </w:rPr>
      </w:pPr>
      <w:r>
        <w:rPr>
          <w:rFonts w:hint="eastAsia" w:ascii="宋体" w:hAnsi="宋体"/>
          <w:color w:val="auto"/>
          <w:sz w:val="22"/>
          <w:szCs w:val="21"/>
        </w:rPr>
        <w:t>（6）</w:t>
      </w:r>
      <w:r>
        <w:rPr>
          <w:rFonts w:ascii="宋体" w:hAnsi="宋体"/>
          <w:color w:val="auto"/>
          <w:sz w:val="22"/>
          <w:szCs w:val="21"/>
        </w:rPr>
        <w:t>现场调试报告</w:t>
      </w:r>
    </w:p>
    <w:p>
      <w:pPr>
        <w:snapToGrid w:val="0"/>
        <w:spacing w:line="360" w:lineRule="auto"/>
        <w:ind w:left="1" w:firstLine="210" w:firstLineChars="100"/>
        <w:rPr>
          <w:rFonts w:ascii="Arial" w:hAnsi="宋体" w:cs="Arial"/>
          <w:color w:val="auto"/>
        </w:rPr>
      </w:pPr>
      <w:r>
        <w:rPr>
          <w:rFonts w:hint="eastAsia" w:ascii="Arial" w:hAnsi="宋体" w:cs="Arial"/>
          <w:color w:val="auto"/>
        </w:rPr>
        <w:t>（7）格栅机维修后基本情况描述</w:t>
      </w:r>
    </w:p>
    <w:p>
      <w:pPr>
        <w:snapToGrid w:val="0"/>
        <w:spacing w:line="360" w:lineRule="auto"/>
        <w:ind w:left="1" w:firstLine="210" w:firstLineChars="100"/>
        <w:rPr>
          <w:rFonts w:ascii="Arial" w:hAnsi="宋体" w:cs="Arial"/>
          <w:color w:val="auto"/>
        </w:rPr>
      </w:pPr>
      <w:r>
        <w:rPr>
          <w:rFonts w:hint="eastAsia" w:ascii="Arial" w:hAnsi="宋体" w:cs="Arial"/>
          <w:color w:val="auto"/>
        </w:rPr>
        <w:t>（8）格栅机、电机、减速机的铭牌、电缆等各部位外观照片</w:t>
      </w:r>
    </w:p>
    <w:p>
      <w:pPr>
        <w:snapToGrid w:val="0"/>
        <w:spacing w:line="360" w:lineRule="auto"/>
        <w:ind w:left="1" w:firstLine="210" w:firstLineChars="100"/>
        <w:rPr>
          <w:rFonts w:ascii="Arial" w:hAnsi="宋体" w:cs="Arial"/>
          <w:color w:val="auto"/>
        </w:rPr>
      </w:pPr>
      <w:r>
        <w:rPr>
          <w:rFonts w:hint="eastAsia" w:ascii="Arial" w:hAnsi="宋体" w:cs="Arial"/>
          <w:color w:val="auto"/>
        </w:rPr>
        <w:t>（9）格栅机、电机绕组的相间、对地阻值记录</w:t>
      </w:r>
    </w:p>
    <w:p>
      <w:pPr>
        <w:snapToGrid w:val="0"/>
        <w:spacing w:line="360" w:lineRule="auto"/>
        <w:ind w:left="1" w:firstLine="210" w:firstLineChars="100"/>
        <w:rPr>
          <w:rFonts w:ascii="Arial" w:hAnsi="宋体" w:cs="Arial"/>
          <w:color w:val="auto"/>
        </w:rPr>
      </w:pPr>
      <w:r>
        <w:rPr>
          <w:rFonts w:hint="eastAsia" w:ascii="Arial" w:hAnsi="宋体" w:cs="Arial"/>
          <w:color w:val="auto"/>
        </w:rPr>
        <w:t>（10）格栅机空载试验情况说明，空载电流记录</w:t>
      </w:r>
    </w:p>
    <w:p>
      <w:pPr>
        <w:spacing w:before="93" w:beforeLines="30" w:after="93" w:afterLines="30" w:line="300" w:lineRule="exact"/>
        <w:rPr>
          <w:b/>
          <w:color w:val="auto"/>
          <w:szCs w:val="21"/>
        </w:rPr>
      </w:pPr>
      <w:r>
        <w:rPr>
          <w:rFonts w:hint="eastAsia"/>
          <w:b/>
          <w:color w:val="auto"/>
          <w:szCs w:val="21"/>
          <w:lang w:eastAsia="zh-CN"/>
        </w:rPr>
        <w:t>六</w:t>
      </w:r>
      <w:r>
        <w:rPr>
          <w:b/>
          <w:color w:val="auto"/>
          <w:szCs w:val="21"/>
        </w:rPr>
        <w:t>、双方权利和义务</w:t>
      </w:r>
    </w:p>
    <w:p>
      <w:pPr>
        <w:spacing w:line="400" w:lineRule="exact"/>
        <w:ind w:firstLine="420" w:firstLineChars="200"/>
        <w:rPr>
          <w:rFonts w:ascii="宋体" w:hAnsi="宋体"/>
          <w:color w:val="auto"/>
          <w:szCs w:val="21"/>
        </w:rPr>
      </w:pPr>
      <w:r>
        <w:rPr>
          <w:rFonts w:ascii="宋体" w:hAnsi="宋体"/>
          <w:color w:val="auto"/>
          <w:szCs w:val="21"/>
        </w:rPr>
        <w:t>1、甲方应为乙方在不违反发包人相关管理规定的情况下，提供进行现场</w:t>
      </w:r>
      <w:r>
        <w:rPr>
          <w:rFonts w:hint="eastAsia" w:ascii="宋体" w:hAnsi="宋体"/>
          <w:color w:val="auto"/>
          <w:szCs w:val="21"/>
          <w:lang w:eastAsia="zh-CN"/>
        </w:rPr>
        <w:t>设备日常巡查及保养</w:t>
      </w:r>
      <w:r>
        <w:rPr>
          <w:rFonts w:ascii="宋体" w:hAnsi="宋体"/>
          <w:color w:val="auto"/>
          <w:szCs w:val="21"/>
        </w:rPr>
        <w:t>的必要场所及其它一些工作上的方便。</w:t>
      </w:r>
    </w:p>
    <w:p>
      <w:pPr>
        <w:spacing w:line="400" w:lineRule="exact"/>
        <w:ind w:firstLine="420" w:firstLineChars="200"/>
        <w:rPr>
          <w:rFonts w:ascii="宋体" w:hAnsi="宋体"/>
          <w:color w:val="auto"/>
          <w:szCs w:val="21"/>
        </w:rPr>
      </w:pPr>
      <w:r>
        <w:rPr>
          <w:rFonts w:ascii="宋体" w:hAnsi="宋体"/>
          <w:color w:val="auto"/>
          <w:szCs w:val="21"/>
        </w:rPr>
        <w:t>2、乙方施工期间，必须按照国家规定做好安全预防措施，如设置现场安全警示、用于确保安全的技术措施、维护作业人员的作业安全措施等。工作现场要有专职安全文明施工管理人员。由于乙方未做好安全预防措施所造成的事故，由乙方承担全部责任。</w:t>
      </w:r>
    </w:p>
    <w:p>
      <w:pPr>
        <w:spacing w:line="400" w:lineRule="exact"/>
        <w:ind w:firstLine="420" w:firstLineChars="200"/>
        <w:rPr>
          <w:rFonts w:ascii="宋体" w:hAnsi="宋体"/>
          <w:color w:val="auto"/>
          <w:szCs w:val="21"/>
        </w:rPr>
      </w:pPr>
      <w:r>
        <w:rPr>
          <w:rFonts w:ascii="宋体" w:hAnsi="宋体"/>
          <w:color w:val="auto"/>
          <w:szCs w:val="21"/>
        </w:rPr>
        <w:t>3、甲方委托乙方办理建设工程一切险及第三者责任险的办理工作，所需费用由乙方支付；甲方在招标控制价确定时已综合考虑此项费用，实际发生时将不再单独支付。同时乙方也需做好现场己方施工人员的投保工作。</w:t>
      </w:r>
    </w:p>
    <w:p>
      <w:pPr>
        <w:spacing w:line="400" w:lineRule="exact"/>
        <w:ind w:firstLine="420" w:firstLineChars="200"/>
        <w:rPr>
          <w:rFonts w:ascii="宋体" w:hAnsi="宋体"/>
          <w:color w:val="auto"/>
          <w:szCs w:val="21"/>
        </w:rPr>
      </w:pPr>
      <w:r>
        <w:rPr>
          <w:rFonts w:ascii="宋体" w:hAnsi="宋体"/>
          <w:color w:val="auto"/>
          <w:szCs w:val="21"/>
        </w:rPr>
        <w:t>4、乙方现场维修人员必须具备工作对应的特殊工作上岗证，否则由此引起的一切不良后果均有乙方承担。</w:t>
      </w:r>
    </w:p>
    <w:p>
      <w:pPr>
        <w:spacing w:line="400" w:lineRule="exact"/>
        <w:ind w:firstLine="420" w:firstLineChars="200"/>
        <w:rPr>
          <w:rFonts w:ascii="宋体" w:hAnsi="宋体"/>
          <w:color w:val="auto"/>
          <w:szCs w:val="21"/>
        </w:rPr>
      </w:pPr>
      <w:r>
        <w:rPr>
          <w:rFonts w:ascii="宋体" w:hAnsi="宋体"/>
          <w:color w:val="auto"/>
          <w:szCs w:val="21"/>
        </w:rPr>
        <w:t>5、乙方应掌握所有</w:t>
      </w:r>
      <w:r>
        <w:rPr>
          <w:rFonts w:hint="eastAsia" w:ascii="宋体" w:hAnsi="宋体"/>
          <w:color w:val="auto"/>
          <w:szCs w:val="21"/>
          <w:lang w:eastAsia="zh-CN"/>
        </w:rPr>
        <w:t>设备日常巡查及保养</w:t>
      </w:r>
      <w:r>
        <w:rPr>
          <w:rFonts w:ascii="宋体" w:hAnsi="宋体"/>
          <w:color w:val="auto"/>
          <w:szCs w:val="21"/>
        </w:rPr>
        <w:t>设备的准确信息，如出现合同</w:t>
      </w:r>
      <w:r>
        <w:rPr>
          <w:rFonts w:hint="eastAsia" w:ascii="宋体" w:hAnsi="宋体"/>
          <w:color w:val="auto"/>
          <w:szCs w:val="21"/>
          <w:lang w:eastAsia="zh-CN"/>
        </w:rPr>
        <w:t>设备日常巡查及保养</w:t>
      </w:r>
      <w:r>
        <w:rPr>
          <w:rFonts w:ascii="宋体" w:hAnsi="宋体"/>
          <w:color w:val="auto"/>
          <w:szCs w:val="21"/>
        </w:rPr>
        <w:t>内容不能满足设备正常运行的条件时，乙方有及时书面告知甲方的义务，并提出整改建议。</w:t>
      </w:r>
    </w:p>
    <w:p>
      <w:pPr>
        <w:spacing w:line="400" w:lineRule="exact"/>
        <w:ind w:firstLine="420" w:firstLineChars="200"/>
        <w:rPr>
          <w:rFonts w:ascii="宋体" w:hAnsi="宋体"/>
          <w:color w:val="auto"/>
          <w:szCs w:val="21"/>
        </w:rPr>
      </w:pPr>
      <w:r>
        <w:rPr>
          <w:rFonts w:ascii="宋体" w:hAnsi="宋体"/>
          <w:color w:val="auto"/>
          <w:szCs w:val="21"/>
        </w:rPr>
        <w:t>6、在维修过程中，如发现</w:t>
      </w:r>
      <w:r>
        <w:rPr>
          <w:rFonts w:hint="eastAsia" w:ascii="宋体" w:hAnsi="宋体"/>
          <w:color w:val="auto"/>
          <w:szCs w:val="21"/>
        </w:rPr>
        <w:t>非易损件</w:t>
      </w:r>
      <w:r>
        <w:rPr>
          <w:rFonts w:ascii="宋体" w:hAnsi="宋体"/>
          <w:color w:val="auto"/>
          <w:szCs w:val="21"/>
        </w:rPr>
        <w:t>损坏或失效需要更换时，应及时书面告知甲方，在征得甲方同意后实施更换。</w:t>
      </w:r>
    </w:p>
    <w:p>
      <w:pPr>
        <w:spacing w:line="400" w:lineRule="exact"/>
        <w:ind w:firstLine="420" w:firstLineChars="200"/>
        <w:rPr>
          <w:rFonts w:ascii="宋体" w:hAnsi="宋体"/>
          <w:color w:val="auto"/>
          <w:szCs w:val="21"/>
        </w:rPr>
      </w:pPr>
      <w:r>
        <w:rPr>
          <w:rFonts w:ascii="宋体" w:hAnsi="宋体"/>
          <w:color w:val="auto"/>
          <w:szCs w:val="21"/>
        </w:rPr>
        <w:t>7、甲方负责合同</w:t>
      </w:r>
      <w:r>
        <w:rPr>
          <w:rFonts w:hint="eastAsia" w:ascii="宋体" w:hAnsi="宋体"/>
          <w:color w:val="auto"/>
          <w:szCs w:val="21"/>
          <w:lang w:eastAsia="zh-CN"/>
        </w:rPr>
        <w:t>设备日常巡查及保养</w:t>
      </w:r>
      <w:r>
        <w:rPr>
          <w:rFonts w:ascii="宋体" w:hAnsi="宋体"/>
          <w:color w:val="auto"/>
          <w:szCs w:val="21"/>
        </w:rPr>
        <w:t>设备日常管理工作，并跟踪维修记录。乙方负责做好保养工作书面记录，由维护保养工作人员和甲方授权人员共同签字确认。保养工作记录内容应当包括设备的名称、维护保养单位名称、使用单位名称、设备型号和额定功率等技术参数、维护保养项目、本次维护保养时间、配件更换记录、使用建议等。记录作为竣工验收的凭证。</w:t>
      </w:r>
    </w:p>
    <w:p>
      <w:pPr>
        <w:spacing w:line="400" w:lineRule="exact"/>
        <w:ind w:firstLine="420" w:firstLineChars="200"/>
        <w:rPr>
          <w:rFonts w:ascii="宋体" w:hAnsi="宋体"/>
          <w:color w:val="auto"/>
          <w:szCs w:val="21"/>
        </w:rPr>
      </w:pPr>
      <w:r>
        <w:rPr>
          <w:rFonts w:ascii="宋体" w:hAnsi="宋体"/>
          <w:color w:val="auto"/>
          <w:szCs w:val="21"/>
        </w:rPr>
        <w:t>8、乙方对维护保养的设备的使用性能负责，在维护保养过程中严格执行技术规范要求，保证设备的性能符合相关技术标准要求。在保养期间，乙方应对设备可能存在的故障隐患作出评估，并进行恰当的预防性处理，以保证设备的安全运行。若故障隐患超出维护保养范围的，应及时书面通知甲方，并提出消除隐患建议。</w:t>
      </w:r>
    </w:p>
    <w:p>
      <w:pPr>
        <w:spacing w:line="400" w:lineRule="exact"/>
        <w:ind w:firstLine="420" w:firstLineChars="200"/>
        <w:rPr>
          <w:rFonts w:ascii="宋体" w:hAnsi="宋体"/>
          <w:color w:val="auto"/>
          <w:szCs w:val="21"/>
        </w:rPr>
      </w:pPr>
      <w:r>
        <w:rPr>
          <w:rFonts w:ascii="宋体" w:hAnsi="宋体"/>
          <w:color w:val="auto"/>
          <w:szCs w:val="21"/>
        </w:rPr>
        <w:t>9、由于乙方保养不当所造成的损失，由乙方承担全部责任。</w:t>
      </w:r>
    </w:p>
    <w:p>
      <w:pPr>
        <w:spacing w:before="93" w:beforeLines="30" w:after="93" w:afterLines="30" w:line="300" w:lineRule="exact"/>
        <w:rPr>
          <w:b/>
          <w:color w:val="auto"/>
          <w:szCs w:val="21"/>
        </w:rPr>
      </w:pPr>
      <w:r>
        <w:rPr>
          <w:rFonts w:hint="eastAsia"/>
          <w:b/>
          <w:color w:val="auto"/>
          <w:szCs w:val="21"/>
          <w:lang w:eastAsia="zh-CN"/>
        </w:rPr>
        <w:t>七</w:t>
      </w:r>
      <w:r>
        <w:rPr>
          <w:b/>
          <w:color w:val="auto"/>
          <w:szCs w:val="21"/>
        </w:rPr>
        <w:t>、</w:t>
      </w:r>
      <w:r>
        <w:rPr>
          <w:rFonts w:hint="eastAsia"/>
          <w:b/>
          <w:color w:val="auto"/>
          <w:szCs w:val="21"/>
        </w:rPr>
        <w:t>付款方式及考核应用</w:t>
      </w:r>
      <w:r>
        <w:rPr>
          <w:b/>
          <w:color w:val="auto"/>
          <w:szCs w:val="21"/>
        </w:rPr>
        <w:t>：</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1、在合同签订前，</w:t>
      </w:r>
      <w:r>
        <w:rPr>
          <w:rFonts w:hint="eastAsia" w:ascii="宋体" w:hAnsi="宋体" w:cs="宋体"/>
          <w:color w:val="auto"/>
          <w:szCs w:val="21"/>
          <w:lang w:eastAsia="zh-CN"/>
        </w:rPr>
        <w:t>乙方</w:t>
      </w:r>
      <w:r>
        <w:rPr>
          <w:rFonts w:hint="eastAsia" w:ascii="宋体" w:hAnsi="宋体" w:cs="宋体"/>
          <w:color w:val="auto"/>
          <w:szCs w:val="21"/>
        </w:rPr>
        <w:t>收到中标通知书后于7日内应先向</w:t>
      </w:r>
      <w:r>
        <w:rPr>
          <w:rFonts w:hint="eastAsia" w:ascii="宋体" w:hAnsi="宋体" w:cs="宋体"/>
          <w:color w:val="auto"/>
          <w:szCs w:val="21"/>
          <w:lang w:eastAsia="zh-CN"/>
        </w:rPr>
        <w:t>甲方</w:t>
      </w:r>
      <w:r>
        <w:rPr>
          <w:rFonts w:hint="eastAsia" w:ascii="宋体" w:hAnsi="宋体" w:cs="宋体"/>
          <w:color w:val="auto"/>
          <w:szCs w:val="21"/>
        </w:rPr>
        <w:t>缴纳伍万元整的履约保证金，如</w:t>
      </w:r>
      <w:r>
        <w:rPr>
          <w:rFonts w:hint="eastAsia" w:ascii="宋体" w:hAnsi="宋体" w:cs="宋体"/>
          <w:color w:val="auto"/>
          <w:szCs w:val="21"/>
          <w:lang w:eastAsia="zh-CN"/>
        </w:rPr>
        <w:t>乙方</w:t>
      </w:r>
      <w:r>
        <w:rPr>
          <w:rFonts w:hint="eastAsia" w:ascii="宋体" w:hAnsi="宋体" w:cs="宋体"/>
          <w:color w:val="auto"/>
          <w:szCs w:val="21"/>
        </w:rPr>
        <w:t>未按规定提交履约保证金则</w:t>
      </w:r>
      <w:r>
        <w:rPr>
          <w:rFonts w:hint="eastAsia" w:ascii="宋体" w:hAnsi="宋体" w:cs="宋体"/>
          <w:color w:val="auto"/>
          <w:szCs w:val="21"/>
          <w:lang w:eastAsia="zh-CN"/>
        </w:rPr>
        <w:t>甲方</w:t>
      </w:r>
      <w:r>
        <w:rPr>
          <w:rFonts w:hint="eastAsia" w:ascii="宋体" w:hAnsi="宋体" w:cs="宋体"/>
          <w:color w:val="auto"/>
          <w:szCs w:val="21"/>
        </w:rPr>
        <w:t>有权拒签合同。履约保证金在服务期满后转为质保金，</w:t>
      </w:r>
      <w:r>
        <w:rPr>
          <w:rFonts w:hint="eastAsia" w:ascii="宋体" w:hAnsi="宋体" w:cs="宋体"/>
          <w:color w:val="auto"/>
          <w:szCs w:val="21"/>
          <w:lang w:eastAsia="zh-CN"/>
        </w:rPr>
        <w:t>乙方</w:t>
      </w:r>
      <w:r>
        <w:rPr>
          <w:rFonts w:hint="eastAsia" w:ascii="宋体" w:hAnsi="宋体" w:cs="宋体"/>
          <w:color w:val="auto"/>
          <w:szCs w:val="21"/>
        </w:rPr>
        <w:t>承诺的质保期满后无息退还。</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乙方</w:t>
      </w:r>
      <w:r>
        <w:rPr>
          <w:rFonts w:hint="eastAsia" w:ascii="宋体" w:hAnsi="宋体" w:cs="宋体"/>
          <w:color w:val="auto"/>
          <w:szCs w:val="21"/>
        </w:rPr>
        <w:t>完成格栅机的</w:t>
      </w:r>
      <w:r>
        <w:rPr>
          <w:rFonts w:hint="eastAsia" w:ascii="宋体" w:hAnsi="宋体" w:cs="宋体"/>
          <w:color w:val="auto"/>
          <w:szCs w:val="21"/>
          <w:lang w:val="en-US" w:eastAsia="zh-CN"/>
        </w:rPr>
        <w:t>年度</w:t>
      </w:r>
      <w:r>
        <w:rPr>
          <w:rFonts w:hint="eastAsia" w:ascii="宋体" w:hAnsi="宋体" w:cs="宋体"/>
          <w:color w:val="auto"/>
          <w:szCs w:val="21"/>
        </w:rPr>
        <w:t>定期维养工作，经采购人验收合格后且季度考核95分以上，</w:t>
      </w:r>
      <w:r>
        <w:rPr>
          <w:rFonts w:hint="eastAsia" w:ascii="宋体" w:hAnsi="宋体" w:cs="宋体"/>
          <w:color w:val="auto"/>
          <w:szCs w:val="21"/>
          <w:lang w:eastAsia="zh-CN"/>
        </w:rPr>
        <w:t>每季度</w:t>
      </w:r>
      <w:r>
        <w:rPr>
          <w:rFonts w:hint="eastAsia" w:ascii="宋体" w:hAnsi="宋体" w:cs="宋体"/>
          <w:color w:val="auto"/>
          <w:szCs w:val="21"/>
        </w:rPr>
        <w:t>支付已完成定期维养</w:t>
      </w:r>
      <w:r>
        <w:rPr>
          <w:rFonts w:hint="eastAsia" w:ascii="宋体" w:hAnsi="宋体" w:cs="宋体"/>
          <w:color w:val="auto"/>
          <w:szCs w:val="21"/>
          <w:lang w:eastAsia="zh-CN"/>
        </w:rPr>
        <w:t>工作量</w:t>
      </w:r>
      <w:r>
        <w:rPr>
          <w:rFonts w:hint="eastAsia" w:ascii="宋体" w:hAnsi="宋体" w:cs="宋体"/>
          <w:color w:val="auto"/>
          <w:szCs w:val="21"/>
        </w:rPr>
        <w:t>费用的100%；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乙方</w:t>
      </w:r>
      <w:r>
        <w:rPr>
          <w:rFonts w:hint="eastAsia" w:ascii="宋体" w:hAnsi="宋体" w:cs="宋体"/>
          <w:color w:val="auto"/>
          <w:szCs w:val="21"/>
        </w:rPr>
        <w:t>完成日常巡查养护后</w:t>
      </w:r>
      <w:r>
        <w:rPr>
          <w:rFonts w:hint="eastAsia" w:ascii="宋体" w:hAnsi="宋体" w:cs="宋体"/>
          <w:color w:val="auto"/>
          <w:szCs w:val="21"/>
          <w:lang w:eastAsia="zh-CN"/>
        </w:rPr>
        <w:t>，</w:t>
      </w:r>
      <w:r>
        <w:rPr>
          <w:rFonts w:hint="eastAsia" w:ascii="宋体" w:hAnsi="宋体" w:cs="宋体"/>
          <w:color w:val="auto"/>
          <w:szCs w:val="21"/>
        </w:rPr>
        <w:t>且季度考核95分以上，每季度</w:t>
      </w:r>
      <w:r>
        <w:rPr>
          <w:rFonts w:hint="eastAsia" w:ascii="宋体" w:hAnsi="宋体" w:cs="宋体"/>
          <w:color w:val="auto"/>
          <w:szCs w:val="21"/>
          <w:lang w:eastAsia="zh-CN"/>
        </w:rPr>
        <w:t>支付</w:t>
      </w:r>
      <w:r>
        <w:rPr>
          <w:rFonts w:hint="eastAsia" w:ascii="宋体" w:hAnsi="宋体" w:cs="宋体"/>
          <w:color w:val="auto"/>
          <w:szCs w:val="21"/>
        </w:rPr>
        <w:t>已完成</w:t>
      </w:r>
      <w:r>
        <w:rPr>
          <w:rFonts w:hint="eastAsia" w:ascii="宋体" w:hAnsi="宋体" w:cs="宋体"/>
          <w:color w:val="auto"/>
          <w:szCs w:val="21"/>
          <w:lang w:eastAsia="zh-CN"/>
        </w:rPr>
        <w:t>日常巡查</w:t>
      </w:r>
      <w:r>
        <w:rPr>
          <w:rFonts w:hint="eastAsia" w:ascii="宋体" w:hAnsi="宋体" w:cs="宋体"/>
          <w:color w:val="auto"/>
          <w:szCs w:val="21"/>
        </w:rPr>
        <w:t>工作量</w:t>
      </w:r>
      <w:r>
        <w:rPr>
          <w:rFonts w:hint="eastAsia" w:ascii="宋体" w:hAnsi="宋体" w:cs="宋体"/>
          <w:color w:val="auto"/>
          <w:szCs w:val="21"/>
          <w:lang w:eastAsia="zh-CN"/>
        </w:rPr>
        <w:t>费用</w:t>
      </w:r>
      <w:r>
        <w:rPr>
          <w:rFonts w:hint="eastAsia" w:ascii="宋体" w:hAnsi="宋体" w:cs="宋体"/>
          <w:color w:val="auto"/>
          <w:szCs w:val="21"/>
        </w:rPr>
        <w:t>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4、维修工</w:t>
      </w:r>
      <w:r>
        <w:rPr>
          <w:rFonts w:ascii="宋体" w:hAnsi="宋体" w:cs="宋体"/>
          <w:color w:val="auto"/>
          <w:szCs w:val="21"/>
        </w:rPr>
        <w:t>作量</w:t>
      </w:r>
      <w:r>
        <w:rPr>
          <w:rFonts w:hint="eastAsia" w:ascii="宋体" w:hAnsi="宋体" w:cs="宋体"/>
          <w:color w:val="auto"/>
          <w:szCs w:val="21"/>
        </w:rPr>
        <w:t>经</w:t>
      </w:r>
      <w:r>
        <w:rPr>
          <w:rFonts w:ascii="宋体" w:hAnsi="宋体" w:cs="宋体"/>
          <w:color w:val="auto"/>
          <w:szCs w:val="21"/>
        </w:rPr>
        <w:t>双方确认</w:t>
      </w:r>
      <w:r>
        <w:rPr>
          <w:rFonts w:hint="eastAsia" w:ascii="宋体" w:hAnsi="宋体" w:cs="宋体"/>
          <w:color w:val="auto"/>
          <w:szCs w:val="21"/>
        </w:rPr>
        <w:t>，按实</w:t>
      </w:r>
      <w:r>
        <w:rPr>
          <w:rFonts w:ascii="宋体" w:hAnsi="宋体" w:cs="宋体"/>
          <w:color w:val="auto"/>
          <w:szCs w:val="21"/>
        </w:rPr>
        <w:t>际</w:t>
      </w:r>
      <w:r>
        <w:rPr>
          <w:rFonts w:hint="eastAsia" w:ascii="宋体" w:hAnsi="宋体" w:cs="宋体"/>
          <w:color w:val="auto"/>
          <w:szCs w:val="21"/>
        </w:rPr>
        <w:t>维</w:t>
      </w:r>
      <w:r>
        <w:rPr>
          <w:rFonts w:ascii="宋体" w:hAnsi="宋体" w:cs="宋体"/>
          <w:color w:val="auto"/>
          <w:szCs w:val="21"/>
        </w:rPr>
        <w:t>修</w:t>
      </w:r>
      <w:r>
        <w:rPr>
          <w:rFonts w:hint="eastAsia" w:ascii="宋体" w:hAnsi="宋体" w:cs="宋体"/>
          <w:color w:val="auto"/>
          <w:szCs w:val="21"/>
        </w:rPr>
        <w:t>配件发</w:t>
      </w:r>
      <w:r>
        <w:rPr>
          <w:rFonts w:ascii="宋体" w:hAnsi="宋体" w:cs="宋体"/>
          <w:color w:val="auto"/>
          <w:szCs w:val="21"/>
        </w:rPr>
        <w:t>生</w:t>
      </w:r>
      <w:r>
        <w:rPr>
          <w:rFonts w:hint="eastAsia" w:ascii="宋体" w:hAnsi="宋体" w:cs="宋体"/>
          <w:color w:val="auto"/>
          <w:szCs w:val="21"/>
        </w:rPr>
        <w:t>数</w:t>
      </w:r>
      <w:r>
        <w:rPr>
          <w:rFonts w:ascii="宋体" w:hAnsi="宋体" w:cs="宋体"/>
          <w:color w:val="auto"/>
          <w:szCs w:val="21"/>
        </w:rPr>
        <w:t>量</w:t>
      </w:r>
      <w:r>
        <w:rPr>
          <w:rFonts w:hint="eastAsia" w:ascii="宋体" w:hAnsi="宋体" w:cs="宋体"/>
          <w:color w:val="auto"/>
          <w:szCs w:val="21"/>
        </w:rPr>
        <w:t>且季度考核95分以上，</w:t>
      </w:r>
      <w:r>
        <w:rPr>
          <w:rFonts w:hint="eastAsia" w:ascii="宋体" w:hAnsi="宋体" w:cs="宋体"/>
          <w:color w:val="auto"/>
          <w:szCs w:val="21"/>
          <w:lang w:eastAsia="zh-CN"/>
        </w:rPr>
        <w:t>甲方</w:t>
      </w:r>
      <w:r>
        <w:rPr>
          <w:rFonts w:hint="eastAsia" w:ascii="宋体" w:hAnsi="宋体" w:cs="宋体"/>
          <w:color w:val="auto"/>
          <w:szCs w:val="21"/>
        </w:rPr>
        <w:t>向</w:t>
      </w:r>
      <w:r>
        <w:rPr>
          <w:rFonts w:hint="eastAsia" w:ascii="宋体" w:hAnsi="宋体" w:cs="宋体"/>
          <w:color w:val="auto"/>
          <w:szCs w:val="21"/>
          <w:lang w:eastAsia="zh-CN"/>
        </w:rPr>
        <w:t>乙方</w:t>
      </w:r>
      <w:r>
        <w:rPr>
          <w:rFonts w:hint="eastAsia" w:ascii="宋体" w:hAnsi="宋体" w:cs="宋体"/>
          <w:color w:val="auto"/>
          <w:szCs w:val="21"/>
        </w:rPr>
        <w:t>每季度支付相应金额的100%；</w:t>
      </w:r>
    </w:p>
    <w:p>
      <w:pPr>
        <w:spacing w:line="460" w:lineRule="exact"/>
        <w:ind w:firstLine="420" w:firstLineChars="200"/>
        <w:jc w:val="left"/>
        <w:rPr>
          <w:rFonts w:hint="eastAsia" w:ascii="宋体" w:hAnsi="宋体" w:cs="宋体"/>
          <w:color w:val="auto"/>
          <w:szCs w:val="21"/>
        </w:rPr>
      </w:pPr>
      <w:r>
        <w:rPr>
          <w:rFonts w:ascii="宋体" w:hAnsi="宋体" w:cs="宋体"/>
          <w:color w:val="auto"/>
          <w:szCs w:val="21"/>
        </w:rPr>
        <w:t>5</w:t>
      </w:r>
      <w:r>
        <w:rPr>
          <w:rFonts w:hint="eastAsia" w:ascii="宋体" w:hAnsi="宋体" w:cs="宋体"/>
          <w:color w:val="auto"/>
          <w:szCs w:val="21"/>
        </w:rPr>
        <w:t>、价款支付根据考核标准表（见合同附件）每季度考核得分情况支付一次，得分95分及以上按已完成工作量支付相</w:t>
      </w:r>
      <w:r>
        <w:rPr>
          <w:rFonts w:ascii="宋体" w:hAnsi="宋体" w:cs="宋体"/>
          <w:color w:val="auto"/>
          <w:szCs w:val="21"/>
        </w:rPr>
        <w:t>应</w:t>
      </w:r>
      <w:r>
        <w:rPr>
          <w:rFonts w:hint="eastAsia" w:ascii="宋体" w:hAnsi="宋体" w:cs="宋体"/>
          <w:color w:val="auto"/>
          <w:szCs w:val="21"/>
        </w:rPr>
        <w:t>价款的100%（包含年度维养金额、日常巡查养护金额、运行异常维修金额）；得分85（含）-95（不含）分按已完成工作量支付相</w:t>
      </w:r>
      <w:r>
        <w:rPr>
          <w:rFonts w:ascii="宋体" w:hAnsi="宋体" w:cs="宋体"/>
          <w:color w:val="auto"/>
          <w:szCs w:val="21"/>
        </w:rPr>
        <w:t>应</w:t>
      </w:r>
      <w:r>
        <w:rPr>
          <w:rFonts w:hint="eastAsia" w:ascii="宋体" w:hAnsi="宋体" w:cs="宋体"/>
          <w:color w:val="auto"/>
          <w:szCs w:val="21"/>
        </w:rPr>
        <w:t>价款的90%（包含年度维养金额、日常巡查养护金额、运行异常维修金额）；得分75（含）-85（不含）分按已完成工作量支付相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80</w:t>
      </w:r>
      <w:r>
        <w:rPr>
          <w:rFonts w:hint="eastAsia" w:ascii="宋体" w:hAnsi="宋体" w:cs="宋体"/>
          <w:color w:val="auto"/>
          <w:szCs w:val="21"/>
        </w:rPr>
        <w:t>%（包含年度维养金额、日常巡查养护金额、运行异常维修金额）；得分75分以下按已完成工作量支付相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50</w:t>
      </w:r>
      <w:r>
        <w:rPr>
          <w:rFonts w:hint="eastAsia" w:ascii="宋体" w:hAnsi="宋体" w:cs="宋体"/>
          <w:color w:val="auto"/>
          <w:szCs w:val="21"/>
        </w:rPr>
        <w:t>%（包含年度维养金额、日常巡查养护金额、运行异常维修金额）；得分60分以下的甲方有权不予支付并终止合同。</w:t>
      </w:r>
    </w:p>
    <w:p>
      <w:pPr>
        <w:spacing w:line="460" w:lineRule="exact"/>
        <w:ind w:firstLine="420" w:firstLineChars="200"/>
        <w:jc w:val="left"/>
      </w:pPr>
      <w:r>
        <w:rPr>
          <w:rFonts w:hint="eastAsia" w:ascii="宋体" w:hAnsi="宋体" w:cs="宋体"/>
          <w:color w:val="auto"/>
          <w:szCs w:val="21"/>
          <w:lang w:val="en-US" w:eastAsia="zh-CN"/>
        </w:rPr>
        <w:t>6、</w:t>
      </w:r>
      <w:r>
        <w:rPr>
          <w:rFonts w:hint="eastAsia" w:ascii="宋体" w:hAnsi="宋体" w:cs="宋体"/>
          <w:color w:val="auto"/>
          <w:szCs w:val="21"/>
          <w:lang w:eastAsia="zh-CN"/>
        </w:rPr>
        <w:t>乙方</w:t>
      </w:r>
      <w:r>
        <w:rPr>
          <w:rFonts w:hint="eastAsia" w:ascii="宋体" w:hAnsi="宋体" w:cs="宋体"/>
          <w:color w:val="auto"/>
          <w:szCs w:val="21"/>
        </w:rPr>
        <w:t>接到</w:t>
      </w:r>
      <w:r>
        <w:rPr>
          <w:rFonts w:hint="eastAsia" w:ascii="宋体" w:hAnsi="宋体" w:cs="宋体"/>
          <w:color w:val="auto"/>
          <w:szCs w:val="21"/>
          <w:lang w:eastAsia="zh-CN"/>
        </w:rPr>
        <w:t>甲方</w:t>
      </w:r>
      <w:r>
        <w:rPr>
          <w:rFonts w:hint="eastAsia" w:ascii="宋体" w:hAnsi="宋体" w:cs="宋体"/>
          <w:color w:val="auto"/>
          <w:szCs w:val="21"/>
        </w:rPr>
        <w:t>的检修通知4小时内响应，48小时内到达现场。如48小时未到达现场，按每超过24小时扣罚5</w:t>
      </w:r>
      <w:r>
        <w:rPr>
          <w:rFonts w:ascii="宋体" w:hAnsi="宋体" w:cs="宋体"/>
          <w:color w:val="auto"/>
          <w:szCs w:val="21"/>
        </w:rPr>
        <w:t>00</w:t>
      </w:r>
      <w:r>
        <w:rPr>
          <w:rFonts w:hint="eastAsia" w:ascii="宋体" w:hAnsi="宋体" w:cs="宋体"/>
          <w:color w:val="auto"/>
          <w:szCs w:val="21"/>
        </w:rPr>
        <w:t>元。</w:t>
      </w:r>
    </w:p>
    <w:p>
      <w:pPr>
        <w:spacing w:before="93" w:beforeLines="30" w:after="93" w:afterLines="30" w:line="300" w:lineRule="exact"/>
        <w:rPr>
          <w:b/>
          <w:color w:val="auto"/>
          <w:szCs w:val="21"/>
        </w:rPr>
      </w:pPr>
      <w:r>
        <w:rPr>
          <w:rFonts w:hint="eastAsia"/>
          <w:b/>
          <w:szCs w:val="21"/>
          <w:lang w:eastAsia="zh-CN"/>
        </w:rPr>
        <w:t>八</w:t>
      </w:r>
      <w:r>
        <w:rPr>
          <w:rFonts w:hint="eastAsia"/>
          <w:b/>
          <w:szCs w:val="21"/>
        </w:rPr>
        <w:t>、</w:t>
      </w:r>
      <w:r>
        <w:rPr>
          <w:rFonts w:hint="eastAsia"/>
          <w:b/>
          <w:color w:val="auto"/>
          <w:szCs w:val="21"/>
        </w:rPr>
        <w:t>违约赔偿</w:t>
      </w:r>
    </w:p>
    <w:p>
      <w:pPr>
        <w:spacing w:line="400" w:lineRule="exact"/>
        <w:ind w:firstLine="420" w:firstLineChars="200"/>
        <w:rPr>
          <w:rFonts w:ascii="宋体" w:hAnsi="宋体"/>
          <w:color w:val="auto"/>
          <w:szCs w:val="21"/>
        </w:rPr>
      </w:pPr>
      <w:r>
        <w:rPr>
          <w:rFonts w:hint="eastAsia" w:ascii="宋体" w:hAnsi="宋体"/>
          <w:color w:val="auto"/>
          <w:szCs w:val="21"/>
        </w:rPr>
        <w:t>除不可抗力外，如乙方发生不能按期完工应及时以书面形式通知对方。甲乙双方应本着友好的态度进行协商，妥善解决。如协商无效，按下列规定处以罚金。</w:t>
      </w:r>
    </w:p>
    <w:p>
      <w:pPr>
        <w:spacing w:line="400" w:lineRule="exact"/>
        <w:ind w:firstLine="420" w:firstLineChars="200"/>
        <w:rPr>
          <w:rFonts w:ascii="宋体" w:hAnsi="宋体"/>
          <w:color w:val="auto"/>
          <w:szCs w:val="21"/>
        </w:rPr>
      </w:pPr>
      <w:r>
        <w:rPr>
          <w:rFonts w:hint="eastAsia" w:ascii="宋体" w:hAnsi="宋体"/>
          <w:color w:val="auto"/>
          <w:szCs w:val="21"/>
        </w:rPr>
        <w:t>1）逾期完工：乙方逾期完工，每延期一周，罚款500。</w:t>
      </w:r>
    </w:p>
    <w:p>
      <w:pPr>
        <w:spacing w:line="400" w:lineRule="exact"/>
        <w:ind w:firstLine="420" w:firstLineChars="200"/>
        <w:rPr>
          <w:rFonts w:ascii="宋体" w:hAnsi="宋体"/>
          <w:color w:val="auto"/>
          <w:szCs w:val="21"/>
        </w:rPr>
      </w:pPr>
      <w:r>
        <w:rPr>
          <w:rFonts w:hint="eastAsia" w:ascii="宋体" w:hAnsi="宋体"/>
          <w:color w:val="auto"/>
          <w:szCs w:val="21"/>
        </w:rPr>
        <w:t>2）逾期完工的违约赔偿最高限度为合同总价的5％，如违约金达到最高限额时乙方仍不能完工，甲方可考虑终止合同。</w:t>
      </w:r>
    </w:p>
    <w:p>
      <w:pPr>
        <w:spacing w:line="400" w:lineRule="exact"/>
        <w:ind w:firstLine="420" w:firstLineChars="200"/>
        <w:rPr>
          <w:rFonts w:ascii="宋体" w:hAnsi="宋体"/>
          <w:color w:val="auto"/>
          <w:szCs w:val="21"/>
        </w:rPr>
      </w:pPr>
      <w:r>
        <w:rPr>
          <w:rFonts w:hint="eastAsia" w:ascii="宋体" w:hAnsi="宋体"/>
          <w:color w:val="auto"/>
          <w:szCs w:val="21"/>
        </w:rPr>
        <w:t>3）经双方协商同意延期且无需罚款者不在此例。</w:t>
      </w:r>
    </w:p>
    <w:p>
      <w:pPr>
        <w:spacing w:before="93" w:beforeLines="30" w:after="93" w:afterLines="30" w:line="300" w:lineRule="exact"/>
        <w:rPr>
          <w:b/>
          <w:color w:val="auto"/>
          <w:szCs w:val="21"/>
        </w:rPr>
      </w:pPr>
      <w:r>
        <w:rPr>
          <w:rFonts w:hint="eastAsia"/>
          <w:b/>
          <w:color w:val="auto"/>
          <w:szCs w:val="21"/>
          <w:lang w:eastAsia="zh-CN"/>
        </w:rPr>
        <w:t>九</w:t>
      </w:r>
      <w:r>
        <w:rPr>
          <w:rFonts w:hint="eastAsia"/>
          <w:b/>
          <w:color w:val="auto"/>
          <w:szCs w:val="21"/>
        </w:rPr>
        <w:t>、保修</w:t>
      </w:r>
    </w:p>
    <w:p>
      <w:pPr>
        <w:spacing w:line="400" w:lineRule="exact"/>
        <w:ind w:firstLine="420" w:firstLineChars="200"/>
        <w:rPr>
          <w:rFonts w:hint="eastAsia" w:ascii="宋体" w:hAnsi="宋体"/>
          <w:color w:val="auto"/>
          <w:szCs w:val="21"/>
        </w:rPr>
      </w:pPr>
      <w:r>
        <w:rPr>
          <w:rFonts w:hint="eastAsia" w:ascii="宋体" w:hAnsi="宋体"/>
          <w:color w:val="auto"/>
          <w:szCs w:val="21"/>
        </w:rPr>
        <w:t>格栅机（输送机）整</w:t>
      </w:r>
      <w:r>
        <w:rPr>
          <w:rFonts w:ascii="宋体" w:hAnsi="宋体"/>
          <w:color w:val="auto"/>
          <w:szCs w:val="21"/>
        </w:rPr>
        <w:t>机大修</w:t>
      </w:r>
      <w:r>
        <w:rPr>
          <w:rFonts w:hint="eastAsia" w:ascii="宋体" w:hAnsi="宋体" w:cs="宋体"/>
          <w:color w:val="auto"/>
          <w:szCs w:val="21"/>
        </w:rPr>
        <w:t>（金额单台超过2万），</w:t>
      </w:r>
      <w:r>
        <w:rPr>
          <w:rFonts w:ascii="宋体" w:hAnsi="宋体" w:cs="宋体"/>
          <w:color w:val="auto"/>
          <w:szCs w:val="21"/>
        </w:rPr>
        <w:t>整</w:t>
      </w:r>
      <w:r>
        <w:rPr>
          <w:rFonts w:hint="eastAsia" w:ascii="宋体" w:hAnsi="宋体" w:cs="宋体"/>
          <w:color w:val="auto"/>
          <w:szCs w:val="21"/>
        </w:rPr>
        <w:t>机</w:t>
      </w:r>
      <w:r>
        <w:rPr>
          <w:rFonts w:hint="eastAsia" w:ascii="宋体" w:hAnsi="宋体"/>
          <w:color w:val="auto"/>
          <w:szCs w:val="21"/>
        </w:rPr>
        <w:t>需提供自验收合格并交付使用后至少_____个月的现场免费质保期；</w:t>
      </w:r>
      <w:r>
        <w:rPr>
          <w:rFonts w:hint="eastAsia" w:ascii="宋体" w:hAnsi="宋体" w:cs="宋体"/>
          <w:color w:val="auto"/>
          <w:szCs w:val="21"/>
        </w:rPr>
        <w:t>格栅机</w:t>
      </w:r>
      <w:r>
        <w:rPr>
          <w:rFonts w:hint="eastAsia" w:ascii="宋体" w:hAnsi="宋体"/>
          <w:color w:val="auto"/>
          <w:szCs w:val="21"/>
        </w:rPr>
        <w:t>（输送机）</w:t>
      </w:r>
      <w:r>
        <w:rPr>
          <w:rFonts w:hint="eastAsia" w:ascii="宋体" w:hAnsi="宋体" w:cs="宋体"/>
          <w:color w:val="auto"/>
          <w:szCs w:val="21"/>
        </w:rPr>
        <w:t>维</w:t>
      </w:r>
      <w:r>
        <w:rPr>
          <w:rFonts w:ascii="宋体" w:hAnsi="宋体" w:cs="宋体"/>
          <w:color w:val="auto"/>
          <w:szCs w:val="21"/>
        </w:rPr>
        <w:t>修</w:t>
      </w:r>
      <w:r>
        <w:rPr>
          <w:rFonts w:hint="eastAsia" w:ascii="宋体" w:hAnsi="宋体" w:cs="宋体"/>
          <w:color w:val="auto"/>
          <w:szCs w:val="21"/>
        </w:rPr>
        <w:t>更</w:t>
      </w:r>
      <w:r>
        <w:rPr>
          <w:rFonts w:ascii="宋体" w:hAnsi="宋体" w:cs="宋体"/>
          <w:color w:val="auto"/>
          <w:szCs w:val="21"/>
        </w:rPr>
        <w:t>换</w:t>
      </w:r>
      <w:r>
        <w:rPr>
          <w:rFonts w:hint="eastAsia" w:ascii="宋体" w:hAnsi="宋体" w:cs="宋体"/>
          <w:color w:val="auto"/>
          <w:szCs w:val="21"/>
        </w:rPr>
        <w:t>提供</w:t>
      </w:r>
      <w:r>
        <w:rPr>
          <w:rFonts w:ascii="宋体" w:hAnsi="宋体" w:cs="宋体"/>
          <w:color w:val="auto"/>
          <w:szCs w:val="21"/>
        </w:rPr>
        <w:t>新的配件</w:t>
      </w:r>
      <w:r>
        <w:rPr>
          <w:rFonts w:hint="eastAsia" w:ascii="宋体" w:hAnsi="宋体" w:cs="宋体"/>
          <w:color w:val="auto"/>
          <w:szCs w:val="21"/>
        </w:rPr>
        <w:t>需提供免费保修期至少</w:t>
      </w:r>
      <w:r>
        <w:rPr>
          <w:rFonts w:ascii="宋体" w:hAnsi="宋体" w:cs="宋体"/>
          <w:color w:val="auto"/>
          <w:szCs w:val="21"/>
        </w:rPr>
        <w:t>____</w:t>
      </w:r>
      <w:r>
        <w:rPr>
          <w:rFonts w:hint="eastAsia" w:ascii="宋体" w:hAnsi="宋体" w:cs="宋体"/>
          <w:color w:val="auto"/>
          <w:szCs w:val="21"/>
        </w:rPr>
        <w:t>个月。</w:t>
      </w:r>
    </w:p>
    <w:p>
      <w:pPr>
        <w:spacing w:line="400" w:lineRule="exact"/>
        <w:ind w:firstLine="420" w:firstLineChars="200"/>
        <w:rPr>
          <w:rFonts w:hint="eastAsia" w:ascii="宋体" w:hAnsi="宋体"/>
          <w:color w:val="auto"/>
          <w:szCs w:val="21"/>
        </w:rPr>
      </w:pPr>
      <w:r>
        <w:rPr>
          <w:rFonts w:hint="eastAsia" w:ascii="宋体" w:hAnsi="宋体"/>
          <w:color w:val="auto"/>
          <w:szCs w:val="21"/>
        </w:rPr>
        <w:t>保修期内，投标人应遵循本协议的规定，采购人在使用过程中若发现新的缺陷和损坏或原修复的缺陷或部位又遭损坏，投标人接到采购人的相关通知后</w:t>
      </w:r>
      <w:r>
        <w:rPr>
          <w:rFonts w:ascii="宋体" w:hAnsi="宋体"/>
          <w:color w:val="auto"/>
          <w:szCs w:val="21"/>
        </w:rPr>
        <w:t>48</w:t>
      </w:r>
      <w:r>
        <w:rPr>
          <w:rFonts w:hint="eastAsia" w:ascii="宋体" w:hAnsi="宋体"/>
          <w:color w:val="auto"/>
          <w:szCs w:val="21"/>
        </w:rPr>
        <w:t>小时内应到达现场排除故障，并由双方共同调查，如经检查确定属于投标人的维修质量缺陷、维修技术问题或其它责任，则应有投标人继续负责修复直至合格为止，并由投标人承担修复费用。由不可抗力事由或自然情况造成泵站格栅机损坏，投标人不负责任。</w:t>
      </w:r>
    </w:p>
    <w:p>
      <w:pPr>
        <w:spacing w:before="93" w:beforeLines="30" w:after="93" w:afterLines="30" w:line="300" w:lineRule="exact"/>
        <w:rPr>
          <w:b/>
          <w:szCs w:val="21"/>
        </w:rPr>
      </w:pPr>
      <w:r>
        <w:rPr>
          <w:rFonts w:hint="eastAsia"/>
          <w:b/>
          <w:szCs w:val="21"/>
          <w:lang w:eastAsia="zh-CN"/>
        </w:rPr>
        <w:t>十</w:t>
      </w:r>
      <w:r>
        <w:rPr>
          <w:b/>
          <w:szCs w:val="21"/>
        </w:rPr>
        <w:t>、其他事项：</w:t>
      </w:r>
    </w:p>
    <w:p>
      <w:pPr>
        <w:spacing w:line="400" w:lineRule="exact"/>
        <w:ind w:firstLine="420" w:firstLineChars="200"/>
        <w:rPr>
          <w:rFonts w:ascii="宋体" w:hAnsi="宋体"/>
          <w:szCs w:val="21"/>
        </w:rPr>
      </w:pPr>
      <w:r>
        <w:rPr>
          <w:rFonts w:ascii="宋体" w:hAnsi="宋体"/>
          <w:szCs w:val="21"/>
        </w:rPr>
        <w:t>1、如果甲方认为乙方出现违约情况，不再适合继续承包维护服务的，甲方可随时通知乙方解除本合同，并扣除履约保证金。</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、如果甲方认为乙方完成工程的质量和诚信度下降，不再适合继续承包维护服务的，甲方可随时通知乙方解除本合同。</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、本合同自乙方递交履约保证金并双方签字盖章确认后生效。</w:t>
      </w:r>
    </w:p>
    <w:p>
      <w:pPr>
        <w:spacing w:before="93" w:beforeLines="30" w:after="93" w:afterLines="30" w:line="300" w:lineRule="exact"/>
        <w:rPr>
          <w:b/>
          <w:szCs w:val="21"/>
        </w:rPr>
      </w:pPr>
      <w:r>
        <w:rPr>
          <w:rFonts w:hint="eastAsia"/>
          <w:b/>
          <w:szCs w:val="21"/>
        </w:rPr>
        <w:t>十</w:t>
      </w:r>
      <w:r>
        <w:rPr>
          <w:rFonts w:hint="eastAsia"/>
          <w:b/>
          <w:szCs w:val="21"/>
          <w:lang w:eastAsia="zh-CN"/>
        </w:rPr>
        <w:t>一</w:t>
      </w:r>
      <w:r>
        <w:rPr>
          <w:b/>
          <w:szCs w:val="21"/>
        </w:rPr>
        <w:t>、本合同一式五份，甲方执三份，乙方执二份。</w:t>
      </w:r>
    </w:p>
    <w:p>
      <w:pPr>
        <w:spacing w:before="93" w:beforeLines="30" w:after="93" w:afterLines="30" w:line="300" w:lineRule="exact"/>
        <w:rPr>
          <w:b/>
          <w:szCs w:val="21"/>
        </w:rPr>
      </w:pPr>
      <w:r>
        <w:rPr>
          <w:rFonts w:hint="eastAsia"/>
          <w:b/>
          <w:szCs w:val="21"/>
        </w:rPr>
        <w:t>十</w:t>
      </w:r>
      <w:r>
        <w:rPr>
          <w:rFonts w:hint="eastAsia"/>
          <w:b/>
          <w:szCs w:val="21"/>
          <w:lang w:eastAsia="zh-CN"/>
        </w:rPr>
        <w:t>二</w:t>
      </w:r>
      <w:r>
        <w:rPr>
          <w:b/>
          <w:szCs w:val="21"/>
        </w:rPr>
        <w:t>、未尽事宜双方另行商议。</w:t>
      </w:r>
    </w:p>
    <w:p>
      <w:pPr>
        <w:spacing w:line="340" w:lineRule="exact"/>
        <w:ind w:firstLine="420" w:firstLineChars="200"/>
        <w:rPr>
          <w:rFonts w:ascii="宋体" w:hAnsi="宋体"/>
          <w:szCs w:val="21"/>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甲方（盖章）：</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法定代表人或授权委托人（签字）：</w:t>
            </w:r>
          </w:p>
          <w:p>
            <w:pPr>
              <w:pStyle w:val="66"/>
              <w:spacing w:line="360" w:lineRule="auto"/>
              <w:ind w:firstLine="0" w:firstLineChars="0"/>
              <w:rPr>
                <w:rFonts w:ascii="宋体" w:hAnsi="Courier New" w:eastAsia="宋体" w:cs="Courier New"/>
                <w:sz w:val="21"/>
                <w:szCs w:val="21"/>
              </w:rPr>
            </w:pP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法定代表人或授权委托人（签字）：</w:t>
            </w:r>
          </w:p>
          <w:p>
            <w:pPr>
              <w:pStyle w:val="66"/>
              <w:spacing w:line="360" w:lineRule="auto"/>
              <w:ind w:firstLine="0" w:firstLineChars="0"/>
              <w:rPr>
                <w:rFonts w:ascii="宋体" w:hAnsi="Courier New" w:eastAsia="宋体" w:cs="Courier New"/>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开户银行：</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帐号：</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联系人：</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联系电话：</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签约日期：</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p>
        </w:tc>
      </w:tr>
    </w:tbl>
    <w:p>
      <w:pPr>
        <w:snapToGrid w:val="0"/>
        <w:spacing w:line="360" w:lineRule="auto"/>
        <w:ind w:left="1"/>
        <w:jc w:val="left"/>
        <w:rPr>
          <w:rFonts w:ascii="Arial" w:hAnsi="宋体" w:cs="Arial"/>
          <w:b/>
        </w:rPr>
      </w:pPr>
      <w:r>
        <w:rPr>
          <w:rFonts w:hAnsi="宋体"/>
          <w:b/>
        </w:rPr>
        <w:br w:type="page"/>
      </w:r>
      <w:bookmarkStart w:id="28" w:name="_Toc28326"/>
      <w:r>
        <w:rPr>
          <w:rFonts w:hint="eastAsia" w:hAnsi="宋体"/>
          <w:b/>
          <w:lang w:eastAsia="zh-CN"/>
        </w:rPr>
        <w:t>合同</w:t>
      </w:r>
      <w:r>
        <w:rPr>
          <w:rFonts w:hint="eastAsia" w:hAnsi="宋体"/>
          <w:b/>
          <w:lang w:val="en-US" w:eastAsia="zh-CN"/>
        </w:rPr>
        <w:t>附件1：</w:t>
      </w:r>
      <w:r>
        <w:rPr>
          <w:rFonts w:hint="eastAsia" w:ascii="Arial" w:hAnsi="宋体" w:cs="Arial"/>
          <w:b/>
        </w:rPr>
        <w:t>设备维修及配件</w:t>
      </w:r>
      <w:r>
        <w:rPr>
          <w:rFonts w:hint="eastAsia" w:ascii="Arial" w:hAnsi="宋体" w:cs="Arial"/>
          <w:b/>
          <w:color w:val="auto"/>
        </w:rPr>
        <w:t>分类</w:t>
      </w:r>
      <w:r>
        <w:rPr>
          <w:rFonts w:hint="eastAsia" w:ascii="Arial" w:hAnsi="宋体" w:cs="Arial"/>
          <w:b/>
          <w:color w:val="auto"/>
          <w:lang w:val="en-US" w:eastAsia="zh-CN"/>
        </w:rPr>
        <w:t>价格</w:t>
      </w:r>
      <w:r>
        <w:rPr>
          <w:rFonts w:hint="eastAsia" w:ascii="Arial" w:hAnsi="宋体" w:cs="Arial"/>
          <w:b/>
          <w:color w:val="auto"/>
        </w:rPr>
        <w:t>表</w:t>
      </w:r>
    </w:p>
    <w:tbl>
      <w:tblPr>
        <w:tblStyle w:val="49"/>
        <w:tblW w:w="9225" w:type="dxa"/>
        <w:tblInd w:w="91" w:type="dxa"/>
        <w:tblLayout w:type="fixed"/>
        <w:tblCellMar>
          <w:top w:w="0" w:type="dxa"/>
          <w:left w:w="108" w:type="dxa"/>
          <w:bottom w:w="0" w:type="dxa"/>
          <w:right w:w="108" w:type="dxa"/>
        </w:tblCellMar>
      </w:tblPr>
      <w:tblGrid>
        <w:gridCol w:w="978"/>
        <w:gridCol w:w="1800"/>
        <w:gridCol w:w="2520"/>
        <w:gridCol w:w="1560"/>
        <w:gridCol w:w="975"/>
        <w:gridCol w:w="1392"/>
      </w:tblGrid>
      <w:tr>
        <w:tblPrEx>
          <w:tblCellMar>
            <w:top w:w="0" w:type="dxa"/>
            <w:left w:w="108" w:type="dxa"/>
            <w:bottom w:w="0" w:type="dxa"/>
            <w:right w:w="108" w:type="dxa"/>
          </w:tblCellMar>
        </w:tblPrEx>
        <w:trPr>
          <w:trHeight w:val="9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名称</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规格</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材质</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单位</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单价（元）</w:t>
            </w: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小链轮(带轴套)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w:t>
            </w:r>
            <w:r>
              <w:rPr>
                <w:rStyle w:val="291"/>
                <w:rFonts w:hint="default"/>
                <w:color w:val="auto"/>
                <w:lang w:bidi="ar"/>
              </w:rPr>
              <w:t>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大链轮(带轴套)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张紧轮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丝杆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螺栓（剪切螺栓含螺母垫片）</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梅花轮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导轮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导轮座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color w:val="auto"/>
                <w:sz w:val="22"/>
                <w:szCs w:val="22"/>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color w:val="auto"/>
                <w:sz w:val="22"/>
                <w:szCs w:val="22"/>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链板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挡板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滚轮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平垫</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卡簧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开口销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回转式耙齿/雨水格栅长度为0.4(含)-1米（含）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回转式耙齿/雨水格栅1米（不含）-2米（含）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路轨（直轨）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路轨（弯轨）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尼龙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链条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45#</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轴销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橡胶板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Style w:val="292"/>
                <w:rFonts w:hint="eastAsia"/>
                <w:color w:val="auto"/>
                <w:lang w:bidi="ar"/>
              </w:rPr>
              <w:t>橡胶</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回转式耙齿格栅0.4(含)-1米（含）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Cs w:val="21"/>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1米（不含）-1.5米（含）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1.5米（不含）-2米（含）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固定栅条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ss304，8*45  L=3m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活动栅条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ss304，8*45  L=0.5m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耙齿栅条维修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41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输送机衬板更换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color w:val="auto"/>
                <w:kern w:val="0"/>
                <w:sz w:val="20"/>
                <w:szCs w:val="20"/>
                <w:lang w:bidi="ar"/>
              </w:rPr>
              <w:t>耐磨型高分子材料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43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绞龙更换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锰钢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绞龙修复</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刀片（主刀+丛刀+隔片</w:t>
            </w:r>
            <w:r>
              <w:rPr>
                <w:rFonts w:hint="eastAsia" w:ascii="宋体" w:hAnsi="宋体" w:cs="宋体"/>
                <w:color w:val="auto"/>
                <w:kern w:val="0"/>
                <w:sz w:val="20"/>
                <w:szCs w:val="20"/>
                <w:lang w:eastAsia="zh-CN" w:bidi="ar"/>
              </w:rPr>
              <w:t>各一片</w:t>
            </w:r>
            <w:r>
              <w:rPr>
                <w:rFonts w:hint="eastAsia" w:ascii="宋体" w:hAnsi="宋体" w:cs="宋体"/>
                <w:color w:val="auto"/>
                <w:kern w:val="0"/>
                <w:sz w:val="20"/>
                <w:szCs w:val="20"/>
                <w:lang w:bidi="ar"/>
              </w:rPr>
              <w:t>）</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高强度合金钢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eastAsia="zh-CN" w:bidi="ar"/>
              </w:rPr>
              <w:t>片</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50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51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2"/>
                <w:szCs w:val="22"/>
                <w:lang w:bidi="ar"/>
              </w:rPr>
              <w:t>52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机体更换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碳钢或者铸铁</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color w:val="000000"/>
                <w:kern w:val="0"/>
                <w:sz w:val="22"/>
                <w:szCs w:val="22"/>
                <w:lang w:eastAsia="zh-CN" w:bidi="ar"/>
              </w:rPr>
            </w:pPr>
            <w:r>
              <w:rPr>
                <w:rFonts w:hint="eastAsia" w:ascii="宋体" w:hAnsi="宋体" w:cs="宋体"/>
                <w:kern w:val="0"/>
                <w:sz w:val="20"/>
                <w:szCs w:val="20"/>
                <w:lang w:bidi="ar"/>
              </w:rPr>
              <w:t>5</w:t>
            </w:r>
            <w:r>
              <w:rPr>
                <w:rFonts w:hint="eastAsia" w:ascii="宋体" w:hAnsi="宋体" w:cs="宋体"/>
                <w:kern w:val="0"/>
                <w:sz w:val="20"/>
                <w:szCs w:val="20"/>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主轴更换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eastAsia="宋体" w:cs="宋体"/>
                <w:color w:val="000000"/>
                <w:kern w:val="0"/>
                <w:sz w:val="22"/>
                <w:szCs w:val="22"/>
                <w:lang w:val="en-US" w:eastAsia="zh-CN" w:bidi="ar"/>
              </w:rPr>
            </w:pPr>
            <w:r>
              <w:rPr>
                <w:rFonts w:hint="eastAsia" w:ascii="宋体" w:hAnsi="宋体" w:cs="宋体"/>
                <w:kern w:val="0"/>
                <w:sz w:val="20"/>
                <w:szCs w:val="20"/>
                <w:lang w:val="en-US" w:eastAsia="zh-CN" w:bidi="ar"/>
              </w:rPr>
              <w:t>59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转鼓维修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bl>
    <w:p>
      <w:pPr>
        <w:rPr>
          <w:rFonts w:ascii="宋体" w:hAnsi="宋体" w:cs="Arial"/>
          <w:b/>
          <w:sz w:val="24"/>
        </w:rPr>
      </w:pPr>
      <w:r>
        <w:rPr>
          <w:rFonts w:ascii="宋体" w:hAnsi="宋体" w:cs="Arial"/>
          <w:b/>
          <w:sz w:val="24"/>
        </w:rPr>
        <w:br w:type="page"/>
      </w:r>
    </w:p>
    <w:p>
      <w:pPr>
        <w:pStyle w:val="6"/>
        <w:rPr>
          <w:rFonts w:hint="eastAsia"/>
          <w:lang w:eastAsia="zh-CN"/>
        </w:rPr>
      </w:pPr>
      <w:bookmarkStart w:id="29" w:name="_Toc15663"/>
      <w:r>
        <w:rPr>
          <w:rFonts w:hint="eastAsia" w:ascii="宋体" w:hAnsi="宋体" w:cs="Arial"/>
          <w:b/>
          <w:sz w:val="24"/>
          <w:lang w:eastAsia="zh-CN"/>
        </w:rPr>
        <w:t>合同附件</w:t>
      </w:r>
      <w:r>
        <w:rPr>
          <w:rFonts w:hint="eastAsia" w:ascii="宋体" w:hAnsi="宋体" w:cs="Arial"/>
          <w:b/>
          <w:sz w:val="24"/>
          <w:lang w:val="en-US" w:eastAsia="zh-CN"/>
        </w:rPr>
        <w:t>2</w:t>
      </w:r>
      <w:r>
        <w:rPr>
          <w:rFonts w:hint="eastAsia" w:ascii="宋体" w:hAnsi="宋体" w:cs="Arial"/>
          <w:b/>
          <w:sz w:val="24"/>
          <w:lang w:eastAsia="zh-CN"/>
        </w:rPr>
        <w:t>：设备清单</w:t>
      </w:r>
      <w:bookmarkEnd w:id="29"/>
      <w:r>
        <w:rPr>
          <w:rFonts w:hint="eastAsia" w:ascii="宋体" w:hAnsi="宋体" w:cs="Arial"/>
          <w:b/>
          <w:sz w:val="24"/>
          <w:lang w:eastAsia="zh-CN"/>
        </w:rPr>
        <w:t>（根据各公司设备清单填写）</w:t>
      </w: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pStyle w:val="6"/>
        <w:rPr>
          <w:rFonts w:hint="eastAsia"/>
          <w:lang w:eastAsia="zh-CN"/>
        </w:rPr>
      </w:pPr>
    </w:p>
    <w:p>
      <w:pPr>
        <w:rPr>
          <w:rFonts w:hint="eastAsia"/>
          <w:lang w:eastAsia="zh-CN"/>
        </w:rPr>
      </w:pPr>
    </w:p>
    <w:p>
      <w:pPr>
        <w:pStyle w:val="6"/>
        <w:rPr>
          <w:rFonts w:hint="eastAsia" w:ascii="宋体" w:hAnsi="宋体" w:cs="Arial"/>
          <w:b/>
          <w:sz w:val="24"/>
          <w:lang w:eastAsia="zh-CN"/>
        </w:rPr>
      </w:pPr>
      <w:bookmarkStart w:id="30" w:name="_Toc18777"/>
      <w:r>
        <w:rPr>
          <w:rFonts w:hint="eastAsia" w:ascii="宋体" w:hAnsi="宋体" w:cs="Arial"/>
          <w:b/>
          <w:sz w:val="24"/>
          <w:lang w:eastAsia="zh-CN"/>
        </w:rPr>
        <w:t>合同附件</w:t>
      </w:r>
      <w:r>
        <w:rPr>
          <w:rFonts w:hint="eastAsia" w:ascii="宋体" w:hAnsi="宋体" w:cs="Arial"/>
          <w:b/>
          <w:sz w:val="24"/>
          <w:lang w:val="en-US" w:eastAsia="zh-CN"/>
        </w:rPr>
        <w:t>3</w:t>
      </w:r>
      <w:r>
        <w:rPr>
          <w:rFonts w:hint="eastAsia" w:ascii="宋体" w:hAnsi="宋体" w:cs="Arial"/>
          <w:b/>
          <w:sz w:val="24"/>
          <w:lang w:eastAsia="zh-CN"/>
        </w:rPr>
        <w:t>：</w:t>
      </w:r>
      <w:bookmarkEnd w:id="30"/>
    </w:p>
    <w:p>
      <w:pPr>
        <w:spacing w:line="360" w:lineRule="auto"/>
        <w:jc w:val="center"/>
        <w:rPr>
          <w:rFonts w:ascii="宋体" w:hAnsi="宋体" w:cs="Arial"/>
          <w:b/>
          <w:sz w:val="24"/>
        </w:rPr>
      </w:pPr>
      <w:r>
        <w:rPr>
          <w:rFonts w:ascii="宋体" w:hAnsi="宋体" w:cs="Arial"/>
          <w:b/>
          <w:sz w:val="24"/>
        </w:rPr>
        <w:t>安 全 生 产 合 同</w:t>
      </w:r>
      <w:bookmarkEnd w:id="28"/>
    </w:p>
    <w:p>
      <w:pPr>
        <w:ind w:firstLine="420" w:firstLineChars="200"/>
        <w:rPr>
          <w:rFonts w:ascii="宋体" w:hAnsi="宋体" w:cs="Arial"/>
        </w:rPr>
      </w:pPr>
      <w:r>
        <w:rPr>
          <w:rFonts w:ascii="宋体" w:hAnsi="宋体" w:cs="Arial"/>
        </w:rPr>
        <w:t>为在</w:t>
      </w:r>
      <w:r>
        <w:rPr>
          <w:rFonts w:ascii="宋体" w:hAnsi="宋体" w:cs="Arial"/>
          <w:u w:val="single"/>
        </w:rPr>
        <w:t xml:space="preserve">                     </w:t>
      </w:r>
      <w:r>
        <w:rPr>
          <w:rFonts w:ascii="宋体" w:hAnsi="宋体" w:cs="Arial"/>
        </w:rPr>
        <w:t>工程合同的实施过程中创造安全、高效的作业环境，切实搞好本项目的安全工作，本项目</w:t>
      </w:r>
      <w:r>
        <w:rPr>
          <w:rFonts w:hint="eastAsia" w:ascii="宋体" w:hAnsi="宋体" w:cs="Arial"/>
        </w:rPr>
        <w:t>发包人</w:t>
      </w:r>
      <w:r>
        <w:rPr>
          <w:rFonts w:ascii="宋体" w:hAnsi="宋体" w:cs="Arial"/>
        </w:rPr>
        <w:t>（以下简称“甲方”）与承包人（以下简称“乙方”）特此签订安全生产合同：</w:t>
      </w:r>
    </w:p>
    <w:p>
      <w:pPr>
        <w:rPr>
          <w:rFonts w:ascii="宋体" w:hAnsi="宋体" w:cs="Arial"/>
        </w:rPr>
      </w:pPr>
      <w:r>
        <w:rPr>
          <w:rFonts w:ascii="宋体" w:hAnsi="宋体" w:cs="Arial"/>
        </w:rPr>
        <w:t>一、甲方职责</w:t>
      </w:r>
    </w:p>
    <w:p>
      <w:pPr>
        <w:ind w:firstLine="420" w:firstLineChars="200"/>
        <w:rPr>
          <w:rFonts w:ascii="宋体" w:hAnsi="宋体" w:cs="Arial"/>
        </w:rPr>
      </w:pPr>
      <w:r>
        <w:rPr>
          <w:rFonts w:ascii="宋体" w:hAnsi="宋体" w:cs="Arial"/>
        </w:rPr>
        <w:t>1、严格遵守国家有关安全生产的法律法规，认真执行工程承包合同中有关安全要求。</w:t>
      </w:r>
    </w:p>
    <w:p>
      <w:pPr>
        <w:ind w:firstLine="420" w:firstLineChars="200"/>
        <w:rPr>
          <w:rFonts w:ascii="宋体" w:hAnsi="宋体" w:cs="Arial"/>
        </w:rPr>
      </w:pPr>
      <w:r>
        <w:rPr>
          <w:rFonts w:ascii="宋体" w:hAnsi="宋体" w:cs="Arial"/>
        </w:rPr>
        <w:t>2、按照“安全第一、预防为主”和坚持“管生产必须管安全”的原则进行安全生产管理，做到生产安全工作同时计划、布置、检查、总结和评比。</w:t>
      </w:r>
    </w:p>
    <w:p>
      <w:pPr>
        <w:ind w:firstLine="420" w:firstLineChars="200"/>
        <w:rPr>
          <w:rFonts w:ascii="宋体" w:hAnsi="宋体" w:cs="Arial"/>
        </w:rPr>
      </w:pPr>
      <w:r>
        <w:rPr>
          <w:rFonts w:ascii="宋体" w:hAnsi="宋体" w:cs="Arial"/>
        </w:rPr>
        <w:t>3、定期召开安全生产调度会，及时传达中央及地方有关安全生产的精神。</w:t>
      </w:r>
    </w:p>
    <w:p>
      <w:pPr>
        <w:ind w:firstLine="420" w:firstLineChars="200"/>
        <w:rPr>
          <w:rFonts w:ascii="宋体" w:hAnsi="宋体" w:cs="Arial"/>
        </w:rPr>
      </w:pPr>
      <w:r>
        <w:rPr>
          <w:rFonts w:ascii="宋体" w:hAnsi="宋体" w:cs="Arial"/>
        </w:rPr>
        <w:t>4、组织对乙方施工现场安全检查，监督乙方及时处理发现的各种隐患。</w:t>
      </w:r>
    </w:p>
    <w:p>
      <w:pPr>
        <w:rPr>
          <w:rFonts w:ascii="宋体" w:hAnsi="宋体" w:cs="Arial"/>
        </w:rPr>
      </w:pPr>
      <w:r>
        <w:rPr>
          <w:rFonts w:ascii="宋体" w:hAnsi="宋体" w:cs="Arial"/>
        </w:rPr>
        <w:t>二、乙方职责</w:t>
      </w:r>
    </w:p>
    <w:p>
      <w:pPr>
        <w:ind w:firstLine="420" w:firstLineChars="200"/>
        <w:rPr>
          <w:rFonts w:ascii="宋体" w:hAnsi="宋体" w:cs="Arial"/>
        </w:rPr>
      </w:pPr>
      <w:r>
        <w:rPr>
          <w:rFonts w:ascii="宋体" w:hAnsi="宋体" w:cs="Arial"/>
        </w:rPr>
        <w:t>1、严格遵守</w:t>
      </w:r>
      <w:r>
        <w:rPr>
          <w:rFonts w:hint="eastAsia" w:ascii="宋体" w:hAnsi="宋体" w:cs="Arial"/>
          <w:szCs w:val="21"/>
        </w:rPr>
        <w:t>《城镇排水管渠与泵站运行、维护及安全技术规程 CJJ68-2016》等</w:t>
      </w:r>
      <w:r>
        <w:rPr>
          <w:rFonts w:ascii="宋体" w:hAnsi="宋体" w:cs="Arial"/>
        </w:rPr>
        <w:t>国家有关安全生产的法律法规</w:t>
      </w:r>
      <w:r>
        <w:rPr>
          <w:rFonts w:hint="eastAsia" w:ascii="宋体" w:hAnsi="宋体" w:cs="Arial"/>
        </w:rPr>
        <w:t>执行</w:t>
      </w:r>
      <w:r>
        <w:rPr>
          <w:rFonts w:ascii="宋体" w:hAnsi="宋体" w:cs="Arial"/>
        </w:rPr>
        <w:t>，认真执行工程承包合同中的有关安全要求。</w:t>
      </w:r>
    </w:p>
    <w:p>
      <w:pPr>
        <w:ind w:firstLine="420" w:firstLineChars="200"/>
        <w:rPr>
          <w:rFonts w:ascii="宋体" w:hAnsi="宋体" w:cs="Arial"/>
        </w:rPr>
      </w:pPr>
      <w:r>
        <w:rPr>
          <w:rFonts w:ascii="宋体" w:hAnsi="宋体" w:cs="Arial"/>
        </w:rPr>
        <w:t>2、坚持“安全第一、预防为主”和坚持“管生产必须管安全”的原则，加强安全生产宣传教育，增强全员安全 意识，建立健全各项安全生产的管理机构和安全生产管理制度，配置专职及兼职安全检查人员，有组织有领导地开展安全生产活动。各级领导、生产管理人员和具体操作人员，必须和遵守本款的各项规定，做到生产与安全工作同时计划、布置、检查、总结和评比。</w:t>
      </w:r>
    </w:p>
    <w:p>
      <w:pPr>
        <w:ind w:firstLine="315" w:firstLineChars="150"/>
        <w:rPr>
          <w:rFonts w:ascii="宋体" w:hAnsi="宋体" w:cs="Arial"/>
        </w:rPr>
      </w:pPr>
      <w:r>
        <w:rPr>
          <w:rFonts w:ascii="宋体" w:hAnsi="宋体" w:cs="Arial"/>
        </w:rPr>
        <w:t>3、乙方在任何时候都应采取各种的预防措施，防止其员工发生任何违法、违禁或妨碍治安的行为。</w:t>
      </w:r>
    </w:p>
    <w:p>
      <w:pPr>
        <w:ind w:firstLine="315" w:firstLineChars="150"/>
        <w:rPr>
          <w:rFonts w:ascii="宋体" w:hAnsi="宋体" w:cs="Arial"/>
        </w:rPr>
      </w:pPr>
      <w:r>
        <w:rPr>
          <w:rFonts w:ascii="宋体" w:hAnsi="宋体" w:cs="Arial"/>
        </w:rPr>
        <w:t>4、乙方参加作业的人员，必须接受安全技术教育，熟知和遵守本工种的各项安全技术操作规程，定期进行安全技术考核，合格者方准上操作。</w:t>
      </w:r>
    </w:p>
    <w:p>
      <w:pPr>
        <w:ind w:firstLine="315" w:firstLineChars="150"/>
        <w:rPr>
          <w:rFonts w:ascii="宋体" w:hAnsi="宋体" w:cs="Arial"/>
        </w:rPr>
      </w:pPr>
      <w:r>
        <w:rPr>
          <w:rFonts w:ascii="宋体" w:hAnsi="宋体" w:cs="Arial"/>
        </w:rPr>
        <w:t>5、操作人员上岗，必须按规定穿戴防护用品。项目负责人应随时检查劳动防护用品的穿戴情况，不按规定穿戴防护用品的人员不得上岗。</w:t>
      </w:r>
    </w:p>
    <w:p>
      <w:pPr>
        <w:ind w:firstLine="315" w:firstLineChars="150"/>
        <w:rPr>
          <w:rFonts w:ascii="宋体" w:hAnsi="宋体" w:cs="Arial"/>
        </w:rPr>
      </w:pPr>
      <w:r>
        <w:rPr>
          <w:rFonts w:ascii="宋体" w:hAnsi="宋体" w:cs="Arial"/>
        </w:rPr>
        <w:t>6、乙方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ind w:firstLine="315" w:firstLineChars="150"/>
        <w:rPr>
          <w:rFonts w:ascii="宋体" w:hAnsi="宋体" w:cs="Arial"/>
        </w:rPr>
      </w:pPr>
      <w:r>
        <w:rPr>
          <w:rFonts w:hint="eastAsia" w:ascii="宋体" w:hAnsi="宋体" w:cs="Arial"/>
        </w:rPr>
        <w:t>7、做好安全监管，并承担施工现场所有安全责任；做好项目部（员工住所）管理，并承担所有安全责任；做好破损、缺失井盖等安全隐患处置，未按任务单要求期限到场、处理而造成安全事故的，乙方承担所有责任。</w:t>
      </w:r>
    </w:p>
    <w:p>
      <w:pPr>
        <w:rPr>
          <w:rFonts w:ascii="宋体" w:hAnsi="宋体" w:cs="Arial"/>
        </w:rPr>
      </w:pPr>
      <w:r>
        <w:rPr>
          <w:rFonts w:ascii="宋体" w:hAnsi="宋体" w:cs="Arial"/>
        </w:rPr>
        <w:t>三、违约责任</w:t>
      </w:r>
    </w:p>
    <w:p>
      <w:pPr>
        <w:ind w:firstLine="420" w:firstLineChars="200"/>
        <w:rPr>
          <w:rFonts w:ascii="宋体" w:hAnsi="宋体" w:cs="Arial"/>
        </w:rPr>
      </w:pPr>
      <w:r>
        <w:rPr>
          <w:rFonts w:ascii="宋体" w:hAnsi="宋体" w:cs="Arial"/>
        </w:rPr>
        <w:t>如因</w:t>
      </w:r>
      <w:r>
        <w:rPr>
          <w:rFonts w:hint="eastAsia" w:ascii="宋体" w:hAnsi="宋体" w:cs="Arial"/>
        </w:rPr>
        <w:t>一方</w:t>
      </w:r>
      <w:r>
        <w:rPr>
          <w:rFonts w:ascii="宋体" w:hAnsi="宋体" w:cs="Arial"/>
        </w:rPr>
        <w:t>违约造成安全事故，将依法追究责任。</w:t>
      </w:r>
    </w:p>
    <w:p>
      <w:pPr>
        <w:rPr>
          <w:rFonts w:ascii="宋体" w:hAnsi="宋体" w:cs="Arial"/>
        </w:rPr>
      </w:pPr>
      <w:r>
        <w:rPr>
          <w:rFonts w:ascii="宋体" w:hAnsi="宋体" w:cs="Arial"/>
        </w:rPr>
        <w:t>本合同正本一式二份，副本八份，合同双方各执正本一份，副本四份。有双方法定代表人或其</w:t>
      </w:r>
      <w:r>
        <w:rPr>
          <w:rFonts w:hint="eastAsia" w:ascii="宋体" w:hAnsi="宋体" w:cs="Arial"/>
        </w:rPr>
        <w:t>授权代表</w:t>
      </w:r>
      <w:r>
        <w:rPr>
          <w:rFonts w:ascii="宋体" w:hAnsi="宋体" w:cs="Arial"/>
        </w:rPr>
        <w:t>签署与加盖公章后生效，全部工程竣工后失效。</w:t>
      </w:r>
    </w:p>
    <w:p>
      <w:pPr>
        <w:rPr>
          <w:rFonts w:ascii="宋体" w:hAnsi="宋体" w:cs="Arial"/>
        </w:rPr>
      </w:pPr>
      <w:r>
        <w:rPr>
          <w:rFonts w:ascii="宋体" w:hAnsi="宋体" w:cs="Arial"/>
        </w:rPr>
        <w:t xml:space="preserve">甲方：                       </w:t>
      </w:r>
      <w:r>
        <w:rPr>
          <w:rFonts w:hint="eastAsia" w:ascii="宋体" w:hAnsi="宋体" w:cs="Arial"/>
        </w:rPr>
        <w:t xml:space="preserve"> </w:t>
      </w:r>
      <w:r>
        <w:rPr>
          <w:rFonts w:ascii="宋体" w:hAnsi="宋体" w:cs="Arial"/>
        </w:rPr>
        <w:t xml:space="preserve">    乙方：                      </w:t>
      </w:r>
    </w:p>
    <w:p>
      <w:pPr>
        <w:rPr>
          <w:rFonts w:ascii="宋体" w:hAnsi="宋体" w:cs="Arial"/>
        </w:rPr>
      </w:pPr>
      <w:r>
        <w:rPr>
          <w:rFonts w:ascii="宋体" w:hAnsi="宋体" w:cs="Arial"/>
        </w:rPr>
        <w:t xml:space="preserve">法定代表人                      </w:t>
      </w:r>
      <w:r>
        <w:rPr>
          <w:rFonts w:hint="eastAsia" w:ascii="宋体" w:hAnsi="宋体" w:cs="Arial"/>
        </w:rPr>
        <w:t xml:space="preserve"> </w:t>
      </w:r>
      <w:r>
        <w:rPr>
          <w:rFonts w:ascii="宋体" w:hAnsi="宋体" w:cs="Arial"/>
        </w:rPr>
        <w:t xml:space="preserve"> 法定代表人</w:t>
      </w:r>
    </w:p>
    <w:p>
      <w:pPr>
        <w:rPr>
          <w:rFonts w:ascii="宋体" w:hAnsi="宋体" w:cs="Arial"/>
        </w:rPr>
      </w:pPr>
      <w:r>
        <w:rPr>
          <w:rFonts w:ascii="宋体" w:hAnsi="宋体" w:cs="Arial"/>
        </w:rPr>
        <w:t xml:space="preserve">或                               </w:t>
      </w:r>
      <w:r>
        <w:rPr>
          <w:rFonts w:hint="eastAsia" w:ascii="宋体" w:hAnsi="宋体" w:cs="Arial"/>
        </w:rPr>
        <w:t xml:space="preserve"> </w:t>
      </w:r>
      <w:r>
        <w:rPr>
          <w:rFonts w:ascii="宋体" w:hAnsi="宋体" w:cs="Arial"/>
        </w:rPr>
        <w:t>或</w:t>
      </w:r>
    </w:p>
    <w:p>
      <w:pPr>
        <w:rPr>
          <w:rFonts w:ascii="宋体" w:hAnsi="宋体" w:cs="Arial"/>
        </w:rPr>
      </w:pPr>
      <w:r>
        <w:rPr>
          <w:rFonts w:ascii="宋体" w:hAnsi="宋体" w:cs="Arial"/>
        </w:rPr>
        <w:t>其</w:t>
      </w:r>
      <w:r>
        <w:rPr>
          <w:rFonts w:hint="eastAsia" w:ascii="宋体" w:hAnsi="宋体" w:cs="Arial"/>
        </w:rPr>
        <w:t>授权代表</w:t>
      </w:r>
      <w:r>
        <w:rPr>
          <w:rFonts w:ascii="宋体" w:hAnsi="宋体" w:cs="Arial"/>
        </w:rPr>
        <w:t xml:space="preserve">：                </w:t>
      </w:r>
      <w:r>
        <w:rPr>
          <w:rFonts w:hint="eastAsia" w:ascii="宋体" w:hAnsi="宋体" w:cs="Arial"/>
        </w:rPr>
        <w:t xml:space="preserve">  </w:t>
      </w:r>
      <w:r>
        <w:rPr>
          <w:rFonts w:ascii="宋体" w:hAnsi="宋体" w:cs="Arial"/>
        </w:rPr>
        <w:t xml:space="preserve">    其</w:t>
      </w:r>
      <w:r>
        <w:rPr>
          <w:rFonts w:hint="eastAsia" w:ascii="宋体" w:hAnsi="宋体" w:cs="Arial"/>
        </w:rPr>
        <w:t>授权代表</w:t>
      </w:r>
      <w:r>
        <w:rPr>
          <w:rFonts w:ascii="宋体" w:hAnsi="宋体" w:cs="Arial"/>
        </w:rPr>
        <w:t xml:space="preserve">：                        </w:t>
      </w:r>
    </w:p>
    <w:p>
      <w:pPr>
        <w:rPr>
          <w:rFonts w:ascii="宋体" w:hAnsi="宋体" w:cs="Arial"/>
        </w:rPr>
      </w:pPr>
      <w:r>
        <w:rPr>
          <w:rFonts w:ascii="宋体" w:hAnsi="宋体" w:cs="Arial"/>
        </w:rPr>
        <w:t xml:space="preserve">地址：                            地址:                                </w:t>
      </w:r>
    </w:p>
    <w:p>
      <w:pPr>
        <w:rPr>
          <w:rFonts w:ascii="宋体" w:hAnsi="宋体" w:cs="Arial"/>
        </w:rPr>
      </w:pPr>
      <w:r>
        <w:rPr>
          <w:rFonts w:ascii="宋体" w:hAnsi="宋体" w:cs="Arial"/>
        </w:rPr>
        <w:t xml:space="preserve">电话：                            电话：                       </w:t>
      </w:r>
    </w:p>
    <w:p>
      <w:pPr>
        <w:rPr>
          <w:rFonts w:ascii="宋体" w:hAnsi="宋体" w:cs="Arial"/>
        </w:rPr>
      </w:pPr>
      <w:r>
        <w:rPr>
          <w:rFonts w:ascii="宋体" w:hAnsi="宋体" w:cs="Arial"/>
        </w:rPr>
        <w:t xml:space="preserve">日期：                            日期：    </w:t>
      </w:r>
    </w:p>
    <w:p>
      <w:pPr>
        <w:snapToGrid w:val="0"/>
        <w:spacing w:line="360" w:lineRule="auto"/>
        <w:ind w:firstLine="211" w:firstLineChars="100"/>
        <w:rPr>
          <w:rFonts w:ascii="宋体" w:hAnsi="宋体"/>
          <w:b/>
        </w:rPr>
      </w:pPr>
    </w:p>
    <w:p>
      <w:pPr>
        <w:snapToGrid w:val="0"/>
        <w:spacing w:line="360" w:lineRule="auto"/>
        <w:ind w:firstLine="211" w:firstLineChars="100"/>
        <w:rPr>
          <w:rFonts w:ascii="宋体" w:hAnsi="宋体"/>
          <w:b/>
        </w:rPr>
        <w:sectPr>
          <w:headerReference r:id="rId7" w:type="first"/>
          <w:footerReference r:id="rId9" w:type="first"/>
          <w:footerReference r:id="rId8" w:type="default"/>
          <w:pgSz w:w="11906" w:h="16838"/>
          <w:pgMar w:top="1244" w:right="1418" w:bottom="1134" w:left="1418" w:header="680" w:footer="992" w:gutter="0"/>
          <w:pgBorders>
            <w:top w:val="none" w:sz="0" w:space="0"/>
            <w:left w:val="none" w:sz="0" w:space="0"/>
            <w:bottom w:val="none" w:sz="0" w:space="0"/>
            <w:right w:val="none" w:sz="0" w:space="0"/>
          </w:pgBorders>
          <w:pgNumType w:start="1"/>
          <w:cols w:space="720" w:num="1"/>
          <w:titlePg/>
          <w:docGrid w:type="lines" w:linePitch="312" w:charSpace="0"/>
        </w:sectPr>
      </w:pPr>
      <w:r>
        <w:rPr>
          <w:rFonts w:ascii="宋体" w:hAnsi="宋体"/>
          <w:b/>
        </w:rPr>
        <w:br w:type="page"/>
      </w:r>
    </w:p>
    <w:p>
      <w:pPr>
        <w:pStyle w:val="6"/>
        <w:rPr>
          <w:rFonts w:hint="eastAsia" w:ascii="宋体" w:hAnsi="宋体" w:cs="Arial"/>
          <w:b/>
          <w:sz w:val="24"/>
          <w:lang w:eastAsia="zh-CN"/>
        </w:rPr>
      </w:pPr>
      <w:r>
        <w:rPr>
          <w:rFonts w:hint="eastAsia" w:ascii="宋体" w:hAnsi="宋体" w:cs="Arial"/>
          <w:b/>
          <w:sz w:val="24"/>
          <w:lang w:eastAsia="zh-CN"/>
        </w:rPr>
        <w:t>合同附件四：</w:t>
      </w:r>
    </w:p>
    <w:p>
      <w:pPr>
        <w:spacing w:line="360" w:lineRule="auto"/>
        <w:jc w:val="center"/>
        <w:rPr>
          <w:rFonts w:hAnsi="宋体"/>
          <w:b/>
          <w:sz w:val="28"/>
        </w:rPr>
      </w:pPr>
      <w:r>
        <w:rPr>
          <w:rFonts w:hint="eastAsia" w:hAnsi="宋体"/>
          <w:b/>
          <w:sz w:val="28"/>
        </w:rPr>
        <w:t>瑞安市污水处理厂及泵站格栅机定期保养及修理服务外包采购项目</w:t>
      </w:r>
      <w:r>
        <w:rPr>
          <w:rFonts w:hAnsi="宋体"/>
          <w:b/>
          <w:sz w:val="28"/>
        </w:rPr>
        <w:t>考核标准表</w:t>
      </w:r>
    </w:p>
    <w:tbl>
      <w:tblPr>
        <w:tblStyle w:val="49"/>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620"/>
        <w:gridCol w:w="1812"/>
        <w:gridCol w:w="5520"/>
        <w:gridCol w:w="4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242" w:type="dxa"/>
            <w:vAlign w:val="center"/>
          </w:tcPr>
          <w:p>
            <w:pPr>
              <w:jc w:val="center"/>
              <w:rPr>
                <w:sz w:val="21"/>
                <w:szCs w:val="21"/>
              </w:rPr>
            </w:pPr>
            <w:r>
              <w:rPr>
                <w:sz w:val="21"/>
                <w:szCs w:val="21"/>
              </w:rPr>
              <w:t>类别</w:t>
            </w:r>
          </w:p>
        </w:tc>
        <w:tc>
          <w:tcPr>
            <w:tcW w:w="3432" w:type="dxa"/>
            <w:gridSpan w:val="2"/>
            <w:vAlign w:val="center"/>
          </w:tcPr>
          <w:p>
            <w:pPr>
              <w:jc w:val="center"/>
              <w:rPr>
                <w:sz w:val="21"/>
                <w:szCs w:val="21"/>
              </w:rPr>
            </w:pPr>
            <w:r>
              <w:rPr>
                <w:sz w:val="21"/>
                <w:szCs w:val="21"/>
              </w:rPr>
              <w:t>考核内容及分值</w:t>
            </w:r>
          </w:p>
        </w:tc>
        <w:tc>
          <w:tcPr>
            <w:tcW w:w="5520" w:type="dxa"/>
            <w:vAlign w:val="center"/>
          </w:tcPr>
          <w:p>
            <w:pPr>
              <w:jc w:val="center"/>
              <w:rPr>
                <w:sz w:val="21"/>
                <w:szCs w:val="21"/>
              </w:rPr>
            </w:pPr>
            <w:r>
              <w:rPr>
                <w:sz w:val="21"/>
                <w:szCs w:val="21"/>
              </w:rPr>
              <w:t>具体内容</w:t>
            </w:r>
          </w:p>
        </w:tc>
        <w:tc>
          <w:tcPr>
            <w:tcW w:w="4515" w:type="dxa"/>
            <w:vAlign w:val="center"/>
          </w:tcPr>
          <w:p>
            <w:pPr>
              <w:jc w:val="center"/>
              <w:rPr>
                <w:sz w:val="21"/>
                <w:szCs w:val="21"/>
              </w:rPr>
            </w:pPr>
            <w:r>
              <w:rPr>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242" w:type="dxa"/>
            <w:vMerge w:val="restart"/>
            <w:vAlign w:val="center"/>
          </w:tcPr>
          <w:p>
            <w:pPr>
              <w:jc w:val="center"/>
              <w:rPr>
                <w:sz w:val="21"/>
                <w:szCs w:val="21"/>
              </w:rPr>
            </w:pPr>
            <w:r>
              <w:rPr>
                <w:sz w:val="21"/>
                <w:szCs w:val="21"/>
              </w:rPr>
              <w:t>管理机制</w:t>
            </w:r>
          </w:p>
          <w:p>
            <w:pPr>
              <w:jc w:val="center"/>
              <w:rPr>
                <w:sz w:val="21"/>
                <w:szCs w:val="21"/>
              </w:rPr>
            </w:pPr>
            <w:r>
              <w:rPr>
                <w:sz w:val="21"/>
                <w:szCs w:val="21"/>
              </w:rPr>
              <w:t>（40分）</w:t>
            </w:r>
          </w:p>
        </w:tc>
        <w:tc>
          <w:tcPr>
            <w:tcW w:w="1620" w:type="dxa"/>
            <w:vMerge w:val="restart"/>
            <w:vAlign w:val="center"/>
          </w:tcPr>
          <w:p>
            <w:pPr>
              <w:jc w:val="center"/>
              <w:rPr>
                <w:sz w:val="21"/>
                <w:szCs w:val="21"/>
              </w:rPr>
            </w:pPr>
            <w:r>
              <w:rPr>
                <w:sz w:val="21"/>
                <w:szCs w:val="21"/>
              </w:rPr>
              <w:t>制度完善</w:t>
            </w:r>
          </w:p>
          <w:p>
            <w:pPr>
              <w:jc w:val="center"/>
              <w:rPr>
                <w:sz w:val="21"/>
                <w:szCs w:val="21"/>
              </w:rPr>
            </w:pPr>
            <w:r>
              <w:rPr>
                <w:sz w:val="21"/>
                <w:szCs w:val="21"/>
              </w:rPr>
              <w:t>（15分）</w:t>
            </w:r>
          </w:p>
        </w:tc>
        <w:tc>
          <w:tcPr>
            <w:tcW w:w="1812" w:type="dxa"/>
            <w:vAlign w:val="center"/>
          </w:tcPr>
          <w:p>
            <w:pPr>
              <w:jc w:val="center"/>
              <w:rPr>
                <w:rFonts w:ascii="宋体" w:hAnsi="宋体" w:cs="宋体"/>
                <w:w w:val="80"/>
                <w:sz w:val="21"/>
                <w:szCs w:val="21"/>
              </w:rPr>
            </w:pPr>
            <w:r>
              <w:rPr>
                <w:rFonts w:hint="eastAsia"/>
                <w:sz w:val="21"/>
                <w:szCs w:val="21"/>
              </w:rPr>
              <w:t>组织架构（5分）</w:t>
            </w:r>
          </w:p>
        </w:tc>
        <w:tc>
          <w:tcPr>
            <w:tcW w:w="5520" w:type="dxa"/>
            <w:vAlign w:val="center"/>
          </w:tcPr>
          <w:p>
            <w:pPr>
              <w:rPr>
                <w:sz w:val="21"/>
                <w:szCs w:val="21"/>
              </w:rPr>
            </w:pPr>
            <w:r>
              <w:rPr>
                <w:rFonts w:hint="eastAsia"/>
                <w:sz w:val="21"/>
                <w:szCs w:val="21"/>
              </w:rPr>
              <w:t>配齐相关资质的设备</w:t>
            </w:r>
            <w:r>
              <w:rPr>
                <w:rFonts w:hint="eastAsia"/>
                <w:sz w:val="21"/>
                <w:szCs w:val="21"/>
                <w:lang w:eastAsia="zh-CN"/>
              </w:rPr>
              <w:t>设备日常巡查及保养</w:t>
            </w:r>
            <w:r>
              <w:rPr>
                <w:rFonts w:hint="eastAsia"/>
                <w:sz w:val="21"/>
                <w:szCs w:val="21"/>
              </w:rPr>
              <w:t>作业人员，建立队伍梯级配置体系。</w:t>
            </w:r>
          </w:p>
        </w:tc>
        <w:tc>
          <w:tcPr>
            <w:tcW w:w="4515" w:type="dxa"/>
            <w:vAlign w:val="center"/>
          </w:tcPr>
          <w:p>
            <w:pPr>
              <w:rPr>
                <w:sz w:val="21"/>
                <w:szCs w:val="21"/>
              </w:rPr>
            </w:pPr>
            <w:r>
              <w:rPr>
                <w:rFonts w:hint="eastAsia"/>
                <w:sz w:val="21"/>
                <w:szCs w:val="21"/>
              </w:rPr>
              <w:t>根据实际检查情况，架构不完整每处扣</w:t>
            </w:r>
            <w:r>
              <w:rPr>
                <w:rFonts w:hint="eastAsia"/>
                <w:color w:val="FF0000"/>
                <w:sz w:val="21"/>
                <w:szCs w:val="21"/>
              </w:rPr>
              <w:t>2</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物资设备（5分）</w:t>
            </w:r>
          </w:p>
        </w:tc>
        <w:tc>
          <w:tcPr>
            <w:tcW w:w="5520" w:type="dxa"/>
            <w:vAlign w:val="center"/>
          </w:tcPr>
          <w:p>
            <w:pPr>
              <w:rPr>
                <w:sz w:val="21"/>
                <w:szCs w:val="21"/>
              </w:rPr>
            </w:pPr>
            <w:r>
              <w:rPr>
                <w:rFonts w:hint="eastAsia"/>
                <w:sz w:val="21"/>
                <w:szCs w:val="21"/>
              </w:rPr>
              <w:t>配备基本维修装备：三角支架、手动葫芦、钢丝绳、手用工具、兆欧表、万用表、安全帽、工作服等。</w:t>
            </w:r>
          </w:p>
        </w:tc>
        <w:tc>
          <w:tcPr>
            <w:tcW w:w="4515" w:type="dxa"/>
            <w:vAlign w:val="center"/>
          </w:tcPr>
          <w:p>
            <w:pPr>
              <w:rPr>
                <w:sz w:val="21"/>
                <w:szCs w:val="21"/>
              </w:rPr>
            </w:pPr>
            <w:r>
              <w:rPr>
                <w:rFonts w:hint="eastAsia"/>
                <w:sz w:val="21"/>
                <w:szCs w:val="21"/>
              </w:rPr>
              <w:t>根据实际检查情况，物资装备不全每处扣2分。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规章制度（5分）</w:t>
            </w:r>
          </w:p>
        </w:tc>
        <w:tc>
          <w:tcPr>
            <w:tcW w:w="5520" w:type="dxa"/>
            <w:vAlign w:val="center"/>
          </w:tcPr>
          <w:p>
            <w:pPr>
              <w:rPr>
                <w:sz w:val="21"/>
                <w:szCs w:val="21"/>
              </w:rPr>
            </w:pPr>
            <w:r>
              <w:rPr>
                <w:rFonts w:hint="eastAsia"/>
                <w:sz w:val="21"/>
                <w:szCs w:val="21"/>
              </w:rPr>
              <w:t>应制定完善的规章制度并组织落实：设施设备操作规程、安全作业制度、定期内部考核制度等。</w:t>
            </w:r>
          </w:p>
        </w:tc>
        <w:tc>
          <w:tcPr>
            <w:tcW w:w="4515" w:type="dxa"/>
            <w:vAlign w:val="center"/>
          </w:tcPr>
          <w:p>
            <w:pPr>
              <w:rPr>
                <w:sz w:val="21"/>
                <w:szCs w:val="21"/>
              </w:rPr>
            </w:pPr>
            <w:r>
              <w:rPr>
                <w:rFonts w:hint="eastAsia"/>
                <w:sz w:val="21"/>
                <w:szCs w:val="21"/>
              </w:rPr>
              <w:t>无设施记录台账资料扣</w:t>
            </w:r>
            <w:r>
              <w:rPr>
                <w:rFonts w:hint="eastAsia"/>
                <w:color w:val="FF0000"/>
                <w:sz w:val="21"/>
                <w:szCs w:val="21"/>
              </w:rPr>
              <w:t>2</w:t>
            </w:r>
            <w:r>
              <w:rPr>
                <w:rFonts w:hint="eastAsia"/>
                <w:sz w:val="21"/>
                <w:szCs w:val="21"/>
              </w:rPr>
              <w:t>分；无安全作业制度扣</w:t>
            </w:r>
            <w:r>
              <w:rPr>
                <w:rFonts w:hint="eastAsia"/>
                <w:color w:val="FF0000"/>
                <w:sz w:val="21"/>
                <w:szCs w:val="21"/>
              </w:rPr>
              <w:t>2</w:t>
            </w:r>
            <w:r>
              <w:rPr>
                <w:rFonts w:hint="eastAsia"/>
                <w:sz w:val="21"/>
                <w:szCs w:val="21"/>
              </w:rPr>
              <w:t>分；无定期内部考核制度扣</w:t>
            </w:r>
            <w:r>
              <w:rPr>
                <w:rFonts w:hint="eastAsia"/>
                <w:color w:val="FF0000"/>
                <w:sz w:val="21"/>
                <w:szCs w:val="21"/>
              </w:rPr>
              <w:t>3</w:t>
            </w:r>
            <w:r>
              <w:rPr>
                <w:rFonts w:hint="eastAsia"/>
                <w:sz w:val="21"/>
                <w:szCs w:val="21"/>
              </w:rPr>
              <w:t>分；以上制度不完善酌情扣分。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1242" w:type="dxa"/>
            <w:vMerge w:val="continue"/>
            <w:vAlign w:val="center"/>
          </w:tcPr>
          <w:p>
            <w:pPr>
              <w:jc w:val="center"/>
              <w:rPr>
                <w:sz w:val="21"/>
                <w:szCs w:val="21"/>
              </w:rPr>
            </w:pPr>
          </w:p>
        </w:tc>
        <w:tc>
          <w:tcPr>
            <w:tcW w:w="1620" w:type="dxa"/>
            <w:vMerge w:val="restart"/>
            <w:vAlign w:val="center"/>
          </w:tcPr>
          <w:p>
            <w:pPr>
              <w:jc w:val="center"/>
              <w:rPr>
                <w:sz w:val="21"/>
                <w:szCs w:val="21"/>
              </w:rPr>
            </w:pPr>
            <w:r>
              <w:rPr>
                <w:sz w:val="21"/>
                <w:szCs w:val="21"/>
              </w:rPr>
              <w:t>安全文明作业（</w:t>
            </w:r>
            <w:r>
              <w:rPr>
                <w:color w:val="FF0000"/>
                <w:sz w:val="21"/>
                <w:szCs w:val="21"/>
              </w:rPr>
              <w:t>1</w:t>
            </w:r>
            <w:r>
              <w:rPr>
                <w:rFonts w:hint="eastAsia"/>
                <w:color w:val="FF0000"/>
                <w:sz w:val="21"/>
                <w:szCs w:val="21"/>
              </w:rPr>
              <w:t>5</w:t>
            </w:r>
            <w:r>
              <w:rPr>
                <w:sz w:val="21"/>
                <w:szCs w:val="21"/>
              </w:rPr>
              <w:t>分）</w:t>
            </w:r>
          </w:p>
        </w:tc>
        <w:tc>
          <w:tcPr>
            <w:tcW w:w="1812" w:type="dxa"/>
            <w:vAlign w:val="center"/>
          </w:tcPr>
          <w:p>
            <w:pPr>
              <w:jc w:val="center"/>
              <w:rPr>
                <w:sz w:val="21"/>
                <w:szCs w:val="21"/>
              </w:rPr>
            </w:pPr>
            <w:r>
              <w:rPr>
                <w:rFonts w:hint="eastAsia"/>
                <w:sz w:val="21"/>
                <w:szCs w:val="21"/>
              </w:rPr>
              <w:t>培训和持证上岗（ 5分）</w:t>
            </w:r>
          </w:p>
        </w:tc>
        <w:tc>
          <w:tcPr>
            <w:tcW w:w="5520" w:type="dxa"/>
            <w:vAlign w:val="center"/>
          </w:tcPr>
          <w:p>
            <w:pPr>
              <w:rPr>
                <w:sz w:val="21"/>
                <w:szCs w:val="21"/>
              </w:rPr>
            </w:pPr>
            <w:r>
              <w:rPr>
                <w:rFonts w:hint="eastAsia"/>
                <w:sz w:val="21"/>
                <w:szCs w:val="21"/>
              </w:rPr>
              <w:t>格栅机保养、修理作业人员上岗前须接受必要的安全作业技能培训，掌握人工急救、防护用具、照明、通讯及作业设备的使用方法及相关作业的安全知识，考核合格后必须持证上岗。</w:t>
            </w:r>
          </w:p>
        </w:tc>
        <w:tc>
          <w:tcPr>
            <w:tcW w:w="4515" w:type="dxa"/>
            <w:vAlign w:val="center"/>
          </w:tcPr>
          <w:p>
            <w:pPr>
              <w:rPr>
                <w:sz w:val="21"/>
                <w:szCs w:val="21"/>
              </w:rPr>
            </w:pPr>
            <w:r>
              <w:rPr>
                <w:rFonts w:hint="eastAsia"/>
                <w:sz w:val="21"/>
                <w:szCs w:val="21"/>
              </w:rPr>
              <w:t>各岗位操作人员全部持证上岗不扣分，每发现一次扣</w:t>
            </w:r>
            <w:r>
              <w:rPr>
                <w:rFonts w:hint="eastAsia"/>
                <w:color w:val="FF0000"/>
                <w:sz w:val="21"/>
                <w:szCs w:val="21"/>
              </w:rPr>
              <w:t>2</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安全生产作业</w:t>
            </w:r>
          </w:p>
          <w:p>
            <w:pPr>
              <w:jc w:val="center"/>
              <w:rPr>
                <w:sz w:val="21"/>
                <w:szCs w:val="21"/>
              </w:rPr>
            </w:pPr>
            <w:r>
              <w:rPr>
                <w:rFonts w:hint="eastAsia"/>
                <w:sz w:val="21"/>
                <w:szCs w:val="21"/>
              </w:rPr>
              <w:t>（</w:t>
            </w:r>
            <w:r>
              <w:rPr>
                <w:rFonts w:hint="eastAsia"/>
                <w:color w:val="FF0000"/>
                <w:sz w:val="21"/>
                <w:szCs w:val="21"/>
              </w:rPr>
              <w:t>10</w:t>
            </w:r>
            <w:r>
              <w:rPr>
                <w:rFonts w:hint="eastAsia"/>
                <w:sz w:val="21"/>
                <w:szCs w:val="21"/>
              </w:rPr>
              <w:t>分 ）</w:t>
            </w:r>
          </w:p>
        </w:tc>
        <w:tc>
          <w:tcPr>
            <w:tcW w:w="5520" w:type="dxa"/>
            <w:vAlign w:val="center"/>
          </w:tcPr>
          <w:p>
            <w:pPr>
              <w:rPr>
                <w:sz w:val="21"/>
                <w:szCs w:val="21"/>
              </w:rPr>
            </w:pPr>
            <w:r>
              <w:rPr>
                <w:rFonts w:hint="eastAsia"/>
                <w:sz w:val="21"/>
                <w:szCs w:val="21"/>
              </w:rPr>
              <w:t>严格执行本岗位的操作规程和安全技术措施，熟悉设备性能，掌握正确的检查方法；严格按照检查周期对所属范围内机电设备、安全保护设施进行安全检查，并保证作业时的安全生产。工作中认真执行检查制度，发现隐患及时汇报处理。</w:t>
            </w:r>
          </w:p>
        </w:tc>
        <w:tc>
          <w:tcPr>
            <w:tcW w:w="4515" w:type="dxa"/>
            <w:vAlign w:val="center"/>
          </w:tcPr>
          <w:p>
            <w:pPr>
              <w:rPr>
                <w:sz w:val="21"/>
                <w:szCs w:val="21"/>
              </w:rPr>
            </w:pPr>
            <w:r>
              <w:rPr>
                <w:rFonts w:hint="eastAsia"/>
                <w:sz w:val="21"/>
                <w:szCs w:val="21"/>
              </w:rPr>
              <w:t>根据实际检查情况，不按相关规定、操作流程作业操作的，每发现一处扣</w:t>
            </w:r>
            <w:r>
              <w:rPr>
                <w:rFonts w:hint="eastAsia"/>
                <w:color w:val="FF0000"/>
                <w:sz w:val="21"/>
                <w:szCs w:val="21"/>
              </w:rPr>
              <w:t>2</w:t>
            </w:r>
            <w:r>
              <w:rPr>
                <w:rFonts w:hint="eastAsia"/>
                <w:sz w:val="21"/>
                <w:szCs w:val="21"/>
              </w:rPr>
              <w:t>分。若发生安全生产事故的，根据情节严重性酌情扣分；若发生人员死亡安全事故，则考核成绩不合格。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1242" w:type="dxa"/>
            <w:vMerge w:val="continue"/>
            <w:vAlign w:val="center"/>
          </w:tcPr>
          <w:p>
            <w:pPr>
              <w:jc w:val="center"/>
              <w:rPr>
                <w:sz w:val="21"/>
                <w:szCs w:val="21"/>
              </w:rPr>
            </w:pPr>
          </w:p>
        </w:tc>
        <w:tc>
          <w:tcPr>
            <w:tcW w:w="1620" w:type="dxa"/>
            <w:vMerge w:val="restart"/>
            <w:vAlign w:val="center"/>
          </w:tcPr>
          <w:p>
            <w:pPr>
              <w:jc w:val="center"/>
              <w:rPr>
                <w:sz w:val="21"/>
                <w:szCs w:val="21"/>
              </w:rPr>
            </w:pPr>
            <w:r>
              <w:rPr>
                <w:sz w:val="21"/>
                <w:szCs w:val="21"/>
              </w:rPr>
              <w:t>档案资料</w:t>
            </w:r>
          </w:p>
          <w:p>
            <w:pPr>
              <w:jc w:val="center"/>
              <w:rPr>
                <w:sz w:val="21"/>
                <w:szCs w:val="21"/>
              </w:rPr>
            </w:pPr>
            <w:r>
              <w:rPr>
                <w:sz w:val="21"/>
                <w:szCs w:val="21"/>
              </w:rPr>
              <w:t>（</w:t>
            </w:r>
            <w:r>
              <w:rPr>
                <w:rFonts w:hint="eastAsia"/>
                <w:color w:val="FF0000"/>
                <w:sz w:val="21"/>
                <w:szCs w:val="21"/>
              </w:rPr>
              <w:t>10</w:t>
            </w:r>
            <w:r>
              <w:rPr>
                <w:sz w:val="21"/>
                <w:szCs w:val="21"/>
              </w:rPr>
              <w:t>分）</w:t>
            </w:r>
          </w:p>
        </w:tc>
        <w:tc>
          <w:tcPr>
            <w:tcW w:w="1812" w:type="dxa"/>
            <w:vAlign w:val="center"/>
          </w:tcPr>
          <w:p>
            <w:pPr>
              <w:jc w:val="center"/>
              <w:rPr>
                <w:sz w:val="21"/>
                <w:szCs w:val="21"/>
              </w:rPr>
            </w:pPr>
            <w:r>
              <w:rPr>
                <w:rFonts w:hint="eastAsia" w:ascii="宋体" w:hAnsi="宋体" w:cs="宋体"/>
                <w:sz w:val="21"/>
                <w:szCs w:val="21"/>
              </w:rPr>
              <w:t>提供年度定期维养、日常巡查维护计划</w:t>
            </w:r>
            <w:r>
              <w:rPr>
                <w:rFonts w:hint="eastAsia"/>
                <w:sz w:val="21"/>
                <w:szCs w:val="21"/>
              </w:rPr>
              <w:t>（</w:t>
            </w:r>
            <w:r>
              <w:rPr>
                <w:rFonts w:hint="eastAsia"/>
                <w:color w:val="FF0000"/>
                <w:sz w:val="21"/>
                <w:szCs w:val="21"/>
              </w:rPr>
              <w:t>5</w:t>
            </w:r>
            <w:r>
              <w:rPr>
                <w:rFonts w:hint="eastAsia"/>
                <w:sz w:val="21"/>
                <w:szCs w:val="21"/>
              </w:rPr>
              <w:t>分）</w:t>
            </w:r>
          </w:p>
        </w:tc>
        <w:tc>
          <w:tcPr>
            <w:tcW w:w="5520" w:type="dxa"/>
            <w:vAlign w:val="center"/>
          </w:tcPr>
          <w:p>
            <w:pPr>
              <w:rPr>
                <w:sz w:val="21"/>
                <w:szCs w:val="21"/>
              </w:rPr>
            </w:pPr>
            <w:r>
              <w:rPr>
                <w:rFonts w:hint="eastAsia"/>
                <w:sz w:val="21"/>
                <w:szCs w:val="21"/>
              </w:rPr>
              <w:t>合同签订30日内</w:t>
            </w:r>
            <w:r>
              <w:rPr>
                <w:rFonts w:hint="eastAsia" w:ascii="宋体" w:hAnsi="宋体" w:cs="宋体"/>
                <w:sz w:val="21"/>
                <w:szCs w:val="21"/>
              </w:rPr>
              <w:t>提供年度定期维养、日常巡查维护计划</w:t>
            </w:r>
            <w:r>
              <w:rPr>
                <w:rFonts w:hint="eastAsia"/>
                <w:sz w:val="21"/>
                <w:szCs w:val="21"/>
              </w:rPr>
              <w:t>。</w:t>
            </w:r>
          </w:p>
        </w:tc>
        <w:tc>
          <w:tcPr>
            <w:tcW w:w="4515" w:type="dxa"/>
            <w:vAlign w:val="center"/>
          </w:tcPr>
          <w:p>
            <w:pPr>
              <w:rPr>
                <w:sz w:val="21"/>
                <w:szCs w:val="21"/>
              </w:rPr>
            </w:pPr>
            <w:r>
              <w:rPr>
                <w:rFonts w:hint="eastAsia"/>
                <w:sz w:val="21"/>
                <w:szCs w:val="21"/>
              </w:rPr>
              <w:t>迟报计划一次扣1分，未报一次扣5分。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保养台账（5分）</w:t>
            </w:r>
          </w:p>
        </w:tc>
        <w:tc>
          <w:tcPr>
            <w:tcW w:w="5520" w:type="dxa"/>
            <w:vAlign w:val="center"/>
          </w:tcPr>
          <w:p>
            <w:pPr>
              <w:rPr>
                <w:sz w:val="21"/>
                <w:szCs w:val="21"/>
              </w:rPr>
            </w:pPr>
            <w:r>
              <w:rPr>
                <w:rFonts w:hint="eastAsia"/>
                <w:sz w:val="21"/>
                <w:szCs w:val="21"/>
              </w:rPr>
              <w:t>应配备专职资料员，格栅机维护与安全台账应记录详细、装订规范、及时归档，并在QQ群、微信群等平台实时上传与台账一致的作业信息。每季度须上交整理成册的养护运行月度台账，有条件的可建立信息库。</w:t>
            </w:r>
          </w:p>
        </w:tc>
        <w:tc>
          <w:tcPr>
            <w:tcW w:w="4515" w:type="dxa"/>
            <w:vAlign w:val="center"/>
          </w:tcPr>
          <w:p>
            <w:pPr>
              <w:rPr>
                <w:sz w:val="21"/>
                <w:szCs w:val="21"/>
              </w:rPr>
            </w:pPr>
            <w:r>
              <w:rPr>
                <w:rFonts w:hint="eastAsia"/>
                <w:sz w:val="21"/>
                <w:szCs w:val="21"/>
              </w:rPr>
              <w:t>台账紊乱或不全的，没发现一处扣</w:t>
            </w:r>
            <w:r>
              <w:rPr>
                <w:rFonts w:hint="eastAsia"/>
                <w:color w:val="FF0000"/>
                <w:sz w:val="21"/>
                <w:szCs w:val="21"/>
              </w:rPr>
              <w:t>2</w:t>
            </w:r>
            <w:r>
              <w:rPr>
                <w:rFonts w:hint="eastAsia"/>
                <w:sz w:val="21"/>
                <w:szCs w:val="21"/>
              </w:rPr>
              <w:t>分，月底之前迟上交月度台账的扣</w:t>
            </w:r>
            <w:r>
              <w:rPr>
                <w:rFonts w:hint="eastAsia"/>
                <w:color w:val="FF0000"/>
                <w:sz w:val="21"/>
                <w:szCs w:val="21"/>
              </w:rPr>
              <w:t>3</w:t>
            </w:r>
            <w:r>
              <w:rPr>
                <w:rFonts w:hint="eastAsia"/>
                <w:sz w:val="21"/>
                <w:szCs w:val="21"/>
              </w:rPr>
              <w:t>分，未上交扣</w:t>
            </w:r>
            <w:r>
              <w:rPr>
                <w:rFonts w:hint="eastAsia"/>
                <w:color w:val="FF0000"/>
                <w:sz w:val="21"/>
                <w:szCs w:val="21"/>
              </w:rPr>
              <w:t>5</w:t>
            </w:r>
            <w:r>
              <w:rPr>
                <w:rFonts w:hint="eastAsia"/>
                <w:sz w:val="21"/>
                <w:szCs w:val="21"/>
              </w:rPr>
              <w:t>分。根据实际检查台账情况，酌情扣分。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1" w:hRule="atLeast"/>
        </w:trPr>
        <w:tc>
          <w:tcPr>
            <w:tcW w:w="1242" w:type="dxa"/>
            <w:vMerge w:val="restart"/>
            <w:vAlign w:val="center"/>
          </w:tcPr>
          <w:p>
            <w:pPr>
              <w:jc w:val="center"/>
              <w:rPr>
                <w:sz w:val="21"/>
                <w:szCs w:val="21"/>
              </w:rPr>
            </w:pPr>
            <w:r>
              <w:rPr>
                <w:rFonts w:hint="eastAsia"/>
                <w:sz w:val="21"/>
                <w:szCs w:val="21"/>
              </w:rPr>
              <w:t>工作内容</w:t>
            </w:r>
          </w:p>
          <w:p>
            <w:pPr>
              <w:jc w:val="center"/>
              <w:rPr>
                <w:sz w:val="21"/>
                <w:szCs w:val="21"/>
              </w:rPr>
            </w:pPr>
            <w:r>
              <w:rPr>
                <w:sz w:val="21"/>
                <w:szCs w:val="21"/>
              </w:rPr>
              <w:t>（60分）</w:t>
            </w:r>
          </w:p>
        </w:tc>
        <w:tc>
          <w:tcPr>
            <w:tcW w:w="1620" w:type="dxa"/>
            <w:vMerge w:val="restart"/>
            <w:vAlign w:val="center"/>
          </w:tcPr>
          <w:p>
            <w:pPr>
              <w:jc w:val="center"/>
              <w:rPr>
                <w:rFonts w:ascii="宋体" w:hAnsi="宋体" w:cs="宋体"/>
                <w:sz w:val="21"/>
                <w:szCs w:val="21"/>
              </w:rPr>
            </w:pPr>
            <w:r>
              <w:rPr>
                <w:rFonts w:hint="eastAsia" w:ascii="宋体" w:hAnsi="宋体" w:cs="宋体"/>
                <w:sz w:val="21"/>
                <w:szCs w:val="21"/>
              </w:rPr>
              <w:t>格栅机（输送机）</w:t>
            </w:r>
            <w:r>
              <w:rPr>
                <w:rFonts w:ascii="宋体" w:hAnsi="宋体" w:cs="宋体"/>
                <w:sz w:val="21"/>
                <w:szCs w:val="21"/>
              </w:rPr>
              <w:t>保养</w:t>
            </w:r>
          </w:p>
          <w:p>
            <w:pPr>
              <w:jc w:val="center"/>
              <w:rPr>
                <w:sz w:val="21"/>
                <w:szCs w:val="21"/>
              </w:rPr>
            </w:pPr>
            <w:r>
              <w:rPr>
                <w:rFonts w:ascii="宋体" w:hAnsi="宋体" w:cs="宋体"/>
                <w:sz w:val="21"/>
                <w:szCs w:val="21"/>
              </w:rPr>
              <w:t>（</w:t>
            </w:r>
            <w:r>
              <w:rPr>
                <w:rFonts w:hint="eastAsia"/>
                <w:sz w:val="21"/>
                <w:szCs w:val="21"/>
              </w:rPr>
              <w:t>20</w:t>
            </w:r>
            <w:r>
              <w:rPr>
                <w:rFonts w:ascii="宋体" w:hAnsi="宋体" w:cs="宋体"/>
                <w:sz w:val="21"/>
                <w:szCs w:val="21"/>
              </w:rPr>
              <w:t>分）</w:t>
            </w:r>
          </w:p>
        </w:tc>
        <w:tc>
          <w:tcPr>
            <w:tcW w:w="1812" w:type="dxa"/>
            <w:vAlign w:val="center"/>
          </w:tcPr>
          <w:p>
            <w:pPr>
              <w:jc w:val="center"/>
              <w:rPr>
                <w:sz w:val="21"/>
                <w:szCs w:val="21"/>
              </w:rPr>
            </w:pPr>
            <w:r>
              <w:rPr>
                <w:rFonts w:hint="eastAsia"/>
                <w:sz w:val="21"/>
                <w:szCs w:val="21"/>
              </w:rPr>
              <w:t>格栅机（输送机）（10分）</w:t>
            </w:r>
          </w:p>
        </w:tc>
        <w:tc>
          <w:tcPr>
            <w:tcW w:w="5520" w:type="dxa"/>
            <w:vAlign w:val="center"/>
          </w:tcPr>
          <w:p>
            <w:pPr>
              <w:rPr>
                <w:sz w:val="21"/>
                <w:szCs w:val="21"/>
              </w:rPr>
            </w:pPr>
            <w:r>
              <w:rPr>
                <w:rFonts w:hint="eastAsia"/>
                <w:sz w:val="21"/>
                <w:szCs w:val="21"/>
              </w:rPr>
              <w:t>掌握格栅机（输送机）的运行情况，并备齐必要的图纸和资料，备齐检修工具、量具、起重机具、配件及材料，切断设备电源，达到设备安全与检修条件，检查各零部件，检查减速机是否漏油，轴承、机封是否正常。格栅机（输送机）经过检修后进行试运行，传动系统是否正常，电机的电压和电流是否稳定三相电压与电流是否平衡，电流是否超过电机的额定电流。</w:t>
            </w:r>
          </w:p>
        </w:tc>
        <w:tc>
          <w:tcPr>
            <w:tcW w:w="4515" w:type="dxa"/>
            <w:vAlign w:val="center"/>
          </w:tcPr>
          <w:p>
            <w:pPr>
              <w:rPr>
                <w:sz w:val="21"/>
                <w:szCs w:val="21"/>
              </w:rPr>
            </w:pPr>
            <w:r>
              <w:rPr>
                <w:rFonts w:hint="eastAsia"/>
                <w:sz w:val="21"/>
                <w:szCs w:val="21"/>
              </w:rPr>
              <w:t>发现一起格栅机（输送机）安装质量问题根据实际抽检情况，酌情扣分；</w:t>
            </w:r>
          </w:p>
          <w:p>
            <w:pPr>
              <w:rPr>
                <w:sz w:val="21"/>
                <w:szCs w:val="21"/>
              </w:rPr>
            </w:pPr>
            <w:r>
              <w:rPr>
                <w:rFonts w:hint="eastAsia"/>
                <w:sz w:val="21"/>
                <w:szCs w:val="21"/>
              </w:rPr>
              <w:t>若同一台格栅机（输送机）检修后还发现同样问题，甲方有权解除合同。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9"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格栅机（输送机）控制箱元器件（5分）</w:t>
            </w:r>
          </w:p>
        </w:tc>
        <w:tc>
          <w:tcPr>
            <w:tcW w:w="5520" w:type="dxa"/>
            <w:vAlign w:val="center"/>
          </w:tcPr>
          <w:p>
            <w:pPr>
              <w:rPr>
                <w:sz w:val="21"/>
                <w:szCs w:val="21"/>
              </w:rPr>
            </w:pPr>
            <w:r>
              <w:rPr>
                <w:rFonts w:hint="eastAsia"/>
                <w:sz w:val="21"/>
                <w:szCs w:val="21"/>
              </w:rPr>
              <w:t>检查要点：断开电源开关锁定挂检修或保养警示标识，检查接地，要求接地电阻不大于4Ω，检查全部电器开关，应动作灵活可靠，无显著噪声，检查主回路连接线结头和接线柱应无松动、发热和变色现象，控制回路联接线应无松动脱落现象；空气开关、接触器等动静触头应无断裂、烧蚀或接触不良等现象；电磁铁线圈外表的绝缘以及机械部件的动作是否可靠。检查主回路和控制回路的相关线路，标准：无老化、锈蚀、破损现象。检查控制柜的仪表、指示灯（信号灯），应完全无损，指示准确有效</w:t>
            </w:r>
          </w:p>
        </w:tc>
        <w:tc>
          <w:tcPr>
            <w:tcW w:w="4515" w:type="dxa"/>
            <w:vAlign w:val="center"/>
          </w:tcPr>
          <w:p>
            <w:pPr>
              <w:rPr>
                <w:sz w:val="21"/>
                <w:szCs w:val="21"/>
              </w:rPr>
            </w:pPr>
            <w:r>
              <w:rPr>
                <w:rFonts w:hint="eastAsia"/>
                <w:sz w:val="21"/>
                <w:szCs w:val="21"/>
              </w:rPr>
              <w:t>原则上每发现一处问题扣0.5分，根据实际抽检情况，酌情扣分。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242" w:type="dxa"/>
            <w:vMerge w:val="continue"/>
            <w:vAlign w:val="center"/>
          </w:tcPr>
          <w:p>
            <w:pPr>
              <w:jc w:val="center"/>
              <w:rPr>
                <w:sz w:val="21"/>
                <w:szCs w:val="21"/>
              </w:rPr>
            </w:pPr>
          </w:p>
        </w:tc>
        <w:tc>
          <w:tcPr>
            <w:tcW w:w="1620" w:type="dxa"/>
            <w:vMerge w:val="continue"/>
            <w:tcBorders>
              <w:bottom w:val="single" w:color="auto" w:sz="4" w:space="0"/>
            </w:tcBorders>
            <w:vAlign w:val="center"/>
          </w:tcPr>
          <w:p>
            <w:pPr>
              <w:jc w:val="center"/>
              <w:rPr>
                <w:sz w:val="21"/>
                <w:szCs w:val="21"/>
              </w:rPr>
            </w:pPr>
          </w:p>
        </w:tc>
        <w:tc>
          <w:tcPr>
            <w:tcW w:w="1812" w:type="dxa"/>
            <w:vAlign w:val="center"/>
          </w:tcPr>
          <w:p>
            <w:pPr>
              <w:jc w:val="center"/>
              <w:rPr>
                <w:sz w:val="21"/>
                <w:szCs w:val="21"/>
              </w:rPr>
            </w:pPr>
            <w:r>
              <w:rPr>
                <w:rFonts w:hint="eastAsia"/>
                <w:sz w:val="21"/>
                <w:szCs w:val="21"/>
              </w:rPr>
              <w:t>工作完成情况</w:t>
            </w:r>
          </w:p>
          <w:p>
            <w:pPr>
              <w:jc w:val="center"/>
              <w:rPr>
                <w:sz w:val="21"/>
                <w:szCs w:val="21"/>
              </w:rPr>
            </w:pPr>
            <w:r>
              <w:rPr>
                <w:rFonts w:hint="eastAsia"/>
                <w:sz w:val="21"/>
                <w:szCs w:val="21"/>
              </w:rPr>
              <w:t>（5分）</w:t>
            </w:r>
          </w:p>
        </w:tc>
        <w:tc>
          <w:tcPr>
            <w:tcW w:w="5520" w:type="dxa"/>
            <w:vAlign w:val="center"/>
          </w:tcPr>
          <w:p>
            <w:pPr>
              <w:rPr>
                <w:sz w:val="21"/>
                <w:szCs w:val="21"/>
              </w:rPr>
            </w:pPr>
            <w:r>
              <w:rPr>
                <w:rFonts w:hint="eastAsia"/>
                <w:sz w:val="21"/>
                <w:szCs w:val="21"/>
              </w:rPr>
              <w:t>按招标文件和业主要求完成格栅机（输送机）设备保养</w:t>
            </w:r>
          </w:p>
        </w:tc>
        <w:tc>
          <w:tcPr>
            <w:tcW w:w="4515" w:type="dxa"/>
            <w:vAlign w:val="center"/>
          </w:tcPr>
          <w:p>
            <w:pPr>
              <w:rPr>
                <w:sz w:val="21"/>
                <w:szCs w:val="21"/>
              </w:rPr>
            </w:pPr>
            <w:r>
              <w:rPr>
                <w:rFonts w:hint="eastAsia"/>
                <w:sz w:val="21"/>
                <w:szCs w:val="21"/>
              </w:rPr>
              <w:t>1、按要求完成所有数量的90%及以上，不扣分；</w:t>
            </w:r>
          </w:p>
          <w:p>
            <w:pPr>
              <w:rPr>
                <w:sz w:val="21"/>
                <w:szCs w:val="21"/>
              </w:rPr>
            </w:pPr>
            <w:r>
              <w:rPr>
                <w:rFonts w:hint="eastAsia"/>
                <w:sz w:val="21"/>
                <w:szCs w:val="21"/>
              </w:rPr>
              <w:t>2、按要求完成所有数量的70%（含）至90%，扣2分；</w:t>
            </w:r>
          </w:p>
          <w:p>
            <w:pPr>
              <w:rPr>
                <w:sz w:val="21"/>
                <w:szCs w:val="21"/>
              </w:rPr>
            </w:pPr>
            <w:r>
              <w:rPr>
                <w:rFonts w:hint="eastAsia"/>
                <w:sz w:val="21"/>
                <w:szCs w:val="21"/>
              </w:rPr>
              <w:t>3、按要求完成所有数量的70%以下，扣5分。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1242" w:type="dxa"/>
            <w:vMerge w:val="continue"/>
            <w:vAlign w:val="center"/>
          </w:tcPr>
          <w:p>
            <w:pPr>
              <w:jc w:val="center"/>
              <w:rPr>
                <w:sz w:val="21"/>
                <w:szCs w:val="21"/>
              </w:rPr>
            </w:pPr>
          </w:p>
        </w:tc>
        <w:tc>
          <w:tcPr>
            <w:tcW w:w="1620" w:type="dxa"/>
            <w:vMerge w:val="restart"/>
            <w:vAlign w:val="center"/>
          </w:tcPr>
          <w:p>
            <w:pPr>
              <w:jc w:val="center"/>
              <w:rPr>
                <w:rFonts w:ascii="宋体" w:hAnsi="宋体" w:cs="宋体"/>
                <w:sz w:val="21"/>
                <w:szCs w:val="21"/>
              </w:rPr>
            </w:pPr>
            <w:r>
              <w:rPr>
                <w:rFonts w:hint="eastAsia" w:ascii="宋体" w:hAnsi="宋体" w:cs="宋体"/>
                <w:sz w:val="21"/>
                <w:szCs w:val="21"/>
              </w:rPr>
              <w:t>格栅机（输送机）维修</w:t>
            </w:r>
          </w:p>
          <w:p>
            <w:pPr>
              <w:jc w:val="center"/>
              <w:rPr>
                <w:sz w:val="21"/>
                <w:szCs w:val="21"/>
              </w:rPr>
            </w:pPr>
            <w:r>
              <w:rPr>
                <w:rFonts w:hint="eastAsia" w:ascii="宋体" w:hAnsi="宋体" w:cs="宋体"/>
                <w:sz w:val="21"/>
                <w:szCs w:val="21"/>
              </w:rPr>
              <w:t>（40分）</w:t>
            </w:r>
          </w:p>
        </w:tc>
        <w:tc>
          <w:tcPr>
            <w:tcW w:w="1812" w:type="dxa"/>
            <w:vAlign w:val="center"/>
          </w:tcPr>
          <w:p>
            <w:pPr>
              <w:jc w:val="center"/>
              <w:rPr>
                <w:sz w:val="21"/>
                <w:szCs w:val="21"/>
              </w:rPr>
            </w:pPr>
            <w:r>
              <w:rPr>
                <w:rFonts w:hint="eastAsia"/>
                <w:sz w:val="21"/>
                <w:szCs w:val="21"/>
              </w:rPr>
              <w:t>维修时间</w:t>
            </w:r>
          </w:p>
          <w:p>
            <w:pPr>
              <w:jc w:val="center"/>
              <w:rPr>
                <w:sz w:val="21"/>
                <w:szCs w:val="21"/>
              </w:rPr>
            </w:pPr>
            <w:r>
              <w:rPr>
                <w:rFonts w:hint="eastAsia"/>
                <w:sz w:val="21"/>
                <w:szCs w:val="21"/>
              </w:rPr>
              <w:t>（10分）</w:t>
            </w:r>
          </w:p>
        </w:tc>
        <w:tc>
          <w:tcPr>
            <w:tcW w:w="5520" w:type="dxa"/>
            <w:vAlign w:val="center"/>
          </w:tcPr>
          <w:p>
            <w:pPr>
              <w:rPr>
                <w:sz w:val="21"/>
                <w:szCs w:val="21"/>
              </w:rPr>
            </w:pPr>
            <w:r>
              <w:rPr>
                <w:rFonts w:hint="eastAsia"/>
                <w:sz w:val="21"/>
                <w:szCs w:val="21"/>
              </w:rPr>
              <w:t>维修单位未在规定时间内到达现场维修或未在双方约定的维修周期内完工</w:t>
            </w:r>
          </w:p>
        </w:tc>
        <w:tc>
          <w:tcPr>
            <w:tcW w:w="4515" w:type="dxa"/>
            <w:vAlign w:val="center"/>
          </w:tcPr>
          <w:p>
            <w:pPr>
              <w:rPr>
                <w:sz w:val="21"/>
                <w:szCs w:val="21"/>
              </w:rPr>
            </w:pPr>
            <w:r>
              <w:rPr>
                <w:rFonts w:hint="eastAsia"/>
                <w:sz w:val="21"/>
                <w:szCs w:val="21"/>
              </w:rPr>
              <w:t>发现一次酌情扣分，最高每次扣10分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维修能力</w:t>
            </w:r>
          </w:p>
          <w:p>
            <w:pPr>
              <w:jc w:val="center"/>
              <w:rPr>
                <w:sz w:val="21"/>
                <w:szCs w:val="21"/>
              </w:rPr>
            </w:pPr>
            <w:r>
              <w:rPr>
                <w:rFonts w:hint="eastAsia"/>
                <w:sz w:val="21"/>
                <w:szCs w:val="21"/>
              </w:rPr>
              <w:t>（15分）</w:t>
            </w:r>
          </w:p>
        </w:tc>
        <w:tc>
          <w:tcPr>
            <w:tcW w:w="5520" w:type="dxa"/>
            <w:vAlign w:val="center"/>
          </w:tcPr>
          <w:p>
            <w:pPr>
              <w:rPr>
                <w:sz w:val="21"/>
                <w:szCs w:val="21"/>
              </w:rPr>
            </w:pPr>
            <w:r>
              <w:rPr>
                <w:rFonts w:hint="eastAsia"/>
                <w:sz w:val="21"/>
                <w:szCs w:val="21"/>
              </w:rPr>
              <w:t>维修单位出现较大的工作失误并造成一定后果的事件</w:t>
            </w:r>
          </w:p>
        </w:tc>
        <w:tc>
          <w:tcPr>
            <w:tcW w:w="4515" w:type="dxa"/>
            <w:vAlign w:val="center"/>
          </w:tcPr>
          <w:p>
            <w:pPr>
              <w:rPr>
                <w:sz w:val="21"/>
                <w:szCs w:val="21"/>
              </w:rPr>
            </w:pPr>
            <w:r>
              <w:rPr>
                <w:rFonts w:hint="eastAsia"/>
                <w:sz w:val="21"/>
                <w:szCs w:val="21"/>
              </w:rPr>
              <w:t>发现一次扣</w:t>
            </w:r>
            <w:r>
              <w:rPr>
                <w:rFonts w:hint="eastAsia"/>
                <w:color w:val="FF0000"/>
                <w:sz w:val="21"/>
                <w:szCs w:val="21"/>
              </w:rPr>
              <w:t>10</w:t>
            </w:r>
            <w:r>
              <w:rPr>
                <w:rFonts w:hint="eastAsia"/>
                <w:sz w:val="21"/>
                <w:szCs w:val="21"/>
              </w:rPr>
              <w:t>分，业主方提出整改，整改后仍不能满足甲方要求的扣</w:t>
            </w:r>
            <w:r>
              <w:rPr>
                <w:rFonts w:hint="eastAsia"/>
                <w:color w:val="FF0000"/>
                <w:sz w:val="21"/>
                <w:szCs w:val="21"/>
              </w:rPr>
              <w:t>15</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维修配件</w:t>
            </w:r>
          </w:p>
          <w:p>
            <w:pPr>
              <w:jc w:val="center"/>
              <w:rPr>
                <w:sz w:val="21"/>
                <w:szCs w:val="21"/>
              </w:rPr>
            </w:pPr>
            <w:r>
              <w:rPr>
                <w:rFonts w:hint="eastAsia"/>
                <w:sz w:val="21"/>
                <w:szCs w:val="21"/>
              </w:rPr>
              <w:t>（15分）</w:t>
            </w:r>
          </w:p>
        </w:tc>
        <w:tc>
          <w:tcPr>
            <w:tcW w:w="5520" w:type="dxa"/>
            <w:vAlign w:val="center"/>
          </w:tcPr>
          <w:p>
            <w:pPr>
              <w:rPr>
                <w:sz w:val="21"/>
                <w:szCs w:val="21"/>
              </w:rPr>
            </w:pPr>
            <w:r>
              <w:rPr>
                <w:rFonts w:hint="eastAsia"/>
                <w:sz w:val="21"/>
                <w:szCs w:val="21"/>
              </w:rPr>
              <w:t>维修单位更换的维修配件为非原厂产品或未满足招标文件要求</w:t>
            </w:r>
          </w:p>
        </w:tc>
        <w:tc>
          <w:tcPr>
            <w:tcW w:w="4515" w:type="dxa"/>
            <w:vAlign w:val="center"/>
          </w:tcPr>
          <w:p>
            <w:pPr>
              <w:rPr>
                <w:sz w:val="21"/>
                <w:szCs w:val="21"/>
              </w:rPr>
            </w:pPr>
            <w:r>
              <w:rPr>
                <w:rFonts w:hint="eastAsia"/>
                <w:sz w:val="21"/>
                <w:szCs w:val="21"/>
              </w:rPr>
              <w:t>发现一次扣</w:t>
            </w:r>
            <w:r>
              <w:rPr>
                <w:rFonts w:hint="eastAsia"/>
                <w:color w:val="FF0000"/>
                <w:sz w:val="21"/>
                <w:szCs w:val="21"/>
              </w:rPr>
              <w:t>10</w:t>
            </w:r>
            <w:r>
              <w:rPr>
                <w:rFonts w:hint="eastAsia"/>
                <w:sz w:val="21"/>
                <w:szCs w:val="21"/>
              </w:rPr>
              <w:t>分</w:t>
            </w:r>
          </w:p>
        </w:tc>
      </w:tr>
    </w:tbl>
    <w:p>
      <w:pPr>
        <w:snapToGrid w:val="0"/>
        <w:spacing w:line="360" w:lineRule="auto"/>
        <w:ind w:firstLine="210" w:firstLineChars="100"/>
      </w:pPr>
      <w:r>
        <w:t>注：</w:t>
      </w:r>
      <w:r>
        <w:rPr>
          <w:rFonts w:hint="eastAsia"/>
        </w:rPr>
        <w:t>乙方要无条件接受甲方定期或不定期检查监督。满分为100分，每三个月一次考核，若连续两次打分都低于90分，本年度考核为不合格，并罚没其履约保证金，甲方有权终止合同。</w:t>
      </w:r>
    </w:p>
    <w:p>
      <w:pPr>
        <w:snapToGrid w:val="0"/>
        <w:spacing w:line="360" w:lineRule="auto"/>
        <w:ind w:firstLine="211" w:firstLineChars="100"/>
        <w:rPr>
          <w:rFonts w:ascii="宋体" w:hAnsi="宋体"/>
          <w:b/>
        </w:rPr>
      </w:pPr>
    </w:p>
    <w:p>
      <w:pPr>
        <w:snapToGrid w:val="0"/>
        <w:spacing w:line="360" w:lineRule="auto"/>
        <w:ind w:firstLine="211" w:firstLineChars="100"/>
        <w:rPr>
          <w:rFonts w:ascii="宋体" w:hAnsi="宋体"/>
          <w:b/>
        </w:rPr>
        <w:sectPr>
          <w:pgSz w:w="16838" w:h="11906" w:orient="landscape"/>
          <w:pgMar w:top="1418" w:right="1244" w:bottom="1418" w:left="1134" w:header="680"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b/>
        </w:rPr>
        <w:t>本合同作为示范文本，具体以招标人与中标供应商所签定正式合同为准。</w:t>
      </w:r>
    </w:p>
    <w:p>
      <w:pPr>
        <w:pStyle w:val="21"/>
        <w:spacing w:after="50" w:line="360" w:lineRule="auto"/>
        <w:ind w:firstLine="0"/>
        <w:jc w:val="center"/>
        <w:outlineLvl w:val="0"/>
        <w:rPr>
          <w:rFonts w:ascii="Arial" w:hAnsi="宋体" w:cs="Arial"/>
          <w:b/>
          <w:bCs/>
          <w:szCs w:val="28"/>
        </w:rPr>
      </w:pPr>
      <w:bookmarkStart w:id="31" w:name="_Toc22493"/>
      <w:r>
        <w:rPr>
          <w:rFonts w:ascii="Arial" w:hAnsi="宋体" w:cs="Arial"/>
          <w:b/>
          <w:bCs/>
          <w:szCs w:val="28"/>
        </w:rPr>
        <w:t>第五部分  投标文件格式</w:t>
      </w:r>
      <w:bookmarkEnd w:id="31"/>
    </w:p>
    <w:p>
      <w:pPr>
        <w:rPr>
          <w:szCs w:val="21"/>
        </w:rPr>
      </w:pPr>
    </w:p>
    <w:p>
      <w:pPr>
        <w:spacing w:line="360" w:lineRule="auto"/>
        <w:jc w:val="center"/>
        <w:rPr>
          <w:rFonts w:ascii="Arial" w:hAnsi="Arial" w:cs="Arial"/>
          <w:b/>
          <w:bCs/>
          <w:spacing w:val="20"/>
          <w:sz w:val="44"/>
          <w:szCs w:val="44"/>
        </w:rPr>
      </w:pPr>
      <w:r>
        <w:rPr>
          <w:rFonts w:hint="eastAsia" w:ascii="Arial" w:hAnsi="Arial" w:cs="Arial"/>
          <w:b/>
          <w:bCs/>
          <w:spacing w:val="20"/>
          <w:sz w:val="48"/>
          <w:szCs w:val="48"/>
        </w:rPr>
        <w:t>瑞安市污水处理厂及泵站格栅机定期保养及修理服务外包采购项目</w:t>
      </w: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84"/>
          <w:szCs w:val="84"/>
        </w:rPr>
      </w:pPr>
      <w:r>
        <w:rPr>
          <w:rFonts w:ascii="Arial" w:hAnsi="Arial" w:cs="Arial"/>
          <w:b/>
          <w:bCs/>
          <w:sz w:val="84"/>
          <w:szCs w:val="84"/>
        </w:rPr>
        <w:t>投 标 文 件</w:t>
      </w:r>
    </w:p>
    <w:p>
      <w:pPr>
        <w:spacing w:line="360" w:lineRule="auto"/>
        <w:rPr>
          <w:rFonts w:ascii="Arial" w:hAnsi="Arial" w:cs="Arial"/>
          <w:b/>
          <w:bCs/>
          <w:sz w:val="72"/>
          <w:szCs w:val="72"/>
        </w:rPr>
      </w:pPr>
    </w:p>
    <w:p>
      <w:pPr>
        <w:spacing w:line="360" w:lineRule="auto"/>
        <w:jc w:val="center"/>
        <w:rPr>
          <w:rFonts w:ascii="Arial" w:hAnsi="Arial" w:cs="Arial"/>
          <w:b/>
          <w:bCs/>
          <w:sz w:val="36"/>
          <w:szCs w:val="72"/>
        </w:rPr>
      </w:pPr>
      <w:r>
        <w:rPr>
          <w:rFonts w:hint="eastAsia" w:ascii="Arial" w:hAnsi="Arial" w:cs="Arial"/>
          <w:b/>
          <w:bCs/>
          <w:sz w:val="36"/>
          <w:szCs w:val="72"/>
        </w:rPr>
        <w:t>商务</w:t>
      </w:r>
      <w:r>
        <w:rPr>
          <w:rFonts w:ascii="Arial" w:hAnsi="Arial" w:cs="Arial"/>
          <w:b/>
          <w:bCs/>
          <w:sz w:val="36"/>
          <w:szCs w:val="72"/>
        </w:rPr>
        <w:t xml:space="preserve">标 </w:t>
      </w:r>
    </w:p>
    <w:p>
      <w:pPr>
        <w:spacing w:line="360" w:lineRule="auto"/>
        <w:jc w:val="center"/>
        <w:rPr>
          <w:rFonts w:ascii="Arial" w:hAnsi="Arial" w:eastAsia="黑体" w:cs="Arial"/>
          <w:sz w:val="32"/>
          <w:szCs w:val="32"/>
        </w:rPr>
      </w:pPr>
    </w:p>
    <w:p>
      <w:pPr>
        <w:spacing w:line="360" w:lineRule="auto"/>
        <w:rPr>
          <w:rFonts w:ascii="Arial" w:hAnsi="Arial" w:eastAsia="黑体" w:cs="Arial"/>
          <w:sz w:val="32"/>
          <w:szCs w:val="32"/>
        </w:rPr>
      </w:pPr>
    </w:p>
    <w:p>
      <w:pPr>
        <w:spacing w:line="360" w:lineRule="auto"/>
        <w:jc w:val="center"/>
        <w:rPr>
          <w:rFonts w:ascii="Arial" w:hAnsi="Arial" w:eastAsia="黑体" w:cs="Arial"/>
          <w:sz w:val="32"/>
          <w:szCs w:val="32"/>
        </w:rPr>
      </w:pPr>
    </w:p>
    <w:p>
      <w:pPr>
        <w:spacing w:line="360" w:lineRule="auto"/>
        <w:jc w:val="center"/>
        <w:rPr>
          <w:rFonts w:ascii="Arial" w:hAnsi="Arial" w:eastAsia="黑体" w:cs="Arial"/>
          <w:sz w:val="32"/>
          <w:szCs w:val="32"/>
        </w:rPr>
      </w:pPr>
    </w:p>
    <w:p>
      <w:pPr>
        <w:spacing w:line="360" w:lineRule="auto"/>
        <w:jc w:val="center"/>
        <w:rPr>
          <w:rFonts w:ascii="Arial" w:hAnsi="Arial" w:cs="Arial"/>
          <w:sz w:val="32"/>
          <w:szCs w:val="32"/>
          <w:u w:val="single"/>
        </w:rPr>
      </w:pPr>
      <w:r>
        <w:rPr>
          <w:rFonts w:ascii="Arial" w:hAnsi="Arial" w:cs="Arial"/>
          <w:sz w:val="32"/>
          <w:szCs w:val="32"/>
        </w:rPr>
        <w:t xml:space="preserve"> </w:t>
      </w:r>
      <w:r>
        <w:rPr>
          <w:rFonts w:hint="eastAsia" w:ascii="Arial" w:hAnsi="Arial" w:cs="Arial"/>
          <w:sz w:val="32"/>
          <w:szCs w:val="32"/>
        </w:rPr>
        <w:t xml:space="preserve">    </w:t>
      </w:r>
      <w:r>
        <w:rPr>
          <w:rFonts w:ascii="Arial" w:hAnsi="Arial" w:cs="Arial"/>
          <w:sz w:val="32"/>
          <w:szCs w:val="32"/>
        </w:rPr>
        <w:t>投标供应商：</w:t>
      </w:r>
      <w:r>
        <w:rPr>
          <w:rFonts w:ascii="Arial" w:hAnsi="Arial" w:cs="Arial"/>
          <w:sz w:val="30"/>
          <w:szCs w:val="30"/>
          <w:u w:val="single"/>
        </w:rPr>
        <w:t xml:space="preserve">               </w:t>
      </w:r>
      <w:r>
        <w:rPr>
          <w:rFonts w:ascii="Arial" w:hAnsi="Arial" w:cs="Arial"/>
          <w:sz w:val="32"/>
          <w:szCs w:val="32"/>
          <w:u w:val="single"/>
        </w:rPr>
        <w:t>（盖章）</w:t>
      </w:r>
    </w:p>
    <w:p>
      <w:pPr>
        <w:spacing w:line="360" w:lineRule="auto"/>
        <w:ind w:firstLine="2240" w:firstLineChars="700"/>
        <w:rPr>
          <w:rFonts w:ascii="Arial" w:hAnsi="Arial" w:cs="Arial"/>
          <w:sz w:val="30"/>
          <w:szCs w:val="30"/>
        </w:rPr>
      </w:pPr>
      <w:r>
        <w:rPr>
          <w:rFonts w:ascii="Arial" w:hAnsi="Arial" w:cs="Arial"/>
          <w:sz w:val="32"/>
          <w:szCs w:val="32"/>
        </w:rPr>
        <w:t>法定代表人：</w:t>
      </w:r>
      <w:r>
        <w:rPr>
          <w:rFonts w:ascii="Arial" w:hAnsi="Arial" w:cs="Arial"/>
          <w:sz w:val="32"/>
          <w:szCs w:val="32"/>
          <w:u w:val="single"/>
        </w:rPr>
        <w:t xml:space="preserve">          （盖章</w:t>
      </w:r>
      <w:r>
        <w:rPr>
          <w:rFonts w:hint="eastAsia" w:ascii="Arial" w:hAnsi="Arial" w:cs="Arial"/>
          <w:sz w:val="32"/>
          <w:szCs w:val="32"/>
          <w:u w:val="single"/>
        </w:rPr>
        <w:t>或签字</w:t>
      </w:r>
      <w:r>
        <w:rPr>
          <w:rFonts w:ascii="Arial" w:hAnsi="Arial" w:cs="Arial"/>
          <w:sz w:val="32"/>
          <w:szCs w:val="32"/>
          <w:u w:val="single"/>
        </w:rPr>
        <w:t>）</w:t>
      </w:r>
    </w:p>
    <w:p>
      <w:pPr>
        <w:jc w:val="center"/>
        <w:rPr>
          <w:sz w:val="30"/>
          <w:szCs w:val="30"/>
        </w:rPr>
      </w:pPr>
      <w:r>
        <w:rPr>
          <w:rFonts w:hint="eastAsia"/>
          <w:sz w:val="30"/>
          <w:szCs w:val="30"/>
        </w:rPr>
        <w:t>二〇二三年</w:t>
      </w:r>
      <w:r>
        <w:rPr>
          <w:sz w:val="30"/>
          <w:szCs w:val="30"/>
        </w:rPr>
        <w:t xml:space="preserve">    月</w:t>
      </w:r>
      <w:bookmarkStart w:id="32" w:name="_Toc191204214"/>
      <w:bookmarkStart w:id="33" w:name="_Toc186617637"/>
    </w:p>
    <w:p>
      <w:pPr>
        <w:spacing w:line="360" w:lineRule="auto"/>
        <w:jc w:val="center"/>
        <w:outlineLvl w:val="1"/>
        <w:rPr>
          <w:rFonts w:ascii="宋体" w:hAnsi="宋体"/>
          <w:b/>
          <w:bCs/>
          <w:sz w:val="24"/>
        </w:rPr>
      </w:pPr>
      <w:r>
        <w:rPr>
          <w:rFonts w:hint="eastAsia" w:ascii="宋体" w:hAnsi="宋体"/>
          <w:color w:val="0000FF"/>
          <w:sz w:val="24"/>
        </w:rPr>
        <w:br w:type="page"/>
      </w:r>
      <w:bookmarkStart w:id="34" w:name="_Toc24378"/>
      <w:r>
        <w:rPr>
          <w:rFonts w:hint="eastAsia" w:ascii="宋体" w:hAnsi="宋体"/>
          <w:b/>
          <w:bCs/>
          <w:sz w:val="24"/>
        </w:rPr>
        <w:t>附件1   投标函</w:t>
      </w:r>
      <w:bookmarkEnd w:id="34"/>
    </w:p>
    <w:p>
      <w:pPr>
        <w:spacing w:line="400" w:lineRule="exact"/>
        <w:rPr>
          <w:rFonts w:ascii="Arial" w:hAnsi="Arial" w:cs="Arial"/>
          <w:kern w:val="0"/>
          <w:szCs w:val="21"/>
          <w:u w:val="single"/>
        </w:rPr>
      </w:pPr>
      <w:r>
        <w:rPr>
          <w:rFonts w:ascii="Arial" w:hAnsi="宋体" w:cs="Arial"/>
          <w:kern w:val="0"/>
          <w:szCs w:val="21"/>
        </w:rPr>
        <w:t>致：</w:t>
      </w:r>
      <w:r>
        <w:rPr>
          <w:rFonts w:ascii="Arial" w:hAnsi="Arial" w:cs="Arial"/>
          <w:kern w:val="0"/>
          <w:szCs w:val="21"/>
          <w:u w:val="single"/>
        </w:rPr>
        <w:t xml:space="preserve">  </w:t>
      </w:r>
      <w:r>
        <w:rPr>
          <w:rFonts w:hint="eastAsia" w:ascii="Arial" w:hAnsi="宋体" w:cs="Arial"/>
          <w:u w:val="single"/>
        </w:rPr>
        <w:t>瑞安市排水有限公司、瑞安市排水发展有限公司</w:t>
      </w:r>
      <w:r>
        <w:rPr>
          <w:rFonts w:ascii="Arial" w:hAnsi="宋体" w:cs="Arial"/>
          <w:kern w:val="0"/>
          <w:szCs w:val="21"/>
          <w:u w:val="single"/>
        </w:rPr>
        <w:t>（招标人）：</w:t>
      </w:r>
    </w:p>
    <w:p>
      <w:pPr>
        <w:spacing w:line="400" w:lineRule="exact"/>
        <w:ind w:firstLine="434" w:firstLineChars="207"/>
        <w:rPr>
          <w:rFonts w:ascii="Arial" w:hAnsi="Arial" w:cs="Arial"/>
          <w:kern w:val="0"/>
          <w:szCs w:val="21"/>
        </w:rPr>
      </w:pPr>
      <w:r>
        <w:rPr>
          <w:rFonts w:ascii="Arial" w:hAnsi="Arial" w:cs="Arial"/>
          <w:kern w:val="0"/>
          <w:szCs w:val="21"/>
          <w:u w:val="single"/>
        </w:rPr>
        <w:t xml:space="preserve">  </w:t>
      </w:r>
      <w:r>
        <w:rPr>
          <w:rFonts w:hint="eastAsia" w:ascii="Arial" w:hAnsi="宋体" w:cs="Arial"/>
          <w:kern w:val="0"/>
          <w:szCs w:val="21"/>
          <w:u w:val="single"/>
        </w:rPr>
        <w:t>浙江凯宝工程项目管理有限公司</w:t>
      </w:r>
      <w:r>
        <w:rPr>
          <w:rFonts w:ascii="Arial" w:hAnsi="宋体" w:cs="Arial"/>
          <w:kern w:val="0"/>
          <w:szCs w:val="21"/>
          <w:u w:val="single"/>
        </w:rPr>
        <w:t>（招标代理）</w:t>
      </w:r>
      <w:r>
        <w:rPr>
          <w:rFonts w:ascii="Arial" w:hAnsi="Arial" w:cs="Arial"/>
          <w:kern w:val="0"/>
          <w:szCs w:val="21"/>
          <w:u w:val="single"/>
        </w:rPr>
        <w:t xml:space="preserve">  </w:t>
      </w:r>
      <w:r>
        <w:rPr>
          <w:rFonts w:ascii="Arial" w:hAnsi="宋体" w:cs="Arial"/>
          <w:kern w:val="0"/>
          <w:szCs w:val="21"/>
        </w:rPr>
        <w:t>：</w:t>
      </w:r>
      <w:r>
        <w:rPr>
          <w:rFonts w:ascii="Arial" w:hAnsi="Arial" w:cs="Arial"/>
          <w:kern w:val="0"/>
          <w:szCs w:val="21"/>
        </w:rPr>
        <w:t xml:space="preserve"> </w:t>
      </w:r>
    </w:p>
    <w:p>
      <w:pPr>
        <w:spacing w:line="400" w:lineRule="exact"/>
        <w:ind w:firstLine="420" w:firstLineChars="200"/>
        <w:rPr>
          <w:rFonts w:ascii="Arial" w:hAnsi="Arial" w:cs="Arial"/>
          <w:kern w:val="0"/>
          <w:szCs w:val="21"/>
        </w:rPr>
      </w:pPr>
      <w:r>
        <w:rPr>
          <w:rFonts w:ascii="Arial" w:hAnsi="宋体" w:cs="Arial"/>
          <w:kern w:val="0"/>
          <w:szCs w:val="21"/>
        </w:rPr>
        <w:t>根据贵方招标文件的要求，正式授权下述签字人</w:t>
      </w:r>
      <w:r>
        <w:rPr>
          <w:rFonts w:ascii="Arial" w:hAnsi="Arial" w:cs="Arial"/>
          <w:kern w:val="0"/>
          <w:szCs w:val="21"/>
          <w:u w:val="single"/>
        </w:rPr>
        <w:t xml:space="preserve">                        </w:t>
      </w:r>
      <w:r>
        <w:rPr>
          <w:rFonts w:ascii="Arial" w:hAnsi="宋体" w:cs="Arial"/>
          <w:kern w:val="0"/>
          <w:szCs w:val="21"/>
        </w:rPr>
        <w:t>（姓名，单位，职务）代表投标供应商</w:t>
      </w:r>
      <w:r>
        <w:rPr>
          <w:rFonts w:ascii="Arial" w:hAnsi="Arial" w:cs="Arial"/>
          <w:kern w:val="0"/>
          <w:szCs w:val="21"/>
          <w:u w:val="single"/>
        </w:rPr>
        <w:t xml:space="preserve">                               </w:t>
      </w:r>
      <w:r>
        <w:rPr>
          <w:rFonts w:ascii="Arial" w:hAnsi="宋体" w:cs="Arial"/>
          <w:kern w:val="0"/>
          <w:szCs w:val="21"/>
        </w:rPr>
        <w:t>（单位，地址）提交下述文件正本壹份，副本</w:t>
      </w:r>
      <w:r>
        <w:rPr>
          <w:rFonts w:hint="eastAsia" w:ascii="Arial" w:hAnsi="宋体" w:cs="Arial"/>
          <w:kern w:val="0"/>
          <w:szCs w:val="21"/>
        </w:rPr>
        <w:t>叁</w:t>
      </w:r>
      <w:r>
        <w:rPr>
          <w:rFonts w:ascii="Arial" w:hAnsi="宋体" w:cs="Arial"/>
          <w:kern w:val="0"/>
          <w:szCs w:val="21"/>
        </w:rPr>
        <w:t>份。</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投标函；</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由投标供应商出具的金额为</w:t>
      </w:r>
      <w:r>
        <w:rPr>
          <w:rFonts w:ascii="Arial" w:hAnsi="Arial" w:cs="Arial"/>
          <w:spacing w:val="0"/>
          <w:kern w:val="0"/>
          <w:sz w:val="21"/>
          <w:szCs w:val="21"/>
        </w:rPr>
        <w:t>________________</w:t>
      </w:r>
      <w:r>
        <w:rPr>
          <w:rFonts w:ascii="Arial" w:hAnsi="宋体" w:cs="Arial"/>
          <w:spacing w:val="0"/>
          <w:kern w:val="0"/>
          <w:sz w:val="21"/>
          <w:szCs w:val="21"/>
        </w:rPr>
        <w:t>元的投标保证金；</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hint="eastAsia" w:ascii="Arial" w:hAnsi="宋体" w:cs="Arial"/>
          <w:spacing w:val="0"/>
          <w:kern w:val="0"/>
          <w:sz w:val="21"/>
          <w:szCs w:val="21"/>
        </w:rPr>
        <w:t>开标一览表</w:t>
      </w:r>
      <w:r>
        <w:rPr>
          <w:rFonts w:ascii="Arial" w:hAnsi="宋体" w:cs="Arial"/>
          <w:spacing w:val="0"/>
          <w:kern w:val="0"/>
          <w:sz w:val="21"/>
          <w:szCs w:val="21"/>
        </w:rPr>
        <w:t>；</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投标供应商资格证明文件（企业营业执照、法人代表授权书等）；</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招标文件要求投标供应商提交的其它文件及资料。</w:t>
      </w:r>
    </w:p>
    <w:p>
      <w:pPr>
        <w:pStyle w:val="10"/>
        <w:spacing w:line="400" w:lineRule="exact"/>
        <w:ind w:firstLine="480"/>
        <w:rPr>
          <w:rFonts w:ascii="Arial" w:hAnsi="Arial" w:cs="Arial"/>
          <w:spacing w:val="0"/>
          <w:kern w:val="0"/>
          <w:sz w:val="21"/>
          <w:szCs w:val="21"/>
        </w:rPr>
      </w:pPr>
      <w:r>
        <w:rPr>
          <w:rFonts w:ascii="Arial" w:hAnsi="宋体" w:cs="Arial"/>
          <w:spacing w:val="0"/>
          <w:kern w:val="0"/>
          <w:sz w:val="21"/>
          <w:szCs w:val="21"/>
        </w:rPr>
        <w:t>据此书，签字人兹宣布同意如下：</w:t>
      </w:r>
    </w:p>
    <w:p>
      <w:pPr>
        <w:pStyle w:val="10"/>
        <w:spacing w:line="400" w:lineRule="exact"/>
        <w:ind w:left="852" w:leftChars="244" w:hanging="340" w:hangingChars="162"/>
        <w:rPr>
          <w:rFonts w:ascii="Arial" w:hAnsi="Arial" w:cs="Arial"/>
          <w:spacing w:val="0"/>
          <w:kern w:val="0"/>
          <w:sz w:val="21"/>
          <w:szCs w:val="21"/>
          <w:u w:val="single"/>
        </w:rPr>
      </w:pPr>
      <w:r>
        <w:rPr>
          <w:rFonts w:ascii="宋体" w:hAnsi="宋体" w:cs="Arial"/>
          <w:spacing w:val="0"/>
          <w:kern w:val="0"/>
          <w:sz w:val="21"/>
          <w:szCs w:val="21"/>
        </w:rPr>
        <w:t>①</w:t>
      </w:r>
      <w:r>
        <w:rPr>
          <w:rFonts w:hint="eastAsia" w:ascii="宋体" w:hAnsi="宋体" w:cs="Arial"/>
          <w:spacing w:val="0"/>
          <w:kern w:val="0"/>
          <w:sz w:val="21"/>
          <w:szCs w:val="21"/>
        </w:rPr>
        <w:t>泵站格栅机保养</w:t>
      </w:r>
      <w:r>
        <w:rPr>
          <w:rFonts w:ascii="Arial" w:hAnsi="宋体" w:cs="Arial"/>
          <w:spacing w:val="0"/>
          <w:kern w:val="0"/>
          <w:sz w:val="21"/>
          <w:szCs w:val="21"/>
        </w:rPr>
        <w:t>投标</w:t>
      </w:r>
      <w:r>
        <w:rPr>
          <w:rFonts w:hint="eastAsia" w:ascii="Arial" w:hAnsi="宋体" w:cs="Arial"/>
          <w:spacing w:val="0"/>
          <w:kern w:val="0"/>
          <w:sz w:val="21"/>
          <w:szCs w:val="21"/>
        </w:rPr>
        <w:t>报价</w:t>
      </w:r>
      <w:r>
        <w:rPr>
          <w:rFonts w:ascii="Arial" w:hAnsi="宋体" w:cs="Arial"/>
          <w:spacing w:val="0"/>
          <w:kern w:val="0"/>
          <w:sz w:val="21"/>
          <w:szCs w:val="21"/>
        </w:rPr>
        <w:t>：人民币</w:t>
      </w:r>
      <w:r>
        <w:rPr>
          <w:rFonts w:hint="eastAsia" w:ascii="Arial" w:hAnsi="宋体" w:cs="Arial"/>
          <w:spacing w:val="0"/>
          <w:kern w:val="0"/>
          <w:sz w:val="21"/>
          <w:szCs w:val="21"/>
        </w:rPr>
        <w:t>（小写）：</w:t>
      </w:r>
      <w:r>
        <w:rPr>
          <w:rFonts w:ascii="Arial" w:hAnsi="Arial" w:cs="Arial"/>
          <w:spacing w:val="0"/>
          <w:kern w:val="0"/>
          <w:sz w:val="21"/>
          <w:szCs w:val="21"/>
          <w:u w:val="single"/>
        </w:rPr>
        <w:t xml:space="preserve">           </w:t>
      </w:r>
      <w:r>
        <w:rPr>
          <w:rFonts w:ascii="Arial" w:hAnsi="宋体" w:cs="Arial"/>
          <w:spacing w:val="0"/>
          <w:kern w:val="0"/>
          <w:sz w:val="21"/>
          <w:szCs w:val="21"/>
        </w:rPr>
        <w:t>（大写）</w:t>
      </w:r>
      <w:r>
        <w:rPr>
          <w:rFonts w:hint="eastAsia" w:ascii="Arial" w:hAnsi="宋体" w:cs="Arial"/>
          <w:spacing w:val="0"/>
          <w:kern w:val="0"/>
          <w:sz w:val="21"/>
          <w:szCs w:val="21"/>
        </w:rPr>
        <w:t>：</w:t>
      </w:r>
      <w:r>
        <w:rPr>
          <w:rFonts w:ascii="Arial" w:hAnsi="Arial" w:cs="Arial"/>
          <w:spacing w:val="0"/>
          <w:kern w:val="0"/>
          <w:sz w:val="21"/>
          <w:szCs w:val="21"/>
          <w:u w:val="single"/>
        </w:rPr>
        <w:t xml:space="preserve">           </w:t>
      </w:r>
      <w:r>
        <w:rPr>
          <w:rFonts w:hint="eastAsia" w:ascii="Arial" w:hAnsi="Arial" w:cs="Arial"/>
          <w:spacing w:val="0"/>
          <w:kern w:val="0"/>
          <w:sz w:val="21"/>
          <w:szCs w:val="21"/>
          <w:u w:val="single"/>
        </w:rPr>
        <w:t xml:space="preserve">   </w:t>
      </w:r>
      <w:r>
        <w:rPr>
          <w:rFonts w:ascii="Arial" w:hAnsi="Arial" w:cs="Arial"/>
          <w:spacing w:val="0"/>
          <w:kern w:val="0"/>
          <w:sz w:val="21"/>
          <w:szCs w:val="21"/>
          <w:u w:val="single"/>
        </w:rPr>
        <w:t xml:space="preserve"> </w:t>
      </w:r>
    </w:p>
    <w:p>
      <w:pPr>
        <w:pStyle w:val="10"/>
        <w:spacing w:line="400" w:lineRule="exact"/>
        <w:ind w:left="852" w:leftChars="244" w:hanging="340" w:hangingChars="162"/>
        <w:rPr>
          <w:rFonts w:ascii="宋体" w:hAnsi="宋体" w:cs="Arial"/>
          <w:spacing w:val="0"/>
          <w:kern w:val="0"/>
          <w:sz w:val="21"/>
          <w:szCs w:val="21"/>
        </w:rPr>
      </w:pPr>
      <w:r>
        <w:rPr>
          <w:rFonts w:hint="eastAsia" w:ascii="宋体" w:hAnsi="宋体" w:cs="Arial"/>
          <w:spacing w:val="0"/>
          <w:kern w:val="0"/>
          <w:sz w:val="21"/>
          <w:szCs w:val="21"/>
        </w:rPr>
        <w:t>修理及配件更换投标综合单价合价：</w:t>
      </w:r>
      <w:r>
        <w:rPr>
          <w:rFonts w:ascii="Arial" w:hAnsi="宋体" w:cs="Arial"/>
          <w:spacing w:val="0"/>
          <w:kern w:val="0"/>
          <w:sz w:val="21"/>
          <w:szCs w:val="21"/>
        </w:rPr>
        <w:t>人民币</w:t>
      </w:r>
      <w:r>
        <w:rPr>
          <w:rFonts w:hint="eastAsia" w:ascii="Arial" w:hAnsi="宋体" w:cs="Arial"/>
          <w:spacing w:val="0"/>
          <w:kern w:val="0"/>
          <w:sz w:val="21"/>
          <w:szCs w:val="21"/>
        </w:rPr>
        <w:t>（小写）：</w:t>
      </w:r>
      <w:r>
        <w:rPr>
          <w:rFonts w:ascii="Arial" w:hAnsi="Arial" w:cs="Arial"/>
          <w:spacing w:val="0"/>
          <w:kern w:val="0"/>
          <w:sz w:val="21"/>
          <w:szCs w:val="21"/>
          <w:u w:val="single"/>
        </w:rPr>
        <w:t xml:space="preserve">           </w:t>
      </w:r>
      <w:r>
        <w:rPr>
          <w:rFonts w:ascii="Arial" w:hAnsi="宋体" w:cs="Arial"/>
          <w:spacing w:val="0"/>
          <w:kern w:val="0"/>
          <w:sz w:val="21"/>
          <w:szCs w:val="21"/>
        </w:rPr>
        <w:t>（大写）</w:t>
      </w:r>
      <w:r>
        <w:rPr>
          <w:rFonts w:hint="eastAsia" w:ascii="Arial" w:hAnsi="宋体" w:cs="Arial"/>
          <w:spacing w:val="0"/>
          <w:kern w:val="0"/>
          <w:sz w:val="21"/>
          <w:szCs w:val="21"/>
        </w:rPr>
        <w:t>：</w:t>
      </w:r>
      <w:r>
        <w:rPr>
          <w:rFonts w:ascii="Arial" w:hAnsi="Arial" w:cs="Arial"/>
          <w:spacing w:val="0"/>
          <w:kern w:val="0"/>
          <w:sz w:val="21"/>
          <w:szCs w:val="21"/>
          <w:u w:val="single"/>
        </w:rPr>
        <w:t xml:space="preserve">           </w:t>
      </w:r>
      <w:r>
        <w:rPr>
          <w:rFonts w:hint="eastAsia" w:ascii="Arial" w:hAnsi="Arial" w:cs="Arial"/>
          <w:spacing w:val="0"/>
          <w:kern w:val="0"/>
          <w:sz w:val="21"/>
          <w:szCs w:val="21"/>
          <w:u w:val="single"/>
        </w:rPr>
        <w:t xml:space="preserve">   </w:t>
      </w:r>
      <w:r>
        <w:rPr>
          <w:rFonts w:ascii="Arial" w:hAnsi="Arial" w:cs="Arial"/>
          <w:spacing w:val="0"/>
          <w:kern w:val="0"/>
          <w:sz w:val="21"/>
          <w:szCs w:val="21"/>
          <w:u w:val="single"/>
        </w:rPr>
        <w:t xml:space="preserve"> </w:t>
      </w:r>
    </w:p>
    <w:p>
      <w:pPr>
        <w:pStyle w:val="10"/>
        <w:spacing w:line="400" w:lineRule="exact"/>
        <w:ind w:left="849" w:leftChars="404" w:hanging="1"/>
        <w:rPr>
          <w:rFonts w:ascii="Arial" w:hAnsi="Arial" w:cs="Arial"/>
          <w:spacing w:val="0"/>
          <w:kern w:val="0"/>
          <w:sz w:val="21"/>
          <w:szCs w:val="21"/>
          <w:u w:val="single"/>
        </w:rPr>
      </w:pPr>
      <w:r>
        <w:rPr>
          <w:rFonts w:hint="eastAsia" w:ascii="Arial" w:hAnsi="宋体" w:cs="Arial"/>
          <w:spacing w:val="0"/>
          <w:kern w:val="0"/>
          <w:sz w:val="21"/>
          <w:szCs w:val="21"/>
        </w:rPr>
        <w:t>修理周期</w:t>
      </w:r>
      <w:r>
        <w:rPr>
          <w:rFonts w:ascii="Arial" w:hAnsi="宋体" w:cs="Arial"/>
          <w:spacing w:val="0"/>
          <w:kern w:val="0"/>
          <w:sz w:val="21"/>
          <w:szCs w:val="21"/>
        </w:rPr>
        <w:t>为：</w:t>
      </w:r>
      <w:r>
        <w:rPr>
          <w:rFonts w:hint="eastAsia" w:ascii="Arial" w:hAnsi="Arial" w:cs="Arial"/>
          <w:spacing w:val="0"/>
          <w:kern w:val="0"/>
          <w:sz w:val="21"/>
          <w:szCs w:val="21"/>
          <w:u w:val="single"/>
        </w:rPr>
        <w:t xml:space="preserve">            </w:t>
      </w:r>
      <w:r>
        <w:rPr>
          <w:rFonts w:ascii="Arial" w:hAnsi="宋体" w:cs="Arial"/>
          <w:spacing w:val="0"/>
          <w:kern w:val="0"/>
          <w:sz w:val="21"/>
          <w:szCs w:val="21"/>
        </w:rPr>
        <w:t>；</w:t>
      </w:r>
      <w:r>
        <w:rPr>
          <w:rFonts w:hint="eastAsia" w:ascii="Arial" w:hAnsi="Arial" w:cs="Arial"/>
          <w:spacing w:val="0"/>
          <w:kern w:val="0"/>
          <w:sz w:val="21"/>
          <w:szCs w:val="21"/>
        </w:rPr>
        <w:t>泵站格栅机修理</w:t>
      </w:r>
      <w:r>
        <w:rPr>
          <w:rFonts w:hint="eastAsia" w:ascii="Arial" w:hAnsi="宋体" w:cs="Arial"/>
          <w:spacing w:val="0"/>
          <w:kern w:val="0"/>
          <w:sz w:val="21"/>
          <w:szCs w:val="21"/>
        </w:rPr>
        <w:t>质保期</w:t>
      </w:r>
      <w:r>
        <w:rPr>
          <w:rFonts w:ascii="Arial" w:hAnsi="宋体" w:cs="Arial"/>
          <w:spacing w:val="0"/>
          <w:kern w:val="0"/>
          <w:sz w:val="21"/>
          <w:szCs w:val="21"/>
        </w:rPr>
        <w:t>：</w:t>
      </w:r>
      <w:r>
        <w:rPr>
          <w:rFonts w:hint="eastAsia" w:ascii="Arial" w:hAnsi="Arial" w:cs="Arial"/>
          <w:spacing w:val="0"/>
          <w:kern w:val="0"/>
          <w:sz w:val="21"/>
          <w:szCs w:val="21"/>
          <w:u w:val="single"/>
        </w:rPr>
        <w:t xml:space="preserve">          </w:t>
      </w:r>
      <w:r>
        <w:rPr>
          <w:rFonts w:hint="eastAsia" w:ascii="Arial" w:hAnsi="宋体" w:cs="Arial"/>
          <w:spacing w:val="0"/>
          <w:kern w:val="0"/>
          <w:sz w:val="21"/>
          <w:szCs w:val="21"/>
        </w:rPr>
        <w:t>；</w:t>
      </w:r>
    </w:p>
    <w:p>
      <w:pPr>
        <w:pStyle w:val="10"/>
        <w:spacing w:line="400" w:lineRule="exact"/>
        <w:ind w:left="849" w:leftChars="404" w:hanging="1"/>
        <w:rPr>
          <w:rFonts w:ascii="Arial" w:hAnsi="Arial" w:cs="Arial"/>
          <w:spacing w:val="0"/>
          <w:kern w:val="0"/>
          <w:sz w:val="21"/>
          <w:szCs w:val="21"/>
        </w:rPr>
      </w:pPr>
      <w:bookmarkStart w:id="35" w:name="OLE_LINK14"/>
      <w:r>
        <w:rPr>
          <w:rFonts w:hint="eastAsia" w:ascii="Arial" w:hAnsi="宋体" w:cs="Arial"/>
          <w:spacing w:val="0"/>
          <w:kern w:val="0"/>
          <w:sz w:val="21"/>
          <w:szCs w:val="21"/>
        </w:rPr>
        <w:t>1、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p>
    <w:bookmarkEnd w:id="35"/>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②</w:t>
      </w:r>
      <w:r>
        <w:rPr>
          <w:rFonts w:ascii="Arial" w:hAnsi="Arial" w:cs="Arial"/>
          <w:spacing w:val="0"/>
          <w:kern w:val="0"/>
          <w:sz w:val="21"/>
          <w:szCs w:val="21"/>
        </w:rPr>
        <w:t xml:space="preserve"> </w:t>
      </w:r>
      <w:r>
        <w:rPr>
          <w:rFonts w:ascii="Arial" w:hAnsi="宋体" w:cs="Arial"/>
          <w:spacing w:val="0"/>
          <w:kern w:val="0"/>
          <w:sz w:val="21"/>
          <w:szCs w:val="21"/>
        </w:rPr>
        <w:t>根据招标文件的规定，投标供应商承诺标书规定的责任和义务。</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③</w:t>
      </w:r>
      <w:r>
        <w:rPr>
          <w:rFonts w:ascii="Arial" w:hAnsi="Arial" w:cs="Arial"/>
          <w:spacing w:val="0"/>
          <w:kern w:val="0"/>
          <w:sz w:val="21"/>
          <w:szCs w:val="21"/>
        </w:rPr>
        <w:t xml:space="preserve"> </w:t>
      </w:r>
      <w:r>
        <w:rPr>
          <w:rFonts w:ascii="Arial" w:hAnsi="宋体" w:cs="Arial"/>
          <w:spacing w:val="0"/>
          <w:kern w:val="0"/>
          <w:sz w:val="21"/>
          <w:szCs w:val="21"/>
        </w:rPr>
        <w:t>投标供应商已详细审核全部招标文件，包括修改文件、参考资料及有关附件，放弃提出含糊不清或误解的权利。</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④</w:t>
      </w:r>
      <w:r>
        <w:rPr>
          <w:rFonts w:ascii="Arial" w:hAnsi="Arial" w:cs="Arial"/>
          <w:spacing w:val="0"/>
          <w:kern w:val="0"/>
          <w:sz w:val="21"/>
          <w:szCs w:val="21"/>
        </w:rPr>
        <w:t xml:space="preserve"> </w:t>
      </w:r>
      <w:r>
        <w:rPr>
          <w:rFonts w:ascii="Arial" w:hAnsi="宋体" w:cs="Arial"/>
          <w:spacing w:val="0"/>
          <w:kern w:val="0"/>
          <w:sz w:val="21"/>
          <w:szCs w:val="21"/>
        </w:rPr>
        <w:t>本投标自投标截止之日起</w:t>
      </w:r>
      <w:r>
        <w:rPr>
          <w:rFonts w:hint="eastAsia" w:ascii="Arial" w:hAnsi="Arial" w:cs="Arial"/>
          <w:spacing w:val="0"/>
          <w:kern w:val="0"/>
          <w:sz w:val="21"/>
          <w:szCs w:val="21"/>
          <w:u w:val="single"/>
        </w:rPr>
        <w:t xml:space="preserve">90 </w:t>
      </w:r>
      <w:r>
        <w:rPr>
          <w:rFonts w:ascii="Arial" w:hAnsi="宋体" w:cs="Arial"/>
          <w:spacing w:val="0"/>
          <w:kern w:val="0"/>
          <w:sz w:val="21"/>
          <w:szCs w:val="21"/>
        </w:rPr>
        <w:t>日历天内有效。</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⑤</w:t>
      </w:r>
      <w:r>
        <w:rPr>
          <w:rFonts w:ascii="Arial" w:hAnsi="Arial" w:cs="Arial"/>
          <w:spacing w:val="0"/>
          <w:kern w:val="0"/>
          <w:sz w:val="21"/>
          <w:szCs w:val="21"/>
        </w:rPr>
        <w:t xml:space="preserve"> </w:t>
      </w:r>
      <w:r>
        <w:rPr>
          <w:rFonts w:ascii="Arial" w:hAnsi="宋体" w:cs="Arial"/>
          <w:spacing w:val="0"/>
          <w:kern w:val="0"/>
          <w:sz w:val="21"/>
          <w:szCs w:val="21"/>
        </w:rPr>
        <w:t>如果投标供应商在投标有效期内撤回投标、修改或拒绝接受已经确认的条款，中标供应商未能按中标通知规定的时间和地点与</w:t>
      </w:r>
      <w:r>
        <w:rPr>
          <w:rFonts w:hint="eastAsia" w:ascii="Arial" w:hAnsi="宋体" w:cs="Arial"/>
          <w:spacing w:val="0"/>
          <w:kern w:val="0"/>
          <w:sz w:val="21"/>
          <w:szCs w:val="21"/>
        </w:rPr>
        <w:t>招标人</w:t>
      </w:r>
      <w:r>
        <w:rPr>
          <w:rFonts w:ascii="Arial" w:hAnsi="宋体" w:cs="Arial"/>
          <w:spacing w:val="0"/>
          <w:kern w:val="0"/>
          <w:sz w:val="21"/>
          <w:szCs w:val="21"/>
        </w:rPr>
        <w:t>签订合同并递交履约保证金</w:t>
      </w:r>
      <w:r>
        <w:rPr>
          <w:rFonts w:hint="eastAsia" w:ascii="Arial" w:hAnsi="宋体" w:cs="Arial"/>
          <w:spacing w:val="0"/>
          <w:kern w:val="0"/>
          <w:sz w:val="21"/>
          <w:szCs w:val="21"/>
        </w:rPr>
        <w:t>，</w:t>
      </w:r>
      <w:r>
        <w:rPr>
          <w:rFonts w:ascii="Arial" w:hAnsi="宋体" w:cs="Arial"/>
          <w:spacing w:val="0"/>
          <w:kern w:val="0"/>
          <w:sz w:val="21"/>
          <w:szCs w:val="21"/>
        </w:rPr>
        <w:t>同意招标人没收投标保证金</w:t>
      </w:r>
      <w:r>
        <w:rPr>
          <w:rFonts w:hint="eastAsia" w:ascii="Arial" w:hAnsi="宋体" w:cs="Arial"/>
          <w:spacing w:val="0"/>
          <w:kern w:val="0"/>
          <w:sz w:val="21"/>
          <w:szCs w:val="21"/>
        </w:rPr>
        <w:t>，并按招标资料规定赔偿损失</w:t>
      </w:r>
      <w:r>
        <w:rPr>
          <w:rFonts w:ascii="Arial" w:hAnsi="宋体" w:cs="Arial"/>
          <w:spacing w:val="0"/>
          <w:kern w:val="0"/>
          <w:sz w:val="21"/>
          <w:szCs w:val="21"/>
        </w:rPr>
        <w:t>。</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⑥</w:t>
      </w:r>
      <w:r>
        <w:rPr>
          <w:rFonts w:ascii="Arial" w:hAnsi="Arial" w:cs="Arial"/>
          <w:spacing w:val="0"/>
          <w:kern w:val="0"/>
          <w:sz w:val="21"/>
          <w:szCs w:val="21"/>
        </w:rPr>
        <w:t xml:space="preserve"> </w:t>
      </w:r>
      <w:r>
        <w:rPr>
          <w:rFonts w:ascii="Arial" w:hAnsi="宋体" w:cs="Arial"/>
          <w:spacing w:val="0"/>
          <w:kern w:val="0"/>
          <w:sz w:val="21"/>
          <w:szCs w:val="21"/>
        </w:rPr>
        <w:t>同意提供按照招标人可能要求的与其投标有关的任何数据或资料。完全理解招标人不一定授标给最低报价的投标供应商以及接受或拒绝某一投标。</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⑦</w:t>
      </w:r>
      <w:r>
        <w:rPr>
          <w:rFonts w:ascii="Arial" w:hAnsi="Arial" w:cs="Arial"/>
          <w:spacing w:val="0"/>
          <w:kern w:val="0"/>
          <w:sz w:val="21"/>
          <w:szCs w:val="21"/>
        </w:rPr>
        <w:t xml:space="preserve"> </w:t>
      </w:r>
      <w:r>
        <w:rPr>
          <w:rFonts w:ascii="Arial" w:hAnsi="宋体" w:cs="Arial"/>
          <w:spacing w:val="0"/>
          <w:kern w:val="0"/>
          <w:sz w:val="21"/>
          <w:szCs w:val="21"/>
        </w:rPr>
        <w:t>与投标有关的正式通讯地址为：</w:t>
      </w:r>
    </w:p>
    <w:p>
      <w:pPr>
        <w:spacing w:line="400" w:lineRule="exact"/>
        <w:ind w:firstLine="871" w:firstLineChars="415"/>
        <w:rPr>
          <w:rFonts w:ascii="Arial" w:hAnsi="Arial" w:cs="Arial"/>
          <w:kern w:val="0"/>
          <w:szCs w:val="21"/>
        </w:rPr>
      </w:pPr>
      <w:r>
        <w:rPr>
          <w:rFonts w:ascii="Arial" w:hAnsi="宋体" w:cs="Arial"/>
          <w:kern w:val="0"/>
          <w:szCs w:val="21"/>
        </w:rPr>
        <w:t>地址：</w:t>
      </w:r>
      <w:r>
        <w:rPr>
          <w:rFonts w:ascii="Arial" w:hAnsi="Arial" w:cs="Arial"/>
          <w:kern w:val="0"/>
          <w:szCs w:val="21"/>
          <w:u w:val="single"/>
        </w:rPr>
        <w:t xml:space="preserve">                               </w:t>
      </w:r>
    </w:p>
    <w:p>
      <w:pPr>
        <w:spacing w:line="400" w:lineRule="exact"/>
        <w:ind w:firstLine="871" w:firstLineChars="415"/>
        <w:rPr>
          <w:rFonts w:ascii="Arial" w:hAnsi="Arial" w:cs="Arial"/>
          <w:kern w:val="0"/>
          <w:szCs w:val="21"/>
          <w:u w:val="single"/>
        </w:rPr>
      </w:pPr>
      <w:r>
        <w:rPr>
          <w:rFonts w:ascii="Arial" w:hAnsi="宋体" w:cs="Arial"/>
          <w:kern w:val="0"/>
          <w:szCs w:val="21"/>
        </w:rPr>
        <w:t>邮编：</w:t>
      </w:r>
      <w:r>
        <w:rPr>
          <w:rFonts w:ascii="Arial" w:hAnsi="Arial" w:cs="Arial"/>
          <w:kern w:val="0"/>
          <w:szCs w:val="21"/>
          <w:u w:val="single"/>
        </w:rPr>
        <w:t xml:space="preserve">              </w:t>
      </w:r>
      <w:r>
        <w:rPr>
          <w:rFonts w:ascii="Arial" w:hAnsi="宋体" w:cs="Arial"/>
          <w:kern w:val="0"/>
          <w:szCs w:val="21"/>
        </w:rPr>
        <w:t>电话：</w:t>
      </w:r>
      <w:r>
        <w:rPr>
          <w:rFonts w:ascii="Arial" w:hAnsi="Arial" w:cs="Arial"/>
          <w:kern w:val="0"/>
          <w:szCs w:val="21"/>
          <w:u w:val="single"/>
        </w:rPr>
        <w:t xml:space="preserve">              </w:t>
      </w:r>
      <w:r>
        <w:rPr>
          <w:rFonts w:ascii="Arial" w:hAnsi="宋体" w:cs="Arial"/>
          <w:kern w:val="0"/>
          <w:szCs w:val="21"/>
        </w:rPr>
        <w:t>传真：</w:t>
      </w:r>
      <w:r>
        <w:rPr>
          <w:rFonts w:ascii="Arial" w:hAnsi="Arial" w:cs="Arial"/>
          <w:kern w:val="0"/>
          <w:szCs w:val="21"/>
          <w:u w:val="single"/>
        </w:rPr>
        <w:t xml:space="preserve">              </w:t>
      </w:r>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宋体"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pStyle w:val="5"/>
        <w:rPr>
          <w:rFonts w:hint="eastAsia"/>
        </w:rPr>
        <w:sectPr>
          <w:pgSz w:w="11906" w:h="16838"/>
          <w:pgMar w:top="1244" w:right="1418" w:bottom="1134" w:left="1418" w:header="680" w:footer="992" w:gutter="0"/>
          <w:pgBorders>
            <w:top w:val="none" w:sz="0" w:space="0"/>
            <w:left w:val="none" w:sz="0" w:space="0"/>
            <w:bottom w:val="none" w:sz="0" w:space="0"/>
            <w:right w:val="none" w:sz="0" w:space="0"/>
          </w:pgBorders>
          <w:cols w:space="720" w:num="1"/>
          <w:titlePg/>
          <w:docGrid w:type="lines" w:linePitch="312" w:charSpace="0"/>
        </w:sectPr>
      </w:pPr>
      <w:bookmarkStart w:id="36" w:name="_Toc17803"/>
      <w:bookmarkStart w:id="37" w:name="_Toc412788169"/>
    </w:p>
    <w:p>
      <w:pPr>
        <w:pStyle w:val="6"/>
        <w:pageBreakBefore/>
        <w:spacing w:line="0" w:lineRule="atLeast"/>
        <w:jc w:val="center"/>
        <w:rPr>
          <w:color w:val="auto"/>
        </w:rPr>
      </w:pPr>
      <w:bookmarkStart w:id="38" w:name="_Toc3224"/>
      <w:r>
        <w:rPr>
          <w:rFonts w:hint="eastAsia" w:ascii="宋体" w:hAnsi="宋体" w:eastAsia="宋体"/>
          <w:color w:val="auto"/>
          <w:sz w:val="24"/>
          <w:szCs w:val="24"/>
        </w:rPr>
        <w:t>附件2</w:t>
      </w:r>
      <w:r>
        <w:rPr>
          <w:rFonts w:ascii="宋体" w:hAnsi="宋体" w:eastAsia="宋体"/>
          <w:color w:val="auto"/>
          <w:sz w:val="24"/>
          <w:szCs w:val="24"/>
        </w:rPr>
        <w:t xml:space="preserve">   </w:t>
      </w:r>
      <w:r>
        <w:rPr>
          <w:rFonts w:hint="eastAsia"/>
          <w:color w:val="auto"/>
        </w:rPr>
        <w:t>开标一览表</w:t>
      </w:r>
      <w:bookmarkEnd w:id="38"/>
    </w:p>
    <w:p>
      <w:pPr>
        <w:rPr>
          <w:color w:val="auto"/>
        </w:rPr>
      </w:pPr>
      <w:r>
        <w:rPr>
          <w:rFonts w:hint="eastAsia"/>
          <w:color w:val="auto"/>
          <w:highlight w:val="none"/>
        </w:rPr>
        <w:t xml:space="preserve">项目名称：                                            </w:t>
      </w:r>
      <w:r>
        <w:rPr>
          <w:color w:val="auto"/>
          <w:highlight w:val="none"/>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color w:val="auto"/>
          <w:highlight w:val="none"/>
        </w:rPr>
        <w:t>价格单位：人民币</w:t>
      </w:r>
      <w:r>
        <w:rPr>
          <w:rFonts w:hint="eastAsia"/>
          <w:color w:val="auto"/>
          <w:highlight w:val="none"/>
        </w:rPr>
        <w:t>元</w:t>
      </w:r>
      <w:r>
        <w:rPr>
          <w:color w:val="auto"/>
          <w:highlight w:val="none"/>
        </w:rPr>
        <w:t>）</w:t>
      </w:r>
    </w:p>
    <w:tbl>
      <w:tblPr>
        <w:tblStyle w:val="4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2"/>
        <w:gridCol w:w="1723"/>
        <w:gridCol w:w="1104"/>
        <w:gridCol w:w="1683"/>
        <w:gridCol w:w="2047"/>
        <w:gridCol w:w="2260"/>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52" w:type="dxa"/>
            <w:gridSpan w:val="7"/>
            <w:vAlign w:val="center"/>
          </w:tcPr>
          <w:p>
            <w:pPr>
              <w:jc w:val="center"/>
              <w:rPr>
                <w:rFonts w:hint="eastAsia"/>
                <w:b/>
                <w:color w:val="auto"/>
                <w:sz w:val="22"/>
                <w:szCs w:val="22"/>
              </w:rPr>
            </w:pPr>
            <w:r>
              <w:rPr>
                <w:rFonts w:hint="eastAsia"/>
                <w:b/>
                <w:color w:val="auto"/>
                <w:sz w:val="22"/>
                <w:szCs w:val="22"/>
                <w:lang w:eastAsia="zh-CN"/>
              </w:rPr>
              <w:t>设备日常巡查及</w:t>
            </w:r>
            <w:r>
              <w:rPr>
                <w:rFonts w:hint="eastAsia"/>
                <w:b/>
                <w:color w:val="auto"/>
                <w:sz w:val="22"/>
                <w:szCs w:val="22"/>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b/>
                <w:color w:val="auto"/>
                <w:sz w:val="22"/>
                <w:szCs w:val="22"/>
              </w:rPr>
            </w:pPr>
            <w:r>
              <w:rPr>
                <w:rFonts w:hint="eastAsia"/>
                <w:b/>
                <w:color w:val="auto"/>
                <w:sz w:val="22"/>
                <w:szCs w:val="22"/>
              </w:rPr>
              <w:t>服务内容</w:t>
            </w:r>
          </w:p>
        </w:tc>
        <w:tc>
          <w:tcPr>
            <w:tcW w:w="1723" w:type="dxa"/>
            <w:vAlign w:val="center"/>
          </w:tcPr>
          <w:p>
            <w:pPr>
              <w:jc w:val="center"/>
              <w:rPr>
                <w:b/>
                <w:color w:val="auto"/>
                <w:sz w:val="22"/>
                <w:szCs w:val="22"/>
              </w:rPr>
            </w:pPr>
            <w:r>
              <w:rPr>
                <w:rFonts w:hint="eastAsia"/>
                <w:b/>
                <w:color w:val="auto"/>
                <w:sz w:val="22"/>
                <w:szCs w:val="22"/>
              </w:rPr>
              <w:t>服务项目</w:t>
            </w:r>
          </w:p>
        </w:tc>
        <w:tc>
          <w:tcPr>
            <w:tcW w:w="2787" w:type="dxa"/>
            <w:gridSpan w:val="2"/>
            <w:vAlign w:val="center"/>
          </w:tcPr>
          <w:p>
            <w:pPr>
              <w:jc w:val="center"/>
              <w:rPr>
                <w:rFonts w:hint="eastAsia" w:eastAsia="宋体"/>
                <w:b/>
                <w:color w:val="auto"/>
                <w:sz w:val="22"/>
                <w:szCs w:val="22"/>
                <w:lang w:eastAsia="zh-CN"/>
              </w:rPr>
            </w:pPr>
            <w:r>
              <w:rPr>
                <w:rFonts w:hint="eastAsia"/>
                <w:b/>
                <w:color w:val="auto"/>
                <w:sz w:val="22"/>
                <w:szCs w:val="22"/>
              </w:rPr>
              <w:t>单台年度最高限价</w:t>
            </w:r>
            <w:r>
              <w:rPr>
                <w:rFonts w:hint="eastAsia"/>
                <w:b/>
                <w:color w:val="auto"/>
                <w:sz w:val="22"/>
                <w:szCs w:val="22"/>
                <w:lang w:eastAsia="zh-CN"/>
              </w:rPr>
              <w:t>（元</w:t>
            </w:r>
            <w:r>
              <w:rPr>
                <w:rFonts w:hint="eastAsia"/>
                <w:b/>
                <w:color w:val="auto"/>
                <w:sz w:val="22"/>
                <w:szCs w:val="22"/>
                <w:lang w:val="en-US" w:eastAsia="zh-CN"/>
              </w:rPr>
              <w:t>/台</w:t>
            </w:r>
            <w:r>
              <w:rPr>
                <w:rFonts w:hint="eastAsia"/>
                <w:b/>
                <w:color w:val="auto"/>
                <w:sz w:val="22"/>
                <w:szCs w:val="22"/>
                <w:lang w:eastAsia="zh-CN"/>
              </w:rPr>
              <w:t>）</w:t>
            </w:r>
          </w:p>
        </w:tc>
        <w:tc>
          <w:tcPr>
            <w:tcW w:w="2047" w:type="dxa"/>
            <w:vAlign w:val="center"/>
          </w:tcPr>
          <w:p>
            <w:pPr>
              <w:jc w:val="center"/>
              <w:rPr>
                <w:rFonts w:hint="default" w:eastAsia="宋体"/>
                <w:b/>
                <w:color w:val="auto"/>
                <w:sz w:val="22"/>
                <w:szCs w:val="22"/>
                <w:lang w:val="en-US" w:eastAsia="zh-CN"/>
              </w:rPr>
            </w:pPr>
            <w:r>
              <w:rPr>
                <w:rFonts w:hint="eastAsia"/>
                <w:b/>
                <w:color w:val="auto"/>
                <w:sz w:val="22"/>
                <w:szCs w:val="22"/>
                <w:lang w:val="en-US" w:eastAsia="zh-CN"/>
              </w:rPr>
              <w:t>统一下浮率（%）</w:t>
            </w:r>
          </w:p>
        </w:tc>
        <w:tc>
          <w:tcPr>
            <w:tcW w:w="2260" w:type="dxa"/>
            <w:vAlign w:val="center"/>
          </w:tcPr>
          <w:p>
            <w:pPr>
              <w:jc w:val="center"/>
              <w:rPr>
                <w:rFonts w:hint="eastAsia"/>
                <w:b/>
                <w:color w:val="auto"/>
                <w:sz w:val="22"/>
                <w:szCs w:val="22"/>
                <w:lang w:val="en-US" w:eastAsia="zh-CN"/>
              </w:rPr>
            </w:pPr>
            <w:r>
              <w:rPr>
                <w:rFonts w:hint="eastAsia"/>
                <w:b/>
                <w:color w:val="auto"/>
                <w:sz w:val="22"/>
                <w:szCs w:val="22"/>
              </w:rPr>
              <w:t>单台年度</w:t>
            </w:r>
            <w:r>
              <w:rPr>
                <w:rFonts w:hint="eastAsia"/>
                <w:b/>
                <w:color w:val="auto"/>
                <w:sz w:val="22"/>
                <w:szCs w:val="22"/>
                <w:lang w:val="en-US" w:eastAsia="zh-CN"/>
              </w:rPr>
              <w:t>投标报价</w:t>
            </w:r>
          </w:p>
          <w:p>
            <w:pPr>
              <w:jc w:val="center"/>
              <w:rPr>
                <w:rFonts w:hint="default" w:eastAsia="宋体"/>
                <w:b/>
                <w:color w:val="auto"/>
                <w:sz w:val="22"/>
                <w:szCs w:val="22"/>
                <w:lang w:val="en-US" w:eastAsia="zh-CN"/>
              </w:rPr>
            </w:pPr>
            <w:r>
              <w:rPr>
                <w:rFonts w:hint="eastAsia"/>
                <w:b/>
                <w:color w:val="auto"/>
                <w:sz w:val="22"/>
                <w:szCs w:val="22"/>
                <w:lang w:eastAsia="zh-CN"/>
              </w:rPr>
              <w:t>（元</w:t>
            </w:r>
            <w:r>
              <w:rPr>
                <w:rFonts w:hint="eastAsia"/>
                <w:b/>
                <w:color w:val="auto"/>
                <w:sz w:val="22"/>
                <w:szCs w:val="22"/>
                <w:lang w:val="en-US" w:eastAsia="zh-CN"/>
              </w:rPr>
              <w:t>/台</w:t>
            </w:r>
            <w:r>
              <w:rPr>
                <w:rFonts w:hint="eastAsia"/>
                <w:b/>
                <w:color w:val="auto"/>
                <w:sz w:val="22"/>
                <w:szCs w:val="22"/>
                <w:lang w:eastAsia="zh-CN"/>
              </w:rPr>
              <w:t>）</w:t>
            </w:r>
          </w:p>
        </w:tc>
        <w:tc>
          <w:tcPr>
            <w:tcW w:w="3493" w:type="dxa"/>
            <w:vAlign w:val="center"/>
          </w:tcPr>
          <w:p>
            <w:pPr>
              <w:jc w:val="center"/>
              <w:rPr>
                <w:rFonts w:hint="eastAsia"/>
                <w:b/>
                <w:color w:val="auto"/>
                <w:sz w:val="22"/>
                <w:szCs w:val="22"/>
              </w:rPr>
            </w:pPr>
            <w:r>
              <w:rPr>
                <w:rFonts w:hint="eastAsia"/>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lang w:eastAsia="zh-CN"/>
              </w:rPr>
            </w:pPr>
            <w:r>
              <w:rPr>
                <w:rFonts w:hint="eastAsia"/>
                <w:color w:val="auto"/>
                <w:sz w:val="22"/>
                <w:szCs w:val="22"/>
                <w:lang w:eastAsia="zh-CN"/>
              </w:rPr>
              <w:t>回转式格栅机日常巡查及</w:t>
            </w:r>
            <w:r>
              <w:rPr>
                <w:rFonts w:hint="eastAsia"/>
                <w:color w:val="auto"/>
                <w:sz w:val="22"/>
                <w:szCs w:val="22"/>
              </w:rPr>
              <w:t>保养</w:t>
            </w:r>
          </w:p>
        </w:tc>
        <w:tc>
          <w:tcPr>
            <w:tcW w:w="1723" w:type="dxa"/>
            <w:vAlign w:val="center"/>
          </w:tcPr>
          <w:p>
            <w:pPr>
              <w:jc w:val="center"/>
              <w:rPr>
                <w:rFonts w:hint="eastAsia"/>
                <w:color w:val="auto"/>
                <w:sz w:val="22"/>
                <w:szCs w:val="22"/>
                <w:lang w:eastAsia="zh-CN"/>
              </w:rPr>
            </w:pPr>
            <w:r>
              <w:rPr>
                <w:rFonts w:hint="eastAsia"/>
                <w:color w:val="auto"/>
                <w:sz w:val="22"/>
                <w:szCs w:val="22"/>
                <w:lang w:eastAsia="zh-CN"/>
              </w:rPr>
              <w:t>日常巡查</w:t>
            </w:r>
          </w:p>
        </w:tc>
        <w:tc>
          <w:tcPr>
            <w:tcW w:w="2787" w:type="dxa"/>
            <w:gridSpan w:val="2"/>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900</w:t>
            </w:r>
          </w:p>
        </w:tc>
        <w:tc>
          <w:tcPr>
            <w:tcW w:w="2047" w:type="dxa"/>
            <w:vMerge w:val="restart"/>
            <w:vAlign w:val="center"/>
          </w:tcPr>
          <w:p>
            <w:pPr>
              <w:jc w:val="center"/>
              <w:rPr>
                <w:rFonts w:hint="default" w:eastAsia="宋体"/>
                <w:color w:val="auto"/>
                <w:sz w:val="22"/>
                <w:szCs w:val="22"/>
                <w:lang w:val="en-US" w:eastAsia="zh-CN"/>
              </w:rPr>
            </w:pPr>
          </w:p>
        </w:tc>
        <w:tc>
          <w:tcPr>
            <w:tcW w:w="2260" w:type="dxa"/>
            <w:vAlign w:val="center"/>
          </w:tcPr>
          <w:p>
            <w:pPr>
              <w:jc w:val="center"/>
              <w:rPr>
                <w:rFonts w:hint="default" w:eastAsia="宋体"/>
                <w:color w:val="auto"/>
                <w:sz w:val="22"/>
                <w:szCs w:val="22"/>
                <w:lang w:val="en-US" w:eastAsia="zh-CN"/>
              </w:rPr>
            </w:pPr>
          </w:p>
        </w:tc>
        <w:tc>
          <w:tcPr>
            <w:tcW w:w="3493" w:type="dxa"/>
            <w:vAlign w:val="center"/>
          </w:tcPr>
          <w:p>
            <w:pPr>
              <w:jc w:val="center"/>
              <w:rPr>
                <w:rFonts w:hint="eastAsia" w:ascii="宋体" w:hAnsi="宋体" w:cs="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color w:val="auto"/>
                <w:sz w:val="22"/>
                <w:szCs w:val="22"/>
              </w:rPr>
            </w:pPr>
            <w:r>
              <w:rPr>
                <w:rFonts w:hint="eastAsia"/>
                <w:color w:val="auto"/>
                <w:sz w:val="22"/>
                <w:szCs w:val="22"/>
                <w:lang w:eastAsia="zh-CN"/>
              </w:rPr>
              <w:t>回转式格栅机日常巡查及</w:t>
            </w:r>
            <w:r>
              <w:rPr>
                <w:rFonts w:hint="eastAsia"/>
                <w:color w:val="auto"/>
                <w:sz w:val="22"/>
                <w:szCs w:val="22"/>
              </w:rPr>
              <w:t>保养</w:t>
            </w:r>
          </w:p>
        </w:tc>
        <w:tc>
          <w:tcPr>
            <w:tcW w:w="1723" w:type="dxa"/>
            <w:vAlign w:val="center"/>
          </w:tcPr>
          <w:p>
            <w:pPr>
              <w:jc w:val="center"/>
              <w:rPr>
                <w:rFonts w:hint="eastAsia" w:eastAsia="宋体"/>
                <w:color w:val="auto"/>
                <w:sz w:val="22"/>
                <w:szCs w:val="22"/>
                <w:lang w:eastAsia="zh-CN"/>
              </w:rPr>
            </w:pPr>
            <w:r>
              <w:rPr>
                <w:rFonts w:hint="eastAsia"/>
                <w:color w:val="auto"/>
                <w:sz w:val="22"/>
                <w:szCs w:val="22"/>
              </w:rPr>
              <w:t>保养</w:t>
            </w:r>
          </w:p>
        </w:tc>
        <w:tc>
          <w:tcPr>
            <w:tcW w:w="2787" w:type="dxa"/>
            <w:gridSpan w:val="2"/>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1500</w:t>
            </w:r>
          </w:p>
        </w:tc>
        <w:tc>
          <w:tcPr>
            <w:tcW w:w="2047" w:type="dxa"/>
            <w:vMerge w:val="continue"/>
            <w:vAlign w:val="center"/>
          </w:tcPr>
          <w:p>
            <w:pPr>
              <w:jc w:val="center"/>
              <w:rPr>
                <w:rFonts w:hint="default" w:eastAsia="宋体"/>
                <w:color w:val="auto"/>
                <w:sz w:val="22"/>
                <w:szCs w:val="22"/>
                <w:lang w:val="en-US" w:eastAsia="zh-CN"/>
              </w:rPr>
            </w:pPr>
          </w:p>
        </w:tc>
        <w:tc>
          <w:tcPr>
            <w:tcW w:w="2260" w:type="dxa"/>
            <w:vAlign w:val="center"/>
          </w:tcPr>
          <w:p>
            <w:pPr>
              <w:jc w:val="center"/>
              <w:rPr>
                <w:rFonts w:hint="default" w:eastAsia="宋体"/>
                <w:color w:val="auto"/>
                <w:sz w:val="22"/>
                <w:szCs w:val="22"/>
                <w:lang w:val="en-US" w:eastAsia="zh-CN"/>
              </w:rPr>
            </w:pPr>
          </w:p>
        </w:tc>
        <w:tc>
          <w:tcPr>
            <w:tcW w:w="3493" w:type="dxa"/>
            <w:vAlign w:val="center"/>
          </w:tcPr>
          <w:p>
            <w:pPr>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b/>
                <w:color w:val="auto"/>
                <w:sz w:val="22"/>
                <w:szCs w:val="22"/>
              </w:rPr>
            </w:pPr>
            <w:r>
              <w:rPr>
                <w:rFonts w:hint="eastAsia"/>
                <w:color w:val="auto"/>
                <w:sz w:val="22"/>
                <w:szCs w:val="22"/>
                <w:lang w:eastAsia="zh-CN"/>
              </w:rPr>
              <w:t>粉碎性格栅机</w:t>
            </w:r>
            <w:r>
              <w:rPr>
                <w:rFonts w:hint="eastAsia"/>
                <w:color w:val="auto"/>
                <w:sz w:val="22"/>
                <w:szCs w:val="22"/>
              </w:rPr>
              <w:t>保养</w:t>
            </w:r>
          </w:p>
        </w:tc>
        <w:tc>
          <w:tcPr>
            <w:tcW w:w="1723" w:type="dxa"/>
            <w:vAlign w:val="center"/>
          </w:tcPr>
          <w:p>
            <w:pPr>
              <w:jc w:val="center"/>
              <w:rPr>
                <w:color w:val="auto"/>
                <w:sz w:val="22"/>
                <w:szCs w:val="22"/>
              </w:rPr>
            </w:pPr>
            <w:r>
              <w:rPr>
                <w:rFonts w:hint="eastAsia"/>
                <w:color w:val="auto"/>
                <w:sz w:val="22"/>
                <w:szCs w:val="22"/>
              </w:rPr>
              <w:t>保养</w:t>
            </w:r>
          </w:p>
        </w:tc>
        <w:tc>
          <w:tcPr>
            <w:tcW w:w="2787" w:type="dxa"/>
            <w:gridSpan w:val="2"/>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2000</w:t>
            </w:r>
          </w:p>
        </w:tc>
        <w:tc>
          <w:tcPr>
            <w:tcW w:w="2047" w:type="dxa"/>
            <w:vMerge w:val="continue"/>
            <w:vAlign w:val="center"/>
          </w:tcPr>
          <w:p>
            <w:pPr>
              <w:jc w:val="center"/>
              <w:rPr>
                <w:color w:val="auto"/>
                <w:sz w:val="22"/>
                <w:szCs w:val="22"/>
              </w:rPr>
            </w:pPr>
          </w:p>
        </w:tc>
        <w:tc>
          <w:tcPr>
            <w:tcW w:w="2260" w:type="dxa"/>
            <w:vAlign w:val="center"/>
          </w:tcPr>
          <w:p>
            <w:pPr>
              <w:jc w:val="center"/>
              <w:rPr>
                <w:color w:val="auto"/>
                <w:sz w:val="22"/>
                <w:szCs w:val="22"/>
              </w:rPr>
            </w:pPr>
          </w:p>
        </w:tc>
        <w:tc>
          <w:tcPr>
            <w:tcW w:w="3493" w:type="dxa"/>
            <w:vAlign w:val="center"/>
          </w:tcPr>
          <w:p>
            <w:pPr>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52" w:type="dxa"/>
            <w:gridSpan w:val="7"/>
            <w:vAlign w:val="center"/>
          </w:tcPr>
          <w:p>
            <w:pPr>
              <w:jc w:val="center"/>
              <w:rPr>
                <w:rFonts w:hint="eastAsia"/>
                <w:b/>
                <w:bCs/>
                <w:color w:val="auto"/>
                <w:sz w:val="22"/>
                <w:szCs w:val="22"/>
              </w:rPr>
            </w:pPr>
            <w:r>
              <w:rPr>
                <w:rFonts w:hint="eastAsia"/>
                <w:b/>
                <w:bCs/>
                <w:color w:val="auto"/>
                <w:sz w:val="22"/>
                <w:szCs w:val="22"/>
              </w:rPr>
              <w:t>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color w:val="auto"/>
                <w:sz w:val="22"/>
                <w:szCs w:val="22"/>
              </w:rPr>
            </w:pPr>
            <w:r>
              <w:rPr>
                <w:rFonts w:hint="eastAsia"/>
                <w:b/>
                <w:color w:val="auto"/>
                <w:sz w:val="22"/>
                <w:szCs w:val="22"/>
              </w:rPr>
              <w:t>服务内容</w:t>
            </w:r>
          </w:p>
        </w:tc>
        <w:tc>
          <w:tcPr>
            <w:tcW w:w="1723" w:type="dxa"/>
            <w:vAlign w:val="center"/>
          </w:tcPr>
          <w:p>
            <w:pPr>
              <w:jc w:val="center"/>
              <w:rPr>
                <w:color w:val="auto"/>
                <w:sz w:val="22"/>
                <w:szCs w:val="22"/>
              </w:rPr>
            </w:pPr>
            <w:r>
              <w:rPr>
                <w:rFonts w:hint="eastAsia"/>
                <w:b/>
                <w:color w:val="auto"/>
                <w:sz w:val="22"/>
                <w:szCs w:val="22"/>
              </w:rPr>
              <w:t>服务项目</w:t>
            </w:r>
          </w:p>
        </w:tc>
        <w:tc>
          <w:tcPr>
            <w:tcW w:w="1104" w:type="dxa"/>
            <w:vAlign w:val="center"/>
          </w:tcPr>
          <w:p>
            <w:pPr>
              <w:jc w:val="center"/>
              <w:rPr>
                <w:color w:val="auto"/>
                <w:sz w:val="22"/>
                <w:szCs w:val="22"/>
              </w:rPr>
            </w:pPr>
            <w:r>
              <w:rPr>
                <w:rFonts w:hint="eastAsia"/>
                <w:b/>
                <w:color w:val="auto"/>
                <w:sz w:val="22"/>
                <w:szCs w:val="22"/>
              </w:rPr>
              <w:t>数量</w:t>
            </w:r>
          </w:p>
        </w:tc>
        <w:tc>
          <w:tcPr>
            <w:tcW w:w="1683" w:type="dxa"/>
            <w:vAlign w:val="center"/>
          </w:tcPr>
          <w:p>
            <w:pPr>
              <w:jc w:val="center"/>
              <w:rPr>
                <w:rFonts w:hint="eastAsia" w:eastAsia="宋体"/>
                <w:color w:val="auto"/>
                <w:sz w:val="22"/>
                <w:szCs w:val="22"/>
                <w:lang w:val="en-US" w:eastAsia="zh-CN"/>
              </w:rPr>
            </w:pPr>
            <w:r>
              <w:rPr>
                <w:rFonts w:hint="eastAsia"/>
                <w:b/>
                <w:color w:val="auto"/>
                <w:sz w:val="22"/>
                <w:szCs w:val="22"/>
              </w:rPr>
              <w:t>最高限价</w:t>
            </w:r>
          </w:p>
        </w:tc>
        <w:tc>
          <w:tcPr>
            <w:tcW w:w="2047" w:type="dxa"/>
            <w:vAlign w:val="center"/>
          </w:tcPr>
          <w:p>
            <w:pPr>
              <w:jc w:val="center"/>
              <w:rPr>
                <w:rFonts w:hint="default" w:ascii="Times New Roman" w:hAnsi="Times New Roman" w:eastAsia="宋体" w:cs="Times New Roman"/>
                <w:b/>
                <w:color w:val="auto"/>
                <w:kern w:val="2"/>
                <w:sz w:val="22"/>
                <w:szCs w:val="22"/>
                <w:lang w:val="en-US" w:eastAsia="zh-CN" w:bidi="ar-SA"/>
              </w:rPr>
            </w:pPr>
            <w:r>
              <w:rPr>
                <w:rFonts w:hint="eastAsia"/>
                <w:b/>
                <w:color w:val="auto"/>
                <w:sz w:val="22"/>
                <w:szCs w:val="22"/>
                <w:lang w:val="en-US" w:eastAsia="zh-CN"/>
              </w:rPr>
              <w:t>统一下浮率（%）</w:t>
            </w:r>
          </w:p>
        </w:tc>
        <w:tc>
          <w:tcPr>
            <w:tcW w:w="2260" w:type="dxa"/>
            <w:vAlign w:val="center"/>
          </w:tcPr>
          <w:p>
            <w:pPr>
              <w:jc w:val="center"/>
              <w:rPr>
                <w:rFonts w:hint="eastAsia" w:ascii="Times New Roman" w:hAnsi="Times New Roman" w:eastAsia="宋体" w:cs="Times New Roman"/>
                <w:b/>
                <w:color w:val="auto"/>
                <w:kern w:val="2"/>
                <w:sz w:val="22"/>
                <w:szCs w:val="22"/>
                <w:lang w:val="en-US" w:eastAsia="zh-CN" w:bidi="ar-SA"/>
              </w:rPr>
            </w:pPr>
            <w:r>
              <w:rPr>
                <w:rFonts w:hint="eastAsia"/>
                <w:b/>
                <w:color w:val="auto"/>
                <w:sz w:val="22"/>
                <w:szCs w:val="22"/>
                <w:lang w:val="en-US" w:eastAsia="zh-CN"/>
              </w:rPr>
              <w:t>投标报价</w:t>
            </w: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rPr>
            </w:pPr>
            <w:r>
              <w:rPr>
                <w:rFonts w:hint="eastAsia"/>
                <w:color w:val="auto"/>
                <w:sz w:val="22"/>
                <w:szCs w:val="22"/>
              </w:rPr>
              <w:t>维修及配件</w:t>
            </w:r>
          </w:p>
        </w:tc>
        <w:tc>
          <w:tcPr>
            <w:tcW w:w="1723" w:type="dxa"/>
            <w:vAlign w:val="center"/>
          </w:tcPr>
          <w:p>
            <w:pPr>
              <w:jc w:val="center"/>
              <w:rPr>
                <w:rFonts w:hint="eastAsia"/>
                <w:color w:val="auto"/>
                <w:sz w:val="22"/>
                <w:szCs w:val="22"/>
              </w:rPr>
            </w:pPr>
            <w:r>
              <w:rPr>
                <w:rFonts w:hint="eastAsia"/>
                <w:color w:val="auto"/>
                <w:sz w:val="22"/>
                <w:szCs w:val="22"/>
                <w:lang w:eastAsia="zh-CN"/>
              </w:rPr>
              <w:t>维修</w:t>
            </w:r>
          </w:p>
        </w:tc>
        <w:tc>
          <w:tcPr>
            <w:tcW w:w="1104" w:type="dxa"/>
            <w:vAlign w:val="center"/>
          </w:tcPr>
          <w:p>
            <w:pPr>
              <w:jc w:val="center"/>
              <w:rPr>
                <w:rFonts w:hint="eastAsia"/>
                <w:color w:val="auto"/>
                <w:sz w:val="22"/>
                <w:szCs w:val="22"/>
              </w:rPr>
            </w:pPr>
            <w:r>
              <w:rPr>
                <w:rFonts w:hint="eastAsia"/>
                <w:color w:val="auto"/>
                <w:sz w:val="22"/>
                <w:szCs w:val="22"/>
                <w:lang w:val="en-US" w:eastAsia="zh-CN"/>
              </w:rPr>
              <w:t>按实</w:t>
            </w:r>
          </w:p>
        </w:tc>
        <w:tc>
          <w:tcPr>
            <w:tcW w:w="1683" w:type="dxa"/>
            <w:vAlign w:val="center"/>
          </w:tcPr>
          <w:p>
            <w:pPr>
              <w:keepNext w:val="0"/>
              <w:keepLines w:val="0"/>
              <w:widowControl/>
              <w:suppressLineNumbers w:val="0"/>
              <w:jc w:val="center"/>
              <w:textAlignment w:val="center"/>
              <w:rPr>
                <w:rFonts w:hint="default"/>
                <w:lang w:val="en-US" w:eastAsia="zh-CN"/>
              </w:rPr>
            </w:pPr>
            <w:r>
              <w:rPr>
                <w:rFonts w:hint="eastAsia" w:cs="Times New Roman"/>
                <w:color w:val="FF0000"/>
                <w:sz w:val="22"/>
                <w:szCs w:val="22"/>
                <w:highlight w:val="yellow"/>
                <w:lang w:val="en-US" w:eastAsia="zh-CN"/>
              </w:rPr>
              <w:t>128207.4元</w:t>
            </w:r>
          </w:p>
        </w:tc>
        <w:tc>
          <w:tcPr>
            <w:tcW w:w="2047" w:type="dxa"/>
            <w:vMerge w:val="restart"/>
            <w:vAlign w:val="center"/>
          </w:tcPr>
          <w:p>
            <w:pPr>
              <w:jc w:val="center"/>
              <w:rPr>
                <w:rFonts w:hint="eastAsia"/>
                <w:color w:val="auto"/>
                <w:sz w:val="22"/>
                <w:szCs w:val="22"/>
              </w:rPr>
            </w:pPr>
          </w:p>
        </w:tc>
        <w:tc>
          <w:tcPr>
            <w:tcW w:w="2260" w:type="dxa"/>
            <w:vAlign w:val="center"/>
          </w:tcPr>
          <w:p>
            <w:pPr>
              <w:jc w:val="center"/>
              <w:rPr>
                <w:rFonts w:hint="eastAsia"/>
                <w:color w:val="auto"/>
                <w:sz w:val="22"/>
                <w:szCs w:val="22"/>
              </w:rPr>
            </w:pPr>
          </w:p>
        </w:tc>
        <w:tc>
          <w:tcPr>
            <w:tcW w:w="3493" w:type="dxa"/>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0000FF"/>
                <w:sz w:val="22"/>
                <w:szCs w:val="22"/>
                <w:lang w:eastAsia="zh-CN"/>
              </w:rPr>
              <w:t>最高限价为设备维修及配件单价限价的合计价格，详见附件</w:t>
            </w:r>
            <w:r>
              <w:rPr>
                <w:rFonts w:hint="eastAsia"/>
                <w:color w:val="0000FF"/>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rPr>
            </w:pPr>
            <w:r>
              <w:rPr>
                <w:rFonts w:hint="eastAsia"/>
                <w:color w:val="auto"/>
                <w:sz w:val="22"/>
                <w:szCs w:val="22"/>
              </w:rPr>
              <w:t>设备运行异常维修费</w:t>
            </w:r>
          </w:p>
        </w:tc>
        <w:tc>
          <w:tcPr>
            <w:tcW w:w="1723" w:type="dxa"/>
            <w:vAlign w:val="center"/>
          </w:tcPr>
          <w:p>
            <w:pPr>
              <w:jc w:val="center"/>
              <w:rPr>
                <w:rFonts w:hint="eastAsia"/>
                <w:color w:val="auto"/>
                <w:sz w:val="22"/>
                <w:szCs w:val="22"/>
              </w:rPr>
            </w:pPr>
            <w:r>
              <w:rPr>
                <w:rFonts w:hint="eastAsia"/>
                <w:color w:val="auto"/>
                <w:sz w:val="22"/>
                <w:szCs w:val="22"/>
              </w:rPr>
              <w:t>维修</w:t>
            </w:r>
          </w:p>
        </w:tc>
        <w:tc>
          <w:tcPr>
            <w:tcW w:w="1104" w:type="dxa"/>
            <w:vAlign w:val="center"/>
          </w:tcPr>
          <w:p>
            <w:pPr>
              <w:jc w:val="center"/>
              <w:rPr>
                <w:rFonts w:hint="eastAsia"/>
                <w:color w:val="auto"/>
                <w:sz w:val="22"/>
                <w:szCs w:val="22"/>
              </w:rPr>
            </w:pPr>
            <w:r>
              <w:rPr>
                <w:rFonts w:hint="eastAsia"/>
                <w:color w:val="auto"/>
                <w:sz w:val="22"/>
                <w:szCs w:val="22"/>
                <w:lang w:val="en-US" w:eastAsia="zh-CN"/>
              </w:rPr>
              <w:t>按实</w:t>
            </w:r>
          </w:p>
        </w:tc>
        <w:tc>
          <w:tcPr>
            <w:tcW w:w="1683" w:type="dxa"/>
            <w:vAlign w:val="center"/>
          </w:tcPr>
          <w:p>
            <w:pPr>
              <w:jc w:val="center"/>
              <w:rPr>
                <w:rFonts w:hint="default" w:eastAsia="宋体"/>
                <w:color w:val="auto"/>
                <w:sz w:val="22"/>
                <w:szCs w:val="22"/>
                <w:lang w:val="en-US" w:eastAsia="zh-CN"/>
              </w:rPr>
            </w:pPr>
            <w:r>
              <w:rPr>
                <w:rFonts w:hint="eastAsia"/>
                <w:color w:val="auto"/>
                <w:sz w:val="22"/>
                <w:szCs w:val="22"/>
                <w:lang w:val="en-US" w:eastAsia="zh-CN"/>
              </w:rPr>
              <w:t>1800（元/次）</w:t>
            </w:r>
          </w:p>
        </w:tc>
        <w:tc>
          <w:tcPr>
            <w:tcW w:w="2047" w:type="dxa"/>
            <w:vMerge w:val="continue"/>
            <w:vAlign w:val="center"/>
          </w:tcPr>
          <w:p>
            <w:pPr>
              <w:jc w:val="center"/>
              <w:rPr>
                <w:rFonts w:hint="eastAsia"/>
                <w:color w:val="auto"/>
                <w:sz w:val="22"/>
                <w:szCs w:val="22"/>
              </w:rPr>
            </w:pPr>
          </w:p>
        </w:tc>
        <w:tc>
          <w:tcPr>
            <w:tcW w:w="2260" w:type="dxa"/>
            <w:vAlign w:val="center"/>
          </w:tcPr>
          <w:p>
            <w:pPr>
              <w:jc w:val="center"/>
              <w:rPr>
                <w:rFonts w:hint="eastAsia" w:ascii="宋体" w:hAnsi="宋体" w:cs="宋体"/>
                <w:color w:val="auto"/>
                <w:sz w:val="22"/>
                <w:szCs w:val="22"/>
              </w:rPr>
            </w:pP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rPr>
            </w:pPr>
            <w:r>
              <w:rPr>
                <w:rFonts w:hint="eastAsia" w:ascii="宋体" w:hAnsi="宋体" w:cs="宋体"/>
                <w:color w:val="auto"/>
                <w:kern w:val="0"/>
                <w:sz w:val="22"/>
                <w:szCs w:val="22"/>
                <w:lang w:bidi="ar"/>
              </w:rPr>
              <w:t>设备吊装费</w:t>
            </w:r>
          </w:p>
        </w:tc>
        <w:tc>
          <w:tcPr>
            <w:tcW w:w="1723" w:type="dxa"/>
            <w:vAlign w:val="center"/>
          </w:tcPr>
          <w:p>
            <w:pPr>
              <w:jc w:val="center"/>
              <w:rPr>
                <w:rFonts w:hint="eastAsia"/>
                <w:color w:val="auto"/>
                <w:sz w:val="22"/>
                <w:szCs w:val="22"/>
              </w:rPr>
            </w:pPr>
            <w:r>
              <w:rPr>
                <w:rFonts w:hint="eastAsia"/>
                <w:color w:val="auto"/>
                <w:sz w:val="22"/>
                <w:szCs w:val="22"/>
              </w:rPr>
              <w:t>维修</w:t>
            </w:r>
          </w:p>
        </w:tc>
        <w:tc>
          <w:tcPr>
            <w:tcW w:w="1104" w:type="dxa"/>
            <w:vAlign w:val="center"/>
          </w:tcPr>
          <w:p>
            <w:pPr>
              <w:jc w:val="center"/>
              <w:rPr>
                <w:rFonts w:hint="eastAsia"/>
                <w:color w:val="auto"/>
                <w:sz w:val="22"/>
                <w:szCs w:val="22"/>
              </w:rPr>
            </w:pPr>
            <w:r>
              <w:rPr>
                <w:rFonts w:hint="eastAsia"/>
                <w:color w:val="auto"/>
                <w:sz w:val="22"/>
                <w:szCs w:val="22"/>
                <w:lang w:val="en-US" w:eastAsia="zh-CN"/>
              </w:rPr>
              <w:t>按实</w:t>
            </w:r>
          </w:p>
        </w:tc>
        <w:tc>
          <w:tcPr>
            <w:tcW w:w="1683" w:type="dxa"/>
            <w:vAlign w:val="center"/>
          </w:tcPr>
          <w:p>
            <w:pPr>
              <w:jc w:val="center"/>
              <w:rPr>
                <w:rFonts w:hint="default" w:eastAsia="宋体"/>
                <w:color w:val="auto"/>
                <w:sz w:val="22"/>
                <w:szCs w:val="22"/>
                <w:lang w:val="en-US" w:eastAsia="zh-CN"/>
              </w:rPr>
            </w:pPr>
            <w:r>
              <w:rPr>
                <w:rFonts w:hint="eastAsia"/>
                <w:color w:val="auto"/>
                <w:sz w:val="22"/>
                <w:szCs w:val="22"/>
                <w:lang w:val="en-US" w:eastAsia="zh-CN"/>
              </w:rPr>
              <w:t>2000（元/次）</w:t>
            </w:r>
          </w:p>
        </w:tc>
        <w:tc>
          <w:tcPr>
            <w:tcW w:w="2047" w:type="dxa"/>
            <w:vMerge w:val="continue"/>
            <w:vAlign w:val="center"/>
          </w:tcPr>
          <w:p>
            <w:pPr>
              <w:jc w:val="center"/>
              <w:rPr>
                <w:rFonts w:hint="eastAsia"/>
                <w:color w:val="auto"/>
                <w:sz w:val="22"/>
                <w:szCs w:val="22"/>
              </w:rPr>
            </w:pPr>
          </w:p>
        </w:tc>
        <w:tc>
          <w:tcPr>
            <w:tcW w:w="2260" w:type="dxa"/>
            <w:vAlign w:val="center"/>
          </w:tcPr>
          <w:p>
            <w:pPr>
              <w:jc w:val="center"/>
              <w:rPr>
                <w:rFonts w:hint="eastAsia" w:ascii="宋体" w:hAnsi="宋体" w:cs="宋体"/>
                <w:color w:val="auto"/>
                <w:kern w:val="0"/>
                <w:sz w:val="22"/>
                <w:szCs w:val="22"/>
                <w:lang w:bidi="ar"/>
              </w:rPr>
            </w:pP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ascii="宋体" w:hAnsi="宋体" w:cs="宋体"/>
                <w:color w:val="auto"/>
                <w:kern w:val="0"/>
                <w:sz w:val="22"/>
                <w:szCs w:val="22"/>
                <w:lang w:bidi="ar"/>
              </w:rPr>
              <w:t>阳光房拆装费</w:t>
            </w:r>
          </w:p>
        </w:tc>
        <w:tc>
          <w:tcPr>
            <w:tcW w:w="1723"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rPr>
              <w:t>维修</w:t>
            </w:r>
          </w:p>
        </w:tc>
        <w:tc>
          <w:tcPr>
            <w:tcW w:w="1104"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按实</w:t>
            </w:r>
          </w:p>
        </w:tc>
        <w:tc>
          <w:tcPr>
            <w:tcW w:w="1683"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1000（元/次）</w:t>
            </w:r>
          </w:p>
        </w:tc>
        <w:tc>
          <w:tcPr>
            <w:tcW w:w="2047" w:type="dxa"/>
            <w:vMerge w:val="continue"/>
            <w:vAlign w:val="center"/>
          </w:tcPr>
          <w:p>
            <w:pPr>
              <w:jc w:val="center"/>
              <w:rPr>
                <w:rFonts w:hint="eastAsia" w:ascii="Times New Roman" w:hAnsi="Times New Roman" w:eastAsia="宋体" w:cs="Times New Roman"/>
                <w:color w:val="auto"/>
                <w:kern w:val="2"/>
                <w:sz w:val="22"/>
                <w:szCs w:val="22"/>
                <w:lang w:val="en-US" w:eastAsia="zh-CN" w:bidi="ar-SA"/>
              </w:rPr>
            </w:pPr>
          </w:p>
        </w:tc>
        <w:tc>
          <w:tcPr>
            <w:tcW w:w="2260" w:type="dxa"/>
            <w:vAlign w:val="center"/>
          </w:tcPr>
          <w:p>
            <w:pPr>
              <w:jc w:val="center"/>
              <w:rPr>
                <w:rFonts w:hint="eastAsia" w:ascii="宋体" w:hAnsi="宋体" w:cs="宋体"/>
                <w:color w:val="auto"/>
                <w:kern w:val="0"/>
                <w:sz w:val="22"/>
                <w:szCs w:val="22"/>
                <w:lang w:bidi="ar"/>
              </w:rPr>
            </w:pP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p>
        </w:tc>
      </w:tr>
    </w:tbl>
    <w:p>
      <w:pPr>
        <w:spacing w:before="156" w:beforeLines="50" w:after="156" w:afterLines="50"/>
        <w:ind w:left="426" w:right="-11" w:hanging="426" w:hangingChars="213"/>
        <w:rPr>
          <w:rFonts w:hint="default" w:ascii="Arial" w:hAnsi="宋体" w:eastAsia="宋体" w:cs="Arial"/>
          <w:color w:val="auto"/>
          <w:kern w:val="0"/>
          <w:szCs w:val="21"/>
          <w:lang w:val="en-US" w:eastAsia="zh-CN"/>
        </w:rPr>
      </w:pPr>
      <w:r>
        <w:rPr>
          <w:rFonts w:hint="eastAsia"/>
          <w:color w:val="auto"/>
          <w:sz w:val="20"/>
          <w:szCs w:val="20"/>
        </w:rPr>
        <w:t>注：①投标报价超过任一最高综限价的，作无效标处理。②此表中泵站格栅机保养投标报价应与开标一览表中的“泵站格栅机保养投标报价”相一致。③以上报价包括拆解费、保养费、安装费、人工费、材料费、调试费、税金（含设备的关税、专用增值税等，需提供增值税专用发票）、运输（含二次搬运）及运输保险费、卸装费、机械费、水电费、仓储费、售后服务费、培训费、检测费、验收费、备用泵安装费、政策性文件规定及合同包含的所有风险、责任、义务等各项全部费用。▲④</w:t>
      </w:r>
      <w:r>
        <w:rPr>
          <w:rFonts w:hint="eastAsia"/>
          <w:b/>
          <w:bCs/>
          <w:color w:val="0000FF"/>
          <w:sz w:val="20"/>
          <w:szCs w:val="20"/>
          <w:lang w:eastAsia="zh-CN"/>
        </w:rPr>
        <w:t>设备日常巡查及</w:t>
      </w:r>
      <w:r>
        <w:rPr>
          <w:rFonts w:hint="eastAsia"/>
          <w:b/>
          <w:bCs/>
          <w:color w:val="0000FF"/>
          <w:sz w:val="20"/>
          <w:szCs w:val="20"/>
        </w:rPr>
        <w:t>保养</w:t>
      </w:r>
      <w:r>
        <w:rPr>
          <w:rFonts w:hint="eastAsia"/>
          <w:b/>
          <w:bCs/>
          <w:color w:val="0000FF"/>
          <w:sz w:val="20"/>
          <w:szCs w:val="20"/>
          <w:lang w:eastAsia="zh-CN"/>
        </w:rPr>
        <w:t>和</w:t>
      </w:r>
      <w:r>
        <w:rPr>
          <w:rFonts w:hint="eastAsia"/>
          <w:b/>
          <w:bCs/>
          <w:color w:val="0000FF"/>
          <w:sz w:val="20"/>
          <w:szCs w:val="20"/>
        </w:rPr>
        <w:t>设备维修</w:t>
      </w:r>
      <w:r>
        <w:rPr>
          <w:rFonts w:hint="eastAsia"/>
          <w:b/>
          <w:bCs/>
          <w:color w:val="0000FF"/>
          <w:sz w:val="20"/>
          <w:szCs w:val="20"/>
          <w:lang w:eastAsia="zh-CN"/>
        </w:rPr>
        <w:t>的下浮率必须一致，投标报价</w:t>
      </w:r>
      <w:r>
        <w:rPr>
          <w:rFonts w:hint="eastAsia"/>
          <w:b/>
          <w:bCs/>
          <w:color w:val="0000FF"/>
          <w:sz w:val="20"/>
          <w:szCs w:val="20"/>
          <w:lang w:val="en-US" w:eastAsia="zh-CN"/>
        </w:rPr>
        <w:t>=最高限价×（1—统一下浮率）。</w:t>
      </w:r>
    </w:p>
    <w:p>
      <w:pPr>
        <w:tabs>
          <w:tab w:val="left" w:pos="3252"/>
        </w:tabs>
        <w:spacing w:line="400" w:lineRule="exact"/>
        <w:ind w:firstLine="5527" w:firstLineChars="2632"/>
        <w:jc w:val="center"/>
        <w:rPr>
          <w:rFonts w:ascii="Arial" w:hAnsi="宋体" w:cs="Arial"/>
          <w:color w:val="auto"/>
          <w:kern w:val="0"/>
          <w:szCs w:val="21"/>
        </w:rPr>
      </w:pPr>
    </w:p>
    <w:p>
      <w:pPr>
        <w:tabs>
          <w:tab w:val="left" w:pos="3252"/>
        </w:tabs>
        <w:spacing w:line="400" w:lineRule="exact"/>
        <w:ind w:firstLine="5527" w:firstLineChars="2632"/>
        <w:jc w:val="center"/>
        <w:rPr>
          <w:rFonts w:ascii="Arial" w:hAnsi="宋体" w:cs="Arial"/>
          <w:color w:val="auto"/>
          <w:kern w:val="0"/>
          <w:szCs w:val="21"/>
        </w:rPr>
      </w:pPr>
    </w:p>
    <w:p>
      <w:pPr>
        <w:tabs>
          <w:tab w:val="left" w:pos="3252"/>
        </w:tabs>
        <w:spacing w:line="400" w:lineRule="exact"/>
        <w:ind w:firstLine="5527" w:firstLineChars="2632"/>
        <w:jc w:val="center"/>
        <w:rPr>
          <w:rFonts w:ascii="Arial" w:hAnsi="宋体" w:cs="Arial"/>
          <w:color w:val="auto"/>
          <w:kern w:val="0"/>
          <w:szCs w:val="21"/>
        </w:rPr>
      </w:pPr>
    </w:p>
    <w:p>
      <w:pPr>
        <w:tabs>
          <w:tab w:val="left" w:pos="3252"/>
        </w:tabs>
        <w:spacing w:line="400" w:lineRule="exact"/>
        <w:ind w:firstLine="5527" w:firstLineChars="2632"/>
        <w:jc w:val="center"/>
        <w:rPr>
          <w:rFonts w:ascii="Arial" w:hAnsi="Arial" w:cs="Arial"/>
          <w:color w:val="auto"/>
          <w:kern w:val="0"/>
          <w:szCs w:val="21"/>
        </w:rPr>
      </w:pPr>
      <w:r>
        <w:rPr>
          <w:rFonts w:ascii="Arial" w:hAnsi="宋体" w:cs="Arial"/>
          <w:color w:val="auto"/>
          <w:kern w:val="0"/>
          <w:szCs w:val="21"/>
        </w:rPr>
        <w:t>投标供应商（公章）：</w:t>
      </w:r>
    </w:p>
    <w:p>
      <w:pPr>
        <w:spacing w:line="400" w:lineRule="exact"/>
        <w:ind w:firstLine="5527" w:firstLineChars="2632"/>
        <w:jc w:val="center"/>
        <w:rPr>
          <w:rFonts w:ascii="Arial" w:hAnsi="Arial" w:cs="Arial"/>
          <w:color w:val="auto"/>
          <w:kern w:val="0"/>
          <w:szCs w:val="21"/>
        </w:rPr>
      </w:pPr>
      <w:r>
        <w:rPr>
          <w:rFonts w:hint="eastAsia" w:ascii="Arial" w:hAnsi="宋体" w:cs="Arial"/>
          <w:color w:val="auto"/>
          <w:kern w:val="0"/>
          <w:szCs w:val="21"/>
          <w:lang w:val="en-US" w:eastAsia="zh-CN"/>
        </w:rPr>
        <w:t xml:space="preserve">                 </w:t>
      </w:r>
      <w:r>
        <w:rPr>
          <w:rFonts w:ascii="Arial" w:hAnsi="宋体" w:cs="Arial"/>
          <w:color w:val="auto"/>
          <w:kern w:val="0"/>
          <w:szCs w:val="21"/>
        </w:rPr>
        <w:t>法定代表人或授权代表（签字或盖章）：</w:t>
      </w:r>
    </w:p>
    <w:p>
      <w:pPr>
        <w:spacing w:line="400" w:lineRule="exact"/>
        <w:ind w:firstLine="9030" w:firstLineChars="4300"/>
        <w:jc w:val="both"/>
        <w:rPr>
          <w:rFonts w:ascii="Arial" w:hAnsi="宋体" w:cs="Arial"/>
          <w:color w:val="0000FF"/>
          <w:kern w:val="0"/>
          <w:szCs w:val="21"/>
        </w:rPr>
      </w:pPr>
      <w:r>
        <w:rPr>
          <w:rFonts w:ascii="Arial" w:hAnsi="宋体" w:cs="Arial"/>
          <w:color w:val="auto"/>
          <w:kern w:val="0"/>
          <w:szCs w:val="21"/>
        </w:rPr>
        <w:t>日期：</w:t>
      </w:r>
    </w:p>
    <w:p>
      <w:pPr>
        <w:jc w:val="center"/>
        <w:rPr>
          <w:rFonts w:hint="eastAsia"/>
        </w:rPr>
        <w:sectPr>
          <w:pgSz w:w="16838" w:h="11906" w:orient="landscape"/>
          <w:pgMar w:top="1418" w:right="1244" w:bottom="1418" w:left="1134" w:header="680" w:footer="992" w:gutter="0"/>
          <w:pgBorders>
            <w:top w:val="none" w:sz="0" w:space="0"/>
            <w:left w:val="none" w:sz="0" w:space="0"/>
            <w:bottom w:val="none" w:sz="0" w:space="0"/>
            <w:right w:val="none" w:sz="0" w:space="0"/>
          </w:pgBorders>
          <w:cols w:space="720" w:num="1"/>
          <w:titlePg/>
          <w:docGrid w:type="lines" w:linePitch="312" w:charSpace="0"/>
        </w:sectPr>
      </w:pPr>
    </w:p>
    <w:bookmarkEnd w:id="36"/>
    <w:bookmarkEnd w:id="37"/>
    <w:p>
      <w:pPr>
        <w:pStyle w:val="6"/>
        <w:pageBreakBefore/>
        <w:spacing w:line="240" w:lineRule="auto"/>
        <w:jc w:val="center"/>
        <w:rPr>
          <w:rFonts w:ascii="宋体" w:hAnsi="宋体" w:eastAsia="宋体"/>
          <w:color w:val="auto"/>
          <w:sz w:val="24"/>
          <w:szCs w:val="24"/>
        </w:rPr>
      </w:pPr>
      <w:bookmarkStart w:id="39" w:name="_Toc26001"/>
      <w:bookmarkStart w:id="40" w:name="_Toc412788171"/>
      <w:bookmarkStart w:id="41" w:name="_Toc152045791"/>
      <w:bookmarkStart w:id="42" w:name="_Toc144974860"/>
      <w:bookmarkStart w:id="43" w:name="_Toc244593278"/>
      <w:bookmarkStart w:id="44" w:name="_Toc152042580"/>
      <w:bookmarkStart w:id="45" w:name="_Toc388974302"/>
      <w:bookmarkStart w:id="46" w:name="_Toc246470296"/>
      <w:r>
        <w:rPr>
          <w:rFonts w:hint="eastAsia" w:ascii="宋体" w:hAnsi="宋体" w:eastAsia="宋体"/>
          <w:color w:val="auto"/>
          <w:sz w:val="24"/>
          <w:szCs w:val="24"/>
        </w:rPr>
        <w:t>附件3   设备维修及配件</w:t>
      </w:r>
      <w:r>
        <w:rPr>
          <w:rFonts w:hint="eastAsia" w:ascii="宋体" w:hAnsi="宋体" w:eastAsia="宋体"/>
          <w:color w:val="auto"/>
          <w:sz w:val="24"/>
          <w:szCs w:val="24"/>
          <w:lang w:val="en-US" w:eastAsia="zh-CN"/>
        </w:rPr>
        <w:t>价格</w:t>
      </w:r>
      <w:r>
        <w:rPr>
          <w:rFonts w:hint="eastAsia" w:ascii="宋体" w:hAnsi="宋体" w:eastAsia="宋体"/>
          <w:color w:val="auto"/>
          <w:sz w:val="24"/>
          <w:szCs w:val="24"/>
        </w:rPr>
        <w:t>明细表</w:t>
      </w:r>
      <w:bookmarkEnd w:id="39"/>
    </w:p>
    <w:tbl>
      <w:tblPr>
        <w:tblStyle w:val="49"/>
        <w:tblpPr w:leftFromText="180" w:rightFromText="180" w:vertAnchor="text" w:horzAnchor="page" w:tblpX="1123" w:tblpY="351"/>
        <w:tblOverlap w:val="never"/>
        <w:tblW w:w="10357" w:type="dxa"/>
        <w:tblInd w:w="0" w:type="dxa"/>
        <w:tblLayout w:type="fixed"/>
        <w:tblCellMar>
          <w:top w:w="0" w:type="dxa"/>
          <w:left w:w="108" w:type="dxa"/>
          <w:bottom w:w="0" w:type="dxa"/>
          <w:right w:w="108" w:type="dxa"/>
        </w:tblCellMar>
      </w:tblPr>
      <w:tblGrid>
        <w:gridCol w:w="978"/>
        <w:gridCol w:w="1869"/>
        <w:gridCol w:w="2451"/>
        <w:gridCol w:w="1198"/>
        <w:gridCol w:w="689"/>
        <w:gridCol w:w="1071"/>
        <w:gridCol w:w="918"/>
        <w:gridCol w:w="1183"/>
      </w:tblGrid>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序号</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名称</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规格</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材质</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单位</w:t>
            </w: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2"/>
                <w:szCs w:val="22"/>
                <w:lang w:eastAsia="zh-CN"/>
              </w:rPr>
            </w:pPr>
            <w:r>
              <w:rPr>
                <w:rFonts w:hint="eastAsia"/>
                <w:b/>
                <w:color w:val="auto"/>
              </w:rPr>
              <w:t>最高限价</w:t>
            </w:r>
            <w:r>
              <w:rPr>
                <w:rFonts w:hint="eastAsia"/>
                <w:b/>
                <w:color w:val="auto"/>
                <w:lang w:eastAsia="zh-CN"/>
              </w:rPr>
              <w:t>（元）</w:t>
            </w:r>
          </w:p>
        </w:tc>
        <w:tc>
          <w:tcPr>
            <w:tcW w:w="9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color w:val="auto"/>
                <w:lang w:val="en-US" w:eastAsia="zh-CN"/>
              </w:rPr>
            </w:pPr>
            <w:r>
              <w:rPr>
                <w:rFonts w:hint="eastAsia"/>
                <w:b/>
                <w:color w:val="auto"/>
                <w:lang w:val="en-US" w:eastAsia="zh-CN"/>
              </w:rPr>
              <w:t>统一下浮率</w:t>
            </w:r>
          </w:p>
          <w:p>
            <w:pPr>
              <w:jc w:val="center"/>
              <w:rPr>
                <w:rStyle w:val="290"/>
                <w:rFonts w:hint="default"/>
                <w:color w:val="auto"/>
                <w:lang w:bidi="ar"/>
              </w:rPr>
            </w:pPr>
            <w:r>
              <w:rPr>
                <w:rFonts w:hint="eastAsia"/>
                <w:b/>
                <w:color w:val="auto"/>
                <w:lang w:val="en-US" w:eastAsia="zh-CN"/>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jc w:val="center"/>
              <w:rPr>
                <w:rStyle w:val="290"/>
                <w:rFonts w:hint="default"/>
                <w:color w:val="auto"/>
                <w:lang w:bidi="ar"/>
              </w:rPr>
            </w:pPr>
            <w:r>
              <w:rPr>
                <w:rFonts w:hint="eastAsia"/>
                <w:b/>
                <w:color w:val="auto"/>
                <w:lang w:val="en-US" w:eastAsia="zh-CN"/>
              </w:rPr>
              <w:t>投标报价（元）</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小链轮(带轴套)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w:t>
            </w:r>
            <w:r>
              <w:rPr>
                <w:rStyle w:val="291"/>
                <w:rFonts w:hint="default"/>
                <w:color w:val="auto"/>
                <w:lang w:bidi="ar"/>
              </w:rPr>
              <w:t>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477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大链轮(带轴套)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939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张紧轮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263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丝杆</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146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螺栓（剪切螺栓含螺母垫片）</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cs="宋体"/>
                <w:i w:val="0"/>
                <w:iCs w:val="0"/>
                <w:color w:val="0000FF"/>
                <w:kern w:val="0"/>
                <w:sz w:val="20"/>
                <w:szCs w:val="20"/>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梅花轮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968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导轮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760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导轮座</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249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轴承总成</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324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轴承总成</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630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链板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挡板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滚轮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轴套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平垫</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卡簧</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开口销</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传动主轴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回转式耙齿/雨水格栅长度为0.4(含)-1米（含）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2Cr13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1547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传动主轴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回转式耙齿/雨水格栅1米（不含）-2米（含）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2Cr13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2532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路轨（直轨）</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123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路轨（弯轨）</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尼龙</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链条</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45#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179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77"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轴销</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橡胶板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Style w:val="292"/>
                <w:rFonts w:hint="eastAsia"/>
                <w:color w:val="auto"/>
                <w:lang w:bidi="ar"/>
              </w:rPr>
              <w:t>橡胶</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50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1230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减速机维修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1550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4500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 xml:space="preserve">13500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回转式耙齿格栅0.4(含)-1米（含）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Cs w:val="21"/>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137</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0"/>
                <w:szCs w:val="20"/>
                <w:lang w:bidi="ar"/>
              </w:rPr>
            </w:pPr>
            <w:r>
              <w:rPr>
                <w:rFonts w:hint="eastAsia" w:ascii="宋体" w:hAnsi="宋体" w:cs="宋体"/>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1米（不含）-1.5米（含）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203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0"/>
                <w:szCs w:val="20"/>
                <w:lang w:bidi="ar"/>
              </w:rPr>
            </w:pPr>
            <w:r>
              <w:rPr>
                <w:rFonts w:hint="eastAsia" w:ascii="宋体" w:hAnsi="宋体" w:cs="宋体"/>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1.5米（不含）-2米（含）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233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撑杆</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1米（不含）-1.5米（不含）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765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撑杆</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1.5米（含）-2米（不含）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921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631"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固定栅条</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回转式雨水格栅机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ss304，8*45  L=3m</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活动栅条</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回转式雨水格栅机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ss304，8*45  L=0.5m</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97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1米（不含）-1.5米（不含）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 xml:space="preserve">950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1.5米（含）-2米（不含）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1440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耙齿栅条维修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回转式雨水格栅机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532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41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输送机衬板更换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kern w:val="0"/>
                <w:sz w:val="20"/>
                <w:szCs w:val="20"/>
                <w:lang w:bidi="ar"/>
              </w:rPr>
              <w:t>耐磨型高分子材料</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710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1230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43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减速机维修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1380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5400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14400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轴承更换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465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绞龙更换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锰钢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1020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绞龙修复</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刀片</w:t>
            </w:r>
            <w:r>
              <w:rPr>
                <w:rFonts w:hint="eastAsia" w:ascii="宋体" w:hAnsi="宋体" w:cs="宋体"/>
                <w:color w:val="000000"/>
                <w:kern w:val="0"/>
                <w:sz w:val="20"/>
                <w:szCs w:val="20"/>
                <w:lang w:bidi="ar"/>
              </w:rPr>
              <w:t>（主刀+丛刀+隔片为一套）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高强度合金钢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FF0000"/>
                <w:kern w:val="0"/>
                <w:sz w:val="20"/>
                <w:szCs w:val="20"/>
                <w:u w:val="none"/>
                <w:lang w:val="en-US" w:eastAsia="zh-CN" w:bidi="ar"/>
              </w:rPr>
              <w:t>1500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50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1560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51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减速机维修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4110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2"/>
                <w:szCs w:val="22"/>
                <w:lang w:bidi="ar"/>
              </w:rPr>
              <w:t>52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8355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23400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机体更换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碳钢或者铸铁</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14550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1515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3960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轴承更换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color w:val="000000"/>
                <w:kern w:val="0"/>
                <w:sz w:val="22"/>
                <w:szCs w:val="22"/>
                <w:lang w:eastAsia="zh-CN" w:bidi="ar"/>
              </w:rPr>
            </w:pPr>
            <w:r>
              <w:rPr>
                <w:rFonts w:hint="eastAsia" w:ascii="宋体" w:hAnsi="宋体" w:cs="宋体"/>
                <w:kern w:val="0"/>
                <w:sz w:val="20"/>
                <w:szCs w:val="20"/>
                <w:lang w:bidi="ar"/>
              </w:rPr>
              <w:t>5</w:t>
            </w:r>
            <w:r>
              <w:rPr>
                <w:rFonts w:hint="eastAsia" w:ascii="宋体" w:hAnsi="宋体" w:cs="宋体"/>
                <w:kern w:val="0"/>
                <w:sz w:val="20"/>
                <w:szCs w:val="20"/>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主轴更换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合金钢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3750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eastAsia="宋体" w:cs="宋体"/>
                <w:color w:val="000000"/>
                <w:kern w:val="0"/>
                <w:sz w:val="22"/>
                <w:szCs w:val="22"/>
                <w:lang w:val="en-US" w:eastAsia="zh-CN" w:bidi="ar"/>
              </w:rPr>
            </w:pPr>
            <w:r>
              <w:rPr>
                <w:rFonts w:hint="eastAsia" w:ascii="宋体" w:hAnsi="宋体" w:cs="宋体"/>
                <w:kern w:val="0"/>
                <w:sz w:val="20"/>
                <w:szCs w:val="20"/>
                <w:lang w:val="en-US" w:eastAsia="zh-CN" w:bidi="ar"/>
              </w:rPr>
              <w:t>59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转鼓维修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3150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847" w:type="dxa"/>
            <w:gridSpan w:val="2"/>
            <w:vMerge w:val="restart"/>
            <w:vAlign w:val="center"/>
          </w:tcPr>
          <w:p>
            <w:pPr>
              <w:jc w:val="center"/>
              <w:rPr>
                <w:b/>
                <w:highlight w:val="yellow"/>
              </w:rPr>
            </w:pPr>
            <w:r>
              <w:rPr>
                <w:rFonts w:hint="eastAsia"/>
                <w:b/>
                <w:highlight w:val="yellow"/>
                <w:lang w:eastAsia="zh-CN"/>
              </w:rPr>
              <w:t>维修</w:t>
            </w:r>
            <w:r>
              <w:rPr>
                <w:rFonts w:hint="eastAsia"/>
                <w:b/>
                <w:highlight w:val="yellow"/>
              </w:rPr>
              <w:t>及配件更换</w:t>
            </w:r>
          </w:p>
          <w:p>
            <w:pPr>
              <w:jc w:val="center"/>
              <w:rPr>
                <w:highlight w:val="yellow"/>
              </w:rPr>
            </w:pPr>
            <w:r>
              <w:rPr>
                <w:rFonts w:hint="eastAsia"/>
                <w:b/>
                <w:highlight w:val="yellow"/>
              </w:rPr>
              <w:t>投标综合单价合价（元）</w:t>
            </w:r>
          </w:p>
        </w:tc>
        <w:tc>
          <w:tcPr>
            <w:tcW w:w="7510" w:type="dxa"/>
            <w:gridSpan w:val="6"/>
            <w:vAlign w:val="center"/>
          </w:tcPr>
          <w:p>
            <w:pPr>
              <w:jc w:val="left"/>
              <w:rPr>
                <w:rFonts w:hint="eastAsia"/>
                <w:highlight w:val="yellow"/>
              </w:rPr>
            </w:pPr>
            <w:r>
              <w:rPr>
                <w:rFonts w:hint="eastAsia"/>
                <w:highlight w:val="yellow"/>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2847" w:type="dxa"/>
            <w:gridSpan w:val="2"/>
            <w:vMerge w:val="continue"/>
            <w:vAlign w:val="center"/>
          </w:tcPr>
          <w:p>
            <w:pPr>
              <w:jc w:val="center"/>
              <w:rPr>
                <w:b/>
                <w:highlight w:val="yellow"/>
              </w:rPr>
            </w:pPr>
          </w:p>
        </w:tc>
        <w:tc>
          <w:tcPr>
            <w:tcW w:w="7510" w:type="dxa"/>
            <w:gridSpan w:val="6"/>
            <w:vAlign w:val="center"/>
          </w:tcPr>
          <w:p>
            <w:pPr>
              <w:jc w:val="left"/>
              <w:rPr>
                <w:rFonts w:hint="eastAsia"/>
                <w:highlight w:val="yellow"/>
              </w:rPr>
            </w:pPr>
            <w:r>
              <w:rPr>
                <w:rFonts w:hint="eastAsia"/>
                <w:highlight w:val="yellow"/>
              </w:rPr>
              <w:t>（大写）：</w:t>
            </w:r>
          </w:p>
        </w:tc>
      </w:tr>
    </w:tbl>
    <w:p>
      <w:pPr>
        <w:spacing w:line="360" w:lineRule="exact"/>
        <w:rPr>
          <w:color w:val="0000FF"/>
        </w:rPr>
      </w:pPr>
      <w:r>
        <w:rPr>
          <w:rFonts w:hint="eastAsia"/>
          <w:color w:val="auto"/>
        </w:rPr>
        <w:t>项目名称：</w:t>
      </w:r>
      <w:r>
        <w:rPr>
          <w:rFonts w:hint="eastAsia"/>
          <w:color w:val="0000FF"/>
        </w:rPr>
        <w:t xml:space="preserve">                                                       </w:t>
      </w:r>
    </w:p>
    <w:p>
      <w:pPr>
        <w:spacing w:before="156" w:beforeLines="50" w:after="156" w:afterLines="50"/>
        <w:ind w:left="426" w:right="-11" w:hanging="426" w:hangingChars="213"/>
        <w:rPr>
          <w:rFonts w:hint="default" w:eastAsia="宋体"/>
          <w:b/>
          <w:bCs/>
          <w:color w:val="0000FF"/>
          <w:lang w:val="en-US" w:eastAsia="zh-CN"/>
        </w:rPr>
      </w:pPr>
      <w:r>
        <w:rPr>
          <w:rFonts w:hint="eastAsia"/>
          <w:sz w:val="20"/>
          <w:szCs w:val="20"/>
        </w:rPr>
        <w:t>注：①投标综合单价填报：本次投标品目招标人已设最高综合单价限价，各投标供应商在招标人设定的最高综合单价限价的基础上根据企业自身实力及市场行情自行填报</w:t>
      </w:r>
      <w:r>
        <w:rPr>
          <w:rFonts w:hint="eastAsia"/>
          <w:color w:val="0000FF"/>
          <w:sz w:val="20"/>
          <w:szCs w:val="20"/>
          <w:lang w:eastAsia="zh-CN"/>
        </w:rPr>
        <w:t>下浮率</w:t>
      </w:r>
      <w:r>
        <w:rPr>
          <w:rFonts w:hint="eastAsia"/>
          <w:color w:val="0000FF"/>
          <w:sz w:val="20"/>
          <w:szCs w:val="20"/>
        </w:rPr>
        <w:t>及</w:t>
      </w:r>
      <w:r>
        <w:rPr>
          <w:rFonts w:hint="eastAsia"/>
          <w:color w:val="0000FF"/>
          <w:sz w:val="20"/>
          <w:szCs w:val="20"/>
          <w:lang w:eastAsia="zh-CN"/>
        </w:rPr>
        <w:t>下浮</w:t>
      </w:r>
      <w:r>
        <w:rPr>
          <w:rFonts w:hint="eastAsia"/>
          <w:color w:val="0000FF"/>
          <w:sz w:val="20"/>
          <w:szCs w:val="20"/>
        </w:rPr>
        <w:t>后单价</w:t>
      </w:r>
      <w:r>
        <w:rPr>
          <w:rFonts w:hint="eastAsia"/>
          <w:sz w:val="20"/>
          <w:szCs w:val="20"/>
        </w:rPr>
        <w:t>，投标综合单价合价为所有</w:t>
      </w:r>
      <w:r>
        <w:rPr>
          <w:rFonts w:hint="eastAsia"/>
          <w:sz w:val="20"/>
          <w:szCs w:val="20"/>
          <w:lang w:eastAsia="zh-CN"/>
        </w:rPr>
        <w:t>项目</w:t>
      </w:r>
      <w:r>
        <w:rPr>
          <w:rFonts w:hint="eastAsia"/>
          <w:color w:val="0000FF"/>
          <w:sz w:val="20"/>
          <w:szCs w:val="20"/>
          <w:lang w:eastAsia="zh-CN"/>
        </w:rPr>
        <w:t>下浮</w:t>
      </w:r>
      <w:r>
        <w:rPr>
          <w:rFonts w:hint="eastAsia"/>
          <w:sz w:val="20"/>
          <w:szCs w:val="20"/>
        </w:rPr>
        <w:t>后单价之和，投标货物及服务中不同投标品目要求填报统一的</w:t>
      </w:r>
      <w:r>
        <w:rPr>
          <w:rFonts w:hint="eastAsia"/>
          <w:color w:val="0000FF"/>
          <w:sz w:val="20"/>
          <w:szCs w:val="20"/>
          <w:lang w:eastAsia="zh-CN"/>
        </w:rPr>
        <w:t>下浮</w:t>
      </w:r>
      <w:r>
        <w:rPr>
          <w:rFonts w:hint="eastAsia"/>
          <w:color w:val="0000FF"/>
          <w:sz w:val="20"/>
          <w:szCs w:val="20"/>
        </w:rPr>
        <w:t>率</w:t>
      </w:r>
      <w:r>
        <w:rPr>
          <w:rFonts w:hint="eastAsia"/>
          <w:sz w:val="20"/>
          <w:szCs w:val="20"/>
        </w:rPr>
        <w:t>（即投标货物及服务的所有投标品目的</w:t>
      </w:r>
      <w:r>
        <w:rPr>
          <w:rFonts w:hint="eastAsia"/>
          <w:color w:val="0000FF"/>
          <w:sz w:val="20"/>
          <w:szCs w:val="20"/>
          <w:lang w:eastAsia="zh-CN"/>
        </w:rPr>
        <w:t>下浮</w:t>
      </w:r>
      <w:r>
        <w:rPr>
          <w:rFonts w:hint="eastAsia"/>
          <w:color w:val="0000FF"/>
          <w:sz w:val="20"/>
          <w:szCs w:val="20"/>
        </w:rPr>
        <w:t>率</w:t>
      </w:r>
      <w:r>
        <w:rPr>
          <w:rFonts w:hint="eastAsia"/>
          <w:sz w:val="20"/>
          <w:szCs w:val="20"/>
        </w:rPr>
        <w:t>相同），否则其报价无效并作无效标处理。投标</w:t>
      </w:r>
      <w:r>
        <w:rPr>
          <w:rFonts w:hint="eastAsia"/>
          <w:color w:val="0000FF"/>
          <w:sz w:val="20"/>
          <w:szCs w:val="20"/>
          <w:lang w:eastAsia="zh-CN"/>
        </w:rPr>
        <w:t>下浮率</w:t>
      </w:r>
      <w:r>
        <w:rPr>
          <w:rFonts w:hint="eastAsia"/>
          <w:sz w:val="20"/>
          <w:szCs w:val="20"/>
        </w:rPr>
        <w:t>、投标综合单价、投标综合单价合价保留二位小数（第三位四舍五入）。②投标综合单价合价：</w:t>
      </w:r>
      <w:r>
        <w:rPr>
          <w:rFonts w:hint="eastAsia"/>
          <w:sz w:val="20"/>
          <w:szCs w:val="20"/>
          <w:lang w:eastAsia="zh-CN"/>
        </w:rPr>
        <w:t>下浮</w:t>
      </w:r>
      <w:r>
        <w:rPr>
          <w:rFonts w:hint="eastAsia"/>
          <w:sz w:val="20"/>
          <w:szCs w:val="20"/>
        </w:rPr>
        <w:t>后各投标单价累加形成最终的投标综合单价合价③▲投标综合单价超过任一最高综合单价限价的，作无效标处理。④此表中</w:t>
      </w:r>
      <w:r>
        <w:rPr>
          <w:rFonts w:hint="eastAsia"/>
          <w:color w:val="0000FF"/>
          <w:sz w:val="20"/>
          <w:szCs w:val="20"/>
          <w:lang w:eastAsia="zh-CN"/>
        </w:rPr>
        <w:t>维修</w:t>
      </w:r>
      <w:r>
        <w:rPr>
          <w:rFonts w:hint="eastAsia"/>
          <w:sz w:val="20"/>
          <w:szCs w:val="20"/>
        </w:rPr>
        <w:t>及配件更换投标综合单价合价应与开标一览表中的“</w:t>
      </w:r>
      <w:r>
        <w:rPr>
          <w:rFonts w:hint="eastAsia"/>
          <w:color w:val="0000FF"/>
          <w:sz w:val="20"/>
          <w:szCs w:val="20"/>
          <w:lang w:eastAsia="zh-CN"/>
        </w:rPr>
        <w:t>维修</w:t>
      </w:r>
      <w:r>
        <w:rPr>
          <w:rFonts w:hint="eastAsia"/>
          <w:sz w:val="20"/>
          <w:szCs w:val="20"/>
        </w:rPr>
        <w:t>及配件更换投标综合单价合价”相一致。⑤1、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r>
        <w:rPr>
          <w:rFonts w:hint="eastAsia"/>
          <w:b/>
          <w:bCs/>
          <w:color w:val="0000FF"/>
          <w:sz w:val="20"/>
          <w:szCs w:val="20"/>
        </w:rPr>
        <w:t>⑤</w:t>
      </w:r>
      <w:r>
        <w:rPr>
          <w:rFonts w:hint="eastAsia"/>
          <w:b/>
          <w:bCs/>
          <w:color w:val="0000FF"/>
          <w:sz w:val="20"/>
          <w:szCs w:val="20"/>
          <w:lang w:eastAsia="zh-CN"/>
        </w:rPr>
        <w:t>附件</w:t>
      </w:r>
      <w:r>
        <w:rPr>
          <w:rFonts w:hint="eastAsia"/>
          <w:b/>
          <w:bCs/>
          <w:color w:val="0000FF"/>
          <w:sz w:val="20"/>
          <w:szCs w:val="20"/>
          <w:lang w:val="en-US" w:eastAsia="zh-CN"/>
        </w:rPr>
        <w:t>3和附件2中的统一下浮率必须一致。</w:t>
      </w:r>
    </w:p>
    <w:p>
      <w:pPr>
        <w:tabs>
          <w:tab w:val="left" w:pos="3252"/>
        </w:tabs>
        <w:spacing w:line="400" w:lineRule="exact"/>
        <w:ind w:firstLine="5527" w:firstLineChars="2632"/>
        <w:rPr>
          <w:rFonts w:ascii="Arial" w:hAnsi="宋体" w:cs="Arial"/>
          <w:kern w:val="0"/>
          <w:szCs w:val="21"/>
        </w:rPr>
      </w:pPr>
    </w:p>
    <w:p>
      <w:pPr>
        <w:tabs>
          <w:tab w:val="left" w:pos="3252"/>
        </w:tabs>
        <w:spacing w:line="400" w:lineRule="exact"/>
        <w:ind w:firstLine="5527" w:firstLineChars="2632"/>
        <w:rPr>
          <w:rFonts w:ascii="Arial" w:hAnsi="Arial" w:cs="Arial"/>
          <w:kern w:val="0"/>
          <w:szCs w:val="21"/>
        </w:rPr>
      </w:pPr>
      <w:r>
        <w:rPr>
          <w:rFonts w:ascii="Arial" w:hAnsi="宋体" w:cs="Arial"/>
          <w:kern w:val="0"/>
          <w:szCs w:val="21"/>
        </w:rPr>
        <w:t>投标供应商（公章）：</w:t>
      </w:r>
    </w:p>
    <w:p>
      <w:pPr>
        <w:spacing w:line="400" w:lineRule="exact"/>
        <w:ind w:firstLine="5527" w:firstLineChars="2632"/>
        <w:rPr>
          <w:rFonts w:ascii="Arial" w:hAnsi="Arial" w:cs="Arial"/>
          <w:kern w:val="0"/>
          <w:szCs w:val="21"/>
        </w:rPr>
      </w:pPr>
      <w:r>
        <w:rPr>
          <w:rFonts w:ascii="Arial" w:hAnsi="宋体" w:cs="Arial"/>
          <w:kern w:val="0"/>
          <w:szCs w:val="21"/>
        </w:rPr>
        <w:t>法定代表人或授权代表（签字或盖章）：</w:t>
      </w:r>
    </w:p>
    <w:p>
      <w:pPr>
        <w:spacing w:line="400" w:lineRule="exact"/>
        <w:ind w:firstLine="5527" w:firstLineChars="2632"/>
        <w:rPr>
          <w:rFonts w:ascii="Arial" w:hAnsi="宋体" w:cs="Arial"/>
          <w:kern w:val="0"/>
          <w:szCs w:val="21"/>
        </w:rPr>
      </w:pPr>
      <w:r>
        <w:rPr>
          <w:rFonts w:ascii="Arial" w:hAnsi="宋体" w:cs="Arial"/>
          <w:kern w:val="0"/>
          <w:szCs w:val="21"/>
        </w:rPr>
        <w:t>日期：</w:t>
      </w:r>
    </w:p>
    <w:p>
      <w:pPr>
        <w:jc w:val="center"/>
        <w:rPr>
          <w:rFonts w:ascii="Arial" w:hAnsi="Arial" w:cs="Arial"/>
          <w:b/>
          <w:bCs/>
          <w:spacing w:val="20"/>
          <w:sz w:val="44"/>
          <w:szCs w:val="44"/>
        </w:rPr>
      </w:pPr>
      <w:r>
        <w:rPr>
          <w:rFonts w:ascii="Arial" w:hAnsi="Arial" w:cs="Arial"/>
          <w:sz w:val="32"/>
        </w:rPr>
        <w:br w:type="page"/>
      </w:r>
      <w:r>
        <w:rPr>
          <w:rFonts w:hint="eastAsia" w:ascii="Arial" w:hAnsi="Arial" w:cs="Arial"/>
          <w:b/>
          <w:bCs/>
          <w:spacing w:val="20"/>
          <w:sz w:val="48"/>
          <w:szCs w:val="48"/>
        </w:rPr>
        <w:t>瑞安市污水处理厂及泵站格栅机定期保养及修理服务外包采购项目</w:t>
      </w:r>
    </w:p>
    <w:p>
      <w:pPr>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24"/>
        </w:rPr>
      </w:pPr>
    </w:p>
    <w:p>
      <w:pPr>
        <w:spacing w:line="360" w:lineRule="auto"/>
        <w:jc w:val="center"/>
        <w:rPr>
          <w:rFonts w:ascii="Arial" w:hAnsi="Arial" w:cs="Arial"/>
          <w:b/>
          <w:bCs/>
          <w:sz w:val="24"/>
        </w:rPr>
      </w:pPr>
    </w:p>
    <w:p>
      <w:pPr>
        <w:spacing w:line="360" w:lineRule="auto"/>
        <w:jc w:val="center"/>
        <w:rPr>
          <w:rFonts w:ascii="Arial" w:hAnsi="Arial" w:cs="Arial"/>
          <w:b/>
          <w:bCs/>
          <w:sz w:val="84"/>
          <w:szCs w:val="84"/>
        </w:rPr>
      </w:pPr>
      <w:r>
        <w:rPr>
          <w:rFonts w:ascii="Arial" w:hAnsi="Arial" w:cs="Arial"/>
          <w:b/>
          <w:bCs/>
          <w:sz w:val="84"/>
          <w:szCs w:val="84"/>
        </w:rPr>
        <w:t>投 标 文 件</w:t>
      </w:r>
    </w:p>
    <w:p>
      <w:pPr>
        <w:spacing w:line="360" w:lineRule="auto"/>
        <w:jc w:val="center"/>
        <w:rPr>
          <w:rFonts w:ascii="Arial" w:hAnsi="Arial" w:cs="Arial"/>
          <w:b/>
          <w:bCs/>
          <w:sz w:val="72"/>
          <w:szCs w:val="72"/>
        </w:rPr>
      </w:pPr>
    </w:p>
    <w:p>
      <w:pPr>
        <w:spacing w:line="360" w:lineRule="auto"/>
        <w:jc w:val="center"/>
        <w:rPr>
          <w:rFonts w:ascii="Arial" w:hAnsi="Arial" w:cs="Arial"/>
          <w:b/>
          <w:bCs/>
          <w:sz w:val="72"/>
          <w:szCs w:val="72"/>
        </w:rPr>
      </w:pPr>
    </w:p>
    <w:p>
      <w:pPr>
        <w:spacing w:line="360" w:lineRule="auto"/>
        <w:jc w:val="center"/>
        <w:rPr>
          <w:rFonts w:ascii="Arial" w:hAnsi="Arial" w:cs="Arial"/>
          <w:b/>
          <w:bCs/>
          <w:sz w:val="36"/>
          <w:szCs w:val="72"/>
        </w:rPr>
      </w:pPr>
      <w:r>
        <w:rPr>
          <w:rFonts w:hint="eastAsia" w:ascii="Arial" w:hAnsi="Arial" w:cs="Arial"/>
          <w:b/>
          <w:bCs/>
          <w:sz w:val="36"/>
          <w:szCs w:val="72"/>
        </w:rPr>
        <w:t>资信</w:t>
      </w:r>
      <w:r>
        <w:rPr>
          <w:rFonts w:ascii="Arial" w:hAnsi="Arial" w:cs="Arial"/>
          <w:b/>
          <w:bCs/>
          <w:sz w:val="36"/>
          <w:szCs w:val="72"/>
        </w:rPr>
        <w:t xml:space="preserve">技术标 </w:t>
      </w:r>
    </w:p>
    <w:p>
      <w:pPr>
        <w:spacing w:line="360" w:lineRule="auto"/>
        <w:jc w:val="center"/>
        <w:rPr>
          <w:rFonts w:ascii="Arial" w:hAnsi="Arial" w:eastAsia="黑体" w:cs="Arial"/>
          <w:sz w:val="32"/>
          <w:szCs w:val="32"/>
        </w:rPr>
      </w:pPr>
    </w:p>
    <w:p>
      <w:pPr>
        <w:spacing w:line="360" w:lineRule="auto"/>
        <w:rPr>
          <w:rFonts w:ascii="Arial" w:hAnsi="Arial" w:eastAsia="黑体" w:cs="Arial"/>
          <w:sz w:val="32"/>
          <w:szCs w:val="32"/>
        </w:rPr>
      </w:pPr>
    </w:p>
    <w:p>
      <w:pPr>
        <w:spacing w:line="360" w:lineRule="auto"/>
        <w:jc w:val="center"/>
        <w:rPr>
          <w:rFonts w:ascii="Arial" w:hAnsi="Arial" w:eastAsia="黑体" w:cs="Arial"/>
          <w:sz w:val="32"/>
          <w:szCs w:val="32"/>
        </w:rPr>
      </w:pPr>
    </w:p>
    <w:p>
      <w:pPr>
        <w:spacing w:line="360" w:lineRule="auto"/>
        <w:jc w:val="center"/>
        <w:rPr>
          <w:rFonts w:ascii="Arial" w:hAnsi="Arial" w:cs="Arial"/>
          <w:sz w:val="32"/>
          <w:szCs w:val="32"/>
          <w:u w:val="single"/>
        </w:rPr>
      </w:pPr>
      <w:r>
        <w:rPr>
          <w:rFonts w:ascii="Arial" w:hAnsi="Arial" w:cs="Arial"/>
          <w:sz w:val="32"/>
          <w:szCs w:val="32"/>
        </w:rPr>
        <w:t xml:space="preserve"> </w:t>
      </w:r>
      <w:r>
        <w:rPr>
          <w:rFonts w:hint="eastAsia" w:ascii="Arial" w:hAnsi="Arial" w:cs="Arial"/>
          <w:sz w:val="32"/>
          <w:szCs w:val="32"/>
        </w:rPr>
        <w:t xml:space="preserve">     </w:t>
      </w:r>
      <w:r>
        <w:rPr>
          <w:rFonts w:ascii="Arial" w:hAnsi="Arial" w:cs="Arial"/>
          <w:sz w:val="32"/>
          <w:szCs w:val="32"/>
        </w:rPr>
        <w:t>投标供应商：</w:t>
      </w:r>
      <w:r>
        <w:rPr>
          <w:rFonts w:ascii="Arial" w:hAnsi="Arial" w:cs="Arial"/>
          <w:sz w:val="30"/>
          <w:szCs w:val="30"/>
          <w:u w:val="single"/>
        </w:rPr>
        <w:t xml:space="preserve">               </w:t>
      </w:r>
      <w:r>
        <w:rPr>
          <w:rFonts w:ascii="Arial" w:hAnsi="Arial" w:cs="Arial"/>
          <w:sz w:val="32"/>
          <w:szCs w:val="32"/>
          <w:u w:val="single"/>
        </w:rPr>
        <w:t>（盖章）</w:t>
      </w:r>
    </w:p>
    <w:p>
      <w:pPr>
        <w:spacing w:line="360" w:lineRule="auto"/>
        <w:ind w:firstLine="2240" w:firstLineChars="700"/>
        <w:rPr>
          <w:rFonts w:ascii="Arial" w:hAnsi="Arial" w:cs="Arial"/>
          <w:sz w:val="30"/>
          <w:szCs w:val="30"/>
        </w:rPr>
      </w:pPr>
      <w:r>
        <w:rPr>
          <w:rFonts w:ascii="Arial" w:hAnsi="Arial" w:cs="Arial"/>
          <w:sz w:val="32"/>
          <w:szCs w:val="32"/>
        </w:rPr>
        <w:t>法定代表人：</w:t>
      </w:r>
      <w:r>
        <w:rPr>
          <w:rFonts w:ascii="Arial" w:hAnsi="Arial" w:cs="Arial"/>
          <w:sz w:val="32"/>
          <w:szCs w:val="32"/>
          <w:u w:val="single"/>
        </w:rPr>
        <w:t xml:space="preserve">          （盖章</w:t>
      </w:r>
      <w:r>
        <w:rPr>
          <w:rFonts w:hint="eastAsia" w:ascii="Arial" w:hAnsi="Arial" w:cs="Arial"/>
          <w:sz w:val="32"/>
          <w:szCs w:val="32"/>
          <w:u w:val="single"/>
        </w:rPr>
        <w:t>或</w:t>
      </w:r>
      <w:r>
        <w:rPr>
          <w:rFonts w:ascii="Arial" w:hAnsi="Arial" w:cs="Arial"/>
          <w:sz w:val="32"/>
          <w:szCs w:val="32"/>
          <w:u w:val="single"/>
        </w:rPr>
        <w:t>签字）</w:t>
      </w:r>
    </w:p>
    <w:p>
      <w:pPr>
        <w:spacing w:line="360" w:lineRule="auto"/>
        <w:jc w:val="center"/>
        <w:rPr>
          <w:rFonts w:ascii="Arial" w:hAnsi="Arial" w:cs="Arial"/>
          <w:sz w:val="30"/>
          <w:szCs w:val="30"/>
        </w:rPr>
      </w:pPr>
      <w:r>
        <w:rPr>
          <w:rFonts w:hint="eastAsia" w:ascii="Arial" w:hAnsi="Arial" w:cs="Arial"/>
          <w:sz w:val="30"/>
          <w:szCs w:val="30"/>
        </w:rPr>
        <w:t>二〇二三年   月</w:t>
      </w:r>
    </w:p>
    <w:p/>
    <w:p>
      <w:pPr>
        <w:pStyle w:val="6"/>
        <w:jc w:val="center"/>
        <w:rPr>
          <w:rFonts w:ascii="宋体" w:hAnsi="宋体" w:eastAsia="宋体"/>
          <w:sz w:val="24"/>
          <w:szCs w:val="24"/>
        </w:rPr>
      </w:pPr>
      <w:r>
        <w:rPr>
          <w:rFonts w:ascii="宋体" w:hAnsi="宋体" w:eastAsia="宋体"/>
          <w:sz w:val="24"/>
          <w:szCs w:val="24"/>
        </w:rPr>
        <w:br w:type="page"/>
      </w:r>
    </w:p>
    <w:p>
      <w:pPr>
        <w:pStyle w:val="6"/>
        <w:jc w:val="center"/>
        <w:rPr>
          <w:rFonts w:ascii="宋体" w:hAnsi="宋体" w:eastAsia="宋体"/>
          <w:sz w:val="24"/>
          <w:szCs w:val="24"/>
        </w:rPr>
      </w:pPr>
      <w:bookmarkStart w:id="47" w:name="_Toc29977"/>
      <w:r>
        <w:rPr>
          <w:rFonts w:hint="eastAsia" w:ascii="宋体" w:hAnsi="宋体" w:eastAsia="宋体"/>
          <w:sz w:val="24"/>
          <w:szCs w:val="24"/>
        </w:rPr>
        <w:t>附件4</w:t>
      </w:r>
      <w:r>
        <w:rPr>
          <w:rFonts w:ascii="宋体" w:hAnsi="宋体" w:eastAsia="宋体"/>
          <w:sz w:val="24"/>
          <w:szCs w:val="24"/>
        </w:rPr>
        <w:t>-1 法定代表人身份证明</w:t>
      </w:r>
      <w:bookmarkEnd w:id="40"/>
      <w:bookmarkEnd w:id="41"/>
      <w:bookmarkEnd w:id="42"/>
      <w:bookmarkEnd w:id="43"/>
      <w:bookmarkEnd w:id="44"/>
      <w:bookmarkEnd w:id="45"/>
      <w:bookmarkEnd w:id="46"/>
      <w:bookmarkEnd w:id="47"/>
    </w:p>
    <w:p>
      <w:pPr>
        <w:spacing w:line="440" w:lineRule="exact"/>
        <w:rPr>
          <w:rFonts w:ascii="Arial" w:hAnsi="Arial" w:cs="Arial"/>
          <w:szCs w:val="21"/>
        </w:rPr>
      </w:pPr>
    </w:p>
    <w:p>
      <w:pPr>
        <w:spacing w:line="440" w:lineRule="exact"/>
        <w:rPr>
          <w:rFonts w:ascii="Arial" w:hAnsi="Arial" w:cs="Arial"/>
          <w:szCs w:val="21"/>
        </w:rPr>
      </w:pPr>
      <w:r>
        <w:rPr>
          <w:rFonts w:ascii="Arial" w:hAnsi="宋体" w:cs="Arial"/>
          <w:szCs w:val="21"/>
        </w:rPr>
        <w:t>投标供应商名称：</w:t>
      </w:r>
      <w:r>
        <w:rPr>
          <w:rFonts w:ascii="Arial" w:hAnsi="Arial" w:cs="Arial"/>
          <w:szCs w:val="21"/>
          <w:u w:val="single"/>
        </w:rPr>
        <w:t xml:space="preserve">                            </w:t>
      </w:r>
      <w:r>
        <w:rPr>
          <w:rFonts w:ascii="Arial" w:hAnsi="Arial" w:cs="Arial"/>
          <w:szCs w:val="21"/>
        </w:rPr>
        <w:t xml:space="preserve"> </w:t>
      </w:r>
    </w:p>
    <w:p>
      <w:pPr>
        <w:spacing w:line="440" w:lineRule="exact"/>
        <w:rPr>
          <w:rFonts w:ascii="Arial" w:hAnsi="Arial" w:cs="Arial"/>
          <w:szCs w:val="21"/>
        </w:rPr>
      </w:pPr>
      <w:r>
        <w:rPr>
          <w:rFonts w:ascii="Arial" w:hAnsi="宋体" w:cs="Arial"/>
          <w:szCs w:val="21"/>
        </w:rPr>
        <w:t>单位性质：</w:t>
      </w:r>
      <w:r>
        <w:rPr>
          <w:rFonts w:ascii="Arial" w:hAnsi="Arial" w:cs="Arial"/>
          <w:szCs w:val="21"/>
          <w:u w:val="single"/>
        </w:rPr>
        <w:t xml:space="preserve">                               </w:t>
      </w:r>
      <w:r>
        <w:rPr>
          <w:rFonts w:ascii="Arial" w:hAnsi="Arial" w:cs="Arial"/>
          <w:szCs w:val="21"/>
        </w:rPr>
        <w:t xml:space="preserve"> </w:t>
      </w:r>
    </w:p>
    <w:p>
      <w:pPr>
        <w:spacing w:line="440" w:lineRule="exact"/>
        <w:rPr>
          <w:rFonts w:ascii="Arial" w:hAnsi="Arial" w:cs="Arial"/>
          <w:szCs w:val="21"/>
        </w:rPr>
      </w:pPr>
      <w:r>
        <w:rPr>
          <w:rFonts w:ascii="Arial" w:hAnsi="宋体" w:cs="Arial"/>
          <w:szCs w:val="21"/>
        </w:rPr>
        <w:t>地址：</w:t>
      </w:r>
      <w:r>
        <w:rPr>
          <w:rFonts w:ascii="Arial" w:hAnsi="Arial" w:cs="Arial"/>
          <w:szCs w:val="21"/>
          <w:u w:val="single"/>
        </w:rPr>
        <w:t xml:space="preserve">                                   </w:t>
      </w:r>
    </w:p>
    <w:p>
      <w:pPr>
        <w:spacing w:line="440" w:lineRule="exact"/>
        <w:rPr>
          <w:rFonts w:ascii="Arial" w:hAnsi="Arial" w:cs="Arial"/>
          <w:szCs w:val="21"/>
        </w:rPr>
      </w:pPr>
      <w:r>
        <w:rPr>
          <w:rFonts w:ascii="Arial" w:hAnsi="宋体" w:cs="Arial"/>
          <w:szCs w:val="21"/>
        </w:rPr>
        <w:t>成立时间：</w:t>
      </w:r>
      <w:r>
        <w:rPr>
          <w:rFonts w:ascii="Arial" w:hAnsi="Arial" w:cs="Arial"/>
          <w:szCs w:val="21"/>
          <w:u w:val="single"/>
        </w:rPr>
        <w:t xml:space="preserve">         </w:t>
      </w:r>
      <w:r>
        <w:rPr>
          <w:rFonts w:ascii="Arial" w:hAnsi="Arial" w:cs="Arial"/>
          <w:szCs w:val="21"/>
        </w:rPr>
        <w:t xml:space="preserve"> </w:t>
      </w:r>
      <w:r>
        <w:rPr>
          <w:rFonts w:ascii="Arial" w:hAnsi="宋体" w:cs="Arial"/>
          <w:szCs w:val="21"/>
        </w:rPr>
        <w:t>年</w:t>
      </w:r>
      <w:r>
        <w:rPr>
          <w:rFonts w:ascii="Arial" w:hAnsi="Arial" w:cs="Arial"/>
          <w:szCs w:val="21"/>
          <w:u w:val="single"/>
        </w:rPr>
        <w:t xml:space="preserve">       </w:t>
      </w:r>
      <w:r>
        <w:rPr>
          <w:rFonts w:ascii="Arial" w:hAnsi="Arial" w:cs="Arial"/>
          <w:szCs w:val="21"/>
        </w:rPr>
        <w:t xml:space="preserve"> </w:t>
      </w:r>
      <w:r>
        <w:rPr>
          <w:rFonts w:ascii="Arial" w:hAnsi="宋体" w:cs="Arial"/>
          <w:szCs w:val="21"/>
        </w:rPr>
        <w:t>月</w:t>
      </w:r>
      <w:r>
        <w:rPr>
          <w:rFonts w:ascii="Arial" w:hAnsi="Arial" w:cs="Arial"/>
          <w:szCs w:val="21"/>
          <w:u w:val="single"/>
        </w:rPr>
        <w:t xml:space="preserve">       </w:t>
      </w:r>
      <w:r>
        <w:rPr>
          <w:rFonts w:ascii="Arial" w:hAnsi="Arial" w:cs="Arial"/>
          <w:szCs w:val="21"/>
        </w:rPr>
        <w:t xml:space="preserve"> </w:t>
      </w:r>
      <w:r>
        <w:rPr>
          <w:rFonts w:ascii="Arial" w:hAnsi="宋体" w:cs="Arial"/>
          <w:szCs w:val="21"/>
        </w:rPr>
        <w:t>日</w:t>
      </w:r>
    </w:p>
    <w:p>
      <w:pPr>
        <w:spacing w:line="440" w:lineRule="exact"/>
        <w:rPr>
          <w:rFonts w:ascii="Arial" w:hAnsi="Arial" w:cs="Arial"/>
          <w:szCs w:val="21"/>
        </w:rPr>
      </w:pPr>
      <w:r>
        <w:rPr>
          <w:rFonts w:ascii="Arial" w:hAnsi="宋体" w:cs="Arial"/>
          <w:szCs w:val="21"/>
        </w:rPr>
        <w:t>经营期限：</w:t>
      </w:r>
      <w:r>
        <w:rPr>
          <w:rFonts w:ascii="Arial" w:hAnsi="Arial" w:cs="Arial"/>
          <w:szCs w:val="21"/>
          <w:u w:val="single"/>
        </w:rPr>
        <w:t xml:space="preserve">                               </w:t>
      </w:r>
    </w:p>
    <w:p>
      <w:pPr>
        <w:spacing w:line="440" w:lineRule="exact"/>
        <w:rPr>
          <w:rFonts w:ascii="Arial" w:hAnsi="Arial" w:cs="Arial"/>
          <w:szCs w:val="21"/>
        </w:rPr>
      </w:pPr>
      <w:r>
        <w:rPr>
          <w:rFonts w:ascii="Arial" w:hAnsi="宋体" w:cs="Arial"/>
          <w:szCs w:val="21"/>
        </w:rPr>
        <w:t>姓名：</w:t>
      </w:r>
      <w:r>
        <w:rPr>
          <w:rFonts w:ascii="Arial" w:hAnsi="Arial" w:cs="Arial"/>
          <w:szCs w:val="21"/>
          <w:u w:val="single"/>
        </w:rPr>
        <w:t xml:space="preserve">        </w:t>
      </w:r>
      <w:r>
        <w:rPr>
          <w:rFonts w:ascii="Arial" w:hAnsi="Arial" w:cs="Arial"/>
          <w:szCs w:val="21"/>
        </w:rPr>
        <w:t xml:space="preserve"> </w:t>
      </w:r>
      <w:r>
        <w:rPr>
          <w:rFonts w:ascii="Arial" w:hAnsi="宋体" w:cs="Arial"/>
          <w:szCs w:val="21"/>
        </w:rPr>
        <w:t>性别：</w:t>
      </w:r>
      <w:r>
        <w:rPr>
          <w:rFonts w:ascii="Arial" w:hAnsi="Arial" w:cs="Arial"/>
          <w:szCs w:val="21"/>
          <w:u w:val="single"/>
        </w:rPr>
        <w:t xml:space="preserve">         </w:t>
      </w:r>
      <w:r>
        <w:rPr>
          <w:rFonts w:ascii="Arial" w:hAnsi="Arial" w:cs="Arial"/>
          <w:szCs w:val="21"/>
        </w:rPr>
        <w:t xml:space="preserve"> </w:t>
      </w:r>
      <w:r>
        <w:rPr>
          <w:rFonts w:ascii="Arial" w:hAnsi="宋体" w:cs="Arial"/>
          <w:szCs w:val="21"/>
        </w:rPr>
        <w:t>年龄：</w:t>
      </w:r>
      <w:r>
        <w:rPr>
          <w:rFonts w:ascii="Arial" w:hAnsi="Arial" w:cs="Arial"/>
          <w:szCs w:val="21"/>
          <w:u w:val="single"/>
        </w:rPr>
        <w:t xml:space="preserve">        </w:t>
      </w:r>
      <w:r>
        <w:rPr>
          <w:rFonts w:ascii="Arial" w:hAnsi="宋体" w:cs="Arial"/>
          <w:szCs w:val="21"/>
        </w:rPr>
        <w:t>职务：</w:t>
      </w:r>
      <w:r>
        <w:rPr>
          <w:rFonts w:ascii="Arial" w:hAnsi="Arial" w:cs="Arial"/>
          <w:szCs w:val="21"/>
          <w:u w:val="single"/>
        </w:rPr>
        <w:t xml:space="preserve">        </w:t>
      </w:r>
    </w:p>
    <w:p>
      <w:pPr>
        <w:spacing w:line="440" w:lineRule="exact"/>
        <w:rPr>
          <w:rFonts w:ascii="Arial" w:hAnsi="Arial" w:cs="Arial"/>
          <w:szCs w:val="21"/>
          <w:u w:val="single"/>
        </w:rPr>
      </w:pPr>
      <w:r>
        <w:rPr>
          <w:rFonts w:hint="eastAsia" w:ascii="Arial" w:hAnsi="宋体" w:cs="Arial"/>
          <w:szCs w:val="21"/>
        </w:rPr>
        <w:t>联系电话</w:t>
      </w:r>
      <w:r>
        <w:rPr>
          <w:rFonts w:ascii="Arial" w:hAnsi="宋体" w:cs="Arial"/>
          <w:szCs w:val="21"/>
        </w:rPr>
        <w:t>：</w:t>
      </w:r>
      <w:r>
        <w:rPr>
          <w:rFonts w:ascii="Arial" w:hAnsi="Arial" w:cs="Arial"/>
          <w:szCs w:val="21"/>
          <w:u w:val="single"/>
        </w:rPr>
        <w:t xml:space="preserve">        </w:t>
      </w:r>
      <w:r>
        <w:rPr>
          <w:rFonts w:hint="eastAsia" w:ascii="Arial" w:hAnsi="Arial" w:cs="Arial"/>
          <w:szCs w:val="21"/>
        </w:rPr>
        <w:t>邮箱</w:t>
      </w:r>
      <w:r>
        <w:rPr>
          <w:rFonts w:ascii="Arial" w:hAnsi="宋体" w:cs="Arial"/>
          <w:szCs w:val="21"/>
        </w:rPr>
        <w:t>：</w:t>
      </w:r>
      <w:r>
        <w:rPr>
          <w:rFonts w:ascii="Arial" w:hAnsi="Arial" w:cs="Arial"/>
          <w:szCs w:val="21"/>
          <w:u w:val="single"/>
        </w:rPr>
        <w:t xml:space="preserve">        </w:t>
      </w:r>
    </w:p>
    <w:p>
      <w:pPr>
        <w:spacing w:line="440" w:lineRule="exact"/>
        <w:rPr>
          <w:rFonts w:ascii="Arial" w:hAnsi="Arial" w:cs="Arial"/>
          <w:szCs w:val="21"/>
        </w:rPr>
      </w:pPr>
      <w:r>
        <w:rPr>
          <w:rFonts w:ascii="Arial" w:hAnsi="宋体" w:cs="Arial"/>
          <w:szCs w:val="21"/>
        </w:rPr>
        <w:t>系</w:t>
      </w:r>
      <w:r>
        <w:rPr>
          <w:rFonts w:ascii="Arial" w:hAnsi="Arial" w:cs="Arial"/>
          <w:szCs w:val="21"/>
          <w:u w:val="single"/>
        </w:rPr>
        <w:t xml:space="preserve">                             </w:t>
      </w:r>
      <w:r>
        <w:rPr>
          <w:rFonts w:ascii="Arial" w:hAnsi="Arial" w:cs="Arial"/>
          <w:szCs w:val="21"/>
        </w:rPr>
        <w:t xml:space="preserve"> </w:t>
      </w:r>
      <w:r>
        <w:rPr>
          <w:rFonts w:ascii="Arial" w:hAnsi="宋体" w:cs="Arial"/>
          <w:szCs w:val="21"/>
        </w:rPr>
        <w:t>（投标供应商名称）的法定代表人。</w:t>
      </w:r>
    </w:p>
    <w:p>
      <w:pPr>
        <w:spacing w:line="440" w:lineRule="exact"/>
        <w:ind w:firstLine="420" w:firstLineChars="200"/>
        <w:rPr>
          <w:rFonts w:ascii="Arial" w:hAnsi="Arial" w:cs="Arial"/>
          <w:szCs w:val="21"/>
        </w:rPr>
      </w:pPr>
      <w:r>
        <w:rPr>
          <w:rFonts w:ascii="Arial" w:hAnsi="宋体" w:cs="Arial"/>
          <w:szCs w:val="21"/>
        </w:rPr>
        <w:t>特此证明。</w:t>
      </w:r>
    </w:p>
    <w:p>
      <w:pPr>
        <w:tabs>
          <w:tab w:val="left" w:pos="684"/>
        </w:tabs>
        <w:spacing w:line="440" w:lineRule="exact"/>
        <w:rPr>
          <w:rFonts w:ascii="Arial" w:hAnsi="Arial" w:cs="Arial"/>
          <w:szCs w:val="21"/>
        </w:rPr>
      </w:pPr>
      <w:r>
        <w:rPr>
          <w:rFonts w:hint="eastAsia" w:ascii="Arial" w:hAnsi="Arial" w:cs="Arial"/>
          <w:szCs w:val="21"/>
        </w:rPr>
        <w:tab/>
      </w:r>
    </w:p>
    <w:p>
      <w:pPr>
        <w:tabs>
          <w:tab w:val="left" w:pos="684"/>
        </w:tabs>
        <w:spacing w:line="440" w:lineRule="exact"/>
        <w:rPr>
          <w:rFonts w:ascii="Arial" w:hAnsi="Arial" w:cs="Arial"/>
          <w:szCs w:val="21"/>
        </w:rPr>
      </w:pPr>
    </w:p>
    <w:p>
      <w:pPr>
        <w:spacing w:line="440" w:lineRule="exact"/>
        <w:rPr>
          <w:rFonts w:ascii="Arial" w:hAnsi="Arial" w:cs="Arial"/>
          <w:color w:val="0000FF"/>
          <w:szCs w:val="21"/>
        </w:rPr>
      </w:pPr>
      <w:r>
        <w:rPr>
          <w:rFonts w:cs="Arial"/>
          <w:color w:val="0000FF"/>
        </w:rPr>
        <mc:AlternateContent>
          <mc:Choice Requires="wps">
            <w:drawing>
              <wp:anchor distT="45720" distB="45720" distL="114300" distR="114300" simplePos="0" relativeHeight="251661312" behindDoc="0" locked="0" layoutInCell="1" allowOverlap="1">
                <wp:simplePos x="0" y="0"/>
                <wp:positionH relativeFrom="column">
                  <wp:posOffset>133350</wp:posOffset>
                </wp:positionH>
                <wp:positionV relativeFrom="paragraph">
                  <wp:posOffset>2540</wp:posOffset>
                </wp:positionV>
                <wp:extent cx="5909945" cy="2076450"/>
                <wp:effectExtent l="4445" t="4445" r="10160" b="14605"/>
                <wp:wrapSquare wrapText="bothSides"/>
                <wp:docPr id="1" name="文本框 2"/>
                <wp:cNvGraphicFramePr/>
                <a:graphic xmlns:a="http://schemas.openxmlformats.org/drawingml/2006/main">
                  <a:graphicData uri="http://schemas.microsoft.com/office/word/2010/wordprocessingShape">
                    <wps:wsp>
                      <wps:cNvSpPr txBox="1"/>
                      <wps:spPr>
                        <a:xfrm>
                          <a:off x="0" y="0"/>
                          <a:ext cx="5909945" cy="2076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Arial" w:cs="Arial"/>
                                <w:szCs w:val="21"/>
                              </w:rPr>
                            </w:pPr>
                            <w:r>
                              <w:rPr>
                                <w:rFonts w:ascii="Arial" w:hAnsi="宋体" w:cs="Arial"/>
                                <w:szCs w:val="21"/>
                              </w:rPr>
                              <w:t>身份证复印件粘贴处</w:t>
                            </w:r>
                          </w:p>
                          <w:p>
                            <w:pPr>
                              <w:jc w:val="center"/>
                            </w:pPr>
                            <w:r>
                              <w:rPr>
                                <w:rFonts w:ascii="Arial" w:hAnsi="宋体" w:cs="Arial"/>
                                <w:szCs w:val="21"/>
                              </w:rPr>
                              <w:t>（身份证需双面复印）</w:t>
                            </w:r>
                          </w:p>
                        </w:txbxContent>
                      </wps:txbx>
                      <wps:bodyPr wrap="square" upright="1"/>
                    </wps:wsp>
                  </a:graphicData>
                </a:graphic>
              </wp:anchor>
            </w:drawing>
          </mc:Choice>
          <mc:Fallback>
            <w:pict>
              <v:shape id="文本框 2" o:spid="_x0000_s1026" o:spt="202" type="#_x0000_t202" style="position:absolute;left:0pt;margin-left:10.5pt;margin-top:0.2pt;height:163.5pt;width:465.35pt;mso-wrap-distance-bottom:3.6pt;mso-wrap-distance-left:9pt;mso-wrap-distance-right:9pt;mso-wrap-distance-top:3.6pt;z-index:251661312;mso-width-relative:page;mso-height-relative:page;" fillcolor="#FFFFFF" filled="t" stroked="t" coordsize="21600,21600" o:gfxdata="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2wINXYAAAABwEAAA8A&#10;AAAAAAAAAQAgAAAAIgAAAGRycy9kb3ducmV2LnhtbFBLAQIUABQAAAAIAIdO4kDYJRMjFwIAAEUE&#10;AAAOAAAAAAAAAAEAIAAAACcBAABkcnMvZTJvRG9jLnhtbFBLBQYAAAAABgAGAFkBAACwBQAAAAA=&#10;">
                <v:fill on="t" focussize="0,0"/>
                <v:stroke color="#000000" joinstyle="miter"/>
                <v:imagedata o:title=""/>
                <o:lock v:ext="edit" aspectratio="f"/>
                <v:textbo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Arial" w:cs="Arial"/>
                          <w:szCs w:val="21"/>
                        </w:rPr>
                      </w:pPr>
                      <w:r>
                        <w:rPr>
                          <w:rFonts w:ascii="Arial" w:hAnsi="宋体" w:cs="Arial"/>
                          <w:szCs w:val="21"/>
                        </w:rPr>
                        <w:t>身份证复印件粘贴处</w:t>
                      </w:r>
                    </w:p>
                    <w:p>
                      <w:pPr>
                        <w:jc w:val="center"/>
                      </w:pPr>
                      <w:r>
                        <w:rPr>
                          <w:rFonts w:ascii="Arial" w:hAnsi="宋体" w:cs="Arial"/>
                          <w:szCs w:val="21"/>
                        </w:rPr>
                        <w:t>（身份证需双面复印）</w:t>
                      </w:r>
                    </w:p>
                  </w:txbxContent>
                </v:textbox>
                <w10:wrap type="square"/>
              </v:shape>
            </w:pict>
          </mc:Fallback>
        </mc:AlternateContent>
      </w:r>
    </w:p>
    <w:p>
      <w:pPr>
        <w:spacing w:line="440" w:lineRule="exact"/>
        <w:jc w:val="right"/>
        <w:rPr>
          <w:rFonts w:ascii="Arial" w:hAnsi="Arial" w:cs="Arial"/>
          <w:szCs w:val="21"/>
        </w:rPr>
      </w:pPr>
      <w:r>
        <w:rPr>
          <w:rFonts w:ascii="Arial" w:hAnsi="Arial" w:cs="Arial"/>
          <w:szCs w:val="21"/>
        </w:rPr>
        <w:t xml:space="preserve">   </w:t>
      </w:r>
      <w:r>
        <w:rPr>
          <w:rFonts w:ascii="Arial" w:hAnsi="宋体" w:cs="Arial"/>
          <w:szCs w:val="21"/>
        </w:rPr>
        <w:t>投标供应商：</w:t>
      </w:r>
      <w:r>
        <w:rPr>
          <w:rFonts w:ascii="Arial" w:hAnsi="Arial" w:cs="Arial"/>
          <w:szCs w:val="21"/>
          <w:u w:val="single"/>
        </w:rPr>
        <w:t xml:space="preserve">                 </w:t>
      </w:r>
      <w:r>
        <w:rPr>
          <w:rFonts w:ascii="Arial" w:hAnsi="宋体" w:cs="Arial"/>
          <w:szCs w:val="21"/>
        </w:rPr>
        <w:t>（盖单位章）</w:t>
      </w:r>
    </w:p>
    <w:p>
      <w:pPr>
        <w:spacing w:line="440" w:lineRule="exact"/>
        <w:rPr>
          <w:rFonts w:ascii="Arial" w:hAnsi="Arial" w:cs="Arial"/>
          <w:b/>
          <w:sz w:val="28"/>
        </w:rPr>
      </w:pPr>
      <w:r>
        <w:t xml:space="preserve">                                  </w:t>
      </w:r>
      <w:r>
        <w:rPr>
          <w:rFonts w:hint="eastAsia"/>
        </w:rPr>
        <w:t xml:space="preserve">              </w:t>
      </w:r>
      <w:r>
        <w:rPr>
          <w:u w:val="single"/>
        </w:rPr>
        <w:t xml:space="preserve">       </w:t>
      </w:r>
      <w:r>
        <w:rPr>
          <w:rFonts w:hAnsi="宋体"/>
        </w:rPr>
        <w:t>年</w:t>
      </w:r>
      <w:r>
        <w:rPr>
          <w:u w:val="single"/>
        </w:rPr>
        <w:t xml:space="preserve">       </w:t>
      </w:r>
      <w:r>
        <w:rPr>
          <w:rFonts w:hAnsi="宋体"/>
        </w:rPr>
        <w:t>月</w:t>
      </w:r>
      <w:r>
        <w:rPr>
          <w:u w:val="single"/>
        </w:rPr>
        <w:t xml:space="preserve">       </w:t>
      </w:r>
      <w:r>
        <w:rPr>
          <w:rFonts w:hAnsi="宋体"/>
        </w:rPr>
        <w:t>日</w:t>
      </w:r>
      <w:r>
        <w:t xml:space="preserve">  </w:t>
      </w:r>
      <w:bookmarkStart w:id="48" w:name="_Toc412788172"/>
      <w:bookmarkStart w:id="49" w:name="_Toc388974303"/>
    </w:p>
    <w:p>
      <w:pPr>
        <w:ind w:firstLine="516"/>
      </w:pPr>
      <w:r>
        <w:br w:type="page"/>
      </w:r>
    </w:p>
    <w:p>
      <w:pPr>
        <w:pStyle w:val="6"/>
        <w:jc w:val="center"/>
        <w:rPr>
          <w:rFonts w:cs="Arial"/>
        </w:rPr>
      </w:pPr>
      <w:bookmarkStart w:id="50" w:name="_Toc32275"/>
      <w:r>
        <w:rPr>
          <w:rFonts w:hint="eastAsia" w:ascii="宋体" w:hAnsi="宋体" w:eastAsia="宋体"/>
          <w:sz w:val="24"/>
          <w:szCs w:val="24"/>
        </w:rPr>
        <w:t>附件</w:t>
      </w:r>
      <w:r>
        <w:rPr>
          <w:rFonts w:ascii="宋体" w:hAnsi="宋体" w:eastAsia="宋体"/>
          <w:sz w:val="24"/>
          <w:szCs w:val="24"/>
        </w:rPr>
        <w:t>4-2 法定代表人授权委托书</w:t>
      </w:r>
      <w:bookmarkEnd w:id="48"/>
      <w:bookmarkEnd w:id="49"/>
      <w:bookmarkEnd w:id="50"/>
    </w:p>
    <w:p>
      <w:pPr>
        <w:spacing w:line="360" w:lineRule="auto"/>
        <w:ind w:firstLine="612"/>
        <w:rPr>
          <w:rFonts w:ascii="Arial" w:hAnsi="Arial" w:cs="Arial"/>
          <w:snapToGrid w:val="0"/>
          <w:kern w:val="0"/>
          <w:szCs w:val="21"/>
        </w:rPr>
      </w:pPr>
      <w:r>
        <w:rPr>
          <w:rFonts w:ascii="Arial" w:hAnsi="宋体" w:cs="Arial"/>
          <w:snapToGrid w:val="0"/>
          <w:kern w:val="0"/>
          <w:szCs w:val="21"/>
        </w:rPr>
        <w:t>本授权委托书声明：我</w:t>
      </w:r>
      <w:r>
        <w:rPr>
          <w:rFonts w:ascii="Arial" w:hAnsi="Arial" w:cs="Arial"/>
          <w:snapToGrid w:val="0"/>
          <w:kern w:val="0"/>
          <w:szCs w:val="21"/>
          <w:u w:val="single"/>
        </w:rPr>
        <w:t xml:space="preserve">  </w:t>
      </w:r>
      <w:r>
        <w:rPr>
          <w:rFonts w:ascii="Arial" w:hAnsi="宋体" w:cs="Arial"/>
          <w:snapToGrid w:val="0"/>
          <w:kern w:val="0"/>
          <w:szCs w:val="21"/>
          <w:u w:val="single"/>
        </w:rPr>
        <w:t>（法定代表人姓名）</w:t>
      </w:r>
      <w:r>
        <w:rPr>
          <w:rFonts w:ascii="Arial" w:hAnsi="Arial" w:cs="Arial"/>
          <w:snapToGrid w:val="0"/>
          <w:kern w:val="0"/>
          <w:szCs w:val="21"/>
          <w:u w:val="single"/>
        </w:rPr>
        <w:t xml:space="preserve">  </w:t>
      </w:r>
      <w:r>
        <w:rPr>
          <w:rFonts w:ascii="Arial" w:hAnsi="宋体" w:cs="Arial"/>
          <w:snapToGrid w:val="0"/>
          <w:kern w:val="0"/>
          <w:szCs w:val="21"/>
        </w:rPr>
        <w:t>系</w:t>
      </w:r>
      <w:r>
        <w:rPr>
          <w:rFonts w:ascii="Arial" w:hAnsi="Arial" w:cs="Arial"/>
          <w:snapToGrid w:val="0"/>
          <w:kern w:val="0"/>
          <w:szCs w:val="21"/>
          <w:u w:val="single"/>
        </w:rPr>
        <w:t xml:space="preserve">      </w:t>
      </w:r>
      <w:r>
        <w:rPr>
          <w:rFonts w:ascii="Arial" w:hAnsi="宋体" w:cs="Arial"/>
          <w:snapToGrid w:val="0"/>
          <w:kern w:val="0"/>
          <w:szCs w:val="21"/>
          <w:u w:val="single"/>
        </w:rPr>
        <w:t>（投标供应商名称）</w:t>
      </w:r>
      <w:r>
        <w:rPr>
          <w:rFonts w:ascii="Arial" w:hAnsi="Arial" w:cs="Arial"/>
          <w:snapToGrid w:val="0"/>
          <w:kern w:val="0"/>
          <w:szCs w:val="21"/>
          <w:u w:val="single"/>
        </w:rPr>
        <w:t xml:space="preserve">       </w:t>
      </w:r>
      <w:r>
        <w:rPr>
          <w:rFonts w:ascii="Arial" w:hAnsi="宋体" w:cs="Arial"/>
          <w:snapToGrid w:val="0"/>
          <w:kern w:val="0"/>
          <w:szCs w:val="21"/>
        </w:rPr>
        <w:t>的法定代表人，现授权委托</w:t>
      </w:r>
      <w:r>
        <w:rPr>
          <w:rFonts w:ascii="Arial" w:hAnsi="Arial" w:cs="Arial"/>
          <w:snapToGrid w:val="0"/>
          <w:kern w:val="0"/>
          <w:szCs w:val="21"/>
          <w:u w:val="single"/>
        </w:rPr>
        <w:t xml:space="preserve">  </w:t>
      </w:r>
      <w:r>
        <w:rPr>
          <w:rFonts w:ascii="Arial" w:hAnsi="宋体" w:cs="Arial"/>
          <w:snapToGrid w:val="0"/>
          <w:kern w:val="0"/>
          <w:szCs w:val="21"/>
          <w:u w:val="single"/>
        </w:rPr>
        <w:t>（单</w:t>
      </w:r>
      <w:r>
        <w:rPr>
          <w:rFonts w:ascii="Arial" w:hAnsi="Arial" w:cs="Arial"/>
          <w:snapToGrid w:val="0"/>
          <w:kern w:val="0"/>
          <w:szCs w:val="21"/>
          <w:u w:val="single"/>
        </w:rPr>
        <w:t xml:space="preserve"> </w:t>
      </w:r>
      <w:r>
        <w:rPr>
          <w:rFonts w:ascii="Arial" w:hAnsi="宋体" w:cs="Arial"/>
          <w:snapToGrid w:val="0"/>
          <w:kern w:val="0"/>
          <w:szCs w:val="21"/>
          <w:u w:val="single"/>
        </w:rPr>
        <w:t>位</w:t>
      </w:r>
      <w:r>
        <w:rPr>
          <w:rFonts w:ascii="Arial" w:hAnsi="Arial" w:cs="Arial"/>
          <w:snapToGrid w:val="0"/>
          <w:kern w:val="0"/>
          <w:szCs w:val="21"/>
          <w:u w:val="single"/>
        </w:rPr>
        <w:t xml:space="preserve"> </w:t>
      </w:r>
      <w:r>
        <w:rPr>
          <w:rFonts w:ascii="Arial" w:hAnsi="宋体" w:cs="Arial"/>
          <w:snapToGrid w:val="0"/>
          <w:kern w:val="0"/>
          <w:szCs w:val="21"/>
          <w:u w:val="single"/>
        </w:rPr>
        <w:t>名</w:t>
      </w:r>
      <w:r>
        <w:rPr>
          <w:rFonts w:ascii="Arial" w:hAnsi="Arial" w:cs="Arial"/>
          <w:snapToGrid w:val="0"/>
          <w:kern w:val="0"/>
          <w:szCs w:val="21"/>
          <w:u w:val="single"/>
        </w:rPr>
        <w:t xml:space="preserve"> </w:t>
      </w:r>
      <w:r>
        <w:rPr>
          <w:rFonts w:ascii="Arial" w:hAnsi="宋体" w:cs="Arial"/>
          <w:snapToGrid w:val="0"/>
          <w:kern w:val="0"/>
          <w:szCs w:val="21"/>
          <w:u w:val="single"/>
        </w:rPr>
        <w:t>称）</w:t>
      </w:r>
      <w:r>
        <w:rPr>
          <w:rFonts w:ascii="Arial" w:hAnsi="Arial" w:cs="Arial"/>
          <w:snapToGrid w:val="0"/>
          <w:kern w:val="0"/>
          <w:szCs w:val="21"/>
          <w:u w:val="single"/>
        </w:rPr>
        <w:t xml:space="preserve">   </w:t>
      </w:r>
      <w:r>
        <w:rPr>
          <w:rFonts w:ascii="Arial" w:hAnsi="宋体" w:cs="Arial"/>
          <w:snapToGrid w:val="0"/>
          <w:kern w:val="0"/>
          <w:szCs w:val="21"/>
        </w:rPr>
        <w:t>的</w:t>
      </w:r>
      <w:r>
        <w:rPr>
          <w:rFonts w:ascii="Arial" w:hAnsi="Arial" w:cs="Arial"/>
          <w:snapToGrid w:val="0"/>
          <w:kern w:val="0"/>
          <w:szCs w:val="21"/>
          <w:u w:val="single"/>
        </w:rPr>
        <w:t xml:space="preserve">  </w:t>
      </w:r>
      <w:r>
        <w:rPr>
          <w:rFonts w:ascii="Arial" w:hAnsi="宋体" w:cs="Arial"/>
          <w:snapToGrid w:val="0"/>
          <w:kern w:val="0"/>
          <w:szCs w:val="21"/>
          <w:u w:val="single"/>
        </w:rPr>
        <w:t>（授权代表姓名）</w:t>
      </w:r>
      <w:r>
        <w:rPr>
          <w:rFonts w:ascii="Arial" w:hAnsi="Arial" w:cs="Arial"/>
          <w:snapToGrid w:val="0"/>
          <w:kern w:val="0"/>
          <w:szCs w:val="21"/>
          <w:u w:val="single"/>
        </w:rPr>
        <w:t xml:space="preserve">  </w:t>
      </w:r>
      <w:r>
        <w:rPr>
          <w:rFonts w:ascii="Arial" w:hAnsi="宋体" w:cs="Arial"/>
          <w:snapToGrid w:val="0"/>
          <w:kern w:val="0"/>
          <w:szCs w:val="21"/>
        </w:rPr>
        <w:t>为我公司法定代表人授权代表，参加贵处组织的</w:t>
      </w:r>
      <w:r>
        <w:rPr>
          <w:rFonts w:ascii="Arial" w:hAnsi="Arial" w:cs="Arial"/>
          <w:snapToGrid w:val="0"/>
          <w:kern w:val="0"/>
          <w:szCs w:val="21"/>
          <w:u w:val="single"/>
        </w:rPr>
        <w:t xml:space="preserve">  </w:t>
      </w:r>
      <w:r>
        <w:rPr>
          <w:rFonts w:ascii="Arial" w:hAnsi="宋体" w:cs="Arial"/>
          <w:snapToGrid w:val="0"/>
          <w:kern w:val="0"/>
          <w:szCs w:val="21"/>
          <w:u w:val="single"/>
        </w:rPr>
        <w:t>（招标项目名称）</w:t>
      </w:r>
      <w:r>
        <w:rPr>
          <w:rFonts w:ascii="Arial" w:hAnsi="Arial" w:cs="Arial"/>
          <w:snapToGrid w:val="0"/>
          <w:kern w:val="0"/>
          <w:szCs w:val="21"/>
          <w:u w:val="single"/>
        </w:rPr>
        <w:t xml:space="preserve">  </w:t>
      </w:r>
      <w:r>
        <w:rPr>
          <w:rFonts w:ascii="Arial" w:hAnsi="宋体" w:cs="Arial"/>
          <w:snapToGrid w:val="0"/>
          <w:kern w:val="0"/>
          <w:szCs w:val="21"/>
        </w:rPr>
        <w:t>项目投标，全权处理本次招投标活动中的一切事宜，我承认授权代表全权代表我所签署的本项目的投标文件及招投标活动相关文件的内容。</w:t>
      </w:r>
    </w:p>
    <w:p>
      <w:pPr>
        <w:spacing w:line="500" w:lineRule="exact"/>
        <w:ind w:firstLine="612"/>
        <w:rPr>
          <w:rFonts w:ascii="Arial" w:hAnsi="Arial" w:cs="Arial"/>
          <w:snapToGrid w:val="0"/>
          <w:kern w:val="0"/>
          <w:szCs w:val="21"/>
        </w:rPr>
      </w:pPr>
      <w:r>
        <w:rPr>
          <w:rFonts w:ascii="Arial" w:hAnsi="宋体" w:cs="Arial"/>
          <w:snapToGrid w:val="0"/>
          <w:kern w:val="0"/>
          <w:szCs w:val="21"/>
        </w:rPr>
        <w:t>授权代表无转授权，特此授权。</w:t>
      </w:r>
    </w:p>
    <w:p>
      <w:pPr>
        <w:spacing w:line="500" w:lineRule="exact"/>
        <w:ind w:firstLine="612"/>
        <w:rPr>
          <w:rFonts w:ascii="Arial" w:hAnsi="Arial" w:cs="Arial"/>
          <w:szCs w:val="21"/>
        </w:rPr>
      </w:pPr>
      <w:r>
        <w:rPr>
          <w:rFonts w:ascii="Arial" w:hAnsi="宋体" w:cs="Arial"/>
          <w:szCs w:val="21"/>
        </w:rPr>
        <w:t>附：</w:t>
      </w:r>
    </w:p>
    <w:tbl>
      <w:tblPr>
        <w:tblStyle w:val="49"/>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top w:val="single" w:color="auto" w:sz="12" w:space="0"/>
              <w:left w:val="single" w:color="auto" w:sz="12" w:space="0"/>
            </w:tcBorders>
            <w:vAlign w:val="center"/>
          </w:tcPr>
          <w:p>
            <w:pPr>
              <w:ind w:firstLine="210" w:firstLineChars="100"/>
              <w:jc w:val="center"/>
              <w:rPr>
                <w:rFonts w:ascii="Arial" w:hAnsi="Arial" w:cs="Arial"/>
                <w:szCs w:val="21"/>
              </w:rPr>
            </w:pPr>
            <w:r>
              <w:rPr>
                <w:rFonts w:ascii="Arial" w:hAnsi="宋体" w:cs="Arial"/>
                <w:szCs w:val="21"/>
              </w:rPr>
              <w:t>授权代表姓名</w:t>
            </w:r>
          </w:p>
        </w:tc>
        <w:tc>
          <w:tcPr>
            <w:tcW w:w="2070" w:type="dxa"/>
            <w:tcBorders>
              <w:top w:val="single" w:color="auto" w:sz="12" w:space="0"/>
            </w:tcBorders>
            <w:vAlign w:val="center"/>
          </w:tcPr>
          <w:p>
            <w:pPr>
              <w:ind w:firstLine="610"/>
              <w:jc w:val="right"/>
              <w:rPr>
                <w:rFonts w:ascii="Arial" w:hAnsi="Arial" w:cs="Arial"/>
                <w:szCs w:val="21"/>
              </w:rPr>
            </w:pPr>
          </w:p>
        </w:tc>
        <w:tc>
          <w:tcPr>
            <w:tcW w:w="2070" w:type="dxa"/>
            <w:tcBorders>
              <w:top w:val="single" w:color="auto" w:sz="12" w:space="0"/>
            </w:tcBorders>
            <w:vAlign w:val="center"/>
          </w:tcPr>
          <w:p>
            <w:pPr>
              <w:ind w:firstLine="210" w:firstLineChars="100"/>
              <w:jc w:val="center"/>
              <w:rPr>
                <w:rFonts w:ascii="Arial" w:hAnsi="Arial" w:cs="Arial"/>
                <w:szCs w:val="21"/>
              </w:rPr>
            </w:pPr>
            <w:r>
              <w:rPr>
                <w:rFonts w:ascii="Arial" w:hAnsi="宋体" w:cs="Arial"/>
                <w:szCs w:val="21"/>
              </w:rPr>
              <w:t>性</w:t>
            </w:r>
            <w:r>
              <w:rPr>
                <w:rFonts w:ascii="Arial" w:hAnsi="Arial" w:cs="Arial"/>
                <w:szCs w:val="21"/>
              </w:rPr>
              <w:t xml:space="preserve">      </w:t>
            </w:r>
            <w:r>
              <w:rPr>
                <w:rFonts w:ascii="Arial" w:hAnsi="宋体" w:cs="Arial"/>
                <w:szCs w:val="21"/>
              </w:rPr>
              <w:t>别</w:t>
            </w:r>
          </w:p>
        </w:tc>
        <w:tc>
          <w:tcPr>
            <w:tcW w:w="2070" w:type="dxa"/>
            <w:tcBorders>
              <w:top w:val="single" w:color="auto" w:sz="12" w:space="0"/>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ind w:firstLine="210" w:firstLineChars="100"/>
              <w:jc w:val="center"/>
              <w:rPr>
                <w:rFonts w:ascii="Arial" w:hAnsi="Arial" w:cs="Arial"/>
                <w:szCs w:val="21"/>
              </w:rPr>
            </w:pPr>
            <w:r>
              <w:rPr>
                <w:rFonts w:ascii="Arial" w:hAnsi="宋体" w:cs="Arial"/>
                <w:szCs w:val="21"/>
              </w:rPr>
              <w:t>出</w:t>
            </w:r>
            <w:r>
              <w:rPr>
                <w:rFonts w:ascii="Arial" w:hAnsi="Arial" w:cs="Arial"/>
                <w:szCs w:val="21"/>
              </w:rPr>
              <w:t xml:space="preserve"> </w:t>
            </w:r>
            <w:r>
              <w:rPr>
                <w:rFonts w:ascii="Arial" w:hAnsi="宋体" w:cs="Arial"/>
                <w:szCs w:val="21"/>
              </w:rPr>
              <w:t>生</w:t>
            </w:r>
            <w:r>
              <w:rPr>
                <w:rFonts w:ascii="Arial" w:hAnsi="Arial" w:cs="Arial"/>
                <w:szCs w:val="21"/>
              </w:rPr>
              <w:t xml:space="preserve"> </w:t>
            </w:r>
            <w:r>
              <w:rPr>
                <w:rFonts w:ascii="Arial" w:hAnsi="宋体" w:cs="Arial"/>
                <w:szCs w:val="21"/>
              </w:rPr>
              <w:t>年</w:t>
            </w:r>
            <w:r>
              <w:rPr>
                <w:rFonts w:ascii="Arial" w:hAnsi="Arial" w:cs="Arial"/>
                <w:szCs w:val="21"/>
              </w:rPr>
              <w:t xml:space="preserve"> </w:t>
            </w:r>
            <w:r>
              <w:rPr>
                <w:rFonts w:ascii="Arial" w:hAnsi="宋体" w:cs="Arial"/>
                <w:szCs w:val="21"/>
              </w:rPr>
              <w:t>月</w:t>
            </w:r>
          </w:p>
        </w:tc>
        <w:tc>
          <w:tcPr>
            <w:tcW w:w="2070" w:type="dxa"/>
            <w:vAlign w:val="center"/>
          </w:tcPr>
          <w:p>
            <w:pPr>
              <w:ind w:firstLine="610"/>
              <w:jc w:val="right"/>
              <w:rPr>
                <w:rFonts w:ascii="Arial" w:hAnsi="Arial" w:cs="Arial"/>
                <w:szCs w:val="21"/>
              </w:rPr>
            </w:pPr>
          </w:p>
        </w:tc>
        <w:tc>
          <w:tcPr>
            <w:tcW w:w="2070" w:type="dxa"/>
            <w:vAlign w:val="center"/>
          </w:tcPr>
          <w:p>
            <w:pPr>
              <w:ind w:firstLine="210" w:firstLineChars="100"/>
              <w:jc w:val="center"/>
              <w:rPr>
                <w:rFonts w:ascii="Arial" w:hAnsi="Arial" w:cs="Arial"/>
                <w:szCs w:val="21"/>
              </w:rPr>
            </w:pPr>
            <w:r>
              <w:rPr>
                <w:rFonts w:ascii="Arial" w:hAnsi="宋体" w:cs="Arial"/>
                <w:szCs w:val="21"/>
              </w:rPr>
              <w:t>身份证号码</w:t>
            </w:r>
          </w:p>
        </w:tc>
        <w:tc>
          <w:tcPr>
            <w:tcW w:w="2070" w:type="dxa"/>
            <w:tcBorders>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ind w:firstLine="210" w:firstLineChars="100"/>
              <w:jc w:val="center"/>
              <w:rPr>
                <w:rFonts w:ascii="Arial" w:hAnsi="Arial" w:cs="Arial"/>
                <w:szCs w:val="21"/>
              </w:rPr>
            </w:pPr>
            <w:r>
              <w:rPr>
                <w:rFonts w:ascii="Arial" w:hAnsi="宋体" w:cs="Arial"/>
                <w:szCs w:val="21"/>
              </w:rPr>
              <w:t>单</w:t>
            </w:r>
            <w:r>
              <w:rPr>
                <w:rFonts w:ascii="Arial" w:hAnsi="Arial" w:cs="Arial"/>
                <w:szCs w:val="21"/>
              </w:rPr>
              <w:t xml:space="preserve">       </w:t>
            </w:r>
            <w:r>
              <w:rPr>
                <w:rFonts w:ascii="Arial" w:hAnsi="宋体" w:cs="Arial"/>
                <w:szCs w:val="21"/>
              </w:rPr>
              <w:t>位</w:t>
            </w:r>
          </w:p>
        </w:tc>
        <w:tc>
          <w:tcPr>
            <w:tcW w:w="2070" w:type="dxa"/>
            <w:vAlign w:val="center"/>
          </w:tcPr>
          <w:p>
            <w:pPr>
              <w:ind w:firstLine="610"/>
              <w:jc w:val="right"/>
              <w:rPr>
                <w:rFonts w:ascii="Arial" w:hAnsi="Arial" w:cs="Arial"/>
                <w:szCs w:val="21"/>
              </w:rPr>
            </w:pPr>
          </w:p>
        </w:tc>
        <w:tc>
          <w:tcPr>
            <w:tcW w:w="2070" w:type="dxa"/>
            <w:vAlign w:val="center"/>
          </w:tcPr>
          <w:p>
            <w:pPr>
              <w:ind w:firstLine="210" w:firstLineChars="100"/>
              <w:jc w:val="center"/>
              <w:rPr>
                <w:rFonts w:ascii="Arial" w:hAnsi="Arial" w:cs="Arial"/>
                <w:szCs w:val="21"/>
              </w:rPr>
            </w:pPr>
            <w:r>
              <w:rPr>
                <w:rFonts w:ascii="Arial" w:hAnsi="宋体" w:cs="Arial"/>
                <w:szCs w:val="21"/>
              </w:rPr>
              <w:t>部</w:t>
            </w:r>
            <w:r>
              <w:rPr>
                <w:rFonts w:ascii="Arial" w:hAnsi="Arial" w:cs="Arial"/>
                <w:szCs w:val="21"/>
              </w:rPr>
              <w:t xml:space="preserve">      </w:t>
            </w:r>
            <w:r>
              <w:rPr>
                <w:rFonts w:ascii="Arial" w:hAnsi="宋体" w:cs="Arial"/>
                <w:szCs w:val="21"/>
              </w:rPr>
              <w:t>门</w:t>
            </w:r>
          </w:p>
        </w:tc>
        <w:tc>
          <w:tcPr>
            <w:tcW w:w="2070" w:type="dxa"/>
            <w:tcBorders>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ind w:firstLine="210" w:firstLineChars="100"/>
              <w:jc w:val="center"/>
              <w:rPr>
                <w:rFonts w:ascii="Arial" w:hAnsi="Arial" w:cs="Arial"/>
                <w:szCs w:val="21"/>
              </w:rPr>
            </w:pPr>
            <w:r>
              <w:rPr>
                <w:rFonts w:ascii="Arial" w:hAnsi="宋体" w:cs="Arial"/>
                <w:szCs w:val="21"/>
              </w:rPr>
              <w:t>职</w:t>
            </w:r>
            <w:r>
              <w:rPr>
                <w:rFonts w:ascii="Arial" w:hAnsi="Arial" w:cs="Arial"/>
                <w:szCs w:val="21"/>
              </w:rPr>
              <w:t xml:space="preserve">       </w:t>
            </w:r>
            <w:r>
              <w:rPr>
                <w:rFonts w:ascii="Arial" w:hAnsi="宋体" w:cs="Arial"/>
                <w:szCs w:val="21"/>
              </w:rPr>
              <w:t>务</w:t>
            </w:r>
          </w:p>
        </w:tc>
        <w:tc>
          <w:tcPr>
            <w:tcW w:w="2070" w:type="dxa"/>
            <w:vAlign w:val="center"/>
          </w:tcPr>
          <w:p>
            <w:pPr>
              <w:ind w:firstLine="610"/>
              <w:jc w:val="right"/>
              <w:rPr>
                <w:rFonts w:ascii="Arial" w:hAnsi="Arial" w:cs="Arial"/>
                <w:szCs w:val="21"/>
              </w:rPr>
            </w:pPr>
          </w:p>
        </w:tc>
        <w:tc>
          <w:tcPr>
            <w:tcW w:w="2070" w:type="dxa"/>
            <w:vAlign w:val="center"/>
          </w:tcPr>
          <w:p>
            <w:pPr>
              <w:ind w:firstLine="210" w:firstLineChars="100"/>
              <w:jc w:val="center"/>
              <w:rPr>
                <w:rFonts w:ascii="Arial" w:hAnsi="宋体" w:cs="Arial"/>
                <w:szCs w:val="21"/>
              </w:rPr>
            </w:pPr>
            <w:r>
              <w:rPr>
                <w:rFonts w:ascii="Arial" w:hAnsi="宋体" w:cs="Arial"/>
                <w:szCs w:val="21"/>
              </w:rPr>
              <w:t>联</w:t>
            </w:r>
            <w:r>
              <w:rPr>
                <w:rFonts w:ascii="Arial" w:hAnsi="Arial" w:cs="Arial"/>
                <w:szCs w:val="21"/>
              </w:rPr>
              <w:t xml:space="preserve"> </w:t>
            </w:r>
            <w:r>
              <w:rPr>
                <w:rFonts w:ascii="Arial" w:hAnsi="宋体" w:cs="Arial"/>
                <w:szCs w:val="21"/>
              </w:rPr>
              <w:t>系</w:t>
            </w:r>
            <w:r>
              <w:rPr>
                <w:rFonts w:ascii="Arial" w:hAnsi="Arial" w:cs="Arial"/>
                <w:szCs w:val="21"/>
              </w:rPr>
              <w:t xml:space="preserve"> </w:t>
            </w:r>
            <w:r>
              <w:rPr>
                <w:rFonts w:ascii="Arial" w:hAnsi="宋体" w:cs="Arial"/>
                <w:szCs w:val="21"/>
              </w:rPr>
              <w:t>电话</w:t>
            </w:r>
          </w:p>
          <w:p>
            <w:pPr>
              <w:ind w:firstLine="210" w:firstLineChars="100"/>
              <w:jc w:val="center"/>
              <w:rPr>
                <w:rFonts w:ascii="Arial" w:hAnsi="宋体" w:cs="Arial"/>
                <w:szCs w:val="21"/>
              </w:rPr>
            </w:pPr>
            <w:r>
              <w:rPr>
                <w:rFonts w:hint="eastAsia" w:ascii="Arial" w:hAnsi="宋体" w:cs="Arial"/>
                <w:szCs w:val="21"/>
              </w:rPr>
              <w:t>及邮箱</w:t>
            </w:r>
          </w:p>
        </w:tc>
        <w:tc>
          <w:tcPr>
            <w:tcW w:w="2070" w:type="dxa"/>
            <w:tcBorders>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8460" w:type="dxa"/>
            <w:gridSpan w:val="4"/>
            <w:tcBorders>
              <w:left w:val="single" w:color="auto" w:sz="12" w:space="0"/>
              <w:bottom w:val="single" w:color="auto" w:sz="12" w:space="0"/>
              <w:right w:val="single" w:color="auto" w:sz="12" w:space="0"/>
            </w:tcBorders>
            <w:vAlign w:val="center"/>
          </w:tcPr>
          <w:p>
            <w:pPr>
              <w:spacing w:line="360" w:lineRule="auto"/>
              <w:ind w:firstLine="610"/>
              <w:jc w:val="center"/>
              <w:rPr>
                <w:rFonts w:ascii="Arial" w:hAnsi="Arial" w:cs="Arial"/>
                <w:szCs w:val="21"/>
              </w:rPr>
            </w:pPr>
            <w:r>
              <w:rPr>
                <w:rFonts w:ascii="Arial" w:hAnsi="宋体" w:cs="Arial"/>
                <w:szCs w:val="21"/>
              </w:rPr>
              <w:t>身份证复印件粘贴处</w:t>
            </w:r>
          </w:p>
          <w:p>
            <w:pPr>
              <w:spacing w:line="360" w:lineRule="auto"/>
              <w:ind w:firstLine="610"/>
              <w:jc w:val="center"/>
              <w:rPr>
                <w:rFonts w:ascii="Arial" w:hAnsi="Arial" w:cs="Arial"/>
                <w:szCs w:val="21"/>
              </w:rPr>
            </w:pPr>
            <w:r>
              <w:rPr>
                <w:rFonts w:ascii="Arial" w:hAnsi="宋体" w:cs="Arial"/>
                <w:szCs w:val="21"/>
              </w:rPr>
              <w:t>（身份证需双面复印）</w:t>
            </w:r>
          </w:p>
        </w:tc>
      </w:tr>
    </w:tbl>
    <w:p>
      <w:pPr>
        <w:spacing w:line="360" w:lineRule="auto"/>
        <w:rPr>
          <w:rFonts w:ascii="Arial" w:hAnsi="Arial" w:cs="Arial"/>
          <w:szCs w:val="21"/>
        </w:rPr>
      </w:pPr>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Arial"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spacing w:line="400" w:lineRule="exact"/>
        <w:ind w:firstLine="4353" w:firstLineChars="2073"/>
        <w:rPr>
          <w:rFonts w:ascii="Arial" w:hAnsi="Arial" w:cs="Arial"/>
          <w:kern w:val="0"/>
          <w:szCs w:val="21"/>
        </w:rPr>
      </w:pPr>
    </w:p>
    <w:p>
      <w:pPr>
        <w:spacing w:line="360" w:lineRule="auto"/>
        <w:ind w:left="436" w:hanging="436" w:hangingChars="207"/>
        <w:rPr>
          <w:rFonts w:ascii="Arial" w:hAnsi="宋体" w:cs="Arial"/>
          <w:b/>
          <w:szCs w:val="21"/>
        </w:rPr>
      </w:pPr>
      <w:r>
        <w:rPr>
          <w:rFonts w:ascii="Arial" w:hAnsi="宋体" w:cs="Arial"/>
          <w:b/>
          <w:szCs w:val="21"/>
        </w:rPr>
        <w:t>注：投标供应商在递交投标文件时，另行提供本</w:t>
      </w:r>
      <w:r>
        <w:rPr>
          <w:rFonts w:hint="eastAsia" w:ascii="Arial" w:hAnsi="宋体" w:cs="Arial"/>
          <w:b/>
          <w:szCs w:val="21"/>
        </w:rPr>
        <w:t>法定代表人授权委托书</w:t>
      </w:r>
      <w:r>
        <w:rPr>
          <w:rFonts w:ascii="Arial" w:hAnsi="宋体" w:cs="Arial"/>
          <w:b/>
          <w:szCs w:val="21"/>
        </w:rPr>
        <w:t>原件一份，随授权代表身份证一起交验。</w:t>
      </w:r>
      <w:r>
        <w:rPr>
          <w:rFonts w:hint="eastAsia" w:ascii="Arial" w:hAnsi="宋体" w:cs="Arial"/>
          <w:b/>
          <w:szCs w:val="21"/>
        </w:rPr>
        <w:t>递交标书时未另外递交授权书的不作无效标处理，但可能对投标人产生不利影响。</w:t>
      </w:r>
    </w:p>
    <w:p>
      <w:pPr>
        <w:pStyle w:val="6"/>
        <w:jc w:val="center"/>
        <w:rPr>
          <w:sz w:val="24"/>
          <w:szCs w:val="24"/>
        </w:rPr>
      </w:pPr>
      <w:bookmarkStart w:id="51" w:name="_Toc412788174"/>
      <w:bookmarkStart w:id="52" w:name="_Toc388974305"/>
      <w:bookmarkStart w:id="53" w:name="_Toc388974307"/>
      <w:r>
        <w:rPr>
          <w:rFonts w:hint="eastAsia" w:ascii="宋体" w:hAnsi="宋体" w:eastAsia="宋体"/>
          <w:sz w:val="24"/>
          <w:szCs w:val="24"/>
        </w:rPr>
        <w:br w:type="page"/>
      </w:r>
      <w:bookmarkStart w:id="54" w:name="_Toc26530"/>
      <w:r>
        <w:rPr>
          <w:rFonts w:hint="eastAsia" w:ascii="宋体" w:hAnsi="宋体" w:eastAsia="宋体"/>
          <w:sz w:val="24"/>
          <w:szCs w:val="24"/>
        </w:rPr>
        <w:t>附件</w:t>
      </w:r>
      <w:r>
        <w:rPr>
          <w:rFonts w:ascii="宋体" w:hAnsi="宋体" w:eastAsia="宋体"/>
          <w:sz w:val="24"/>
          <w:szCs w:val="24"/>
        </w:rPr>
        <w:t>5</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bookmarkEnd w:id="51"/>
      <w:r>
        <w:rPr>
          <w:rFonts w:hint="eastAsia" w:ascii="宋体" w:hAnsi="宋体" w:eastAsia="宋体"/>
          <w:sz w:val="24"/>
          <w:szCs w:val="24"/>
        </w:rPr>
        <w:t>投标供应商</w:t>
      </w:r>
      <w:r>
        <w:rPr>
          <w:rFonts w:ascii="宋体" w:hAnsi="宋体" w:eastAsia="宋体"/>
          <w:sz w:val="24"/>
          <w:szCs w:val="24"/>
        </w:rPr>
        <w:t>情况</w:t>
      </w:r>
      <w:r>
        <w:rPr>
          <w:rFonts w:hint="eastAsia" w:ascii="宋体" w:hAnsi="宋体" w:eastAsia="宋体"/>
          <w:sz w:val="24"/>
          <w:szCs w:val="24"/>
        </w:rPr>
        <w:t>说</w:t>
      </w:r>
      <w:r>
        <w:rPr>
          <w:rFonts w:ascii="宋体" w:hAnsi="宋体" w:eastAsia="宋体"/>
          <w:sz w:val="24"/>
          <w:szCs w:val="24"/>
        </w:rPr>
        <w:t>明</w:t>
      </w:r>
      <w:bookmarkEnd w:id="54"/>
    </w:p>
    <w:p>
      <w:pPr>
        <w:spacing w:line="380" w:lineRule="exact"/>
        <w:ind w:left="418" w:leftChars="199"/>
        <w:rPr>
          <w:rFonts w:ascii="宋体" w:cs="Arial"/>
          <w:b/>
          <w:sz w:val="22"/>
          <w:szCs w:val="22"/>
        </w:rPr>
      </w:pPr>
      <w:r>
        <w:rPr>
          <w:rFonts w:ascii="宋体" w:cs="Arial"/>
          <w:b/>
          <w:sz w:val="22"/>
          <w:szCs w:val="22"/>
        </w:rPr>
        <w:t>1、名称及概况：</w:t>
      </w:r>
    </w:p>
    <w:p>
      <w:pPr>
        <w:spacing w:line="380" w:lineRule="exact"/>
        <w:ind w:firstLine="422" w:firstLineChars="191"/>
        <w:rPr>
          <w:rFonts w:ascii="宋体" w:cs="Arial"/>
          <w:b/>
          <w:sz w:val="22"/>
          <w:szCs w:val="22"/>
        </w:rPr>
      </w:pPr>
      <w:r>
        <w:rPr>
          <w:rFonts w:ascii="宋体" w:cs="Arial"/>
          <w:b/>
          <w:sz w:val="22"/>
          <w:szCs w:val="22"/>
        </w:rPr>
        <w:t>（1）投标供应商名称：</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（2）总部地址：</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989" w:firstLineChars="448"/>
        <w:rPr>
          <w:rFonts w:ascii="宋体" w:cs="Arial"/>
          <w:b/>
          <w:sz w:val="22"/>
          <w:szCs w:val="22"/>
        </w:rPr>
      </w:pPr>
      <w:r>
        <w:rPr>
          <w:rFonts w:ascii="宋体" w:cs="Arial"/>
          <w:b/>
          <w:sz w:val="22"/>
          <w:szCs w:val="22"/>
        </w:rPr>
        <w:t>传真/电话号码：</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（3）成立或注册日期：</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（4）实收资本：</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（5）近期资产负债表（到</w:t>
      </w:r>
      <w:r>
        <w:rPr>
          <w:rFonts w:ascii="宋体" w:cs="Arial"/>
          <w:b/>
          <w:sz w:val="22"/>
          <w:szCs w:val="22"/>
          <w:u w:val="single"/>
        </w:rPr>
        <w:t xml:space="preserve">        </w:t>
      </w:r>
      <w:r>
        <w:rPr>
          <w:rFonts w:ascii="宋体" w:cs="Arial"/>
          <w:b/>
          <w:sz w:val="22"/>
          <w:szCs w:val="22"/>
        </w:rPr>
        <w:t>年</w:t>
      </w:r>
      <w:r>
        <w:rPr>
          <w:rFonts w:ascii="宋体" w:cs="Arial"/>
          <w:b/>
          <w:sz w:val="22"/>
          <w:szCs w:val="22"/>
          <w:u w:val="single"/>
        </w:rPr>
        <w:t xml:space="preserve">    </w:t>
      </w:r>
      <w:r>
        <w:rPr>
          <w:rFonts w:ascii="宋体" w:cs="Arial"/>
          <w:b/>
          <w:sz w:val="22"/>
          <w:szCs w:val="22"/>
        </w:rPr>
        <w:t>月</w:t>
      </w:r>
      <w:r>
        <w:rPr>
          <w:rFonts w:ascii="宋体" w:cs="Arial"/>
          <w:b/>
          <w:sz w:val="22"/>
          <w:szCs w:val="22"/>
          <w:u w:val="single"/>
        </w:rPr>
        <w:t xml:space="preserve">    </w:t>
      </w:r>
      <w:r>
        <w:rPr>
          <w:rFonts w:ascii="宋体" w:cs="Arial"/>
          <w:b/>
          <w:sz w:val="22"/>
          <w:szCs w:val="22"/>
        </w:rPr>
        <w:t>日止）</w:t>
      </w:r>
    </w:p>
    <w:p>
      <w:pPr>
        <w:spacing w:line="380" w:lineRule="exact"/>
        <w:ind w:firstLine="422" w:firstLineChars="191"/>
        <w:rPr>
          <w:rFonts w:ascii="宋体" w:cs="Arial"/>
          <w:b/>
          <w:sz w:val="22"/>
          <w:szCs w:val="22"/>
        </w:rPr>
      </w:pPr>
      <w:r>
        <w:rPr>
          <w:rFonts w:ascii="宋体" w:cs="Arial"/>
          <w:b/>
          <w:sz w:val="22"/>
          <w:szCs w:val="22"/>
        </w:rPr>
        <w:t xml:space="preserve">  1）固定资产：</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2）流动资产：</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3）长期负债：</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4）流动负债：</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5）净值：</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tabs>
          <w:tab w:val="left" w:pos="5486"/>
        </w:tabs>
        <w:spacing w:line="380" w:lineRule="exact"/>
        <w:ind w:firstLine="422" w:firstLineChars="191"/>
        <w:rPr>
          <w:rFonts w:ascii="宋体" w:cs="Arial"/>
          <w:b/>
          <w:sz w:val="22"/>
          <w:szCs w:val="22"/>
          <w:u w:val="single"/>
        </w:rPr>
      </w:pPr>
      <w:r>
        <w:rPr>
          <w:rFonts w:ascii="宋体" w:cs="Arial"/>
          <w:b/>
          <w:sz w:val="22"/>
          <w:szCs w:val="22"/>
        </w:rPr>
        <w:t>（6）主要负责人姓名：</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rPr>
          <w:rFonts w:ascii="宋体" w:cs="Arial"/>
          <w:b/>
          <w:sz w:val="22"/>
          <w:szCs w:val="22"/>
        </w:rPr>
      </w:pPr>
    </w:p>
    <w:p>
      <w:pPr>
        <w:spacing w:line="380" w:lineRule="exact"/>
        <w:ind w:left="418" w:leftChars="199"/>
        <w:rPr>
          <w:rFonts w:ascii="宋体" w:cs="Arial"/>
          <w:b/>
          <w:sz w:val="22"/>
          <w:szCs w:val="22"/>
        </w:rPr>
      </w:pPr>
      <w:r>
        <w:rPr>
          <w:rFonts w:ascii="宋体" w:cs="Arial"/>
          <w:b/>
          <w:sz w:val="22"/>
          <w:szCs w:val="22"/>
        </w:rPr>
        <w:t>2、企业生产设备及规模</w:t>
      </w:r>
      <w:r>
        <w:rPr>
          <w:rFonts w:hint="eastAsia" w:ascii="宋体" w:cs="Arial"/>
          <w:b/>
          <w:sz w:val="22"/>
          <w:szCs w:val="22"/>
        </w:rPr>
        <w:t>简介</w:t>
      </w:r>
      <w:r>
        <w:rPr>
          <w:rFonts w:ascii="宋体" w:cs="Arial"/>
          <w:b/>
          <w:sz w:val="22"/>
          <w:szCs w:val="22"/>
        </w:rPr>
        <w:t>：</w:t>
      </w:r>
    </w:p>
    <w:p>
      <w:pPr>
        <w:spacing w:line="380" w:lineRule="exact"/>
        <w:ind w:left="663" w:hanging="663" w:hangingChars="300"/>
        <w:rPr>
          <w:rFonts w:ascii="宋体" w:cs="Arial"/>
          <w:b/>
          <w:sz w:val="22"/>
          <w:szCs w:val="22"/>
        </w:rPr>
      </w:pPr>
    </w:p>
    <w:p>
      <w:pPr>
        <w:spacing w:line="380" w:lineRule="exact"/>
        <w:ind w:left="658" w:leftChars="201" w:hanging="236" w:hangingChars="107"/>
        <w:rPr>
          <w:rFonts w:ascii="宋体" w:cs="Arial"/>
          <w:b/>
          <w:sz w:val="22"/>
          <w:szCs w:val="22"/>
        </w:rPr>
      </w:pPr>
      <w:r>
        <w:rPr>
          <w:rFonts w:ascii="宋体" w:cs="Arial"/>
          <w:b/>
          <w:sz w:val="22"/>
          <w:szCs w:val="22"/>
        </w:rPr>
        <w:t>3、 企业人员情况：</w:t>
      </w:r>
    </w:p>
    <w:p>
      <w:pPr>
        <w:spacing w:line="380" w:lineRule="exact"/>
        <w:ind w:left="655" w:leftChars="312"/>
        <w:rPr>
          <w:rFonts w:ascii="宋体" w:cs="Arial"/>
          <w:b/>
          <w:sz w:val="22"/>
          <w:szCs w:val="22"/>
          <w:u w:val="single"/>
        </w:rPr>
      </w:pPr>
      <w:r>
        <w:rPr>
          <w:rFonts w:ascii="宋体" w:cs="Arial"/>
          <w:b/>
          <w:sz w:val="22"/>
          <w:szCs w:val="22"/>
        </w:rPr>
        <w:t>职工（在职）人数</w:t>
      </w:r>
      <w:r>
        <w:rPr>
          <w:rFonts w:ascii="宋体" w:cs="Arial"/>
          <w:b/>
          <w:sz w:val="22"/>
          <w:szCs w:val="22"/>
          <w:u w:val="single"/>
        </w:rPr>
        <w:t xml:space="preserve">       </w:t>
      </w:r>
      <w:r>
        <w:rPr>
          <w:rFonts w:ascii="宋体" w:cs="Arial"/>
          <w:b/>
          <w:sz w:val="22"/>
          <w:szCs w:val="22"/>
        </w:rPr>
        <w:t>人，其中技术人员</w:t>
      </w:r>
      <w:r>
        <w:rPr>
          <w:rFonts w:ascii="宋体" w:cs="Arial"/>
          <w:b/>
          <w:sz w:val="22"/>
          <w:szCs w:val="22"/>
          <w:u w:val="single"/>
        </w:rPr>
        <w:t xml:space="preserve">       </w:t>
      </w:r>
      <w:r>
        <w:rPr>
          <w:rFonts w:ascii="宋体" w:cs="Arial"/>
          <w:b/>
          <w:sz w:val="22"/>
          <w:szCs w:val="22"/>
        </w:rPr>
        <w:t>人</w:t>
      </w:r>
    </w:p>
    <w:p>
      <w:pPr>
        <w:spacing w:line="380" w:lineRule="exact"/>
        <w:ind w:left="658" w:leftChars="201" w:hanging="236" w:hangingChars="107"/>
        <w:rPr>
          <w:rFonts w:ascii="宋体" w:cs="Arial"/>
          <w:b/>
          <w:sz w:val="22"/>
          <w:szCs w:val="22"/>
        </w:rPr>
      </w:pPr>
      <w:r>
        <w:rPr>
          <w:rFonts w:ascii="宋体" w:cs="Arial"/>
          <w:b/>
          <w:sz w:val="22"/>
          <w:szCs w:val="22"/>
        </w:rPr>
        <w:t>4、近</w:t>
      </w:r>
      <w:r>
        <w:rPr>
          <w:rFonts w:hint="eastAsia" w:ascii="宋体" w:cs="Arial"/>
          <w:b/>
          <w:sz w:val="22"/>
          <w:szCs w:val="22"/>
        </w:rPr>
        <w:t>3</w:t>
      </w:r>
      <w:r>
        <w:rPr>
          <w:rFonts w:ascii="宋体" w:cs="Arial"/>
          <w:b/>
          <w:sz w:val="22"/>
          <w:szCs w:val="22"/>
        </w:rPr>
        <w:t>年营业总额</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rPr>
          <w:rFonts w:ascii="宋体" w:cs="Arial"/>
          <w:sz w:val="22"/>
          <w:szCs w:val="22"/>
        </w:rPr>
      </w:pPr>
    </w:p>
    <w:p>
      <w:pPr>
        <w:spacing w:line="380" w:lineRule="exact"/>
        <w:ind w:firstLine="418" w:firstLineChars="190"/>
        <w:rPr>
          <w:rFonts w:ascii="宋体" w:cs="Arial"/>
          <w:sz w:val="22"/>
          <w:szCs w:val="22"/>
        </w:rPr>
      </w:pPr>
      <w:r>
        <w:rPr>
          <w:rFonts w:ascii="宋体" w:cs="Arial"/>
          <w:sz w:val="22"/>
          <w:szCs w:val="22"/>
        </w:rPr>
        <w:t>兹证明上述声明是真实、正确的、并提供了全部能提供的资料和数据，我们同意遵照</w:t>
      </w:r>
      <w:r>
        <w:rPr>
          <w:rFonts w:hint="eastAsia" w:ascii="宋体" w:cs="Arial"/>
          <w:sz w:val="22"/>
          <w:szCs w:val="22"/>
        </w:rPr>
        <w:t>招标人</w:t>
      </w:r>
      <w:r>
        <w:rPr>
          <w:rFonts w:ascii="宋体" w:cs="Arial"/>
          <w:sz w:val="22"/>
          <w:szCs w:val="22"/>
        </w:rPr>
        <w:t>要求出示有关证明文件。</w:t>
      </w:r>
    </w:p>
    <w:p>
      <w:pPr>
        <w:spacing w:after="156" w:afterLines="50" w:line="400" w:lineRule="exact"/>
        <w:ind w:firstLine="4412" w:firstLineChars="2101"/>
        <w:rPr>
          <w:rFonts w:ascii="Arial" w:hAnsi="Arial" w:cs="Arial"/>
          <w:szCs w:val="21"/>
        </w:rPr>
      </w:pPr>
      <w:r>
        <w:rPr>
          <w:rFonts w:ascii="Arial" w:hAnsi="宋体" w:cs="Arial"/>
          <w:szCs w:val="21"/>
        </w:rPr>
        <w:t>投标供应商（盖章）：</w:t>
      </w:r>
    </w:p>
    <w:p>
      <w:pPr>
        <w:spacing w:after="156" w:afterLines="50" w:line="400" w:lineRule="exact"/>
        <w:ind w:firstLine="3889" w:firstLineChars="1852"/>
        <w:rPr>
          <w:rFonts w:ascii="Arial" w:hAnsi="宋体" w:cs="Arial"/>
          <w:szCs w:val="21"/>
        </w:rPr>
      </w:pPr>
      <w:r>
        <w:rPr>
          <w:rFonts w:ascii="Arial" w:hAnsi="Arial" w:cs="Arial"/>
          <w:szCs w:val="21"/>
        </w:rPr>
        <w:t xml:space="preserve">     </w:t>
      </w:r>
      <w:r>
        <w:rPr>
          <w:rFonts w:ascii="Arial" w:hAnsi="宋体" w:cs="Arial"/>
          <w:szCs w:val="21"/>
        </w:rPr>
        <w:t>法定代表人或授权代表（签字或盖章）：</w:t>
      </w:r>
    </w:p>
    <w:p>
      <w:pPr>
        <w:spacing w:after="156" w:afterLines="50" w:line="400" w:lineRule="exact"/>
        <w:ind w:firstLine="3992" w:firstLineChars="1901"/>
        <w:rPr>
          <w:rFonts w:ascii="Arial" w:hAnsi="宋体" w:cs="Arial"/>
          <w:szCs w:val="21"/>
        </w:rPr>
      </w:pPr>
      <w:r>
        <w:rPr>
          <w:rFonts w:hint="eastAsia" w:ascii="Arial" w:hAnsi="宋体" w:cs="Arial"/>
          <w:szCs w:val="21"/>
        </w:rPr>
        <w:t xml:space="preserve">    日期：</w:t>
      </w:r>
    </w:p>
    <w:p>
      <w:pPr>
        <w:pStyle w:val="6"/>
        <w:jc w:val="center"/>
        <w:rPr>
          <w:rFonts w:cs="Arial"/>
          <w:b w:val="0"/>
          <w:bCs w:val="0"/>
          <w:sz w:val="30"/>
        </w:rPr>
      </w:pPr>
      <w:r>
        <w:rPr>
          <w:rFonts w:hint="eastAsia" w:ascii="宋体" w:hAnsi="宋体" w:eastAsia="宋体"/>
          <w:sz w:val="24"/>
          <w:szCs w:val="24"/>
        </w:rPr>
        <w:br w:type="page"/>
      </w:r>
      <w:bookmarkStart w:id="55" w:name="_Toc23534"/>
      <w:r>
        <w:rPr>
          <w:rFonts w:hint="eastAsia" w:ascii="宋体" w:hAnsi="宋体" w:eastAsia="宋体"/>
          <w:sz w:val="24"/>
          <w:szCs w:val="24"/>
        </w:rPr>
        <w:t>附件</w:t>
      </w:r>
      <w:r>
        <w:rPr>
          <w:rFonts w:ascii="宋体" w:hAnsi="宋体" w:eastAsia="宋体"/>
          <w:sz w:val="24"/>
          <w:szCs w:val="24"/>
        </w:rPr>
        <w:t xml:space="preserve">6 </w:t>
      </w:r>
      <w:r>
        <w:rPr>
          <w:rFonts w:hint="eastAsia" w:ascii="宋体" w:hAnsi="宋体" w:eastAsia="宋体"/>
          <w:sz w:val="24"/>
          <w:szCs w:val="24"/>
        </w:rPr>
        <w:t xml:space="preserve">  资信</w:t>
      </w:r>
      <w:r>
        <w:rPr>
          <w:rFonts w:ascii="宋体" w:hAnsi="宋体" w:eastAsia="宋体"/>
          <w:sz w:val="24"/>
          <w:szCs w:val="24"/>
        </w:rPr>
        <w:t>证明文件</w:t>
      </w:r>
      <w:bookmarkEnd w:id="55"/>
    </w:p>
    <w:p/>
    <w:p>
      <w:pPr>
        <w:snapToGrid w:val="0"/>
        <w:spacing w:line="360" w:lineRule="exact"/>
        <w:rPr>
          <w:rFonts w:ascii="Arial" w:hAnsi="宋体" w:cs="Arial"/>
          <w:b/>
          <w:szCs w:val="22"/>
        </w:rPr>
      </w:pPr>
      <w:r>
        <w:rPr>
          <w:rFonts w:ascii="Arial" w:hAnsi="宋体" w:cs="Arial"/>
          <w:b/>
          <w:szCs w:val="22"/>
        </w:rPr>
        <w:t>包括但不限于（复印件均须加盖公章）：</w:t>
      </w:r>
    </w:p>
    <w:p>
      <w:pPr>
        <w:snapToGrid w:val="0"/>
        <w:spacing w:line="360" w:lineRule="exact"/>
        <w:ind w:left="1415" w:leftChars="674"/>
        <w:rPr>
          <w:rFonts w:ascii="宋体" w:hAnsi="宋体" w:cs="Arial"/>
          <w:bCs/>
          <w:szCs w:val="22"/>
        </w:rPr>
      </w:pPr>
      <w:bookmarkStart w:id="56" w:name="_Toc420077691"/>
      <w:r>
        <w:rPr>
          <w:rFonts w:hint="eastAsia" w:ascii="宋体" w:hAnsi="宋体" w:cs="Arial"/>
          <w:bCs/>
          <w:szCs w:val="22"/>
        </w:rPr>
        <w:t>1、投标供应商营业执照；</w:t>
      </w:r>
    </w:p>
    <w:p>
      <w:pPr>
        <w:snapToGrid w:val="0"/>
        <w:spacing w:line="360" w:lineRule="exact"/>
        <w:ind w:left="1415" w:leftChars="674"/>
        <w:rPr>
          <w:rFonts w:ascii="宋体" w:hAnsi="宋体" w:cs="Arial"/>
          <w:bCs/>
          <w:szCs w:val="22"/>
        </w:rPr>
      </w:pPr>
      <w:r>
        <w:rPr>
          <w:rFonts w:hint="eastAsia" w:ascii="宋体" w:hAnsi="宋体" w:cs="Arial"/>
          <w:bCs/>
          <w:szCs w:val="22"/>
        </w:rPr>
        <w:t>2、投标产品须拥有的国家有关权威部门颁发的质量检测报告；</w:t>
      </w:r>
    </w:p>
    <w:p>
      <w:pPr>
        <w:snapToGrid w:val="0"/>
        <w:spacing w:line="360" w:lineRule="exact"/>
        <w:ind w:left="1415" w:leftChars="674"/>
        <w:rPr>
          <w:rFonts w:ascii="宋体" w:hAnsi="宋体" w:cs="Arial"/>
          <w:bCs/>
          <w:szCs w:val="22"/>
        </w:rPr>
      </w:pPr>
      <w:r>
        <w:rPr>
          <w:rFonts w:hint="eastAsia" w:ascii="宋体" w:hAnsi="宋体" w:cs="Arial"/>
          <w:bCs/>
          <w:szCs w:val="22"/>
        </w:rPr>
        <w:t>3、投标供应商获得国家、省、部级荣誉证书；</w:t>
      </w:r>
    </w:p>
    <w:p>
      <w:pPr>
        <w:snapToGrid w:val="0"/>
        <w:spacing w:line="360" w:lineRule="exact"/>
        <w:ind w:left="1415" w:leftChars="674"/>
        <w:rPr>
          <w:rFonts w:ascii="宋体" w:hAnsi="宋体" w:cs="Arial"/>
          <w:bCs/>
          <w:szCs w:val="22"/>
        </w:rPr>
      </w:pPr>
      <w:r>
        <w:rPr>
          <w:rFonts w:hint="eastAsia" w:ascii="宋体" w:hAnsi="宋体" w:cs="Arial"/>
          <w:bCs/>
          <w:szCs w:val="22"/>
        </w:rPr>
        <w:t>4、投标产品所获自主创新、节能、绿色环保等相关证书(如有)；</w:t>
      </w:r>
    </w:p>
    <w:p>
      <w:pPr>
        <w:snapToGrid w:val="0"/>
        <w:spacing w:line="360" w:lineRule="exact"/>
        <w:ind w:left="1415" w:leftChars="674"/>
        <w:rPr>
          <w:rFonts w:ascii="宋体" w:hAnsi="宋体" w:cs="Arial"/>
          <w:bCs/>
          <w:szCs w:val="22"/>
        </w:rPr>
      </w:pPr>
      <w:r>
        <w:rPr>
          <w:rFonts w:hint="eastAsia" w:ascii="宋体" w:hAnsi="宋体" w:cs="Arial"/>
          <w:bCs/>
          <w:szCs w:val="22"/>
        </w:rPr>
        <w:t>5、产品生产许可证、合格证书、有关荣誉等；</w:t>
      </w:r>
    </w:p>
    <w:p>
      <w:pPr>
        <w:snapToGrid w:val="0"/>
        <w:spacing w:line="360" w:lineRule="exact"/>
        <w:ind w:left="1415" w:leftChars="674"/>
        <w:rPr>
          <w:rFonts w:ascii="宋体" w:hAnsi="宋体" w:cs="Arial"/>
          <w:bCs/>
          <w:szCs w:val="22"/>
        </w:rPr>
      </w:pPr>
      <w:r>
        <w:rPr>
          <w:rFonts w:hint="eastAsia" w:ascii="宋体" w:hAnsi="宋体" w:cs="Arial"/>
          <w:bCs/>
          <w:szCs w:val="22"/>
        </w:rPr>
        <w:t>6、ISO9000等认证证书（如有）；</w:t>
      </w:r>
    </w:p>
    <w:p>
      <w:pPr>
        <w:snapToGrid w:val="0"/>
        <w:spacing w:line="360" w:lineRule="exact"/>
        <w:ind w:left="1415" w:leftChars="674"/>
        <w:rPr>
          <w:rFonts w:ascii="宋体" w:hAnsi="宋体" w:cs="Arial"/>
          <w:bCs/>
          <w:szCs w:val="22"/>
        </w:rPr>
      </w:pPr>
      <w:r>
        <w:rPr>
          <w:rFonts w:hint="eastAsia" w:ascii="宋体" w:hAnsi="宋体" w:cs="Arial"/>
          <w:bCs/>
          <w:szCs w:val="22"/>
        </w:rPr>
        <w:t>7、投标供应商近3年牵涉的主要诉讼案件；</w:t>
      </w:r>
    </w:p>
    <w:p>
      <w:pPr>
        <w:snapToGrid w:val="0"/>
        <w:spacing w:line="360" w:lineRule="exact"/>
        <w:ind w:left="1415" w:leftChars="674"/>
        <w:rPr>
          <w:rFonts w:ascii="宋体" w:hAnsi="宋体" w:cs="Arial"/>
          <w:bCs/>
          <w:szCs w:val="22"/>
        </w:rPr>
      </w:pPr>
      <w:r>
        <w:rPr>
          <w:rFonts w:hint="eastAsia" w:ascii="宋体" w:hAnsi="宋体" w:cs="Arial"/>
          <w:bCs/>
          <w:szCs w:val="22"/>
        </w:rPr>
        <w:t>8、其他资格证明文件；</w:t>
      </w:r>
    </w:p>
    <w:p>
      <w:pPr>
        <w:snapToGrid w:val="0"/>
        <w:spacing w:line="360" w:lineRule="exact"/>
        <w:ind w:left="1415" w:leftChars="674"/>
        <w:rPr>
          <w:rFonts w:ascii="宋体" w:hAnsi="宋体" w:cs="Arial"/>
          <w:bCs/>
          <w:color w:val="0000FF"/>
          <w:szCs w:val="22"/>
        </w:rPr>
      </w:pPr>
    </w:p>
    <w:p>
      <w:pPr>
        <w:pStyle w:val="6"/>
        <w:jc w:val="center"/>
        <w:rPr>
          <w:rFonts w:cs="Arial"/>
          <w:b w:val="0"/>
          <w:bCs w:val="0"/>
          <w:sz w:val="30"/>
        </w:rPr>
      </w:pPr>
      <w:r>
        <w:rPr>
          <w:rFonts w:hint="eastAsia" w:ascii="宋体" w:hAnsi="宋体" w:eastAsia="宋体"/>
          <w:color w:val="0000FF"/>
          <w:sz w:val="24"/>
          <w:szCs w:val="24"/>
        </w:rPr>
        <w:br w:type="page"/>
      </w:r>
      <w:bookmarkEnd w:id="52"/>
      <w:bookmarkEnd w:id="53"/>
      <w:bookmarkEnd w:id="56"/>
      <w:bookmarkStart w:id="57" w:name="_Toc28878"/>
      <w:bookmarkStart w:id="58" w:name="_Toc388974312"/>
      <w:r>
        <w:rPr>
          <w:rFonts w:hint="eastAsia" w:ascii="宋体" w:hAnsi="宋体" w:eastAsia="宋体"/>
          <w:sz w:val="24"/>
          <w:szCs w:val="24"/>
        </w:rPr>
        <w:t>附件</w:t>
      </w:r>
      <w:r>
        <w:rPr>
          <w:rFonts w:ascii="宋体" w:hAnsi="宋体" w:eastAsia="宋体"/>
          <w:sz w:val="24"/>
          <w:szCs w:val="24"/>
        </w:rPr>
        <w:t xml:space="preserve">7 </w:t>
      </w:r>
      <w:r>
        <w:rPr>
          <w:rFonts w:hint="eastAsia" w:ascii="宋体" w:hAnsi="宋体" w:eastAsia="宋体"/>
          <w:sz w:val="24"/>
          <w:szCs w:val="24"/>
        </w:rPr>
        <w:t xml:space="preserve">  投标供应商202</w:t>
      </w:r>
      <w:r>
        <w:rPr>
          <w:rFonts w:hint="eastAsia" w:ascii="宋体" w:hAnsi="宋体" w:eastAsia="宋体"/>
          <w:sz w:val="24"/>
          <w:szCs w:val="24"/>
          <w:lang w:val="en-US" w:eastAsia="zh-CN"/>
        </w:rPr>
        <w:t>1</w:t>
      </w:r>
      <w:r>
        <w:rPr>
          <w:rFonts w:hint="eastAsia" w:ascii="宋体" w:hAnsi="宋体" w:eastAsia="宋体"/>
          <w:sz w:val="24"/>
          <w:szCs w:val="24"/>
        </w:rPr>
        <w:t>年1月1日以来</w:t>
      </w:r>
      <w:r>
        <w:rPr>
          <w:rFonts w:hint="eastAsia" w:ascii="宋体" w:hAnsi="宋体" w:eastAsia="宋体"/>
          <w:color w:val="FF0000"/>
          <w:sz w:val="24"/>
          <w:szCs w:val="24"/>
          <w:highlight w:val="yellow"/>
        </w:rPr>
        <w:t>格栅机</w:t>
      </w:r>
      <w:r>
        <w:rPr>
          <w:rFonts w:hint="eastAsia" w:ascii="宋体" w:hAnsi="宋体" w:eastAsia="宋体"/>
          <w:color w:val="FF0000"/>
          <w:sz w:val="24"/>
          <w:szCs w:val="24"/>
          <w:highlight w:val="yellow"/>
          <w:lang w:eastAsia="zh-CN"/>
        </w:rPr>
        <w:t>设备日常巡查及保养</w:t>
      </w:r>
      <w:r>
        <w:rPr>
          <w:rFonts w:hint="eastAsia" w:ascii="宋体" w:hAnsi="宋体" w:eastAsia="宋体"/>
          <w:sz w:val="24"/>
          <w:szCs w:val="24"/>
        </w:rPr>
        <w:t>业绩</w:t>
      </w:r>
      <w:r>
        <w:rPr>
          <w:rFonts w:ascii="宋体" w:hAnsi="宋体" w:eastAsia="宋体"/>
          <w:sz w:val="24"/>
          <w:szCs w:val="24"/>
        </w:rPr>
        <w:t>一览表</w:t>
      </w:r>
      <w:bookmarkEnd w:id="57"/>
    </w:p>
    <w:tbl>
      <w:tblPr>
        <w:tblStyle w:val="49"/>
        <w:tblW w:w="93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06"/>
        <w:gridCol w:w="2434"/>
        <w:gridCol w:w="1800"/>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88" w:type="dxa"/>
            <w:vAlign w:val="center"/>
          </w:tcPr>
          <w:p>
            <w:pPr>
              <w:jc w:val="center"/>
              <w:rPr>
                <w:rFonts w:ascii="Arial" w:hAnsi="Arial" w:cs="Arial"/>
                <w:b/>
                <w:bCs/>
              </w:rPr>
            </w:pPr>
            <w:r>
              <w:rPr>
                <w:rFonts w:ascii="Arial" w:hAnsi="宋体" w:cs="Arial"/>
                <w:b/>
                <w:bCs/>
              </w:rPr>
              <w:t>项目名称</w:t>
            </w:r>
          </w:p>
        </w:tc>
        <w:tc>
          <w:tcPr>
            <w:tcW w:w="1706" w:type="dxa"/>
            <w:vAlign w:val="center"/>
          </w:tcPr>
          <w:p>
            <w:pPr>
              <w:jc w:val="center"/>
              <w:rPr>
                <w:rFonts w:ascii="Arial" w:hAnsi="Arial" w:cs="Arial"/>
                <w:b/>
                <w:bCs/>
              </w:rPr>
            </w:pPr>
            <w:r>
              <w:rPr>
                <w:rFonts w:ascii="Arial" w:hAnsi="宋体" w:cs="Arial"/>
                <w:b/>
                <w:bCs/>
              </w:rPr>
              <w:t>简要描述</w:t>
            </w:r>
          </w:p>
        </w:tc>
        <w:tc>
          <w:tcPr>
            <w:tcW w:w="2434" w:type="dxa"/>
            <w:vAlign w:val="center"/>
          </w:tcPr>
          <w:p>
            <w:pPr>
              <w:jc w:val="center"/>
              <w:rPr>
                <w:rFonts w:ascii="Arial" w:hAnsi="Arial" w:cs="Arial"/>
                <w:b/>
                <w:bCs/>
              </w:rPr>
            </w:pPr>
            <w:r>
              <w:rPr>
                <w:rFonts w:ascii="Arial" w:hAnsi="宋体" w:cs="Arial"/>
                <w:b/>
                <w:bCs/>
              </w:rPr>
              <w:t>地址、联系电话</w:t>
            </w:r>
          </w:p>
        </w:tc>
        <w:tc>
          <w:tcPr>
            <w:tcW w:w="1800" w:type="dxa"/>
            <w:vAlign w:val="center"/>
          </w:tcPr>
          <w:p>
            <w:pPr>
              <w:jc w:val="center"/>
              <w:rPr>
                <w:rFonts w:ascii="Arial" w:hAnsi="Arial" w:cs="Arial"/>
                <w:b/>
                <w:bCs/>
              </w:rPr>
            </w:pPr>
            <w:r>
              <w:rPr>
                <w:rFonts w:hint="eastAsia" w:ascii="Arial" w:hAnsi="宋体" w:cs="Arial"/>
                <w:b/>
                <w:bCs/>
              </w:rPr>
              <w:t>合同金额</w:t>
            </w:r>
          </w:p>
        </w:tc>
        <w:tc>
          <w:tcPr>
            <w:tcW w:w="1294" w:type="dxa"/>
            <w:vAlign w:val="center"/>
          </w:tcPr>
          <w:p>
            <w:pPr>
              <w:jc w:val="center"/>
              <w:rPr>
                <w:rFonts w:ascii="Arial" w:hAnsi="Arial" w:cs="Arial"/>
                <w:b/>
                <w:bCs/>
              </w:rPr>
            </w:pPr>
            <w:r>
              <w:rPr>
                <w:rFonts w:hint="eastAsia" w:ascii="Arial" w:hAnsi="宋体" w:cs="Arial"/>
                <w:b/>
                <w:bCs/>
              </w:rPr>
              <w:t>合同</w:t>
            </w:r>
            <w:r>
              <w:rPr>
                <w:rFonts w:ascii="Arial" w:hAnsi="宋体" w:cs="Arial"/>
                <w:b/>
                <w:bCs/>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bl>
    <w:p>
      <w:pPr>
        <w:tabs>
          <w:tab w:val="left" w:pos="7380"/>
        </w:tabs>
        <w:spacing w:line="320" w:lineRule="exact"/>
        <w:rPr>
          <w:rFonts w:ascii="Arial" w:hAnsi="宋体" w:cs="Arial"/>
        </w:rPr>
      </w:pPr>
      <w:r>
        <w:rPr>
          <w:rFonts w:hint="eastAsia" w:ascii="Arial" w:hAnsi="宋体" w:cs="Arial"/>
        </w:rPr>
        <w:t>注：投标供应商2020年1月1日（以合同签订时间为准）以来的泵站格栅机</w:t>
      </w:r>
      <w:r>
        <w:rPr>
          <w:rFonts w:hint="eastAsia" w:ascii="Arial" w:hAnsi="宋体" w:cs="Arial"/>
          <w:lang w:eastAsia="zh-CN"/>
        </w:rPr>
        <w:t>设备日常巡查及保养</w:t>
      </w:r>
      <w:r>
        <w:rPr>
          <w:rFonts w:hint="eastAsia" w:ascii="Arial" w:hAnsi="宋体" w:cs="Arial"/>
        </w:rPr>
        <w:t>业绩（单项合同额</w:t>
      </w:r>
      <w:r>
        <w:rPr>
          <w:rFonts w:hint="eastAsia" w:ascii="Arial" w:hAnsi="宋体" w:cs="Arial"/>
          <w:b/>
        </w:rPr>
        <w:t>20万</w:t>
      </w:r>
      <w:r>
        <w:rPr>
          <w:rFonts w:hint="eastAsia" w:ascii="Arial" w:hAnsi="宋体" w:cs="Arial"/>
        </w:rPr>
        <w:t>及以上），须提供合同和（验收报告或用户评价证明）复印件，否则不予计分。（如为单价合同，还须提供该份合同供货期内有效发票复印件，发票总额≥</w:t>
      </w:r>
      <w:r>
        <w:rPr>
          <w:rFonts w:hint="eastAsia" w:ascii="Arial" w:hAnsi="宋体" w:cs="Arial"/>
          <w:b/>
        </w:rPr>
        <w:t>20万元</w:t>
      </w:r>
      <w:r>
        <w:rPr>
          <w:rFonts w:hint="eastAsia" w:ascii="Arial" w:hAnsi="宋体" w:cs="Arial"/>
        </w:rPr>
        <w:t>）。</w:t>
      </w:r>
    </w:p>
    <w:p>
      <w:pPr>
        <w:tabs>
          <w:tab w:val="left" w:pos="7380"/>
        </w:tabs>
        <w:spacing w:line="320" w:lineRule="exact"/>
        <w:rPr>
          <w:rFonts w:ascii="Arial" w:hAnsi="宋体" w:cs="Arial"/>
        </w:rPr>
      </w:pPr>
    </w:p>
    <w:p>
      <w:pPr>
        <w:tabs>
          <w:tab w:val="left" w:pos="7380"/>
        </w:tabs>
        <w:spacing w:line="320" w:lineRule="exact"/>
        <w:rPr>
          <w:rFonts w:ascii="Arial" w:hAnsi="宋体" w:cs="Arial"/>
        </w:rPr>
      </w:pPr>
    </w:p>
    <w:p>
      <w:pPr>
        <w:spacing w:line="400" w:lineRule="exact"/>
        <w:ind w:firstLine="4305" w:firstLineChars="2050"/>
        <w:rPr>
          <w:rFonts w:ascii="Arial" w:hAnsi="宋体" w:cs="Arial"/>
          <w:kern w:val="0"/>
          <w:szCs w:val="21"/>
        </w:rPr>
      </w:pPr>
      <w:r>
        <w:rPr>
          <w:rFonts w:ascii="Arial" w:hAnsi="宋体" w:cs="Arial"/>
          <w:kern w:val="0"/>
          <w:szCs w:val="21"/>
        </w:rPr>
        <w:t>投标供应商</w:t>
      </w:r>
      <w:r>
        <w:rPr>
          <w:rFonts w:hint="eastAsia" w:ascii="Arial" w:hAnsi="宋体" w:cs="Arial"/>
          <w:kern w:val="0"/>
          <w:szCs w:val="21"/>
        </w:rPr>
        <w:t>全称</w:t>
      </w:r>
      <w:r>
        <w:rPr>
          <w:rFonts w:ascii="Arial" w:hAnsi="宋体" w:cs="Arial"/>
          <w:kern w:val="0"/>
          <w:szCs w:val="21"/>
        </w:rPr>
        <w:t>（</w:t>
      </w:r>
      <w:r>
        <w:rPr>
          <w:rFonts w:hint="eastAsia" w:ascii="Arial" w:hAnsi="宋体" w:cs="Arial"/>
          <w:kern w:val="0"/>
          <w:szCs w:val="21"/>
        </w:rPr>
        <w:t>公</w:t>
      </w:r>
      <w:r>
        <w:rPr>
          <w:rFonts w:ascii="Arial" w:hAnsi="宋体" w:cs="Arial"/>
          <w:kern w:val="0"/>
          <w:szCs w:val="21"/>
        </w:rPr>
        <w:t>章）：</w:t>
      </w:r>
    </w:p>
    <w:p>
      <w:pPr>
        <w:spacing w:line="400" w:lineRule="exact"/>
        <w:ind w:firstLine="4353" w:firstLineChars="2073"/>
        <w:rPr>
          <w:rFonts w:ascii="Arial" w:hAnsi="宋体"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pStyle w:val="6"/>
        <w:jc w:val="center"/>
        <w:rPr>
          <w:rFonts w:cs="Arial"/>
          <w:b w:val="0"/>
          <w:bCs w:val="0"/>
        </w:rPr>
      </w:pPr>
      <w:bookmarkStart w:id="59" w:name="_Toc1716"/>
      <w:r>
        <w:rPr>
          <w:rFonts w:hint="eastAsia" w:ascii="宋体" w:hAnsi="宋体" w:eastAsia="宋体"/>
          <w:sz w:val="24"/>
          <w:szCs w:val="24"/>
        </w:rPr>
        <w:br w:type="page"/>
      </w:r>
      <w:bookmarkEnd w:id="59"/>
      <w:bookmarkStart w:id="60" w:name="_Toc3794"/>
      <w:bookmarkStart w:id="61" w:name="_Toc388974306"/>
      <w:bookmarkStart w:id="62" w:name="_Toc15511"/>
      <w:bookmarkStart w:id="63" w:name="_Toc412788178"/>
      <w:r>
        <w:rPr>
          <w:rFonts w:hint="eastAsia" w:ascii="宋体" w:hAnsi="宋体" w:eastAsia="宋体"/>
          <w:sz w:val="24"/>
          <w:szCs w:val="24"/>
        </w:rPr>
        <w:t>附件8</w:t>
      </w:r>
      <w:r>
        <w:rPr>
          <w:rFonts w:ascii="宋体" w:hAnsi="宋体" w:eastAsia="宋体"/>
          <w:sz w:val="24"/>
          <w:szCs w:val="24"/>
        </w:rPr>
        <w:t xml:space="preserve">  技术（或商务）偏离表</w:t>
      </w:r>
      <w:bookmarkEnd w:id="60"/>
      <w:bookmarkEnd w:id="61"/>
      <w:bookmarkEnd w:id="62"/>
      <w:bookmarkEnd w:id="63"/>
    </w:p>
    <w:p>
      <w:pPr>
        <w:jc w:val="center"/>
        <w:rPr>
          <w:rFonts w:hAnsi="Arial"/>
        </w:rPr>
      </w:pPr>
      <w:r>
        <w:t>（商务和技术须分别填写）</w:t>
      </w:r>
    </w:p>
    <w:tbl>
      <w:tblPr>
        <w:tblStyle w:val="49"/>
        <w:tblW w:w="9356"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3" w:type="dxa"/>
            <w:vAlign w:val="center"/>
          </w:tcPr>
          <w:p>
            <w:pPr>
              <w:jc w:val="center"/>
              <w:rPr>
                <w:rFonts w:ascii="Arial" w:hAnsi="Arial" w:cs="Arial"/>
                <w:b/>
                <w:bCs/>
              </w:rPr>
            </w:pPr>
            <w:r>
              <w:rPr>
                <w:rFonts w:ascii="Arial" w:hAnsi="宋体" w:cs="Arial"/>
                <w:b/>
                <w:bCs/>
              </w:rPr>
              <w:t>序号</w:t>
            </w:r>
          </w:p>
        </w:tc>
        <w:tc>
          <w:tcPr>
            <w:tcW w:w="4181" w:type="dxa"/>
            <w:vAlign w:val="center"/>
          </w:tcPr>
          <w:p>
            <w:pPr>
              <w:jc w:val="center"/>
              <w:rPr>
                <w:rFonts w:ascii="Arial" w:hAnsi="Arial" w:cs="Arial"/>
                <w:b/>
                <w:bCs/>
              </w:rPr>
            </w:pPr>
            <w:r>
              <w:rPr>
                <w:rFonts w:ascii="Arial" w:hAnsi="宋体" w:cs="Arial"/>
                <w:b/>
                <w:bCs/>
              </w:rPr>
              <w:t>招标文件重述</w:t>
            </w:r>
          </w:p>
        </w:tc>
        <w:tc>
          <w:tcPr>
            <w:tcW w:w="4182" w:type="dxa"/>
            <w:vAlign w:val="center"/>
          </w:tcPr>
          <w:p>
            <w:pPr>
              <w:jc w:val="center"/>
              <w:rPr>
                <w:rFonts w:ascii="Arial" w:hAnsi="Arial" w:cs="Arial"/>
                <w:b/>
                <w:bCs/>
              </w:rPr>
            </w:pPr>
            <w:r>
              <w:rPr>
                <w:rFonts w:ascii="Arial" w:hAnsi="宋体" w:cs="Arial"/>
                <w:b/>
                <w:bCs/>
              </w:rPr>
              <w:t>投标供应商偏离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5" w:hRule="atLeast"/>
        </w:trPr>
        <w:tc>
          <w:tcPr>
            <w:tcW w:w="993" w:type="dxa"/>
          </w:tcPr>
          <w:p>
            <w:pPr>
              <w:ind w:firstLine="592"/>
              <w:jc w:val="left"/>
              <w:rPr>
                <w:rFonts w:ascii="Arial" w:hAnsi="Arial" w:cs="Arial"/>
              </w:rPr>
            </w:pPr>
          </w:p>
        </w:tc>
        <w:tc>
          <w:tcPr>
            <w:tcW w:w="4181" w:type="dxa"/>
          </w:tcPr>
          <w:p>
            <w:pPr>
              <w:ind w:firstLine="592"/>
              <w:jc w:val="left"/>
              <w:rPr>
                <w:rFonts w:ascii="Arial" w:hAnsi="Arial" w:cs="Arial"/>
              </w:rPr>
            </w:pPr>
          </w:p>
        </w:tc>
        <w:tc>
          <w:tcPr>
            <w:tcW w:w="4182" w:type="dxa"/>
          </w:tcPr>
          <w:p>
            <w:pPr>
              <w:ind w:firstLine="592"/>
              <w:jc w:val="left"/>
              <w:rPr>
                <w:rFonts w:ascii="Arial" w:hAnsi="Arial" w:cs="Arial"/>
              </w:rPr>
            </w:pPr>
          </w:p>
        </w:tc>
      </w:tr>
    </w:tbl>
    <w:p>
      <w:pPr>
        <w:spacing w:before="468" w:beforeLines="150" w:after="156" w:afterLines="50" w:line="360" w:lineRule="auto"/>
        <w:rPr>
          <w:rFonts w:ascii="Arial" w:hAnsi="Arial" w:cs="Arial"/>
        </w:rPr>
      </w:pPr>
      <w:r>
        <w:rPr>
          <w:rFonts w:ascii="Arial" w:hAnsi="宋体" w:cs="Arial"/>
          <w:snapToGrid w:val="0"/>
          <w:kern w:val="0"/>
        </w:rPr>
        <w:t>注：如不填写，则视为完全响应招标文件的技术及商务要求</w:t>
      </w:r>
      <w:r>
        <w:rPr>
          <w:rFonts w:ascii="Arial" w:hAnsi="宋体" w:cs="Arial"/>
        </w:rPr>
        <w:t>。</w:t>
      </w:r>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Arial"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pStyle w:val="6"/>
        <w:jc w:val="center"/>
        <w:rPr>
          <w:rFonts w:hAnsi="宋体" w:cs="Arial"/>
          <w:szCs w:val="22"/>
        </w:rPr>
      </w:pPr>
      <w:bookmarkStart w:id="64" w:name="_Toc420077694"/>
      <w:bookmarkStart w:id="65" w:name="_Toc15687"/>
      <w:r>
        <w:rPr>
          <w:rFonts w:hint="eastAsia" w:ascii="宋体" w:hAnsi="宋体" w:eastAsia="宋体"/>
          <w:sz w:val="24"/>
          <w:szCs w:val="24"/>
        </w:rPr>
        <w:br w:type="page"/>
      </w:r>
      <w:bookmarkStart w:id="66" w:name="_Toc18697"/>
      <w:r>
        <w:rPr>
          <w:rFonts w:hint="eastAsia" w:ascii="宋体" w:hAnsi="宋体" w:eastAsia="宋体"/>
          <w:sz w:val="24"/>
          <w:szCs w:val="24"/>
        </w:rPr>
        <w:t xml:space="preserve">附件9  </w:t>
      </w:r>
      <w:r>
        <w:rPr>
          <w:rFonts w:hint="eastAsia" w:hAnsi="宋体" w:cs="Arial"/>
          <w:szCs w:val="22"/>
        </w:rPr>
        <w:t>参加国有企业采购活动前3年内在经营活动中有/无重大违法记录（包括行贿犯罪记录）的书面声明</w:t>
      </w:r>
      <w:bookmarkEnd w:id="66"/>
    </w:p>
    <w:tbl>
      <w:tblPr>
        <w:tblStyle w:val="4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trPr>
        <w:tc>
          <w:tcPr>
            <w:tcW w:w="1937" w:type="dxa"/>
            <w:vAlign w:val="center"/>
          </w:tcPr>
          <w:p>
            <w:r>
              <w:rPr>
                <w:rFonts w:hint="eastAsia" w:ascii="Arial" w:hAnsi="宋体" w:cs="Arial"/>
                <w:szCs w:val="22"/>
              </w:rPr>
              <w:t>参加国有企业采购活动前3年内重大违法记录的书面声明</w:t>
            </w:r>
          </w:p>
        </w:tc>
        <w:tc>
          <w:tcPr>
            <w:tcW w:w="73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937" w:type="dxa"/>
            <w:vAlign w:val="center"/>
          </w:tcPr>
          <w:p>
            <w:r>
              <w:rPr>
                <w:rFonts w:hint="eastAsia" w:ascii="Arial" w:hAnsi="宋体" w:cs="Arial"/>
                <w:szCs w:val="22"/>
              </w:rPr>
              <w:t>参加国有企业采购活动前3年内行贿犯罪记录的书面声明</w:t>
            </w:r>
          </w:p>
        </w:tc>
        <w:tc>
          <w:tcPr>
            <w:tcW w:w="7349" w:type="dxa"/>
          </w:tcPr>
          <w:p/>
        </w:tc>
      </w:tr>
    </w:tbl>
    <w:p>
      <w:r>
        <w:rPr>
          <w:rFonts w:hint="eastAsia"/>
        </w:rPr>
        <w:t>备注：参加国有企业采购活动的时间是指供应商参加本项目的国有企业采购活动时间为准（具体以投标截止时间为准）</w:t>
      </w:r>
    </w:p>
    <w:p/>
    <w:p/>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Arial" w:cs="Arial"/>
          <w:kern w:val="0"/>
          <w:szCs w:val="21"/>
        </w:rPr>
      </w:pPr>
      <w:r>
        <w:rPr>
          <w:rFonts w:ascii="Arial" w:hAnsi="宋体" w:cs="Arial"/>
          <w:kern w:val="0"/>
          <w:szCs w:val="21"/>
        </w:rPr>
        <w:t>法定代表人或授权代表（签字或盖章）：</w:t>
      </w:r>
    </w:p>
    <w:p>
      <w:pPr>
        <w:jc w:val="center"/>
      </w:pPr>
      <w:r>
        <w:rPr>
          <w:rFonts w:hint="eastAsia" w:ascii="Arial" w:hAnsi="宋体" w:cs="Arial"/>
          <w:kern w:val="0"/>
          <w:szCs w:val="21"/>
        </w:rPr>
        <w:t xml:space="preserve">   </w:t>
      </w:r>
      <w:r>
        <w:rPr>
          <w:rFonts w:ascii="Arial" w:hAnsi="宋体" w:cs="Arial"/>
          <w:kern w:val="0"/>
          <w:szCs w:val="21"/>
        </w:rPr>
        <w:t>日期：</w:t>
      </w:r>
    </w:p>
    <w:p>
      <w:r>
        <w:rPr>
          <w:rFonts w:hint="eastAsia"/>
        </w:rPr>
        <w:br w:type="page"/>
      </w:r>
    </w:p>
    <w:p>
      <w:pPr>
        <w:pStyle w:val="6"/>
        <w:jc w:val="center"/>
        <w:rPr>
          <w:rFonts w:ascii="宋体" w:hAnsi="宋体" w:eastAsia="宋体"/>
          <w:szCs w:val="24"/>
        </w:rPr>
      </w:pPr>
      <w:bookmarkStart w:id="67" w:name="_Toc7951"/>
      <w:r>
        <w:rPr>
          <w:rFonts w:hint="eastAsia" w:ascii="宋体" w:hAnsi="宋体" w:eastAsia="宋体"/>
          <w:szCs w:val="24"/>
        </w:rPr>
        <w:t>附件</w:t>
      </w:r>
      <w:r>
        <w:rPr>
          <w:rFonts w:ascii="宋体" w:hAnsi="宋体" w:eastAsia="宋体"/>
          <w:szCs w:val="24"/>
        </w:rPr>
        <w:t>1</w:t>
      </w:r>
      <w:r>
        <w:rPr>
          <w:rFonts w:hint="eastAsia" w:ascii="宋体" w:hAnsi="宋体" w:eastAsia="宋体"/>
          <w:szCs w:val="24"/>
        </w:rPr>
        <w:t xml:space="preserve">0  </w:t>
      </w:r>
      <w:bookmarkEnd w:id="64"/>
      <w:bookmarkEnd w:id="65"/>
      <w:r>
        <w:rPr>
          <w:rFonts w:hint="eastAsia" w:ascii="宋体" w:hAnsi="宋体" w:eastAsia="宋体"/>
          <w:szCs w:val="24"/>
        </w:rPr>
        <w:t>投标人服务、售后服务承诺</w:t>
      </w:r>
      <w:bookmarkEnd w:id="67"/>
    </w:p>
    <w:p>
      <w:pPr>
        <w:spacing w:line="400" w:lineRule="exact"/>
        <w:ind w:firstLine="525" w:firstLineChars="250"/>
        <w:rPr>
          <w:rFonts w:ascii="Arial" w:hAnsi="Arial" w:cs="Arial"/>
          <w:snapToGrid w:val="0"/>
          <w:szCs w:val="21"/>
        </w:rPr>
        <w:sectPr>
          <w:pgSz w:w="11906" w:h="16838"/>
          <w:pgMar w:top="1244" w:right="1418" w:bottom="1134" w:left="1418" w:header="680"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Arial" w:hAnsi="Arial" w:cs="Arial"/>
          <w:snapToGrid w:val="0"/>
          <w:szCs w:val="21"/>
        </w:rPr>
        <w:t>包括：技术服务内容、售后服务承诺、故障响应时间等</w:t>
      </w:r>
    </w:p>
    <w:bookmarkEnd w:id="58"/>
    <w:p>
      <w:pPr>
        <w:pStyle w:val="21"/>
        <w:spacing w:after="50" w:line="360" w:lineRule="auto"/>
        <w:ind w:firstLine="0"/>
        <w:jc w:val="center"/>
        <w:outlineLvl w:val="0"/>
        <w:rPr>
          <w:rFonts w:ascii="Arial" w:hAnsi="宋体" w:cs="Arial"/>
          <w:b/>
          <w:bCs/>
          <w:szCs w:val="28"/>
        </w:rPr>
      </w:pPr>
      <w:bookmarkStart w:id="68" w:name="_Toc2731"/>
      <w:r>
        <w:rPr>
          <w:rFonts w:ascii="Arial" w:hAnsi="宋体" w:cs="Arial"/>
          <w:b/>
          <w:bCs/>
          <w:szCs w:val="28"/>
        </w:rPr>
        <w:t>第六部分  评标办法</w:t>
      </w:r>
      <w:bookmarkEnd w:id="68"/>
    </w:p>
    <w:p>
      <w:pPr>
        <w:pStyle w:val="6"/>
        <w:spacing w:before="160" w:after="160" w:line="240" w:lineRule="auto"/>
        <w:jc w:val="center"/>
        <w:rPr>
          <w:rFonts w:ascii="宋体" w:hAnsi="宋体" w:eastAsia="宋体"/>
          <w:sz w:val="21"/>
          <w:szCs w:val="21"/>
        </w:rPr>
      </w:pPr>
      <w:bookmarkStart w:id="69" w:name="_Toc19388"/>
      <w:bookmarkStart w:id="70" w:name="_Toc415077912"/>
      <w:bookmarkStart w:id="71" w:name="_Toc399178346"/>
      <w:bookmarkStart w:id="72" w:name="_Toc412788181"/>
      <w:bookmarkStart w:id="73" w:name="_Toc388974315"/>
      <w:r>
        <w:rPr>
          <w:rFonts w:ascii="宋体" w:hAnsi="宋体" w:eastAsia="宋体"/>
          <w:sz w:val="21"/>
          <w:szCs w:val="21"/>
        </w:rPr>
        <w:t>（一）总则</w:t>
      </w:r>
      <w:bookmarkEnd w:id="69"/>
      <w:bookmarkEnd w:id="70"/>
      <w:bookmarkEnd w:id="71"/>
      <w:bookmarkEnd w:id="72"/>
      <w:bookmarkEnd w:id="73"/>
    </w:p>
    <w:p>
      <w:pPr>
        <w:tabs>
          <w:tab w:val="left" w:pos="9180"/>
        </w:tabs>
        <w:spacing w:line="440" w:lineRule="exact"/>
        <w:ind w:firstLine="420" w:firstLineChars="200"/>
        <w:rPr>
          <w:rFonts w:ascii="Arial" w:hAnsi="Arial" w:cs="Arial"/>
          <w:snapToGrid w:val="0"/>
          <w:kern w:val="0"/>
        </w:rPr>
      </w:pPr>
      <w:r>
        <w:rPr>
          <w:rFonts w:ascii="Arial" w:hAnsi="宋体" w:cs="Arial"/>
          <w:szCs w:val="21"/>
        </w:rPr>
        <w:t>根据《瑞安市国有企业采购管理办法（试行）》、《评标委员会和评标方法暂行规定》和浙江省及项目所在地的有关招投标规定，结合本项目的实际，按照公平、公正、科学、择优的原则选择中标单位，特制定本评标办法</w:t>
      </w:r>
      <w:r>
        <w:rPr>
          <w:rFonts w:ascii="Arial" w:hAnsi="宋体" w:cs="Arial"/>
          <w:snapToGrid w:val="0"/>
          <w:kern w:val="0"/>
          <w:szCs w:val="21"/>
        </w:rPr>
        <w:t>。</w:t>
      </w:r>
    </w:p>
    <w:p>
      <w:pPr>
        <w:pStyle w:val="6"/>
        <w:spacing w:before="160" w:after="160" w:line="240" w:lineRule="auto"/>
        <w:jc w:val="center"/>
        <w:rPr>
          <w:rFonts w:ascii="宋体" w:hAnsi="宋体" w:eastAsia="宋体"/>
          <w:sz w:val="21"/>
          <w:szCs w:val="21"/>
        </w:rPr>
      </w:pPr>
      <w:bookmarkStart w:id="74" w:name="_Toc22027"/>
      <w:bookmarkStart w:id="75" w:name="_Toc399178347"/>
      <w:bookmarkStart w:id="76" w:name="_Toc412788182"/>
      <w:bookmarkStart w:id="77" w:name="_Toc415077913"/>
      <w:bookmarkStart w:id="78" w:name="_Toc388974316"/>
      <w:r>
        <w:rPr>
          <w:rFonts w:ascii="宋体" w:hAnsi="宋体" w:eastAsia="宋体"/>
          <w:sz w:val="21"/>
          <w:szCs w:val="21"/>
        </w:rPr>
        <w:t>（二）评标组织</w:t>
      </w:r>
      <w:bookmarkEnd w:id="74"/>
      <w:bookmarkEnd w:id="75"/>
      <w:bookmarkEnd w:id="76"/>
      <w:bookmarkEnd w:id="77"/>
      <w:bookmarkEnd w:id="78"/>
    </w:p>
    <w:p>
      <w:pPr>
        <w:tabs>
          <w:tab w:val="left" w:pos="9180"/>
        </w:tabs>
        <w:spacing w:line="440" w:lineRule="exact"/>
        <w:ind w:firstLine="420" w:firstLineChars="200"/>
        <w:rPr>
          <w:rFonts w:ascii="Arial" w:hAnsi="Arial" w:cs="Arial"/>
          <w:snapToGrid w:val="0"/>
          <w:kern w:val="0"/>
          <w:szCs w:val="21"/>
        </w:rPr>
      </w:pPr>
      <w:r>
        <w:rPr>
          <w:rFonts w:ascii="Arial" w:hAnsi="宋体" w:cs="Arial"/>
          <w:snapToGrid w:val="0"/>
          <w:kern w:val="0"/>
          <w:szCs w:val="21"/>
        </w:rPr>
        <w:t>评标工作由招标人依法组建的评标委员会（评标专家组）负责，评标委员会成员为</w:t>
      </w:r>
      <w:r>
        <w:rPr>
          <w:rFonts w:ascii="Arial" w:hAnsi="Arial" w:cs="Arial"/>
          <w:snapToGrid w:val="0"/>
          <w:kern w:val="0"/>
          <w:szCs w:val="21"/>
        </w:rPr>
        <w:t>5</w:t>
      </w:r>
      <w:r>
        <w:rPr>
          <w:rFonts w:ascii="Arial" w:hAnsi="宋体" w:cs="Arial"/>
          <w:snapToGrid w:val="0"/>
          <w:kern w:val="0"/>
          <w:szCs w:val="21"/>
        </w:rPr>
        <w:t>人及以上单数，其中三分之二以上的成员为技术、经济类专家。评标委员会的决定，应符合有关法律、法规和规章，并按少数服从多数的原则产生。由有关监督部门监督整个开标、评标和决标全过程。</w:t>
      </w:r>
    </w:p>
    <w:p>
      <w:pPr>
        <w:pStyle w:val="6"/>
        <w:spacing w:before="160" w:after="160" w:line="240" w:lineRule="auto"/>
        <w:jc w:val="center"/>
        <w:rPr>
          <w:rFonts w:ascii="宋体" w:hAnsi="宋体" w:eastAsia="宋体"/>
          <w:sz w:val="21"/>
          <w:szCs w:val="21"/>
        </w:rPr>
      </w:pPr>
      <w:bookmarkStart w:id="79" w:name="_Toc412788183"/>
      <w:bookmarkStart w:id="80" w:name="_Toc388974317"/>
      <w:bookmarkStart w:id="81" w:name="_Toc777"/>
      <w:bookmarkStart w:id="82" w:name="_Toc399178348"/>
      <w:bookmarkStart w:id="83" w:name="_Toc415077914"/>
      <w:r>
        <w:rPr>
          <w:rFonts w:ascii="宋体" w:hAnsi="宋体" w:eastAsia="宋体"/>
          <w:sz w:val="21"/>
          <w:szCs w:val="21"/>
        </w:rPr>
        <w:t>（三）开、评标程序及办法</w:t>
      </w:r>
      <w:bookmarkEnd w:id="79"/>
      <w:bookmarkEnd w:id="80"/>
      <w:bookmarkEnd w:id="81"/>
      <w:bookmarkEnd w:id="82"/>
      <w:bookmarkEnd w:id="83"/>
    </w:p>
    <w:bookmarkEnd w:id="32"/>
    <w:bookmarkEnd w:id="33"/>
    <w:p>
      <w:pPr>
        <w:pStyle w:val="21"/>
        <w:widowControl/>
        <w:numPr>
          <w:ilvl w:val="0"/>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开标程序：</w:t>
      </w:r>
    </w:p>
    <w:p>
      <w:pPr>
        <w:pStyle w:val="21"/>
        <w:widowControl/>
        <w:numPr>
          <w:ilvl w:val="1"/>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本次开标先开启投标供应商的</w:t>
      </w:r>
      <w:r>
        <w:rPr>
          <w:rFonts w:hint="eastAsia" w:ascii="Arial" w:hAnsi="宋体" w:cs="Arial"/>
          <w:snapToGrid w:val="0"/>
          <w:kern w:val="0"/>
          <w:sz w:val="21"/>
          <w:szCs w:val="21"/>
        </w:rPr>
        <w:t>资信技术标</w:t>
      </w:r>
      <w:r>
        <w:rPr>
          <w:rFonts w:ascii="Arial" w:hAnsi="宋体" w:cs="Arial"/>
          <w:snapToGrid w:val="0"/>
          <w:kern w:val="0"/>
          <w:sz w:val="21"/>
          <w:szCs w:val="21"/>
        </w:rPr>
        <w:t>，交由评标委员会评审。</w:t>
      </w:r>
      <w:r>
        <w:rPr>
          <w:rFonts w:hint="eastAsia" w:ascii="Arial" w:hAnsi="宋体" w:cs="Arial"/>
          <w:snapToGrid w:val="0"/>
          <w:kern w:val="0"/>
          <w:sz w:val="21"/>
          <w:szCs w:val="21"/>
        </w:rPr>
        <w:t>先进行符合性检查及</w:t>
      </w:r>
      <w:r>
        <w:rPr>
          <w:rFonts w:ascii="Arial" w:hAnsi="宋体" w:cs="Arial"/>
          <w:snapToGrid w:val="0"/>
          <w:kern w:val="0"/>
          <w:sz w:val="21"/>
          <w:szCs w:val="21"/>
        </w:rPr>
        <w:t>资格性检查</w:t>
      </w:r>
      <w:r>
        <w:rPr>
          <w:rFonts w:hint="eastAsia" w:ascii="Arial" w:hAnsi="宋体" w:cs="Arial"/>
          <w:snapToGrid w:val="0"/>
          <w:kern w:val="0"/>
          <w:sz w:val="21"/>
          <w:szCs w:val="21"/>
        </w:rPr>
        <w:t>，</w:t>
      </w:r>
      <w:r>
        <w:rPr>
          <w:rFonts w:ascii="Arial" w:hAnsi="宋体" w:cs="Arial"/>
          <w:snapToGrid w:val="0"/>
          <w:kern w:val="0"/>
          <w:sz w:val="21"/>
          <w:szCs w:val="21"/>
        </w:rPr>
        <w:t>未通过</w:t>
      </w:r>
      <w:r>
        <w:rPr>
          <w:rFonts w:hint="eastAsia" w:ascii="Arial" w:hAnsi="宋体" w:cs="Arial"/>
          <w:snapToGrid w:val="0"/>
          <w:kern w:val="0"/>
          <w:sz w:val="21"/>
          <w:szCs w:val="21"/>
        </w:rPr>
        <w:t>符合性检查及</w:t>
      </w:r>
      <w:r>
        <w:rPr>
          <w:rFonts w:ascii="Arial" w:hAnsi="宋体" w:cs="Arial"/>
          <w:snapToGrid w:val="0"/>
          <w:kern w:val="0"/>
          <w:sz w:val="21"/>
          <w:szCs w:val="21"/>
        </w:rPr>
        <w:t>资格性检查</w:t>
      </w:r>
      <w:r>
        <w:rPr>
          <w:rFonts w:hint="eastAsia" w:ascii="Arial" w:hAnsi="宋体" w:cs="Arial"/>
          <w:snapToGrid w:val="0"/>
          <w:kern w:val="0"/>
          <w:sz w:val="21"/>
          <w:szCs w:val="21"/>
        </w:rPr>
        <w:t>的</w:t>
      </w:r>
      <w:r>
        <w:rPr>
          <w:rFonts w:ascii="Arial" w:hAnsi="宋体" w:cs="Arial"/>
          <w:snapToGrid w:val="0"/>
          <w:kern w:val="0"/>
          <w:sz w:val="21"/>
          <w:szCs w:val="21"/>
        </w:rPr>
        <w:t>投标供应商</w:t>
      </w:r>
      <w:r>
        <w:rPr>
          <w:rFonts w:hint="eastAsia" w:ascii="Arial" w:hAnsi="宋体" w:cs="Arial"/>
          <w:snapToGrid w:val="0"/>
          <w:kern w:val="0"/>
          <w:sz w:val="21"/>
          <w:szCs w:val="21"/>
        </w:rPr>
        <w:t>不进入后续资信技术标的</w:t>
      </w:r>
      <w:r>
        <w:rPr>
          <w:rFonts w:ascii="Arial" w:hAnsi="宋体" w:cs="Arial"/>
          <w:snapToGrid w:val="0"/>
          <w:kern w:val="0"/>
          <w:sz w:val="21"/>
          <w:szCs w:val="21"/>
        </w:rPr>
        <w:t>评审。</w:t>
      </w:r>
    </w:p>
    <w:p>
      <w:pPr>
        <w:pStyle w:val="21"/>
        <w:widowControl/>
        <w:numPr>
          <w:ilvl w:val="1"/>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在</w:t>
      </w:r>
      <w:r>
        <w:rPr>
          <w:rFonts w:hint="eastAsia" w:ascii="Arial" w:hAnsi="宋体" w:cs="Arial"/>
          <w:snapToGrid w:val="0"/>
          <w:kern w:val="0"/>
          <w:sz w:val="21"/>
          <w:szCs w:val="21"/>
        </w:rPr>
        <w:t>资信技术标</w:t>
      </w:r>
      <w:r>
        <w:rPr>
          <w:rFonts w:ascii="Arial" w:hAnsi="宋体" w:cs="Arial"/>
          <w:snapToGrid w:val="0"/>
          <w:kern w:val="0"/>
          <w:sz w:val="21"/>
          <w:szCs w:val="21"/>
        </w:rPr>
        <w:t>评审完毕后，当众开启全部投标供应商的商务标，商务标开标时由投标供应商或其推选的代表检查投标文件的密封情况，确认无误后拆封唱标。招标人将当众宣读投标供应商名称、投标</w:t>
      </w:r>
      <w:r>
        <w:rPr>
          <w:rFonts w:hint="eastAsia" w:ascii="Arial" w:hAnsi="宋体" w:cs="Arial"/>
          <w:snapToGrid w:val="0"/>
          <w:kern w:val="0"/>
          <w:sz w:val="21"/>
          <w:szCs w:val="21"/>
        </w:rPr>
        <w:t>综合单价合价</w:t>
      </w:r>
      <w:r>
        <w:rPr>
          <w:rFonts w:ascii="Arial" w:hAnsi="宋体" w:cs="Arial"/>
          <w:snapToGrid w:val="0"/>
          <w:kern w:val="0"/>
          <w:sz w:val="21"/>
          <w:szCs w:val="21"/>
        </w:rPr>
        <w:t>，以及招标人认为合适的其它内容。</w:t>
      </w:r>
      <w:r>
        <w:rPr>
          <w:rFonts w:hint="eastAsia" w:ascii="Arial" w:hAnsi="宋体" w:cs="Arial"/>
          <w:snapToGrid w:val="0"/>
          <w:kern w:val="0"/>
          <w:sz w:val="21"/>
          <w:szCs w:val="21"/>
        </w:rPr>
        <w:t>资信技术标</w:t>
      </w:r>
      <w:r>
        <w:rPr>
          <w:rFonts w:ascii="Arial" w:hAnsi="宋体" w:cs="Arial"/>
          <w:snapToGrid w:val="0"/>
          <w:kern w:val="0"/>
          <w:sz w:val="21"/>
          <w:szCs w:val="21"/>
        </w:rPr>
        <w:t>未通过的投标供应商的商务标不再进行评审。</w:t>
      </w:r>
    </w:p>
    <w:p>
      <w:pPr>
        <w:pStyle w:val="21"/>
        <w:widowControl/>
        <w:numPr>
          <w:ilvl w:val="1"/>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在监督机构代表的监督下，对开标过程的有关内容进行记录，并由投标供应商代表签字确认，存档备查。</w:t>
      </w:r>
    </w:p>
    <w:p>
      <w:pPr>
        <w:pStyle w:val="21"/>
        <w:widowControl/>
        <w:numPr>
          <w:ilvl w:val="0"/>
          <w:numId w:val="26"/>
        </w:numPr>
        <w:autoSpaceDE w:val="0"/>
        <w:autoSpaceDN w:val="0"/>
        <w:spacing w:line="440" w:lineRule="exact"/>
        <w:textAlignment w:val="bottom"/>
        <w:rPr>
          <w:rFonts w:ascii="Arial" w:hAnsi="宋体" w:cs="Arial"/>
          <w:snapToGrid w:val="0"/>
          <w:color w:val="auto"/>
          <w:kern w:val="0"/>
          <w:sz w:val="21"/>
          <w:szCs w:val="21"/>
        </w:rPr>
      </w:pPr>
      <w:r>
        <w:rPr>
          <w:rFonts w:ascii="Arial" w:hAnsi="宋体" w:cs="Arial"/>
          <w:snapToGrid w:val="0"/>
          <w:kern w:val="0"/>
          <w:sz w:val="21"/>
          <w:szCs w:val="21"/>
        </w:rPr>
        <w:t>本次招标评标采用综合评估法</w:t>
      </w:r>
      <w:r>
        <w:rPr>
          <w:rFonts w:hint="eastAsia" w:ascii="Arial" w:hAnsi="宋体" w:cs="Arial"/>
          <w:snapToGrid w:val="0"/>
          <w:kern w:val="0"/>
          <w:sz w:val="21"/>
          <w:szCs w:val="21"/>
        </w:rPr>
        <w:t>，总分为100分</w:t>
      </w:r>
      <w:r>
        <w:rPr>
          <w:rFonts w:hint="eastAsia" w:ascii="Arial" w:hAnsi="宋体" w:cs="Arial"/>
          <w:snapToGrid w:val="0"/>
          <w:color w:val="auto"/>
          <w:kern w:val="0"/>
          <w:sz w:val="21"/>
          <w:szCs w:val="21"/>
        </w:rPr>
        <w:t>，</w:t>
      </w:r>
      <w:r>
        <w:rPr>
          <w:rFonts w:hint="eastAsia" w:ascii="Arial" w:hAnsi="宋体" w:cs="Arial"/>
          <w:b/>
          <w:snapToGrid w:val="0"/>
          <w:color w:val="auto"/>
          <w:kern w:val="0"/>
          <w:sz w:val="21"/>
          <w:szCs w:val="21"/>
        </w:rPr>
        <w:t>其中资信技术标占</w:t>
      </w:r>
      <w:r>
        <w:rPr>
          <w:rFonts w:hint="eastAsia" w:ascii="Arial" w:hAnsi="宋体" w:cs="Arial"/>
          <w:b/>
          <w:snapToGrid w:val="0"/>
          <w:color w:val="auto"/>
          <w:kern w:val="0"/>
          <w:sz w:val="21"/>
          <w:szCs w:val="21"/>
          <w:lang w:val="en-US" w:eastAsia="zh-CN"/>
        </w:rPr>
        <w:t>4</w:t>
      </w:r>
      <w:r>
        <w:rPr>
          <w:rFonts w:hint="eastAsia" w:ascii="Arial" w:hAnsi="宋体" w:cs="Arial"/>
          <w:b/>
          <w:snapToGrid w:val="0"/>
          <w:color w:val="auto"/>
          <w:kern w:val="0"/>
          <w:sz w:val="21"/>
          <w:szCs w:val="21"/>
        </w:rPr>
        <w:t>0分，商务标占</w:t>
      </w:r>
      <w:r>
        <w:rPr>
          <w:rFonts w:hint="eastAsia" w:ascii="Arial" w:hAnsi="宋体" w:cs="Arial"/>
          <w:b/>
          <w:snapToGrid w:val="0"/>
          <w:color w:val="auto"/>
          <w:kern w:val="0"/>
          <w:sz w:val="21"/>
          <w:szCs w:val="21"/>
          <w:lang w:val="en-US" w:eastAsia="zh-CN"/>
        </w:rPr>
        <w:t>6</w:t>
      </w:r>
      <w:r>
        <w:rPr>
          <w:rFonts w:hint="eastAsia" w:ascii="Arial" w:hAnsi="宋体" w:cs="Arial"/>
          <w:b/>
          <w:snapToGrid w:val="0"/>
          <w:color w:val="auto"/>
          <w:kern w:val="0"/>
          <w:sz w:val="21"/>
          <w:szCs w:val="21"/>
        </w:rPr>
        <w:t>0分</w:t>
      </w:r>
      <w:r>
        <w:rPr>
          <w:rFonts w:ascii="Arial" w:hAnsi="宋体" w:cs="Arial"/>
          <w:snapToGrid w:val="0"/>
          <w:color w:val="auto"/>
          <w:kern w:val="0"/>
          <w:sz w:val="21"/>
          <w:szCs w:val="21"/>
        </w:rPr>
        <w:t>。</w:t>
      </w:r>
      <w:r>
        <w:rPr>
          <w:rFonts w:hint="eastAsia" w:ascii="Arial" w:hAnsi="宋体" w:cs="Arial"/>
          <w:snapToGrid w:val="0"/>
          <w:color w:val="auto"/>
          <w:kern w:val="0"/>
          <w:sz w:val="21"/>
          <w:szCs w:val="21"/>
          <w:u w:val="single"/>
        </w:rPr>
        <w:t>资信技术标得分由高到低排名取前四名进入</w:t>
      </w:r>
      <w:r>
        <w:rPr>
          <w:rFonts w:ascii="Arial" w:hAnsi="Arial" w:cs="Arial"/>
          <w:bCs/>
          <w:snapToGrid w:val="0"/>
          <w:color w:val="auto"/>
          <w:kern w:val="0"/>
          <w:sz w:val="21"/>
          <w:szCs w:val="21"/>
          <w:u w:val="single"/>
        </w:rPr>
        <w:t>商务标的评审</w:t>
      </w:r>
      <w:r>
        <w:rPr>
          <w:rFonts w:hint="eastAsia" w:ascii="Arial" w:hAnsi="宋体" w:cs="Arial"/>
          <w:snapToGrid w:val="0"/>
          <w:color w:val="auto"/>
          <w:kern w:val="0"/>
          <w:sz w:val="21"/>
          <w:szCs w:val="21"/>
          <w:u w:val="single"/>
        </w:rPr>
        <w:t>，后续排名的投标文件</w:t>
      </w:r>
      <w:r>
        <w:rPr>
          <w:rFonts w:ascii="Arial" w:hAnsi="Arial" w:cs="Arial"/>
          <w:bCs/>
          <w:snapToGrid w:val="0"/>
          <w:color w:val="auto"/>
          <w:kern w:val="0"/>
          <w:sz w:val="21"/>
          <w:szCs w:val="21"/>
          <w:u w:val="single"/>
        </w:rPr>
        <w:t>不再进入商务标的评审</w:t>
      </w:r>
      <w:r>
        <w:rPr>
          <w:rFonts w:hint="eastAsia" w:hAnsi="宋体" w:cs="宋体"/>
          <w:snapToGrid w:val="0"/>
          <w:color w:val="auto"/>
          <w:kern w:val="0"/>
          <w:sz w:val="21"/>
          <w:szCs w:val="21"/>
          <w:highlight w:val="none"/>
        </w:rPr>
        <w:t>（不足4家则全部进入</w:t>
      </w:r>
      <w:r>
        <w:rPr>
          <w:rFonts w:hint="eastAsia" w:ascii="宋体" w:hAnsi="宋体" w:eastAsia="宋体" w:cs="宋体"/>
          <w:snapToGrid w:val="0"/>
          <w:color w:val="auto"/>
          <w:kern w:val="0"/>
          <w:sz w:val="21"/>
          <w:szCs w:val="21"/>
          <w:highlight w:val="none"/>
        </w:rPr>
        <w:t>报价部分</w:t>
      </w:r>
      <w:r>
        <w:rPr>
          <w:rFonts w:hint="eastAsia" w:hAnsi="宋体" w:cs="宋体"/>
          <w:snapToGrid w:val="0"/>
          <w:color w:val="auto"/>
          <w:kern w:val="0"/>
          <w:sz w:val="21"/>
          <w:szCs w:val="21"/>
          <w:highlight w:val="none"/>
        </w:rPr>
        <w:t>的评审）</w:t>
      </w:r>
      <w:r>
        <w:rPr>
          <w:rFonts w:hint="eastAsia" w:ascii="Arial" w:hAnsi="宋体" w:cs="Arial"/>
          <w:snapToGrid w:val="0"/>
          <w:color w:val="auto"/>
          <w:kern w:val="0"/>
          <w:sz w:val="21"/>
          <w:szCs w:val="21"/>
          <w:u w:val="single"/>
        </w:rPr>
        <w:t>。</w:t>
      </w:r>
      <w:r>
        <w:rPr>
          <w:rFonts w:hint="eastAsia" w:ascii="Arial" w:hAnsi="宋体" w:cs="Arial"/>
          <w:snapToGrid w:val="0"/>
          <w:color w:val="auto"/>
          <w:kern w:val="0"/>
          <w:sz w:val="21"/>
          <w:szCs w:val="21"/>
        </w:rPr>
        <w:t>评</w:t>
      </w:r>
      <w:r>
        <w:rPr>
          <w:rFonts w:ascii="Arial" w:hAnsi="宋体" w:cs="Arial"/>
          <w:snapToGrid w:val="0"/>
          <w:color w:val="auto"/>
          <w:kern w:val="0"/>
          <w:sz w:val="21"/>
          <w:szCs w:val="21"/>
        </w:rPr>
        <w:t>标委员会将根据投标人的综合得分(资信技术标和商务标分开打分，最后两部分得分相加)从由高到低确定</w:t>
      </w:r>
      <w:r>
        <w:rPr>
          <w:rFonts w:hint="eastAsia" w:ascii="Arial" w:hAnsi="宋体" w:cs="Arial"/>
          <w:snapToGrid w:val="0"/>
          <w:color w:val="auto"/>
          <w:kern w:val="0"/>
          <w:sz w:val="21"/>
          <w:szCs w:val="21"/>
        </w:rPr>
        <w:t>入围一名候选中标人，并出具评审报告</w:t>
      </w:r>
      <w:r>
        <w:rPr>
          <w:rFonts w:ascii="Arial" w:hAnsi="宋体" w:cs="Arial"/>
          <w:snapToGrid w:val="0"/>
          <w:color w:val="auto"/>
          <w:kern w:val="0"/>
          <w:sz w:val="21"/>
          <w:szCs w:val="21"/>
        </w:rPr>
        <w:t>。合计</w:t>
      </w:r>
      <w:r>
        <w:rPr>
          <w:rFonts w:hint="eastAsia" w:ascii="Arial" w:hAnsi="宋体" w:cs="Arial"/>
          <w:snapToGrid w:val="0"/>
          <w:color w:val="auto"/>
          <w:kern w:val="0"/>
          <w:sz w:val="21"/>
          <w:szCs w:val="21"/>
        </w:rPr>
        <w:t>综合</w:t>
      </w:r>
      <w:r>
        <w:rPr>
          <w:rFonts w:ascii="Arial" w:hAnsi="宋体" w:cs="Arial"/>
          <w:snapToGrid w:val="0"/>
          <w:color w:val="auto"/>
          <w:kern w:val="0"/>
          <w:sz w:val="21"/>
          <w:szCs w:val="21"/>
        </w:rPr>
        <w:t>得分相同的，按</w:t>
      </w:r>
      <w:r>
        <w:rPr>
          <w:rFonts w:hint="eastAsia" w:ascii="Arial" w:hAnsi="宋体" w:cs="Arial"/>
          <w:snapToGrid w:val="0"/>
          <w:color w:val="auto"/>
          <w:kern w:val="0"/>
          <w:sz w:val="21"/>
          <w:szCs w:val="21"/>
          <w:lang w:eastAsia="zh-CN"/>
        </w:rPr>
        <w:t>投标统一下浮率</w:t>
      </w:r>
      <w:r>
        <w:rPr>
          <w:rFonts w:ascii="Arial" w:hAnsi="宋体" w:cs="Arial"/>
          <w:snapToGrid w:val="0"/>
          <w:color w:val="auto"/>
          <w:kern w:val="0"/>
          <w:sz w:val="21"/>
          <w:szCs w:val="21"/>
        </w:rPr>
        <w:t>由</w:t>
      </w:r>
      <w:r>
        <w:rPr>
          <w:rFonts w:hint="eastAsia" w:ascii="Arial" w:hAnsi="宋体" w:cs="Arial"/>
          <w:snapToGrid w:val="0"/>
          <w:color w:val="auto"/>
          <w:kern w:val="0"/>
          <w:sz w:val="21"/>
          <w:szCs w:val="21"/>
          <w:lang w:eastAsia="zh-CN"/>
        </w:rPr>
        <w:t>高</w:t>
      </w:r>
      <w:r>
        <w:rPr>
          <w:rFonts w:ascii="Arial" w:hAnsi="宋体" w:cs="Arial"/>
          <w:snapToGrid w:val="0"/>
          <w:color w:val="auto"/>
          <w:kern w:val="0"/>
          <w:sz w:val="21"/>
          <w:szCs w:val="21"/>
        </w:rPr>
        <w:t>到</w:t>
      </w:r>
      <w:r>
        <w:rPr>
          <w:rFonts w:hint="eastAsia" w:ascii="Arial" w:hAnsi="宋体" w:cs="Arial"/>
          <w:snapToGrid w:val="0"/>
          <w:color w:val="auto"/>
          <w:kern w:val="0"/>
          <w:sz w:val="21"/>
          <w:szCs w:val="21"/>
          <w:lang w:eastAsia="zh-CN"/>
        </w:rPr>
        <w:t>低</w:t>
      </w:r>
      <w:r>
        <w:rPr>
          <w:rFonts w:ascii="Arial" w:hAnsi="宋体" w:cs="Arial"/>
          <w:snapToGrid w:val="0"/>
          <w:color w:val="auto"/>
          <w:kern w:val="0"/>
          <w:sz w:val="21"/>
          <w:szCs w:val="21"/>
        </w:rPr>
        <w:t>顺序排列；若</w:t>
      </w:r>
      <w:r>
        <w:rPr>
          <w:rFonts w:hint="eastAsia" w:ascii="Arial" w:hAnsi="宋体" w:cs="Arial"/>
          <w:snapToGrid w:val="0"/>
          <w:color w:val="auto"/>
          <w:kern w:val="0"/>
          <w:sz w:val="21"/>
          <w:szCs w:val="21"/>
        </w:rPr>
        <w:t>综合</w:t>
      </w:r>
      <w:r>
        <w:rPr>
          <w:rFonts w:ascii="Arial" w:hAnsi="宋体" w:cs="Arial"/>
          <w:snapToGrid w:val="0"/>
          <w:color w:val="auto"/>
          <w:kern w:val="0"/>
          <w:sz w:val="21"/>
          <w:szCs w:val="21"/>
        </w:rPr>
        <w:t>得分</w:t>
      </w:r>
      <w:r>
        <w:rPr>
          <w:rFonts w:hint="eastAsia" w:ascii="Arial" w:hAnsi="宋体" w:cs="Arial"/>
          <w:snapToGrid w:val="0"/>
          <w:color w:val="auto"/>
          <w:kern w:val="0"/>
          <w:sz w:val="21"/>
          <w:szCs w:val="21"/>
        </w:rPr>
        <w:t>及</w:t>
      </w:r>
      <w:r>
        <w:rPr>
          <w:rFonts w:hint="eastAsia" w:ascii="Arial" w:hAnsi="宋体" w:cs="Arial"/>
          <w:snapToGrid w:val="0"/>
          <w:color w:val="auto"/>
          <w:kern w:val="0"/>
          <w:sz w:val="21"/>
          <w:szCs w:val="21"/>
          <w:lang w:eastAsia="zh-CN"/>
        </w:rPr>
        <w:t>投标统一下浮率</w:t>
      </w:r>
      <w:r>
        <w:rPr>
          <w:rFonts w:ascii="Arial" w:hAnsi="宋体" w:cs="Arial"/>
          <w:snapToGrid w:val="0"/>
          <w:color w:val="auto"/>
          <w:kern w:val="0"/>
          <w:sz w:val="21"/>
          <w:szCs w:val="21"/>
        </w:rPr>
        <w:t>均相同，</w:t>
      </w:r>
      <w:r>
        <w:rPr>
          <w:rFonts w:hint="eastAsia" w:ascii="宋体" w:hAnsi="宋体" w:eastAsia="宋体" w:cs="宋体"/>
          <w:snapToGrid w:val="0"/>
          <w:color w:val="auto"/>
          <w:kern w:val="0"/>
          <w:sz w:val="21"/>
          <w:szCs w:val="21"/>
          <w:highlight w:val="none"/>
        </w:rPr>
        <w:t>则以乐采云投标文件解密先后顺序确定。若经评审有效标数量＜3家时，按《瑞安市国有企业采购管理办法（试行）》执行。评标委员会可以按本招标文件规定的评标办法及规定向招标人推荐一名中标候选人。</w:t>
      </w:r>
    </w:p>
    <w:p>
      <w:pPr>
        <w:pStyle w:val="21"/>
        <w:widowControl/>
        <w:numPr>
          <w:ilvl w:val="0"/>
          <w:numId w:val="26"/>
        </w:numPr>
        <w:autoSpaceDE w:val="0"/>
        <w:autoSpaceDN w:val="0"/>
        <w:spacing w:line="440" w:lineRule="exact"/>
        <w:textAlignment w:val="bottom"/>
        <w:rPr>
          <w:rFonts w:ascii="Arial" w:hAnsi="宋体" w:cs="Arial"/>
          <w:snapToGrid w:val="0"/>
          <w:kern w:val="0"/>
          <w:sz w:val="21"/>
          <w:szCs w:val="21"/>
        </w:rPr>
      </w:pPr>
      <w:r>
        <w:rPr>
          <w:rFonts w:hint="eastAsia" w:ascii="Arial" w:hAnsi="宋体" w:cs="Arial"/>
          <w:snapToGrid w:val="0"/>
          <w:kern w:val="0"/>
          <w:sz w:val="21"/>
          <w:szCs w:val="21"/>
        </w:rPr>
        <w:t>招标人根据评标委员会提出的书面评标报告及推荐的中标候选人依法确定排名第一的中标候选人为中标供应商。排名第一的中标候选人放弃中标；因不可抗力提出不能履行合同；或者招标文件规定应当提交履约保证金而在规定的期限内未能提交的；或未能在规定时间内与招标人签订合同的；或者经质疑，招标人审查后，确因排名第一的候选人在本次招标活动中存在违法违规行为或其他原因使质疑成立的，招标人可视具体情况确定是否由排名第二的中标候选人为中标供应</w:t>
      </w:r>
      <w:r>
        <w:rPr>
          <w:rFonts w:hint="eastAsia" w:ascii="Arial" w:hAnsi="宋体" w:cs="Arial"/>
          <w:snapToGrid w:val="0"/>
          <w:color w:val="auto"/>
          <w:kern w:val="0"/>
          <w:sz w:val="21"/>
          <w:szCs w:val="21"/>
        </w:rPr>
        <w:t>商，</w:t>
      </w:r>
      <w:r>
        <w:rPr>
          <w:rFonts w:ascii="Arial" w:hAnsi="宋体" w:cs="Arial"/>
          <w:snapToGrid w:val="0"/>
          <w:color w:val="auto"/>
          <w:kern w:val="0"/>
          <w:sz w:val="21"/>
          <w:szCs w:val="21"/>
        </w:rPr>
        <w:t>以此类推</w:t>
      </w:r>
      <w:r>
        <w:rPr>
          <w:rFonts w:hint="eastAsia" w:ascii="Arial" w:hAnsi="宋体" w:cs="Arial"/>
          <w:snapToGrid w:val="0"/>
          <w:color w:val="auto"/>
          <w:kern w:val="0"/>
          <w:sz w:val="21"/>
          <w:szCs w:val="21"/>
          <w:highlight w:val="none"/>
        </w:rPr>
        <w:t>或重新招标。</w:t>
      </w:r>
    </w:p>
    <w:p>
      <w:pPr>
        <w:pStyle w:val="6"/>
        <w:spacing w:before="160" w:after="160" w:line="240" w:lineRule="auto"/>
        <w:jc w:val="center"/>
        <w:rPr>
          <w:rFonts w:ascii="宋体" w:hAnsi="宋体" w:eastAsia="宋体"/>
          <w:sz w:val="21"/>
          <w:szCs w:val="21"/>
        </w:rPr>
      </w:pPr>
      <w:bookmarkStart w:id="84" w:name="_Toc388974318"/>
      <w:bookmarkStart w:id="85" w:name="_Toc15107"/>
      <w:bookmarkStart w:id="86" w:name="_Toc399178349"/>
      <w:bookmarkStart w:id="87" w:name="_Toc420077699"/>
      <w:r>
        <w:rPr>
          <w:rFonts w:ascii="宋体" w:hAnsi="宋体" w:eastAsia="宋体"/>
          <w:sz w:val="21"/>
          <w:szCs w:val="21"/>
        </w:rPr>
        <w:t>（四）评标细则</w:t>
      </w:r>
      <w:bookmarkEnd w:id="84"/>
      <w:bookmarkEnd w:id="85"/>
      <w:bookmarkEnd w:id="86"/>
      <w:bookmarkEnd w:id="87"/>
      <w:r>
        <w:rPr>
          <w:rFonts w:ascii="宋体" w:hAnsi="宋体" w:eastAsia="宋体"/>
          <w:sz w:val="21"/>
          <w:szCs w:val="21"/>
        </w:rPr>
        <w:t xml:space="preserve"> </w:t>
      </w:r>
    </w:p>
    <w:p>
      <w:pPr>
        <w:tabs>
          <w:tab w:val="left" w:pos="9180"/>
        </w:tabs>
        <w:spacing w:line="440" w:lineRule="exact"/>
        <w:ind w:firstLine="420" w:firstLineChars="200"/>
        <w:rPr>
          <w:rFonts w:ascii="Arial" w:hAnsi="宋体" w:cs="Arial"/>
          <w:snapToGrid w:val="0"/>
          <w:kern w:val="0"/>
          <w:szCs w:val="21"/>
        </w:rPr>
      </w:pPr>
      <w:r>
        <w:rPr>
          <w:rFonts w:ascii="Arial" w:hAnsi="宋体" w:cs="Arial"/>
          <w:snapToGrid w:val="0"/>
          <w:kern w:val="0"/>
          <w:szCs w:val="21"/>
        </w:rPr>
        <w:t>评标委员会成员对各投标文件充分审核、评议后，由评标委员会人员按评分细则，进行评判，独立打分。如发现某张评分票的一单项评分超过评分细则规定的分值范围，则该张评分票无效。投标供应商的综合评分为</w:t>
      </w:r>
      <w:r>
        <w:rPr>
          <w:rFonts w:hint="eastAsia" w:ascii="Arial" w:hAnsi="宋体" w:cs="Arial"/>
          <w:snapToGrid w:val="0"/>
          <w:kern w:val="0"/>
          <w:szCs w:val="21"/>
        </w:rPr>
        <w:t>资信技术标</w:t>
      </w:r>
      <w:r>
        <w:rPr>
          <w:rFonts w:ascii="Arial" w:hAnsi="宋体" w:cs="Arial"/>
          <w:snapToGrid w:val="0"/>
          <w:kern w:val="0"/>
          <w:szCs w:val="21"/>
        </w:rPr>
        <w:t>部分评分和商务标部分评分的总和。</w:t>
      </w:r>
    </w:p>
    <w:p>
      <w:pPr>
        <w:tabs>
          <w:tab w:val="left" w:pos="9180"/>
        </w:tabs>
        <w:spacing w:line="440" w:lineRule="exact"/>
        <w:ind w:firstLine="420" w:firstLineChars="200"/>
        <w:rPr>
          <w:rFonts w:ascii="Arial" w:hAnsi="宋体" w:cs="Arial"/>
          <w:snapToGrid w:val="0"/>
          <w:kern w:val="0"/>
          <w:szCs w:val="21"/>
        </w:rPr>
      </w:pPr>
      <w:r>
        <w:rPr>
          <w:rFonts w:ascii="Arial" w:hAnsi="宋体" w:cs="Arial"/>
          <w:snapToGrid w:val="0"/>
          <w:kern w:val="0"/>
          <w:szCs w:val="21"/>
        </w:rPr>
        <w:t>在评审时，当评标委员会对某些关键性的条文认定存在不同意见时，在评标委员会范围内按少数服从多数的原则认定。</w:t>
      </w:r>
    </w:p>
    <w:tbl>
      <w:tblPr>
        <w:tblStyle w:val="49"/>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50"/>
        <w:gridCol w:w="26"/>
        <w:gridCol w:w="2268"/>
        <w:gridCol w:w="141"/>
        <w:gridCol w:w="567"/>
        <w:gridCol w:w="2552"/>
        <w:gridCol w:w="2267"/>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8" w:type="dxa"/>
            <w:vAlign w:val="center"/>
          </w:tcPr>
          <w:p>
            <w:pPr>
              <w:jc w:val="center"/>
              <w:rPr>
                <w:rFonts w:ascii="Arial" w:hAnsi="宋体" w:cs="Arial"/>
                <w:snapToGrid w:val="0"/>
                <w:kern w:val="0"/>
                <w:szCs w:val="21"/>
              </w:rPr>
            </w:pPr>
            <w:r>
              <w:rPr>
                <w:rFonts w:hint="eastAsia" w:ascii="Arial" w:hAnsi="宋体" w:cs="Arial"/>
                <w:snapToGrid w:val="0"/>
                <w:kern w:val="0"/>
                <w:szCs w:val="21"/>
              </w:rPr>
              <w:t>序号</w:t>
            </w:r>
          </w:p>
        </w:tc>
        <w:tc>
          <w:tcPr>
            <w:tcW w:w="1250" w:type="dxa"/>
            <w:vAlign w:val="center"/>
          </w:tcPr>
          <w:p>
            <w:pPr>
              <w:jc w:val="center"/>
              <w:rPr>
                <w:rFonts w:ascii="Arial" w:hAnsi="宋体" w:cs="Arial"/>
                <w:snapToGrid w:val="0"/>
                <w:kern w:val="0"/>
                <w:szCs w:val="21"/>
              </w:rPr>
            </w:pPr>
            <w:r>
              <w:rPr>
                <w:rFonts w:hint="eastAsia" w:ascii="Arial" w:hAnsi="宋体" w:cs="Arial"/>
                <w:snapToGrid w:val="0"/>
                <w:kern w:val="0"/>
                <w:szCs w:val="21"/>
              </w:rPr>
              <w:t>评审类型</w:t>
            </w: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评审内容</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18" w:type="dxa"/>
            <w:vMerge w:val="restart"/>
            <w:vAlign w:val="center"/>
          </w:tcPr>
          <w:p>
            <w:pPr>
              <w:jc w:val="center"/>
              <w:rPr>
                <w:rFonts w:ascii="Arial" w:hAnsi="宋体" w:cs="Arial"/>
                <w:snapToGrid w:val="0"/>
                <w:kern w:val="0"/>
                <w:szCs w:val="21"/>
              </w:rPr>
            </w:pPr>
            <w:r>
              <w:rPr>
                <w:rFonts w:hint="eastAsia" w:ascii="Arial" w:hAnsi="宋体" w:cs="Arial"/>
                <w:snapToGrid w:val="0"/>
                <w:kern w:val="0"/>
                <w:szCs w:val="21"/>
              </w:rPr>
              <w:t>1</w:t>
            </w:r>
          </w:p>
        </w:tc>
        <w:tc>
          <w:tcPr>
            <w:tcW w:w="1250" w:type="dxa"/>
            <w:vMerge w:val="restart"/>
            <w:vAlign w:val="center"/>
          </w:tcPr>
          <w:p>
            <w:pPr>
              <w:rPr>
                <w:rFonts w:ascii="Arial" w:hAnsi="宋体" w:cs="Arial"/>
                <w:b/>
                <w:snapToGrid w:val="0"/>
                <w:kern w:val="0"/>
                <w:szCs w:val="21"/>
              </w:rPr>
            </w:pPr>
            <w:r>
              <w:rPr>
                <w:rFonts w:hint="eastAsia" w:ascii="Arial" w:hAnsi="宋体" w:cs="Arial"/>
                <w:b/>
                <w:bCs/>
                <w:snapToGrid w:val="0"/>
                <w:kern w:val="0"/>
                <w:szCs w:val="21"/>
              </w:rPr>
              <w:t>符合性检查</w:t>
            </w: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投标供应商名称</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投标函签字盖章</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有法定代表人或其授权代表签字或盖章并加盖单位章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投标文件编制</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资信技术标与商务标分开装订、封装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投标有效期</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restart"/>
            <w:vAlign w:val="center"/>
          </w:tcPr>
          <w:p>
            <w:pPr>
              <w:rPr>
                <w:rFonts w:ascii="Arial" w:hAnsi="宋体" w:cs="Arial"/>
                <w:b/>
                <w:snapToGrid w:val="0"/>
                <w:kern w:val="0"/>
                <w:szCs w:val="21"/>
              </w:rPr>
            </w:pPr>
            <w:r>
              <w:rPr>
                <w:rFonts w:hint="eastAsia" w:ascii="Arial" w:hAnsi="宋体" w:cs="Arial"/>
                <w:b/>
                <w:snapToGrid w:val="0"/>
                <w:kern w:val="0"/>
                <w:szCs w:val="21"/>
              </w:rPr>
              <w:t>资格</w:t>
            </w:r>
            <w:r>
              <w:rPr>
                <w:rFonts w:hint="eastAsia" w:ascii="Arial" w:hAnsi="宋体" w:cs="Arial"/>
                <w:b/>
                <w:bCs/>
                <w:snapToGrid w:val="0"/>
                <w:kern w:val="0"/>
                <w:szCs w:val="21"/>
              </w:rPr>
              <w:t>性检查</w:t>
            </w: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营业执照</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b/>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投标保证金</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投标供应商资格</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符合第二部分“投标供应商须知前附表”第</w:t>
            </w:r>
            <w:r>
              <w:rPr>
                <w:rFonts w:ascii="Arial" w:hAnsi="宋体" w:cs="Arial"/>
                <w:snapToGrid w:val="0"/>
                <w:kern w:val="0"/>
                <w:szCs w:val="21"/>
              </w:rPr>
              <w:t>6</w:t>
            </w:r>
            <w:r>
              <w:rPr>
                <w:rFonts w:hint="eastAsia" w:ascii="Arial" w:hAnsi="宋体" w:cs="Arial"/>
                <w:snapToGrid w:val="0"/>
                <w:kern w:val="0"/>
                <w:szCs w:val="21"/>
              </w:rPr>
              <w:t>项“投标供应商资格</w:t>
            </w:r>
            <w:r>
              <w:rPr>
                <w:rFonts w:ascii="Arial" w:hAnsi="宋体" w:cs="Arial"/>
                <w:snapToGrid w:val="0"/>
                <w:kern w:val="0"/>
                <w:szCs w:val="21"/>
              </w:rPr>
              <w:t>要求”</w:t>
            </w:r>
            <w:r>
              <w:rPr>
                <w:rFonts w:hint="eastAsia" w:ascii="Arial" w:hAnsi="宋体" w:cs="Arial"/>
                <w:snapToGrid w:val="0"/>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6830" w:hRule="atLeast"/>
          <w:jc w:val="center"/>
        </w:trPr>
        <w:tc>
          <w:tcPr>
            <w:tcW w:w="818" w:type="dxa"/>
            <w:vAlign w:val="center"/>
          </w:tcPr>
          <w:p>
            <w:pPr>
              <w:jc w:val="center"/>
              <w:rPr>
                <w:rFonts w:ascii="Arial" w:hAnsi="宋体" w:cs="Arial"/>
                <w:snapToGrid w:val="0"/>
                <w:kern w:val="0"/>
                <w:szCs w:val="21"/>
              </w:rPr>
            </w:pPr>
            <w:r>
              <w:rPr>
                <w:rFonts w:hint="eastAsia" w:ascii="Arial" w:hAnsi="宋体" w:cs="Arial"/>
                <w:snapToGrid w:val="0"/>
                <w:kern w:val="0"/>
                <w:szCs w:val="21"/>
              </w:rPr>
              <w:t>2</w:t>
            </w:r>
          </w:p>
        </w:tc>
        <w:tc>
          <w:tcPr>
            <w:tcW w:w="1250" w:type="dxa"/>
            <w:vAlign w:val="center"/>
          </w:tcPr>
          <w:p>
            <w:pPr>
              <w:rPr>
                <w:rFonts w:ascii="Arial" w:hAnsi="宋体" w:cs="Arial"/>
                <w:b/>
                <w:snapToGrid w:val="0"/>
                <w:kern w:val="0"/>
                <w:szCs w:val="21"/>
              </w:rPr>
            </w:pPr>
            <w:r>
              <w:rPr>
                <w:rFonts w:hint="eastAsia" w:ascii="Arial" w:hAnsi="宋体" w:cs="Arial"/>
                <w:b/>
                <w:snapToGrid w:val="0"/>
                <w:kern w:val="0"/>
                <w:szCs w:val="21"/>
              </w:rPr>
              <w:t>无效标条款</w:t>
            </w:r>
          </w:p>
        </w:tc>
        <w:tc>
          <w:tcPr>
            <w:tcW w:w="7821" w:type="dxa"/>
            <w:gridSpan w:val="6"/>
            <w:vAlign w:val="center"/>
          </w:tcPr>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报价</w:t>
            </w:r>
            <w:r>
              <w:rPr>
                <w:rFonts w:ascii="Arial" w:hAnsi="Arial" w:cs="Arial"/>
                <w:bCs/>
              </w:rPr>
              <w:t>有效期不足的；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投标报价不是唯一的；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宋体" w:cs="Arial"/>
                <w:bCs/>
              </w:rPr>
              <w:t>投标综合单价超过综合单价最高限价的或投标报价超过最高限价的</w:t>
            </w:r>
            <w:r>
              <w:rPr>
                <w:rFonts w:ascii="Arial" w:hAnsi="宋体" w:cs="Arial"/>
                <w:bCs/>
              </w:rPr>
              <w:t>；</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评标委员会认为投标文件未实质性响应招标文件的要求的；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投标文件中载明的</w:t>
            </w:r>
            <w:r>
              <w:rPr>
                <w:rFonts w:hint="eastAsia" w:ascii="Arial" w:hAnsi="宋体" w:cs="Arial"/>
                <w:bCs/>
              </w:rPr>
              <w:t>工期</w:t>
            </w:r>
            <w:r>
              <w:rPr>
                <w:rFonts w:ascii="Arial" w:hAnsi="宋体" w:cs="Arial"/>
                <w:bCs/>
              </w:rPr>
              <w:t>超过招标</w:t>
            </w:r>
            <w:r>
              <w:rPr>
                <w:rFonts w:hint="eastAsia" w:ascii="Arial" w:hAnsi="宋体" w:cs="Arial"/>
                <w:bCs/>
              </w:rPr>
              <w:t>工期</w:t>
            </w:r>
            <w:r>
              <w:rPr>
                <w:rFonts w:ascii="Arial" w:hAnsi="宋体" w:cs="Arial"/>
                <w:bCs/>
              </w:rPr>
              <w:t>的；</w:t>
            </w:r>
          </w:p>
          <w:p>
            <w:pPr>
              <w:widowControl/>
              <w:numPr>
                <w:ilvl w:val="0"/>
                <w:numId w:val="27"/>
              </w:numPr>
              <w:tabs>
                <w:tab w:val="left" w:pos="107"/>
                <w:tab w:val="clear" w:pos="1123"/>
              </w:tabs>
              <w:spacing w:line="400" w:lineRule="exact"/>
              <w:ind w:left="107" w:firstLine="0"/>
              <w:jc w:val="left"/>
              <w:rPr>
                <w:rFonts w:ascii="Arial" w:hAnsi="宋体" w:cs="Arial"/>
                <w:bCs/>
              </w:rPr>
            </w:pPr>
            <w:r>
              <w:rPr>
                <w:rFonts w:hint="eastAsia" w:ascii="Arial" w:hAnsi="宋体" w:cs="Arial"/>
                <w:bCs/>
              </w:rPr>
              <w:t>主要技术要求不满足招标文件的要求或有重大偏离，或者商务条款有重大偏离或保留的；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rPr>
              <w:t>未按规定提供投标保证金的</w:t>
            </w:r>
            <w:r>
              <w:rPr>
                <w:rFonts w:hint="eastAsia" w:ascii="Arial" w:hAnsi="宋体" w:cs="Arial"/>
              </w:rPr>
              <w:t>投标文件</w:t>
            </w:r>
            <w:r>
              <w:rPr>
                <w:rFonts w:ascii="Arial" w:hAnsi="宋体" w:cs="Arial"/>
              </w:rPr>
              <w:t>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近3年内在经营活动中有重大违法记录（包括行贿犯罪记录）的或未按规定提供参加国有企业活动前3年内在经营活动中有/无重大违法记录（包括行贿犯罪记录）书面声明的；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单价与总价不相符，又不接受评标委员会修正的报价总价或报价明显不合理而投标供应商不能合理说明的；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存在串标</w:t>
            </w:r>
            <w:r>
              <w:rPr>
                <w:rFonts w:hint="eastAsia" w:ascii="Arial" w:hAnsi="宋体" w:cs="Arial"/>
                <w:bCs/>
              </w:rPr>
              <w:t>、</w:t>
            </w:r>
            <w:r>
              <w:rPr>
                <w:rFonts w:ascii="Arial" w:hAnsi="宋体" w:cs="Arial"/>
                <w:bCs/>
              </w:rPr>
              <w:t>弄虚作假情况的；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宋体" w:hAnsi="宋体"/>
                <w:szCs w:val="21"/>
              </w:rPr>
              <w:t>投标文件中需签字或盖章的地方未加盖投标供应商单位全称的公章，或使用投标专用章、合同章等类似图章代替，或未经法定代表人或其授权代表签字或盖章。</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授权代表出席</w:t>
            </w:r>
            <w:r>
              <w:rPr>
                <w:rFonts w:ascii="Arial" w:hAnsi="Arial" w:cs="Arial"/>
                <w:bCs/>
              </w:rPr>
              <w:t>开</w:t>
            </w:r>
            <w:r>
              <w:rPr>
                <w:rFonts w:hint="eastAsia" w:ascii="Arial" w:hAnsi="Arial" w:cs="Arial"/>
                <w:bCs/>
              </w:rPr>
              <w:t>标</w:t>
            </w:r>
            <w:r>
              <w:rPr>
                <w:rFonts w:ascii="Arial" w:hAnsi="Arial" w:cs="Arial"/>
                <w:bCs/>
              </w:rPr>
              <w:t>未</w:t>
            </w:r>
            <w:r>
              <w:rPr>
                <w:rFonts w:hint="eastAsia" w:ascii="Arial" w:hAnsi="Arial" w:cs="Arial"/>
                <w:bCs/>
              </w:rPr>
              <w:t>在</w:t>
            </w:r>
            <w:r>
              <w:rPr>
                <w:rFonts w:ascii="Arial" w:hAnsi="Arial" w:cs="Arial"/>
                <w:bCs/>
              </w:rPr>
              <w:t>投标文件中提供有效法定</w:t>
            </w:r>
            <w:r>
              <w:rPr>
                <w:rFonts w:hint="eastAsia" w:ascii="Arial" w:hAnsi="Arial" w:cs="Arial"/>
                <w:bCs/>
              </w:rPr>
              <w:t>代表人</w:t>
            </w:r>
            <w:r>
              <w:rPr>
                <w:rFonts w:ascii="Arial" w:hAnsi="Arial" w:cs="Arial"/>
                <w:bCs/>
              </w:rPr>
              <w:t>授权委托书的</w:t>
            </w:r>
            <w:r>
              <w:rPr>
                <w:rFonts w:hint="eastAsia" w:ascii="Arial" w:hAnsi="Arial" w:cs="Arial"/>
                <w:bCs/>
              </w:rPr>
              <w:t>；</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rPr>
              <w:t>不符合法律、法规和招标文件中规定的其他实质性要求的。</w:t>
            </w:r>
            <w:r>
              <w:rPr>
                <w:rFonts w:ascii="Arial" w:hAnsi="宋体" w:cs="Arial"/>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710" w:hRule="atLeast"/>
          <w:jc w:val="center"/>
        </w:trPr>
        <w:tc>
          <w:tcPr>
            <w:tcW w:w="818" w:type="dxa"/>
            <w:vAlign w:val="center"/>
          </w:tcPr>
          <w:p>
            <w:pPr>
              <w:jc w:val="center"/>
              <w:rPr>
                <w:rFonts w:ascii="Arial" w:hAnsi="宋体" w:cs="Arial"/>
                <w:b/>
                <w:bCs/>
                <w:snapToGrid w:val="0"/>
                <w:kern w:val="0"/>
                <w:szCs w:val="21"/>
              </w:rPr>
            </w:pPr>
            <w:r>
              <w:rPr>
                <w:rFonts w:hint="eastAsia" w:ascii="Arial" w:hAnsi="宋体" w:cs="Arial"/>
                <w:b/>
                <w:bCs/>
                <w:snapToGrid w:val="0"/>
                <w:kern w:val="0"/>
                <w:szCs w:val="21"/>
              </w:rPr>
              <w:t>3</w:t>
            </w:r>
          </w:p>
        </w:tc>
        <w:tc>
          <w:tcPr>
            <w:tcW w:w="9071" w:type="dxa"/>
            <w:gridSpan w:val="7"/>
            <w:vAlign w:val="center"/>
          </w:tcPr>
          <w:p>
            <w:pPr>
              <w:spacing w:line="440" w:lineRule="exact"/>
              <w:ind w:right="6"/>
              <w:jc w:val="center"/>
              <w:rPr>
                <w:rFonts w:ascii="宋体" w:hAnsi="宋体" w:cs="Arial"/>
                <w:b/>
                <w:bCs/>
                <w:color w:val="auto"/>
                <w:kern w:val="28"/>
                <w:szCs w:val="21"/>
              </w:rPr>
            </w:pPr>
            <w:r>
              <w:rPr>
                <w:rFonts w:hint="eastAsia" w:ascii="宋体" w:hAnsi="宋体" w:cs="Arial"/>
                <w:b/>
                <w:bCs/>
                <w:kern w:val="28"/>
                <w:szCs w:val="21"/>
              </w:rPr>
              <w:t>资信技术标部分</w:t>
            </w:r>
            <w:r>
              <w:rPr>
                <w:rFonts w:hint="eastAsia" w:ascii="宋体" w:hAnsi="宋体" w:cs="Arial"/>
                <w:b/>
                <w:bCs/>
                <w:color w:val="auto"/>
                <w:kern w:val="28"/>
                <w:szCs w:val="21"/>
              </w:rPr>
              <w:t>（</w:t>
            </w:r>
            <w:r>
              <w:rPr>
                <w:rFonts w:hint="eastAsia" w:ascii="宋体" w:hAnsi="宋体" w:cs="Arial"/>
                <w:b/>
                <w:bCs/>
                <w:color w:val="auto"/>
                <w:kern w:val="28"/>
                <w:szCs w:val="21"/>
                <w:lang w:val="en-US" w:eastAsia="zh-CN"/>
              </w:rPr>
              <w:t>4</w:t>
            </w:r>
            <w:r>
              <w:rPr>
                <w:rFonts w:hint="eastAsia" w:ascii="宋体" w:hAnsi="宋体" w:cs="Arial"/>
                <w:b/>
                <w:bCs/>
                <w:color w:val="auto"/>
                <w:kern w:val="28"/>
                <w:szCs w:val="21"/>
              </w:rPr>
              <w:t>0分）</w:t>
            </w:r>
          </w:p>
          <w:p>
            <w:pPr>
              <w:rPr>
                <w:rFonts w:ascii="Arial" w:hAnsi="宋体" w:cs="Arial"/>
                <w:b/>
                <w:bCs/>
                <w:snapToGrid w:val="0"/>
                <w:kern w:val="0"/>
                <w:szCs w:val="21"/>
              </w:rPr>
            </w:pPr>
            <w:r>
              <w:rPr>
                <w:rFonts w:ascii="Arial" w:hAnsi="宋体" w:cs="Arial"/>
                <w:snapToGrid w:val="0"/>
                <w:kern w:val="0"/>
                <w:szCs w:val="21"/>
              </w:rPr>
              <w:t>投标供应商</w:t>
            </w:r>
            <w:r>
              <w:rPr>
                <w:rFonts w:hint="eastAsia" w:ascii="Arial" w:hAnsi="宋体" w:cs="Arial"/>
                <w:snapToGrid w:val="0"/>
                <w:kern w:val="0"/>
                <w:szCs w:val="21"/>
              </w:rPr>
              <w:t>资信技术标</w:t>
            </w:r>
            <w:r>
              <w:rPr>
                <w:rFonts w:ascii="Arial" w:hAnsi="宋体" w:cs="Arial"/>
                <w:snapToGrid w:val="0"/>
                <w:kern w:val="0"/>
                <w:szCs w:val="21"/>
              </w:rPr>
              <w:t>部分的最终得分为评标专家组成员的</w:t>
            </w:r>
            <w:r>
              <w:rPr>
                <w:rFonts w:ascii="Arial" w:hAnsi="宋体" w:cs="Arial"/>
                <w:bCs/>
                <w:kern w:val="28"/>
              </w:rPr>
              <w:t>全部有效评分中</w:t>
            </w:r>
            <w:r>
              <w:rPr>
                <w:rFonts w:hint="eastAsia" w:ascii="Arial" w:hAnsi="宋体" w:cs="Arial"/>
                <w:bCs/>
                <w:kern w:val="28"/>
              </w:rPr>
              <w:t>的</w:t>
            </w:r>
            <w:r>
              <w:rPr>
                <w:rFonts w:ascii="Arial" w:hAnsi="宋体" w:cs="Arial"/>
                <w:bCs/>
                <w:kern w:val="28"/>
              </w:rPr>
              <w:t>算术平均值</w:t>
            </w:r>
            <w:r>
              <w:rPr>
                <w:rFonts w:hint="eastAsia" w:ascii="Arial" w:hAnsi="宋体" w:cs="Arial"/>
                <w:snapToGrid w:val="0"/>
                <w:kern w:val="0"/>
                <w:szCs w:val="21"/>
              </w:rPr>
              <w:t>（计算评分值时保留二位小数，第三位四舍五入）。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285" w:hRule="atLeast"/>
          <w:jc w:val="center"/>
        </w:trPr>
        <w:tc>
          <w:tcPr>
            <w:tcW w:w="818" w:type="dxa"/>
            <w:vAlign w:val="center"/>
          </w:tcPr>
          <w:p>
            <w:pPr>
              <w:jc w:val="center"/>
              <w:rPr>
                <w:rFonts w:ascii="宋体" w:hAnsi="宋体"/>
                <w:sz w:val="20"/>
              </w:rPr>
            </w:pPr>
            <w:r>
              <w:rPr>
                <w:rFonts w:hint="eastAsia" w:ascii="宋体" w:hAnsi="宋体"/>
                <w:sz w:val="20"/>
              </w:rPr>
              <w:t>序号</w:t>
            </w:r>
          </w:p>
        </w:tc>
        <w:tc>
          <w:tcPr>
            <w:tcW w:w="1276" w:type="dxa"/>
            <w:gridSpan w:val="2"/>
            <w:vAlign w:val="center"/>
          </w:tcPr>
          <w:p>
            <w:pPr>
              <w:jc w:val="center"/>
              <w:rPr>
                <w:rFonts w:ascii="宋体" w:hAnsi="宋体"/>
                <w:sz w:val="20"/>
              </w:rPr>
            </w:pPr>
            <w:r>
              <w:rPr>
                <w:rFonts w:hint="eastAsia" w:ascii="宋体" w:hAnsi="宋体"/>
                <w:sz w:val="20"/>
              </w:rPr>
              <w:t>评分内容</w:t>
            </w:r>
          </w:p>
        </w:tc>
        <w:tc>
          <w:tcPr>
            <w:tcW w:w="2268" w:type="dxa"/>
            <w:vAlign w:val="center"/>
          </w:tcPr>
          <w:p>
            <w:pPr>
              <w:jc w:val="center"/>
              <w:rPr>
                <w:rFonts w:ascii="宋体" w:hAnsi="宋体"/>
                <w:sz w:val="20"/>
              </w:rPr>
            </w:pPr>
            <w:r>
              <w:rPr>
                <w:rFonts w:hint="eastAsia" w:ascii="宋体" w:hAnsi="宋体"/>
                <w:sz w:val="20"/>
              </w:rPr>
              <w:t>评分细则</w:t>
            </w:r>
          </w:p>
        </w:tc>
        <w:tc>
          <w:tcPr>
            <w:tcW w:w="708" w:type="dxa"/>
            <w:gridSpan w:val="2"/>
            <w:vAlign w:val="center"/>
          </w:tcPr>
          <w:p>
            <w:pPr>
              <w:jc w:val="center"/>
              <w:rPr>
                <w:rFonts w:ascii="宋体" w:hAnsi="宋体"/>
                <w:sz w:val="20"/>
              </w:rPr>
            </w:pPr>
            <w:r>
              <w:rPr>
                <w:rFonts w:hint="eastAsia" w:ascii="宋体" w:hAnsi="宋体"/>
                <w:sz w:val="20"/>
              </w:rPr>
              <w:t>分值</w:t>
            </w:r>
          </w:p>
        </w:tc>
        <w:tc>
          <w:tcPr>
            <w:tcW w:w="2552" w:type="dxa"/>
            <w:vAlign w:val="center"/>
          </w:tcPr>
          <w:p>
            <w:pPr>
              <w:jc w:val="center"/>
              <w:rPr>
                <w:rFonts w:ascii="宋体" w:hAnsi="宋体"/>
                <w:sz w:val="20"/>
              </w:rPr>
            </w:pPr>
            <w:r>
              <w:rPr>
                <w:rFonts w:hint="eastAsia" w:ascii="宋体" w:hAnsi="宋体"/>
                <w:sz w:val="20"/>
              </w:rPr>
              <w:t>评分标准</w:t>
            </w:r>
          </w:p>
        </w:tc>
        <w:tc>
          <w:tcPr>
            <w:tcW w:w="2267" w:type="dxa"/>
            <w:vAlign w:val="center"/>
          </w:tcPr>
          <w:p>
            <w:pPr>
              <w:jc w:val="center"/>
              <w:rPr>
                <w:rFonts w:ascii="宋体" w:hAnsi="宋体"/>
                <w:sz w:val="20"/>
              </w:rPr>
            </w:pPr>
            <w:r>
              <w:rPr>
                <w:rFonts w:hint="eastAsia" w:ascii="宋体" w:hAnsi="宋体"/>
                <w:sz w:val="20"/>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19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0"/>
                <w:szCs w:val="20"/>
              </w:rPr>
            </w:pPr>
            <w:r>
              <w:rPr>
                <w:rFonts w:hint="eastAsia" w:ascii="宋体" w:hAnsi="宋体"/>
                <w:color w:val="auto"/>
                <w:sz w:val="20"/>
                <w:szCs w:val="20"/>
              </w:rPr>
              <w:t>3.1</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投标人综合实力</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rPr>
            </w:pPr>
            <w:r>
              <w:rPr>
                <w:rFonts w:hint="eastAsia" w:ascii="宋体" w:hAnsi="宋体" w:cs="宋体"/>
                <w:color w:val="auto"/>
                <w:sz w:val="21"/>
                <w:szCs w:val="21"/>
              </w:rPr>
              <w:t>根据投标人</w:t>
            </w:r>
            <w:r>
              <w:rPr>
                <w:rFonts w:hint="eastAsia"/>
                <w:color w:val="auto"/>
                <w:sz w:val="21"/>
                <w:szCs w:val="21"/>
              </w:rPr>
              <w:t>是否高新技术企业及等级、是否重合同守信用企业及等级、银行资信等级、纳税等级、专利情况等资信内容，是否建立</w:t>
            </w:r>
            <w:r>
              <w:rPr>
                <w:rFonts w:hint="eastAsia" w:ascii="宋体" w:hAnsi="宋体" w:cs="宋体"/>
                <w:color w:val="auto"/>
                <w:sz w:val="21"/>
                <w:szCs w:val="21"/>
              </w:rPr>
              <w:t>企业标准</w:t>
            </w:r>
            <w:r>
              <w:rPr>
                <w:rFonts w:hint="eastAsia"/>
                <w:color w:val="auto"/>
                <w:sz w:val="21"/>
                <w:szCs w:val="21"/>
              </w:rPr>
              <w:t>、</w:t>
            </w:r>
            <w:r>
              <w:rPr>
                <w:rFonts w:hint="eastAsia" w:ascii="宋体" w:hAnsi="宋体" w:cs="宋体"/>
                <w:color w:val="auto"/>
                <w:sz w:val="21"/>
                <w:szCs w:val="21"/>
              </w:rPr>
              <w:t>认证体系证书等综合考虑。</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atLeast"/>
              <w:jc w:val="left"/>
              <w:textAlignment w:val="auto"/>
              <w:rPr>
                <w:rFonts w:hint="eastAsia" w:ascii="宋体" w:hAnsi="宋体" w:eastAsia="宋体" w:cs="宋体"/>
                <w:color w:val="auto"/>
                <w:sz w:val="21"/>
                <w:szCs w:val="21"/>
                <w:highlight w:val="none"/>
                <w:lang w:val="en-US" w:eastAsia="zh-CN"/>
              </w:rPr>
            </w:pPr>
            <w:r>
              <w:rPr>
                <w:rFonts w:hint="eastAsia" w:ascii="宋体" w:hAnsi="宋体"/>
                <w:color w:val="auto"/>
                <w:sz w:val="21"/>
                <w:szCs w:val="21"/>
                <w:lang w:eastAsia="zh-CN"/>
              </w:rPr>
              <w:t>根据投标人企业情况，</w:t>
            </w: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r>
              <w:rPr>
                <w:rFonts w:hint="eastAsia" w:ascii="宋体" w:hAnsi="宋体"/>
                <w:color w:val="auto"/>
                <w:sz w:val="21"/>
                <w:szCs w:val="21"/>
              </w:rPr>
              <w:t>.0≥A档≥</w:t>
            </w:r>
            <w:r>
              <w:rPr>
                <w:rFonts w:hint="eastAsia" w:ascii="宋体" w:hAnsi="宋体"/>
                <w:color w:val="auto"/>
                <w:sz w:val="21"/>
                <w:szCs w:val="21"/>
                <w:lang w:val="en-US" w:eastAsia="zh-CN"/>
              </w:rPr>
              <w:t>4</w:t>
            </w:r>
            <w:r>
              <w:rPr>
                <w:rFonts w:ascii="宋体" w:hAnsi="宋体"/>
                <w:color w:val="auto"/>
                <w:sz w:val="21"/>
                <w:szCs w:val="21"/>
              </w:rPr>
              <w:t>.</w:t>
            </w:r>
            <w:r>
              <w:rPr>
                <w:rFonts w:hint="eastAsia" w:ascii="宋体" w:hAnsi="宋体"/>
                <w:color w:val="auto"/>
                <w:sz w:val="21"/>
                <w:szCs w:val="21"/>
                <w:lang w:val="en-US" w:eastAsia="zh-CN"/>
              </w:rPr>
              <w:t>5</w:t>
            </w:r>
          </w:p>
          <w:p>
            <w:pPr>
              <w:jc w:val="lef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4.5</w:t>
            </w:r>
            <w:r>
              <w:rPr>
                <w:rFonts w:hint="eastAsia" w:ascii="宋体" w:hAnsi="宋体"/>
                <w:color w:val="auto"/>
                <w:sz w:val="21"/>
                <w:szCs w:val="21"/>
              </w:rPr>
              <w:t>＞B档≥</w:t>
            </w:r>
            <w:r>
              <w:rPr>
                <w:rFonts w:hint="eastAsia" w:ascii="宋体" w:hAnsi="宋体"/>
                <w:color w:val="auto"/>
                <w:sz w:val="21"/>
                <w:szCs w:val="21"/>
                <w:lang w:val="en-US" w:eastAsia="zh-CN"/>
              </w:rPr>
              <w:t>3.0</w:t>
            </w:r>
          </w:p>
          <w:p>
            <w:pPr>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3</w:t>
            </w:r>
            <w:r>
              <w:rPr>
                <w:rFonts w:hint="eastAsia" w:ascii="宋体" w:hAnsi="宋体"/>
                <w:color w:val="auto"/>
                <w:sz w:val="21"/>
                <w:szCs w:val="21"/>
              </w:rPr>
              <w:t>.0＞C档≥1.</w:t>
            </w:r>
            <w:r>
              <w:rPr>
                <w:rFonts w:hint="eastAsia" w:ascii="宋体" w:hAnsi="宋体"/>
                <w:color w:val="auto"/>
                <w:sz w:val="21"/>
                <w:szCs w:val="21"/>
                <w:lang w:val="en-US" w:eastAsia="zh-CN"/>
              </w:rPr>
              <w:t>5</w:t>
            </w:r>
          </w:p>
          <w:p>
            <w:pPr>
              <w:jc w:val="left"/>
              <w:rPr>
                <w:rFonts w:hint="eastAsia" w:ascii="宋体" w:hAnsi="宋体" w:eastAsia="宋体"/>
                <w:color w:val="auto"/>
                <w:sz w:val="21"/>
                <w:szCs w:val="21"/>
                <w:lang w:val="en-US" w:eastAsia="zh-CN"/>
              </w:rPr>
            </w:pPr>
            <w:r>
              <w:rPr>
                <w:rFonts w:hint="eastAsia" w:ascii="宋体" w:hAnsi="宋体"/>
                <w:color w:val="auto"/>
                <w:sz w:val="21"/>
                <w:szCs w:val="21"/>
              </w:rPr>
              <w:t>1.</w:t>
            </w:r>
            <w:r>
              <w:rPr>
                <w:rFonts w:hint="eastAsia" w:ascii="宋体" w:hAnsi="宋体"/>
                <w:color w:val="auto"/>
                <w:sz w:val="21"/>
                <w:szCs w:val="21"/>
                <w:lang w:val="en-US" w:eastAsia="zh-CN"/>
              </w:rPr>
              <w:t>5</w:t>
            </w:r>
            <w:r>
              <w:rPr>
                <w:rFonts w:hint="eastAsia" w:ascii="宋体" w:hAnsi="宋体"/>
                <w:color w:val="auto"/>
                <w:sz w:val="21"/>
                <w:szCs w:val="21"/>
              </w:rPr>
              <w:t>＞D档≥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1"/>
                <w:szCs w:val="21"/>
              </w:rPr>
            </w:pPr>
          </w:p>
          <w:p>
            <w:pPr>
              <w:pStyle w:val="4"/>
              <w:rPr>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214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3.2</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投标人业绩</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投标人自202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年1月1日以来</w:t>
            </w:r>
            <w:r>
              <w:rPr>
                <w:rFonts w:hint="eastAsia" w:ascii="宋体" w:hAnsi="宋体"/>
                <w:color w:val="auto"/>
                <w:sz w:val="21"/>
                <w:szCs w:val="21"/>
                <w:highlight w:val="none"/>
                <w:lang w:eastAsia="zh-CN"/>
              </w:rPr>
              <w:t>单个合同金额≥</w:t>
            </w:r>
            <w:r>
              <w:rPr>
                <w:rFonts w:hint="eastAsia" w:ascii="宋体" w:hAnsi="宋体"/>
                <w:color w:val="auto"/>
                <w:sz w:val="21"/>
                <w:szCs w:val="21"/>
                <w:highlight w:val="none"/>
                <w:lang w:val="en-US" w:eastAsia="zh-CN"/>
              </w:rPr>
              <w:t>20万元的</w:t>
            </w:r>
            <w:r>
              <w:rPr>
                <w:rFonts w:hint="eastAsia" w:ascii="宋体" w:hAnsi="宋体"/>
                <w:color w:val="auto"/>
                <w:sz w:val="21"/>
                <w:szCs w:val="21"/>
                <w:highlight w:val="none"/>
                <w:lang w:eastAsia="zh-CN"/>
              </w:rPr>
              <w:t>同类业绩（污水处理厂或自来水厂或</w:t>
            </w:r>
            <w:r>
              <w:rPr>
                <w:rFonts w:hint="eastAsia" w:ascii="宋体" w:hAnsi="宋体"/>
                <w:color w:val="auto"/>
                <w:sz w:val="21"/>
                <w:szCs w:val="21"/>
                <w:highlight w:val="none"/>
              </w:rPr>
              <w:t>泵站</w:t>
            </w:r>
            <w:r>
              <w:rPr>
                <w:rFonts w:hint="eastAsia" w:ascii="宋体" w:hAnsi="宋体"/>
                <w:color w:val="auto"/>
                <w:sz w:val="21"/>
                <w:szCs w:val="21"/>
                <w:highlight w:val="none"/>
                <w:lang w:eastAsia="zh-CN"/>
              </w:rPr>
              <w:t>等场所的</w:t>
            </w:r>
            <w:r>
              <w:rPr>
                <w:rFonts w:hint="eastAsia" w:ascii="宋体" w:hAnsi="宋体"/>
                <w:color w:val="auto"/>
                <w:sz w:val="21"/>
                <w:szCs w:val="21"/>
                <w:highlight w:val="none"/>
              </w:rPr>
              <w:t>格栅机</w:t>
            </w:r>
            <w:r>
              <w:rPr>
                <w:rFonts w:hint="eastAsia" w:ascii="宋体" w:hAnsi="宋体"/>
                <w:color w:val="auto"/>
                <w:sz w:val="21"/>
                <w:szCs w:val="21"/>
                <w:highlight w:val="none"/>
                <w:lang w:eastAsia="zh-CN"/>
              </w:rPr>
              <w:t>维修或保养业绩）</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每提供一个</w:t>
            </w:r>
            <w:r>
              <w:rPr>
                <w:rFonts w:hint="eastAsia" w:ascii="宋体" w:hAnsi="宋体"/>
                <w:color w:val="auto"/>
                <w:sz w:val="21"/>
                <w:szCs w:val="21"/>
                <w:highlight w:val="none"/>
                <w:lang w:eastAsia="zh-CN"/>
              </w:rPr>
              <w:t>业绩得</w:t>
            </w:r>
            <w:r>
              <w:rPr>
                <w:rFonts w:hint="eastAsia" w:ascii="宋体" w:hAnsi="宋体"/>
                <w:color w:val="auto"/>
                <w:sz w:val="21"/>
                <w:szCs w:val="21"/>
                <w:highlight w:val="none"/>
                <w:lang w:val="en-US" w:eastAsia="zh-CN"/>
              </w:rPr>
              <w:t>1分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最高得</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c>
          <w:tcPr>
            <w:tcW w:w="2267" w:type="dxa"/>
            <w:tcBorders>
              <w:top w:val="single" w:color="auto" w:sz="4" w:space="0"/>
              <w:left w:val="single" w:color="auto" w:sz="4" w:space="0"/>
              <w:bottom w:val="single" w:color="auto" w:sz="4" w:space="0"/>
              <w:right w:val="single" w:color="auto" w:sz="4" w:space="0"/>
            </w:tcBorders>
            <w:vAlign w:val="center"/>
          </w:tcPr>
          <w:p>
            <w:pPr>
              <w:pStyle w:val="4"/>
              <w:ind w:left="0" w:leftChars="0" w:firstLine="0" w:firstLineChars="0"/>
              <w:rPr>
                <w:color w:val="auto"/>
                <w:highlight w:val="none"/>
              </w:rPr>
            </w:pPr>
            <w:r>
              <w:rPr>
                <w:rFonts w:ascii="Arial" w:hAnsi="宋体" w:cs="Arial"/>
                <w:color w:val="auto"/>
                <w:sz w:val="21"/>
                <w:szCs w:val="21"/>
              </w:rPr>
              <w:t>业绩证明材料须提供中标通知书或合同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419"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0"/>
                <w:szCs w:val="20"/>
                <w:lang w:eastAsia="zh-CN"/>
              </w:rPr>
            </w:pPr>
            <w:r>
              <w:rPr>
                <w:rFonts w:hint="eastAsia" w:ascii="宋体" w:hAnsi="宋体"/>
                <w:color w:val="auto"/>
                <w:sz w:val="20"/>
                <w:szCs w:val="20"/>
              </w:rPr>
              <w:t>3</w:t>
            </w:r>
            <w:r>
              <w:rPr>
                <w:rFonts w:ascii="宋体" w:hAnsi="宋体"/>
                <w:color w:val="auto"/>
                <w:sz w:val="20"/>
                <w:szCs w:val="20"/>
              </w:rPr>
              <w:t>.</w:t>
            </w:r>
            <w:r>
              <w:rPr>
                <w:rFonts w:hint="eastAsia" w:ascii="宋体" w:hAnsi="宋体"/>
                <w:color w:val="auto"/>
                <w:sz w:val="20"/>
                <w:szCs w:val="20"/>
                <w:lang w:val="en-US" w:eastAsia="zh-CN"/>
              </w:rPr>
              <w:t>3</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s="宋体"/>
                <w:color w:val="auto"/>
                <w:szCs w:val="21"/>
                <w:highlight w:val="none"/>
              </w:rPr>
              <w:t>项目</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人员情况</w:t>
            </w:r>
          </w:p>
        </w:tc>
        <w:tc>
          <w:tcPr>
            <w:tcW w:w="2268" w:type="dxa"/>
            <w:tcBorders>
              <w:top w:val="single" w:color="auto" w:sz="4" w:space="0"/>
              <w:left w:val="single" w:color="auto" w:sz="4" w:space="0"/>
              <w:bottom w:val="single" w:color="auto" w:sz="4" w:space="0"/>
              <w:right w:val="single" w:color="auto" w:sz="4" w:space="0"/>
            </w:tcBorders>
            <w:vAlign w:val="center"/>
          </w:tcPr>
          <w:p>
            <w:pPr>
              <w:pStyle w:val="293"/>
              <w:spacing w:line="340" w:lineRule="exact"/>
              <w:jc w:val="both"/>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投标人提供的针对本项目实施的人员的整体实力、专业技术、相关专业的持证情况等</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.0≥A档≥</w:t>
            </w:r>
            <w:r>
              <w:rPr>
                <w:rFonts w:hint="eastAsia" w:ascii="宋体" w:hAnsi="宋体"/>
                <w:color w:val="auto"/>
                <w:sz w:val="21"/>
                <w:szCs w:val="21"/>
                <w:lang w:val="en-US" w:eastAsia="zh-CN"/>
              </w:rPr>
              <w:t>6</w:t>
            </w:r>
            <w:r>
              <w:rPr>
                <w:rFonts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6</w:t>
            </w:r>
            <w:r>
              <w:rPr>
                <w:rFonts w:ascii="宋体" w:hAnsi="宋体"/>
                <w:color w:val="auto"/>
                <w:sz w:val="21"/>
                <w:szCs w:val="21"/>
              </w:rPr>
              <w:t>.0</w:t>
            </w:r>
            <w:r>
              <w:rPr>
                <w:rFonts w:hint="eastAsia" w:ascii="宋体" w:hAnsi="宋体"/>
                <w:color w:val="auto"/>
                <w:sz w:val="21"/>
                <w:szCs w:val="21"/>
              </w:rPr>
              <w:t>＞B档≥</w:t>
            </w:r>
            <w:r>
              <w:rPr>
                <w:rFonts w:hint="eastAsia" w:ascii="宋体" w:hAnsi="宋体"/>
                <w:color w:val="auto"/>
                <w:sz w:val="21"/>
                <w:szCs w:val="21"/>
                <w:lang w:val="en-US" w:eastAsia="zh-CN"/>
              </w:rPr>
              <w:t>4</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.0＞C档≥</w:t>
            </w:r>
            <w:r>
              <w:rPr>
                <w:rFonts w:hint="eastAsia" w:ascii="宋体" w:hAnsi="宋体"/>
                <w:color w:val="auto"/>
                <w:sz w:val="21"/>
                <w:szCs w:val="21"/>
                <w:lang w:val="en-US" w:eastAsia="zh-CN"/>
              </w:rPr>
              <w:t>2</w:t>
            </w:r>
            <w:r>
              <w:rPr>
                <w:rFonts w:hint="eastAsia" w:ascii="宋体" w:hAnsi="宋体"/>
                <w:color w:val="auto"/>
                <w:sz w:val="21"/>
                <w:szCs w:val="21"/>
              </w:rPr>
              <w:t>.0</w:t>
            </w:r>
          </w:p>
          <w:p>
            <w:pPr>
              <w:pStyle w:val="4"/>
              <w:ind w:left="0" w:leftChars="0" w:firstLine="0" w:firstLineChars="0"/>
              <w:rPr>
                <w:color w:val="auto"/>
              </w:rPr>
            </w:pPr>
            <w:r>
              <w:rPr>
                <w:rFonts w:hint="eastAsia" w:ascii="宋体" w:hAnsi="宋体"/>
                <w:color w:val="auto"/>
                <w:sz w:val="21"/>
                <w:szCs w:val="21"/>
                <w:lang w:val="en-US" w:eastAsia="zh-CN"/>
              </w:rPr>
              <w:t>2</w:t>
            </w:r>
            <w:r>
              <w:rPr>
                <w:rFonts w:hint="eastAsia" w:ascii="宋体" w:hAnsi="宋体"/>
                <w:color w:val="auto"/>
                <w:sz w:val="21"/>
                <w:szCs w:val="21"/>
              </w:rPr>
              <w:t>.0＞D档≥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pStyle w:val="22"/>
              <w:ind w:left="0"/>
              <w:rPr>
                <w:color w:val="auto"/>
                <w:sz w:val="21"/>
                <w:szCs w:val="21"/>
                <w:highlight w:val="none"/>
              </w:rPr>
            </w:pPr>
            <w:r>
              <w:rPr>
                <w:rFonts w:hint="eastAsia" w:ascii="宋体" w:hAnsi="宋体" w:cs="宋体"/>
                <w:color w:val="auto"/>
                <w:sz w:val="21"/>
                <w:szCs w:val="21"/>
                <w:lang w:val="en-US" w:eastAsia="zh-CN"/>
              </w:rPr>
              <w:t>所有个人证书都需提供本人在公司近三个月连续全额社保缴纳记录作为依据。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93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0"/>
                <w:szCs w:val="20"/>
                <w:lang w:eastAsia="zh-CN"/>
              </w:rPr>
            </w:pPr>
            <w:r>
              <w:rPr>
                <w:rFonts w:hint="eastAsia" w:ascii="宋体" w:hAnsi="宋体"/>
                <w:color w:val="auto"/>
                <w:sz w:val="20"/>
                <w:szCs w:val="20"/>
              </w:rPr>
              <w:t>3.</w:t>
            </w:r>
            <w:r>
              <w:rPr>
                <w:rFonts w:hint="eastAsia" w:ascii="宋体" w:hAnsi="宋体"/>
                <w:color w:val="auto"/>
                <w:sz w:val="20"/>
                <w:szCs w:val="20"/>
                <w:lang w:val="en-US" w:eastAsia="zh-CN"/>
              </w:rPr>
              <w:t>4</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投入</w:t>
            </w:r>
            <w:r>
              <w:rPr>
                <w:rFonts w:hint="eastAsia" w:ascii="宋体" w:hAnsi="宋体"/>
                <w:color w:val="auto"/>
                <w:sz w:val="21"/>
                <w:szCs w:val="21"/>
                <w:lang w:eastAsia="zh-CN"/>
              </w:rPr>
              <w:t>本项目专业</w:t>
            </w:r>
            <w:r>
              <w:rPr>
                <w:rFonts w:hint="eastAsia" w:ascii="宋体" w:hAnsi="宋体"/>
                <w:color w:val="auto"/>
                <w:sz w:val="21"/>
                <w:szCs w:val="21"/>
              </w:rPr>
              <w:t>设备及工具</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根据投标人提供的专业设备及工具配置是否合理等情况进行比较。</w:t>
            </w:r>
          </w:p>
          <w:p>
            <w:pPr>
              <w:rPr>
                <w:rFonts w:ascii="宋体" w:hAnsi="宋体" w:eastAsia="宋体" w:cs="Times New Roman"/>
                <w:color w:val="auto"/>
                <w:sz w:val="21"/>
                <w:szCs w:val="21"/>
                <w:highlight w:val="none"/>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.0≥A档≥</w:t>
            </w:r>
            <w:r>
              <w:rPr>
                <w:rFonts w:hint="eastAsia" w:ascii="宋体" w:hAnsi="宋体"/>
                <w:color w:val="auto"/>
                <w:sz w:val="21"/>
                <w:szCs w:val="21"/>
                <w:lang w:val="en-US" w:eastAsia="zh-CN"/>
              </w:rPr>
              <w:t>6</w:t>
            </w:r>
            <w:r>
              <w:rPr>
                <w:rFonts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6</w:t>
            </w:r>
            <w:r>
              <w:rPr>
                <w:rFonts w:ascii="宋体" w:hAnsi="宋体"/>
                <w:color w:val="auto"/>
                <w:sz w:val="21"/>
                <w:szCs w:val="21"/>
              </w:rPr>
              <w:t>.0</w:t>
            </w:r>
            <w:r>
              <w:rPr>
                <w:rFonts w:hint="eastAsia" w:ascii="宋体" w:hAnsi="宋体"/>
                <w:color w:val="auto"/>
                <w:sz w:val="21"/>
                <w:szCs w:val="21"/>
              </w:rPr>
              <w:t>＞B档≥</w:t>
            </w:r>
            <w:r>
              <w:rPr>
                <w:rFonts w:hint="eastAsia" w:ascii="宋体" w:hAnsi="宋体"/>
                <w:color w:val="auto"/>
                <w:sz w:val="21"/>
                <w:szCs w:val="21"/>
                <w:lang w:val="en-US" w:eastAsia="zh-CN"/>
              </w:rPr>
              <w:t>4</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.0＞C档≥</w:t>
            </w:r>
            <w:r>
              <w:rPr>
                <w:rFonts w:hint="eastAsia" w:ascii="宋体" w:hAnsi="宋体"/>
                <w:color w:val="auto"/>
                <w:sz w:val="21"/>
                <w:szCs w:val="21"/>
                <w:lang w:val="en-US" w:eastAsia="zh-CN"/>
              </w:rPr>
              <w:t>2</w:t>
            </w:r>
            <w:r>
              <w:rPr>
                <w:rFonts w:hint="eastAsia" w:ascii="宋体" w:hAnsi="宋体"/>
                <w:color w:val="auto"/>
                <w:sz w:val="21"/>
                <w:szCs w:val="21"/>
              </w:rPr>
              <w:t>.0</w:t>
            </w:r>
          </w:p>
          <w:p>
            <w:pPr>
              <w:spacing w:line="300" w:lineRule="exact"/>
              <w:rPr>
                <w:rFonts w:ascii="宋体" w:hAnsi="宋体" w:cs="Arial"/>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.0＞D档≥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ascii="宋体" w:hAnsi="宋体" w:cs="Arial"/>
                <w:color w:val="auto"/>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765"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1"/>
                <w:szCs w:val="21"/>
              </w:rPr>
            </w:pPr>
            <w:r>
              <w:rPr>
                <w:rFonts w:hint="eastAsia" w:ascii="宋体" w:hAnsi="宋体"/>
                <w:color w:val="auto"/>
                <w:sz w:val="21"/>
                <w:szCs w:val="21"/>
                <w:highlight w:val="none"/>
              </w:rPr>
              <w:t>项目</w:t>
            </w:r>
            <w:r>
              <w:rPr>
                <w:rFonts w:hint="eastAsia" w:ascii="宋体" w:hAnsi="宋体"/>
                <w:color w:val="auto"/>
                <w:sz w:val="21"/>
                <w:szCs w:val="21"/>
                <w:highlight w:val="none"/>
                <w:lang w:eastAsia="zh-CN"/>
              </w:rPr>
              <w:t>实施方案</w:t>
            </w:r>
            <w:r>
              <w:rPr>
                <w:rFonts w:hint="eastAsia" w:ascii="宋体" w:hAnsi="宋体"/>
                <w:color w:val="auto"/>
                <w:sz w:val="21"/>
                <w:szCs w:val="21"/>
                <w:highlight w:val="none"/>
              </w:rPr>
              <w:t>及</w:t>
            </w:r>
            <w:r>
              <w:rPr>
                <w:rFonts w:ascii="宋体" w:hAnsi="宋体"/>
                <w:color w:val="auto"/>
                <w:sz w:val="21"/>
                <w:szCs w:val="21"/>
                <w:highlight w:val="none"/>
              </w:rPr>
              <w:t>合理化建议</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auto"/>
                <w:sz w:val="21"/>
                <w:szCs w:val="21"/>
                <w:lang w:eastAsia="zh-CN"/>
              </w:rPr>
            </w:pPr>
            <w:r>
              <w:rPr>
                <w:rFonts w:ascii="宋体" w:hAnsi="宋体"/>
                <w:color w:val="auto"/>
                <w:sz w:val="21"/>
                <w:szCs w:val="21"/>
                <w:highlight w:val="none"/>
              </w:rPr>
              <w:t>根据</w:t>
            </w:r>
            <w:r>
              <w:rPr>
                <w:rFonts w:hint="eastAsia" w:ascii="宋体" w:hAnsi="宋体"/>
                <w:color w:val="auto"/>
                <w:sz w:val="21"/>
                <w:szCs w:val="21"/>
                <w:highlight w:val="none"/>
              </w:rPr>
              <w:t>投标人</w:t>
            </w:r>
            <w:r>
              <w:rPr>
                <w:rFonts w:hint="eastAsia" w:ascii="宋体" w:hAnsi="宋体"/>
                <w:color w:val="auto"/>
                <w:sz w:val="21"/>
                <w:szCs w:val="21"/>
                <w:highlight w:val="none"/>
                <w:lang w:eastAsia="zh-CN"/>
              </w:rPr>
              <w:t>提供的</w:t>
            </w:r>
            <w:r>
              <w:rPr>
                <w:rFonts w:hint="eastAsia" w:ascii="宋体" w:hAnsi="宋体" w:cs="宋体"/>
                <w:color w:val="auto"/>
                <w:szCs w:val="21"/>
                <w:highlight w:val="none"/>
                <w:lang w:val="zh-CN"/>
              </w:rPr>
              <w:t>项目实施方案、安全措施、以及</w:t>
            </w:r>
            <w:r>
              <w:rPr>
                <w:rFonts w:ascii="宋体" w:hAnsi="宋体"/>
                <w:color w:val="auto"/>
                <w:sz w:val="21"/>
                <w:szCs w:val="21"/>
                <w:highlight w:val="none"/>
              </w:rPr>
              <w:t>对本项目的</w:t>
            </w:r>
            <w:r>
              <w:rPr>
                <w:rFonts w:hint="eastAsia" w:ascii="宋体" w:hAnsi="宋体"/>
                <w:color w:val="auto"/>
                <w:sz w:val="21"/>
                <w:szCs w:val="21"/>
                <w:highlight w:val="none"/>
              </w:rPr>
              <w:t>了解程度、</w:t>
            </w:r>
            <w:r>
              <w:rPr>
                <w:rFonts w:ascii="宋体" w:hAnsi="宋体"/>
                <w:color w:val="auto"/>
                <w:sz w:val="21"/>
                <w:szCs w:val="21"/>
                <w:highlight w:val="none"/>
              </w:rPr>
              <w:t>合理化建议</w:t>
            </w:r>
            <w:r>
              <w:rPr>
                <w:rFonts w:hint="eastAsia" w:ascii="宋体" w:hAnsi="宋体"/>
                <w:color w:val="auto"/>
                <w:sz w:val="21"/>
                <w:szCs w:val="21"/>
                <w:highlight w:val="none"/>
                <w:lang w:eastAsia="zh-CN"/>
              </w:rPr>
              <w:t>等</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auto"/>
                <w:sz w:val="21"/>
                <w:szCs w:val="21"/>
                <w:lang w:val="en-US" w:eastAsia="zh-CN"/>
              </w:rPr>
            </w:pPr>
            <w:r>
              <w:rPr>
                <w:rFonts w:hint="eastAsia" w:ascii="宋体" w:hAnsi="宋体"/>
                <w:color w:val="auto"/>
                <w:sz w:val="21"/>
                <w:szCs w:val="21"/>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.0≥A档≥</w:t>
            </w:r>
            <w:r>
              <w:rPr>
                <w:rFonts w:hint="eastAsia" w:ascii="宋体" w:hAnsi="宋体"/>
                <w:color w:val="auto"/>
                <w:sz w:val="21"/>
                <w:szCs w:val="21"/>
                <w:lang w:val="en-US" w:eastAsia="zh-CN"/>
              </w:rPr>
              <w:t>6</w:t>
            </w:r>
            <w:r>
              <w:rPr>
                <w:rFonts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6</w:t>
            </w:r>
            <w:r>
              <w:rPr>
                <w:rFonts w:ascii="宋体" w:hAnsi="宋体"/>
                <w:color w:val="auto"/>
                <w:sz w:val="21"/>
                <w:szCs w:val="21"/>
              </w:rPr>
              <w:t>.0</w:t>
            </w:r>
            <w:r>
              <w:rPr>
                <w:rFonts w:hint="eastAsia" w:ascii="宋体" w:hAnsi="宋体"/>
                <w:color w:val="auto"/>
                <w:sz w:val="21"/>
                <w:szCs w:val="21"/>
              </w:rPr>
              <w:t>＞B档≥</w:t>
            </w:r>
            <w:r>
              <w:rPr>
                <w:rFonts w:hint="eastAsia" w:ascii="宋体" w:hAnsi="宋体"/>
                <w:color w:val="auto"/>
                <w:sz w:val="21"/>
                <w:szCs w:val="21"/>
                <w:lang w:val="en-US" w:eastAsia="zh-CN"/>
              </w:rPr>
              <w:t>4</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.0＞C档≥</w:t>
            </w:r>
            <w:r>
              <w:rPr>
                <w:rFonts w:hint="eastAsia" w:ascii="宋体" w:hAnsi="宋体"/>
                <w:color w:val="auto"/>
                <w:sz w:val="21"/>
                <w:szCs w:val="21"/>
                <w:lang w:val="en-US" w:eastAsia="zh-CN"/>
              </w:rPr>
              <w:t>2</w:t>
            </w:r>
            <w:r>
              <w:rPr>
                <w:rFonts w:hint="eastAsia" w:ascii="宋体" w:hAnsi="宋体"/>
                <w:color w:val="auto"/>
                <w:sz w:val="21"/>
                <w:szCs w:val="21"/>
              </w:rPr>
              <w:t>.0</w:t>
            </w:r>
          </w:p>
          <w:p>
            <w:pPr>
              <w:spacing w:line="300" w:lineRule="exact"/>
              <w:rPr>
                <w:rFonts w:hint="eastAsia" w:ascii="宋体" w:hAnsi="宋体"/>
                <w:color w:val="auto"/>
                <w:sz w:val="21"/>
                <w:szCs w:val="21"/>
                <w:lang w:val="en-US" w:eastAsia="zh-CN"/>
              </w:rPr>
            </w:pPr>
            <w:r>
              <w:rPr>
                <w:rFonts w:hint="eastAsia" w:ascii="宋体" w:hAnsi="宋体"/>
                <w:color w:val="auto"/>
                <w:sz w:val="21"/>
                <w:szCs w:val="21"/>
                <w:lang w:val="en-US" w:eastAsia="zh-CN"/>
              </w:rPr>
              <w:t>2</w:t>
            </w:r>
            <w:r>
              <w:rPr>
                <w:rFonts w:hint="eastAsia" w:ascii="宋体" w:hAnsi="宋体"/>
                <w:color w:val="auto"/>
                <w:sz w:val="21"/>
                <w:szCs w:val="21"/>
              </w:rPr>
              <w:t>.0＞D档≥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ascii="宋体" w:hAnsi="宋体" w:cs="Arial"/>
                <w:color w:val="auto"/>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273" w:hRule="atLeast"/>
          <w:jc w:val="center"/>
        </w:trPr>
        <w:tc>
          <w:tcPr>
            <w:tcW w:w="8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0"/>
                <w:szCs w:val="20"/>
                <w:lang w:eastAsia="zh-CN"/>
              </w:rPr>
            </w:pPr>
            <w:r>
              <w:rPr>
                <w:rFonts w:hint="eastAsia" w:ascii="宋体" w:hAnsi="宋体"/>
                <w:color w:val="auto"/>
                <w:sz w:val="20"/>
                <w:szCs w:val="20"/>
              </w:rPr>
              <w:t>3.</w:t>
            </w:r>
            <w:r>
              <w:rPr>
                <w:rFonts w:hint="eastAsia" w:ascii="宋体" w:hAnsi="宋体"/>
                <w:color w:val="auto"/>
                <w:sz w:val="20"/>
                <w:szCs w:val="20"/>
                <w:lang w:val="en-US" w:eastAsia="zh-CN"/>
              </w:rPr>
              <w:t>6</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服务</w:t>
            </w:r>
            <w:r>
              <w:rPr>
                <w:rFonts w:hint="eastAsia" w:ascii="宋体" w:hAnsi="宋体"/>
                <w:color w:val="auto"/>
                <w:sz w:val="21"/>
                <w:szCs w:val="21"/>
                <w:lang w:eastAsia="zh-CN"/>
              </w:rPr>
              <w:t>网点及</w:t>
            </w:r>
            <w:r>
              <w:rPr>
                <w:rFonts w:hint="eastAsia" w:ascii="宋体" w:hAnsi="宋体"/>
                <w:color w:val="auto"/>
                <w:sz w:val="21"/>
                <w:szCs w:val="21"/>
              </w:rPr>
              <w:t>服务承诺</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sz w:val="21"/>
                <w:szCs w:val="21"/>
                <w:lang w:eastAsia="zh-CN"/>
              </w:rPr>
            </w:pPr>
            <w:r>
              <w:rPr>
                <w:rFonts w:hint="eastAsia" w:ascii="宋体" w:hAnsi="宋体"/>
                <w:color w:val="auto"/>
                <w:sz w:val="21"/>
                <w:szCs w:val="21"/>
                <w:lang w:eastAsia="zh-CN"/>
              </w:rPr>
              <w:t>根据投标人服务网点同瑞安市的距离、</w:t>
            </w:r>
            <w:r>
              <w:rPr>
                <w:rFonts w:hint="eastAsia" w:ascii="新宋体" w:hAnsi="新宋体" w:eastAsia="新宋体" w:cs="新宋体"/>
                <w:b w:val="0"/>
                <w:bCs/>
                <w:color w:val="auto"/>
                <w:kern w:val="2"/>
                <w:sz w:val="22"/>
                <w:szCs w:val="22"/>
                <w:highlight w:val="none"/>
                <w:lang w:val="en-US" w:eastAsia="zh-CN" w:bidi="ar-SA"/>
              </w:rPr>
              <w:t>便利性、规模等情况进行综合比较打分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eastAsia="宋体"/>
                <w:color w:val="auto"/>
                <w:sz w:val="21"/>
                <w:szCs w:val="21"/>
                <w:lang w:eastAsia="zh-CN"/>
              </w:rPr>
            </w:pPr>
            <w:r>
              <w:rPr>
                <w:rFonts w:hint="eastAsia" w:ascii="宋体" w:hAnsi="宋体"/>
                <w:color w:val="auto"/>
                <w:sz w:val="21"/>
                <w:szCs w:val="21"/>
              </w:rPr>
              <w:t>4.0≥A档≥3</w:t>
            </w:r>
            <w:r>
              <w:rPr>
                <w:rFonts w:ascii="宋体" w:hAnsi="宋体"/>
                <w:color w:val="auto"/>
                <w:sz w:val="21"/>
                <w:szCs w:val="21"/>
              </w:rPr>
              <w:t>.</w:t>
            </w:r>
            <w:r>
              <w:rPr>
                <w:rFonts w:hint="eastAsia" w:ascii="宋体" w:hAnsi="宋体"/>
                <w:color w:val="auto"/>
                <w:sz w:val="21"/>
                <w:szCs w:val="21"/>
                <w:lang w:val="en-US" w:eastAsia="zh-CN"/>
              </w:rPr>
              <w:t>0</w:t>
            </w:r>
          </w:p>
          <w:p>
            <w:pPr>
              <w:jc w:val="left"/>
              <w:rPr>
                <w:rFonts w:hint="eastAsia"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lang w:val="en-US" w:eastAsia="zh-CN"/>
              </w:rPr>
              <w:t>0</w:t>
            </w:r>
            <w:r>
              <w:rPr>
                <w:rFonts w:hint="eastAsia" w:ascii="宋体" w:hAnsi="宋体"/>
                <w:color w:val="auto"/>
                <w:sz w:val="21"/>
                <w:szCs w:val="21"/>
              </w:rPr>
              <w:t>＞B档≥2.0</w:t>
            </w:r>
          </w:p>
          <w:p>
            <w:pPr>
              <w:jc w:val="left"/>
              <w:rPr>
                <w:rFonts w:hint="eastAsia" w:ascii="宋体" w:hAnsi="宋体" w:eastAsia="宋体"/>
                <w:color w:val="auto"/>
                <w:sz w:val="21"/>
                <w:szCs w:val="21"/>
                <w:lang w:eastAsia="zh-CN"/>
              </w:rPr>
            </w:pPr>
            <w:r>
              <w:rPr>
                <w:rFonts w:hint="eastAsia" w:ascii="宋体" w:hAnsi="宋体"/>
                <w:color w:val="auto"/>
                <w:sz w:val="21"/>
                <w:szCs w:val="21"/>
              </w:rPr>
              <w:t>2</w:t>
            </w:r>
            <w:r>
              <w:rPr>
                <w:rFonts w:ascii="宋体" w:hAnsi="宋体"/>
                <w:color w:val="auto"/>
                <w:sz w:val="21"/>
                <w:szCs w:val="21"/>
              </w:rPr>
              <w:t>.0</w:t>
            </w:r>
            <w:r>
              <w:rPr>
                <w:rFonts w:hint="eastAsia" w:ascii="宋体" w:hAnsi="宋体"/>
                <w:color w:val="auto"/>
                <w:sz w:val="21"/>
                <w:szCs w:val="21"/>
              </w:rPr>
              <w:t>＞C档≥</w:t>
            </w:r>
            <w:r>
              <w:rPr>
                <w:rFonts w:hint="eastAsia" w:ascii="宋体" w:hAnsi="宋体"/>
                <w:color w:val="auto"/>
                <w:sz w:val="21"/>
                <w:szCs w:val="21"/>
                <w:lang w:val="en-US" w:eastAsia="zh-CN"/>
              </w:rPr>
              <w:t>1</w:t>
            </w:r>
            <w:r>
              <w:rPr>
                <w:rFonts w:hint="eastAsia" w:ascii="宋体" w:hAnsi="宋体"/>
                <w:color w:val="auto"/>
                <w:sz w:val="21"/>
                <w:szCs w:val="21"/>
              </w:rPr>
              <w:t>.</w:t>
            </w:r>
            <w:r>
              <w:rPr>
                <w:rFonts w:hint="eastAsia" w:ascii="宋体" w:hAnsi="宋体"/>
                <w:color w:val="auto"/>
                <w:sz w:val="21"/>
                <w:szCs w:val="21"/>
                <w:lang w:val="en-US" w:eastAsia="zh-CN"/>
              </w:rPr>
              <w:t>0</w:t>
            </w:r>
          </w:p>
          <w:p>
            <w:pPr>
              <w:jc w:val="left"/>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w:t>
            </w:r>
            <w:r>
              <w:rPr>
                <w:rFonts w:hint="eastAsia" w:ascii="宋体" w:hAnsi="宋体"/>
                <w:color w:val="auto"/>
                <w:sz w:val="21"/>
                <w:szCs w:val="21"/>
                <w:lang w:val="en-US" w:eastAsia="zh-CN"/>
              </w:rPr>
              <w:t>0</w:t>
            </w:r>
            <w:r>
              <w:rPr>
                <w:rFonts w:hint="eastAsia" w:ascii="宋体" w:hAnsi="宋体"/>
                <w:color w:val="auto"/>
                <w:sz w:val="21"/>
                <w:szCs w:val="21"/>
              </w:rPr>
              <w:t>＞D档≥0</w:t>
            </w:r>
          </w:p>
        </w:tc>
        <w:tc>
          <w:tcPr>
            <w:tcW w:w="22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color w:val="auto"/>
                <w:sz w:val="21"/>
                <w:szCs w:val="21"/>
                <w:lang w:eastAsia="zh-CN"/>
              </w:rPr>
            </w:pPr>
            <w:r>
              <w:rPr>
                <w:rFonts w:hint="eastAsia"/>
                <w:color w:val="auto"/>
                <w:sz w:val="21"/>
                <w:szCs w:val="21"/>
                <w:lang w:eastAsia="zh-CN"/>
              </w:rPr>
              <w:t>服务网点地址证明材料需</w:t>
            </w:r>
            <w:r>
              <w:rPr>
                <w:rFonts w:hint="eastAsia" w:ascii="宋体" w:hAnsi="宋体" w:eastAsia="宋体" w:cs="宋体"/>
                <w:color w:val="auto"/>
                <w:kern w:val="2"/>
                <w:sz w:val="21"/>
                <w:szCs w:val="21"/>
                <w:highlight w:val="none"/>
                <w:lang w:val="en-US" w:eastAsia="zh-CN" w:bidi="ar-SA"/>
              </w:rPr>
              <w:t>提供相应场地的购置或租赁证明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358" w:hRule="atLeast"/>
          <w:jc w:val="center"/>
        </w:trPr>
        <w:tc>
          <w:tcPr>
            <w:tcW w:w="8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sz w:val="21"/>
                <w:szCs w:val="21"/>
                <w:lang w:eastAsia="zh-CN"/>
              </w:rPr>
            </w:pPr>
            <w:r>
              <w:rPr>
                <w:rFonts w:hint="eastAsia" w:ascii="宋体" w:hAnsi="宋体" w:cs="宋体"/>
                <w:color w:val="auto"/>
                <w:szCs w:val="21"/>
                <w:highlight w:val="none"/>
              </w:rPr>
              <w:t>根据投标人的</w:t>
            </w:r>
            <w:r>
              <w:rPr>
                <w:rFonts w:hint="eastAsia" w:ascii="宋体" w:hAnsi="宋体" w:cs="宋体"/>
                <w:color w:val="auto"/>
                <w:szCs w:val="21"/>
                <w:highlight w:val="none"/>
                <w:lang w:eastAsia="zh-CN"/>
              </w:rPr>
              <w:t>故障响应时间、售后服务承诺等综合打分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lang w:val="en-US" w:eastAsia="zh-CN"/>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.0≥A档≥</w:t>
            </w:r>
            <w:r>
              <w:rPr>
                <w:rFonts w:hint="eastAsia" w:ascii="宋体" w:hAnsi="宋体"/>
                <w:color w:val="auto"/>
                <w:sz w:val="21"/>
                <w:szCs w:val="21"/>
                <w:lang w:val="en-US" w:eastAsia="zh-CN"/>
              </w:rPr>
              <w:t>1</w:t>
            </w:r>
            <w:r>
              <w:rPr>
                <w:rFonts w:ascii="宋体" w:hAnsi="宋体"/>
                <w:color w:val="auto"/>
                <w:sz w:val="21"/>
                <w:szCs w:val="21"/>
              </w:rPr>
              <w:t>.5</w:t>
            </w:r>
          </w:p>
          <w:p>
            <w:pPr>
              <w:jc w:val="left"/>
              <w:rPr>
                <w:rFonts w:hint="eastAsia" w:ascii="宋体" w:hAnsi="宋体"/>
                <w:color w:val="auto"/>
                <w:sz w:val="21"/>
                <w:szCs w:val="21"/>
              </w:rPr>
            </w:pPr>
            <w:r>
              <w:rPr>
                <w:rFonts w:hint="eastAsia" w:ascii="宋体" w:hAnsi="宋体"/>
                <w:color w:val="auto"/>
                <w:sz w:val="21"/>
                <w:szCs w:val="21"/>
                <w:lang w:val="en-US" w:eastAsia="zh-CN"/>
              </w:rPr>
              <w:t>1</w:t>
            </w:r>
            <w:r>
              <w:rPr>
                <w:rFonts w:ascii="宋体" w:hAnsi="宋体"/>
                <w:color w:val="auto"/>
                <w:sz w:val="21"/>
                <w:szCs w:val="21"/>
              </w:rPr>
              <w:t>.5</w:t>
            </w:r>
            <w:r>
              <w:rPr>
                <w:rFonts w:hint="eastAsia" w:ascii="宋体" w:hAnsi="宋体"/>
                <w:color w:val="auto"/>
                <w:sz w:val="21"/>
                <w:szCs w:val="21"/>
              </w:rPr>
              <w:t>＞B档≥</w:t>
            </w:r>
            <w:r>
              <w:rPr>
                <w:rFonts w:hint="eastAsia" w:ascii="宋体" w:hAnsi="宋体"/>
                <w:color w:val="auto"/>
                <w:sz w:val="21"/>
                <w:szCs w:val="21"/>
                <w:lang w:val="en-US" w:eastAsia="zh-CN"/>
              </w:rPr>
              <w:t>1</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1</w:t>
            </w:r>
            <w:r>
              <w:rPr>
                <w:rFonts w:ascii="宋体" w:hAnsi="宋体"/>
                <w:color w:val="auto"/>
                <w:sz w:val="21"/>
                <w:szCs w:val="21"/>
              </w:rPr>
              <w:t>.0</w:t>
            </w:r>
            <w:r>
              <w:rPr>
                <w:rFonts w:hint="eastAsia" w:ascii="宋体" w:hAnsi="宋体"/>
                <w:color w:val="auto"/>
                <w:sz w:val="21"/>
                <w:szCs w:val="21"/>
              </w:rPr>
              <w:t>＞C档≥0.</w:t>
            </w:r>
            <w:r>
              <w:rPr>
                <w:rFonts w:ascii="宋体" w:hAnsi="宋体"/>
                <w:color w:val="auto"/>
                <w:sz w:val="21"/>
                <w:szCs w:val="21"/>
              </w:rPr>
              <w:t>5</w:t>
            </w:r>
          </w:p>
          <w:p>
            <w:pPr>
              <w:jc w:val="both"/>
              <w:rPr>
                <w:rFonts w:ascii="宋体" w:hAnsi="宋体"/>
                <w:color w:val="auto"/>
                <w:sz w:val="21"/>
                <w:szCs w:val="21"/>
              </w:rPr>
            </w:pPr>
            <w:r>
              <w:rPr>
                <w:rFonts w:hint="eastAsia" w:ascii="宋体" w:hAnsi="宋体"/>
                <w:color w:val="auto"/>
                <w:sz w:val="21"/>
                <w:szCs w:val="21"/>
              </w:rPr>
              <w:t>0.</w:t>
            </w:r>
            <w:r>
              <w:rPr>
                <w:rFonts w:ascii="宋体" w:hAnsi="宋体"/>
                <w:color w:val="auto"/>
                <w:sz w:val="21"/>
                <w:szCs w:val="21"/>
              </w:rPr>
              <w:t>5</w:t>
            </w:r>
            <w:r>
              <w:rPr>
                <w:rFonts w:hint="eastAsia" w:ascii="宋体" w:hAnsi="宋体"/>
                <w:color w:val="auto"/>
                <w:sz w:val="21"/>
                <w:szCs w:val="21"/>
              </w:rPr>
              <w:t>＞D档≥0</w:t>
            </w:r>
          </w:p>
        </w:tc>
        <w:tc>
          <w:tcPr>
            <w:tcW w:w="2267"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643" w:hRule="atLeast"/>
          <w:jc w:val="center"/>
        </w:trPr>
        <w:tc>
          <w:tcPr>
            <w:tcW w:w="818" w:type="dxa"/>
            <w:tcBorders>
              <w:top w:val="single" w:color="auto" w:sz="4" w:space="0"/>
            </w:tcBorders>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w:t>
            </w:r>
          </w:p>
        </w:tc>
        <w:tc>
          <w:tcPr>
            <w:tcW w:w="1276" w:type="dxa"/>
            <w:gridSpan w:val="2"/>
            <w:tcBorders>
              <w:top w:val="single" w:color="auto" w:sz="4" w:space="0"/>
            </w:tcBorders>
            <w:vAlign w:val="center"/>
          </w:tcPr>
          <w:p>
            <w:pPr>
              <w:jc w:val="center"/>
              <w:rPr>
                <w:rFonts w:ascii="Arial" w:hAnsi="宋体" w:cs="Arial"/>
                <w:i/>
                <w:snapToGrid w:val="0"/>
                <w:color w:val="auto"/>
                <w:kern w:val="0"/>
                <w:szCs w:val="21"/>
              </w:rPr>
            </w:pPr>
            <w:r>
              <w:rPr>
                <w:rFonts w:hint="eastAsia" w:ascii="Arial" w:hAnsi="宋体" w:cs="Arial"/>
                <w:bCs/>
                <w:snapToGrid w:val="0"/>
                <w:color w:val="auto"/>
                <w:kern w:val="0"/>
                <w:szCs w:val="21"/>
              </w:rPr>
              <w:t>商务标</w:t>
            </w:r>
          </w:p>
        </w:tc>
        <w:tc>
          <w:tcPr>
            <w:tcW w:w="7795" w:type="dxa"/>
            <w:gridSpan w:val="5"/>
            <w:tcBorders>
              <w:top w:val="single" w:color="auto" w:sz="4" w:space="0"/>
            </w:tcBorders>
            <w:vAlign w:val="center"/>
          </w:tcPr>
          <w:p>
            <w:pPr>
              <w:jc w:val="center"/>
              <w:rPr>
                <w:rFonts w:ascii="Arial" w:hAnsi="宋体" w:cs="Arial"/>
                <w:i/>
                <w:snapToGrid w:val="0"/>
                <w:color w:val="auto"/>
                <w:kern w:val="0"/>
                <w:szCs w:val="21"/>
              </w:rPr>
            </w:pPr>
            <w:r>
              <w:rPr>
                <w:rFonts w:ascii="Arial" w:hAnsi="宋体" w:cs="Arial"/>
                <w:bCs/>
                <w:snapToGrid w:val="0"/>
                <w:color w:val="auto"/>
                <w:kern w:val="0"/>
                <w:szCs w:val="21"/>
              </w:rPr>
              <w:t>合计</w:t>
            </w:r>
            <w:r>
              <w:rPr>
                <w:rFonts w:hint="eastAsia" w:ascii="Arial" w:hAnsi="宋体" w:cs="Arial"/>
                <w:bCs/>
                <w:snapToGrid w:val="0"/>
                <w:color w:val="auto"/>
                <w:kern w:val="0"/>
                <w:szCs w:val="21"/>
                <w:lang w:val="en-US" w:eastAsia="zh-CN"/>
              </w:rPr>
              <w:t>6</w:t>
            </w:r>
            <w:r>
              <w:rPr>
                <w:rFonts w:hint="eastAsia" w:ascii="Arial" w:hAnsi="宋体" w:cs="Arial"/>
                <w:bCs/>
                <w:snapToGrid w:val="0"/>
                <w:color w:val="auto"/>
                <w:kern w:val="0"/>
                <w:szCs w:val="21"/>
              </w:rPr>
              <w:t>0</w:t>
            </w:r>
            <w:r>
              <w:rPr>
                <w:rFonts w:ascii="Arial" w:hAnsi="宋体" w:cs="Arial"/>
                <w:bCs/>
                <w:snapToGrid w:val="0"/>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760" w:hRule="atLeast"/>
          <w:jc w:val="center"/>
        </w:trPr>
        <w:tc>
          <w:tcPr>
            <w:tcW w:w="818" w:type="dxa"/>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4.1</w:t>
            </w:r>
          </w:p>
        </w:tc>
        <w:tc>
          <w:tcPr>
            <w:tcW w:w="9071" w:type="dxa"/>
            <w:gridSpan w:val="7"/>
            <w:vAlign w:val="center"/>
          </w:tcPr>
          <w:p>
            <w:pPr>
              <w:rPr>
                <w:rFonts w:ascii="Arial" w:hAnsi="宋体" w:cs="Arial"/>
                <w:b/>
                <w:snapToGrid w:val="0"/>
                <w:color w:val="auto"/>
                <w:kern w:val="0"/>
                <w:szCs w:val="21"/>
              </w:rPr>
            </w:pPr>
            <w:r>
              <w:rPr>
                <w:rFonts w:hint="eastAsia" w:ascii="Arial" w:hAnsi="宋体" w:cs="Arial"/>
                <w:b/>
                <w:snapToGrid w:val="0"/>
                <w:color w:val="auto"/>
                <w:kern w:val="0"/>
                <w:szCs w:val="21"/>
              </w:rPr>
              <w:t>报价文件的初评</w:t>
            </w:r>
          </w:p>
          <w:p>
            <w:pPr>
              <w:rPr>
                <w:rFonts w:ascii="Arial" w:hAnsi="宋体" w:cs="Arial"/>
                <w:snapToGrid w:val="0"/>
                <w:color w:val="auto"/>
                <w:kern w:val="0"/>
                <w:szCs w:val="21"/>
              </w:rPr>
            </w:pPr>
            <w:r>
              <w:rPr>
                <w:rFonts w:hint="eastAsia" w:ascii="Arial" w:hAnsi="宋体" w:cs="Arial"/>
                <w:snapToGrid w:val="0"/>
                <w:color w:val="auto"/>
                <w:kern w:val="0"/>
                <w:szCs w:val="21"/>
              </w:rPr>
              <w:t>报价文件开标后评标专家组成员对各投标供应商的报价文件进行审查。</w:t>
            </w:r>
          </w:p>
          <w:p>
            <w:pPr>
              <w:numPr>
                <w:ilvl w:val="0"/>
                <w:numId w:val="28"/>
              </w:numPr>
              <w:rPr>
                <w:rFonts w:ascii="Arial" w:hAnsi="宋体" w:cs="Arial"/>
                <w:snapToGrid w:val="0"/>
                <w:color w:val="auto"/>
                <w:kern w:val="0"/>
                <w:szCs w:val="21"/>
              </w:rPr>
            </w:pPr>
            <w:r>
              <w:rPr>
                <w:rFonts w:hint="eastAsia" w:ascii="Arial" w:hAnsi="宋体" w:cs="Arial"/>
                <w:snapToGrid w:val="0"/>
                <w:color w:val="auto"/>
                <w:kern w:val="0"/>
                <w:szCs w:val="21"/>
              </w:rPr>
              <w:t>报价文件中有无差错</w:t>
            </w:r>
            <w:r>
              <w:rPr>
                <w:rFonts w:ascii="Arial" w:hAnsi="宋体" w:cs="Arial"/>
                <w:snapToGrid w:val="0"/>
                <w:color w:val="auto"/>
                <w:kern w:val="0"/>
                <w:szCs w:val="21"/>
              </w:rPr>
              <w:t>(遗漏或多计)或存在严重不平衡报价</w:t>
            </w:r>
            <w:r>
              <w:rPr>
                <w:rFonts w:hint="eastAsia" w:ascii="Arial" w:hAnsi="宋体" w:cs="Arial"/>
                <w:snapToGrid w:val="0"/>
                <w:color w:val="auto"/>
                <w:kern w:val="0"/>
                <w:szCs w:val="21"/>
              </w:rPr>
              <w:t>；</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开标时投标文件中开标一览表（报价表）内容与投标文件中相应内容不一致的，以开标一览表（报价表）为准。</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大写金额和小写金额不一致的，以大写金额为准；</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单价金额小数点或者百分比有明显错位的，以开标一览表的总价为准，并修正单价；</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总价金额与按单价汇总金额不一致的，以单价金额计算结果为准。</w:t>
            </w:r>
          </w:p>
          <w:p>
            <w:pPr>
              <w:numPr>
                <w:ilvl w:val="0"/>
                <w:numId w:val="29"/>
              </w:numPr>
              <w:tabs>
                <w:tab w:val="left" w:pos="426"/>
                <w:tab w:val="left" w:pos="993"/>
              </w:tabs>
              <w:snapToGrid w:val="0"/>
              <w:rPr>
                <w:rFonts w:ascii="Arial" w:hAnsi="Arial"/>
                <w:color w:val="auto"/>
                <w:szCs w:val="21"/>
              </w:rPr>
            </w:pPr>
            <w:r>
              <w:rPr>
                <w:rFonts w:hint="eastAsia" w:ascii="Arial" w:hAnsi="宋体" w:cs="Arial"/>
                <w:snapToGrid w:val="0"/>
                <w:color w:val="auto"/>
                <w:kern w:val="0"/>
                <w:szCs w:val="21"/>
              </w:rPr>
              <w:t>如投标文件正本与副本表示的有差别，以正本为准，修正副本。</w:t>
            </w:r>
          </w:p>
          <w:p>
            <w:pPr>
              <w:numPr>
                <w:ilvl w:val="0"/>
                <w:numId w:val="29"/>
              </w:numPr>
              <w:tabs>
                <w:tab w:val="left" w:pos="426"/>
                <w:tab w:val="left" w:pos="993"/>
              </w:tabs>
              <w:snapToGrid w:val="0"/>
              <w:rPr>
                <w:rFonts w:ascii="Arial" w:hAnsi="Arial"/>
                <w:color w:val="auto"/>
                <w:szCs w:val="21"/>
              </w:rPr>
            </w:pPr>
            <w:r>
              <w:rPr>
                <w:rFonts w:hint="eastAsia" w:ascii="Arial" w:hAnsi="Arial"/>
                <w:color w:val="auto"/>
                <w:szCs w:val="21"/>
                <w:u w:val="wave"/>
              </w:rPr>
              <w:t>▲如投标供应商缺漏项价格比例达到投标报价的5%（含）以上时，属于商务重大偏离，评标委员会将对其投标按无效标处理。</w:t>
            </w:r>
          </w:p>
          <w:p>
            <w:pPr>
              <w:numPr>
                <w:ilvl w:val="0"/>
                <w:numId w:val="29"/>
              </w:numPr>
              <w:tabs>
                <w:tab w:val="left" w:pos="426"/>
                <w:tab w:val="left" w:pos="993"/>
              </w:tabs>
              <w:snapToGrid w:val="0"/>
              <w:rPr>
                <w:rFonts w:ascii="Arial" w:hAnsi="宋体" w:cs="Arial"/>
                <w:snapToGrid w:val="0"/>
                <w:color w:val="auto"/>
                <w:kern w:val="0"/>
                <w:szCs w:val="21"/>
              </w:rPr>
            </w:pPr>
            <w:r>
              <w:rPr>
                <w:rFonts w:hint="eastAsia" w:ascii="Arial" w:hAnsi="Arial"/>
                <w:color w:val="auto"/>
                <w:szCs w:val="21"/>
              </w:rPr>
              <w:t>如投标供应商的投标文件前后矛盾，评委会将做出不利于投标供应商的修正。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760" w:hRule="atLeast"/>
          <w:jc w:val="center"/>
        </w:trPr>
        <w:tc>
          <w:tcPr>
            <w:tcW w:w="818" w:type="dxa"/>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4.2</w:t>
            </w:r>
          </w:p>
        </w:tc>
        <w:tc>
          <w:tcPr>
            <w:tcW w:w="9071" w:type="dxa"/>
            <w:gridSpan w:val="7"/>
            <w:vAlign w:val="center"/>
          </w:tcPr>
          <w:p>
            <w:pPr>
              <w:pStyle w:val="40"/>
              <w:spacing w:line="360" w:lineRule="exact"/>
              <w:ind w:left="0" w:leftChars="0" w:firstLine="0" w:firstLineChars="0"/>
              <w:rPr>
                <w:rFonts w:ascii="宋体" w:hAnsi="宋体"/>
                <w:b/>
                <w:snapToGrid w:val="0"/>
                <w:color w:val="auto"/>
              </w:rPr>
            </w:pPr>
            <w:r>
              <w:rPr>
                <w:rFonts w:ascii="宋体" w:hAnsi="宋体"/>
                <w:b/>
                <w:color w:val="auto"/>
              </w:rPr>
              <w:t>报价得分</w:t>
            </w:r>
            <w:r>
              <w:rPr>
                <w:rFonts w:hint="eastAsia" w:ascii="宋体" w:hAnsi="宋体"/>
                <w:b/>
                <w:color w:val="auto"/>
              </w:rPr>
              <w:t>：</w:t>
            </w:r>
            <w:r>
              <w:rPr>
                <w:rFonts w:ascii="宋体" w:hAnsi="宋体"/>
                <w:b/>
                <w:color w:val="auto"/>
              </w:rPr>
              <w:t xml:space="preserve"> </w:t>
            </w:r>
          </w:p>
          <w:p>
            <w:pPr>
              <w:snapToGrid w:val="0"/>
              <w:spacing w:line="360" w:lineRule="exact"/>
              <w:rPr>
                <w:rFonts w:ascii="宋体" w:hAnsi="宋体"/>
                <w:b/>
                <w:snapToGrid w:val="0"/>
                <w:color w:val="auto"/>
                <w:szCs w:val="20"/>
              </w:rPr>
            </w:pPr>
            <w:r>
              <w:rPr>
                <w:rFonts w:hint="eastAsia" w:ascii="宋体" w:hAnsi="宋体"/>
                <w:color w:val="auto"/>
                <w:szCs w:val="20"/>
              </w:rPr>
              <w:t>资格及符合性审查通过并且资信技术标得分由高到低排名前四名的投标单位参加报价评分。</w:t>
            </w:r>
          </w:p>
          <w:p>
            <w:pPr>
              <w:jc w:val="left"/>
              <w:rPr>
                <w:rFonts w:ascii="宋体" w:hAnsi="宋体" w:cs="Arial"/>
                <w:bCs/>
                <w:snapToGrid w:val="0"/>
                <w:color w:val="auto"/>
                <w:kern w:val="0"/>
                <w:szCs w:val="20"/>
              </w:rPr>
            </w:pPr>
            <w:r>
              <w:rPr>
                <w:rFonts w:hint="eastAsia" w:ascii="宋体" w:hAnsi="宋体" w:cs="Arial"/>
                <w:snapToGrid w:val="0"/>
                <w:color w:val="auto"/>
                <w:kern w:val="0"/>
                <w:szCs w:val="20"/>
              </w:rPr>
              <w:t>商务标总分</w:t>
            </w:r>
            <w:r>
              <w:rPr>
                <w:rFonts w:hint="eastAsia" w:ascii="宋体" w:hAnsi="宋体" w:cs="Arial"/>
                <w:bCs/>
                <w:snapToGrid w:val="0"/>
                <w:color w:val="auto"/>
                <w:kern w:val="0"/>
                <w:szCs w:val="20"/>
                <w:lang w:val="en-US" w:eastAsia="zh-CN"/>
              </w:rPr>
              <w:t>6</w:t>
            </w:r>
            <w:r>
              <w:rPr>
                <w:rFonts w:ascii="宋体" w:hAnsi="宋体" w:cs="Arial"/>
                <w:bCs/>
                <w:snapToGrid w:val="0"/>
                <w:color w:val="auto"/>
                <w:kern w:val="0"/>
                <w:szCs w:val="20"/>
              </w:rPr>
              <w:t>0</w:t>
            </w:r>
            <w:r>
              <w:rPr>
                <w:rFonts w:hint="eastAsia" w:ascii="宋体" w:hAnsi="宋体" w:cs="Arial"/>
                <w:snapToGrid w:val="0"/>
                <w:color w:val="auto"/>
                <w:kern w:val="0"/>
                <w:szCs w:val="20"/>
              </w:rPr>
              <w:t>分，</w:t>
            </w:r>
            <w:r>
              <w:rPr>
                <w:rFonts w:hint="eastAsia" w:ascii="宋体" w:hAnsi="宋体" w:cs="Arial"/>
                <w:bCs/>
                <w:snapToGrid w:val="0"/>
                <w:color w:val="auto"/>
                <w:kern w:val="0"/>
                <w:szCs w:val="20"/>
              </w:rPr>
              <w:t>评分办法分别如下：</w:t>
            </w:r>
          </w:p>
          <w:p>
            <w:pPr>
              <w:numPr>
                <w:ilvl w:val="0"/>
                <w:numId w:val="30"/>
              </w:numPr>
              <w:tabs>
                <w:tab w:val="left" w:pos="982"/>
                <w:tab w:val="clear" w:pos="420"/>
              </w:tabs>
              <w:snapToGrid w:val="0"/>
              <w:spacing w:line="340" w:lineRule="exact"/>
              <w:ind w:left="1672" w:hanging="540"/>
              <w:rPr>
                <w:color w:val="auto"/>
              </w:rPr>
            </w:pPr>
            <w:r>
              <w:rPr>
                <w:rFonts w:hint="eastAsia" w:ascii="宋体" w:hAnsi="宋体"/>
                <w:color w:val="auto"/>
              </w:rPr>
              <w:t>价格分采用低价优先法计算，即满足招标文件要求且报价最低的评标价【评标价=1-投标报价（下浮率）】作为评标基准价，其价格分为满分。其他供应商的价格分按照下列公式计算：其他供应商的价格分=评标基准价/评标价×</w:t>
            </w:r>
            <w:r>
              <w:rPr>
                <w:rFonts w:hint="eastAsia" w:ascii="宋体" w:hAnsi="宋体" w:cs="Arial"/>
                <w:snapToGrid w:val="0"/>
                <w:color w:val="auto"/>
                <w:kern w:val="0"/>
                <w:szCs w:val="20"/>
              </w:rPr>
              <w:t>商务标总分</w:t>
            </w:r>
          </w:p>
          <w:p>
            <w:pPr>
              <w:pStyle w:val="2"/>
            </w:pPr>
            <w:r>
              <w:rPr>
                <w:rFonts w:hint="eastAsia"/>
              </w:rPr>
              <w:t>注：①计算商务标报价评分不足一个百分点时，使用直线插入法计算（得分保留二位小数）。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906" w:hRule="atLeast"/>
          <w:jc w:val="center"/>
        </w:trPr>
        <w:tc>
          <w:tcPr>
            <w:tcW w:w="818" w:type="dxa"/>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4.3</w:t>
            </w:r>
          </w:p>
        </w:tc>
        <w:tc>
          <w:tcPr>
            <w:tcW w:w="9071" w:type="dxa"/>
            <w:gridSpan w:val="7"/>
            <w:vAlign w:val="center"/>
          </w:tcPr>
          <w:p>
            <w:pPr>
              <w:rPr>
                <w:rFonts w:ascii="Arial" w:hAnsi="宋体" w:cs="Arial"/>
                <w:b/>
                <w:snapToGrid w:val="0"/>
                <w:color w:val="auto"/>
                <w:kern w:val="0"/>
                <w:szCs w:val="21"/>
              </w:rPr>
            </w:pPr>
            <w:r>
              <w:rPr>
                <w:rFonts w:hint="eastAsia" w:ascii="Arial" w:hAnsi="宋体" w:cs="Arial"/>
                <w:b/>
                <w:snapToGrid w:val="0"/>
                <w:color w:val="auto"/>
                <w:kern w:val="0"/>
                <w:szCs w:val="21"/>
              </w:rPr>
              <w:t>合同价的确定：</w:t>
            </w:r>
          </w:p>
          <w:p>
            <w:pPr>
              <w:rPr>
                <w:rFonts w:ascii="Arial" w:hAnsi="宋体" w:cs="Arial"/>
                <w:i/>
                <w:snapToGrid w:val="0"/>
                <w:color w:val="auto"/>
                <w:kern w:val="0"/>
                <w:szCs w:val="21"/>
              </w:rPr>
            </w:pPr>
            <w:r>
              <w:rPr>
                <w:rFonts w:hint="eastAsia" w:ascii="Arial" w:hAnsi="宋体" w:cs="Arial"/>
                <w:snapToGrid w:val="0"/>
                <w:color w:val="auto"/>
                <w:kern w:val="0"/>
                <w:szCs w:val="21"/>
              </w:rPr>
              <w:t>投标文件任何有缺漏项报价的，包括漏项产生的费用，如果中标，将以不利于投标供应商利益调整合同价格。</w:t>
            </w:r>
          </w:p>
        </w:tc>
      </w:tr>
    </w:tbl>
    <w:p>
      <w:pPr>
        <w:pStyle w:val="40"/>
        <w:spacing w:line="440" w:lineRule="exact"/>
        <w:ind w:left="0" w:leftChars="0" w:firstLine="0" w:firstLineChars="0"/>
        <w:rPr>
          <w:rFonts w:ascii="Arial" w:hAnsi="Arial" w:cs="Arial"/>
          <w:bCs/>
          <w:color w:val="auto"/>
        </w:rPr>
      </w:pPr>
      <w:r>
        <w:rPr>
          <w:rFonts w:hint="eastAsia"/>
          <w:b/>
          <w:bCs/>
          <w:color w:val="auto"/>
          <w:sz w:val="24"/>
        </w:rPr>
        <w:t>注：投标供应商义务</w:t>
      </w:r>
    </w:p>
    <w:p>
      <w:pPr>
        <w:snapToGrid w:val="0"/>
        <w:spacing w:line="440" w:lineRule="exact"/>
        <w:ind w:firstLine="420" w:firstLineChars="200"/>
        <w:rPr>
          <w:rFonts w:ascii="宋体" w:hAnsi="宋体"/>
          <w:b/>
          <w:bCs/>
          <w:snapToGrid w:val="0"/>
          <w:color w:val="auto"/>
          <w:szCs w:val="21"/>
        </w:rPr>
      </w:pPr>
      <w:r>
        <w:rPr>
          <w:rFonts w:hint="eastAsia" w:ascii="宋体" w:hAnsi="宋体"/>
          <w:color w:val="auto"/>
          <w:szCs w:val="21"/>
        </w:rPr>
        <w:t>投标供应商应随时随地答复评标委员会的询标，解答包括有关的商务、技术问题等。评标结束，所有评标资料存瑞安市公共资源交易中心备查。</w:t>
      </w:r>
    </w:p>
    <w:p>
      <w:pPr>
        <w:snapToGrid w:val="0"/>
        <w:spacing w:line="440" w:lineRule="exact"/>
        <w:ind w:firstLine="422" w:firstLineChars="200"/>
        <w:rPr>
          <w:color w:val="auto"/>
        </w:rPr>
      </w:pPr>
      <w:r>
        <w:rPr>
          <w:rFonts w:hint="eastAsia" w:ascii="宋体" w:hAnsi="宋体"/>
          <w:b/>
          <w:bCs/>
          <w:snapToGrid w:val="0"/>
          <w:color w:val="auto"/>
          <w:szCs w:val="21"/>
        </w:rPr>
        <w:t>未尽事宜按有关法律法规规定执行。</w:t>
      </w:r>
    </w:p>
    <w:sectPr>
      <w:pgSz w:w="11906" w:h="16838"/>
      <w:pgMar w:top="1244" w:right="1418" w:bottom="1134" w:left="1418" w:header="680"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综艺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rial Black">
    <w:panose1 w:val="020B0A04020102020204"/>
    <w:charset w:val="00"/>
    <w:family w:val="swiss"/>
    <w:pitch w:val="default"/>
    <w:sig w:usb0="A00002AF" w:usb1="400078FB" w:usb2="00000000" w:usb3="00000000" w:csb0="6000009F" w:csb1="DFD7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Univers 45 Light">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Univers 55">
    <w:altName w:val="Arial"/>
    <w:panose1 w:val="00000000000000000000"/>
    <w:charset w:val="00"/>
    <w:family w:val="swiss"/>
    <w:pitch w:val="default"/>
    <w:sig w:usb0="00000000" w:usb1="00000000" w:usb2="00000000" w:usb3="00000000" w:csb0="00000001" w:csb1="00000000"/>
  </w:font>
  <w:font w:name="方正行楷简体">
    <w:panose1 w:val="02010601030101010101"/>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Align="top"/>
      <w:spacing w:before="120" w:beforeLines="50"/>
      <w:rPr>
        <w:rFonts w:ascii="方正行楷简体" w:eastAsia="方正行楷简体"/>
        <w:sz w:val="24"/>
        <w:szCs w:val="24"/>
      </w:rPr>
    </w:pPr>
    <w:r>
      <w:rPr>
        <w:rFonts w:hint="eastAsia" w:ascii="方正行楷简体" w:eastAsia="方正行楷简体"/>
        <w:sz w:val="24"/>
        <w:szCs w:val="24"/>
      </w:rPr>
      <w:fldChar w:fldCharType="begin"/>
    </w:r>
    <w:r>
      <w:rPr>
        <w:rStyle w:val="53"/>
        <w:rFonts w:hint="eastAsia" w:ascii="方正行楷简体" w:eastAsia="方正行楷简体"/>
        <w:sz w:val="24"/>
        <w:szCs w:val="24"/>
      </w:rPr>
      <w:instrText xml:space="preserve"> PAGE  </w:instrText>
    </w:r>
    <w:r>
      <w:rPr>
        <w:rFonts w:hint="eastAsia" w:ascii="方正行楷简体" w:eastAsia="方正行楷简体"/>
        <w:sz w:val="24"/>
        <w:szCs w:val="24"/>
      </w:rPr>
      <w:fldChar w:fldCharType="separate"/>
    </w:r>
    <w:r>
      <w:rPr>
        <w:rStyle w:val="53"/>
        <w:rFonts w:ascii="方正行楷简体" w:eastAsia="方正行楷简体"/>
        <w:sz w:val="24"/>
        <w:szCs w:val="24"/>
      </w:rPr>
      <w:t>- 2 -</w:t>
    </w:r>
    <w:r>
      <w:rPr>
        <w:rFonts w:hint="eastAsia" w:ascii="方正行楷简体" w:eastAsia="方正行楷简体"/>
        <w:sz w:val="24"/>
        <w:szCs w:val="24"/>
      </w:rPr>
      <w:fldChar w:fldCharType="end"/>
    </w:r>
  </w:p>
  <w:p>
    <w:pPr>
      <w:pStyle w:val="32"/>
      <w:pBdr>
        <w:top w:val="thinThickSmallGap" w:color="auto" w:sz="24" w:space="1"/>
      </w:pBdr>
      <w:spacing w:before="120" w:beforeLines="50"/>
      <w:ind w:firstLine="270" w:firstLineChars="150"/>
      <w:rPr>
        <w:rFonts w:ascii="华文行楷" w:eastAsia="华文行楷"/>
      </w:rPr>
    </w:pPr>
    <w:r>
      <w:rPr>
        <w:rFonts w:hint="eastAsia" w:ascii="华文行楷" w:eastAsia="华文行楷"/>
      </w:rPr>
      <w:drawing>
        <wp:anchor distT="0" distB="0" distL="114300" distR="114300" simplePos="0" relativeHeight="251659264" behindDoc="0" locked="0" layoutInCell="1" allowOverlap="1">
          <wp:simplePos x="0" y="0"/>
          <wp:positionH relativeFrom="column">
            <wp:posOffset>-162560</wp:posOffset>
          </wp:positionH>
          <wp:positionV relativeFrom="paragraph">
            <wp:posOffset>59690</wp:posOffset>
          </wp:positionV>
          <wp:extent cx="333375" cy="314325"/>
          <wp:effectExtent l="0" t="0" r="9525" b="952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333375" cy="314325"/>
                  </a:xfrm>
                  <a:prstGeom prst="rect">
                    <a:avLst/>
                  </a:prstGeom>
                  <a:noFill/>
                  <a:ln>
                    <a:noFill/>
                  </a:ln>
                </pic:spPr>
              </pic:pic>
            </a:graphicData>
          </a:graphic>
        </wp:anchor>
      </w:drawing>
    </w:r>
    <w:r>
      <w:rPr>
        <w:rFonts w:hint="eastAsia" w:ascii="华文行楷" w:eastAsia="华文行楷"/>
        <w:sz w:val="24"/>
        <w:szCs w:val="24"/>
      </w:rPr>
      <w:t xml:space="preserve">浙江鼎力工程项目管理有限公司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auto" w:sz="24" w:space="1"/>
      </w:pBdr>
      <w:tabs>
        <w:tab w:val="right" w:pos="8711"/>
        <w:tab w:val="clear" w:pos="8306"/>
      </w:tabs>
      <w:spacing w:before="240" w:beforeLines="100"/>
      <w:rPr>
        <w:rFonts w:ascii="华文行楷" w:eastAsia="华文行楷"/>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135255</wp:posOffset>
              </wp:positionV>
              <wp:extent cx="114935" cy="283845"/>
              <wp:effectExtent l="0" t="0" r="0" b="0"/>
              <wp:wrapNone/>
              <wp:docPr id="4" name="文本框 20"/>
              <wp:cNvGraphicFramePr/>
              <a:graphic xmlns:a="http://schemas.openxmlformats.org/drawingml/2006/main">
                <a:graphicData uri="http://schemas.microsoft.com/office/word/2010/wordprocessingShape">
                  <wps:wsp>
                    <wps:cNvSpPr txBox="1"/>
                    <wps:spPr>
                      <a:xfrm>
                        <a:off x="0" y="0"/>
                        <a:ext cx="114935" cy="283845"/>
                      </a:xfrm>
                      <a:prstGeom prst="rect">
                        <a:avLst/>
                      </a:prstGeom>
                      <a:noFill/>
                      <a:ln>
                        <a:noFill/>
                      </a:ln>
                    </wps:spPr>
                    <wps:txbx>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wps:txbx>
                    <wps:bodyPr wrap="none" lIns="0" tIns="0" rIns="0" bIns="0">
                      <a:spAutoFit/>
                    </wps:bodyPr>
                  </wps:wsp>
                </a:graphicData>
              </a:graphic>
            </wp:anchor>
          </w:drawing>
        </mc:Choice>
        <mc:Fallback>
          <w:pict>
            <v:shape id="文本框 20" o:spid="_x0000_s1026" o:spt="202" type="#_x0000_t202" style="position:absolute;left:0pt;margin-top:10.65pt;height:22.35pt;width:9.05pt;mso-position-horizontal:center;mso-position-horizontal-relative:margin;mso-wrap-style:none;z-index:251660288;mso-width-relative:page;mso-height-relative:page;" filled="f" stroked="f" coordsize="21600,21600" o:gfxdata="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tyc9EAAAAFAQAADwAAAAAAAAABACAAAAAiAAAAZHJzL2Rvd25yZXYueG1s&#10;UEsBAhQAFAAAAAgAh07iQPpu4ZDGAQAAjAMAAA4AAAAAAAAAAQAgAAAAIAEAAGRycy9lMm9Eb2Mu&#10;eG1sUEsFBgAAAAAGAAYAWQEAAFgFAAAAAA==&#10;">
              <v:fill on="f" focussize="0,0"/>
              <v:stroke on="f"/>
              <v:imagedata o:title=""/>
              <o:lock v:ext="edit" aspectratio="f"/>
              <v:textbox inset="0mm,0mm,0mm,0mm" style="mso-fit-shape-to-text:t;">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auto" w:sz="24" w:space="1"/>
      </w:pBdr>
      <w:spacing w:before="120" w:beforeLines="50"/>
      <w:rPr>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283845"/>
              <wp:effectExtent l="0" t="0" r="0" b="0"/>
              <wp:wrapNone/>
              <wp:docPr id="5" name="文本框 21"/>
              <wp:cNvGraphicFramePr/>
              <a:graphic xmlns:a="http://schemas.openxmlformats.org/drawingml/2006/main">
                <a:graphicData uri="http://schemas.microsoft.com/office/word/2010/wordprocessingShape">
                  <wps:wsp>
                    <wps:cNvSpPr txBox="1"/>
                    <wps:spPr>
                      <a:xfrm>
                        <a:off x="0" y="0"/>
                        <a:ext cx="57785" cy="283845"/>
                      </a:xfrm>
                      <a:prstGeom prst="rect">
                        <a:avLst/>
                      </a:prstGeom>
                      <a:noFill/>
                      <a:ln>
                        <a:noFill/>
                      </a:ln>
                    </wps:spPr>
                    <wps:txbx>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a:spAutoFit/>
                    </wps:bodyPr>
                  </wps:wsp>
                </a:graphicData>
              </a:graphic>
            </wp:anchor>
          </w:drawing>
        </mc:Choice>
        <mc:Fallback>
          <w:pict>
            <v:shape id="文本框 21" o:spid="_x0000_s1026" o:spt="202" type="#_x0000_t202" style="position:absolute;left:0pt;margin-top:0pt;height:22.35pt;width:4.55pt;mso-position-horizontal:center;mso-position-horizontal-relative:margin;mso-wrap-style:none;z-index:251661312;mso-width-relative:page;mso-height-relative:page;" filled="f" stroked="f" coordsize="21600,21600" o:gfxdata="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BlDfzRAAAAAgEAAA8AAAAAAAAAAQAgAAAAIgAAAGRycy9kb3ducmV2Lnht&#10;bFBLAQIUABQAAAAIAIdO4kBRobQsxwEAAIsDAAAOAAAAAAAAAAEAIAAAACABAABkcnMvZTJvRG9j&#10;LnhtbFBLBQYAAAAABgAGAFkBAABZBQAAAAA=&#10;">
              <v:fill on="f" focussize="0,0"/>
              <v:stroke on="f"/>
              <v:imagedata o:title=""/>
              <o:lock v:ext="edit" aspectratio="f"/>
              <v:textbox inset="0mm,0mm,0mm,0mm" style="mso-fit-shape-to-text:t;">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96635"/>
    <w:multiLevelType w:val="singleLevel"/>
    <w:tmpl w:val="C0F96635"/>
    <w:lvl w:ilvl="0" w:tentative="0">
      <w:start w:val="1"/>
      <w:numFmt w:val="decimal"/>
      <w:lvlText w:val="%1)"/>
      <w:lvlJc w:val="left"/>
      <w:pPr>
        <w:ind w:left="425" w:hanging="425"/>
      </w:pPr>
      <w:rPr>
        <w:rFonts w:hint="default"/>
      </w:rPr>
    </w:lvl>
  </w:abstractNum>
  <w:abstractNum w:abstractNumId="1">
    <w:nsid w:val="0000000C"/>
    <w:multiLevelType w:val="multilevel"/>
    <w:tmpl w:val="0000000C"/>
    <w:lvl w:ilvl="0" w:tentative="0">
      <w:start w:val="1"/>
      <w:numFmt w:val="decimal"/>
      <w:lvlText w:val="（%1）"/>
      <w:lvlJc w:val="left"/>
      <w:pPr>
        <w:tabs>
          <w:tab w:val="left" w:pos="1123"/>
        </w:tabs>
        <w:ind w:left="1123" w:hanging="720"/>
      </w:pPr>
      <w:rPr>
        <w:rFonts w:hint="default"/>
      </w:rPr>
    </w:lvl>
    <w:lvl w:ilvl="1" w:tentative="0">
      <w:start w:val="1"/>
      <w:numFmt w:val="lowerLetter"/>
      <w:lvlText w:val="%2)"/>
      <w:lvlJc w:val="left"/>
      <w:pPr>
        <w:tabs>
          <w:tab w:val="left" w:pos="1243"/>
        </w:tabs>
        <w:ind w:left="1243" w:hanging="420"/>
      </w:pPr>
    </w:lvl>
    <w:lvl w:ilvl="2" w:tentative="0">
      <w:start w:val="1"/>
      <w:numFmt w:val="lowerRoman"/>
      <w:lvlText w:val="%3."/>
      <w:lvlJc w:val="right"/>
      <w:pPr>
        <w:tabs>
          <w:tab w:val="left" w:pos="1663"/>
        </w:tabs>
        <w:ind w:left="1663" w:hanging="420"/>
      </w:pPr>
    </w:lvl>
    <w:lvl w:ilvl="3" w:tentative="0">
      <w:start w:val="1"/>
      <w:numFmt w:val="decimal"/>
      <w:lvlText w:val="%4."/>
      <w:lvlJc w:val="left"/>
      <w:pPr>
        <w:tabs>
          <w:tab w:val="left" w:pos="2083"/>
        </w:tabs>
        <w:ind w:left="2083" w:hanging="420"/>
      </w:pPr>
    </w:lvl>
    <w:lvl w:ilvl="4" w:tentative="0">
      <w:start w:val="1"/>
      <w:numFmt w:val="lowerLetter"/>
      <w:lvlText w:val="%5)"/>
      <w:lvlJc w:val="left"/>
      <w:pPr>
        <w:tabs>
          <w:tab w:val="left" w:pos="2503"/>
        </w:tabs>
        <w:ind w:left="2503" w:hanging="420"/>
      </w:pPr>
    </w:lvl>
    <w:lvl w:ilvl="5" w:tentative="0">
      <w:start w:val="1"/>
      <w:numFmt w:val="lowerRoman"/>
      <w:lvlText w:val="%6."/>
      <w:lvlJc w:val="right"/>
      <w:pPr>
        <w:tabs>
          <w:tab w:val="left" w:pos="2923"/>
        </w:tabs>
        <w:ind w:left="2923" w:hanging="420"/>
      </w:pPr>
    </w:lvl>
    <w:lvl w:ilvl="6" w:tentative="0">
      <w:start w:val="1"/>
      <w:numFmt w:val="decimal"/>
      <w:lvlText w:val="%7."/>
      <w:lvlJc w:val="left"/>
      <w:pPr>
        <w:tabs>
          <w:tab w:val="left" w:pos="3343"/>
        </w:tabs>
        <w:ind w:left="3343" w:hanging="420"/>
      </w:pPr>
    </w:lvl>
    <w:lvl w:ilvl="7" w:tentative="0">
      <w:start w:val="1"/>
      <w:numFmt w:val="lowerLetter"/>
      <w:lvlText w:val="%8)"/>
      <w:lvlJc w:val="left"/>
      <w:pPr>
        <w:tabs>
          <w:tab w:val="left" w:pos="3763"/>
        </w:tabs>
        <w:ind w:left="3763" w:hanging="420"/>
      </w:pPr>
    </w:lvl>
    <w:lvl w:ilvl="8" w:tentative="0">
      <w:start w:val="1"/>
      <w:numFmt w:val="lowerRoman"/>
      <w:lvlText w:val="%9."/>
      <w:lvlJc w:val="right"/>
      <w:pPr>
        <w:tabs>
          <w:tab w:val="left" w:pos="4183"/>
        </w:tabs>
        <w:ind w:left="4183" w:hanging="420"/>
      </w:pPr>
    </w:lvl>
  </w:abstractNum>
  <w:abstractNum w:abstractNumId="2">
    <w:nsid w:val="0000000D"/>
    <w:multiLevelType w:val="multilevel"/>
    <w:tmpl w:val="0000000D"/>
    <w:lvl w:ilvl="0" w:tentative="0">
      <w:start w:val="1"/>
      <w:numFmt w:val="decimal"/>
      <w:lvlText w:val="（%1）"/>
      <w:lvlJc w:val="left"/>
      <w:pPr>
        <w:tabs>
          <w:tab w:val="left" w:pos="1474"/>
        </w:tabs>
        <w:ind w:left="1474" w:hanging="794"/>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lvlText w:val="%1）"/>
      <w:lvlJc w:val="left"/>
      <w:pPr>
        <w:tabs>
          <w:tab w:val="left" w:pos="1134"/>
        </w:tabs>
        <w:ind w:left="113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1"/>
      <w:numFmt w:val="bullet"/>
      <w:lvlText w:val=""/>
      <w:lvlJc w:val="left"/>
      <w:pPr>
        <w:tabs>
          <w:tab w:val="left" w:pos="823"/>
        </w:tabs>
        <w:ind w:left="823"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4"/>
    <w:multiLevelType w:val="multilevel"/>
    <w:tmpl w:val="00000014"/>
    <w:lvl w:ilvl="0" w:tentative="0">
      <w:start w:val="1"/>
      <w:numFmt w:val="japaneseCounting"/>
      <w:lvlText w:val="%1、"/>
      <w:lvlJc w:val="left"/>
      <w:pPr>
        <w:tabs>
          <w:tab w:val="left" w:pos="1100"/>
        </w:tabs>
        <w:ind w:left="1100" w:hanging="420"/>
      </w:pPr>
      <w:rPr>
        <w:rFonts w:ascii="宋体" w:hAnsi="宋体" w:eastAsia="宋体" w:cs="宋体"/>
      </w:rPr>
    </w:lvl>
    <w:lvl w:ilvl="1" w:tentative="0">
      <w:start w:val="1"/>
      <w:numFmt w:val="lowerLetter"/>
      <w:lvlText w:val="%2)"/>
      <w:lvlJc w:val="left"/>
      <w:pPr>
        <w:tabs>
          <w:tab w:val="left" w:pos="696"/>
        </w:tabs>
        <w:ind w:left="696" w:hanging="420"/>
      </w:pPr>
    </w:lvl>
    <w:lvl w:ilvl="2" w:tentative="0">
      <w:start w:val="1"/>
      <w:numFmt w:val="lowerRoman"/>
      <w:lvlText w:val="%3."/>
      <w:lvlJc w:val="right"/>
      <w:pPr>
        <w:tabs>
          <w:tab w:val="left" w:pos="1116"/>
        </w:tabs>
        <w:ind w:left="1116" w:hanging="420"/>
      </w:pPr>
    </w:lvl>
    <w:lvl w:ilvl="3" w:tentative="0">
      <w:start w:val="1"/>
      <w:numFmt w:val="decimal"/>
      <w:lvlText w:val="%4."/>
      <w:lvlJc w:val="left"/>
      <w:pPr>
        <w:tabs>
          <w:tab w:val="left" w:pos="1536"/>
        </w:tabs>
        <w:ind w:left="1536" w:hanging="420"/>
      </w:pPr>
    </w:lvl>
    <w:lvl w:ilvl="4" w:tentative="0">
      <w:start w:val="1"/>
      <w:numFmt w:val="lowerLetter"/>
      <w:lvlText w:val="%5)"/>
      <w:lvlJc w:val="left"/>
      <w:pPr>
        <w:tabs>
          <w:tab w:val="left" w:pos="1956"/>
        </w:tabs>
        <w:ind w:left="1956" w:hanging="420"/>
      </w:pPr>
    </w:lvl>
    <w:lvl w:ilvl="5" w:tentative="0">
      <w:start w:val="1"/>
      <w:numFmt w:val="lowerRoman"/>
      <w:lvlText w:val="%6."/>
      <w:lvlJc w:val="right"/>
      <w:pPr>
        <w:tabs>
          <w:tab w:val="left" w:pos="2376"/>
        </w:tabs>
        <w:ind w:left="2376" w:hanging="420"/>
      </w:pPr>
    </w:lvl>
    <w:lvl w:ilvl="6" w:tentative="0">
      <w:start w:val="1"/>
      <w:numFmt w:val="decimal"/>
      <w:lvlText w:val="%7."/>
      <w:lvlJc w:val="left"/>
      <w:pPr>
        <w:tabs>
          <w:tab w:val="left" w:pos="2796"/>
        </w:tabs>
        <w:ind w:left="2796" w:hanging="420"/>
      </w:pPr>
    </w:lvl>
    <w:lvl w:ilvl="7" w:tentative="0">
      <w:start w:val="1"/>
      <w:numFmt w:val="lowerLetter"/>
      <w:lvlText w:val="%8)"/>
      <w:lvlJc w:val="left"/>
      <w:pPr>
        <w:tabs>
          <w:tab w:val="left" w:pos="3216"/>
        </w:tabs>
        <w:ind w:left="3216" w:hanging="420"/>
      </w:pPr>
    </w:lvl>
    <w:lvl w:ilvl="8" w:tentative="0">
      <w:start w:val="1"/>
      <w:numFmt w:val="lowerRoman"/>
      <w:lvlText w:val="%9."/>
      <w:lvlJc w:val="right"/>
      <w:pPr>
        <w:tabs>
          <w:tab w:val="left" w:pos="3636"/>
        </w:tabs>
        <w:ind w:left="3636" w:hanging="420"/>
      </w:pPr>
    </w:lvl>
  </w:abstractNum>
  <w:abstractNum w:abstractNumId="6">
    <w:nsid w:val="00000015"/>
    <w:multiLevelType w:val="multilevel"/>
    <w:tmpl w:val="00000015"/>
    <w:lvl w:ilvl="0" w:tentative="0">
      <w:start w:val="1"/>
      <w:numFmt w:val="japaneseCounting"/>
      <w:lvlText w:val="%1、"/>
      <w:lvlJc w:val="left"/>
      <w:pPr>
        <w:tabs>
          <w:tab w:val="left" w:pos="1980"/>
        </w:tabs>
        <w:ind w:left="1980" w:hanging="840"/>
      </w:pPr>
      <w:rPr>
        <w:rFonts w:hint="eastAsia"/>
      </w:rPr>
    </w:lvl>
    <w:lvl w:ilvl="1" w:tentative="0">
      <w:start w:val="1"/>
      <w:numFmt w:val="lowerLetter"/>
      <w:pStyle w:val="137"/>
      <w:lvlText w:val="%2)"/>
      <w:lvlJc w:val="left"/>
      <w:pPr>
        <w:tabs>
          <w:tab w:val="left" w:pos="1980"/>
        </w:tabs>
        <w:ind w:left="1980" w:hanging="420"/>
      </w:pPr>
    </w:lvl>
    <w:lvl w:ilvl="2" w:tentative="0">
      <w:start w:val="1"/>
      <w:numFmt w:val="lowerRoman"/>
      <w:pStyle w:val="150"/>
      <w:lvlText w:val="%3."/>
      <w:lvlJc w:val="right"/>
      <w:pPr>
        <w:tabs>
          <w:tab w:val="left" w:pos="2400"/>
        </w:tabs>
        <w:ind w:left="2400" w:hanging="420"/>
      </w:pPr>
    </w:lvl>
    <w:lvl w:ilvl="3" w:tentative="0">
      <w:start w:val="1"/>
      <w:numFmt w:val="decimal"/>
      <w:lvlText w:val="%4."/>
      <w:lvlJc w:val="left"/>
      <w:pPr>
        <w:tabs>
          <w:tab w:val="left" w:pos="2820"/>
        </w:tabs>
        <w:ind w:left="2820" w:hanging="420"/>
      </w:pPr>
    </w:lvl>
    <w:lvl w:ilvl="4" w:tentative="0">
      <w:start w:val="1"/>
      <w:numFmt w:val="lowerLetter"/>
      <w:lvlText w:val="%5)"/>
      <w:lvlJc w:val="left"/>
      <w:pPr>
        <w:tabs>
          <w:tab w:val="left" w:pos="3240"/>
        </w:tabs>
        <w:ind w:left="3240" w:hanging="420"/>
      </w:pPr>
    </w:lvl>
    <w:lvl w:ilvl="5" w:tentative="0">
      <w:start w:val="1"/>
      <w:numFmt w:val="lowerRoman"/>
      <w:lvlText w:val="%6."/>
      <w:lvlJc w:val="right"/>
      <w:pPr>
        <w:tabs>
          <w:tab w:val="left" w:pos="3660"/>
        </w:tabs>
        <w:ind w:left="3660" w:hanging="420"/>
      </w:pPr>
    </w:lvl>
    <w:lvl w:ilvl="6" w:tentative="0">
      <w:start w:val="1"/>
      <w:numFmt w:val="decimal"/>
      <w:lvlText w:val="%7."/>
      <w:lvlJc w:val="left"/>
      <w:pPr>
        <w:tabs>
          <w:tab w:val="left" w:pos="4080"/>
        </w:tabs>
        <w:ind w:left="4080" w:hanging="420"/>
      </w:pPr>
    </w:lvl>
    <w:lvl w:ilvl="7" w:tentative="0">
      <w:start w:val="1"/>
      <w:numFmt w:val="lowerLetter"/>
      <w:lvlText w:val="%8)"/>
      <w:lvlJc w:val="left"/>
      <w:pPr>
        <w:tabs>
          <w:tab w:val="left" w:pos="4500"/>
        </w:tabs>
        <w:ind w:left="4500" w:hanging="420"/>
      </w:pPr>
    </w:lvl>
    <w:lvl w:ilvl="8" w:tentative="0">
      <w:start w:val="1"/>
      <w:numFmt w:val="lowerRoman"/>
      <w:lvlText w:val="%9."/>
      <w:lvlJc w:val="right"/>
      <w:pPr>
        <w:tabs>
          <w:tab w:val="left" w:pos="4920"/>
        </w:tabs>
        <w:ind w:left="4920" w:hanging="420"/>
      </w:pPr>
    </w:lvl>
  </w:abstractNum>
  <w:abstractNum w:abstractNumId="7">
    <w:nsid w:val="00000019"/>
    <w:multiLevelType w:val="multilevel"/>
    <w:tmpl w:val="000000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3"/>
    <w:multiLevelType w:val="multilevel"/>
    <w:tmpl w:val="00000023"/>
    <w:lvl w:ilvl="0" w:tentative="0">
      <w:start w:val="1"/>
      <w:numFmt w:val="bullet"/>
      <w:lvlText w:val=""/>
      <w:lvlJc w:val="left"/>
      <w:pPr>
        <w:tabs>
          <w:tab w:val="left" w:pos="420"/>
        </w:tabs>
        <w:ind w:left="420" w:hanging="420"/>
      </w:pPr>
      <w:rPr>
        <w:rFonts w:hint="default" w:ascii="Wingdings" w:hAnsi="Wingdings"/>
      </w:rPr>
    </w:lvl>
    <w:lvl w:ilvl="1" w:tentative="0">
      <w:start w:val="2"/>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04AD0168"/>
    <w:multiLevelType w:val="singleLevel"/>
    <w:tmpl w:val="04AD0168"/>
    <w:lvl w:ilvl="0" w:tentative="0">
      <w:start w:val="1"/>
      <w:numFmt w:val="decimal"/>
      <w:suff w:val="nothing"/>
      <w:lvlText w:val="%1、"/>
      <w:lvlJc w:val="left"/>
    </w:lvl>
  </w:abstractNum>
  <w:abstractNum w:abstractNumId="10">
    <w:nsid w:val="05B1FBAA"/>
    <w:multiLevelType w:val="singleLevel"/>
    <w:tmpl w:val="05B1FBAA"/>
    <w:lvl w:ilvl="0" w:tentative="0">
      <w:start w:val="1"/>
      <w:numFmt w:val="decimal"/>
      <w:suff w:val="nothing"/>
      <w:lvlText w:val="%1、"/>
      <w:lvlJc w:val="left"/>
    </w:lvl>
  </w:abstractNum>
  <w:abstractNum w:abstractNumId="11">
    <w:nsid w:val="0CFA17D6"/>
    <w:multiLevelType w:val="multilevel"/>
    <w:tmpl w:val="0CFA17D6"/>
    <w:lvl w:ilvl="0" w:tentative="0">
      <w:start w:val="1"/>
      <w:numFmt w:val="decimal"/>
      <w:lvlText w:val="（%1）"/>
      <w:lvlJc w:val="left"/>
      <w:pPr>
        <w:tabs>
          <w:tab w:val="left" w:pos="1123"/>
        </w:tabs>
        <w:ind w:left="1123" w:hanging="720"/>
      </w:pPr>
      <w:rPr>
        <w:rFonts w:hint="default"/>
      </w:rPr>
    </w:lvl>
    <w:lvl w:ilvl="1" w:tentative="0">
      <w:start w:val="1"/>
      <w:numFmt w:val="lowerLetter"/>
      <w:lvlText w:val="%2)"/>
      <w:lvlJc w:val="left"/>
      <w:pPr>
        <w:tabs>
          <w:tab w:val="left" w:pos="1243"/>
        </w:tabs>
        <w:ind w:left="1243" w:hanging="420"/>
      </w:pPr>
    </w:lvl>
    <w:lvl w:ilvl="2" w:tentative="0">
      <w:start w:val="1"/>
      <w:numFmt w:val="lowerRoman"/>
      <w:lvlText w:val="%3."/>
      <w:lvlJc w:val="right"/>
      <w:pPr>
        <w:tabs>
          <w:tab w:val="left" w:pos="1663"/>
        </w:tabs>
        <w:ind w:left="1663" w:hanging="420"/>
      </w:pPr>
    </w:lvl>
    <w:lvl w:ilvl="3" w:tentative="0">
      <w:start w:val="1"/>
      <w:numFmt w:val="decimal"/>
      <w:lvlText w:val="%4."/>
      <w:lvlJc w:val="left"/>
      <w:pPr>
        <w:tabs>
          <w:tab w:val="left" w:pos="2083"/>
        </w:tabs>
        <w:ind w:left="2083" w:hanging="420"/>
      </w:pPr>
    </w:lvl>
    <w:lvl w:ilvl="4" w:tentative="0">
      <w:start w:val="1"/>
      <w:numFmt w:val="lowerLetter"/>
      <w:lvlText w:val="%5)"/>
      <w:lvlJc w:val="left"/>
      <w:pPr>
        <w:tabs>
          <w:tab w:val="left" w:pos="2503"/>
        </w:tabs>
        <w:ind w:left="2503" w:hanging="420"/>
      </w:pPr>
    </w:lvl>
    <w:lvl w:ilvl="5" w:tentative="0">
      <w:start w:val="1"/>
      <w:numFmt w:val="lowerRoman"/>
      <w:lvlText w:val="%6."/>
      <w:lvlJc w:val="right"/>
      <w:pPr>
        <w:tabs>
          <w:tab w:val="left" w:pos="2923"/>
        </w:tabs>
        <w:ind w:left="2923" w:hanging="420"/>
      </w:pPr>
    </w:lvl>
    <w:lvl w:ilvl="6" w:tentative="0">
      <w:start w:val="1"/>
      <w:numFmt w:val="decimal"/>
      <w:lvlText w:val="%7."/>
      <w:lvlJc w:val="left"/>
      <w:pPr>
        <w:tabs>
          <w:tab w:val="left" w:pos="3343"/>
        </w:tabs>
        <w:ind w:left="3343" w:hanging="420"/>
      </w:pPr>
    </w:lvl>
    <w:lvl w:ilvl="7" w:tentative="0">
      <w:start w:val="1"/>
      <w:numFmt w:val="lowerLetter"/>
      <w:lvlText w:val="%8)"/>
      <w:lvlJc w:val="left"/>
      <w:pPr>
        <w:tabs>
          <w:tab w:val="left" w:pos="3763"/>
        </w:tabs>
        <w:ind w:left="3763" w:hanging="420"/>
      </w:pPr>
    </w:lvl>
    <w:lvl w:ilvl="8" w:tentative="0">
      <w:start w:val="1"/>
      <w:numFmt w:val="lowerRoman"/>
      <w:lvlText w:val="%9."/>
      <w:lvlJc w:val="right"/>
      <w:pPr>
        <w:tabs>
          <w:tab w:val="left" w:pos="4183"/>
        </w:tabs>
        <w:ind w:left="4183" w:hanging="420"/>
      </w:pPr>
    </w:lvl>
  </w:abstractNum>
  <w:abstractNum w:abstractNumId="12">
    <w:nsid w:val="0E13229D"/>
    <w:multiLevelType w:val="multilevel"/>
    <w:tmpl w:val="0E13229D"/>
    <w:lvl w:ilvl="0" w:tentative="0">
      <w:start w:val="1"/>
      <w:numFmt w:val="decimal"/>
      <w:lvlText w:val="%1、"/>
      <w:lvlJc w:val="left"/>
      <w:pPr>
        <w:tabs>
          <w:tab w:val="left" w:pos="1320"/>
        </w:tabs>
        <w:ind w:left="1320" w:hanging="420"/>
      </w:pPr>
      <w:rPr>
        <w:rFonts w:hint="default" w:ascii="Arial" w:hAnsi="Arial"/>
        <w:b w:val="0"/>
        <w:i w:val="0"/>
        <w:sz w:val="21"/>
        <w:szCs w:val="21"/>
      </w:rPr>
    </w:lvl>
    <w:lvl w:ilvl="1" w:tentative="0">
      <w:start w:val="1"/>
      <w:numFmt w:val="decimal"/>
      <w:lvlText w:val="（%2）"/>
      <w:lvlJc w:val="left"/>
      <w:pPr>
        <w:tabs>
          <w:tab w:val="left" w:pos="1140"/>
        </w:tabs>
        <w:ind w:left="420" w:firstLine="0"/>
      </w:pPr>
      <w:rPr>
        <w:rFonts w:hint="default" w:ascii="Arial" w:hAnsi="Arial" w:eastAsia="宋体"/>
        <w:b w:val="0"/>
        <w:i w:val="0"/>
        <w:sz w:val="21"/>
        <w:szCs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759A82E"/>
    <w:multiLevelType w:val="singleLevel"/>
    <w:tmpl w:val="1759A82E"/>
    <w:lvl w:ilvl="0" w:tentative="0">
      <w:start w:val="1"/>
      <w:numFmt w:val="decimal"/>
      <w:suff w:val="nothing"/>
      <w:lvlText w:val="%1．"/>
      <w:lvlJc w:val="left"/>
      <w:pPr>
        <w:ind w:left="25" w:firstLine="400"/>
      </w:pPr>
      <w:rPr>
        <w:rFonts w:hint="default"/>
      </w:rPr>
    </w:lvl>
  </w:abstractNum>
  <w:abstractNum w:abstractNumId="14">
    <w:nsid w:val="1DB84022"/>
    <w:multiLevelType w:val="multilevel"/>
    <w:tmpl w:val="1DB84022"/>
    <w:lvl w:ilvl="0" w:tentative="0">
      <w:start w:val="1"/>
      <w:numFmt w:val="decimal"/>
      <w:lvlText w:val="（%1）"/>
      <w:lvlJc w:val="left"/>
      <w:pPr>
        <w:tabs>
          <w:tab w:val="left" w:pos="1361"/>
        </w:tabs>
        <w:ind w:left="1361" w:hanging="681"/>
      </w:pPr>
      <w:rPr>
        <w:rFonts w:hint="eastAsia"/>
      </w:rPr>
    </w:lvl>
    <w:lvl w:ilvl="1" w:tentative="0">
      <w:start w:val="1"/>
      <w:numFmt w:val="lowerLetter"/>
      <w:pStyle w:val="76"/>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20418F5"/>
    <w:multiLevelType w:val="multilevel"/>
    <w:tmpl w:val="220418F5"/>
    <w:lvl w:ilvl="0" w:tentative="0">
      <w:start w:val="1"/>
      <w:numFmt w:val="decimal"/>
      <w:lvlText w:val="%1."/>
      <w:lvlJc w:val="left"/>
      <w:pPr>
        <w:tabs>
          <w:tab w:val="left" w:pos="567"/>
        </w:tabs>
        <w:ind w:left="567" w:hanging="567"/>
      </w:pPr>
      <w:rPr>
        <w:rFonts w:hint="default" w:ascii="Arial" w:hAnsi="Arial" w:eastAsia="宋体"/>
        <w:b w:val="0"/>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6">
    <w:nsid w:val="22EB4D0B"/>
    <w:multiLevelType w:val="multilevel"/>
    <w:tmpl w:val="22EB4D0B"/>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6084B11"/>
    <w:multiLevelType w:val="singleLevel"/>
    <w:tmpl w:val="26084B11"/>
    <w:lvl w:ilvl="0" w:tentative="0">
      <w:start w:val="1"/>
      <w:numFmt w:val="decimal"/>
      <w:lvlText w:val="%1．"/>
      <w:lvlJc w:val="left"/>
      <w:pPr>
        <w:ind w:left="420" w:hanging="420"/>
      </w:pPr>
      <w:rPr>
        <w:rFonts w:hint="default" w:ascii="宋体" w:hAnsi="宋体" w:eastAsia="宋体"/>
        <w:b w:val="0"/>
      </w:rPr>
    </w:lvl>
  </w:abstractNum>
  <w:abstractNum w:abstractNumId="18">
    <w:nsid w:val="2BA04EA9"/>
    <w:multiLevelType w:val="multilevel"/>
    <w:tmpl w:val="2BA04EA9"/>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F4F7134"/>
    <w:multiLevelType w:val="multilevel"/>
    <w:tmpl w:val="3F4F7134"/>
    <w:lvl w:ilvl="0" w:tentative="0">
      <w:start w:val="1"/>
      <w:numFmt w:val="decimal"/>
      <w:lvlText w:val="（%1）"/>
      <w:lvlJc w:val="left"/>
      <w:pPr>
        <w:ind w:left="840" w:hanging="420"/>
      </w:pPr>
      <w:rPr>
        <w:rFonts w:hint="eastAsia"/>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2C534A2"/>
    <w:multiLevelType w:val="multilevel"/>
    <w:tmpl w:val="42C534A2"/>
    <w:lvl w:ilvl="0" w:tentative="0">
      <w:start w:val="1"/>
      <w:numFmt w:val="decimal"/>
      <w:lvlText w:val="%1）"/>
      <w:lvlJc w:val="left"/>
      <w:pPr>
        <w:ind w:left="865" w:hanging="420"/>
      </w:pPr>
    </w:lvl>
    <w:lvl w:ilvl="1" w:tentative="0">
      <w:start w:val="1"/>
      <w:numFmt w:val="decimal"/>
      <w:lvlText w:val="%2、"/>
      <w:lvlJc w:val="left"/>
      <w:pPr>
        <w:ind w:left="1225" w:hanging="360"/>
      </w:pPr>
      <w:rPr>
        <w:rFonts w:hint="default"/>
      </w:rPr>
    </w:lvl>
    <w:lvl w:ilvl="2" w:tentative="0">
      <w:start w:val="1"/>
      <w:numFmt w:val="lowerRoman"/>
      <w:lvlText w:val="%3."/>
      <w:lvlJc w:val="right"/>
      <w:pPr>
        <w:ind w:left="1705" w:hanging="420"/>
      </w:pPr>
    </w:lvl>
    <w:lvl w:ilvl="3" w:tentative="0">
      <w:start w:val="1"/>
      <w:numFmt w:val="decimal"/>
      <w:lvlText w:val="%4."/>
      <w:lvlJc w:val="left"/>
      <w:pPr>
        <w:ind w:left="2125" w:hanging="420"/>
      </w:pPr>
    </w:lvl>
    <w:lvl w:ilvl="4" w:tentative="0">
      <w:start w:val="1"/>
      <w:numFmt w:val="lowerLetter"/>
      <w:lvlText w:val="%5)"/>
      <w:lvlJc w:val="left"/>
      <w:pPr>
        <w:ind w:left="2545" w:hanging="420"/>
      </w:pPr>
    </w:lvl>
    <w:lvl w:ilvl="5" w:tentative="0">
      <w:start w:val="1"/>
      <w:numFmt w:val="lowerRoman"/>
      <w:lvlText w:val="%6."/>
      <w:lvlJc w:val="right"/>
      <w:pPr>
        <w:ind w:left="2965" w:hanging="420"/>
      </w:pPr>
    </w:lvl>
    <w:lvl w:ilvl="6" w:tentative="0">
      <w:start w:val="1"/>
      <w:numFmt w:val="decimal"/>
      <w:lvlText w:val="%7."/>
      <w:lvlJc w:val="left"/>
      <w:pPr>
        <w:ind w:left="3385" w:hanging="420"/>
      </w:pPr>
    </w:lvl>
    <w:lvl w:ilvl="7" w:tentative="0">
      <w:start w:val="1"/>
      <w:numFmt w:val="lowerLetter"/>
      <w:lvlText w:val="%8)"/>
      <w:lvlJc w:val="left"/>
      <w:pPr>
        <w:ind w:left="3805" w:hanging="420"/>
      </w:pPr>
    </w:lvl>
    <w:lvl w:ilvl="8" w:tentative="0">
      <w:start w:val="1"/>
      <w:numFmt w:val="lowerRoman"/>
      <w:lvlText w:val="%9."/>
      <w:lvlJc w:val="right"/>
      <w:pPr>
        <w:ind w:left="4225" w:hanging="420"/>
      </w:pPr>
    </w:lvl>
  </w:abstractNum>
  <w:abstractNum w:abstractNumId="21">
    <w:nsid w:val="4E37E414"/>
    <w:multiLevelType w:val="singleLevel"/>
    <w:tmpl w:val="4E37E414"/>
    <w:lvl w:ilvl="0" w:tentative="0">
      <w:start w:val="3"/>
      <w:numFmt w:val="decimal"/>
      <w:suff w:val="nothing"/>
      <w:lvlText w:val="%1、"/>
      <w:lvlJc w:val="left"/>
    </w:lvl>
  </w:abstractNum>
  <w:abstractNum w:abstractNumId="22">
    <w:nsid w:val="549C331D"/>
    <w:multiLevelType w:val="multilevel"/>
    <w:tmpl w:val="549C331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146"/>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57CBE490"/>
    <w:multiLevelType w:val="singleLevel"/>
    <w:tmpl w:val="57CBE490"/>
    <w:lvl w:ilvl="0" w:tentative="0">
      <w:start w:val="1"/>
      <w:numFmt w:val="chineseCountingThousand"/>
      <w:suff w:val="nothing"/>
      <w:lvlText w:val="（%1）"/>
      <w:lvlJc w:val="left"/>
      <w:pPr>
        <w:ind w:left="420" w:hanging="420"/>
      </w:pPr>
      <w:rPr>
        <w:rFonts w:hint="eastAsia"/>
      </w:rPr>
    </w:lvl>
  </w:abstractNum>
  <w:abstractNum w:abstractNumId="24">
    <w:nsid w:val="606B2C4C"/>
    <w:multiLevelType w:val="multilevel"/>
    <w:tmpl w:val="606B2C4C"/>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5">
    <w:nsid w:val="64DA4E44"/>
    <w:multiLevelType w:val="multilevel"/>
    <w:tmpl w:val="64DA4E44"/>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A463E35"/>
    <w:multiLevelType w:val="multilevel"/>
    <w:tmpl w:val="6A463E35"/>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7">
    <w:nsid w:val="6CE73474"/>
    <w:multiLevelType w:val="multilevel"/>
    <w:tmpl w:val="6CE73474"/>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8">
    <w:nsid w:val="6E481FB2"/>
    <w:multiLevelType w:val="multilevel"/>
    <w:tmpl w:val="6E481FB2"/>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96204B8"/>
    <w:multiLevelType w:val="multilevel"/>
    <w:tmpl w:val="796204B8"/>
    <w:lvl w:ilvl="0" w:tentative="0">
      <w:start w:val="1"/>
      <w:numFmt w:val="decimal"/>
      <w:lvlText w:val="（%1）"/>
      <w:lvlJc w:val="left"/>
      <w:pPr>
        <w:ind w:left="840" w:hanging="420"/>
      </w:pPr>
      <w:rPr>
        <w:rFonts w:hint="eastAsia"/>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4"/>
  </w:num>
  <w:num w:numId="2">
    <w:abstractNumId w:val="6"/>
  </w:num>
  <w:num w:numId="3">
    <w:abstractNumId w:val="22"/>
  </w:num>
  <w:num w:numId="4">
    <w:abstractNumId w:val="5"/>
  </w:num>
  <w:num w:numId="5">
    <w:abstractNumId w:val="27"/>
  </w:num>
  <w:num w:numId="6">
    <w:abstractNumId w:val="9"/>
  </w:num>
  <w:num w:numId="7">
    <w:abstractNumId w:val="13"/>
  </w:num>
  <w:num w:numId="8">
    <w:abstractNumId w:val="20"/>
  </w:num>
  <w:num w:numId="9">
    <w:abstractNumId w:val="17"/>
  </w:num>
  <w:num w:numId="10">
    <w:abstractNumId w:val="19"/>
  </w:num>
  <w:num w:numId="11">
    <w:abstractNumId w:val="29"/>
  </w:num>
  <w:num w:numId="12">
    <w:abstractNumId w:val="4"/>
  </w:num>
  <w:num w:numId="13">
    <w:abstractNumId w:val="1"/>
  </w:num>
  <w:num w:numId="14">
    <w:abstractNumId w:val="2"/>
  </w:num>
  <w:num w:numId="15">
    <w:abstractNumId w:val="23"/>
  </w:num>
  <w:num w:numId="16">
    <w:abstractNumId w:val="10"/>
  </w:num>
  <w:num w:numId="17">
    <w:abstractNumId w:val="28"/>
  </w:num>
  <w:num w:numId="18">
    <w:abstractNumId w:val="21"/>
  </w:num>
  <w:num w:numId="19">
    <w:abstractNumId w:val="26"/>
  </w:num>
  <w:num w:numId="20">
    <w:abstractNumId w:val="18"/>
  </w:num>
  <w:num w:numId="21">
    <w:abstractNumId w:val="24"/>
  </w:num>
  <w:num w:numId="22">
    <w:abstractNumId w:val="25"/>
  </w:num>
  <w:num w:numId="23">
    <w:abstractNumId w:val="0"/>
  </w:num>
  <w:num w:numId="24">
    <w:abstractNumId w:val="16"/>
  </w:num>
  <w:num w:numId="25">
    <w:abstractNumId w:val="12"/>
  </w:num>
  <w:num w:numId="26">
    <w:abstractNumId w:val="15"/>
  </w:num>
  <w:num w:numId="27">
    <w:abstractNumId w:val="11"/>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OGJlMWM2YTA4OGZlYTdkNWMxMjBkMThlZWUxNWYifQ=="/>
  </w:docVars>
  <w:rsids>
    <w:rsidRoot w:val="00172A27"/>
    <w:rsid w:val="000001FC"/>
    <w:rsid w:val="00000257"/>
    <w:rsid w:val="00001CEA"/>
    <w:rsid w:val="00002436"/>
    <w:rsid w:val="00002858"/>
    <w:rsid w:val="00002968"/>
    <w:rsid w:val="00005051"/>
    <w:rsid w:val="000051DC"/>
    <w:rsid w:val="00005689"/>
    <w:rsid w:val="0000593B"/>
    <w:rsid w:val="00005F2F"/>
    <w:rsid w:val="00006B56"/>
    <w:rsid w:val="00007A82"/>
    <w:rsid w:val="00007AC6"/>
    <w:rsid w:val="00007B3E"/>
    <w:rsid w:val="00011466"/>
    <w:rsid w:val="0001148B"/>
    <w:rsid w:val="0001159C"/>
    <w:rsid w:val="000126E3"/>
    <w:rsid w:val="00012740"/>
    <w:rsid w:val="00013701"/>
    <w:rsid w:val="00013D5B"/>
    <w:rsid w:val="0001449F"/>
    <w:rsid w:val="0001493F"/>
    <w:rsid w:val="000158CF"/>
    <w:rsid w:val="00016978"/>
    <w:rsid w:val="0001778B"/>
    <w:rsid w:val="000178E3"/>
    <w:rsid w:val="00017F50"/>
    <w:rsid w:val="000203CA"/>
    <w:rsid w:val="00020857"/>
    <w:rsid w:val="000211CB"/>
    <w:rsid w:val="000219F0"/>
    <w:rsid w:val="00022778"/>
    <w:rsid w:val="00023A46"/>
    <w:rsid w:val="00023E19"/>
    <w:rsid w:val="00023E47"/>
    <w:rsid w:val="0002406D"/>
    <w:rsid w:val="00024B0D"/>
    <w:rsid w:val="000253AC"/>
    <w:rsid w:val="000257AD"/>
    <w:rsid w:val="00025CBB"/>
    <w:rsid w:val="00025FCB"/>
    <w:rsid w:val="000266B7"/>
    <w:rsid w:val="00026D6F"/>
    <w:rsid w:val="00026E3B"/>
    <w:rsid w:val="00027170"/>
    <w:rsid w:val="00027E64"/>
    <w:rsid w:val="00030247"/>
    <w:rsid w:val="00030566"/>
    <w:rsid w:val="00032436"/>
    <w:rsid w:val="00032865"/>
    <w:rsid w:val="0003287A"/>
    <w:rsid w:val="00032A7A"/>
    <w:rsid w:val="000338E4"/>
    <w:rsid w:val="00034589"/>
    <w:rsid w:val="00035926"/>
    <w:rsid w:val="00035F0A"/>
    <w:rsid w:val="00036624"/>
    <w:rsid w:val="000404B7"/>
    <w:rsid w:val="00041B25"/>
    <w:rsid w:val="00042315"/>
    <w:rsid w:val="00042599"/>
    <w:rsid w:val="00043512"/>
    <w:rsid w:val="00044302"/>
    <w:rsid w:val="0004501A"/>
    <w:rsid w:val="0004513F"/>
    <w:rsid w:val="000455A4"/>
    <w:rsid w:val="000457A3"/>
    <w:rsid w:val="00045FCC"/>
    <w:rsid w:val="00046579"/>
    <w:rsid w:val="000466D1"/>
    <w:rsid w:val="00046D33"/>
    <w:rsid w:val="000504EF"/>
    <w:rsid w:val="00050662"/>
    <w:rsid w:val="00050847"/>
    <w:rsid w:val="0005098D"/>
    <w:rsid w:val="00050EA5"/>
    <w:rsid w:val="0005143D"/>
    <w:rsid w:val="00051CB7"/>
    <w:rsid w:val="000521DA"/>
    <w:rsid w:val="00052553"/>
    <w:rsid w:val="000526BB"/>
    <w:rsid w:val="000536E5"/>
    <w:rsid w:val="000541CD"/>
    <w:rsid w:val="00054FCF"/>
    <w:rsid w:val="0005537F"/>
    <w:rsid w:val="00055740"/>
    <w:rsid w:val="000562C5"/>
    <w:rsid w:val="0005672D"/>
    <w:rsid w:val="0005728D"/>
    <w:rsid w:val="00060C67"/>
    <w:rsid w:val="00060E5B"/>
    <w:rsid w:val="000612E3"/>
    <w:rsid w:val="0006173A"/>
    <w:rsid w:val="00062107"/>
    <w:rsid w:val="000627F0"/>
    <w:rsid w:val="00062A05"/>
    <w:rsid w:val="00063767"/>
    <w:rsid w:val="00063F0A"/>
    <w:rsid w:val="00064514"/>
    <w:rsid w:val="0006493A"/>
    <w:rsid w:val="00064CF8"/>
    <w:rsid w:val="00065138"/>
    <w:rsid w:val="000658B0"/>
    <w:rsid w:val="00065936"/>
    <w:rsid w:val="00065AD2"/>
    <w:rsid w:val="00066480"/>
    <w:rsid w:val="00066D14"/>
    <w:rsid w:val="00067C6C"/>
    <w:rsid w:val="00067E15"/>
    <w:rsid w:val="00071C47"/>
    <w:rsid w:val="00071D98"/>
    <w:rsid w:val="000725F1"/>
    <w:rsid w:val="00072E1D"/>
    <w:rsid w:val="00073248"/>
    <w:rsid w:val="00073F6F"/>
    <w:rsid w:val="00074A00"/>
    <w:rsid w:val="000755BE"/>
    <w:rsid w:val="000756D6"/>
    <w:rsid w:val="00076C20"/>
    <w:rsid w:val="00076E06"/>
    <w:rsid w:val="00077285"/>
    <w:rsid w:val="000779D3"/>
    <w:rsid w:val="0008064E"/>
    <w:rsid w:val="0008094C"/>
    <w:rsid w:val="00080BB3"/>
    <w:rsid w:val="00081160"/>
    <w:rsid w:val="000816A3"/>
    <w:rsid w:val="0008235A"/>
    <w:rsid w:val="000826F2"/>
    <w:rsid w:val="000834AC"/>
    <w:rsid w:val="00084964"/>
    <w:rsid w:val="00084F88"/>
    <w:rsid w:val="0008549E"/>
    <w:rsid w:val="000858D8"/>
    <w:rsid w:val="00085C0B"/>
    <w:rsid w:val="000869C3"/>
    <w:rsid w:val="00087215"/>
    <w:rsid w:val="0008725F"/>
    <w:rsid w:val="0009062D"/>
    <w:rsid w:val="00090B28"/>
    <w:rsid w:val="00090F05"/>
    <w:rsid w:val="00091260"/>
    <w:rsid w:val="000919E0"/>
    <w:rsid w:val="00091C14"/>
    <w:rsid w:val="00092D38"/>
    <w:rsid w:val="00093412"/>
    <w:rsid w:val="000937F5"/>
    <w:rsid w:val="000940B8"/>
    <w:rsid w:val="000940D7"/>
    <w:rsid w:val="000962F3"/>
    <w:rsid w:val="00096803"/>
    <w:rsid w:val="00096BA7"/>
    <w:rsid w:val="00097061"/>
    <w:rsid w:val="00097181"/>
    <w:rsid w:val="00097C3C"/>
    <w:rsid w:val="000A16B5"/>
    <w:rsid w:val="000A1AB0"/>
    <w:rsid w:val="000A34D9"/>
    <w:rsid w:val="000A35ED"/>
    <w:rsid w:val="000A3AEA"/>
    <w:rsid w:val="000A45CE"/>
    <w:rsid w:val="000A4957"/>
    <w:rsid w:val="000A4CE4"/>
    <w:rsid w:val="000A5AE8"/>
    <w:rsid w:val="000A6254"/>
    <w:rsid w:val="000A64B3"/>
    <w:rsid w:val="000A7255"/>
    <w:rsid w:val="000A7558"/>
    <w:rsid w:val="000B0E5A"/>
    <w:rsid w:val="000B1135"/>
    <w:rsid w:val="000B1460"/>
    <w:rsid w:val="000B294D"/>
    <w:rsid w:val="000B3B28"/>
    <w:rsid w:val="000B419A"/>
    <w:rsid w:val="000B4763"/>
    <w:rsid w:val="000B5481"/>
    <w:rsid w:val="000B60A5"/>
    <w:rsid w:val="000B63F6"/>
    <w:rsid w:val="000B68C1"/>
    <w:rsid w:val="000B6DD0"/>
    <w:rsid w:val="000B7BD2"/>
    <w:rsid w:val="000B7FCF"/>
    <w:rsid w:val="000C0317"/>
    <w:rsid w:val="000C0659"/>
    <w:rsid w:val="000C210B"/>
    <w:rsid w:val="000C250E"/>
    <w:rsid w:val="000C2F45"/>
    <w:rsid w:val="000C497C"/>
    <w:rsid w:val="000C4A3F"/>
    <w:rsid w:val="000C4C1B"/>
    <w:rsid w:val="000C4F77"/>
    <w:rsid w:val="000C542D"/>
    <w:rsid w:val="000C5823"/>
    <w:rsid w:val="000C5A41"/>
    <w:rsid w:val="000C62CA"/>
    <w:rsid w:val="000C651A"/>
    <w:rsid w:val="000C665A"/>
    <w:rsid w:val="000C6A7A"/>
    <w:rsid w:val="000C6B06"/>
    <w:rsid w:val="000C6D6D"/>
    <w:rsid w:val="000C6F7C"/>
    <w:rsid w:val="000C72DA"/>
    <w:rsid w:val="000C7307"/>
    <w:rsid w:val="000C749B"/>
    <w:rsid w:val="000C7763"/>
    <w:rsid w:val="000C7EDA"/>
    <w:rsid w:val="000C7F8E"/>
    <w:rsid w:val="000D0E29"/>
    <w:rsid w:val="000D0F17"/>
    <w:rsid w:val="000D2714"/>
    <w:rsid w:val="000D292A"/>
    <w:rsid w:val="000D31B8"/>
    <w:rsid w:val="000D338F"/>
    <w:rsid w:val="000D342F"/>
    <w:rsid w:val="000D3E27"/>
    <w:rsid w:val="000D4740"/>
    <w:rsid w:val="000D4814"/>
    <w:rsid w:val="000D54D6"/>
    <w:rsid w:val="000D6579"/>
    <w:rsid w:val="000D6E41"/>
    <w:rsid w:val="000D7126"/>
    <w:rsid w:val="000D7327"/>
    <w:rsid w:val="000D7404"/>
    <w:rsid w:val="000D7F90"/>
    <w:rsid w:val="000E022D"/>
    <w:rsid w:val="000E0504"/>
    <w:rsid w:val="000E0E31"/>
    <w:rsid w:val="000E1B45"/>
    <w:rsid w:val="000E2028"/>
    <w:rsid w:val="000E36F4"/>
    <w:rsid w:val="000E42D1"/>
    <w:rsid w:val="000E49AA"/>
    <w:rsid w:val="000E49E6"/>
    <w:rsid w:val="000E4B74"/>
    <w:rsid w:val="000E568B"/>
    <w:rsid w:val="000E61F7"/>
    <w:rsid w:val="000E72DA"/>
    <w:rsid w:val="000E7481"/>
    <w:rsid w:val="000E7858"/>
    <w:rsid w:val="000F0F1F"/>
    <w:rsid w:val="000F13D3"/>
    <w:rsid w:val="000F145F"/>
    <w:rsid w:val="000F1536"/>
    <w:rsid w:val="000F3216"/>
    <w:rsid w:val="000F357B"/>
    <w:rsid w:val="000F4D8F"/>
    <w:rsid w:val="000F5173"/>
    <w:rsid w:val="000F5455"/>
    <w:rsid w:val="000F5689"/>
    <w:rsid w:val="000F5B1E"/>
    <w:rsid w:val="00101219"/>
    <w:rsid w:val="00101B7B"/>
    <w:rsid w:val="00102B6F"/>
    <w:rsid w:val="00102E63"/>
    <w:rsid w:val="00102E92"/>
    <w:rsid w:val="00103A01"/>
    <w:rsid w:val="001047AB"/>
    <w:rsid w:val="00104B69"/>
    <w:rsid w:val="00104DF0"/>
    <w:rsid w:val="00105605"/>
    <w:rsid w:val="00105679"/>
    <w:rsid w:val="0010597C"/>
    <w:rsid w:val="0010609D"/>
    <w:rsid w:val="00106CD5"/>
    <w:rsid w:val="00107135"/>
    <w:rsid w:val="00107280"/>
    <w:rsid w:val="0010786C"/>
    <w:rsid w:val="001078FA"/>
    <w:rsid w:val="00110674"/>
    <w:rsid w:val="00110A57"/>
    <w:rsid w:val="001119BC"/>
    <w:rsid w:val="00112FF9"/>
    <w:rsid w:val="00113354"/>
    <w:rsid w:val="0011380E"/>
    <w:rsid w:val="00113A5C"/>
    <w:rsid w:val="00114B6E"/>
    <w:rsid w:val="00115399"/>
    <w:rsid w:val="001159EC"/>
    <w:rsid w:val="00116145"/>
    <w:rsid w:val="00116694"/>
    <w:rsid w:val="00116EEC"/>
    <w:rsid w:val="00117335"/>
    <w:rsid w:val="001173C1"/>
    <w:rsid w:val="00117639"/>
    <w:rsid w:val="00117B08"/>
    <w:rsid w:val="00120347"/>
    <w:rsid w:val="00120B9E"/>
    <w:rsid w:val="00120D50"/>
    <w:rsid w:val="0012102C"/>
    <w:rsid w:val="00121E58"/>
    <w:rsid w:val="00122000"/>
    <w:rsid w:val="00122317"/>
    <w:rsid w:val="00122960"/>
    <w:rsid w:val="00125BC6"/>
    <w:rsid w:val="00125C1A"/>
    <w:rsid w:val="00125E50"/>
    <w:rsid w:val="001270A4"/>
    <w:rsid w:val="00127630"/>
    <w:rsid w:val="001323CC"/>
    <w:rsid w:val="001329BA"/>
    <w:rsid w:val="001332C4"/>
    <w:rsid w:val="0013395E"/>
    <w:rsid w:val="00133F68"/>
    <w:rsid w:val="0013430A"/>
    <w:rsid w:val="0013487A"/>
    <w:rsid w:val="00134A32"/>
    <w:rsid w:val="00134AD5"/>
    <w:rsid w:val="00134C75"/>
    <w:rsid w:val="0013565A"/>
    <w:rsid w:val="00136169"/>
    <w:rsid w:val="001366A3"/>
    <w:rsid w:val="00136C37"/>
    <w:rsid w:val="00136E64"/>
    <w:rsid w:val="00137C10"/>
    <w:rsid w:val="00141086"/>
    <w:rsid w:val="00141394"/>
    <w:rsid w:val="00141CC4"/>
    <w:rsid w:val="00141E56"/>
    <w:rsid w:val="00143778"/>
    <w:rsid w:val="00143D72"/>
    <w:rsid w:val="00144107"/>
    <w:rsid w:val="001456A8"/>
    <w:rsid w:val="001474FE"/>
    <w:rsid w:val="00147F9B"/>
    <w:rsid w:val="001512F9"/>
    <w:rsid w:val="0015140C"/>
    <w:rsid w:val="00151ABC"/>
    <w:rsid w:val="00151D4B"/>
    <w:rsid w:val="00152D34"/>
    <w:rsid w:val="001535D4"/>
    <w:rsid w:val="00153A01"/>
    <w:rsid w:val="00156DAE"/>
    <w:rsid w:val="001571D8"/>
    <w:rsid w:val="001575C0"/>
    <w:rsid w:val="00157685"/>
    <w:rsid w:val="001577AF"/>
    <w:rsid w:val="0016084B"/>
    <w:rsid w:val="00160968"/>
    <w:rsid w:val="00161763"/>
    <w:rsid w:val="00161B9B"/>
    <w:rsid w:val="00161E21"/>
    <w:rsid w:val="00163324"/>
    <w:rsid w:val="0016579E"/>
    <w:rsid w:val="001661F0"/>
    <w:rsid w:val="001668CB"/>
    <w:rsid w:val="001669AB"/>
    <w:rsid w:val="001671E1"/>
    <w:rsid w:val="001673AD"/>
    <w:rsid w:val="00167458"/>
    <w:rsid w:val="00167659"/>
    <w:rsid w:val="001677B9"/>
    <w:rsid w:val="00167829"/>
    <w:rsid w:val="00167DE4"/>
    <w:rsid w:val="001700B1"/>
    <w:rsid w:val="00170C79"/>
    <w:rsid w:val="00171BD2"/>
    <w:rsid w:val="001725AF"/>
    <w:rsid w:val="00172A27"/>
    <w:rsid w:val="00173724"/>
    <w:rsid w:val="001750AA"/>
    <w:rsid w:val="00177135"/>
    <w:rsid w:val="001777C1"/>
    <w:rsid w:val="00177981"/>
    <w:rsid w:val="0018029E"/>
    <w:rsid w:val="00180678"/>
    <w:rsid w:val="00180E62"/>
    <w:rsid w:val="00181C83"/>
    <w:rsid w:val="00181D75"/>
    <w:rsid w:val="001827FA"/>
    <w:rsid w:val="00182A66"/>
    <w:rsid w:val="00184246"/>
    <w:rsid w:val="00184330"/>
    <w:rsid w:val="001847B7"/>
    <w:rsid w:val="00184C39"/>
    <w:rsid w:val="00185A86"/>
    <w:rsid w:val="00185F1F"/>
    <w:rsid w:val="00186AAE"/>
    <w:rsid w:val="001875BC"/>
    <w:rsid w:val="00187D96"/>
    <w:rsid w:val="001905E0"/>
    <w:rsid w:val="001922FC"/>
    <w:rsid w:val="00192CA6"/>
    <w:rsid w:val="001935ED"/>
    <w:rsid w:val="001944F0"/>
    <w:rsid w:val="00195C35"/>
    <w:rsid w:val="00195C5F"/>
    <w:rsid w:val="001962F5"/>
    <w:rsid w:val="001963D9"/>
    <w:rsid w:val="00196A19"/>
    <w:rsid w:val="0019783B"/>
    <w:rsid w:val="001979EC"/>
    <w:rsid w:val="001A04CA"/>
    <w:rsid w:val="001A08DC"/>
    <w:rsid w:val="001A1D94"/>
    <w:rsid w:val="001A1F11"/>
    <w:rsid w:val="001A2513"/>
    <w:rsid w:val="001A2E67"/>
    <w:rsid w:val="001A3280"/>
    <w:rsid w:val="001A410D"/>
    <w:rsid w:val="001A42B5"/>
    <w:rsid w:val="001A4AC2"/>
    <w:rsid w:val="001A50A9"/>
    <w:rsid w:val="001A517E"/>
    <w:rsid w:val="001A5550"/>
    <w:rsid w:val="001A555A"/>
    <w:rsid w:val="001A63D8"/>
    <w:rsid w:val="001A7C44"/>
    <w:rsid w:val="001A7C9B"/>
    <w:rsid w:val="001B0E0E"/>
    <w:rsid w:val="001B0F47"/>
    <w:rsid w:val="001B13CE"/>
    <w:rsid w:val="001B1B08"/>
    <w:rsid w:val="001B1EED"/>
    <w:rsid w:val="001B28F3"/>
    <w:rsid w:val="001B2C5E"/>
    <w:rsid w:val="001B4FCB"/>
    <w:rsid w:val="001B55B2"/>
    <w:rsid w:val="001B61EE"/>
    <w:rsid w:val="001B6CED"/>
    <w:rsid w:val="001B731C"/>
    <w:rsid w:val="001B75D1"/>
    <w:rsid w:val="001B7EA2"/>
    <w:rsid w:val="001C0EE5"/>
    <w:rsid w:val="001C13C6"/>
    <w:rsid w:val="001C1455"/>
    <w:rsid w:val="001C1707"/>
    <w:rsid w:val="001C30E0"/>
    <w:rsid w:val="001C3CA1"/>
    <w:rsid w:val="001C4023"/>
    <w:rsid w:val="001C454D"/>
    <w:rsid w:val="001C4636"/>
    <w:rsid w:val="001C4825"/>
    <w:rsid w:val="001C4C2E"/>
    <w:rsid w:val="001C5C8E"/>
    <w:rsid w:val="001C5E88"/>
    <w:rsid w:val="001C66A7"/>
    <w:rsid w:val="001D0336"/>
    <w:rsid w:val="001D0B96"/>
    <w:rsid w:val="001D0FB0"/>
    <w:rsid w:val="001D1D09"/>
    <w:rsid w:val="001D1DA8"/>
    <w:rsid w:val="001D1E73"/>
    <w:rsid w:val="001D27ED"/>
    <w:rsid w:val="001D2868"/>
    <w:rsid w:val="001D3246"/>
    <w:rsid w:val="001D500B"/>
    <w:rsid w:val="001D5C47"/>
    <w:rsid w:val="001D6394"/>
    <w:rsid w:val="001D6C3C"/>
    <w:rsid w:val="001D7478"/>
    <w:rsid w:val="001D767D"/>
    <w:rsid w:val="001D7856"/>
    <w:rsid w:val="001D79AA"/>
    <w:rsid w:val="001E0096"/>
    <w:rsid w:val="001E0F10"/>
    <w:rsid w:val="001E0F38"/>
    <w:rsid w:val="001E27F3"/>
    <w:rsid w:val="001E2F12"/>
    <w:rsid w:val="001E335A"/>
    <w:rsid w:val="001E49B0"/>
    <w:rsid w:val="001E6222"/>
    <w:rsid w:val="001E715D"/>
    <w:rsid w:val="001E77AA"/>
    <w:rsid w:val="001F1D4D"/>
    <w:rsid w:val="001F1D71"/>
    <w:rsid w:val="001F1EDF"/>
    <w:rsid w:val="001F1F89"/>
    <w:rsid w:val="001F2058"/>
    <w:rsid w:val="001F2310"/>
    <w:rsid w:val="001F28CA"/>
    <w:rsid w:val="001F2C73"/>
    <w:rsid w:val="001F2CD1"/>
    <w:rsid w:val="001F2DEC"/>
    <w:rsid w:val="001F2E11"/>
    <w:rsid w:val="001F35F4"/>
    <w:rsid w:val="001F4710"/>
    <w:rsid w:val="001F486D"/>
    <w:rsid w:val="001F48D4"/>
    <w:rsid w:val="001F6255"/>
    <w:rsid w:val="001F62EC"/>
    <w:rsid w:val="001F729E"/>
    <w:rsid w:val="001F775D"/>
    <w:rsid w:val="001F7D2D"/>
    <w:rsid w:val="00200B6A"/>
    <w:rsid w:val="00201577"/>
    <w:rsid w:val="0020205A"/>
    <w:rsid w:val="002027F5"/>
    <w:rsid w:val="002029AF"/>
    <w:rsid w:val="00204369"/>
    <w:rsid w:val="0020569F"/>
    <w:rsid w:val="00206B70"/>
    <w:rsid w:val="0020779D"/>
    <w:rsid w:val="00207969"/>
    <w:rsid w:val="00207FBF"/>
    <w:rsid w:val="0021103A"/>
    <w:rsid w:val="0021107C"/>
    <w:rsid w:val="00211094"/>
    <w:rsid w:val="00211345"/>
    <w:rsid w:val="0021355F"/>
    <w:rsid w:val="002135E6"/>
    <w:rsid w:val="00213FAC"/>
    <w:rsid w:val="00213FD4"/>
    <w:rsid w:val="00214251"/>
    <w:rsid w:val="0021457A"/>
    <w:rsid w:val="0021494D"/>
    <w:rsid w:val="00214E9A"/>
    <w:rsid w:val="00215365"/>
    <w:rsid w:val="002153DD"/>
    <w:rsid w:val="00215713"/>
    <w:rsid w:val="00215E8D"/>
    <w:rsid w:val="00216812"/>
    <w:rsid w:val="0021743A"/>
    <w:rsid w:val="00217640"/>
    <w:rsid w:val="00220911"/>
    <w:rsid w:val="0022161D"/>
    <w:rsid w:val="00221812"/>
    <w:rsid w:val="002222C0"/>
    <w:rsid w:val="0022256D"/>
    <w:rsid w:val="0022282E"/>
    <w:rsid w:val="002229CB"/>
    <w:rsid w:val="00222F11"/>
    <w:rsid w:val="00223281"/>
    <w:rsid w:val="002234C0"/>
    <w:rsid w:val="00223D40"/>
    <w:rsid w:val="00224547"/>
    <w:rsid w:val="002245F4"/>
    <w:rsid w:val="00224A54"/>
    <w:rsid w:val="00225239"/>
    <w:rsid w:val="0022525E"/>
    <w:rsid w:val="00225447"/>
    <w:rsid w:val="00225EAB"/>
    <w:rsid w:val="00226C45"/>
    <w:rsid w:val="00227BF3"/>
    <w:rsid w:val="00227D34"/>
    <w:rsid w:val="0023005C"/>
    <w:rsid w:val="0023089C"/>
    <w:rsid w:val="00230921"/>
    <w:rsid w:val="0023096E"/>
    <w:rsid w:val="002324A5"/>
    <w:rsid w:val="00232855"/>
    <w:rsid w:val="00232CCE"/>
    <w:rsid w:val="00232F1C"/>
    <w:rsid w:val="00233330"/>
    <w:rsid w:val="00233D1C"/>
    <w:rsid w:val="002341C9"/>
    <w:rsid w:val="00234A09"/>
    <w:rsid w:val="00234ECF"/>
    <w:rsid w:val="00234F18"/>
    <w:rsid w:val="002355D6"/>
    <w:rsid w:val="00235BF6"/>
    <w:rsid w:val="00235F8B"/>
    <w:rsid w:val="0023648B"/>
    <w:rsid w:val="00236971"/>
    <w:rsid w:val="00236FED"/>
    <w:rsid w:val="00237365"/>
    <w:rsid w:val="00237B74"/>
    <w:rsid w:val="00237D4A"/>
    <w:rsid w:val="0024046A"/>
    <w:rsid w:val="00241054"/>
    <w:rsid w:val="002416C8"/>
    <w:rsid w:val="00241826"/>
    <w:rsid w:val="00241BD2"/>
    <w:rsid w:val="00241EA7"/>
    <w:rsid w:val="00242117"/>
    <w:rsid w:val="002426BA"/>
    <w:rsid w:val="002428AE"/>
    <w:rsid w:val="00242C56"/>
    <w:rsid w:val="0024392B"/>
    <w:rsid w:val="00243989"/>
    <w:rsid w:val="00244009"/>
    <w:rsid w:val="00244030"/>
    <w:rsid w:val="0024466B"/>
    <w:rsid w:val="00244CDD"/>
    <w:rsid w:val="00245024"/>
    <w:rsid w:val="0024564B"/>
    <w:rsid w:val="00246357"/>
    <w:rsid w:val="00246827"/>
    <w:rsid w:val="00246A19"/>
    <w:rsid w:val="00247254"/>
    <w:rsid w:val="002477BA"/>
    <w:rsid w:val="002500F3"/>
    <w:rsid w:val="002513D3"/>
    <w:rsid w:val="00251BCE"/>
    <w:rsid w:val="002521F6"/>
    <w:rsid w:val="00252473"/>
    <w:rsid w:val="0025272C"/>
    <w:rsid w:val="002533B3"/>
    <w:rsid w:val="002533B5"/>
    <w:rsid w:val="002534E5"/>
    <w:rsid w:val="0025370E"/>
    <w:rsid w:val="00253C4B"/>
    <w:rsid w:val="00253E52"/>
    <w:rsid w:val="0025410B"/>
    <w:rsid w:val="002546BA"/>
    <w:rsid w:val="00254AB6"/>
    <w:rsid w:val="00254C3E"/>
    <w:rsid w:val="00254EAD"/>
    <w:rsid w:val="00255C22"/>
    <w:rsid w:val="00257431"/>
    <w:rsid w:val="00257A12"/>
    <w:rsid w:val="00260FD7"/>
    <w:rsid w:val="00261842"/>
    <w:rsid w:val="00261CFA"/>
    <w:rsid w:val="002629D5"/>
    <w:rsid w:val="00262BC0"/>
    <w:rsid w:val="0026446B"/>
    <w:rsid w:val="0026472E"/>
    <w:rsid w:val="00264FC2"/>
    <w:rsid w:val="00265420"/>
    <w:rsid w:val="002654EA"/>
    <w:rsid w:val="002656C2"/>
    <w:rsid w:val="00265727"/>
    <w:rsid w:val="0026594B"/>
    <w:rsid w:val="00266EB2"/>
    <w:rsid w:val="0027018F"/>
    <w:rsid w:val="002708A0"/>
    <w:rsid w:val="002712D1"/>
    <w:rsid w:val="002717A6"/>
    <w:rsid w:val="00271870"/>
    <w:rsid w:val="00273530"/>
    <w:rsid w:val="0027388F"/>
    <w:rsid w:val="00275F61"/>
    <w:rsid w:val="0027608E"/>
    <w:rsid w:val="00276517"/>
    <w:rsid w:val="00277412"/>
    <w:rsid w:val="002774F8"/>
    <w:rsid w:val="00277D46"/>
    <w:rsid w:val="00281B74"/>
    <w:rsid w:val="0028398E"/>
    <w:rsid w:val="00283E00"/>
    <w:rsid w:val="002851B7"/>
    <w:rsid w:val="00285400"/>
    <w:rsid w:val="00286653"/>
    <w:rsid w:val="002867D3"/>
    <w:rsid w:val="00287CCE"/>
    <w:rsid w:val="00287D00"/>
    <w:rsid w:val="002914C5"/>
    <w:rsid w:val="002914F4"/>
    <w:rsid w:val="00291FD8"/>
    <w:rsid w:val="0029281B"/>
    <w:rsid w:val="002933BD"/>
    <w:rsid w:val="00293507"/>
    <w:rsid w:val="002935B1"/>
    <w:rsid w:val="00293F5C"/>
    <w:rsid w:val="00294109"/>
    <w:rsid w:val="00294761"/>
    <w:rsid w:val="0029551E"/>
    <w:rsid w:val="002955E1"/>
    <w:rsid w:val="0029560D"/>
    <w:rsid w:val="002956B8"/>
    <w:rsid w:val="00295DF8"/>
    <w:rsid w:val="0029721F"/>
    <w:rsid w:val="0029745A"/>
    <w:rsid w:val="00297A06"/>
    <w:rsid w:val="00297A3E"/>
    <w:rsid w:val="00297E70"/>
    <w:rsid w:val="002A0208"/>
    <w:rsid w:val="002A12B3"/>
    <w:rsid w:val="002A133A"/>
    <w:rsid w:val="002A2888"/>
    <w:rsid w:val="002A2971"/>
    <w:rsid w:val="002A452D"/>
    <w:rsid w:val="002A491F"/>
    <w:rsid w:val="002A4FD1"/>
    <w:rsid w:val="002A5B3E"/>
    <w:rsid w:val="002A5D6F"/>
    <w:rsid w:val="002A6367"/>
    <w:rsid w:val="002A6AD9"/>
    <w:rsid w:val="002A73B4"/>
    <w:rsid w:val="002B00DE"/>
    <w:rsid w:val="002B0218"/>
    <w:rsid w:val="002B0302"/>
    <w:rsid w:val="002B05E4"/>
    <w:rsid w:val="002B076E"/>
    <w:rsid w:val="002B0B23"/>
    <w:rsid w:val="002B1B00"/>
    <w:rsid w:val="002B2168"/>
    <w:rsid w:val="002B23A1"/>
    <w:rsid w:val="002B37F6"/>
    <w:rsid w:val="002B38CE"/>
    <w:rsid w:val="002B39F9"/>
    <w:rsid w:val="002B40BB"/>
    <w:rsid w:val="002B54D5"/>
    <w:rsid w:val="002B58B6"/>
    <w:rsid w:val="002B59E2"/>
    <w:rsid w:val="002B5BD2"/>
    <w:rsid w:val="002B5C72"/>
    <w:rsid w:val="002B5C7C"/>
    <w:rsid w:val="002B5F90"/>
    <w:rsid w:val="002B6DDF"/>
    <w:rsid w:val="002B6EAA"/>
    <w:rsid w:val="002B6FBE"/>
    <w:rsid w:val="002B74B5"/>
    <w:rsid w:val="002B7A9A"/>
    <w:rsid w:val="002C09A9"/>
    <w:rsid w:val="002C291D"/>
    <w:rsid w:val="002C2DCE"/>
    <w:rsid w:val="002C3617"/>
    <w:rsid w:val="002C3676"/>
    <w:rsid w:val="002C4353"/>
    <w:rsid w:val="002C47D1"/>
    <w:rsid w:val="002C4D8F"/>
    <w:rsid w:val="002C55CA"/>
    <w:rsid w:val="002C560B"/>
    <w:rsid w:val="002C6878"/>
    <w:rsid w:val="002C68DF"/>
    <w:rsid w:val="002C6D2B"/>
    <w:rsid w:val="002C6D71"/>
    <w:rsid w:val="002C7435"/>
    <w:rsid w:val="002C75D4"/>
    <w:rsid w:val="002C77DD"/>
    <w:rsid w:val="002C7DFD"/>
    <w:rsid w:val="002C7EBF"/>
    <w:rsid w:val="002D0BDF"/>
    <w:rsid w:val="002D2045"/>
    <w:rsid w:val="002D255C"/>
    <w:rsid w:val="002D2935"/>
    <w:rsid w:val="002D2BFD"/>
    <w:rsid w:val="002D3C00"/>
    <w:rsid w:val="002D437B"/>
    <w:rsid w:val="002D44D0"/>
    <w:rsid w:val="002D53F8"/>
    <w:rsid w:val="002D5E2C"/>
    <w:rsid w:val="002D5EAA"/>
    <w:rsid w:val="002D7289"/>
    <w:rsid w:val="002D7A47"/>
    <w:rsid w:val="002D7D6F"/>
    <w:rsid w:val="002E0322"/>
    <w:rsid w:val="002E1020"/>
    <w:rsid w:val="002E106E"/>
    <w:rsid w:val="002E1516"/>
    <w:rsid w:val="002E188A"/>
    <w:rsid w:val="002E273E"/>
    <w:rsid w:val="002E4DCD"/>
    <w:rsid w:val="002E4FD9"/>
    <w:rsid w:val="002E612D"/>
    <w:rsid w:val="002E6179"/>
    <w:rsid w:val="002E7B1E"/>
    <w:rsid w:val="002E7D84"/>
    <w:rsid w:val="002E7DEE"/>
    <w:rsid w:val="002E7EF2"/>
    <w:rsid w:val="002F03AD"/>
    <w:rsid w:val="002F1A76"/>
    <w:rsid w:val="002F1B4B"/>
    <w:rsid w:val="002F1EEB"/>
    <w:rsid w:val="002F2724"/>
    <w:rsid w:val="002F273C"/>
    <w:rsid w:val="002F27E1"/>
    <w:rsid w:val="002F2B88"/>
    <w:rsid w:val="002F39DF"/>
    <w:rsid w:val="002F3EA2"/>
    <w:rsid w:val="002F4BB4"/>
    <w:rsid w:val="002F530B"/>
    <w:rsid w:val="002F5828"/>
    <w:rsid w:val="002F6845"/>
    <w:rsid w:val="002F763B"/>
    <w:rsid w:val="00300807"/>
    <w:rsid w:val="00300EFC"/>
    <w:rsid w:val="00301465"/>
    <w:rsid w:val="003019D0"/>
    <w:rsid w:val="00303574"/>
    <w:rsid w:val="003036A0"/>
    <w:rsid w:val="00303892"/>
    <w:rsid w:val="00303E5A"/>
    <w:rsid w:val="00303F32"/>
    <w:rsid w:val="003040F1"/>
    <w:rsid w:val="0030416E"/>
    <w:rsid w:val="003041B4"/>
    <w:rsid w:val="00304B0D"/>
    <w:rsid w:val="00304B44"/>
    <w:rsid w:val="003053B0"/>
    <w:rsid w:val="00305F42"/>
    <w:rsid w:val="0030615D"/>
    <w:rsid w:val="00306252"/>
    <w:rsid w:val="0030732C"/>
    <w:rsid w:val="003073B7"/>
    <w:rsid w:val="003103AE"/>
    <w:rsid w:val="0031168E"/>
    <w:rsid w:val="00311EA5"/>
    <w:rsid w:val="00312849"/>
    <w:rsid w:val="0031284C"/>
    <w:rsid w:val="00313B21"/>
    <w:rsid w:val="00314908"/>
    <w:rsid w:val="00314B3D"/>
    <w:rsid w:val="00314B8D"/>
    <w:rsid w:val="00315332"/>
    <w:rsid w:val="003153F7"/>
    <w:rsid w:val="00315458"/>
    <w:rsid w:val="00315762"/>
    <w:rsid w:val="003171C2"/>
    <w:rsid w:val="00317D71"/>
    <w:rsid w:val="003204EC"/>
    <w:rsid w:val="003206CD"/>
    <w:rsid w:val="00320ACE"/>
    <w:rsid w:val="00321D7E"/>
    <w:rsid w:val="00322773"/>
    <w:rsid w:val="00322790"/>
    <w:rsid w:val="003231B8"/>
    <w:rsid w:val="003235C8"/>
    <w:rsid w:val="003239DA"/>
    <w:rsid w:val="00324D89"/>
    <w:rsid w:val="00325A6B"/>
    <w:rsid w:val="003269D6"/>
    <w:rsid w:val="003276C1"/>
    <w:rsid w:val="003279A9"/>
    <w:rsid w:val="00330114"/>
    <w:rsid w:val="00330393"/>
    <w:rsid w:val="00330D83"/>
    <w:rsid w:val="00330D9C"/>
    <w:rsid w:val="003310EE"/>
    <w:rsid w:val="00331B1B"/>
    <w:rsid w:val="00331F0E"/>
    <w:rsid w:val="00332312"/>
    <w:rsid w:val="0033279B"/>
    <w:rsid w:val="0033302C"/>
    <w:rsid w:val="00333C28"/>
    <w:rsid w:val="0033448D"/>
    <w:rsid w:val="00334F3A"/>
    <w:rsid w:val="00335757"/>
    <w:rsid w:val="00335E85"/>
    <w:rsid w:val="00336121"/>
    <w:rsid w:val="003367C4"/>
    <w:rsid w:val="00336EAE"/>
    <w:rsid w:val="00337A7F"/>
    <w:rsid w:val="003410FD"/>
    <w:rsid w:val="0034198D"/>
    <w:rsid w:val="003424D8"/>
    <w:rsid w:val="00342E08"/>
    <w:rsid w:val="003437EB"/>
    <w:rsid w:val="003450EA"/>
    <w:rsid w:val="0034526E"/>
    <w:rsid w:val="00345EA7"/>
    <w:rsid w:val="00346261"/>
    <w:rsid w:val="00347663"/>
    <w:rsid w:val="00351669"/>
    <w:rsid w:val="0035226F"/>
    <w:rsid w:val="00352A43"/>
    <w:rsid w:val="0035363A"/>
    <w:rsid w:val="00353A79"/>
    <w:rsid w:val="003540EF"/>
    <w:rsid w:val="00356282"/>
    <w:rsid w:val="00356398"/>
    <w:rsid w:val="00356B0B"/>
    <w:rsid w:val="00356C3D"/>
    <w:rsid w:val="00357165"/>
    <w:rsid w:val="0035788C"/>
    <w:rsid w:val="00357EE5"/>
    <w:rsid w:val="00361944"/>
    <w:rsid w:val="00361E4D"/>
    <w:rsid w:val="0036288E"/>
    <w:rsid w:val="00362A2A"/>
    <w:rsid w:val="00363B21"/>
    <w:rsid w:val="0036440B"/>
    <w:rsid w:val="0036479D"/>
    <w:rsid w:val="0036512E"/>
    <w:rsid w:val="0036515F"/>
    <w:rsid w:val="003659B3"/>
    <w:rsid w:val="00365BD5"/>
    <w:rsid w:val="003660D0"/>
    <w:rsid w:val="0036637D"/>
    <w:rsid w:val="00366672"/>
    <w:rsid w:val="0036788B"/>
    <w:rsid w:val="0037060F"/>
    <w:rsid w:val="00370C13"/>
    <w:rsid w:val="00372B8D"/>
    <w:rsid w:val="00372DBA"/>
    <w:rsid w:val="00373BBA"/>
    <w:rsid w:val="003751ED"/>
    <w:rsid w:val="0037632B"/>
    <w:rsid w:val="00376442"/>
    <w:rsid w:val="00376DCD"/>
    <w:rsid w:val="00376FBD"/>
    <w:rsid w:val="00377113"/>
    <w:rsid w:val="003776FB"/>
    <w:rsid w:val="003808CD"/>
    <w:rsid w:val="00380AEA"/>
    <w:rsid w:val="00380EC4"/>
    <w:rsid w:val="003813A0"/>
    <w:rsid w:val="00381D20"/>
    <w:rsid w:val="0038235B"/>
    <w:rsid w:val="00382DF9"/>
    <w:rsid w:val="00383251"/>
    <w:rsid w:val="00383942"/>
    <w:rsid w:val="003842CC"/>
    <w:rsid w:val="0038433A"/>
    <w:rsid w:val="00384FBC"/>
    <w:rsid w:val="00385845"/>
    <w:rsid w:val="00385D27"/>
    <w:rsid w:val="00386F05"/>
    <w:rsid w:val="003873D4"/>
    <w:rsid w:val="003873EA"/>
    <w:rsid w:val="003903E2"/>
    <w:rsid w:val="00392057"/>
    <w:rsid w:val="003925EC"/>
    <w:rsid w:val="00392664"/>
    <w:rsid w:val="0039416D"/>
    <w:rsid w:val="00395224"/>
    <w:rsid w:val="00395E25"/>
    <w:rsid w:val="003A0214"/>
    <w:rsid w:val="003A0299"/>
    <w:rsid w:val="003A02C4"/>
    <w:rsid w:val="003A04B5"/>
    <w:rsid w:val="003A05AD"/>
    <w:rsid w:val="003A137C"/>
    <w:rsid w:val="003A1AA8"/>
    <w:rsid w:val="003A2422"/>
    <w:rsid w:val="003A33D9"/>
    <w:rsid w:val="003A349C"/>
    <w:rsid w:val="003A3B92"/>
    <w:rsid w:val="003A4109"/>
    <w:rsid w:val="003A4EC1"/>
    <w:rsid w:val="003A505A"/>
    <w:rsid w:val="003A5BD8"/>
    <w:rsid w:val="003A6191"/>
    <w:rsid w:val="003A65CD"/>
    <w:rsid w:val="003A6E37"/>
    <w:rsid w:val="003B0E30"/>
    <w:rsid w:val="003B132B"/>
    <w:rsid w:val="003B1BE8"/>
    <w:rsid w:val="003B1DB1"/>
    <w:rsid w:val="003B3056"/>
    <w:rsid w:val="003B3302"/>
    <w:rsid w:val="003B46E4"/>
    <w:rsid w:val="003B51B1"/>
    <w:rsid w:val="003B53BB"/>
    <w:rsid w:val="003B56E0"/>
    <w:rsid w:val="003B666E"/>
    <w:rsid w:val="003C04DD"/>
    <w:rsid w:val="003C137D"/>
    <w:rsid w:val="003C1EAA"/>
    <w:rsid w:val="003C2600"/>
    <w:rsid w:val="003C2CE1"/>
    <w:rsid w:val="003C31D4"/>
    <w:rsid w:val="003C3425"/>
    <w:rsid w:val="003C3826"/>
    <w:rsid w:val="003C3AFD"/>
    <w:rsid w:val="003C4C6E"/>
    <w:rsid w:val="003C5446"/>
    <w:rsid w:val="003C5A35"/>
    <w:rsid w:val="003C5CF8"/>
    <w:rsid w:val="003C6008"/>
    <w:rsid w:val="003C715A"/>
    <w:rsid w:val="003C7569"/>
    <w:rsid w:val="003C77CD"/>
    <w:rsid w:val="003C787F"/>
    <w:rsid w:val="003D000F"/>
    <w:rsid w:val="003D0151"/>
    <w:rsid w:val="003D14C6"/>
    <w:rsid w:val="003D2514"/>
    <w:rsid w:val="003D2A36"/>
    <w:rsid w:val="003D3140"/>
    <w:rsid w:val="003D3F91"/>
    <w:rsid w:val="003D412C"/>
    <w:rsid w:val="003D429B"/>
    <w:rsid w:val="003D4E62"/>
    <w:rsid w:val="003D54BF"/>
    <w:rsid w:val="003D5690"/>
    <w:rsid w:val="003D6327"/>
    <w:rsid w:val="003D6391"/>
    <w:rsid w:val="003D6F2F"/>
    <w:rsid w:val="003D72C1"/>
    <w:rsid w:val="003D74E3"/>
    <w:rsid w:val="003D7560"/>
    <w:rsid w:val="003E038A"/>
    <w:rsid w:val="003E0AA6"/>
    <w:rsid w:val="003E1B6B"/>
    <w:rsid w:val="003E1F5E"/>
    <w:rsid w:val="003E2F6C"/>
    <w:rsid w:val="003E4CF1"/>
    <w:rsid w:val="003E5322"/>
    <w:rsid w:val="003E5765"/>
    <w:rsid w:val="003E6452"/>
    <w:rsid w:val="003E679B"/>
    <w:rsid w:val="003E67C9"/>
    <w:rsid w:val="003E6A79"/>
    <w:rsid w:val="003E7006"/>
    <w:rsid w:val="003E784E"/>
    <w:rsid w:val="003E79BD"/>
    <w:rsid w:val="003F0037"/>
    <w:rsid w:val="003F0163"/>
    <w:rsid w:val="003F241A"/>
    <w:rsid w:val="003F2B31"/>
    <w:rsid w:val="003F2D1A"/>
    <w:rsid w:val="003F321C"/>
    <w:rsid w:val="003F377D"/>
    <w:rsid w:val="003F49E1"/>
    <w:rsid w:val="003F5B3A"/>
    <w:rsid w:val="003F5D13"/>
    <w:rsid w:val="003F62BB"/>
    <w:rsid w:val="003F6317"/>
    <w:rsid w:val="003F670D"/>
    <w:rsid w:val="003F6E46"/>
    <w:rsid w:val="003F6E8B"/>
    <w:rsid w:val="0040049F"/>
    <w:rsid w:val="00400C02"/>
    <w:rsid w:val="00400C2C"/>
    <w:rsid w:val="00400E0B"/>
    <w:rsid w:val="0040108F"/>
    <w:rsid w:val="004012F5"/>
    <w:rsid w:val="00401FAE"/>
    <w:rsid w:val="004020BF"/>
    <w:rsid w:val="00402426"/>
    <w:rsid w:val="00402B3C"/>
    <w:rsid w:val="00402EF7"/>
    <w:rsid w:val="00403989"/>
    <w:rsid w:val="00403B41"/>
    <w:rsid w:val="0040419D"/>
    <w:rsid w:val="00404284"/>
    <w:rsid w:val="00405111"/>
    <w:rsid w:val="004059FD"/>
    <w:rsid w:val="00405ADB"/>
    <w:rsid w:val="00405D8F"/>
    <w:rsid w:val="00407822"/>
    <w:rsid w:val="00407858"/>
    <w:rsid w:val="004079E2"/>
    <w:rsid w:val="00407E2F"/>
    <w:rsid w:val="00407F31"/>
    <w:rsid w:val="00407F41"/>
    <w:rsid w:val="00407FF8"/>
    <w:rsid w:val="00410263"/>
    <w:rsid w:val="00411303"/>
    <w:rsid w:val="00411D30"/>
    <w:rsid w:val="0041243C"/>
    <w:rsid w:val="004124F9"/>
    <w:rsid w:val="00412BFD"/>
    <w:rsid w:val="00412D59"/>
    <w:rsid w:val="00413D5A"/>
    <w:rsid w:val="004141B3"/>
    <w:rsid w:val="004143B8"/>
    <w:rsid w:val="0041649F"/>
    <w:rsid w:val="00416940"/>
    <w:rsid w:val="0041757A"/>
    <w:rsid w:val="0041773E"/>
    <w:rsid w:val="00420588"/>
    <w:rsid w:val="00420A33"/>
    <w:rsid w:val="00420DC5"/>
    <w:rsid w:val="00421C26"/>
    <w:rsid w:val="00422D72"/>
    <w:rsid w:val="0042321F"/>
    <w:rsid w:val="00423AF2"/>
    <w:rsid w:val="004241D7"/>
    <w:rsid w:val="0042443C"/>
    <w:rsid w:val="00425020"/>
    <w:rsid w:val="004250C7"/>
    <w:rsid w:val="00425891"/>
    <w:rsid w:val="00426687"/>
    <w:rsid w:val="00426E74"/>
    <w:rsid w:val="00427FED"/>
    <w:rsid w:val="00430A7E"/>
    <w:rsid w:val="00431768"/>
    <w:rsid w:val="0043189C"/>
    <w:rsid w:val="0043244C"/>
    <w:rsid w:val="00433820"/>
    <w:rsid w:val="00434873"/>
    <w:rsid w:val="0043524E"/>
    <w:rsid w:val="00436056"/>
    <w:rsid w:val="00436814"/>
    <w:rsid w:val="0043700A"/>
    <w:rsid w:val="00437161"/>
    <w:rsid w:val="00437311"/>
    <w:rsid w:val="00437F16"/>
    <w:rsid w:val="00437FD8"/>
    <w:rsid w:val="004402B7"/>
    <w:rsid w:val="0044093F"/>
    <w:rsid w:val="004410EF"/>
    <w:rsid w:val="00441550"/>
    <w:rsid w:val="00441BC1"/>
    <w:rsid w:val="0044242C"/>
    <w:rsid w:val="0044256C"/>
    <w:rsid w:val="00442723"/>
    <w:rsid w:val="00443100"/>
    <w:rsid w:val="00443201"/>
    <w:rsid w:val="00443B7A"/>
    <w:rsid w:val="00444362"/>
    <w:rsid w:val="004445CD"/>
    <w:rsid w:val="00444F60"/>
    <w:rsid w:val="0044539E"/>
    <w:rsid w:val="00445B51"/>
    <w:rsid w:val="00445DE2"/>
    <w:rsid w:val="0044616A"/>
    <w:rsid w:val="00450BEB"/>
    <w:rsid w:val="004510CE"/>
    <w:rsid w:val="00451200"/>
    <w:rsid w:val="0045187A"/>
    <w:rsid w:val="004518B3"/>
    <w:rsid w:val="00451DD1"/>
    <w:rsid w:val="004522B8"/>
    <w:rsid w:val="00452ED2"/>
    <w:rsid w:val="00452FDC"/>
    <w:rsid w:val="00453B66"/>
    <w:rsid w:val="00454218"/>
    <w:rsid w:val="0045570B"/>
    <w:rsid w:val="00455E2A"/>
    <w:rsid w:val="00456ED8"/>
    <w:rsid w:val="004578AF"/>
    <w:rsid w:val="0046017A"/>
    <w:rsid w:val="004607FA"/>
    <w:rsid w:val="004610D9"/>
    <w:rsid w:val="004613E8"/>
    <w:rsid w:val="00461B9C"/>
    <w:rsid w:val="00461D53"/>
    <w:rsid w:val="0046211F"/>
    <w:rsid w:val="004630E8"/>
    <w:rsid w:val="00463778"/>
    <w:rsid w:val="00463855"/>
    <w:rsid w:val="00463E23"/>
    <w:rsid w:val="00464644"/>
    <w:rsid w:val="00464C10"/>
    <w:rsid w:val="004669A8"/>
    <w:rsid w:val="004669F7"/>
    <w:rsid w:val="00466F1F"/>
    <w:rsid w:val="00467343"/>
    <w:rsid w:val="004674E7"/>
    <w:rsid w:val="004678BC"/>
    <w:rsid w:val="00467D35"/>
    <w:rsid w:val="00467F27"/>
    <w:rsid w:val="00470243"/>
    <w:rsid w:val="00470640"/>
    <w:rsid w:val="004713E7"/>
    <w:rsid w:val="00471D18"/>
    <w:rsid w:val="00471EE3"/>
    <w:rsid w:val="00472412"/>
    <w:rsid w:val="00473270"/>
    <w:rsid w:val="00473712"/>
    <w:rsid w:val="00473BAC"/>
    <w:rsid w:val="004749AE"/>
    <w:rsid w:val="00474B19"/>
    <w:rsid w:val="0047500C"/>
    <w:rsid w:val="00475434"/>
    <w:rsid w:val="004754B2"/>
    <w:rsid w:val="004757F2"/>
    <w:rsid w:val="00475DF3"/>
    <w:rsid w:val="00476A1C"/>
    <w:rsid w:val="00476D5D"/>
    <w:rsid w:val="00477F34"/>
    <w:rsid w:val="00477FFD"/>
    <w:rsid w:val="004800F2"/>
    <w:rsid w:val="00480231"/>
    <w:rsid w:val="00480584"/>
    <w:rsid w:val="00480706"/>
    <w:rsid w:val="00480B30"/>
    <w:rsid w:val="00480F2B"/>
    <w:rsid w:val="00480FE1"/>
    <w:rsid w:val="00481048"/>
    <w:rsid w:val="00481EA9"/>
    <w:rsid w:val="0048219A"/>
    <w:rsid w:val="0048262B"/>
    <w:rsid w:val="004828FC"/>
    <w:rsid w:val="00484059"/>
    <w:rsid w:val="00484B04"/>
    <w:rsid w:val="004852AF"/>
    <w:rsid w:val="004859C6"/>
    <w:rsid w:val="00485AE6"/>
    <w:rsid w:val="00485FF6"/>
    <w:rsid w:val="00486648"/>
    <w:rsid w:val="0048689A"/>
    <w:rsid w:val="00486929"/>
    <w:rsid w:val="00486D36"/>
    <w:rsid w:val="0048785C"/>
    <w:rsid w:val="004915AD"/>
    <w:rsid w:val="004919AD"/>
    <w:rsid w:val="00493114"/>
    <w:rsid w:val="00493190"/>
    <w:rsid w:val="004947F5"/>
    <w:rsid w:val="00496127"/>
    <w:rsid w:val="00496915"/>
    <w:rsid w:val="004970BE"/>
    <w:rsid w:val="004A09E4"/>
    <w:rsid w:val="004A0A5A"/>
    <w:rsid w:val="004A1551"/>
    <w:rsid w:val="004A2528"/>
    <w:rsid w:val="004A2ACB"/>
    <w:rsid w:val="004A2CCB"/>
    <w:rsid w:val="004A35FD"/>
    <w:rsid w:val="004A439A"/>
    <w:rsid w:val="004A4F98"/>
    <w:rsid w:val="004A5873"/>
    <w:rsid w:val="004A59DD"/>
    <w:rsid w:val="004A5D01"/>
    <w:rsid w:val="004A6539"/>
    <w:rsid w:val="004A6E7A"/>
    <w:rsid w:val="004B01CD"/>
    <w:rsid w:val="004B0798"/>
    <w:rsid w:val="004B0B74"/>
    <w:rsid w:val="004B1217"/>
    <w:rsid w:val="004B12D2"/>
    <w:rsid w:val="004B13D3"/>
    <w:rsid w:val="004B2A5B"/>
    <w:rsid w:val="004B3881"/>
    <w:rsid w:val="004B41C9"/>
    <w:rsid w:val="004B5003"/>
    <w:rsid w:val="004B568B"/>
    <w:rsid w:val="004B5812"/>
    <w:rsid w:val="004B5E91"/>
    <w:rsid w:val="004B6698"/>
    <w:rsid w:val="004B7185"/>
    <w:rsid w:val="004B7F12"/>
    <w:rsid w:val="004C098B"/>
    <w:rsid w:val="004C0D2B"/>
    <w:rsid w:val="004C128A"/>
    <w:rsid w:val="004C13CE"/>
    <w:rsid w:val="004C193E"/>
    <w:rsid w:val="004C1ABE"/>
    <w:rsid w:val="004C2CAE"/>
    <w:rsid w:val="004C2F46"/>
    <w:rsid w:val="004C32A4"/>
    <w:rsid w:val="004C33AC"/>
    <w:rsid w:val="004C33C6"/>
    <w:rsid w:val="004C46CE"/>
    <w:rsid w:val="004C4E06"/>
    <w:rsid w:val="004C6E1E"/>
    <w:rsid w:val="004C6E52"/>
    <w:rsid w:val="004C6F86"/>
    <w:rsid w:val="004C770C"/>
    <w:rsid w:val="004C7B88"/>
    <w:rsid w:val="004D0591"/>
    <w:rsid w:val="004D0912"/>
    <w:rsid w:val="004D0DD1"/>
    <w:rsid w:val="004D19E6"/>
    <w:rsid w:val="004D1BA4"/>
    <w:rsid w:val="004D2061"/>
    <w:rsid w:val="004D20E9"/>
    <w:rsid w:val="004D2827"/>
    <w:rsid w:val="004D350F"/>
    <w:rsid w:val="004D3E48"/>
    <w:rsid w:val="004D3FCB"/>
    <w:rsid w:val="004D4D72"/>
    <w:rsid w:val="004D643F"/>
    <w:rsid w:val="004D7746"/>
    <w:rsid w:val="004D7F2B"/>
    <w:rsid w:val="004E11CD"/>
    <w:rsid w:val="004E135D"/>
    <w:rsid w:val="004E15F9"/>
    <w:rsid w:val="004E23D7"/>
    <w:rsid w:val="004E2C0F"/>
    <w:rsid w:val="004E2CAB"/>
    <w:rsid w:val="004E2F2B"/>
    <w:rsid w:val="004E3094"/>
    <w:rsid w:val="004E3EA1"/>
    <w:rsid w:val="004E449B"/>
    <w:rsid w:val="004E4A4F"/>
    <w:rsid w:val="004E4B35"/>
    <w:rsid w:val="004E4C06"/>
    <w:rsid w:val="004E53F9"/>
    <w:rsid w:val="004E6D7D"/>
    <w:rsid w:val="004E71B2"/>
    <w:rsid w:val="004E7642"/>
    <w:rsid w:val="004E7E69"/>
    <w:rsid w:val="004F0F52"/>
    <w:rsid w:val="004F1472"/>
    <w:rsid w:val="004F1B20"/>
    <w:rsid w:val="004F1D7B"/>
    <w:rsid w:val="004F24C1"/>
    <w:rsid w:val="004F27EF"/>
    <w:rsid w:val="004F2EA6"/>
    <w:rsid w:val="004F484B"/>
    <w:rsid w:val="004F48A5"/>
    <w:rsid w:val="004F4AB3"/>
    <w:rsid w:val="004F5063"/>
    <w:rsid w:val="004F50C4"/>
    <w:rsid w:val="004F50C8"/>
    <w:rsid w:val="004F6204"/>
    <w:rsid w:val="004F63ED"/>
    <w:rsid w:val="004F6EC8"/>
    <w:rsid w:val="004F792C"/>
    <w:rsid w:val="004F7E1C"/>
    <w:rsid w:val="005000B8"/>
    <w:rsid w:val="00500831"/>
    <w:rsid w:val="00500EDC"/>
    <w:rsid w:val="005039D3"/>
    <w:rsid w:val="0050447A"/>
    <w:rsid w:val="005044F0"/>
    <w:rsid w:val="005048FC"/>
    <w:rsid w:val="00505172"/>
    <w:rsid w:val="00505951"/>
    <w:rsid w:val="00505C72"/>
    <w:rsid w:val="00505F3F"/>
    <w:rsid w:val="00506060"/>
    <w:rsid w:val="005066C6"/>
    <w:rsid w:val="005067E5"/>
    <w:rsid w:val="00506CFC"/>
    <w:rsid w:val="00510AAB"/>
    <w:rsid w:val="00510CDE"/>
    <w:rsid w:val="00511AF0"/>
    <w:rsid w:val="005124F9"/>
    <w:rsid w:val="005127DD"/>
    <w:rsid w:val="00514AB3"/>
    <w:rsid w:val="005150C6"/>
    <w:rsid w:val="005151C4"/>
    <w:rsid w:val="00515830"/>
    <w:rsid w:val="00515B29"/>
    <w:rsid w:val="00515E0A"/>
    <w:rsid w:val="0051652D"/>
    <w:rsid w:val="00516C54"/>
    <w:rsid w:val="00517C8C"/>
    <w:rsid w:val="00517E0F"/>
    <w:rsid w:val="005202BC"/>
    <w:rsid w:val="0052109A"/>
    <w:rsid w:val="00522480"/>
    <w:rsid w:val="00522B0C"/>
    <w:rsid w:val="00523F76"/>
    <w:rsid w:val="00524524"/>
    <w:rsid w:val="00525657"/>
    <w:rsid w:val="00525667"/>
    <w:rsid w:val="00525905"/>
    <w:rsid w:val="00525DC3"/>
    <w:rsid w:val="0052667D"/>
    <w:rsid w:val="005271ED"/>
    <w:rsid w:val="00527875"/>
    <w:rsid w:val="00527EC6"/>
    <w:rsid w:val="005306CF"/>
    <w:rsid w:val="00530727"/>
    <w:rsid w:val="00531174"/>
    <w:rsid w:val="0053173F"/>
    <w:rsid w:val="00531FE2"/>
    <w:rsid w:val="00532608"/>
    <w:rsid w:val="0053336D"/>
    <w:rsid w:val="005334BA"/>
    <w:rsid w:val="00533A53"/>
    <w:rsid w:val="00533FCB"/>
    <w:rsid w:val="00534C2F"/>
    <w:rsid w:val="00534D42"/>
    <w:rsid w:val="00535582"/>
    <w:rsid w:val="0053689B"/>
    <w:rsid w:val="00536FBB"/>
    <w:rsid w:val="00536FFA"/>
    <w:rsid w:val="00540FD0"/>
    <w:rsid w:val="00541284"/>
    <w:rsid w:val="005414C7"/>
    <w:rsid w:val="0054209E"/>
    <w:rsid w:val="005420A8"/>
    <w:rsid w:val="005425C7"/>
    <w:rsid w:val="00542A3F"/>
    <w:rsid w:val="00544DC7"/>
    <w:rsid w:val="005450DA"/>
    <w:rsid w:val="00545A95"/>
    <w:rsid w:val="00546BCE"/>
    <w:rsid w:val="00546F5F"/>
    <w:rsid w:val="005470A4"/>
    <w:rsid w:val="0055031D"/>
    <w:rsid w:val="0055039E"/>
    <w:rsid w:val="00550DB0"/>
    <w:rsid w:val="00550F90"/>
    <w:rsid w:val="0055264C"/>
    <w:rsid w:val="00552AF8"/>
    <w:rsid w:val="005544C0"/>
    <w:rsid w:val="0055489D"/>
    <w:rsid w:val="005548E3"/>
    <w:rsid w:val="00554C1E"/>
    <w:rsid w:val="00554F14"/>
    <w:rsid w:val="005551BF"/>
    <w:rsid w:val="00555608"/>
    <w:rsid w:val="00555D02"/>
    <w:rsid w:val="00556E20"/>
    <w:rsid w:val="00556E62"/>
    <w:rsid w:val="005570BE"/>
    <w:rsid w:val="00557575"/>
    <w:rsid w:val="00557AF5"/>
    <w:rsid w:val="0056014C"/>
    <w:rsid w:val="00560913"/>
    <w:rsid w:val="00561481"/>
    <w:rsid w:val="00561F16"/>
    <w:rsid w:val="00562627"/>
    <w:rsid w:val="00562C19"/>
    <w:rsid w:val="0056324B"/>
    <w:rsid w:val="0056336F"/>
    <w:rsid w:val="00564918"/>
    <w:rsid w:val="00564F8C"/>
    <w:rsid w:val="00565B3C"/>
    <w:rsid w:val="00565B64"/>
    <w:rsid w:val="00566029"/>
    <w:rsid w:val="00567838"/>
    <w:rsid w:val="005702D5"/>
    <w:rsid w:val="00570CD7"/>
    <w:rsid w:val="005710EA"/>
    <w:rsid w:val="00571838"/>
    <w:rsid w:val="00571CFC"/>
    <w:rsid w:val="00572B03"/>
    <w:rsid w:val="00572E39"/>
    <w:rsid w:val="0057334B"/>
    <w:rsid w:val="00573601"/>
    <w:rsid w:val="00573676"/>
    <w:rsid w:val="0057384B"/>
    <w:rsid w:val="005757E4"/>
    <w:rsid w:val="00575BCA"/>
    <w:rsid w:val="0057630A"/>
    <w:rsid w:val="005773AB"/>
    <w:rsid w:val="005806ED"/>
    <w:rsid w:val="0058147D"/>
    <w:rsid w:val="00581C7B"/>
    <w:rsid w:val="00581FA8"/>
    <w:rsid w:val="00582D14"/>
    <w:rsid w:val="00583616"/>
    <w:rsid w:val="00583AD0"/>
    <w:rsid w:val="00584669"/>
    <w:rsid w:val="00586DB6"/>
    <w:rsid w:val="005901D2"/>
    <w:rsid w:val="005904B2"/>
    <w:rsid w:val="00591100"/>
    <w:rsid w:val="00591B42"/>
    <w:rsid w:val="00591C6B"/>
    <w:rsid w:val="0059288C"/>
    <w:rsid w:val="00592AFC"/>
    <w:rsid w:val="00593C41"/>
    <w:rsid w:val="00594409"/>
    <w:rsid w:val="0059475E"/>
    <w:rsid w:val="0059570B"/>
    <w:rsid w:val="0059592E"/>
    <w:rsid w:val="005965D8"/>
    <w:rsid w:val="005971D0"/>
    <w:rsid w:val="005A273A"/>
    <w:rsid w:val="005A35EF"/>
    <w:rsid w:val="005A3832"/>
    <w:rsid w:val="005A3955"/>
    <w:rsid w:val="005A3C43"/>
    <w:rsid w:val="005A3C83"/>
    <w:rsid w:val="005A4670"/>
    <w:rsid w:val="005A490B"/>
    <w:rsid w:val="005A5421"/>
    <w:rsid w:val="005A576B"/>
    <w:rsid w:val="005A626A"/>
    <w:rsid w:val="005A6B0B"/>
    <w:rsid w:val="005A6C9E"/>
    <w:rsid w:val="005A6D3A"/>
    <w:rsid w:val="005A7765"/>
    <w:rsid w:val="005B0778"/>
    <w:rsid w:val="005B107B"/>
    <w:rsid w:val="005B1FC3"/>
    <w:rsid w:val="005B26F2"/>
    <w:rsid w:val="005B2894"/>
    <w:rsid w:val="005B2B31"/>
    <w:rsid w:val="005B2FDF"/>
    <w:rsid w:val="005B30F1"/>
    <w:rsid w:val="005B39E5"/>
    <w:rsid w:val="005B5364"/>
    <w:rsid w:val="005B746E"/>
    <w:rsid w:val="005B749B"/>
    <w:rsid w:val="005B79AF"/>
    <w:rsid w:val="005B7B19"/>
    <w:rsid w:val="005B7FD3"/>
    <w:rsid w:val="005C1AC9"/>
    <w:rsid w:val="005C2357"/>
    <w:rsid w:val="005C2968"/>
    <w:rsid w:val="005C2C2B"/>
    <w:rsid w:val="005C2EC0"/>
    <w:rsid w:val="005C428F"/>
    <w:rsid w:val="005C4EEF"/>
    <w:rsid w:val="005C543F"/>
    <w:rsid w:val="005C5672"/>
    <w:rsid w:val="005C5BA1"/>
    <w:rsid w:val="005C6359"/>
    <w:rsid w:val="005C7683"/>
    <w:rsid w:val="005C7EB8"/>
    <w:rsid w:val="005C7FDF"/>
    <w:rsid w:val="005D094A"/>
    <w:rsid w:val="005D0D53"/>
    <w:rsid w:val="005D17D2"/>
    <w:rsid w:val="005D1DFE"/>
    <w:rsid w:val="005D21C6"/>
    <w:rsid w:val="005D2B0F"/>
    <w:rsid w:val="005D2ECD"/>
    <w:rsid w:val="005D32DC"/>
    <w:rsid w:val="005D34E8"/>
    <w:rsid w:val="005D35C6"/>
    <w:rsid w:val="005D3E58"/>
    <w:rsid w:val="005D436A"/>
    <w:rsid w:val="005D4BBC"/>
    <w:rsid w:val="005D53B4"/>
    <w:rsid w:val="005D6F35"/>
    <w:rsid w:val="005D71AF"/>
    <w:rsid w:val="005E0853"/>
    <w:rsid w:val="005E2C3C"/>
    <w:rsid w:val="005E3A28"/>
    <w:rsid w:val="005E478E"/>
    <w:rsid w:val="005E53E4"/>
    <w:rsid w:val="005E6182"/>
    <w:rsid w:val="005E6C01"/>
    <w:rsid w:val="005E730B"/>
    <w:rsid w:val="005E7355"/>
    <w:rsid w:val="005E7591"/>
    <w:rsid w:val="005E76CC"/>
    <w:rsid w:val="005F003A"/>
    <w:rsid w:val="005F09CF"/>
    <w:rsid w:val="005F20D0"/>
    <w:rsid w:val="005F20F2"/>
    <w:rsid w:val="005F218C"/>
    <w:rsid w:val="005F257A"/>
    <w:rsid w:val="005F2F9E"/>
    <w:rsid w:val="005F2FBB"/>
    <w:rsid w:val="005F5715"/>
    <w:rsid w:val="005F753D"/>
    <w:rsid w:val="005F7D03"/>
    <w:rsid w:val="0060187A"/>
    <w:rsid w:val="00601892"/>
    <w:rsid w:val="00601A11"/>
    <w:rsid w:val="00602227"/>
    <w:rsid w:val="006022AD"/>
    <w:rsid w:val="0060230E"/>
    <w:rsid w:val="006030D5"/>
    <w:rsid w:val="0060318F"/>
    <w:rsid w:val="00603A92"/>
    <w:rsid w:val="00603D4A"/>
    <w:rsid w:val="006044B5"/>
    <w:rsid w:val="0060458B"/>
    <w:rsid w:val="00604834"/>
    <w:rsid w:val="00604AC1"/>
    <w:rsid w:val="00604B95"/>
    <w:rsid w:val="00605D6B"/>
    <w:rsid w:val="00605E1C"/>
    <w:rsid w:val="0060639F"/>
    <w:rsid w:val="006064E5"/>
    <w:rsid w:val="006066DB"/>
    <w:rsid w:val="0060699E"/>
    <w:rsid w:val="00606B6C"/>
    <w:rsid w:val="00610691"/>
    <w:rsid w:val="00610888"/>
    <w:rsid w:val="00610BDF"/>
    <w:rsid w:val="00610F3A"/>
    <w:rsid w:val="00611FFB"/>
    <w:rsid w:val="00612895"/>
    <w:rsid w:val="00614A87"/>
    <w:rsid w:val="006155C7"/>
    <w:rsid w:val="00615E17"/>
    <w:rsid w:val="00616E97"/>
    <w:rsid w:val="00616EAD"/>
    <w:rsid w:val="00617D28"/>
    <w:rsid w:val="00620343"/>
    <w:rsid w:val="00620DEC"/>
    <w:rsid w:val="00621B2B"/>
    <w:rsid w:val="00621C8C"/>
    <w:rsid w:val="006226B7"/>
    <w:rsid w:val="00622954"/>
    <w:rsid w:val="0062307A"/>
    <w:rsid w:val="006239FD"/>
    <w:rsid w:val="00623E05"/>
    <w:rsid w:val="00624966"/>
    <w:rsid w:val="00625010"/>
    <w:rsid w:val="00625277"/>
    <w:rsid w:val="00625577"/>
    <w:rsid w:val="00626130"/>
    <w:rsid w:val="0062739E"/>
    <w:rsid w:val="00627E38"/>
    <w:rsid w:val="00630741"/>
    <w:rsid w:val="00632744"/>
    <w:rsid w:val="006329FA"/>
    <w:rsid w:val="00633A91"/>
    <w:rsid w:val="00633E99"/>
    <w:rsid w:val="00634286"/>
    <w:rsid w:val="00634548"/>
    <w:rsid w:val="00634BC2"/>
    <w:rsid w:val="00634BD3"/>
    <w:rsid w:val="00634D2F"/>
    <w:rsid w:val="0063500F"/>
    <w:rsid w:val="006353F7"/>
    <w:rsid w:val="00636866"/>
    <w:rsid w:val="00636CA6"/>
    <w:rsid w:val="00637D9F"/>
    <w:rsid w:val="00637E14"/>
    <w:rsid w:val="0064023F"/>
    <w:rsid w:val="00640667"/>
    <w:rsid w:val="0064082E"/>
    <w:rsid w:val="0064114F"/>
    <w:rsid w:val="006414C5"/>
    <w:rsid w:val="00642A88"/>
    <w:rsid w:val="00642C74"/>
    <w:rsid w:val="00642CD6"/>
    <w:rsid w:val="00642E34"/>
    <w:rsid w:val="0064328C"/>
    <w:rsid w:val="0064477B"/>
    <w:rsid w:val="006448C9"/>
    <w:rsid w:val="00644B4A"/>
    <w:rsid w:val="00644BAC"/>
    <w:rsid w:val="00646184"/>
    <w:rsid w:val="006465C1"/>
    <w:rsid w:val="00650457"/>
    <w:rsid w:val="0065045B"/>
    <w:rsid w:val="006505F1"/>
    <w:rsid w:val="00650FB6"/>
    <w:rsid w:val="00651947"/>
    <w:rsid w:val="006522DC"/>
    <w:rsid w:val="0065448B"/>
    <w:rsid w:val="006549EE"/>
    <w:rsid w:val="00654BDD"/>
    <w:rsid w:val="006558C5"/>
    <w:rsid w:val="0065599F"/>
    <w:rsid w:val="0065623C"/>
    <w:rsid w:val="006569B7"/>
    <w:rsid w:val="00657296"/>
    <w:rsid w:val="0065751C"/>
    <w:rsid w:val="00657893"/>
    <w:rsid w:val="00657D08"/>
    <w:rsid w:val="00661735"/>
    <w:rsid w:val="00661BD0"/>
    <w:rsid w:val="006623AF"/>
    <w:rsid w:val="0066248C"/>
    <w:rsid w:val="006625E0"/>
    <w:rsid w:val="00662B67"/>
    <w:rsid w:val="00662B74"/>
    <w:rsid w:val="0066307D"/>
    <w:rsid w:val="006632A0"/>
    <w:rsid w:val="006641B7"/>
    <w:rsid w:val="0066444A"/>
    <w:rsid w:val="00666772"/>
    <w:rsid w:val="00666F00"/>
    <w:rsid w:val="00667DA9"/>
    <w:rsid w:val="006703FC"/>
    <w:rsid w:val="00670555"/>
    <w:rsid w:val="006705EB"/>
    <w:rsid w:val="006706F3"/>
    <w:rsid w:val="00670D84"/>
    <w:rsid w:val="00670E62"/>
    <w:rsid w:val="00671B87"/>
    <w:rsid w:val="006720D5"/>
    <w:rsid w:val="0067229F"/>
    <w:rsid w:val="0067276E"/>
    <w:rsid w:val="0067308A"/>
    <w:rsid w:val="00673983"/>
    <w:rsid w:val="006740B8"/>
    <w:rsid w:val="006741CC"/>
    <w:rsid w:val="006752E3"/>
    <w:rsid w:val="00675D9F"/>
    <w:rsid w:val="00675F78"/>
    <w:rsid w:val="006763DA"/>
    <w:rsid w:val="006767EF"/>
    <w:rsid w:val="00676C17"/>
    <w:rsid w:val="00676E3C"/>
    <w:rsid w:val="00676EDF"/>
    <w:rsid w:val="006772CB"/>
    <w:rsid w:val="006772D6"/>
    <w:rsid w:val="00677766"/>
    <w:rsid w:val="006777AF"/>
    <w:rsid w:val="00677F3F"/>
    <w:rsid w:val="00680DCC"/>
    <w:rsid w:val="0068106A"/>
    <w:rsid w:val="006813AA"/>
    <w:rsid w:val="00681F1F"/>
    <w:rsid w:val="0068215D"/>
    <w:rsid w:val="00682B2C"/>
    <w:rsid w:val="006836A1"/>
    <w:rsid w:val="00683F25"/>
    <w:rsid w:val="00684F1C"/>
    <w:rsid w:val="00685D03"/>
    <w:rsid w:val="006863EA"/>
    <w:rsid w:val="00686CAF"/>
    <w:rsid w:val="00686D90"/>
    <w:rsid w:val="006870E1"/>
    <w:rsid w:val="006900CC"/>
    <w:rsid w:val="00690EC2"/>
    <w:rsid w:val="00692460"/>
    <w:rsid w:val="006927E7"/>
    <w:rsid w:val="006927EC"/>
    <w:rsid w:val="00692F2B"/>
    <w:rsid w:val="006932E0"/>
    <w:rsid w:val="00693B2F"/>
    <w:rsid w:val="00693B6C"/>
    <w:rsid w:val="006943ED"/>
    <w:rsid w:val="0069449C"/>
    <w:rsid w:val="006945AD"/>
    <w:rsid w:val="006952C7"/>
    <w:rsid w:val="00695495"/>
    <w:rsid w:val="00695961"/>
    <w:rsid w:val="006960D0"/>
    <w:rsid w:val="00697EE2"/>
    <w:rsid w:val="006A011E"/>
    <w:rsid w:val="006A10B8"/>
    <w:rsid w:val="006A31A7"/>
    <w:rsid w:val="006A370D"/>
    <w:rsid w:val="006A3716"/>
    <w:rsid w:val="006A3C93"/>
    <w:rsid w:val="006A3FD2"/>
    <w:rsid w:val="006A42E9"/>
    <w:rsid w:val="006A5065"/>
    <w:rsid w:val="006A5315"/>
    <w:rsid w:val="006A5321"/>
    <w:rsid w:val="006A573A"/>
    <w:rsid w:val="006A5BA9"/>
    <w:rsid w:val="006A5F0E"/>
    <w:rsid w:val="006A6243"/>
    <w:rsid w:val="006A66B5"/>
    <w:rsid w:val="006A6C7F"/>
    <w:rsid w:val="006A7328"/>
    <w:rsid w:val="006A7B09"/>
    <w:rsid w:val="006B01BE"/>
    <w:rsid w:val="006B02F2"/>
    <w:rsid w:val="006B043A"/>
    <w:rsid w:val="006B10A2"/>
    <w:rsid w:val="006B1B05"/>
    <w:rsid w:val="006B1EC2"/>
    <w:rsid w:val="006B24BA"/>
    <w:rsid w:val="006B2993"/>
    <w:rsid w:val="006B311D"/>
    <w:rsid w:val="006B4B2B"/>
    <w:rsid w:val="006B4DF0"/>
    <w:rsid w:val="006B4F00"/>
    <w:rsid w:val="006B5C98"/>
    <w:rsid w:val="006B6434"/>
    <w:rsid w:val="006B7726"/>
    <w:rsid w:val="006B78BE"/>
    <w:rsid w:val="006B79AC"/>
    <w:rsid w:val="006C01AC"/>
    <w:rsid w:val="006C1EFC"/>
    <w:rsid w:val="006C2AA5"/>
    <w:rsid w:val="006C2AFA"/>
    <w:rsid w:val="006C3A2F"/>
    <w:rsid w:val="006C3ABB"/>
    <w:rsid w:val="006C4806"/>
    <w:rsid w:val="006C4FAA"/>
    <w:rsid w:val="006C614B"/>
    <w:rsid w:val="006C7212"/>
    <w:rsid w:val="006C7B12"/>
    <w:rsid w:val="006D058A"/>
    <w:rsid w:val="006D05F2"/>
    <w:rsid w:val="006D0613"/>
    <w:rsid w:val="006D0A66"/>
    <w:rsid w:val="006D26CD"/>
    <w:rsid w:val="006D2AE5"/>
    <w:rsid w:val="006D35C9"/>
    <w:rsid w:val="006D3AB7"/>
    <w:rsid w:val="006D4FA7"/>
    <w:rsid w:val="006D533E"/>
    <w:rsid w:val="006D55AF"/>
    <w:rsid w:val="006D581C"/>
    <w:rsid w:val="006D607D"/>
    <w:rsid w:val="006D68FB"/>
    <w:rsid w:val="006D718B"/>
    <w:rsid w:val="006D7AB5"/>
    <w:rsid w:val="006D7C26"/>
    <w:rsid w:val="006E0A59"/>
    <w:rsid w:val="006E1C4D"/>
    <w:rsid w:val="006E22A5"/>
    <w:rsid w:val="006E2A64"/>
    <w:rsid w:val="006E2AD8"/>
    <w:rsid w:val="006E2E13"/>
    <w:rsid w:val="006E313C"/>
    <w:rsid w:val="006E33B3"/>
    <w:rsid w:val="006E380D"/>
    <w:rsid w:val="006E3AD6"/>
    <w:rsid w:val="006E44FF"/>
    <w:rsid w:val="006E45F0"/>
    <w:rsid w:val="006E56B6"/>
    <w:rsid w:val="006E5AB0"/>
    <w:rsid w:val="006E5F98"/>
    <w:rsid w:val="006E5FA3"/>
    <w:rsid w:val="006E61EA"/>
    <w:rsid w:val="006E6710"/>
    <w:rsid w:val="006F0455"/>
    <w:rsid w:val="006F058B"/>
    <w:rsid w:val="006F099A"/>
    <w:rsid w:val="006F1151"/>
    <w:rsid w:val="006F1624"/>
    <w:rsid w:val="006F1DF8"/>
    <w:rsid w:val="006F2892"/>
    <w:rsid w:val="006F29FB"/>
    <w:rsid w:val="006F2EAC"/>
    <w:rsid w:val="006F31A1"/>
    <w:rsid w:val="006F3B07"/>
    <w:rsid w:val="006F3D58"/>
    <w:rsid w:val="006F4103"/>
    <w:rsid w:val="006F4D36"/>
    <w:rsid w:val="006F4F8E"/>
    <w:rsid w:val="006F51C9"/>
    <w:rsid w:val="006F69FA"/>
    <w:rsid w:val="006F7195"/>
    <w:rsid w:val="006F7271"/>
    <w:rsid w:val="00701CC6"/>
    <w:rsid w:val="00702523"/>
    <w:rsid w:val="00702AB2"/>
    <w:rsid w:val="0070351F"/>
    <w:rsid w:val="00703DAF"/>
    <w:rsid w:val="00705511"/>
    <w:rsid w:val="00706293"/>
    <w:rsid w:val="007064A1"/>
    <w:rsid w:val="007075DF"/>
    <w:rsid w:val="00710BAD"/>
    <w:rsid w:val="007116F5"/>
    <w:rsid w:val="00711D79"/>
    <w:rsid w:val="00712068"/>
    <w:rsid w:val="00712577"/>
    <w:rsid w:val="00712C31"/>
    <w:rsid w:val="00713288"/>
    <w:rsid w:val="007134C4"/>
    <w:rsid w:val="00714104"/>
    <w:rsid w:val="00714A05"/>
    <w:rsid w:val="00715A7C"/>
    <w:rsid w:val="00715C90"/>
    <w:rsid w:val="00715E2E"/>
    <w:rsid w:val="007169C4"/>
    <w:rsid w:val="00716A2E"/>
    <w:rsid w:val="00716BD0"/>
    <w:rsid w:val="0071748E"/>
    <w:rsid w:val="00720802"/>
    <w:rsid w:val="00720C33"/>
    <w:rsid w:val="00721AF0"/>
    <w:rsid w:val="00722349"/>
    <w:rsid w:val="00722565"/>
    <w:rsid w:val="00722638"/>
    <w:rsid w:val="00722F41"/>
    <w:rsid w:val="007238D6"/>
    <w:rsid w:val="00724198"/>
    <w:rsid w:val="007246D3"/>
    <w:rsid w:val="00724F9B"/>
    <w:rsid w:val="00725E08"/>
    <w:rsid w:val="00725E0E"/>
    <w:rsid w:val="00725E14"/>
    <w:rsid w:val="00726590"/>
    <w:rsid w:val="0072676F"/>
    <w:rsid w:val="00726CEA"/>
    <w:rsid w:val="00727AEA"/>
    <w:rsid w:val="00730041"/>
    <w:rsid w:val="0073047D"/>
    <w:rsid w:val="007308DC"/>
    <w:rsid w:val="00730C4A"/>
    <w:rsid w:val="00731F8D"/>
    <w:rsid w:val="0073243F"/>
    <w:rsid w:val="007327BA"/>
    <w:rsid w:val="00734002"/>
    <w:rsid w:val="0073422E"/>
    <w:rsid w:val="0073486D"/>
    <w:rsid w:val="007352E2"/>
    <w:rsid w:val="007365A4"/>
    <w:rsid w:val="00736D18"/>
    <w:rsid w:val="00736D56"/>
    <w:rsid w:val="007427AA"/>
    <w:rsid w:val="00742B50"/>
    <w:rsid w:val="00742E60"/>
    <w:rsid w:val="0074385F"/>
    <w:rsid w:val="00743BD5"/>
    <w:rsid w:val="00743F7F"/>
    <w:rsid w:val="00743FAB"/>
    <w:rsid w:val="00744A0A"/>
    <w:rsid w:val="00744F04"/>
    <w:rsid w:val="0074673A"/>
    <w:rsid w:val="00747B8D"/>
    <w:rsid w:val="007510AC"/>
    <w:rsid w:val="007511DB"/>
    <w:rsid w:val="007515BA"/>
    <w:rsid w:val="00751ADB"/>
    <w:rsid w:val="00751ADD"/>
    <w:rsid w:val="00751BA5"/>
    <w:rsid w:val="00752012"/>
    <w:rsid w:val="0075205D"/>
    <w:rsid w:val="0075222A"/>
    <w:rsid w:val="00752769"/>
    <w:rsid w:val="0075276C"/>
    <w:rsid w:val="00752D70"/>
    <w:rsid w:val="00753786"/>
    <w:rsid w:val="00753CA9"/>
    <w:rsid w:val="00754510"/>
    <w:rsid w:val="0075463B"/>
    <w:rsid w:val="007553AF"/>
    <w:rsid w:val="0075577A"/>
    <w:rsid w:val="00756275"/>
    <w:rsid w:val="00756B6B"/>
    <w:rsid w:val="007574EA"/>
    <w:rsid w:val="00757984"/>
    <w:rsid w:val="0076011A"/>
    <w:rsid w:val="00760E20"/>
    <w:rsid w:val="00760EA5"/>
    <w:rsid w:val="00760FEB"/>
    <w:rsid w:val="00761098"/>
    <w:rsid w:val="00761D32"/>
    <w:rsid w:val="00761FE0"/>
    <w:rsid w:val="0076220D"/>
    <w:rsid w:val="007623B6"/>
    <w:rsid w:val="007627F0"/>
    <w:rsid w:val="00763045"/>
    <w:rsid w:val="00763F1C"/>
    <w:rsid w:val="007642F1"/>
    <w:rsid w:val="00765055"/>
    <w:rsid w:val="007653C5"/>
    <w:rsid w:val="00765607"/>
    <w:rsid w:val="00765A24"/>
    <w:rsid w:val="007666B3"/>
    <w:rsid w:val="00767142"/>
    <w:rsid w:val="0077101A"/>
    <w:rsid w:val="007710D6"/>
    <w:rsid w:val="00773022"/>
    <w:rsid w:val="007731D5"/>
    <w:rsid w:val="007736DE"/>
    <w:rsid w:val="00773BED"/>
    <w:rsid w:val="00773C4E"/>
    <w:rsid w:val="00774011"/>
    <w:rsid w:val="00774E98"/>
    <w:rsid w:val="007752E9"/>
    <w:rsid w:val="00775627"/>
    <w:rsid w:val="0077565E"/>
    <w:rsid w:val="0077580E"/>
    <w:rsid w:val="00775853"/>
    <w:rsid w:val="00775960"/>
    <w:rsid w:val="007770A0"/>
    <w:rsid w:val="00777242"/>
    <w:rsid w:val="00780208"/>
    <w:rsid w:val="00780266"/>
    <w:rsid w:val="00782D14"/>
    <w:rsid w:val="00782D8D"/>
    <w:rsid w:val="00785344"/>
    <w:rsid w:val="007869C9"/>
    <w:rsid w:val="0078711F"/>
    <w:rsid w:val="0079016D"/>
    <w:rsid w:val="007904DC"/>
    <w:rsid w:val="00790CBE"/>
    <w:rsid w:val="00791123"/>
    <w:rsid w:val="007917E3"/>
    <w:rsid w:val="00791A19"/>
    <w:rsid w:val="00791EC7"/>
    <w:rsid w:val="0079216C"/>
    <w:rsid w:val="00792F57"/>
    <w:rsid w:val="007940CB"/>
    <w:rsid w:val="007940D3"/>
    <w:rsid w:val="00794AED"/>
    <w:rsid w:val="0079526E"/>
    <w:rsid w:val="0079565D"/>
    <w:rsid w:val="00795E2C"/>
    <w:rsid w:val="0079639E"/>
    <w:rsid w:val="00796500"/>
    <w:rsid w:val="007969ED"/>
    <w:rsid w:val="007A08DC"/>
    <w:rsid w:val="007A11D5"/>
    <w:rsid w:val="007A1A1C"/>
    <w:rsid w:val="007A1C68"/>
    <w:rsid w:val="007A1E08"/>
    <w:rsid w:val="007A24E3"/>
    <w:rsid w:val="007A2869"/>
    <w:rsid w:val="007A2B58"/>
    <w:rsid w:val="007A49AA"/>
    <w:rsid w:val="007A5F27"/>
    <w:rsid w:val="007A7191"/>
    <w:rsid w:val="007A790B"/>
    <w:rsid w:val="007A7B87"/>
    <w:rsid w:val="007A7F57"/>
    <w:rsid w:val="007B0F69"/>
    <w:rsid w:val="007B15B7"/>
    <w:rsid w:val="007B17AF"/>
    <w:rsid w:val="007B1954"/>
    <w:rsid w:val="007B255E"/>
    <w:rsid w:val="007B278E"/>
    <w:rsid w:val="007B4289"/>
    <w:rsid w:val="007B44B9"/>
    <w:rsid w:val="007B4D0D"/>
    <w:rsid w:val="007B4F88"/>
    <w:rsid w:val="007B508B"/>
    <w:rsid w:val="007B5F87"/>
    <w:rsid w:val="007B6DB4"/>
    <w:rsid w:val="007C04AD"/>
    <w:rsid w:val="007C1C39"/>
    <w:rsid w:val="007C1CF1"/>
    <w:rsid w:val="007C21FB"/>
    <w:rsid w:val="007C2427"/>
    <w:rsid w:val="007C28E5"/>
    <w:rsid w:val="007C299B"/>
    <w:rsid w:val="007C411A"/>
    <w:rsid w:val="007C4157"/>
    <w:rsid w:val="007C4852"/>
    <w:rsid w:val="007C646F"/>
    <w:rsid w:val="007C6DDC"/>
    <w:rsid w:val="007C79E9"/>
    <w:rsid w:val="007D0E64"/>
    <w:rsid w:val="007D125F"/>
    <w:rsid w:val="007D173D"/>
    <w:rsid w:val="007D2949"/>
    <w:rsid w:val="007D3159"/>
    <w:rsid w:val="007D419C"/>
    <w:rsid w:val="007D52B1"/>
    <w:rsid w:val="007D5311"/>
    <w:rsid w:val="007D5A71"/>
    <w:rsid w:val="007D63DB"/>
    <w:rsid w:val="007D6973"/>
    <w:rsid w:val="007D6E99"/>
    <w:rsid w:val="007D7019"/>
    <w:rsid w:val="007D7299"/>
    <w:rsid w:val="007D79A8"/>
    <w:rsid w:val="007D7A81"/>
    <w:rsid w:val="007D7CB6"/>
    <w:rsid w:val="007E060F"/>
    <w:rsid w:val="007E06EF"/>
    <w:rsid w:val="007E071B"/>
    <w:rsid w:val="007E0B96"/>
    <w:rsid w:val="007E1BBC"/>
    <w:rsid w:val="007E2CCC"/>
    <w:rsid w:val="007E356F"/>
    <w:rsid w:val="007E3A91"/>
    <w:rsid w:val="007E3D47"/>
    <w:rsid w:val="007E49C5"/>
    <w:rsid w:val="007E4BDD"/>
    <w:rsid w:val="007E4DD4"/>
    <w:rsid w:val="007E53C2"/>
    <w:rsid w:val="007E59E3"/>
    <w:rsid w:val="007E7B48"/>
    <w:rsid w:val="007F0210"/>
    <w:rsid w:val="007F0616"/>
    <w:rsid w:val="007F0A44"/>
    <w:rsid w:val="007F1258"/>
    <w:rsid w:val="007F14AC"/>
    <w:rsid w:val="007F195B"/>
    <w:rsid w:val="007F1C5E"/>
    <w:rsid w:val="007F2C35"/>
    <w:rsid w:val="007F3462"/>
    <w:rsid w:val="007F3822"/>
    <w:rsid w:val="007F5304"/>
    <w:rsid w:val="007F57B5"/>
    <w:rsid w:val="007F5B4F"/>
    <w:rsid w:val="007F5D2D"/>
    <w:rsid w:val="007F6204"/>
    <w:rsid w:val="007F6F13"/>
    <w:rsid w:val="007F7A2A"/>
    <w:rsid w:val="00800A8F"/>
    <w:rsid w:val="00800C5F"/>
    <w:rsid w:val="00801B33"/>
    <w:rsid w:val="0080247F"/>
    <w:rsid w:val="00802800"/>
    <w:rsid w:val="00803773"/>
    <w:rsid w:val="0080385C"/>
    <w:rsid w:val="00803C77"/>
    <w:rsid w:val="0080462C"/>
    <w:rsid w:val="008048E3"/>
    <w:rsid w:val="00804971"/>
    <w:rsid w:val="008051A9"/>
    <w:rsid w:val="00805354"/>
    <w:rsid w:val="008056E7"/>
    <w:rsid w:val="0080598E"/>
    <w:rsid w:val="008071AD"/>
    <w:rsid w:val="00807805"/>
    <w:rsid w:val="00807FB5"/>
    <w:rsid w:val="00810AB1"/>
    <w:rsid w:val="00811043"/>
    <w:rsid w:val="008116A1"/>
    <w:rsid w:val="00811C0B"/>
    <w:rsid w:val="0081223E"/>
    <w:rsid w:val="008122CB"/>
    <w:rsid w:val="00812B84"/>
    <w:rsid w:val="00812D1C"/>
    <w:rsid w:val="00813818"/>
    <w:rsid w:val="00813EE6"/>
    <w:rsid w:val="00815F76"/>
    <w:rsid w:val="008163AA"/>
    <w:rsid w:val="00817D50"/>
    <w:rsid w:val="00820196"/>
    <w:rsid w:val="008220C8"/>
    <w:rsid w:val="00822E34"/>
    <w:rsid w:val="00823476"/>
    <w:rsid w:val="0082484B"/>
    <w:rsid w:val="00824865"/>
    <w:rsid w:val="00824AAA"/>
    <w:rsid w:val="00826446"/>
    <w:rsid w:val="008266F8"/>
    <w:rsid w:val="00826A7B"/>
    <w:rsid w:val="00826FE7"/>
    <w:rsid w:val="008270DB"/>
    <w:rsid w:val="00827273"/>
    <w:rsid w:val="00827D87"/>
    <w:rsid w:val="00830186"/>
    <w:rsid w:val="0083085C"/>
    <w:rsid w:val="00830AA3"/>
    <w:rsid w:val="008311EA"/>
    <w:rsid w:val="008316A4"/>
    <w:rsid w:val="00831803"/>
    <w:rsid w:val="008328E4"/>
    <w:rsid w:val="00832A40"/>
    <w:rsid w:val="00832BF1"/>
    <w:rsid w:val="00832D38"/>
    <w:rsid w:val="008332B7"/>
    <w:rsid w:val="00833624"/>
    <w:rsid w:val="00833637"/>
    <w:rsid w:val="008337F6"/>
    <w:rsid w:val="00834286"/>
    <w:rsid w:val="008343B7"/>
    <w:rsid w:val="00835568"/>
    <w:rsid w:val="00835C25"/>
    <w:rsid w:val="00836B11"/>
    <w:rsid w:val="00836F5F"/>
    <w:rsid w:val="00837F80"/>
    <w:rsid w:val="0084044F"/>
    <w:rsid w:val="008406E8"/>
    <w:rsid w:val="0084125E"/>
    <w:rsid w:val="00841681"/>
    <w:rsid w:val="00841D30"/>
    <w:rsid w:val="00842031"/>
    <w:rsid w:val="00842D44"/>
    <w:rsid w:val="00842F6F"/>
    <w:rsid w:val="00843116"/>
    <w:rsid w:val="008460D4"/>
    <w:rsid w:val="008476E0"/>
    <w:rsid w:val="00847FAC"/>
    <w:rsid w:val="00850065"/>
    <w:rsid w:val="00850AAD"/>
    <w:rsid w:val="00850DB6"/>
    <w:rsid w:val="00850E35"/>
    <w:rsid w:val="00851637"/>
    <w:rsid w:val="00851F60"/>
    <w:rsid w:val="00853496"/>
    <w:rsid w:val="00853A23"/>
    <w:rsid w:val="00854EEC"/>
    <w:rsid w:val="00854F80"/>
    <w:rsid w:val="00855755"/>
    <w:rsid w:val="00855E38"/>
    <w:rsid w:val="00855FC5"/>
    <w:rsid w:val="00856133"/>
    <w:rsid w:val="00856ED6"/>
    <w:rsid w:val="00857287"/>
    <w:rsid w:val="00857A8F"/>
    <w:rsid w:val="00857C25"/>
    <w:rsid w:val="00857D48"/>
    <w:rsid w:val="00857E6F"/>
    <w:rsid w:val="00860D10"/>
    <w:rsid w:val="008610BC"/>
    <w:rsid w:val="00861912"/>
    <w:rsid w:val="00861A11"/>
    <w:rsid w:val="0086221D"/>
    <w:rsid w:val="0086378E"/>
    <w:rsid w:val="00864B57"/>
    <w:rsid w:val="00865EE1"/>
    <w:rsid w:val="00865F4A"/>
    <w:rsid w:val="008667E8"/>
    <w:rsid w:val="00867DA7"/>
    <w:rsid w:val="00871193"/>
    <w:rsid w:val="008712D0"/>
    <w:rsid w:val="00871B43"/>
    <w:rsid w:val="008720CC"/>
    <w:rsid w:val="00872E15"/>
    <w:rsid w:val="00874269"/>
    <w:rsid w:val="0087448A"/>
    <w:rsid w:val="00875D04"/>
    <w:rsid w:val="00876CCE"/>
    <w:rsid w:val="00876E47"/>
    <w:rsid w:val="008777F7"/>
    <w:rsid w:val="00877D5B"/>
    <w:rsid w:val="00880A1C"/>
    <w:rsid w:val="0088155B"/>
    <w:rsid w:val="0088290C"/>
    <w:rsid w:val="008830E5"/>
    <w:rsid w:val="008830E6"/>
    <w:rsid w:val="0088484A"/>
    <w:rsid w:val="00885588"/>
    <w:rsid w:val="00886F4F"/>
    <w:rsid w:val="00887016"/>
    <w:rsid w:val="00887A1F"/>
    <w:rsid w:val="00890468"/>
    <w:rsid w:val="00890570"/>
    <w:rsid w:val="00891F46"/>
    <w:rsid w:val="008921F8"/>
    <w:rsid w:val="00892C73"/>
    <w:rsid w:val="00892CD4"/>
    <w:rsid w:val="00893A05"/>
    <w:rsid w:val="00893DA6"/>
    <w:rsid w:val="008941C0"/>
    <w:rsid w:val="00895FA0"/>
    <w:rsid w:val="0089648F"/>
    <w:rsid w:val="00897058"/>
    <w:rsid w:val="008A0000"/>
    <w:rsid w:val="008A0375"/>
    <w:rsid w:val="008A1CEC"/>
    <w:rsid w:val="008A2748"/>
    <w:rsid w:val="008A30E4"/>
    <w:rsid w:val="008A31A4"/>
    <w:rsid w:val="008A3628"/>
    <w:rsid w:val="008A39C9"/>
    <w:rsid w:val="008A3E4E"/>
    <w:rsid w:val="008A4457"/>
    <w:rsid w:val="008A4565"/>
    <w:rsid w:val="008A47DC"/>
    <w:rsid w:val="008A4D49"/>
    <w:rsid w:val="008A52A9"/>
    <w:rsid w:val="008A64F9"/>
    <w:rsid w:val="008A7D84"/>
    <w:rsid w:val="008B06B4"/>
    <w:rsid w:val="008B0A9F"/>
    <w:rsid w:val="008B107C"/>
    <w:rsid w:val="008B2BFB"/>
    <w:rsid w:val="008B3618"/>
    <w:rsid w:val="008B436B"/>
    <w:rsid w:val="008B4AE7"/>
    <w:rsid w:val="008B565B"/>
    <w:rsid w:val="008B63B9"/>
    <w:rsid w:val="008B6BCD"/>
    <w:rsid w:val="008B6ED5"/>
    <w:rsid w:val="008B7C70"/>
    <w:rsid w:val="008C0DE4"/>
    <w:rsid w:val="008C1001"/>
    <w:rsid w:val="008C1131"/>
    <w:rsid w:val="008C16BC"/>
    <w:rsid w:val="008C1BE5"/>
    <w:rsid w:val="008C1EF7"/>
    <w:rsid w:val="008C27A2"/>
    <w:rsid w:val="008C28A4"/>
    <w:rsid w:val="008C39C5"/>
    <w:rsid w:val="008C44A1"/>
    <w:rsid w:val="008C45B8"/>
    <w:rsid w:val="008C496C"/>
    <w:rsid w:val="008C4D79"/>
    <w:rsid w:val="008C56AA"/>
    <w:rsid w:val="008C6037"/>
    <w:rsid w:val="008C69C8"/>
    <w:rsid w:val="008C79F1"/>
    <w:rsid w:val="008D0404"/>
    <w:rsid w:val="008D0595"/>
    <w:rsid w:val="008D0876"/>
    <w:rsid w:val="008D0A76"/>
    <w:rsid w:val="008D14DD"/>
    <w:rsid w:val="008D2208"/>
    <w:rsid w:val="008D3302"/>
    <w:rsid w:val="008D354A"/>
    <w:rsid w:val="008D37DF"/>
    <w:rsid w:val="008D46E4"/>
    <w:rsid w:val="008D486C"/>
    <w:rsid w:val="008D4D43"/>
    <w:rsid w:val="008D5468"/>
    <w:rsid w:val="008D5470"/>
    <w:rsid w:val="008D5F4F"/>
    <w:rsid w:val="008D64F2"/>
    <w:rsid w:val="008D65C9"/>
    <w:rsid w:val="008D6725"/>
    <w:rsid w:val="008D705A"/>
    <w:rsid w:val="008D73FF"/>
    <w:rsid w:val="008D7924"/>
    <w:rsid w:val="008D7BAC"/>
    <w:rsid w:val="008E0371"/>
    <w:rsid w:val="008E0A52"/>
    <w:rsid w:val="008E10D6"/>
    <w:rsid w:val="008E1ED1"/>
    <w:rsid w:val="008E237F"/>
    <w:rsid w:val="008E44F3"/>
    <w:rsid w:val="008E574C"/>
    <w:rsid w:val="008E57E0"/>
    <w:rsid w:val="008E594E"/>
    <w:rsid w:val="008E5967"/>
    <w:rsid w:val="008E5AF4"/>
    <w:rsid w:val="008E6C04"/>
    <w:rsid w:val="008E7291"/>
    <w:rsid w:val="008E77D8"/>
    <w:rsid w:val="008F0598"/>
    <w:rsid w:val="008F0C57"/>
    <w:rsid w:val="008F255E"/>
    <w:rsid w:val="008F3D3F"/>
    <w:rsid w:val="008F4031"/>
    <w:rsid w:val="008F4109"/>
    <w:rsid w:val="008F4222"/>
    <w:rsid w:val="008F5B42"/>
    <w:rsid w:val="008F5B9C"/>
    <w:rsid w:val="008F681A"/>
    <w:rsid w:val="008F68A2"/>
    <w:rsid w:val="008F6CB8"/>
    <w:rsid w:val="008F6FE9"/>
    <w:rsid w:val="0090045F"/>
    <w:rsid w:val="00901194"/>
    <w:rsid w:val="0090144A"/>
    <w:rsid w:val="009017C2"/>
    <w:rsid w:val="00902390"/>
    <w:rsid w:val="009025B9"/>
    <w:rsid w:val="00902716"/>
    <w:rsid w:val="00903131"/>
    <w:rsid w:val="009034BD"/>
    <w:rsid w:val="00903A5E"/>
    <w:rsid w:val="009059A6"/>
    <w:rsid w:val="00905C7F"/>
    <w:rsid w:val="0090617D"/>
    <w:rsid w:val="009064F1"/>
    <w:rsid w:val="0090664B"/>
    <w:rsid w:val="009077F7"/>
    <w:rsid w:val="009109D7"/>
    <w:rsid w:val="00911093"/>
    <w:rsid w:val="0091112E"/>
    <w:rsid w:val="00911E8E"/>
    <w:rsid w:val="009127B3"/>
    <w:rsid w:val="00912E71"/>
    <w:rsid w:val="0091300B"/>
    <w:rsid w:val="00914F5A"/>
    <w:rsid w:val="00916726"/>
    <w:rsid w:val="00916A23"/>
    <w:rsid w:val="0091707E"/>
    <w:rsid w:val="00917660"/>
    <w:rsid w:val="0091789F"/>
    <w:rsid w:val="009200E3"/>
    <w:rsid w:val="00920372"/>
    <w:rsid w:val="00920427"/>
    <w:rsid w:val="0092073A"/>
    <w:rsid w:val="00920A07"/>
    <w:rsid w:val="00920A62"/>
    <w:rsid w:val="00921D3C"/>
    <w:rsid w:val="009228D4"/>
    <w:rsid w:val="00922AD3"/>
    <w:rsid w:val="00922B5D"/>
    <w:rsid w:val="00923A67"/>
    <w:rsid w:val="00923BE9"/>
    <w:rsid w:val="00923C65"/>
    <w:rsid w:val="009241C1"/>
    <w:rsid w:val="00924843"/>
    <w:rsid w:val="009249E9"/>
    <w:rsid w:val="00924AB9"/>
    <w:rsid w:val="0092696A"/>
    <w:rsid w:val="009269D8"/>
    <w:rsid w:val="00927100"/>
    <w:rsid w:val="00927538"/>
    <w:rsid w:val="009306D8"/>
    <w:rsid w:val="00930A34"/>
    <w:rsid w:val="00930A97"/>
    <w:rsid w:val="009314A8"/>
    <w:rsid w:val="0093216E"/>
    <w:rsid w:val="00934357"/>
    <w:rsid w:val="0093470D"/>
    <w:rsid w:val="00935112"/>
    <w:rsid w:val="00935A17"/>
    <w:rsid w:val="009368BB"/>
    <w:rsid w:val="009369FF"/>
    <w:rsid w:val="00937499"/>
    <w:rsid w:val="009376B5"/>
    <w:rsid w:val="00937828"/>
    <w:rsid w:val="00937B7F"/>
    <w:rsid w:val="00937C32"/>
    <w:rsid w:val="009400B5"/>
    <w:rsid w:val="0094010F"/>
    <w:rsid w:val="00940C51"/>
    <w:rsid w:val="009413D6"/>
    <w:rsid w:val="00942B65"/>
    <w:rsid w:val="00942C0E"/>
    <w:rsid w:val="00943742"/>
    <w:rsid w:val="00943824"/>
    <w:rsid w:val="00943E0A"/>
    <w:rsid w:val="009441CC"/>
    <w:rsid w:val="009445D4"/>
    <w:rsid w:val="00946179"/>
    <w:rsid w:val="0094623E"/>
    <w:rsid w:val="00946D58"/>
    <w:rsid w:val="009473DB"/>
    <w:rsid w:val="00947A3E"/>
    <w:rsid w:val="00947EEF"/>
    <w:rsid w:val="00947F51"/>
    <w:rsid w:val="00950185"/>
    <w:rsid w:val="00950299"/>
    <w:rsid w:val="00950906"/>
    <w:rsid w:val="00952DAA"/>
    <w:rsid w:val="00952F7F"/>
    <w:rsid w:val="00953660"/>
    <w:rsid w:val="009536E4"/>
    <w:rsid w:val="00953D38"/>
    <w:rsid w:val="00953EBE"/>
    <w:rsid w:val="009562DF"/>
    <w:rsid w:val="00956345"/>
    <w:rsid w:val="009564D7"/>
    <w:rsid w:val="00956A98"/>
    <w:rsid w:val="00956C9F"/>
    <w:rsid w:val="00956EDB"/>
    <w:rsid w:val="009572C6"/>
    <w:rsid w:val="009578EC"/>
    <w:rsid w:val="00957B18"/>
    <w:rsid w:val="00957C9F"/>
    <w:rsid w:val="00960653"/>
    <w:rsid w:val="00960A6C"/>
    <w:rsid w:val="00960B20"/>
    <w:rsid w:val="00960BDD"/>
    <w:rsid w:val="009613FA"/>
    <w:rsid w:val="009621FF"/>
    <w:rsid w:val="0096228B"/>
    <w:rsid w:val="009624DD"/>
    <w:rsid w:val="0096351B"/>
    <w:rsid w:val="0096442C"/>
    <w:rsid w:val="00964D27"/>
    <w:rsid w:val="00964F8D"/>
    <w:rsid w:val="009656B7"/>
    <w:rsid w:val="00965CB9"/>
    <w:rsid w:val="0096779C"/>
    <w:rsid w:val="00967F31"/>
    <w:rsid w:val="00967F81"/>
    <w:rsid w:val="00970194"/>
    <w:rsid w:val="009715A6"/>
    <w:rsid w:val="00971638"/>
    <w:rsid w:val="00971C9A"/>
    <w:rsid w:val="009720F1"/>
    <w:rsid w:val="00972D2C"/>
    <w:rsid w:val="00972F59"/>
    <w:rsid w:val="00973AEA"/>
    <w:rsid w:val="00973DD9"/>
    <w:rsid w:val="00973F10"/>
    <w:rsid w:val="00974582"/>
    <w:rsid w:val="009749E4"/>
    <w:rsid w:val="009755B8"/>
    <w:rsid w:val="009766D7"/>
    <w:rsid w:val="00976DEF"/>
    <w:rsid w:val="00977081"/>
    <w:rsid w:val="00977B6C"/>
    <w:rsid w:val="00977E17"/>
    <w:rsid w:val="00980270"/>
    <w:rsid w:val="00981254"/>
    <w:rsid w:val="0098155A"/>
    <w:rsid w:val="00981A9C"/>
    <w:rsid w:val="00981C35"/>
    <w:rsid w:val="00981E12"/>
    <w:rsid w:val="009823A9"/>
    <w:rsid w:val="0098450E"/>
    <w:rsid w:val="0098542B"/>
    <w:rsid w:val="009858BC"/>
    <w:rsid w:val="00986D79"/>
    <w:rsid w:val="0098737C"/>
    <w:rsid w:val="009875FA"/>
    <w:rsid w:val="00987B38"/>
    <w:rsid w:val="00990087"/>
    <w:rsid w:val="00990920"/>
    <w:rsid w:val="00990C7E"/>
    <w:rsid w:val="009915CD"/>
    <w:rsid w:val="009929FD"/>
    <w:rsid w:val="009930CF"/>
    <w:rsid w:val="00993569"/>
    <w:rsid w:val="009937B5"/>
    <w:rsid w:val="00993883"/>
    <w:rsid w:val="009946DA"/>
    <w:rsid w:val="00994C99"/>
    <w:rsid w:val="00994F06"/>
    <w:rsid w:val="00995915"/>
    <w:rsid w:val="00996231"/>
    <w:rsid w:val="009969E6"/>
    <w:rsid w:val="009A0574"/>
    <w:rsid w:val="009A1A3B"/>
    <w:rsid w:val="009A1B91"/>
    <w:rsid w:val="009A1CEA"/>
    <w:rsid w:val="009A204F"/>
    <w:rsid w:val="009A224E"/>
    <w:rsid w:val="009A2BAB"/>
    <w:rsid w:val="009A35C3"/>
    <w:rsid w:val="009A45F9"/>
    <w:rsid w:val="009A582A"/>
    <w:rsid w:val="009A59AB"/>
    <w:rsid w:val="009A6320"/>
    <w:rsid w:val="009A6FCE"/>
    <w:rsid w:val="009A7E26"/>
    <w:rsid w:val="009A7EB4"/>
    <w:rsid w:val="009B13D3"/>
    <w:rsid w:val="009B167B"/>
    <w:rsid w:val="009B207D"/>
    <w:rsid w:val="009B2163"/>
    <w:rsid w:val="009B2937"/>
    <w:rsid w:val="009B38AF"/>
    <w:rsid w:val="009B3EA5"/>
    <w:rsid w:val="009B4374"/>
    <w:rsid w:val="009B4AC0"/>
    <w:rsid w:val="009B4CED"/>
    <w:rsid w:val="009B4E07"/>
    <w:rsid w:val="009B5706"/>
    <w:rsid w:val="009B5AED"/>
    <w:rsid w:val="009B647E"/>
    <w:rsid w:val="009B7278"/>
    <w:rsid w:val="009C046D"/>
    <w:rsid w:val="009C0D9B"/>
    <w:rsid w:val="009C1B4C"/>
    <w:rsid w:val="009C2163"/>
    <w:rsid w:val="009C27A9"/>
    <w:rsid w:val="009C284A"/>
    <w:rsid w:val="009C3A8E"/>
    <w:rsid w:val="009C62E2"/>
    <w:rsid w:val="009C64F5"/>
    <w:rsid w:val="009C6C7A"/>
    <w:rsid w:val="009C6E92"/>
    <w:rsid w:val="009C6F28"/>
    <w:rsid w:val="009C716D"/>
    <w:rsid w:val="009C7956"/>
    <w:rsid w:val="009C7AFA"/>
    <w:rsid w:val="009C7FCB"/>
    <w:rsid w:val="009D1914"/>
    <w:rsid w:val="009D1A3F"/>
    <w:rsid w:val="009D1AC6"/>
    <w:rsid w:val="009D2DEB"/>
    <w:rsid w:val="009D360A"/>
    <w:rsid w:val="009D3714"/>
    <w:rsid w:val="009D4808"/>
    <w:rsid w:val="009D4B8B"/>
    <w:rsid w:val="009D5228"/>
    <w:rsid w:val="009D57D1"/>
    <w:rsid w:val="009D5E59"/>
    <w:rsid w:val="009D5F3D"/>
    <w:rsid w:val="009D6BD1"/>
    <w:rsid w:val="009D720F"/>
    <w:rsid w:val="009D7B7A"/>
    <w:rsid w:val="009E1568"/>
    <w:rsid w:val="009E1647"/>
    <w:rsid w:val="009E26FF"/>
    <w:rsid w:val="009E39CE"/>
    <w:rsid w:val="009E3B63"/>
    <w:rsid w:val="009E4F00"/>
    <w:rsid w:val="009E5DED"/>
    <w:rsid w:val="009E626B"/>
    <w:rsid w:val="009E63CB"/>
    <w:rsid w:val="009E6469"/>
    <w:rsid w:val="009E683C"/>
    <w:rsid w:val="009E6C62"/>
    <w:rsid w:val="009E74CA"/>
    <w:rsid w:val="009F145F"/>
    <w:rsid w:val="009F2006"/>
    <w:rsid w:val="009F291D"/>
    <w:rsid w:val="009F4386"/>
    <w:rsid w:val="009F4E5D"/>
    <w:rsid w:val="009F5579"/>
    <w:rsid w:val="009F571C"/>
    <w:rsid w:val="009F6183"/>
    <w:rsid w:val="009F623F"/>
    <w:rsid w:val="009F6785"/>
    <w:rsid w:val="009F68A7"/>
    <w:rsid w:val="009F75F7"/>
    <w:rsid w:val="009F7645"/>
    <w:rsid w:val="00A004EB"/>
    <w:rsid w:val="00A01198"/>
    <w:rsid w:val="00A01C89"/>
    <w:rsid w:val="00A025BC"/>
    <w:rsid w:val="00A028E8"/>
    <w:rsid w:val="00A04075"/>
    <w:rsid w:val="00A04096"/>
    <w:rsid w:val="00A044DF"/>
    <w:rsid w:val="00A04FC8"/>
    <w:rsid w:val="00A068E3"/>
    <w:rsid w:val="00A06E1F"/>
    <w:rsid w:val="00A0703E"/>
    <w:rsid w:val="00A07386"/>
    <w:rsid w:val="00A077FF"/>
    <w:rsid w:val="00A079E0"/>
    <w:rsid w:val="00A07DDC"/>
    <w:rsid w:val="00A07EEA"/>
    <w:rsid w:val="00A10997"/>
    <w:rsid w:val="00A1132F"/>
    <w:rsid w:val="00A12A93"/>
    <w:rsid w:val="00A12AC0"/>
    <w:rsid w:val="00A13113"/>
    <w:rsid w:val="00A1311E"/>
    <w:rsid w:val="00A1316C"/>
    <w:rsid w:val="00A1439A"/>
    <w:rsid w:val="00A16102"/>
    <w:rsid w:val="00A16E99"/>
    <w:rsid w:val="00A1723E"/>
    <w:rsid w:val="00A178E4"/>
    <w:rsid w:val="00A202F5"/>
    <w:rsid w:val="00A2056A"/>
    <w:rsid w:val="00A2152B"/>
    <w:rsid w:val="00A21F22"/>
    <w:rsid w:val="00A21FDF"/>
    <w:rsid w:val="00A2297A"/>
    <w:rsid w:val="00A23B5F"/>
    <w:rsid w:val="00A24894"/>
    <w:rsid w:val="00A248EE"/>
    <w:rsid w:val="00A27294"/>
    <w:rsid w:val="00A27F98"/>
    <w:rsid w:val="00A30623"/>
    <w:rsid w:val="00A320E9"/>
    <w:rsid w:val="00A3263C"/>
    <w:rsid w:val="00A32668"/>
    <w:rsid w:val="00A328B1"/>
    <w:rsid w:val="00A3291F"/>
    <w:rsid w:val="00A32EB9"/>
    <w:rsid w:val="00A33E34"/>
    <w:rsid w:val="00A34049"/>
    <w:rsid w:val="00A342DC"/>
    <w:rsid w:val="00A34AEB"/>
    <w:rsid w:val="00A34AF5"/>
    <w:rsid w:val="00A34F96"/>
    <w:rsid w:val="00A35E86"/>
    <w:rsid w:val="00A363EB"/>
    <w:rsid w:val="00A374D1"/>
    <w:rsid w:val="00A37667"/>
    <w:rsid w:val="00A376BD"/>
    <w:rsid w:val="00A37D4A"/>
    <w:rsid w:val="00A37E0A"/>
    <w:rsid w:val="00A40592"/>
    <w:rsid w:val="00A408FB"/>
    <w:rsid w:val="00A4127E"/>
    <w:rsid w:val="00A423AA"/>
    <w:rsid w:val="00A42494"/>
    <w:rsid w:val="00A429D3"/>
    <w:rsid w:val="00A42A62"/>
    <w:rsid w:val="00A42E58"/>
    <w:rsid w:val="00A43FB8"/>
    <w:rsid w:val="00A4503C"/>
    <w:rsid w:val="00A4506F"/>
    <w:rsid w:val="00A47F86"/>
    <w:rsid w:val="00A5078C"/>
    <w:rsid w:val="00A52D7E"/>
    <w:rsid w:val="00A52FE9"/>
    <w:rsid w:val="00A533E8"/>
    <w:rsid w:val="00A53BE3"/>
    <w:rsid w:val="00A54054"/>
    <w:rsid w:val="00A549F2"/>
    <w:rsid w:val="00A5530D"/>
    <w:rsid w:val="00A55EF3"/>
    <w:rsid w:val="00A57DDF"/>
    <w:rsid w:val="00A61902"/>
    <w:rsid w:val="00A62B26"/>
    <w:rsid w:val="00A63D66"/>
    <w:rsid w:val="00A649D1"/>
    <w:rsid w:val="00A65F26"/>
    <w:rsid w:val="00A65FCE"/>
    <w:rsid w:val="00A66093"/>
    <w:rsid w:val="00A66233"/>
    <w:rsid w:val="00A7040B"/>
    <w:rsid w:val="00A70492"/>
    <w:rsid w:val="00A7140E"/>
    <w:rsid w:val="00A7215C"/>
    <w:rsid w:val="00A726E2"/>
    <w:rsid w:val="00A72AC5"/>
    <w:rsid w:val="00A73F52"/>
    <w:rsid w:val="00A75FDB"/>
    <w:rsid w:val="00A76544"/>
    <w:rsid w:val="00A76670"/>
    <w:rsid w:val="00A77176"/>
    <w:rsid w:val="00A774FE"/>
    <w:rsid w:val="00A77A77"/>
    <w:rsid w:val="00A802FB"/>
    <w:rsid w:val="00A82144"/>
    <w:rsid w:val="00A82287"/>
    <w:rsid w:val="00A82317"/>
    <w:rsid w:val="00A8232D"/>
    <w:rsid w:val="00A82C09"/>
    <w:rsid w:val="00A82F84"/>
    <w:rsid w:val="00A83381"/>
    <w:rsid w:val="00A835C8"/>
    <w:rsid w:val="00A83A67"/>
    <w:rsid w:val="00A83D1A"/>
    <w:rsid w:val="00A84DDA"/>
    <w:rsid w:val="00A864BA"/>
    <w:rsid w:val="00A86726"/>
    <w:rsid w:val="00A86D84"/>
    <w:rsid w:val="00A871AB"/>
    <w:rsid w:val="00A90313"/>
    <w:rsid w:val="00A91521"/>
    <w:rsid w:val="00A91B94"/>
    <w:rsid w:val="00A91DAE"/>
    <w:rsid w:val="00A92898"/>
    <w:rsid w:val="00A934CC"/>
    <w:rsid w:val="00A93A33"/>
    <w:rsid w:val="00A93F5E"/>
    <w:rsid w:val="00A94422"/>
    <w:rsid w:val="00A955B6"/>
    <w:rsid w:val="00A96170"/>
    <w:rsid w:val="00A96BD3"/>
    <w:rsid w:val="00A97588"/>
    <w:rsid w:val="00A97B5F"/>
    <w:rsid w:val="00A97BE6"/>
    <w:rsid w:val="00A97CEF"/>
    <w:rsid w:val="00AA02B5"/>
    <w:rsid w:val="00AA0DC6"/>
    <w:rsid w:val="00AA0E20"/>
    <w:rsid w:val="00AA17DE"/>
    <w:rsid w:val="00AA229D"/>
    <w:rsid w:val="00AA2401"/>
    <w:rsid w:val="00AA2F40"/>
    <w:rsid w:val="00AA462D"/>
    <w:rsid w:val="00AA4D6E"/>
    <w:rsid w:val="00AA5516"/>
    <w:rsid w:val="00AA5B87"/>
    <w:rsid w:val="00AA648D"/>
    <w:rsid w:val="00AA64FE"/>
    <w:rsid w:val="00AA7274"/>
    <w:rsid w:val="00AB0A0F"/>
    <w:rsid w:val="00AB0DB9"/>
    <w:rsid w:val="00AB0FA8"/>
    <w:rsid w:val="00AB1A7B"/>
    <w:rsid w:val="00AB1C6B"/>
    <w:rsid w:val="00AB2075"/>
    <w:rsid w:val="00AB2608"/>
    <w:rsid w:val="00AB2790"/>
    <w:rsid w:val="00AB2E54"/>
    <w:rsid w:val="00AB2E95"/>
    <w:rsid w:val="00AB2F11"/>
    <w:rsid w:val="00AB3816"/>
    <w:rsid w:val="00AB4313"/>
    <w:rsid w:val="00AB4391"/>
    <w:rsid w:val="00AB48DC"/>
    <w:rsid w:val="00AB49DB"/>
    <w:rsid w:val="00AB5021"/>
    <w:rsid w:val="00AB541C"/>
    <w:rsid w:val="00AB550B"/>
    <w:rsid w:val="00AB605E"/>
    <w:rsid w:val="00AB6847"/>
    <w:rsid w:val="00AB6DDC"/>
    <w:rsid w:val="00AB6F07"/>
    <w:rsid w:val="00AC0565"/>
    <w:rsid w:val="00AC05EC"/>
    <w:rsid w:val="00AC258C"/>
    <w:rsid w:val="00AC25D3"/>
    <w:rsid w:val="00AC279E"/>
    <w:rsid w:val="00AC2CBD"/>
    <w:rsid w:val="00AC3839"/>
    <w:rsid w:val="00AC397E"/>
    <w:rsid w:val="00AC3A61"/>
    <w:rsid w:val="00AC41F2"/>
    <w:rsid w:val="00AC5F25"/>
    <w:rsid w:val="00AC6668"/>
    <w:rsid w:val="00AC6DF8"/>
    <w:rsid w:val="00AC72AA"/>
    <w:rsid w:val="00AD01F3"/>
    <w:rsid w:val="00AD0E0C"/>
    <w:rsid w:val="00AD0E7F"/>
    <w:rsid w:val="00AD13C7"/>
    <w:rsid w:val="00AD1505"/>
    <w:rsid w:val="00AD234A"/>
    <w:rsid w:val="00AD26EA"/>
    <w:rsid w:val="00AD2AC3"/>
    <w:rsid w:val="00AD33FD"/>
    <w:rsid w:val="00AD354C"/>
    <w:rsid w:val="00AD40D2"/>
    <w:rsid w:val="00AD50D3"/>
    <w:rsid w:val="00AD57F3"/>
    <w:rsid w:val="00AD5A42"/>
    <w:rsid w:val="00AD74A2"/>
    <w:rsid w:val="00AE04FD"/>
    <w:rsid w:val="00AE0A3C"/>
    <w:rsid w:val="00AE0B7F"/>
    <w:rsid w:val="00AE0C78"/>
    <w:rsid w:val="00AE112E"/>
    <w:rsid w:val="00AE1769"/>
    <w:rsid w:val="00AE186D"/>
    <w:rsid w:val="00AE2D0B"/>
    <w:rsid w:val="00AE31CA"/>
    <w:rsid w:val="00AE3766"/>
    <w:rsid w:val="00AE42D1"/>
    <w:rsid w:val="00AE463D"/>
    <w:rsid w:val="00AE47B4"/>
    <w:rsid w:val="00AE5163"/>
    <w:rsid w:val="00AE608C"/>
    <w:rsid w:val="00AE658C"/>
    <w:rsid w:val="00AE72B1"/>
    <w:rsid w:val="00AE7A21"/>
    <w:rsid w:val="00AE7FC2"/>
    <w:rsid w:val="00AF0698"/>
    <w:rsid w:val="00AF0B38"/>
    <w:rsid w:val="00AF17D2"/>
    <w:rsid w:val="00AF2097"/>
    <w:rsid w:val="00AF2579"/>
    <w:rsid w:val="00AF2C23"/>
    <w:rsid w:val="00AF3ACF"/>
    <w:rsid w:val="00AF3C2E"/>
    <w:rsid w:val="00AF3D54"/>
    <w:rsid w:val="00AF413E"/>
    <w:rsid w:val="00AF4475"/>
    <w:rsid w:val="00AF460F"/>
    <w:rsid w:val="00AF4692"/>
    <w:rsid w:val="00AF475C"/>
    <w:rsid w:val="00AF4A01"/>
    <w:rsid w:val="00AF572A"/>
    <w:rsid w:val="00AF5F00"/>
    <w:rsid w:val="00AF625D"/>
    <w:rsid w:val="00AF7433"/>
    <w:rsid w:val="00AF7A20"/>
    <w:rsid w:val="00AF7A29"/>
    <w:rsid w:val="00B001AF"/>
    <w:rsid w:val="00B025B8"/>
    <w:rsid w:val="00B0265D"/>
    <w:rsid w:val="00B02DE5"/>
    <w:rsid w:val="00B02E41"/>
    <w:rsid w:val="00B02ED6"/>
    <w:rsid w:val="00B02FDE"/>
    <w:rsid w:val="00B037CA"/>
    <w:rsid w:val="00B039D2"/>
    <w:rsid w:val="00B04244"/>
    <w:rsid w:val="00B0429F"/>
    <w:rsid w:val="00B04853"/>
    <w:rsid w:val="00B04A47"/>
    <w:rsid w:val="00B04D89"/>
    <w:rsid w:val="00B04DFA"/>
    <w:rsid w:val="00B06484"/>
    <w:rsid w:val="00B0696D"/>
    <w:rsid w:val="00B06C53"/>
    <w:rsid w:val="00B07728"/>
    <w:rsid w:val="00B07CF8"/>
    <w:rsid w:val="00B07ED9"/>
    <w:rsid w:val="00B104C3"/>
    <w:rsid w:val="00B1140A"/>
    <w:rsid w:val="00B11E4D"/>
    <w:rsid w:val="00B120FF"/>
    <w:rsid w:val="00B12590"/>
    <w:rsid w:val="00B13495"/>
    <w:rsid w:val="00B1350F"/>
    <w:rsid w:val="00B13C63"/>
    <w:rsid w:val="00B13E20"/>
    <w:rsid w:val="00B14828"/>
    <w:rsid w:val="00B14C52"/>
    <w:rsid w:val="00B14F4C"/>
    <w:rsid w:val="00B1598A"/>
    <w:rsid w:val="00B15CEB"/>
    <w:rsid w:val="00B167A3"/>
    <w:rsid w:val="00B169F8"/>
    <w:rsid w:val="00B16F07"/>
    <w:rsid w:val="00B173AB"/>
    <w:rsid w:val="00B17640"/>
    <w:rsid w:val="00B1775E"/>
    <w:rsid w:val="00B17AD9"/>
    <w:rsid w:val="00B20551"/>
    <w:rsid w:val="00B20A82"/>
    <w:rsid w:val="00B21ACD"/>
    <w:rsid w:val="00B2233D"/>
    <w:rsid w:val="00B226D9"/>
    <w:rsid w:val="00B232FC"/>
    <w:rsid w:val="00B23533"/>
    <w:rsid w:val="00B24F86"/>
    <w:rsid w:val="00B266C6"/>
    <w:rsid w:val="00B27ED2"/>
    <w:rsid w:val="00B30017"/>
    <w:rsid w:val="00B30411"/>
    <w:rsid w:val="00B304D0"/>
    <w:rsid w:val="00B3068F"/>
    <w:rsid w:val="00B3187B"/>
    <w:rsid w:val="00B33B85"/>
    <w:rsid w:val="00B34938"/>
    <w:rsid w:val="00B35124"/>
    <w:rsid w:val="00B35AA2"/>
    <w:rsid w:val="00B3612A"/>
    <w:rsid w:val="00B36D11"/>
    <w:rsid w:val="00B407F4"/>
    <w:rsid w:val="00B40FF2"/>
    <w:rsid w:val="00B41BAE"/>
    <w:rsid w:val="00B430B5"/>
    <w:rsid w:val="00B4327E"/>
    <w:rsid w:val="00B43C92"/>
    <w:rsid w:val="00B44627"/>
    <w:rsid w:val="00B45420"/>
    <w:rsid w:val="00B45471"/>
    <w:rsid w:val="00B45F66"/>
    <w:rsid w:val="00B464E2"/>
    <w:rsid w:val="00B46D14"/>
    <w:rsid w:val="00B47831"/>
    <w:rsid w:val="00B47D1A"/>
    <w:rsid w:val="00B50276"/>
    <w:rsid w:val="00B50F46"/>
    <w:rsid w:val="00B51318"/>
    <w:rsid w:val="00B52070"/>
    <w:rsid w:val="00B52572"/>
    <w:rsid w:val="00B5284B"/>
    <w:rsid w:val="00B53B4E"/>
    <w:rsid w:val="00B54FF3"/>
    <w:rsid w:val="00B5515A"/>
    <w:rsid w:val="00B56F33"/>
    <w:rsid w:val="00B578A2"/>
    <w:rsid w:val="00B57D4B"/>
    <w:rsid w:val="00B602C0"/>
    <w:rsid w:val="00B6045A"/>
    <w:rsid w:val="00B6063E"/>
    <w:rsid w:val="00B60DE2"/>
    <w:rsid w:val="00B61307"/>
    <w:rsid w:val="00B61512"/>
    <w:rsid w:val="00B61627"/>
    <w:rsid w:val="00B62BBE"/>
    <w:rsid w:val="00B62D26"/>
    <w:rsid w:val="00B62DE7"/>
    <w:rsid w:val="00B6359E"/>
    <w:rsid w:val="00B64104"/>
    <w:rsid w:val="00B64519"/>
    <w:rsid w:val="00B6553C"/>
    <w:rsid w:val="00B6564B"/>
    <w:rsid w:val="00B668E8"/>
    <w:rsid w:val="00B67771"/>
    <w:rsid w:val="00B67AFF"/>
    <w:rsid w:val="00B67FC5"/>
    <w:rsid w:val="00B70027"/>
    <w:rsid w:val="00B701FC"/>
    <w:rsid w:val="00B70925"/>
    <w:rsid w:val="00B71CE8"/>
    <w:rsid w:val="00B721F0"/>
    <w:rsid w:val="00B72BE4"/>
    <w:rsid w:val="00B72EAC"/>
    <w:rsid w:val="00B737C2"/>
    <w:rsid w:val="00B7396C"/>
    <w:rsid w:val="00B73FE0"/>
    <w:rsid w:val="00B74353"/>
    <w:rsid w:val="00B75508"/>
    <w:rsid w:val="00B758EE"/>
    <w:rsid w:val="00B7615F"/>
    <w:rsid w:val="00B7689F"/>
    <w:rsid w:val="00B77880"/>
    <w:rsid w:val="00B77972"/>
    <w:rsid w:val="00B80637"/>
    <w:rsid w:val="00B80950"/>
    <w:rsid w:val="00B80B2E"/>
    <w:rsid w:val="00B81105"/>
    <w:rsid w:val="00B81964"/>
    <w:rsid w:val="00B81DC3"/>
    <w:rsid w:val="00B82323"/>
    <w:rsid w:val="00B8280A"/>
    <w:rsid w:val="00B8292D"/>
    <w:rsid w:val="00B83030"/>
    <w:rsid w:val="00B831C8"/>
    <w:rsid w:val="00B8346D"/>
    <w:rsid w:val="00B8351B"/>
    <w:rsid w:val="00B83D2A"/>
    <w:rsid w:val="00B84084"/>
    <w:rsid w:val="00B84399"/>
    <w:rsid w:val="00B843EC"/>
    <w:rsid w:val="00B84748"/>
    <w:rsid w:val="00B8556B"/>
    <w:rsid w:val="00B85A0F"/>
    <w:rsid w:val="00B85BAC"/>
    <w:rsid w:val="00B85D04"/>
    <w:rsid w:val="00B85DC9"/>
    <w:rsid w:val="00B85DCC"/>
    <w:rsid w:val="00B85E68"/>
    <w:rsid w:val="00B8658F"/>
    <w:rsid w:val="00B86A6A"/>
    <w:rsid w:val="00B8764C"/>
    <w:rsid w:val="00B87E98"/>
    <w:rsid w:val="00B9109A"/>
    <w:rsid w:val="00B9128A"/>
    <w:rsid w:val="00B913EA"/>
    <w:rsid w:val="00B92694"/>
    <w:rsid w:val="00B93450"/>
    <w:rsid w:val="00B934F3"/>
    <w:rsid w:val="00B93591"/>
    <w:rsid w:val="00B93B22"/>
    <w:rsid w:val="00B943A0"/>
    <w:rsid w:val="00B94B98"/>
    <w:rsid w:val="00B95235"/>
    <w:rsid w:val="00B952C1"/>
    <w:rsid w:val="00B969AF"/>
    <w:rsid w:val="00B96D34"/>
    <w:rsid w:val="00B96DA0"/>
    <w:rsid w:val="00B97C7B"/>
    <w:rsid w:val="00B97E39"/>
    <w:rsid w:val="00BA031E"/>
    <w:rsid w:val="00BA0559"/>
    <w:rsid w:val="00BA0D89"/>
    <w:rsid w:val="00BA17C2"/>
    <w:rsid w:val="00BA1DDD"/>
    <w:rsid w:val="00BA1E75"/>
    <w:rsid w:val="00BA33E8"/>
    <w:rsid w:val="00BA4534"/>
    <w:rsid w:val="00BA4A49"/>
    <w:rsid w:val="00BA56B4"/>
    <w:rsid w:val="00BA607E"/>
    <w:rsid w:val="00BA62E0"/>
    <w:rsid w:val="00BA6973"/>
    <w:rsid w:val="00BB1CE6"/>
    <w:rsid w:val="00BB2178"/>
    <w:rsid w:val="00BB3591"/>
    <w:rsid w:val="00BB387C"/>
    <w:rsid w:val="00BB3992"/>
    <w:rsid w:val="00BB3DB1"/>
    <w:rsid w:val="00BB3E69"/>
    <w:rsid w:val="00BB4301"/>
    <w:rsid w:val="00BB452B"/>
    <w:rsid w:val="00BB4BD9"/>
    <w:rsid w:val="00BB54A2"/>
    <w:rsid w:val="00BB57B2"/>
    <w:rsid w:val="00BB7379"/>
    <w:rsid w:val="00BB76C7"/>
    <w:rsid w:val="00BB7F68"/>
    <w:rsid w:val="00BC0D94"/>
    <w:rsid w:val="00BC17C0"/>
    <w:rsid w:val="00BC19D3"/>
    <w:rsid w:val="00BC202A"/>
    <w:rsid w:val="00BC2384"/>
    <w:rsid w:val="00BC2B35"/>
    <w:rsid w:val="00BC331E"/>
    <w:rsid w:val="00BC3827"/>
    <w:rsid w:val="00BC3B1E"/>
    <w:rsid w:val="00BC410B"/>
    <w:rsid w:val="00BC4BCF"/>
    <w:rsid w:val="00BC4D6F"/>
    <w:rsid w:val="00BC622C"/>
    <w:rsid w:val="00BC641C"/>
    <w:rsid w:val="00BC7313"/>
    <w:rsid w:val="00BC752A"/>
    <w:rsid w:val="00BC77D2"/>
    <w:rsid w:val="00BC78B7"/>
    <w:rsid w:val="00BD0EBF"/>
    <w:rsid w:val="00BD0FCD"/>
    <w:rsid w:val="00BD120E"/>
    <w:rsid w:val="00BD141E"/>
    <w:rsid w:val="00BD1FEE"/>
    <w:rsid w:val="00BD3751"/>
    <w:rsid w:val="00BD4B3A"/>
    <w:rsid w:val="00BD5B20"/>
    <w:rsid w:val="00BD6346"/>
    <w:rsid w:val="00BD6C59"/>
    <w:rsid w:val="00BD7BC1"/>
    <w:rsid w:val="00BE1365"/>
    <w:rsid w:val="00BE1CC2"/>
    <w:rsid w:val="00BE1E1C"/>
    <w:rsid w:val="00BE2B4E"/>
    <w:rsid w:val="00BE31FD"/>
    <w:rsid w:val="00BE35CA"/>
    <w:rsid w:val="00BE4487"/>
    <w:rsid w:val="00BE47F0"/>
    <w:rsid w:val="00BE4FEE"/>
    <w:rsid w:val="00BE554B"/>
    <w:rsid w:val="00BE5750"/>
    <w:rsid w:val="00BE5C44"/>
    <w:rsid w:val="00BE5CF0"/>
    <w:rsid w:val="00BE5F93"/>
    <w:rsid w:val="00BE658C"/>
    <w:rsid w:val="00BE6A42"/>
    <w:rsid w:val="00BE6A9F"/>
    <w:rsid w:val="00BE70FA"/>
    <w:rsid w:val="00BE7781"/>
    <w:rsid w:val="00BF0EA3"/>
    <w:rsid w:val="00BF253D"/>
    <w:rsid w:val="00BF2E6B"/>
    <w:rsid w:val="00BF2EBD"/>
    <w:rsid w:val="00BF508B"/>
    <w:rsid w:val="00BF5C51"/>
    <w:rsid w:val="00BF63D9"/>
    <w:rsid w:val="00BF68F5"/>
    <w:rsid w:val="00BF6DE9"/>
    <w:rsid w:val="00BF7622"/>
    <w:rsid w:val="00C00089"/>
    <w:rsid w:val="00C00865"/>
    <w:rsid w:val="00C01316"/>
    <w:rsid w:val="00C01DCE"/>
    <w:rsid w:val="00C02144"/>
    <w:rsid w:val="00C0230A"/>
    <w:rsid w:val="00C02371"/>
    <w:rsid w:val="00C028F2"/>
    <w:rsid w:val="00C03E48"/>
    <w:rsid w:val="00C0439F"/>
    <w:rsid w:val="00C045A5"/>
    <w:rsid w:val="00C0567B"/>
    <w:rsid w:val="00C06910"/>
    <w:rsid w:val="00C06B8C"/>
    <w:rsid w:val="00C07EE8"/>
    <w:rsid w:val="00C10492"/>
    <w:rsid w:val="00C10934"/>
    <w:rsid w:val="00C1097E"/>
    <w:rsid w:val="00C10BF9"/>
    <w:rsid w:val="00C112F4"/>
    <w:rsid w:val="00C126F4"/>
    <w:rsid w:val="00C133C8"/>
    <w:rsid w:val="00C13630"/>
    <w:rsid w:val="00C13CC0"/>
    <w:rsid w:val="00C13E26"/>
    <w:rsid w:val="00C159AE"/>
    <w:rsid w:val="00C164B5"/>
    <w:rsid w:val="00C17CA3"/>
    <w:rsid w:val="00C17FA2"/>
    <w:rsid w:val="00C20232"/>
    <w:rsid w:val="00C20810"/>
    <w:rsid w:val="00C22787"/>
    <w:rsid w:val="00C22798"/>
    <w:rsid w:val="00C23BC9"/>
    <w:rsid w:val="00C25C30"/>
    <w:rsid w:val="00C25C60"/>
    <w:rsid w:val="00C264DD"/>
    <w:rsid w:val="00C264E8"/>
    <w:rsid w:val="00C27789"/>
    <w:rsid w:val="00C30AD5"/>
    <w:rsid w:val="00C31052"/>
    <w:rsid w:val="00C310D3"/>
    <w:rsid w:val="00C3238A"/>
    <w:rsid w:val="00C3254E"/>
    <w:rsid w:val="00C327CA"/>
    <w:rsid w:val="00C333C7"/>
    <w:rsid w:val="00C3386C"/>
    <w:rsid w:val="00C342B0"/>
    <w:rsid w:val="00C34435"/>
    <w:rsid w:val="00C34766"/>
    <w:rsid w:val="00C35339"/>
    <w:rsid w:val="00C36468"/>
    <w:rsid w:val="00C36BB5"/>
    <w:rsid w:val="00C36D41"/>
    <w:rsid w:val="00C36DAA"/>
    <w:rsid w:val="00C37DDF"/>
    <w:rsid w:val="00C40274"/>
    <w:rsid w:val="00C408CD"/>
    <w:rsid w:val="00C40F89"/>
    <w:rsid w:val="00C411BA"/>
    <w:rsid w:val="00C419BA"/>
    <w:rsid w:val="00C41E52"/>
    <w:rsid w:val="00C429ED"/>
    <w:rsid w:val="00C4422A"/>
    <w:rsid w:val="00C4485E"/>
    <w:rsid w:val="00C44A6D"/>
    <w:rsid w:val="00C45296"/>
    <w:rsid w:val="00C45CD5"/>
    <w:rsid w:val="00C46099"/>
    <w:rsid w:val="00C46496"/>
    <w:rsid w:val="00C46ECB"/>
    <w:rsid w:val="00C47834"/>
    <w:rsid w:val="00C50526"/>
    <w:rsid w:val="00C50C19"/>
    <w:rsid w:val="00C53EC6"/>
    <w:rsid w:val="00C54064"/>
    <w:rsid w:val="00C54F0C"/>
    <w:rsid w:val="00C556E7"/>
    <w:rsid w:val="00C55732"/>
    <w:rsid w:val="00C55C57"/>
    <w:rsid w:val="00C561A0"/>
    <w:rsid w:val="00C564BD"/>
    <w:rsid w:val="00C56612"/>
    <w:rsid w:val="00C56BBE"/>
    <w:rsid w:val="00C56D81"/>
    <w:rsid w:val="00C57222"/>
    <w:rsid w:val="00C60446"/>
    <w:rsid w:val="00C60A93"/>
    <w:rsid w:val="00C61FF7"/>
    <w:rsid w:val="00C627A8"/>
    <w:rsid w:val="00C630AB"/>
    <w:rsid w:val="00C6554C"/>
    <w:rsid w:val="00C658A3"/>
    <w:rsid w:val="00C65DC0"/>
    <w:rsid w:val="00C664BA"/>
    <w:rsid w:val="00C7046A"/>
    <w:rsid w:val="00C717A9"/>
    <w:rsid w:val="00C71AEF"/>
    <w:rsid w:val="00C7260E"/>
    <w:rsid w:val="00C72C50"/>
    <w:rsid w:val="00C72C6B"/>
    <w:rsid w:val="00C73C4B"/>
    <w:rsid w:val="00C73F9E"/>
    <w:rsid w:val="00C7403F"/>
    <w:rsid w:val="00C80E9C"/>
    <w:rsid w:val="00C830A8"/>
    <w:rsid w:val="00C8350A"/>
    <w:rsid w:val="00C835D4"/>
    <w:rsid w:val="00C836EB"/>
    <w:rsid w:val="00C866BE"/>
    <w:rsid w:val="00C86D5B"/>
    <w:rsid w:val="00C87296"/>
    <w:rsid w:val="00C920A6"/>
    <w:rsid w:val="00C924C4"/>
    <w:rsid w:val="00C92909"/>
    <w:rsid w:val="00C92AD2"/>
    <w:rsid w:val="00C93A4D"/>
    <w:rsid w:val="00C93A5D"/>
    <w:rsid w:val="00C93C4E"/>
    <w:rsid w:val="00C94EBE"/>
    <w:rsid w:val="00C94FFD"/>
    <w:rsid w:val="00C95B8F"/>
    <w:rsid w:val="00C95F60"/>
    <w:rsid w:val="00C96613"/>
    <w:rsid w:val="00C96EF2"/>
    <w:rsid w:val="00C97130"/>
    <w:rsid w:val="00C97331"/>
    <w:rsid w:val="00C976F6"/>
    <w:rsid w:val="00C97BB0"/>
    <w:rsid w:val="00CA0026"/>
    <w:rsid w:val="00CA02F7"/>
    <w:rsid w:val="00CA0687"/>
    <w:rsid w:val="00CA07D2"/>
    <w:rsid w:val="00CA0829"/>
    <w:rsid w:val="00CA0A5A"/>
    <w:rsid w:val="00CA124A"/>
    <w:rsid w:val="00CA1B89"/>
    <w:rsid w:val="00CA2021"/>
    <w:rsid w:val="00CA40DC"/>
    <w:rsid w:val="00CA50BD"/>
    <w:rsid w:val="00CA5165"/>
    <w:rsid w:val="00CA5297"/>
    <w:rsid w:val="00CA5547"/>
    <w:rsid w:val="00CB02E9"/>
    <w:rsid w:val="00CB0386"/>
    <w:rsid w:val="00CB03AE"/>
    <w:rsid w:val="00CB0767"/>
    <w:rsid w:val="00CB100B"/>
    <w:rsid w:val="00CB11CD"/>
    <w:rsid w:val="00CB1999"/>
    <w:rsid w:val="00CB1F3B"/>
    <w:rsid w:val="00CB22B0"/>
    <w:rsid w:val="00CB2329"/>
    <w:rsid w:val="00CB28B3"/>
    <w:rsid w:val="00CB2BBF"/>
    <w:rsid w:val="00CB2D4C"/>
    <w:rsid w:val="00CB40B7"/>
    <w:rsid w:val="00CB5919"/>
    <w:rsid w:val="00CB6231"/>
    <w:rsid w:val="00CB7289"/>
    <w:rsid w:val="00CB7BC9"/>
    <w:rsid w:val="00CB7D34"/>
    <w:rsid w:val="00CB7D8E"/>
    <w:rsid w:val="00CC035F"/>
    <w:rsid w:val="00CC19BE"/>
    <w:rsid w:val="00CC3645"/>
    <w:rsid w:val="00CC36ED"/>
    <w:rsid w:val="00CC3C39"/>
    <w:rsid w:val="00CC4F88"/>
    <w:rsid w:val="00CC530F"/>
    <w:rsid w:val="00CC5D23"/>
    <w:rsid w:val="00CC5D79"/>
    <w:rsid w:val="00CC5D86"/>
    <w:rsid w:val="00CC6740"/>
    <w:rsid w:val="00CC7448"/>
    <w:rsid w:val="00CC7DED"/>
    <w:rsid w:val="00CD023A"/>
    <w:rsid w:val="00CD033E"/>
    <w:rsid w:val="00CD038B"/>
    <w:rsid w:val="00CD061C"/>
    <w:rsid w:val="00CD2368"/>
    <w:rsid w:val="00CD292F"/>
    <w:rsid w:val="00CD3209"/>
    <w:rsid w:val="00CD3EE4"/>
    <w:rsid w:val="00CD44CD"/>
    <w:rsid w:val="00CD465A"/>
    <w:rsid w:val="00CD4D5C"/>
    <w:rsid w:val="00CD555F"/>
    <w:rsid w:val="00CD55A6"/>
    <w:rsid w:val="00CD7162"/>
    <w:rsid w:val="00CD745C"/>
    <w:rsid w:val="00CD7A52"/>
    <w:rsid w:val="00CD7F72"/>
    <w:rsid w:val="00CE0079"/>
    <w:rsid w:val="00CE0383"/>
    <w:rsid w:val="00CE0659"/>
    <w:rsid w:val="00CE0C58"/>
    <w:rsid w:val="00CE1134"/>
    <w:rsid w:val="00CE2351"/>
    <w:rsid w:val="00CE23CC"/>
    <w:rsid w:val="00CE2C3C"/>
    <w:rsid w:val="00CE2D41"/>
    <w:rsid w:val="00CE2D64"/>
    <w:rsid w:val="00CE2F04"/>
    <w:rsid w:val="00CE30E2"/>
    <w:rsid w:val="00CE5256"/>
    <w:rsid w:val="00CE74A3"/>
    <w:rsid w:val="00CF02FD"/>
    <w:rsid w:val="00CF0742"/>
    <w:rsid w:val="00CF1447"/>
    <w:rsid w:val="00CF1DF9"/>
    <w:rsid w:val="00CF270E"/>
    <w:rsid w:val="00CF2B60"/>
    <w:rsid w:val="00CF3954"/>
    <w:rsid w:val="00CF3DDD"/>
    <w:rsid w:val="00CF4A77"/>
    <w:rsid w:val="00CF4BBF"/>
    <w:rsid w:val="00CF5DF1"/>
    <w:rsid w:val="00CF6509"/>
    <w:rsid w:val="00D00F44"/>
    <w:rsid w:val="00D011ED"/>
    <w:rsid w:val="00D01DB1"/>
    <w:rsid w:val="00D0214D"/>
    <w:rsid w:val="00D022CC"/>
    <w:rsid w:val="00D04689"/>
    <w:rsid w:val="00D04A52"/>
    <w:rsid w:val="00D05D7B"/>
    <w:rsid w:val="00D10198"/>
    <w:rsid w:val="00D109B4"/>
    <w:rsid w:val="00D10C96"/>
    <w:rsid w:val="00D10CB7"/>
    <w:rsid w:val="00D10DD2"/>
    <w:rsid w:val="00D10F1B"/>
    <w:rsid w:val="00D1115A"/>
    <w:rsid w:val="00D11413"/>
    <w:rsid w:val="00D11A04"/>
    <w:rsid w:val="00D11F56"/>
    <w:rsid w:val="00D11F66"/>
    <w:rsid w:val="00D120B7"/>
    <w:rsid w:val="00D133F2"/>
    <w:rsid w:val="00D15148"/>
    <w:rsid w:val="00D165B7"/>
    <w:rsid w:val="00D1716B"/>
    <w:rsid w:val="00D17A40"/>
    <w:rsid w:val="00D17D9E"/>
    <w:rsid w:val="00D206FA"/>
    <w:rsid w:val="00D20F97"/>
    <w:rsid w:val="00D210B1"/>
    <w:rsid w:val="00D21265"/>
    <w:rsid w:val="00D21654"/>
    <w:rsid w:val="00D220B0"/>
    <w:rsid w:val="00D22148"/>
    <w:rsid w:val="00D221E3"/>
    <w:rsid w:val="00D22605"/>
    <w:rsid w:val="00D22E92"/>
    <w:rsid w:val="00D23643"/>
    <w:rsid w:val="00D238F3"/>
    <w:rsid w:val="00D23B1C"/>
    <w:rsid w:val="00D2477B"/>
    <w:rsid w:val="00D25017"/>
    <w:rsid w:val="00D26092"/>
    <w:rsid w:val="00D2684C"/>
    <w:rsid w:val="00D26D81"/>
    <w:rsid w:val="00D30507"/>
    <w:rsid w:val="00D31400"/>
    <w:rsid w:val="00D32642"/>
    <w:rsid w:val="00D32F76"/>
    <w:rsid w:val="00D33850"/>
    <w:rsid w:val="00D339CD"/>
    <w:rsid w:val="00D33A33"/>
    <w:rsid w:val="00D34122"/>
    <w:rsid w:val="00D34632"/>
    <w:rsid w:val="00D3496B"/>
    <w:rsid w:val="00D34E02"/>
    <w:rsid w:val="00D3561C"/>
    <w:rsid w:val="00D35AB8"/>
    <w:rsid w:val="00D35AD6"/>
    <w:rsid w:val="00D35C84"/>
    <w:rsid w:val="00D36AAD"/>
    <w:rsid w:val="00D37182"/>
    <w:rsid w:val="00D37A87"/>
    <w:rsid w:val="00D4075B"/>
    <w:rsid w:val="00D40B21"/>
    <w:rsid w:val="00D415A5"/>
    <w:rsid w:val="00D415C0"/>
    <w:rsid w:val="00D41FC5"/>
    <w:rsid w:val="00D42069"/>
    <w:rsid w:val="00D4419A"/>
    <w:rsid w:val="00D454F7"/>
    <w:rsid w:val="00D458B0"/>
    <w:rsid w:val="00D45D1A"/>
    <w:rsid w:val="00D46731"/>
    <w:rsid w:val="00D46ADB"/>
    <w:rsid w:val="00D4737F"/>
    <w:rsid w:val="00D47DB8"/>
    <w:rsid w:val="00D500BB"/>
    <w:rsid w:val="00D5011F"/>
    <w:rsid w:val="00D5012D"/>
    <w:rsid w:val="00D51E08"/>
    <w:rsid w:val="00D531C9"/>
    <w:rsid w:val="00D53366"/>
    <w:rsid w:val="00D53689"/>
    <w:rsid w:val="00D53A3F"/>
    <w:rsid w:val="00D53A54"/>
    <w:rsid w:val="00D53ADF"/>
    <w:rsid w:val="00D53C36"/>
    <w:rsid w:val="00D54762"/>
    <w:rsid w:val="00D549E7"/>
    <w:rsid w:val="00D55450"/>
    <w:rsid w:val="00D555D2"/>
    <w:rsid w:val="00D55D9C"/>
    <w:rsid w:val="00D5675A"/>
    <w:rsid w:val="00D567D6"/>
    <w:rsid w:val="00D57056"/>
    <w:rsid w:val="00D60704"/>
    <w:rsid w:val="00D61BE0"/>
    <w:rsid w:val="00D62064"/>
    <w:rsid w:val="00D62D01"/>
    <w:rsid w:val="00D6310B"/>
    <w:rsid w:val="00D63740"/>
    <w:rsid w:val="00D637C7"/>
    <w:rsid w:val="00D648CA"/>
    <w:rsid w:val="00D65D07"/>
    <w:rsid w:val="00D65E18"/>
    <w:rsid w:val="00D66B97"/>
    <w:rsid w:val="00D66CFF"/>
    <w:rsid w:val="00D67099"/>
    <w:rsid w:val="00D674E0"/>
    <w:rsid w:val="00D67555"/>
    <w:rsid w:val="00D67958"/>
    <w:rsid w:val="00D67B4B"/>
    <w:rsid w:val="00D67BE1"/>
    <w:rsid w:val="00D7034B"/>
    <w:rsid w:val="00D70DD9"/>
    <w:rsid w:val="00D72675"/>
    <w:rsid w:val="00D72EC8"/>
    <w:rsid w:val="00D73214"/>
    <w:rsid w:val="00D74568"/>
    <w:rsid w:val="00D745D5"/>
    <w:rsid w:val="00D7531E"/>
    <w:rsid w:val="00D76165"/>
    <w:rsid w:val="00D7739E"/>
    <w:rsid w:val="00D776A2"/>
    <w:rsid w:val="00D77799"/>
    <w:rsid w:val="00D8039E"/>
    <w:rsid w:val="00D806BE"/>
    <w:rsid w:val="00D811B4"/>
    <w:rsid w:val="00D81803"/>
    <w:rsid w:val="00D81917"/>
    <w:rsid w:val="00D81EA5"/>
    <w:rsid w:val="00D828C2"/>
    <w:rsid w:val="00D828DA"/>
    <w:rsid w:val="00D83006"/>
    <w:rsid w:val="00D831A3"/>
    <w:rsid w:val="00D83806"/>
    <w:rsid w:val="00D83E07"/>
    <w:rsid w:val="00D845DF"/>
    <w:rsid w:val="00D85F43"/>
    <w:rsid w:val="00D868D1"/>
    <w:rsid w:val="00D86B5E"/>
    <w:rsid w:val="00D87A09"/>
    <w:rsid w:val="00D87DA5"/>
    <w:rsid w:val="00D87F00"/>
    <w:rsid w:val="00D9053E"/>
    <w:rsid w:val="00D908CE"/>
    <w:rsid w:val="00D916A5"/>
    <w:rsid w:val="00D91BA1"/>
    <w:rsid w:val="00D9262A"/>
    <w:rsid w:val="00D92F40"/>
    <w:rsid w:val="00D93126"/>
    <w:rsid w:val="00D93152"/>
    <w:rsid w:val="00D93A8C"/>
    <w:rsid w:val="00D93AFF"/>
    <w:rsid w:val="00D93FAD"/>
    <w:rsid w:val="00D955F0"/>
    <w:rsid w:val="00D958EB"/>
    <w:rsid w:val="00D9592C"/>
    <w:rsid w:val="00D95990"/>
    <w:rsid w:val="00D96B2B"/>
    <w:rsid w:val="00D9754C"/>
    <w:rsid w:val="00D97911"/>
    <w:rsid w:val="00D97C28"/>
    <w:rsid w:val="00D97DA3"/>
    <w:rsid w:val="00DA0510"/>
    <w:rsid w:val="00DA0636"/>
    <w:rsid w:val="00DA1013"/>
    <w:rsid w:val="00DA15D9"/>
    <w:rsid w:val="00DA1624"/>
    <w:rsid w:val="00DA1650"/>
    <w:rsid w:val="00DA1B7A"/>
    <w:rsid w:val="00DA2615"/>
    <w:rsid w:val="00DA2BBF"/>
    <w:rsid w:val="00DA2BFA"/>
    <w:rsid w:val="00DA3A1A"/>
    <w:rsid w:val="00DA456D"/>
    <w:rsid w:val="00DA5869"/>
    <w:rsid w:val="00DA5DED"/>
    <w:rsid w:val="00DA5FA6"/>
    <w:rsid w:val="00DA6C6D"/>
    <w:rsid w:val="00DA7B3C"/>
    <w:rsid w:val="00DB0C70"/>
    <w:rsid w:val="00DB16D2"/>
    <w:rsid w:val="00DB1780"/>
    <w:rsid w:val="00DB1B37"/>
    <w:rsid w:val="00DB1C1F"/>
    <w:rsid w:val="00DB2C62"/>
    <w:rsid w:val="00DB3095"/>
    <w:rsid w:val="00DB3344"/>
    <w:rsid w:val="00DB3427"/>
    <w:rsid w:val="00DB3962"/>
    <w:rsid w:val="00DB39E8"/>
    <w:rsid w:val="00DB4464"/>
    <w:rsid w:val="00DB457F"/>
    <w:rsid w:val="00DB4887"/>
    <w:rsid w:val="00DB5942"/>
    <w:rsid w:val="00DB5993"/>
    <w:rsid w:val="00DB6174"/>
    <w:rsid w:val="00DB64E1"/>
    <w:rsid w:val="00DB6A45"/>
    <w:rsid w:val="00DB6F80"/>
    <w:rsid w:val="00DB7796"/>
    <w:rsid w:val="00DB7D37"/>
    <w:rsid w:val="00DC06B7"/>
    <w:rsid w:val="00DC0B30"/>
    <w:rsid w:val="00DC1403"/>
    <w:rsid w:val="00DC2690"/>
    <w:rsid w:val="00DC2C82"/>
    <w:rsid w:val="00DC3487"/>
    <w:rsid w:val="00DC3BF1"/>
    <w:rsid w:val="00DC3CC8"/>
    <w:rsid w:val="00DC4B6A"/>
    <w:rsid w:val="00DC5A45"/>
    <w:rsid w:val="00DC615E"/>
    <w:rsid w:val="00DC64FF"/>
    <w:rsid w:val="00DC71CB"/>
    <w:rsid w:val="00DC77C8"/>
    <w:rsid w:val="00DD06BB"/>
    <w:rsid w:val="00DD0AD8"/>
    <w:rsid w:val="00DD1664"/>
    <w:rsid w:val="00DD1B62"/>
    <w:rsid w:val="00DD1F69"/>
    <w:rsid w:val="00DD2B0A"/>
    <w:rsid w:val="00DD2DB5"/>
    <w:rsid w:val="00DD4638"/>
    <w:rsid w:val="00DD7363"/>
    <w:rsid w:val="00DE036A"/>
    <w:rsid w:val="00DE063D"/>
    <w:rsid w:val="00DE0D6B"/>
    <w:rsid w:val="00DE116C"/>
    <w:rsid w:val="00DE1292"/>
    <w:rsid w:val="00DE141E"/>
    <w:rsid w:val="00DE21A3"/>
    <w:rsid w:val="00DE27EA"/>
    <w:rsid w:val="00DE2891"/>
    <w:rsid w:val="00DE30AA"/>
    <w:rsid w:val="00DE3171"/>
    <w:rsid w:val="00DE3B13"/>
    <w:rsid w:val="00DE446B"/>
    <w:rsid w:val="00DE4C92"/>
    <w:rsid w:val="00DE55AC"/>
    <w:rsid w:val="00DE63C1"/>
    <w:rsid w:val="00DE649A"/>
    <w:rsid w:val="00DE6EE4"/>
    <w:rsid w:val="00DE77FF"/>
    <w:rsid w:val="00DF020D"/>
    <w:rsid w:val="00DF0A03"/>
    <w:rsid w:val="00DF0AB9"/>
    <w:rsid w:val="00DF0D12"/>
    <w:rsid w:val="00DF1900"/>
    <w:rsid w:val="00DF1FBE"/>
    <w:rsid w:val="00DF20AB"/>
    <w:rsid w:val="00DF29C1"/>
    <w:rsid w:val="00DF2C36"/>
    <w:rsid w:val="00DF3F80"/>
    <w:rsid w:val="00DF4020"/>
    <w:rsid w:val="00DF6452"/>
    <w:rsid w:val="00DF697A"/>
    <w:rsid w:val="00DF6BC7"/>
    <w:rsid w:val="00DF7894"/>
    <w:rsid w:val="00DF78D2"/>
    <w:rsid w:val="00DF7AC1"/>
    <w:rsid w:val="00E009B4"/>
    <w:rsid w:val="00E00DD8"/>
    <w:rsid w:val="00E01DE7"/>
    <w:rsid w:val="00E01E34"/>
    <w:rsid w:val="00E03669"/>
    <w:rsid w:val="00E04D77"/>
    <w:rsid w:val="00E04DB7"/>
    <w:rsid w:val="00E04E2C"/>
    <w:rsid w:val="00E06A61"/>
    <w:rsid w:val="00E076E9"/>
    <w:rsid w:val="00E10570"/>
    <w:rsid w:val="00E1095C"/>
    <w:rsid w:val="00E1111B"/>
    <w:rsid w:val="00E138E1"/>
    <w:rsid w:val="00E13B73"/>
    <w:rsid w:val="00E13EF8"/>
    <w:rsid w:val="00E1498C"/>
    <w:rsid w:val="00E153BA"/>
    <w:rsid w:val="00E15A75"/>
    <w:rsid w:val="00E15C20"/>
    <w:rsid w:val="00E15E88"/>
    <w:rsid w:val="00E16243"/>
    <w:rsid w:val="00E1624B"/>
    <w:rsid w:val="00E16C93"/>
    <w:rsid w:val="00E16CF3"/>
    <w:rsid w:val="00E16F1D"/>
    <w:rsid w:val="00E172B4"/>
    <w:rsid w:val="00E175DE"/>
    <w:rsid w:val="00E17DF1"/>
    <w:rsid w:val="00E20122"/>
    <w:rsid w:val="00E20525"/>
    <w:rsid w:val="00E206FC"/>
    <w:rsid w:val="00E20A76"/>
    <w:rsid w:val="00E214D8"/>
    <w:rsid w:val="00E21C50"/>
    <w:rsid w:val="00E21CEF"/>
    <w:rsid w:val="00E22192"/>
    <w:rsid w:val="00E22925"/>
    <w:rsid w:val="00E22C55"/>
    <w:rsid w:val="00E23557"/>
    <w:rsid w:val="00E237E6"/>
    <w:rsid w:val="00E24F46"/>
    <w:rsid w:val="00E27831"/>
    <w:rsid w:val="00E300D5"/>
    <w:rsid w:val="00E30689"/>
    <w:rsid w:val="00E30A8D"/>
    <w:rsid w:val="00E30C66"/>
    <w:rsid w:val="00E31B2B"/>
    <w:rsid w:val="00E31EF3"/>
    <w:rsid w:val="00E328EA"/>
    <w:rsid w:val="00E32A5B"/>
    <w:rsid w:val="00E32B59"/>
    <w:rsid w:val="00E32B68"/>
    <w:rsid w:val="00E33D61"/>
    <w:rsid w:val="00E33F2E"/>
    <w:rsid w:val="00E3427D"/>
    <w:rsid w:val="00E344C0"/>
    <w:rsid w:val="00E34C96"/>
    <w:rsid w:val="00E34D7C"/>
    <w:rsid w:val="00E35317"/>
    <w:rsid w:val="00E35E61"/>
    <w:rsid w:val="00E36875"/>
    <w:rsid w:val="00E36AAC"/>
    <w:rsid w:val="00E37FD8"/>
    <w:rsid w:val="00E4048F"/>
    <w:rsid w:val="00E40F7E"/>
    <w:rsid w:val="00E41173"/>
    <w:rsid w:val="00E415A1"/>
    <w:rsid w:val="00E437DC"/>
    <w:rsid w:val="00E43E12"/>
    <w:rsid w:val="00E44E7B"/>
    <w:rsid w:val="00E459CC"/>
    <w:rsid w:val="00E4628C"/>
    <w:rsid w:val="00E46AC8"/>
    <w:rsid w:val="00E471B7"/>
    <w:rsid w:val="00E47264"/>
    <w:rsid w:val="00E50F28"/>
    <w:rsid w:val="00E51AE9"/>
    <w:rsid w:val="00E51B92"/>
    <w:rsid w:val="00E52B48"/>
    <w:rsid w:val="00E52BFF"/>
    <w:rsid w:val="00E53954"/>
    <w:rsid w:val="00E54400"/>
    <w:rsid w:val="00E55CDB"/>
    <w:rsid w:val="00E574BE"/>
    <w:rsid w:val="00E6045F"/>
    <w:rsid w:val="00E6086D"/>
    <w:rsid w:val="00E6155A"/>
    <w:rsid w:val="00E617B3"/>
    <w:rsid w:val="00E61D12"/>
    <w:rsid w:val="00E626BB"/>
    <w:rsid w:val="00E6309B"/>
    <w:rsid w:val="00E63C66"/>
    <w:rsid w:val="00E6552F"/>
    <w:rsid w:val="00E65C9C"/>
    <w:rsid w:val="00E65F40"/>
    <w:rsid w:val="00E67975"/>
    <w:rsid w:val="00E71C34"/>
    <w:rsid w:val="00E71D0A"/>
    <w:rsid w:val="00E72021"/>
    <w:rsid w:val="00E72DE7"/>
    <w:rsid w:val="00E730A5"/>
    <w:rsid w:val="00E739B1"/>
    <w:rsid w:val="00E748FD"/>
    <w:rsid w:val="00E74A55"/>
    <w:rsid w:val="00E7663C"/>
    <w:rsid w:val="00E77095"/>
    <w:rsid w:val="00E77CD2"/>
    <w:rsid w:val="00E803B4"/>
    <w:rsid w:val="00E80487"/>
    <w:rsid w:val="00E804D8"/>
    <w:rsid w:val="00E809B6"/>
    <w:rsid w:val="00E80BA1"/>
    <w:rsid w:val="00E81A54"/>
    <w:rsid w:val="00E8279C"/>
    <w:rsid w:val="00E82D63"/>
    <w:rsid w:val="00E83FD5"/>
    <w:rsid w:val="00E84330"/>
    <w:rsid w:val="00E843C4"/>
    <w:rsid w:val="00E84696"/>
    <w:rsid w:val="00E859B9"/>
    <w:rsid w:val="00E85D81"/>
    <w:rsid w:val="00E85DAC"/>
    <w:rsid w:val="00E861C3"/>
    <w:rsid w:val="00E862F1"/>
    <w:rsid w:val="00E8646A"/>
    <w:rsid w:val="00E86679"/>
    <w:rsid w:val="00E868F2"/>
    <w:rsid w:val="00E90642"/>
    <w:rsid w:val="00E90F52"/>
    <w:rsid w:val="00E915F9"/>
    <w:rsid w:val="00E917EA"/>
    <w:rsid w:val="00E921D5"/>
    <w:rsid w:val="00E92842"/>
    <w:rsid w:val="00E93435"/>
    <w:rsid w:val="00E9379D"/>
    <w:rsid w:val="00E946F7"/>
    <w:rsid w:val="00E94B89"/>
    <w:rsid w:val="00E94EFF"/>
    <w:rsid w:val="00E95273"/>
    <w:rsid w:val="00E95304"/>
    <w:rsid w:val="00E95844"/>
    <w:rsid w:val="00E95B65"/>
    <w:rsid w:val="00E96331"/>
    <w:rsid w:val="00E96409"/>
    <w:rsid w:val="00E9681B"/>
    <w:rsid w:val="00E96E23"/>
    <w:rsid w:val="00E97AE0"/>
    <w:rsid w:val="00EA0051"/>
    <w:rsid w:val="00EA0BD3"/>
    <w:rsid w:val="00EA1EAD"/>
    <w:rsid w:val="00EA2FEF"/>
    <w:rsid w:val="00EA32FE"/>
    <w:rsid w:val="00EA3342"/>
    <w:rsid w:val="00EA44A3"/>
    <w:rsid w:val="00EA46F9"/>
    <w:rsid w:val="00EA4783"/>
    <w:rsid w:val="00EA4AB8"/>
    <w:rsid w:val="00EA4EE9"/>
    <w:rsid w:val="00EA4F0F"/>
    <w:rsid w:val="00EA544C"/>
    <w:rsid w:val="00EA5E6C"/>
    <w:rsid w:val="00EA64E6"/>
    <w:rsid w:val="00EA675E"/>
    <w:rsid w:val="00EA6DE8"/>
    <w:rsid w:val="00EA746F"/>
    <w:rsid w:val="00EB0B7E"/>
    <w:rsid w:val="00EB16A2"/>
    <w:rsid w:val="00EB2D02"/>
    <w:rsid w:val="00EB2F43"/>
    <w:rsid w:val="00EB3033"/>
    <w:rsid w:val="00EB3164"/>
    <w:rsid w:val="00EB323B"/>
    <w:rsid w:val="00EB3436"/>
    <w:rsid w:val="00EB349B"/>
    <w:rsid w:val="00EB4230"/>
    <w:rsid w:val="00EB5E12"/>
    <w:rsid w:val="00EB77B8"/>
    <w:rsid w:val="00EB7B8C"/>
    <w:rsid w:val="00EB7C31"/>
    <w:rsid w:val="00EB7CDA"/>
    <w:rsid w:val="00EB7FA5"/>
    <w:rsid w:val="00EC0081"/>
    <w:rsid w:val="00EC2087"/>
    <w:rsid w:val="00EC22E3"/>
    <w:rsid w:val="00EC378A"/>
    <w:rsid w:val="00EC3D7F"/>
    <w:rsid w:val="00EC40EC"/>
    <w:rsid w:val="00EC4B84"/>
    <w:rsid w:val="00EC4D98"/>
    <w:rsid w:val="00EC4DE0"/>
    <w:rsid w:val="00EC56DC"/>
    <w:rsid w:val="00EC6450"/>
    <w:rsid w:val="00EC65EC"/>
    <w:rsid w:val="00EC6B5D"/>
    <w:rsid w:val="00EC6CDC"/>
    <w:rsid w:val="00EC6DE4"/>
    <w:rsid w:val="00EC744B"/>
    <w:rsid w:val="00ED2896"/>
    <w:rsid w:val="00ED2B93"/>
    <w:rsid w:val="00ED2FEF"/>
    <w:rsid w:val="00ED55C7"/>
    <w:rsid w:val="00ED5E2F"/>
    <w:rsid w:val="00ED6E88"/>
    <w:rsid w:val="00ED7C57"/>
    <w:rsid w:val="00EE00E1"/>
    <w:rsid w:val="00EE038E"/>
    <w:rsid w:val="00EE12B0"/>
    <w:rsid w:val="00EE195B"/>
    <w:rsid w:val="00EE1FDD"/>
    <w:rsid w:val="00EE2B88"/>
    <w:rsid w:val="00EE30A3"/>
    <w:rsid w:val="00EE4183"/>
    <w:rsid w:val="00EE4625"/>
    <w:rsid w:val="00EE490F"/>
    <w:rsid w:val="00EE4F4D"/>
    <w:rsid w:val="00EE5055"/>
    <w:rsid w:val="00EE581F"/>
    <w:rsid w:val="00EE5BFC"/>
    <w:rsid w:val="00EE7078"/>
    <w:rsid w:val="00EF00F1"/>
    <w:rsid w:val="00EF0103"/>
    <w:rsid w:val="00EF0257"/>
    <w:rsid w:val="00EF030F"/>
    <w:rsid w:val="00EF0C3A"/>
    <w:rsid w:val="00EF1261"/>
    <w:rsid w:val="00EF1A05"/>
    <w:rsid w:val="00EF1EEF"/>
    <w:rsid w:val="00EF27B0"/>
    <w:rsid w:val="00EF2E02"/>
    <w:rsid w:val="00EF4C26"/>
    <w:rsid w:val="00EF5932"/>
    <w:rsid w:val="00EF5EF4"/>
    <w:rsid w:val="00EF6DBA"/>
    <w:rsid w:val="00EF72E2"/>
    <w:rsid w:val="00F007FE"/>
    <w:rsid w:val="00F015C9"/>
    <w:rsid w:val="00F022C6"/>
    <w:rsid w:val="00F02461"/>
    <w:rsid w:val="00F03197"/>
    <w:rsid w:val="00F03E56"/>
    <w:rsid w:val="00F0452E"/>
    <w:rsid w:val="00F05A88"/>
    <w:rsid w:val="00F06641"/>
    <w:rsid w:val="00F069B2"/>
    <w:rsid w:val="00F0795C"/>
    <w:rsid w:val="00F07BE7"/>
    <w:rsid w:val="00F07CF4"/>
    <w:rsid w:val="00F11D34"/>
    <w:rsid w:val="00F11D9A"/>
    <w:rsid w:val="00F1245F"/>
    <w:rsid w:val="00F12D77"/>
    <w:rsid w:val="00F13F89"/>
    <w:rsid w:val="00F140FA"/>
    <w:rsid w:val="00F14440"/>
    <w:rsid w:val="00F14DB7"/>
    <w:rsid w:val="00F15A6A"/>
    <w:rsid w:val="00F15DC5"/>
    <w:rsid w:val="00F16589"/>
    <w:rsid w:val="00F16792"/>
    <w:rsid w:val="00F1798C"/>
    <w:rsid w:val="00F17A6B"/>
    <w:rsid w:val="00F17AF1"/>
    <w:rsid w:val="00F20B90"/>
    <w:rsid w:val="00F20DB8"/>
    <w:rsid w:val="00F220E9"/>
    <w:rsid w:val="00F22D5B"/>
    <w:rsid w:val="00F23035"/>
    <w:rsid w:val="00F2366A"/>
    <w:rsid w:val="00F24A2A"/>
    <w:rsid w:val="00F257D8"/>
    <w:rsid w:val="00F25A33"/>
    <w:rsid w:val="00F2700C"/>
    <w:rsid w:val="00F27074"/>
    <w:rsid w:val="00F274A0"/>
    <w:rsid w:val="00F275B8"/>
    <w:rsid w:val="00F278B1"/>
    <w:rsid w:val="00F30342"/>
    <w:rsid w:val="00F303AD"/>
    <w:rsid w:val="00F30463"/>
    <w:rsid w:val="00F30479"/>
    <w:rsid w:val="00F307ED"/>
    <w:rsid w:val="00F318C0"/>
    <w:rsid w:val="00F31937"/>
    <w:rsid w:val="00F31B28"/>
    <w:rsid w:val="00F32BD7"/>
    <w:rsid w:val="00F32F55"/>
    <w:rsid w:val="00F332A6"/>
    <w:rsid w:val="00F33E4E"/>
    <w:rsid w:val="00F3487D"/>
    <w:rsid w:val="00F349B9"/>
    <w:rsid w:val="00F34DFF"/>
    <w:rsid w:val="00F36BAA"/>
    <w:rsid w:val="00F37E94"/>
    <w:rsid w:val="00F40202"/>
    <w:rsid w:val="00F4053C"/>
    <w:rsid w:val="00F408FD"/>
    <w:rsid w:val="00F40AC0"/>
    <w:rsid w:val="00F40EC6"/>
    <w:rsid w:val="00F40F75"/>
    <w:rsid w:val="00F41787"/>
    <w:rsid w:val="00F417FC"/>
    <w:rsid w:val="00F417FD"/>
    <w:rsid w:val="00F41ECB"/>
    <w:rsid w:val="00F41F1C"/>
    <w:rsid w:val="00F428E9"/>
    <w:rsid w:val="00F42BDE"/>
    <w:rsid w:val="00F42F49"/>
    <w:rsid w:val="00F4370B"/>
    <w:rsid w:val="00F440E4"/>
    <w:rsid w:val="00F4512F"/>
    <w:rsid w:val="00F45145"/>
    <w:rsid w:val="00F45E56"/>
    <w:rsid w:val="00F46080"/>
    <w:rsid w:val="00F472C5"/>
    <w:rsid w:val="00F473A0"/>
    <w:rsid w:val="00F5006C"/>
    <w:rsid w:val="00F502F6"/>
    <w:rsid w:val="00F50655"/>
    <w:rsid w:val="00F518A4"/>
    <w:rsid w:val="00F5232F"/>
    <w:rsid w:val="00F52619"/>
    <w:rsid w:val="00F5282E"/>
    <w:rsid w:val="00F52B5B"/>
    <w:rsid w:val="00F53240"/>
    <w:rsid w:val="00F543CB"/>
    <w:rsid w:val="00F54A18"/>
    <w:rsid w:val="00F54D45"/>
    <w:rsid w:val="00F559E7"/>
    <w:rsid w:val="00F56434"/>
    <w:rsid w:val="00F6021A"/>
    <w:rsid w:val="00F60661"/>
    <w:rsid w:val="00F61973"/>
    <w:rsid w:val="00F62AFE"/>
    <w:rsid w:val="00F6376C"/>
    <w:rsid w:val="00F64D36"/>
    <w:rsid w:val="00F6616B"/>
    <w:rsid w:val="00F665FA"/>
    <w:rsid w:val="00F66820"/>
    <w:rsid w:val="00F66A2A"/>
    <w:rsid w:val="00F66A60"/>
    <w:rsid w:val="00F70412"/>
    <w:rsid w:val="00F72359"/>
    <w:rsid w:val="00F723F9"/>
    <w:rsid w:val="00F731D3"/>
    <w:rsid w:val="00F7442E"/>
    <w:rsid w:val="00F7453C"/>
    <w:rsid w:val="00F75129"/>
    <w:rsid w:val="00F753E8"/>
    <w:rsid w:val="00F75AC2"/>
    <w:rsid w:val="00F7632D"/>
    <w:rsid w:val="00F76BC6"/>
    <w:rsid w:val="00F76BFF"/>
    <w:rsid w:val="00F76FD7"/>
    <w:rsid w:val="00F770F7"/>
    <w:rsid w:val="00F8023D"/>
    <w:rsid w:val="00F817E6"/>
    <w:rsid w:val="00F81FBC"/>
    <w:rsid w:val="00F82429"/>
    <w:rsid w:val="00F825DF"/>
    <w:rsid w:val="00F8342E"/>
    <w:rsid w:val="00F83F1A"/>
    <w:rsid w:val="00F842CE"/>
    <w:rsid w:val="00F84FDD"/>
    <w:rsid w:val="00F85213"/>
    <w:rsid w:val="00F85789"/>
    <w:rsid w:val="00F85F6E"/>
    <w:rsid w:val="00F8643E"/>
    <w:rsid w:val="00F86B0B"/>
    <w:rsid w:val="00F86E1C"/>
    <w:rsid w:val="00F87613"/>
    <w:rsid w:val="00F908A5"/>
    <w:rsid w:val="00F91120"/>
    <w:rsid w:val="00F91DE3"/>
    <w:rsid w:val="00F9317C"/>
    <w:rsid w:val="00F93203"/>
    <w:rsid w:val="00F933FD"/>
    <w:rsid w:val="00F938FC"/>
    <w:rsid w:val="00F93A2A"/>
    <w:rsid w:val="00F943DB"/>
    <w:rsid w:val="00F970C8"/>
    <w:rsid w:val="00F973F5"/>
    <w:rsid w:val="00F9760B"/>
    <w:rsid w:val="00F978C8"/>
    <w:rsid w:val="00F97EEC"/>
    <w:rsid w:val="00FA0AF5"/>
    <w:rsid w:val="00FA1BA0"/>
    <w:rsid w:val="00FA1C5E"/>
    <w:rsid w:val="00FA24BE"/>
    <w:rsid w:val="00FA2C4F"/>
    <w:rsid w:val="00FA3D02"/>
    <w:rsid w:val="00FA3EAD"/>
    <w:rsid w:val="00FA4723"/>
    <w:rsid w:val="00FA495A"/>
    <w:rsid w:val="00FA56CE"/>
    <w:rsid w:val="00FA5AE0"/>
    <w:rsid w:val="00FA72BC"/>
    <w:rsid w:val="00FA7CBA"/>
    <w:rsid w:val="00FA7E33"/>
    <w:rsid w:val="00FB00D4"/>
    <w:rsid w:val="00FB066A"/>
    <w:rsid w:val="00FB1C91"/>
    <w:rsid w:val="00FB22BF"/>
    <w:rsid w:val="00FB24AD"/>
    <w:rsid w:val="00FB2837"/>
    <w:rsid w:val="00FB3C69"/>
    <w:rsid w:val="00FB3D22"/>
    <w:rsid w:val="00FB4737"/>
    <w:rsid w:val="00FB4B22"/>
    <w:rsid w:val="00FB534F"/>
    <w:rsid w:val="00FB5674"/>
    <w:rsid w:val="00FB5C79"/>
    <w:rsid w:val="00FB6B08"/>
    <w:rsid w:val="00FB708E"/>
    <w:rsid w:val="00FB755F"/>
    <w:rsid w:val="00FC003B"/>
    <w:rsid w:val="00FC0EED"/>
    <w:rsid w:val="00FC0FC0"/>
    <w:rsid w:val="00FC1731"/>
    <w:rsid w:val="00FC1E66"/>
    <w:rsid w:val="00FC2E1F"/>
    <w:rsid w:val="00FC3597"/>
    <w:rsid w:val="00FC36E2"/>
    <w:rsid w:val="00FC3864"/>
    <w:rsid w:val="00FC439C"/>
    <w:rsid w:val="00FC4BAC"/>
    <w:rsid w:val="00FC55AC"/>
    <w:rsid w:val="00FC6192"/>
    <w:rsid w:val="00FC6385"/>
    <w:rsid w:val="00FC69DD"/>
    <w:rsid w:val="00FC69F4"/>
    <w:rsid w:val="00FC6D59"/>
    <w:rsid w:val="00FC74A0"/>
    <w:rsid w:val="00FD00DF"/>
    <w:rsid w:val="00FD068A"/>
    <w:rsid w:val="00FD2599"/>
    <w:rsid w:val="00FD277A"/>
    <w:rsid w:val="00FD2ACF"/>
    <w:rsid w:val="00FD2C3E"/>
    <w:rsid w:val="00FD3C7F"/>
    <w:rsid w:val="00FD4190"/>
    <w:rsid w:val="00FD46F6"/>
    <w:rsid w:val="00FD4F90"/>
    <w:rsid w:val="00FD58A8"/>
    <w:rsid w:val="00FD5B22"/>
    <w:rsid w:val="00FD6354"/>
    <w:rsid w:val="00FD6ED7"/>
    <w:rsid w:val="00FD75EF"/>
    <w:rsid w:val="00FD7CEE"/>
    <w:rsid w:val="00FE0053"/>
    <w:rsid w:val="00FE0E52"/>
    <w:rsid w:val="00FE15EE"/>
    <w:rsid w:val="00FE1674"/>
    <w:rsid w:val="00FE24AF"/>
    <w:rsid w:val="00FE282F"/>
    <w:rsid w:val="00FE29F0"/>
    <w:rsid w:val="00FE3B7C"/>
    <w:rsid w:val="00FE3FCA"/>
    <w:rsid w:val="00FE411F"/>
    <w:rsid w:val="00FE4A40"/>
    <w:rsid w:val="00FE4C45"/>
    <w:rsid w:val="00FE64CE"/>
    <w:rsid w:val="00FE675E"/>
    <w:rsid w:val="00FF1BFA"/>
    <w:rsid w:val="00FF24BE"/>
    <w:rsid w:val="00FF2983"/>
    <w:rsid w:val="00FF2B00"/>
    <w:rsid w:val="00FF3F14"/>
    <w:rsid w:val="00FF43B8"/>
    <w:rsid w:val="00FF5934"/>
    <w:rsid w:val="00FF5BF6"/>
    <w:rsid w:val="00FF6B88"/>
    <w:rsid w:val="0175074C"/>
    <w:rsid w:val="018B59F2"/>
    <w:rsid w:val="01F93070"/>
    <w:rsid w:val="02B23BF0"/>
    <w:rsid w:val="030D73F6"/>
    <w:rsid w:val="03613F6E"/>
    <w:rsid w:val="03A53D35"/>
    <w:rsid w:val="03BE6A0A"/>
    <w:rsid w:val="03DB1D77"/>
    <w:rsid w:val="03F47F9D"/>
    <w:rsid w:val="03FB560E"/>
    <w:rsid w:val="03FD5A69"/>
    <w:rsid w:val="040704F6"/>
    <w:rsid w:val="0410590B"/>
    <w:rsid w:val="048B69EC"/>
    <w:rsid w:val="04D264C5"/>
    <w:rsid w:val="04F77269"/>
    <w:rsid w:val="057077E2"/>
    <w:rsid w:val="058A3ABF"/>
    <w:rsid w:val="05DB0C45"/>
    <w:rsid w:val="05FE74DE"/>
    <w:rsid w:val="060179BB"/>
    <w:rsid w:val="06AA4DF0"/>
    <w:rsid w:val="0711665A"/>
    <w:rsid w:val="072A5FD7"/>
    <w:rsid w:val="072C03D9"/>
    <w:rsid w:val="07636503"/>
    <w:rsid w:val="07703B75"/>
    <w:rsid w:val="07AF038B"/>
    <w:rsid w:val="07C6354F"/>
    <w:rsid w:val="07EC3CB3"/>
    <w:rsid w:val="084D699F"/>
    <w:rsid w:val="08A87D7E"/>
    <w:rsid w:val="090C7CA2"/>
    <w:rsid w:val="091A3311"/>
    <w:rsid w:val="091F7EF7"/>
    <w:rsid w:val="092267D4"/>
    <w:rsid w:val="092F42D3"/>
    <w:rsid w:val="093878C6"/>
    <w:rsid w:val="0984174F"/>
    <w:rsid w:val="09905CB6"/>
    <w:rsid w:val="09B02DA9"/>
    <w:rsid w:val="09B9453C"/>
    <w:rsid w:val="09B95DF0"/>
    <w:rsid w:val="09FF024C"/>
    <w:rsid w:val="0A0C7557"/>
    <w:rsid w:val="0AAE76E5"/>
    <w:rsid w:val="0AC12AF4"/>
    <w:rsid w:val="0ADD1324"/>
    <w:rsid w:val="0B0B3456"/>
    <w:rsid w:val="0B362A09"/>
    <w:rsid w:val="0BF32080"/>
    <w:rsid w:val="0C2853D6"/>
    <w:rsid w:val="0C75776E"/>
    <w:rsid w:val="0CA04799"/>
    <w:rsid w:val="0CCB64E8"/>
    <w:rsid w:val="0D0B3535"/>
    <w:rsid w:val="0D166106"/>
    <w:rsid w:val="0DBE40BE"/>
    <w:rsid w:val="0E393E46"/>
    <w:rsid w:val="0E6C6B63"/>
    <w:rsid w:val="0E7345CD"/>
    <w:rsid w:val="0E9D0914"/>
    <w:rsid w:val="0ED23314"/>
    <w:rsid w:val="0F385485"/>
    <w:rsid w:val="0F3E21DB"/>
    <w:rsid w:val="0F565AFE"/>
    <w:rsid w:val="0F893FD1"/>
    <w:rsid w:val="0FB222BF"/>
    <w:rsid w:val="103F2267"/>
    <w:rsid w:val="104C4C88"/>
    <w:rsid w:val="10732BDD"/>
    <w:rsid w:val="10B66CAC"/>
    <w:rsid w:val="11027636"/>
    <w:rsid w:val="11892376"/>
    <w:rsid w:val="11905E48"/>
    <w:rsid w:val="11EE5A02"/>
    <w:rsid w:val="122B7B15"/>
    <w:rsid w:val="12755282"/>
    <w:rsid w:val="128820ED"/>
    <w:rsid w:val="129F3DBA"/>
    <w:rsid w:val="12D11673"/>
    <w:rsid w:val="1365755E"/>
    <w:rsid w:val="13947F6E"/>
    <w:rsid w:val="14367C18"/>
    <w:rsid w:val="147A223D"/>
    <w:rsid w:val="14A63951"/>
    <w:rsid w:val="14F258F8"/>
    <w:rsid w:val="15212309"/>
    <w:rsid w:val="154B641E"/>
    <w:rsid w:val="158E635F"/>
    <w:rsid w:val="15A2384F"/>
    <w:rsid w:val="15AC3F70"/>
    <w:rsid w:val="15AC5FC9"/>
    <w:rsid w:val="15CD7C26"/>
    <w:rsid w:val="15D3352D"/>
    <w:rsid w:val="1619776B"/>
    <w:rsid w:val="16416D6C"/>
    <w:rsid w:val="16830F6C"/>
    <w:rsid w:val="16AF1936"/>
    <w:rsid w:val="16B65368"/>
    <w:rsid w:val="16D25092"/>
    <w:rsid w:val="16FB1B68"/>
    <w:rsid w:val="16FE208B"/>
    <w:rsid w:val="17E51333"/>
    <w:rsid w:val="18391243"/>
    <w:rsid w:val="183A1367"/>
    <w:rsid w:val="18562EB4"/>
    <w:rsid w:val="18641CD2"/>
    <w:rsid w:val="18643FBA"/>
    <w:rsid w:val="18935782"/>
    <w:rsid w:val="18946C43"/>
    <w:rsid w:val="18CC705A"/>
    <w:rsid w:val="19160648"/>
    <w:rsid w:val="196840AA"/>
    <w:rsid w:val="19860AD8"/>
    <w:rsid w:val="1A546712"/>
    <w:rsid w:val="1ABE086E"/>
    <w:rsid w:val="1ADA1115"/>
    <w:rsid w:val="1AE54571"/>
    <w:rsid w:val="1AEF5B71"/>
    <w:rsid w:val="1B07584A"/>
    <w:rsid w:val="1B097B76"/>
    <w:rsid w:val="1BA5792E"/>
    <w:rsid w:val="1BAA7076"/>
    <w:rsid w:val="1BAA790D"/>
    <w:rsid w:val="1BF9122F"/>
    <w:rsid w:val="1BFE79C8"/>
    <w:rsid w:val="1C290DAF"/>
    <w:rsid w:val="1C316CD1"/>
    <w:rsid w:val="1CBE45EA"/>
    <w:rsid w:val="1CCC31E7"/>
    <w:rsid w:val="1CD02B34"/>
    <w:rsid w:val="1D105323"/>
    <w:rsid w:val="1D16093E"/>
    <w:rsid w:val="1D272406"/>
    <w:rsid w:val="1D5C5D65"/>
    <w:rsid w:val="1D8E166E"/>
    <w:rsid w:val="1D8E500D"/>
    <w:rsid w:val="1DFE501A"/>
    <w:rsid w:val="1E3A1D47"/>
    <w:rsid w:val="1E514AE7"/>
    <w:rsid w:val="1E5F0F0E"/>
    <w:rsid w:val="1E6F1416"/>
    <w:rsid w:val="1EC60EBB"/>
    <w:rsid w:val="1ED1088E"/>
    <w:rsid w:val="1EF71FC7"/>
    <w:rsid w:val="1F20012E"/>
    <w:rsid w:val="1F2654D9"/>
    <w:rsid w:val="1FA3348D"/>
    <w:rsid w:val="2006383B"/>
    <w:rsid w:val="20574885"/>
    <w:rsid w:val="20B163AF"/>
    <w:rsid w:val="20BC64D0"/>
    <w:rsid w:val="20D86647"/>
    <w:rsid w:val="20DA535B"/>
    <w:rsid w:val="210B3081"/>
    <w:rsid w:val="21507BEC"/>
    <w:rsid w:val="217C1D3A"/>
    <w:rsid w:val="219E3563"/>
    <w:rsid w:val="21CA18A1"/>
    <w:rsid w:val="21E04235"/>
    <w:rsid w:val="21E27FA5"/>
    <w:rsid w:val="2209080D"/>
    <w:rsid w:val="22521ABD"/>
    <w:rsid w:val="225549DB"/>
    <w:rsid w:val="2260014F"/>
    <w:rsid w:val="2303412F"/>
    <w:rsid w:val="233A75A3"/>
    <w:rsid w:val="23B23F02"/>
    <w:rsid w:val="23D06D16"/>
    <w:rsid w:val="23D82834"/>
    <w:rsid w:val="24125232"/>
    <w:rsid w:val="241A5C02"/>
    <w:rsid w:val="24447747"/>
    <w:rsid w:val="24985327"/>
    <w:rsid w:val="2536631E"/>
    <w:rsid w:val="259D2C89"/>
    <w:rsid w:val="25BF36EC"/>
    <w:rsid w:val="25C3643D"/>
    <w:rsid w:val="25E617D2"/>
    <w:rsid w:val="267049B5"/>
    <w:rsid w:val="26B26303"/>
    <w:rsid w:val="26E62ADA"/>
    <w:rsid w:val="27434948"/>
    <w:rsid w:val="277136CA"/>
    <w:rsid w:val="27DB40FB"/>
    <w:rsid w:val="27F00152"/>
    <w:rsid w:val="27F65F28"/>
    <w:rsid w:val="280A78D8"/>
    <w:rsid w:val="280D12DA"/>
    <w:rsid w:val="281747F8"/>
    <w:rsid w:val="28322EBE"/>
    <w:rsid w:val="284C3A9C"/>
    <w:rsid w:val="28B11D39"/>
    <w:rsid w:val="28C55EB0"/>
    <w:rsid w:val="28F137DE"/>
    <w:rsid w:val="291606A6"/>
    <w:rsid w:val="292518DF"/>
    <w:rsid w:val="292D501F"/>
    <w:rsid w:val="293311E1"/>
    <w:rsid w:val="29595D6E"/>
    <w:rsid w:val="295B17F0"/>
    <w:rsid w:val="29B87ADC"/>
    <w:rsid w:val="29C24778"/>
    <w:rsid w:val="2A331B21"/>
    <w:rsid w:val="2ADC1B19"/>
    <w:rsid w:val="2AEC4DB3"/>
    <w:rsid w:val="2B272DA2"/>
    <w:rsid w:val="2B3E16E1"/>
    <w:rsid w:val="2B6C75A5"/>
    <w:rsid w:val="2B6D5B6F"/>
    <w:rsid w:val="2B913ADF"/>
    <w:rsid w:val="2BAD7516"/>
    <w:rsid w:val="2BC15528"/>
    <w:rsid w:val="2C622E42"/>
    <w:rsid w:val="2C8E692A"/>
    <w:rsid w:val="2CE778BC"/>
    <w:rsid w:val="2D1375E1"/>
    <w:rsid w:val="2D2E71C3"/>
    <w:rsid w:val="2D6929B3"/>
    <w:rsid w:val="2D7216C2"/>
    <w:rsid w:val="2D73411D"/>
    <w:rsid w:val="2DC90C29"/>
    <w:rsid w:val="2E1050F2"/>
    <w:rsid w:val="2E4D17A7"/>
    <w:rsid w:val="2E646F28"/>
    <w:rsid w:val="2E6A3A21"/>
    <w:rsid w:val="2E8B4EA1"/>
    <w:rsid w:val="2EB6771B"/>
    <w:rsid w:val="2ED1266A"/>
    <w:rsid w:val="2EE53B0C"/>
    <w:rsid w:val="2F665876"/>
    <w:rsid w:val="2F8503BE"/>
    <w:rsid w:val="2FD55039"/>
    <w:rsid w:val="2FEE4433"/>
    <w:rsid w:val="300F3BF0"/>
    <w:rsid w:val="301E4AF0"/>
    <w:rsid w:val="30647DD2"/>
    <w:rsid w:val="30686C78"/>
    <w:rsid w:val="307D5523"/>
    <w:rsid w:val="30A61DD0"/>
    <w:rsid w:val="30B51C5D"/>
    <w:rsid w:val="30D51FA1"/>
    <w:rsid w:val="31233CFC"/>
    <w:rsid w:val="3132482A"/>
    <w:rsid w:val="31904280"/>
    <w:rsid w:val="31A27745"/>
    <w:rsid w:val="31A96C8B"/>
    <w:rsid w:val="31D14FC6"/>
    <w:rsid w:val="31DF78F6"/>
    <w:rsid w:val="322737A4"/>
    <w:rsid w:val="324D4B21"/>
    <w:rsid w:val="32A27660"/>
    <w:rsid w:val="32B81754"/>
    <w:rsid w:val="32D64AF4"/>
    <w:rsid w:val="32E465F7"/>
    <w:rsid w:val="32FF3CB7"/>
    <w:rsid w:val="333A0DE8"/>
    <w:rsid w:val="333E351E"/>
    <w:rsid w:val="33A97393"/>
    <w:rsid w:val="33E86C74"/>
    <w:rsid w:val="3430627F"/>
    <w:rsid w:val="345651A9"/>
    <w:rsid w:val="346E2C91"/>
    <w:rsid w:val="34796CA0"/>
    <w:rsid w:val="34AE641D"/>
    <w:rsid w:val="34C01C7C"/>
    <w:rsid w:val="34F62C4F"/>
    <w:rsid w:val="352F4C73"/>
    <w:rsid w:val="357A348F"/>
    <w:rsid w:val="35966863"/>
    <w:rsid w:val="35DC1DFE"/>
    <w:rsid w:val="35E9428A"/>
    <w:rsid w:val="362821DA"/>
    <w:rsid w:val="362C07F0"/>
    <w:rsid w:val="367A122A"/>
    <w:rsid w:val="3709143D"/>
    <w:rsid w:val="37483D3C"/>
    <w:rsid w:val="37561818"/>
    <w:rsid w:val="37613DAB"/>
    <w:rsid w:val="379D044D"/>
    <w:rsid w:val="37FE0A7F"/>
    <w:rsid w:val="380C0DC8"/>
    <w:rsid w:val="382B1163"/>
    <w:rsid w:val="38372E10"/>
    <w:rsid w:val="38492223"/>
    <w:rsid w:val="39016F77"/>
    <w:rsid w:val="39172222"/>
    <w:rsid w:val="39AB6F7D"/>
    <w:rsid w:val="39F76D8D"/>
    <w:rsid w:val="3A12288D"/>
    <w:rsid w:val="3A14444D"/>
    <w:rsid w:val="3A3E2CC7"/>
    <w:rsid w:val="3AA0768F"/>
    <w:rsid w:val="3ADC3FF1"/>
    <w:rsid w:val="3AF35F7B"/>
    <w:rsid w:val="3AF708F7"/>
    <w:rsid w:val="3AFE0FA5"/>
    <w:rsid w:val="3B337276"/>
    <w:rsid w:val="3B3E01A6"/>
    <w:rsid w:val="3BA72957"/>
    <w:rsid w:val="3BBD3A15"/>
    <w:rsid w:val="3BD30D6D"/>
    <w:rsid w:val="3C061368"/>
    <w:rsid w:val="3C7A5DEA"/>
    <w:rsid w:val="3CA22468"/>
    <w:rsid w:val="3CC97241"/>
    <w:rsid w:val="3D235587"/>
    <w:rsid w:val="3DC71A0E"/>
    <w:rsid w:val="3E826BF1"/>
    <w:rsid w:val="3E907BE4"/>
    <w:rsid w:val="3ED03698"/>
    <w:rsid w:val="3EF909F9"/>
    <w:rsid w:val="3F2E3B60"/>
    <w:rsid w:val="3F2E63A5"/>
    <w:rsid w:val="3F382161"/>
    <w:rsid w:val="3F4A1C1A"/>
    <w:rsid w:val="3FB8020C"/>
    <w:rsid w:val="3FEC60F0"/>
    <w:rsid w:val="40216147"/>
    <w:rsid w:val="40876C7E"/>
    <w:rsid w:val="40AB4931"/>
    <w:rsid w:val="40C33A0E"/>
    <w:rsid w:val="40F165C4"/>
    <w:rsid w:val="41854400"/>
    <w:rsid w:val="41CE1775"/>
    <w:rsid w:val="41DC2973"/>
    <w:rsid w:val="41F54968"/>
    <w:rsid w:val="4218372E"/>
    <w:rsid w:val="429960CF"/>
    <w:rsid w:val="42BF6069"/>
    <w:rsid w:val="42C3328B"/>
    <w:rsid w:val="42ED7DA1"/>
    <w:rsid w:val="430A282C"/>
    <w:rsid w:val="43F977B6"/>
    <w:rsid w:val="441D78BA"/>
    <w:rsid w:val="446A1D3F"/>
    <w:rsid w:val="44883A2A"/>
    <w:rsid w:val="448C60BC"/>
    <w:rsid w:val="44F96F96"/>
    <w:rsid w:val="45610699"/>
    <w:rsid w:val="45615005"/>
    <w:rsid w:val="4566448E"/>
    <w:rsid w:val="457D0A38"/>
    <w:rsid w:val="45B849DB"/>
    <w:rsid w:val="45B93656"/>
    <w:rsid w:val="45D652AB"/>
    <w:rsid w:val="45EA2A23"/>
    <w:rsid w:val="466B1EC0"/>
    <w:rsid w:val="46BA5B45"/>
    <w:rsid w:val="4743578F"/>
    <w:rsid w:val="474E3DD2"/>
    <w:rsid w:val="475A15BD"/>
    <w:rsid w:val="47826909"/>
    <w:rsid w:val="479F19E4"/>
    <w:rsid w:val="47B02F97"/>
    <w:rsid w:val="47E64025"/>
    <w:rsid w:val="48035910"/>
    <w:rsid w:val="480C0A6D"/>
    <w:rsid w:val="48223E9D"/>
    <w:rsid w:val="485B284F"/>
    <w:rsid w:val="486A6E82"/>
    <w:rsid w:val="48E46708"/>
    <w:rsid w:val="491C65A5"/>
    <w:rsid w:val="4947605E"/>
    <w:rsid w:val="49B86BCA"/>
    <w:rsid w:val="49F14F42"/>
    <w:rsid w:val="4A1930E3"/>
    <w:rsid w:val="4B021410"/>
    <w:rsid w:val="4B7043AF"/>
    <w:rsid w:val="4BC25528"/>
    <w:rsid w:val="4BC512B6"/>
    <w:rsid w:val="4BFC5AEA"/>
    <w:rsid w:val="4C113303"/>
    <w:rsid w:val="4C470E78"/>
    <w:rsid w:val="4C926F27"/>
    <w:rsid w:val="4C951A93"/>
    <w:rsid w:val="4CF6088B"/>
    <w:rsid w:val="4D1B191B"/>
    <w:rsid w:val="4D2A52D3"/>
    <w:rsid w:val="4D95484B"/>
    <w:rsid w:val="4DB10084"/>
    <w:rsid w:val="4E06584E"/>
    <w:rsid w:val="4E0D63A5"/>
    <w:rsid w:val="4E1B2282"/>
    <w:rsid w:val="4E3675D1"/>
    <w:rsid w:val="4E3C77CA"/>
    <w:rsid w:val="4EBE75CB"/>
    <w:rsid w:val="4ED65AA4"/>
    <w:rsid w:val="4EEC7798"/>
    <w:rsid w:val="4EFF5D62"/>
    <w:rsid w:val="4F045EB1"/>
    <w:rsid w:val="4F53202A"/>
    <w:rsid w:val="4F6B417D"/>
    <w:rsid w:val="4F910C6B"/>
    <w:rsid w:val="4FDC1F1A"/>
    <w:rsid w:val="50315306"/>
    <w:rsid w:val="509252E2"/>
    <w:rsid w:val="50C62709"/>
    <w:rsid w:val="5106564D"/>
    <w:rsid w:val="51065CF4"/>
    <w:rsid w:val="513F3944"/>
    <w:rsid w:val="51497315"/>
    <w:rsid w:val="51590E46"/>
    <w:rsid w:val="51702EB6"/>
    <w:rsid w:val="51E92D50"/>
    <w:rsid w:val="52551B2E"/>
    <w:rsid w:val="52DB732F"/>
    <w:rsid w:val="52DD5C33"/>
    <w:rsid w:val="53167C56"/>
    <w:rsid w:val="532B05C5"/>
    <w:rsid w:val="53324D80"/>
    <w:rsid w:val="535613E3"/>
    <w:rsid w:val="5395253A"/>
    <w:rsid w:val="53A924B2"/>
    <w:rsid w:val="53D72BD5"/>
    <w:rsid w:val="53FF75EE"/>
    <w:rsid w:val="542C5E43"/>
    <w:rsid w:val="545A5CBD"/>
    <w:rsid w:val="54DB0C50"/>
    <w:rsid w:val="54DF5836"/>
    <w:rsid w:val="54F348D9"/>
    <w:rsid w:val="54FC2237"/>
    <w:rsid w:val="550415FB"/>
    <w:rsid w:val="551C22E8"/>
    <w:rsid w:val="5556618C"/>
    <w:rsid w:val="558A39A1"/>
    <w:rsid w:val="559662D7"/>
    <w:rsid w:val="559A61A4"/>
    <w:rsid w:val="55C05B28"/>
    <w:rsid w:val="56336211"/>
    <w:rsid w:val="564D71D8"/>
    <w:rsid w:val="56514978"/>
    <w:rsid w:val="567E24B0"/>
    <w:rsid w:val="568A0FC4"/>
    <w:rsid w:val="56B61912"/>
    <w:rsid w:val="56CF0F38"/>
    <w:rsid w:val="56D8447C"/>
    <w:rsid w:val="56DB0379"/>
    <w:rsid w:val="57343B91"/>
    <w:rsid w:val="57565180"/>
    <w:rsid w:val="575D340B"/>
    <w:rsid w:val="581250BF"/>
    <w:rsid w:val="581B3691"/>
    <w:rsid w:val="58406547"/>
    <w:rsid w:val="58621993"/>
    <w:rsid w:val="58896BC7"/>
    <w:rsid w:val="58925746"/>
    <w:rsid w:val="58B815A4"/>
    <w:rsid w:val="58B86005"/>
    <w:rsid w:val="58D45F49"/>
    <w:rsid w:val="58EB35F4"/>
    <w:rsid w:val="58FF2E4A"/>
    <w:rsid w:val="591A3EFA"/>
    <w:rsid w:val="591C7DEF"/>
    <w:rsid w:val="598E18B7"/>
    <w:rsid w:val="59AC5881"/>
    <w:rsid w:val="59C06718"/>
    <w:rsid w:val="59D40326"/>
    <w:rsid w:val="59E13D47"/>
    <w:rsid w:val="5A3B461D"/>
    <w:rsid w:val="5A4870A0"/>
    <w:rsid w:val="5A6C0F38"/>
    <w:rsid w:val="5AA72D93"/>
    <w:rsid w:val="5AD066C8"/>
    <w:rsid w:val="5B174A2C"/>
    <w:rsid w:val="5B2272B7"/>
    <w:rsid w:val="5B875BD0"/>
    <w:rsid w:val="5BA37CDB"/>
    <w:rsid w:val="5BAE2B80"/>
    <w:rsid w:val="5BE726EA"/>
    <w:rsid w:val="5BEC0A1A"/>
    <w:rsid w:val="5BFA2748"/>
    <w:rsid w:val="5C0C7017"/>
    <w:rsid w:val="5C365254"/>
    <w:rsid w:val="5C6144F0"/>
    <w:rsid w:val="5CC54AA7"/>
    <w:rsid w:val="5CC55CFE"/>
    <w:rsid w:val="5CC94F23"/>
    <w:rsid w:val="5CED06A7"/>
    <w:rsid w:val="5D1129BA"/>
    <w:rsid w:val="5D131014"/>
    <w:rsid w:val="5D397B94"/>
    <w:rsid w:val="5D403C93"/>
    <w:rsid w:val="5D8F2A55"/>
    <w:rsid w:val="5D9E335C"/>
    <w:rsid w:val="5DB36443"/>
    <w:rsid w:val="5E1B182B"/>
    <w:rsid w:val="5E9220FA"/>
    <w:rsid w:val="5EDC7FBE"/>
    <w:rsid w:val="5EE04D2A"/>
    <w:rsid w:val="5EF341B1"/>
    <w:rsid w:val="5F1E4498"/>
    <w:rsid w:val="5F207842"/>
    <w:rsid w:val="5F2A6782"/>
    <w:rsid w:val="5F644405"/>
    <w:rsid w:val="5FC55F6C"/>
    <w:rsid w:val="60227F70"/>
    <w:rsid w:val="60267C28"/>
    <w:rsid w:val="60362C06"/>
    <w:rsid w:val="60482D9C"/>
    <w:rsid w:val="60520395"/>
    <w:rsid w:val="608C0394"/>
    <w:rsid w:val="60BB2645"/>
    <w:rsid w:val="612E4F75"/>
    <w:rsid w:val="62AD00F7"/>
    <w:rsid w:val="62DF5AFC"/>
    <w:rsid w:val="62E445FB"/>
    <w:rsid w:val="630C5BCA"/>
    <w:rsid w:val="631C30D0"/>
    <w:rsid w:val="633164AC"/>
    <w:rsid w:val="635D7737"/>
    <w:rsid w:val="635D7B6B"/>
    <w:rsid w:val="63972097"/>
    <w:rsid w:val="640A5B1E"/>
    <w:rsid w:val="644C553B"/>
    <w:rsid w:val="644E7D86"/>
    <w:rsid w:val="647C19B8"/>
    <w:rsid w:val="64A73132"/>
    <w:rsid w:val="64AB4BA2"/>
    <w:rsid w:val="64AE7089"/>
    <w:rsid w:val="65450847"/>
    <w:rsid w:val="657A48C2"/>
    <w:rsid w:val="6590044F"/>
    <w:rsid w:val="65AB5B22"/>
    <w:rsid w:val="65AB5BA8"/>
    <w:rsid w:val="65AE670E"/>
    <w:rsid w:val="667D4688"/>
    <w:rsid w:val="66B35671"/>
    <w:rsid w:val="66E936AC"/>
    <w:rsid w:val="670761DB"/>
    <w:rsid w:val="670E41CB"/>
    <w:rsid w:val="674D39D1"/>
    <w:rsid w:val="675632E4"/>
    <w:rsid w:val="67BD39CF"/>
    <w:rsid w:val="67E0537A"/>
    <w:rsid w:val="67F632AE"/>
    <w:rsid w:val="683951F0"/>
    <w:rsid w:val="68640398"/>
    <w:rsid w:val="687F2580"/>
    <w:rsid w:val="689304B0"/>
    <w:rsid w:val="68C80EA5"/>
    <w:rsid w:val="68DC4DA5"/>
    <w:rsid w:val="69BB7B31"/>
    <w:rsid w:val="69E8659E"/>
    <w:rsid w:val="6A136195"/>
    <w:rsid w:val="6A17062B"/>
    <w:rsid w:val="6A5D3139"/>
    <w:rsid w:val="6A99203F"/>
    <w:rsid w:val="6AB31F9D"/>
    <w:rsid w:val="6ADA72E5"/>
    <w:rsid w:val="6AF166C5"/>
    <w:rsid w:val="6AF44452"/>
    <w:rsid w:val="6B5F12DC"/>
    <w:rsid w:val="6BC4171A"/>
    <w:rsid w:val="6BC5068C"/>
    <w:rsid w:val="6BF00943"/>
    <w:rsid w:val="6C027339"/>
    <w:rsid w:val="6C3758E6"/>
    <w:rsid w:val="6C6353F3"/>
    <w:rsid w:val="6C8973B5"/>
    <w:rsid w:val="6CE31ED6"/>
    <w:rsid w:val="6D150642"/>
    <w:rsid w:val="6D1A474E"/>
    <w:rsid w:val="6D353B38"/>
    <w:rsid w:val="6D626E9A"/>
    <w:rsid w:val="6D7E6C07"/>
    <w:rsid w:val="6DBA1A36"/>
    <w:rsid w:val="6DC413F2"/>
    <w:rsid w:val="6DE964F4"/>
    <w:rsid w:val="6E0C58A3"/>
    <w:rsid w:val="6E590D02"/>
    <w:rsid w:val="6E6521EC"/>
    <w:rsid w:val="6E8F535C"/>
    <w:rsid w:val="6E9B7F9F"/>
    <w:rsid w:val="6EC44A84"/>
    <w:rsid w:val="6ED76B59"/>
    <w:rsid w:val="6EEC4E6A"/>
    <w:rsid w:val="6F145210"/>
    <w:rsid w:val="6F4F5A99"/>
    <w:rsid w:val="6F567313"/>
    <w:rsid w:val="6F7B0408"/>
    <w:rsid w:val="6FD27922"/>
    <w:rsid w:val="70435B5C"/>
    <w:rsid w:val="70B32F83"/>
    <w:rsid w:val="70D0319D"/>
    <w:rsid w:val="70D65F79"/>
    <w:rsid w:val="70E04E78"/>
    <w:rsid w:val="713619B8"/>
    <w:rsid w:val="71745A0C"/>
    <w:rsid w:val="719C5B65"/>
    <w:rsid w:val="719E4175"/>
    <w:rsid w:val="71DC66AD"/>
    <w:rsid w:val="71FF3215"/>
    <w:rsid w:val="72434D85"/>
    <w:rsid w:val="730D308D"/>
    <w:rsid w:val="735F2141"/>
    <w:rsid w:val="7368273C"/>
    <w:rsid w:val="737865CA"/>
    <w:rsid w:val="737A2756"/>
    <w:rsid w:val="73997D32"/>
    <w:rsid w:val="73FB62FE"/>
    <w:rsid w:val="74040E27"/>
    <w:rsid w:val="743478F9"/>
    <w:rsid w:val="7470499F"/>
    <w:rsid w:val="749F0AFC"/>
    <w:rsid w:val="74B239BF"/>
    <w:rsid w:val="74BA2AC5"/>
    <w:rsid w:val="74ED07F7"/>
    <w:rsid w:val="750A38E1"/>
    <w:rsid w:val="752F015C"/>
    <w:rsid w:val="754044C5"/>
    <w:rsid w:val="75843448"/>
    <w:rsid w:val="75A605B7"/>
    <w:rsid w:val="7699681C"/>
    <w:rsid w:val="769C3E9C"/>
    <w:rsid w:val="771A743B"/>
    <w:rsid w:val="77227091"/>
    <w:rsid w:val="7780057E"/>
    <w:rsid w:val="77C04347"/>
    <w:rsid w:val="77DC4DD6"/>
    <w:rsid w:val="77F70125"/>
    <w:rsid w:val="780B7997"/>
    <w:rsid w:val="7868134A"/>
    <w:rsid w:val="78750D6D"/>
    <w:rsid w:val="78BA3B89"/>
    <w:rsid w:val="78F8428C"/>
    <w:rsid w:val="79016FFB"/>
    <w:rsid w:val="79375440"/>
    <w:rsid w:val="795F69FD"/>
    <w:rsid w:val="797672BD"/>
    <w:rsid w:val="79AD0042"/>
    <w:rsid w:val="79B1348D"/>
    <w:rsid w:val="79CD6347"/>
    <w:rsid w:val="79D235B1"/>
    <w:rsid w:val="79E6616D"/>
    <w:rsid w:val="79EC49C3"/>
    <w:rsid w:val="79F60B6A"/>
    <w:rsid w:val="7A134E13"/>
    <w:rsid w:val="7A3C335C"/>
    <w:rsid w:val="7A7744DF"/>
    <w:rsid w:val="7A7816E5"/>
    <w:rsid w:val="7AF95055"/>
    <w:rsid w:val="7B110267"/>
    <w:rsid w:val="7B556DD9"/>
    <w:rsid w:val="7B583F02"/>
    <w:rsid w:val="7BB277F0"/>
    <w:rsid w:val="7C3B6086"/>
    <w:rsid w:val="7C515816"/>
    <w:rsid w:val="7C8D362C"/>
    <w:rsid w:val="7CC055CD"/>
    <w:rsid w:val="7CDD4070"/>
    <w:rsid w:val="7D2232B3"/>
    <w:rsid w:val="7D733BF0"/>
    <w:rsid w:val="7DEE139B"/>
    <w:rsid w:val="7DFE7341"/>
    <w:rsid w:val="7EAA13EC"/>
    <w:rsid w:val="7EE556F8"/>
    <w:rsid w:val="7F282C32"/>
    <w:rsid w:val="7F40168F"/>
    <w:rsid w:val="7F4A4C50"/>
    <w:rsid w:val="7F523DAB"/>
    <w:rsid w:val="7F702B8B"/>
    <w:rsid w:val="7F750285"/>
    <w:rsid w:val="7F7C526F"/>
    <w:rsid w:val="7F813A32"/>
    <w:rsid w:val="7F9554E0"/>
    <w:rsid w:val="7FA85382"/>
    <w:rsid w:val="7FAD3295"/>
    <w:rsid w:val="7FED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07"/>
    <w:autoRedefine/>
    <w:qFormat/>
    <w:uiPriority w:val="0"/>
    <w:pPr>
      <w:keepNext/>
      <w:keepLines/>
      <w:spacing w:before="340" w:after="330" w:line="576" w:lineRule="auto"/>
      <w:jc w:val="center"/>
      <w:outlineLvl w:val="0"/>
    </w:pPr>
    <w:rPr>
      <w:b/>
      <w:spacing w:val="14"/>
      <w:kern w:val="44"/>
      <w:sz w:val="36"/>
      <w:szCs w:val="20"/>
    </w:rPr>
  </w:style>
  <w:style w:type="paragraph" w:styleId="6">
    <w:name w:val="heading 2"/>
    <w:basedOn w:val="1"/>
    <w:next w:val="1"/>
    <w:link w:val="199"/>
    <w:autoRedefine/>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257"/>
    <w:autoRedefine/>
    <w:qFormat/>
    <w:uiPriority w:val="0"/>
    <w:pPr>
      <w:outlineLvl w:val="2"/>
    </w:pPr>
    <w:rPr>
      <w:rFonts w:ascii="Arial" w:hAnsi="Arial" w:eastAsia="黑体"/>
      <w:spacing w:val="14"/>
      <w:kern w:val="24"/>
      <w:sz w:val="28"/>
      <w:szCs w:val="20"/>
    </w:rPr>
  </w:style>
  <w:style w:type="paragraph" w:styleId="8">
    <w:name w:val="heading 4"/>
    <w:basedOn w:val="1"/>
    <w:next w:val="1"/>
    <w:link w:val="189"/>
    <w:autoRedefine/>
    <w:qFormat/>
    <w:uiPriority w:val="0"/>
    <w:pPr>
      <w:keepNext/>
      <w:keepLines/>
      <w:spacing w:before="280" w:after="290" w:line="372" w:lineRule="auto"/>
      <w:outlineLvl w:val="3"/>
    </w:pPr>
    <w:rPr>
      <w:rFonts w:eastAsia="黑体"/>
      <w:b/>
      <w:bCs/>
      <w:sz w:val="30"/>
      <w:szCs w:val="28"/>
    </w:rPr>
  </w:style>
  <w:style w:type="paragraph" w:styleId="9">
    <w:name w:val="heading 5"/>
    <w:basedOn w:val="1"/>
    <w:next w:val="10"/>
    <w:link w:val="254"/>
    <w:autoRedefine/>
    <w:qFormat/>
    <w:uiPriority w:val="0"/>
    <w:pPr>
      <w:keepNext/>
      <w:keepLines/>
      <w:tabs>
        <w:tab w:val="left" w:pos="1060"/>
      </w:tabs>
      <w:spacing w:before="280" w:after="290"/>
      <w:ind w:left="425" w:hanging="85" w:firstLineChars="200"/>
      <w:jc w:val="left"/>
      <w:outlineLvl w:val="4"/>
    </w:pPr>
    <w:rPr>
      <w:rFonts w:eastAsia="黑体"/>
      <w:sz w:val="32"/>
      <w:szCs w:val="20"/>
    </w:rPr>
  </w:style>
  <w:style w:type="paragraph" w:styleId="11">
    <w:name w:val="heading 6"/>
    <w:basedOn w:val="1"/>
    <w:next w:val="10"/>
    <w:link w:val="220"/>
    <w:autoRedefine/>
    <w:qFormat/>
    <w:uiPriority w:val="0"/>
    <w:pPr>
      <w:keepNext/>
      <w:keepLines/>
      <w:tabs>
        <w:tab w:val="left" w:pos="1152"/>
      </w:tabs>
      <w:spacing w:before="240" w:after="64" w:line="317" w:lineRule="auto"/>
      <w:ind w:left="1152" w:hanging="1152"/>
      <w:jc w:val="left"/>
      <w:outlineLvl w:val="5"/>
    </w:pPr>
    <w:rPr>
      <w:rFonts w:ascii="Arial" w:hAnsi="Arial" w:eastAsia="黑体"/>
      <w:b/>
      <w:bCs/>
      <w:spacing w:val="6"/>
      <w:sz w:val="24"/>
    </w:rPr>
  </w:style>
  <w:style w:type="paragraph" w:styleId="12">
    <w:name w:val="heading 7"/>
    <w:basedOn w:val="1"/>
    <w:next w:val="10"/>
    <w:link w:val="175"/>
    <w:autoRedefine/>
    <w:qFormat/>
    <w:uiPriority w:val="0"/>
    <w:pPr>
      <w:keepNext/>
      <w:keepLines/>
      <w:tabs>
        <w:tab w:val="left" w:pos="1296"/>
      </w:tabs>
      <w:spacing w:before="240" w:after="64" w:line="317" w:lineRule="auto"/>
      <w:ind w:left="1296" w:hanging="1296"/>
      <w:jc w:val="left"/>
      <w:outlineLvl w:val="6"/>
    </w:pPr>
    <w:rPr>
      <w:b/>
      <w:bCs/>
      <w:spacing w:val="6"/>
      <w:sz w:val="24"/>
    </w:rPr>
  </w:style>
  <w:style w:type="paragraph" w:styleId="13">
    <w:name w:val="heading 8"/>
    <w:basedOn w:val="1"/>
    <w:next w:val="10"/>
    <w:link w:val="233"/>
    <w:autoRedefine/>
    <w:qFormat/>
    <w:uiPriority w:val="0"/>
    <w:pPr>
      <w:keepNext/>
      <w:keepLines/>
      <w:tabs>
        <w:tab w:val="left" w:pos="1440"/>
      </w:tabs>
      <w:spacing w:before="240" w:after="64" w:line="317" w:lineRule="auto"/>
      <w:ind w:left="1440" w:hanging="1440"/>
      <w:jc w:val="left"/>
      <w:outlineLvl w:val="7"/>
    </w:pPr>
    <w:rPr>
      <w:rFonts w:ascii="Arial" w:hAnsi="Arial" w:eastAsia="黑体"/>
      <w:spacing w:val="6"/>
      <w:sz w:val="24"/>
    </w:rPr>
  </w:style>
  <w:style w:type="paragraph" w:styleId="14">
    <w:name w:val="heading 9"/>
    <w:basedOn w:val="1"/>
    <w:next w:val="10"/>
    <w:link w:val="287"/>
    <w:autoRedefine/>
    <w:qFormat/>
    <w:uiPriority w:val="0"/>
    <w:pPr>
      <w:keepNext/>
      <w:keepLines/>
      <w:tabs>
        <w:tab w:val="left" w:pos="1584"/>
      </w:tabs>
      <w:spacing w:before="240" w:after="64" w:line="317" w:lineRule="auto"/>
      <w:ind w:left="1584" w:hanging="1584"/>
      <w:jc w:val="left"/>
      <w:outlineLvl w:val="8"/>
    </w:pPr>
    <w:rPr>
      <w:rFonts w:ascii="Arial" w:hAnsi="Arial" w:eastAsia="黑体"/>
      <w:spacing w:val="6"/>
      <w:sz w:val="24"/>
    </w:rPr>
  </w:style>
  <w:style w:type="character" w:default="1" w:styleId="51">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autoRedefine/>
    <w:qFormat/>
    <w:uiPriority w:val="0"/>
    <w:pPr>
      <w:adjustRightInd w:val="0"/>
      <w:spacing w:line="420" w:lineRule="atLeast"/>
      <w:textAlignment w:val="baseline"/>
    </w:pPr>
  </w:style>
  <w:style w:type="paragraph" w:styleId="3">
    <w:name w:val="Body Text"/>
    <w:basedOn w:val="1"/>
    <w:next w:val="4"/>
    <w:link w:val="273"/>
    <w:autoRedefine/>
    <w:qFormat/>
    <w:uiPriority w:val="0"/>
    <w:pPr>
      <w:spacing w:after="120"/>
    </w:pPr>
  </w:style>
  <w:style w:type="paragraph" w:styleId="4">
    <w:name w:val="Body Text First Indent"/>
    <w:basedOn w:val="3"/>
    <w:next w:val="1"/>
    <w:link w:val="187"/>
    <w:autoRedefine/>
    <w:qFormat/>
    <w:uiPriority w:val="0"/>
    <w:pPr>
      <w:tabs>
        <w:tab w:val="left" w:pos="482"/>
        <w:tab w:val="left" w:pos="2183"/>
        <w:tab w:val="left" w:pos="3884"/>
        <w:tab w:val="left" w:pos="5585"/>
      </w:tabs>
      <w:adjustRightInd w:val="0"/>
      <w:spacing w:after="0"/>
      <w:ind w:firstLine="482"/>
      <w:textAlignment w:val="baseline"/>
    </w:pPr>
    <w:rPr>
      <w:kern w:val="0"/>
      <w:sz w:val="24"/>
      <w:szCs w:val="20"/>
    </w:rPr>
  </w:style>
  <w:style w:type="paragraph" w:styleId="10">
    <w:name w:val="Normal Indent"/>
    <w:basedOn w:val="1"/>
    <w:link w:val="249"/>
    <w:autoRedefine/>
    <w:qFormat/>
    <w:uiPriority w:val="0"/>
    <w:pPr>
      <w:spacing w:line="460" w:lineRule="exact"/>
      <w:ind w:firstLine="420"/>
    </w:pPr>
    <w:rPr>
      <w:spacing w:val="14"/>
      <w:kern w:val="24"/>
      <w:sz w:val="24"/>
      <w:szCs w:val="20"/>
    </w:rPr>
  </w:style>
  <w:style w:type="paragraph" w:styleId="15">
    <w:name w:val="toc 7"/>
    <w:basedOn w:val="1"/>
    <w:next w:val="1"/>
    <w:autoRedefine/>
    <w:qFormat/>
    <w:uiPriority w:val="0"/>
    <w:pPr>
      <w:ind w:left="2520" w:leftChars="1200"/>
    </w:pPr>
  </w:style>
  <w:style w:type="paragraph" w:styleId="16">
    <w:name w:val="caption"/>
    <w:basedOn w:val="1"/>
    <w:next w:val="1"/>
    <w:autoRedefine/>
    <w:qFormat/>
    <w:uiPriority w:val="0"/>
    <w:rPr>
      <w:rFonts w:ascii="方正综艺简体" w:hAnsi="方正综艺简体" w:eastAsia="方正综艺简体" w:cs="方正综艺简体"/>
      <w:sz w:val="20"/>
      <w:szCs w:val="20"/>
    </w:rPr>
  </w:style>
  <w:style w:type="paragraph" w:styleId="17">
    <w:name w:val="Document Map"/>
    <w:basedOn w:val="1"/>
    <w:link w:val="236"/>
    <w:autoRedefine/>
    <w:qFormat/>
    <w:uiPriority w:val="0"/>
    <w:rPr>
      <w:rFonts w:ascii="宋体"/>
      <w:sz w:val="18"/>
      <w:szCs w:val="18"/>
    </w:rPr>
  </w:style>
  <w:style w:type="paragraph" w:styleId="18">
    <w:name w:val="annotation text"/>
    <w:basedOn w:val="1"/>
    <w:link w:val="178"/>
    <w:autoRedefine/>
    <w:qFormat/>
    <w:uiPriority w:val="0"/>
    <w:pPr>
      <w:jc w:val="left"/>
    </w:pPr>
  </w:style>
  <w:style w:type="paragraph" w:styleId="19">
    <w:name w:val="Salutation"/>
    <w:basedOn w:val="1"/>
    <w:next w:val="1"/>
    <w:autoRedefine/>
    <w:qFormat/>
    <w:uiPriority w:val="0"/>
    <w:rPr>
      <w:rFonts w:ascii="宋体" w:hAnsi="宋体"/>
      <w:spacing w:val="20"/>
      <w:sz w:val="24"/>
      <w:szCs w:val="20"/>
    </w:rPr>
  </w:style>
  <w:style w:type="paragraph" w:styleId="20">
    <w:name w:val="Body Text 3"/>
    <w:basedOn w:val="1"/>
    <w:link w:val="228"/>
    <w:autoRedefine/>
    <w:qFormat/>
    <w:uiPriority w:val="0"/>
    <w:pPr>
      <w:spacing w:before="312" w:beforeLines="100" w:after="312" w:afterLines="100" w:line="400" w:lineRule="exact"/>
    </w:pPr>
    <w:rPr>
      <w:rFonts w:ascii="宋体" w:hAnsi="宋体"/>
      <w:sz w:val="24"/>
    </w:rPr>
  </w:style>
  <w:style w:type="paragraph" w:styleId="21">
    <w:name w:val="Body Text Indent"/>
    <w:basedOn w:val="1"/>
    <w:link w:val="280"/>
    <w:autoRedefine/>
    <w:qFormat/>
    <w:uiPriority w:val="0"/>
    <w:pPr>
      <w:spacing w:line="460" w:lineRule="exact"/>
      <w:ind w:firstLine="420"/>
    </w:pPr>
    <w:rPr>
      <w:rFonts w:ascii="宋体"/>
      <w:kern w:val="24"/>
      <w:sz w:val="28"/>
      <w:szCs w:val="20"/>
    </w:rPr>
  </w:style>
  <w:style w:type="paragraph" w:styleId="22">
    <w:name w:val="Block Text"/>
    <w:basedOn w:val="1"/>
    <w:autoRedefine/>
    <w:qFormat/>
    <w:uiPriority w:val="0"/>
    <w:pPr>
      <w:adjustRightInd w:val="0"/>
      <w:ind w:left="420" w:right="33"/>
      <w:jc w:val="left"/>
      <w:textAlignment w:val="baseline"/>
    </w:pPr>
    <w:rPr>
      <w:kern w:val="0"/>
      <w:sz w:val="24"/>
    </w:rPr>
  </w:style>
  <w:style w:type="paragraph" w:styleId="23">
    <w:name w:val="List Bullet 2"/>
    <w:basedOn w:val="1"/>
    <w:autoRedefine/>
    <w:qFormat/>
    <w:uiPriority w:val="0"/>
    <w:pPr>
      <w:tabs>
        <w:tab w:val="left" w:pos="780"/>
      </w:tabs>
      <w:spacing w:line="460" w:lineRule="exact"/>
      <w:ind w:left="780" w:leftChars="200" w:hanging="360" w:hangingChars="200"/>
    </w:pPr>
    <w:rPr>
      <w:spacing w:val="12"/>
      <w:sz w:val="24"/>
      <w:szCs w:val="20"/>
    </w:rPr>
  </w:style>
  <w:style w:type="paragraph" w:styleId="24">
    <w:name w:val="index 4"/>
    <w:basedOn w:val="1"/>
    <w:next w:val="1"/>
    <w:autoRedefine/>
    <w:qFormat/>
    <w:uiPriority w:val="0"/>
    <w:pPr>
      <w:ind w:left="600" w:leftChars="600"/>
    </w:pPr>
    <w:rPr>
      <w:rFonts w:ascii="方正综艺简体" w:hAnsi="方正综艺简体" w:eastAsia="方正综艺简体" w:cs="方正综艺简体"/>
    </w:rPr>
  </w:style>
  <w:style w:type="paragraph" w:styleId="25">
    <w:name w:val="toc 5"/>
    <w:basedOn w:val="1"/>
    <w:next w:val="1"/>
    <w:autoRedefine/>
    <w:qFormat/>
    <w:uiPriority w:val="0"/>
    <w:pPr>
      <w:ind w:left="1680" w:leftChars="800"/>
    </w:pPr>
  </w:style>
  <w:style w:type="paragraph" w:styleId="26">
    <w:name w:val="toc 3"/>
    <w:basedOn w:val="1"/>
    <w:next w:val="1"/>
    <w:autoRedefine/>
    <w:qFormat/>
    <w:uiPriority w:val="39"/>
    <w:pPr>
      <w:ind w:left="840" w:leftChars="400"/>
    </w:pPr>
  </w:style>
  <w:style w:type="paragraph" w:styleId="27">
    <w:name w:val="Plain Text"/>
    <w:basedOn w:val="1"/>
    <w:link w:val="222"/>
    <w:autoRedefine/>
    <w:qFormat/>
    <w:uiPriority w:val="0"/>
    <w:rPr>
      <w:rFonts w:ascii="宋体" w:hAnsi="Courier New"/>
      <w:szCs w:val="20"/>
    </w:rPr>
  </w:style>
  <w:style w:type="paragraph" w:styleId="28">
    <w:name w:val="toc 8"/>
    <w:basedOn w:val="1"/>
    <w:next w:val="1"/>
    <w:autoRedefine/>
    <w:qFormat/>
    <w:uiPriority w:val="0"/>
    <w:pPr>
      <w:ind w:left="2940" w:leftChars="1400"/>
    </w:pPr>
  </w:style>
  <w:style w:type="paragraph" w:styleId="29">
    <w:name w:val="Date"/>
    <w:basedOn w:val="1"/>
    <w:next w:val="1"/>
    <w:link w:val="192"/>
    <w:autoRedefine/>
    <w:qFormat/>
    <w:uiPriority w:val="0"/>
    <w:pPr>
      <w:ind w:left="100" w:leftChars="2500"/>
    </w:pPr>
    <w:rPr>
      <w:sz w:val="24"/>
    </w:rPr>
  </w:style>
  <w:style w:type="paragraph" w:styleId="30">
    <w:name w:val="Body Text Indent 2"/>
    <w:basedOn w:val="1"/>
    <w:link w:val="277"/>
    <w:autoRedefine/>
    <w:qFormat/>
    <w:uiPriority w:val="0"/>
    <w:pPr>
      <w:spacing w:line="460" w:lineRule="exact"/>
      <w:ind w:firstLine="510" w:firstLineChars="203"/>
    </w:pPr>
    <w:rPr>
      <w:spacing w:val="14"/>
      <w:kern w:val="24"/>
      <w:sz w:val="24"/>
      <w:szCs w:val="20"/>
    </w:rPr>
  </w:style>
  <w:style w:type="paragraph" w:styleId="31">
    <w:name w:val="Balloon Text"/>
    <w:basedOn w:val="1"/>
    <w:link w:val="266"/>
    <w:autoRedefine/>
    <w:qFormat/>
    <w:uiPriority w:val="0"/>
    <w:rPr>
      <w:sz w:val="18"/>
      <w:szCs w:val="18"/>
    </w:rPr>
  </w:style>
  <w:style w:type="paragraph" w:styleId="32">
    <w:name w:val="footer"/>
    <w:basedOn w:val="1"/>
    <w:link w:val="245"/>
    <w:autoRedefine/>
    <w:qFormat/>
    <w:uiPriority w:val="0"/>
    <w:pPr>
      <w:tabs>
        <w:tab w:val="center" w:pos="4153"/>
        <w:tab w:val="right" w:pos="8306"/>
      </w:tabs>
      <w:snapToGrid w:val="0"/>
      <w:jc w:val="left"/>
    </w:pPr>
    <w:rPr>
      <w:sz w:val="18"/>
      <w:szCs w:val="18"/>
    </w:rPr>
  </w:style>
  <w:style w:type="paragraph" w:styleId="33">
    <w:name w:val="header"/>
    <w:basedOn w:val="1"/>
    <w:link w:val="279"/>
    <w:autoRedefine/>
    <w:qFormat/>
    <w:uiPriority w:val="0"/>
    <w:pPr>
      <w:pBdr>
        <w:bottom w:val="single" w:color="auto" w:sz="6" w:space="1"/>
      </w:pBdr>
      <w:tabs>
        <w:tab w:val="center" w:pos="4153"/>
        <w:tab w:val="right" w:pos="8306"/>
      </w:tabs>
      <w:snapToGrid w:val="0"/>
      <w:jc w:val="center"/>
    </w:pPr>
    <w:rPr>
      <w:sz w:val="18"/>
      <w:szCs w:val="18"/>
    </w:rPr>
  </w:style>
  <w:style w:type="paragraph" w:styleId="34">
    <w:name w:val="Signature"/>
    <w:basedOn w:val="1"/>
    <w:autoRedefine/>
    <w:qFormat/>
    <w:uiPriority w:val="0"/>
    <w:pPr>
      <w:spacing w:line="460" w:lineRule="exact"/>
      <w:ind w:left="100" w:leftChars="2100" w:firstLine="200" w:firstLineChars="200"/>
    </w:pPr>
    <w:rPr>
      <w:spacing w:val="12"/>
      <w:sz w:val="24"/>
      <w:szCs w:val="20"/>
    </w:rPr>
  </w:style>
  <w:style w:type="paragraph" w:styleId="35">
    <w:name w:val="toc 1"/>
    <w:basedOn w:val="1"/>
    <w:next w:val="1"/>
    <w:autoRedefine/>
    <w:qFormat/>
    <w:uiPriority w:val="39"/>
    <w:rPr>
      <w:rFonts w:ascii="Arial" w:hAnsi="Arial" w:cs="Arial"/>
      <w:bCs/>
      <w:kern w:val="0"/>
    </w:rPr>
  </w:style>
  <w:style w:type="paragraph" w:styleId="36">
    <w:name w:val="toc 4"/>
    <w:basedOn w:val="1"/>
    <w:next w:val="1"/>
    <w:autoRedefine/>
    <w:qFormat/>
    <w:uiPriority w:val="0"/>
    <w:pPr>
      <w:ind w:left="1260" w:leftChars="600"/>
    </w:pPr>
  </w:style>
  <w:style w:type="paragraph" w:styleId="37">
    <w:name w:val="Subtitle"/>
    <w:basedOn w:val="1"/>
    <w:next w:val="1"/>
    <w:link w:val="255"/>
    <w:autoRedefine/>
    <w:qFormat/>
    <w:uiPriority w:val="0"/>
    <w:pPr>
      <w:spacing w:before="240" w:after="60" w:line="312" w:lineRule="auto"/>
      <w:jc w:val="center"/>
      <w:outlineLvl w:val="1"/>
    </w:pPr>
    <w:rPr>
      <w:rFonts w:ascii="Cambria" w:hAnsi="Cambria"/>
      <w:b/>
      <w:bCs/>
      <w:kern w:val="28"/>
      <w:sz w:val="32"/>
      <w:szCs w:val="32"/>
    </w:rPr>
  </w:style>
  <w:style w:type="paragraph" w:styleId="38">
    <w:name w:val="toc 6"/>
    <w:basedOn w:val="1"/>
    <w:next w:val="1"/>
    <w:autoRedefine/>
    <w:qFormat/>
    <w:uiPriority w:val="0"/>
    <w:pPr>
      <w:ind w:left="2100" w:leftChars="1000"/>
    </w:pPr>
  </w:style>
  <w:style w:type="paragraph" w:styleId="39">
    <w:name w:val="Body Text Indent 3"/>
    <w:basedOn w:val="1"/>
    <w:link w:val="230"/>
    <w:autoRedefine/>
    <w:qFormat/>
    <w:uiPriority w:val="0"/>
    <w:pPr>
      <w:spacing w:line="460" w:lineRule="exact"/>
      <w:ind w:firstLine="555" w:firstLineChars="221"/>
    </w:pPr>
    <w:rPr>
      <w:spacing w:val="14"/>
      <w:kern w:val="24"/>
      <w:sz w:val="24"/>
      <w:szCs w:val="20"/>
    </w:rPr>
  </w:style>
  <w:style w:type="paragraph" w:styleId="40">
    <w:name w:val="table of figures"/>
    <w:basedOn w:val="1"/>
    <w:next w:val="1"/>
    <w:autoRedefine/>
    <w:qFormat/>
    <w:uiPriority w:val="0"/>
    <w:pPr>
      <w:widowControl/>
      <w:ind w:left="840" w:leftChars="200" w:hanging="420" w:hangingChars="200"/>
      <w:jc w:val="left"/>
    </w:pPr>
    <w:rPr>
      <w:kern w:val="0"/>
      <w:szCs w:val="20"/>
    </w:rPr>
  </w:style>
  <w:style w:type="paragraph" w:styleId="41">
    <w:name w:val="toc 2"/>
    <w:basedOn w:val="1"/>
    <w:next w:val="1"/>
    <w:autoRedefine/>
    <w:qFormat/>
    <w:uiPriority w:val="39"/>
    <w:pPr>
      <w:ind w:left="420" w:leftChars="200"/>
    </w:pPr>
  </w:style>
  <w:style w:type="paragraph" w:styleId="42">
    <w:name w:val="toc 9"/>
    <w:basedOn w:val="1"/>
    <w:next w:val="1"/>
    <w:autoRedefine/>
    <w:qFormat/>
    <w:uiPriority w:val="0"/>
    <w:pPr>
      <w:ind w:left="3360" w:leftChars="1600"/>
    </w:pPr>
  </w:style>
  <w:style w:type="paragraph" w:styleId="43">
    <w:name w:val="Body Text 2"/>
    <w:basedOn w:val="1"/>
    <w:link w:val="246"/>
    <w:autoRedefine/>
    <w:qFormat/>
    <w:uiPriority w:val="0"/>
    <w:pPr>
      <w:jc w:val="center"/>
    </w:pPr>
    <w:rPr>
      <w:rFonts w:ascii="宋体" w:hAnsi="宋体"/>
      <w:sz w:val="44"/>
    </w:rPr>
  </w:style>
  <w:style w:type="paragraph" w:styleId="44">
    <w:name w:val="HTML Preformatted"/>
    <w:basedOn w:val="1"/>
    <w:link w:val="23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5">
    <w:name w:val="Normal (Web)"/>
    <w:basedOn w:val="1"/>
    <w:autoRedefine/>
    <w:qFormat/>
    <w:uiPriority w:val="99"/>
    <w:pPr>
      <w:widowControl/>
      <w:spacing w:before="100" w:beforeAutospacing="1" w:after="100" w:afterAutospacing="1"/>
      <w:jc w:val="left"/>
    </w:pPr>
    <w:rPr>
      <w:rFonts w:ascii="Arial Unicode MS" w:hAnsi="Arial Unicode MS" w:eastAsia="Times New Roman"/>
      <w:color w:val="000000"/>
      <w:kern w:val="0"/>
      <w:sz w:val="24"/>
    </w:rPr>
  </w:style>
  <w:style w:type="paragraph" w:styleId="46">
    <w:name w:val="Title"/>
    <w:basedOn w:val="1"/>
    <w:next w:val="1"/>
    <w:link w:val="278"/>
    <w:autoRedefine/>
    <w:qFormat/>
    <w:uiPriority w:val="0"/>
    <w:pPr>
      <w:spacing w:before="240" w:after="60"/>
      <w:jc w:val="center"/>
      <w:outlineLvl w:val="0"/>
    </w:pPr>
    <w:rPr>
      <w:rFonts w:ascii="Cambria" w:hAnsi="Cambria"/>
      <w:b/>
      <w:bCs/>
      <w:sz w:val="32"/>
      <w:szCs w:val="32"/>
    </w:rPr>
  </w:style>
  <w:style w:type="paragraph" w:styleId="47">
    <w:name w:val="annotation subject"/>
    <w:basedOn w:val="18"/>
    <w:next w:val="18"/>
    <w:link w:val="176"/>
    <w:autoRedefine/>
    <w:qFormat/>
    <w:uiPriority w:val="0"/>
    <w:rPr>
      <w:b/>
      <w:bCs/>
    </w:rPr>
  </w:style>
  <w:style w:type="paragraph" w:styleId="48">
    <w:name w:val="Body Text First Indent 2"/>
    <w:basedOn w:val="21"/>
    <w:autoRedefine/>
    <w:unhideWhenUsed/>
    <w:qFormat/>
    <w:uiPriority w:val="99"/>
    <w:pPr>
      <w:ind w:firstLineChars="200"/>
    </w:pPr>
    <w:rPr>
      <w:rFonts w:ascii="Times New Roman"/>
    </w:rPr>
  </w:style>
  <w:style w:type="table" w:styleId="50">
    <w:name w:val="Table Grid"/>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autoRedefine/>
    <w:qFormat/>
    <w:uiPriority w:val="0"/>
    <w:rPr>
      <w:b/>
      <w:bCs/>
    </w:rPr>
  </w:style>
  <w:style w:type="character" w:styleId="53">
    <w:name w:val="page number"/>
    <w:basedOn w:val="51"/>
    <w:autoRedefine/>
    <w:qFormat/>
    <w:uiPriority w:val="0"/>
  </w:style>
  <w:style w:type="character" w:styleId="54">
    <w:name w:val="FollowedHyperlink"/>
    <w:autoRedefine/>
    <w:qFormat/>
    <w:uiPriority w:val="0"/>
    <w:rPr>
      <w:color w:val="333333"/>
      <w:u w:val="none"/>
    </w:rPr>
  </w:style>
  <w:style w:type="character" w:styleId="55">
    <w:name w:val="Emphasis"/>
    <w:autoRedefine/>
    <w:qFormat/>
    <w:uiPriority w:val="0"/>
    <w:rPr>
      <w:rFonts w:ascii="Arial Black" w:hAnsi="Arial Black" w:eastAsia="黑体"/>
      <w:b/>
      <w:bCs/>
      <w:spacing w:val="0"/>
      <w:sz w:val="21"/>
      <w:lang w:eastAsia="zh-CN"/>
    </w:rPr>
  </w:style>
  <w:style w:type="character" w:styleId="56">
    <w:name w:val="line number"/>
    <w:basedOn w:val="51"/>
    <w:autoRedefine/>
    <w:qFormat/>
    <w:uiPriority w:val="0"/>
  </w:style>
  <w:style w:type="character" w:styleId="57">
    <w:name w:val="HTML Definition"/>
    <w:autoRedefine/>
    <w:unhideWhenUsed/>
    <w:qFormat/>
    <w:uiPriority w:val="99"/>
  </w:style>
  <w:style w:type="character" w:styleId="58">
    <w:name w:val="HTML Acronym"/>
    <w:basedOn w:val="51"/>
    <w:autoRedefine/>
    <w:unhideWhenUsed/>
    <w:qFormat/>
    <w:uiPriority w:val="99"/>
  </w:style>
  <w:style w:type="character" w:styleId="59">
    <w:name w:val="HTML Variable"/>
    <w:autoRedefine/>
    <w:unhideWhenUsed/>
    <w:qFormat/>
    <w:uiPriority w:val="99"/>
  </w:style>
  <w:style w:type="character" w:styleId="60">
    <w:name w:val="Hyperlink"/>
    <w:basedOn w:val="51"/>
    <w:autoRedefine/>
    <w:qFormat/>
    <w:uiPriority w:val="99"/>
    <w:rPr>
      <w:color w:val="333333"/>
      <w:u w:val="none"/>
    </w:rPr>
  </w:style>
  <w:style w:type="character" w:styleId="61">
    <w:name w:val="HTML Code"/>
    <w:autoRedefine/>
    <w:unhideWhenUsed/>
    <w:qFormat/>
    <w:uiPriority w:val="99"/>
    <w:rPr>
      <w:rFonts w:hint="default" w:ascii="monospace" w:hAnsi="monospace" w:eastAsia="monospace" w:cs="monospace"/>
      <w:sz w:val="24"/>
      <w:szCs w:val="24"/>
    </w:rPr>
  </w:style>
  <w:style w:type="character" w:styleId="62">
    <w:name w:val="annotation reference"/>
    <w:autoRedefine/>
    <w:qFormat/>
    <w:uiPriority w:val="0"/>
    <w:rPr>
      <w:sz w:val="21"/>
      <w:szCs w:val="21"/>
    </w:rPr>
  </w:style>
  <w:style w:type="character" w:styleId="63">
    <w:name w:val="HTML Cite"/>
    <w:autoRedefine/>
    <w:unhideWhenUsed/>
    <w:qFormat/>
    <w:uiPriority w:val="99"/>
  </w:style>
  <w:style w:type="character" w:styleId="64">
    <w:name w:val="HTML Keyboard"/>
    <w:autoRedefine/>
    <w:unhideWhenUsed/>
    <w:qFormat/>
    <w:uiPriority w:val="99"/>
    <w:rPr>
      <w:rFonts w:hint="default" w:ascii="monospace" w:hAnsi="monospace" w:eastAsia="monospace" w:cs="monospace"/>
      <w:sz w:val="24"/>
      <w:szCs w:val="24"/>
    </w:rPr>
  </w:style>
  <w:style w:type="character" w:styleId="65">
    <w:name w:val="HTML Sample"/>
    <w:autoRedefine/>
    <w:unhideWhenUsed/>
    <w:qFormat/>
    <w:uiPriority w:val="99"/>
    <w:rPr>
      <w:rFonts w:ascii="monospace" w:hAnsi="monospace" w:eastAsia="monospace" w:cs="monospace"/>
      <w:sz w:val="24"/>
      <w:szCs w:val="24"/>
    </w:rPr>
  </w:style>
  <w:style w:type="paragraph" w:customStyle="1" w:styleId="66">
    <w:name w:val="正文内容"/>
    <w:basedOn w:val="1"/>
    <w:link w:val="209"/>
    <w:autoRedefine/>
    <w:qFormat/>
    <w:uiPriority w:val="0"/>
    <w:pPr>
      <w:ind w:firstLine="200" w:firstLineChars="200"/>
    </w:pPr>
    <w:rPr>
      <w:rFonts w:ascii="仿宋_GB2312" w:hAnsi="Calibri" w:eastAsia="仿宋_GB2312"/>
      <w:sz w:val="24"/>
      <w:szCs w:val="28"/>
    </w:rPr>
  </w:style>
  <w:style w:type="paragraph" w:customStyle="1" w:styleId="67">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68">
    <w:name w:val="纯文本1"/>
    <w:basedOn w:val="1"/>
    <w:autoRedefine/>
    <w:qFormat/>
    <w:uiPriority w:val="0"/>
    <w:rPr>
      <w:rFonts w:ascii="宋体" w:hAnsi="Courier New"/>
      <w:szCs w:val="21"/>
    </w:rPr>
  </w:style>
  <w:style w:type="paragraph" w:customStyle="1" w:styleId="69">
    <w:name w:val="标题4"/>
    <w:basedOn w:val="6"/>
    <w:next w:val="24"/>
    <w:link w:val="174"/>
    <w:autoRedefine/>
    <w:qFormat/>
    <w:uiPriority w:val="0"/>
    <w:pPr>
      <w:tabs>
        <w:tab w:val="left" w:pos="1483"/>
        <w:tab w:val="left" w:pos="1980"/>
      </w:tabs>
      <w:ind w:left="1980" w:hanging="420"/>
    </w:pPr>
    <w:rPr>
      <w:rFonts w:ascii="Times New Roman" w:hAnsi="Times New Roman" w:eastAsia="宋体"/>
      <w:kern w:val="0"/>
      <w:sz w:val="24"/>
    </w:rPr>
  </w:style>
  <w:style w:type="paragraph" w:customStyle="1" w:styleId="7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1">
    <w:name w:val="表格文字1"/>
    <w:basedOn w:val="1"/>
    <w:autoRedefine/>
    <w:qFormat/>
    <w:uiPriority w:val="0"/>
    <w:pPr>
      <w:spacing w:line="320" w:lineRule="exact"/>
    </w:pPr>
    <w:rPr>
      <w:rFonts w:ascii="宋体" w:hAnsi="宋体"/>
      <w:spacing w:val="12"/>
      <w:szCs w:val="20"/>
    </w:rPr>
  </w:style>
  <w:style w:type="paragraph" w:customStyle="1" w:styleId="72">
    <w:name w:val="pbj1"/>
    <w:basedOn w:val="1"/>
    <w:autoRedefine/>
    <w:qFormat/>
    <w:uiPriority w:val="0"/>
    <w:pPr>
      <w:widowControl/>
      <w:jc w:val="left"/>
    </w:pPr>
    <w:rPr>
      <w:rFonts w:ascii="方正综艺简体" w:hAnsi="方正综艺简体" w:eastAsia="方正综艺简体" w:cs="方正综艺简体"/>
      <w:kern w:val="0"/>
      <w:sz w:val="24"/>
    </w:rPr>
  </w:style>
  <w:style w:type="paragraph" w:customStyle="1" w:styleId="73">
    <w:name w:val="样式 标题 3 + 非加粗 自动设置"/>
    <w:basedOn w:val="7"/>
    <w:autoRedefine/>
    <w:qFormat/>
    <w:uiPriority w:val="0"/>
    <w:pPr>
      <w:spacing w:before="120" w:after="120" w:line="700" w:lineRule="exact"/>
      <w:jc w:val="left"/>
    </w:pPr>
    <w:rPr>
      <w:rFonts w:ascii="宋体" w:hAnsi="宋体" w:eastAsia="宋体"/>
      <w:spacing w:val="10"/>
      <w:szCs w:val="32"/>
    </w:rPr>
  </w:style>
  <w:style w:type="paragraph" w:customStyle="1" w:styleId="74">
    <w:name w:val="样式 行距: 1.5 倍行距"/>
    <w:basedOn w:val="1"/>
    <w:link w:val="173"/>
    <w:autoRedefine/>
    <w:qFormat/>
    <w:uiPriority w:val="0"/>
    <w:pPr>
      <w:spacing w:line="360" w:lineRule="auto"/>
      <w:ind w:firstLine="480" w:firstLineChars="200"/>
    </w:pPr>
    <w:rPr>
      <w:sz w:val="24"/>
      <w:szCs w:val="20"/>
    </w:rPr>
  </w:style>
  <w:style w:type="paragraph" w:customStyle="1" w:styleId="75">
    <w:name w:val="Char Char Char Char1"/>
    <w:basedOn w:val="1"/>
    <w:autoRedefine/>
    <w:qFormat/>
    <w:uiPriority w:val="0"/>
  </w:style>
  <w:style w:type="paragraph" w:customStyle="1" w:styleId="76">
    <w:name w:val="重正文"/>
    <w:basedOn w:val="1"/>
    <w:autoRedefine/>
    <w:qFormat/>
    <w:uiPriority w:val="0"/>
    <w:pPr>
      <w:numPr>
        <w:ilvl w:val="1"/>
        <w:numId w:val="1"/>
      </w:numPr>
      <w:spacing w:before="5" w:after="200" w:afterLines="50" w:line="390" w:lineRule="atLeast"/>
      <w:ind w:left="0" w:firstLine="480"/>
    </w:pPr>
    <w:rPr>
      <w:rFonts w:ascii="宋体" w:hAnsi="宋体"/>
      <w:sz w:val="24"/>
    </w:rPr>
  </w:style>
  <w:style w:type="paragraph" w:customStyle="1" w:styleId="77">
    <w:name w:val="表内文字"/>
    <w:basedOn w:val="1"/>
    <w:autoRedefine/>
    <w:qFormat/>
    <w:uiPriority w:val="0"/>
    <w:pPr>
      <w:spacing w:line="240" w:lineRule="atLeast"/>
      <w:jc w:val="center"/>
    </w:pPr>
    <w:rPr>
      <w:rFonts w:ascii="Arial" w:hAnsi="Arial" w:cs="Arial"/>
      <w:b/>
      <w:bCs/>
    </w:rPr>
  </w:style>
  <w:style w:type="paragraph" w:customStyle="1" w:styleId="78">
    <w:name w:val="纯文本2"/>
    <w:basedOn w:val="1"/>
    <w:autoRedefine/>
    <w:qFormat/>
    <w:uiPriority w:val="0"/>
    <w:rPr>
      <w:rFonts w:ascii="宋体" w:hAnsi="Courier New" w:cs="Courier New"/>
      <w:szCs w:val="21"/>
    </w:rPr>
  </w:style>
  <w:style w:type="paragraph" w:customStyle="1" w:styleId="7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lang w:eastAsia="en-US"/>
    </w:rPr>
  </w:style>
  <w:style w:type="paragraph" w:customStyle="1" w:styleId="80">
    <w:name w:val="节"/>
    <w:basedOn w:val="6"/>
    <w:autoRedefine/>
    <w:qFormat/>
    <w:uiPriority w:val="0"/>
    <w:pPr>
      <w:spacing w:before="160" w:after="160" w:line="720" w:lineRule="exact"/>
      <w:jc w:val="center"/>
    </w:pPr>
    <w:rPr>
      <w:b w:val="0"/>
      <w:bCs w:val="0"/>
      <w:spacing w:val="14"/>
      <w:kern w:val="24"/>
      <w:szCs w:val="20"/>
    </w:rPr>
  </w:style>
  <w:style w:type="paragraph" w:customStyle="1" w:styleId="81">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82">
    <w:name w:val="样式1"/>
    <w:basedOn w:val="1"/>
    <w:autoRedefine/>
    <w:qFormat/>
    <w:uiPriority w:val="0"/>
    <w:pPr>
      <w:spacing w:before="120" w:after="120" w:line="300" w:lineRule="auto"/>
    </w:pPr>
    <w:rPr>
      <w:rFonts w:ascii="宋体" w:hAnsi="宋体"/>
      <w:b/>
      <w:sz w:val="24"/>
      <w:szCs w:val="20"/>
    </w:rPr>
  </w:style>
  <w:style w:type="paragraph" w:styleId="83">
    <w:name w:val="List Paragraph"/>
    <w:basedOn w:val="1"/>
    <w:link w:val="180"/>
    <w:autoRedefine/>
    <w:qFormat/>
    <w:uiPriority w:val="0"/>
    <w:pPr>
      <w:widowControl/>
      <w:ind w:firstLine="420" w:firstLineChars="200"/>
      <w:jc w:val="left"/>
    </w:pPr>
    <w:rPr>
      <w:kern w:val="0"/>
      <w:szCs w:val="20"/>
    </w:rPr>
  </w:style>
  <w:style w:type="paragraph" w:styleId="84">
    <w:name w:val="Quote"/>
    <w:basedOn w:val="1"/>
    <w:next w:val="1"/>
    <w:link w:val="182"/>
    <w:autoRedefine/>
    <w:qFormat/>
    <w:uiPriority w:val="0"/>
    <w:rPr>
      <w:i/>
      <w:iCs/>
      <w:color w:val="000000"/>
    </w:rPr>
  </w:style>
  <w:style w:type="paragraph" w:customStyle="1" w:styleId="85">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2"/>
      <w:szCs w:val="22"/>
    </w:rPr>
  </w:style>
  <w:style w:type="paragraph" w:customStyle="1" w:styleId="86">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87">
    <w:name w:val="zbzw1"/>
    <w:autoRedefine/>
    <w:qFormat/>
    <w:uiPriority w:val="0"/>
    <w:pPr>
      <w:tabs>
        <w:tab w:val="left" w:pos="720"/>
      </w:tabs>
      <w:spacing w:line="360" w:lineRule="exact"/>
      <w:ind w:firstLine="414" w:firstLineChars="200"/>
    </w:pPr>
    <w:rPr>
      <w:rFonts w:ascii="Times New Roman" w:hAnsi="Times New Roman" w:eastAsia="宋体" w:cs="Times New Roman"/>
      <w:spacing w:val="-2"/>
      <w:sz w:val="21"/>
      <w:szCs w:val="24"/>
      <w:lang w:val="en-US" w:eastAsia="zh-CN" w:bidi="ar-SA"/>
    </w:rPr>
  </w:style>
  <w:style w:type="paragraph" w:customStyle="1" w:styleId="88">
    <w:name w:val="列出段落1"/>
    <w:basedOn w:val="1"/>
    <w:autoRedefine/>
    <w:qFormat/>
    <w:uiPriority w:val="34"/>
    <w:pPr>
      <w:ind w:firstLine="420" w:firstLineChars="200"/>
    </w:pPr>
    <w:rPr>
      <w:rFonts w:hint="eastAsia"/>
      <w:szCs w:val="22"/>
    </w:rPr>
  </w:style>
  <w:style w:type="paragraph" w:styleId="89">
    <w:name w:val="Intense Quote"/>
    <w:basedOn w:val="1"/>
    <w:next w:val="1"/>
    <w:link w:val="260"/>
    <w:autoRedefine/>
    <w:qFormat/>
    <w:uiPriority w:val="0"/>
    <w:pPr>
      <w:pBdr>
        <w:bottom w:val="single" w:color="4F81BD" w:sz="4" w:space="4"/>
      </w:pBdr>
      <w:spacing w:before="200" w:after="280"/>
      <w:ind w:left="936" w:right="936"/>
    </w:pPr>
    <w:rPr>
      <w:b/>
      <w:bCs/>
      <w:i/>
      <w:iCs/>
      <w:color w:val="4F81BD"/>
      <w:szCs w:val="22"/>
    </w:rPr>
  </w:style>
  <w:style w:type="paragraph" w:customStyle="1" w:styleId="90">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91">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92">
    <w:name w:val="标书标题2"/>
    <w:basedOn w:val="6"/>
    <w:autoRedefine/>
    <w:qFormat/>
    <w:uiPriority w:val="0"/>
    <w:pPr>
      <w:keepLines w:val="0"/>
      <w:widowControl/>
      <w:tabs>
        <w:tab w:val="left" w:pos="567"/>
      </w:tabs>
      <w:adjustRightInd w:val="0"/>
      <w:snapToGrid w:val="0"/>
      <w:spacing w:before="156" w:beforeLines="50" w:after="60" w:line="300" w:lineRule="auto"/>
      <w:ind w:left="567" w:hanging="567"/>
      <w:jc w:val="left"/>
    </w:pPr>
    <w:rPr>
      <w:rFonts w:ascii="Arial Narrow" w:hAnsi="Arial Narrow" w:eastAsia="仿宋_GB2312"/>
      <w:bCs w:val="0"/>
      <w:kern w:val="0"/>
      <w:sz w:val="28"/>
      <w:szCs w:val="20"/>
    </w:rPr>
  </w:style>
  <w:style w:type="paragraph" w:customStyle="1" w:styleId="93">
    <w:name w:val="Char2"/>
    <w:basedOn w:val="1"/>
    <w:autoRedefine/>
    <w:qFormat/>
    <w:uiPriority w:val="0"/>
    <w:rPr>
      <w:rFonts w:ascii="仿宋_GB2312" w:eastAsia="仿宋_GB2312"/>
      <w:b/>
      <w:sz w:val="32"/>
      <w:szCs w:val="32"/>
    </w:rPr>
  </w:style>
  <w:style w:type="paragraph" w:customStyle="1" w:styleId="94">
    <w:name w:val="空半行"/>
    <w:basedOn w:val="1"/>
    <w:autoRedefine/>
    <w:qFormat/>
    <w:uiPriority w:val="0"/>
    <w:pPr>
      <w:adjustRightInd w:val="0"/>
      <w:spacing w:line="120" w:lineRule="exact"/>
      <w:textAlignment w:val="baseline"/>
    </w:pPr>
    <w:rPr>
      <w:rFonts w:ascii="方正综艺简体" w:hAnsi="方正综艺简体" w:eastAsia="方正综艺简体" w:cs="方正综艺简体"/>
      <w:color w:val="FFFFFF"/>
      <w:kern w:val="0"/>
      <w:sz w:val="30"/>
      <w:szCs w:val="20"/>
    </w:rPr>
  </w:style>
  <w:style w:type="paragraph" w:customStyle="1" w:styleId="95">
    <w:name w:val="正文文字表格居中"/>
    <w:basedOn w:val="1"/>
    <w:next w:val="43"/>
    <w:autoRedefine/>
    <w:qFormat/>
    <w:uiPriority w:val="0"/>
    <w:pPr>
      <w:spacing w:line="400" w:lineRule="exact"/>
      <w:jc w:val="center"/>
    </w:pPr>
    <w:rPr>
      <w:b/>
      <w:bCs/>
      <w:sz w:val="24"/>
    </w:rPr>
  </w:style>
  <w:style w:type="paragraph" w:customStyle="1" w:styleId="96">
    <w:name w:val="Pa1"/>
    <w:basedOn w:val="1"/>
    <w:next w:val="1"/>
    <w:autoRedefine/>
    <w:qFormat/>
    <w:uiPriority w:val="0"/>
    <w:pPr>
      <w:widowControl/>
      <w:autoSpaceDE w:val="0"/>
      <w:autoSpaceDN w:val="0"/>
      <w:adjustRightInd w:val="0"/>
      <w:spacing w:line="241" w:lineRule="atLeast"/>
      <w:jc w:val="left"/>
    </w:pPr>
    <w:rPr>
      <w:rFonts w:ascii="Univers 45 Light" w:hAnsi="Univers 45 Light"/>
      <w:kern w:val="0"/>
      <w:sz w:val="24"/>
      <w:lang w:val="de-DE" w:eastAsia="de-DE"/>
    </w:rPr>
  </w:style>
  <w:style w:type="paragraph" w:customStyle="1" w:styleId="97">
    <w:name w:val="小节"/>
    <w:basedOn w:val="7"/>
    <w:autoRedefine/>
    <w:qFormat/>
    <w:uiPriority w:val="0"/>
    <w:pPr>
      <w:spacing w:before="200" w:after="200" w:line="560" w:lineRule="exact"/>
      <w:jc w:val="left"/>
    </w:pPr>
    <w:rPr>
      <w:rFonts w:ascii="宋体" w:hAnsi="宋体" w:eastAsia="宋体"/>
      <w:b/>
      <w:color w:val="000000"/>
      <w:spacing w:val="10"/>
      <w:szCs w:val="32"/>
    </w:rPr>
  </w:style>
  <w:style w:type="paragraph" w:customStyle="1" w:styleId="98">
    <w:name w:val="此正文"/>
    <w:basedOn w:val="1"/>
    <w:autoRedefine/>
    <w:qFormat/>
    <w:uiPriority w:val="0"/>
    <w:pPr>
      <w:spacing w:line="360" w:lineRule="auto"/>
      <w:ind w:firstLine="480" w:firstLineChars="200"/>
    </w:pPr>
    <w:rPr>
      <w:sz w:val="24"/>
    </w:rPr>
  </w:style>
  <w:style w:type="paragraph" w:customStyle="1" w:styleId="99">
    <w:name w:val="font6"/>
    <w:basedOn w:val="1"/>
    <w:autoRedefine/>
    <w:qFormat/>
    <w:uiPriority w:val="0"/>
    <w:pPr>
      <w:widowControl/>
      <w:spacing w:before="100" w:beforeAutospacing="1" w:after="100" w:afterAutospacing="1"/>
      <w:jc w:val="left"/>
    </w:pPr>
    <w:rPr>
      <w:rFonts w:eastAsia="Arial Unicode MS"/>
      <w:kern w:val="0"/>
      <w:szCs w:val="21"/>
      <w:lang w:eastAsia="en-US"/>
    </w:rPr>
  </w:style>
  <w:style w:type="paragraph" w:customStyle="1" w:styleId="10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lang w:eastAsia="en-US"/>
    </w:rPr>
  </w:style>
  <w:style w:type="paragraph" w:customStyle="1" w:styleId="101">
    <w:name w:val="Char Char"/>
    <w:basedOn w:val="1"/>
    <w:autoRedefine/>
    <w:qFormat/>
    <w:uiPriority w:val="0"/>
    <w:rPr>
      <w:rFonts w:ascii="仿宋_GB2312" w:eastAsia="仿宋_GB2312"/>
      <w:b/>
      <w:sz w:val="32"/>
      <w:szCs w:val="32"/>
    </w:rPr>
  </w:style>
  <w:style w:type="paragraph" w:customStyle="1" w:styleId="102">
    <w:name w:val="菲页1"/>
    <w:basedOn w:val="6"/>
    <w:autoRedefine/>
    <w:qFormat/>
    <w:uiPriority w:val="0"/>
    <w:pPr>
      <w:keepNext w:val="0"/>
      <w:widowControl/>
      <w:jc w:val="center"/>
    </w:pPr>
    <w:rPr>
      <w:rFonts w:ascii="黑体" w:hAnsi="宋体"/>
      <w:b w:val="0"/>
      <w:bCs w:val="0"/>
      <w:color w:val="000000"/>
      <w:kern w:val="0"/>
      <w:sz w:val="52"/>
      <w:szCs w:val="20"/>
    </w:rPr>
  </w:style>
  <w:style w:type="paragraph" w:customStyle="1" w:styleId="103">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4">
    <w:name w:val="Char Char Char"/>
    <w:basedOn w:val="1"/>
    <w:autoRedefine/>
    <w:qFormat/>
    <w:uiPriority w:val="0"/>
    <w:rPr>
      <w:szCs w:val="20"/>
    </w:rPr>
  </w:style>
  <w:style w:type="paragraph" w:customStyle="1" w:styleId="105">
    <w:name w:val="样式 表格内文字 + (符号) 宋体"/>
    <w:basedOn w:val="106"/>
    <w:link w:val="193"/>
    <w:autoRedefine/>
    <w:qFormat/>
    <w:uiPriority w:val="0"/>
  </w:style>
  <w:style w:type="paragraph" w:customStyle="1" w:styleId="106">
    <w:name w:val="表格内文字"/>
    <w:basedOn w:val="1"/>
    <w:link w:val="194"/>
    <w:autoRedefine/>
    <w:qFormat/>
    <w:uiPriority w:val="0"/>
    <w:pPr>
      <w:spacing w:line="0" w:lineRule="atLeast"/>
      <w:jc w:val="center"/>
    </w:pPr>
    <w:rPr>
      <w:rFonts w:ascii="宋体"/>
      <w:szCs w:val="32"/>
    </w:rPr>
  </w:style>
  <w:style w:type="paragraph" w:customStyle="1" w:styleId="107">
    <w:name w:val="菲页2"/>
    <w:basedOn w:val="7"/>
    <w:autoRedefine/>
    <w:qFormat/>
    <w:uiPriority w:val="0"/>
    <w:pPr>
      <w:widowControl/>
      <w:tabs>
        <w:tab w:val="left" w:pos="1595"/>
      </w:tabs>
      <w:spacing w:before="120" w:after="120" w:line="360" w:lineRule="auto"/>
      <w:ind w:left="1595" w:hanging="425"/>
      <w:jc w:val="center"/>
    </w:pPr>
    <w:rPr>
      <w:rFonts w:ascii="黑体" w:hAnsi="宋体"/>
      <w:spacing w:val="0"/>
      <w:kern w:val="0"/>
      <w:sz w:val="44"/>
    </w:rPr>
  </w:style>
  <w:style w:type="paragraph" w:customStyle="1" w:styleId="108">
    <w:name w:val="flNote"/>
    <w:basedOn w:val="1"/>
    <w:autoRedefine/>
    <w:qFormat/>
    <w:uiPriority w:val="0"/>
    <w:pPr>
      <w:adjustRightInd w:val="0"/>
      <w:spacing w:before="320" w:after="160" w:line="360" w:lineRule="atLeast"/>
      <w:jc w:val="center"/>
      <w:textAlignment w:val="baseline"/>
    </w:pPr>
    <w:rPr>
      <w:rFonts w:ascii="方正综艺简体" w:hAnsi="方正综艺简体" w:eastAsia="方正综艺简体" w:cs="方正综艺简体"/>
      <w:kern w:val="0"/>
      <w:sz w:val="30"/>
      <w:szCs w:val="20"/>
    </w:rPr>
  </w:style>
  <w:style w:type="paragraph" w:customStyle="1" w:styleId="109">
    <w:name w:val="简单回函地址"/>
    <w:basedOn w:val="1"/>
    <w:autoRedefine/>
    <w:qFormat/>
    <w:uiPriority w:val="0"/>
    <w:pPr>
      <w:spacing w:line="460" w:lineRule="exact"/>
      <w:ind w:firstLine="200" w:firstLineChars="200"/>
    </w:pPr>
    <w:rPr>
      <w:spacing w:val="12"/>
      <w:sz w:val="24"/>
      <w:szCs w:val="20"/>
    </w:rPr>
  </w:style>
  <w:style w:type="paragraph" w:customStyle="1" w:styleId="110">
    <w:name w:val="(一)"/>
    <w:basedOn w:val="1"/>
    <w:autoRedefine/>
    <w:qFormat/>
    <w:uiPriority w:val="0"/>
    <w:pPr>
      <w:jc w:val="left"/>
    </w:pPr>
  </w:style>
  <w:style w:type="paragraph" w:customStyle="1" w:styleId="111">
    <w:name w:val="font5"/>
    <w:basedOn w:val="1"/>
    <w:autoRedefine/>
    <w:qFormat/>
    <w:uiPriority w:val="0"/>
    <w:pPr>
      <w:widowControl/>
      <w:spacing w:before="100" w:beforeAutospacing="1" w:after="100" w:afterAutospacing="1"/>
      <w:jc w:val="left"/>
    </w:pPr>
    <w:rPr>
      <w:rFonts w:hint="eastAsia" w:ascii="宋体" w:hAnsi="宋体" w:cs="Courier New"/>
      <w:kern w:val="0"/>
      <w:sz w:val="18"/>
      <w:szCs w:val="18"/>
      <w:lang w:eastAsia="en-US"/>
    </w:rPr>
  </w:style>
  <w:style w:type="paragraph" w:customStyle="1" w:styleId="112">
    <w:name w:val="正文－恩普"/>
    <w:basedOn w:val="10"/>
    <w:autoRedefine/>
    <w:qFormat/>
    <w:uiPriority w:val="0"/>
    <w:pPr>
      <w:spacing w:line="360" w:lineRule="auto"/>
      <w:ind w:firstLine="200" w:firstLineChars="200"/>
    </w:pPr>
    <w:rPr>
      <w:spacing w:val="0"/>
      <w:kern w:val="2"/>
      <w:szCs w:val="24"/>
    </w:rPr>
  </w:style>
  <w:style w:type="paragraph" w:customStyle="1" w:styleId="113">
    <w:name w:val="font7"/>
    <w:basedOn w:val="1"/>
    <w:autoRedefine/>
    <w:qFormat/>
    <w:uiPriority w:val="0"/>
    <w:pPr>
      <w:widowControl/>
      <w:spacing w:before="100" w:beforeAutospacing="1" w:after="100" w:afterAutospacing="1"/>
      <w:jc w:val="left"/>
    </w:pPr>
    <w:rPr>
      <w:rFonts w:hint="eastAsia" w:ascii="宋体" w:hAnsi="宋体" w:cs="Courier New"/>
      <w:kern w:val="0"/>
      <w:szCs w:val="21"/>
      <w:lang w:eastAsia="en-US"/>
    </w:rPr>
  </w:style>
  <w:style w:type="paragraph" w:customStyle="1" w:styleId="114">
    <w:name w:val="Char1 Char Char Char"/>
    <w:basedOn w:val="10"/>
    <w:autoRedefine/>
    <w:qFormat/>
    <w:uiPriority w:val="0"/>
    <w:pPr>
      <w:spacing w:line="360" w:lineRule="auto"/>
      <w:ind w:firstLine="200" w:firstLineChars="200"/>
    </w:pPr>
    <w:rPr>
      <w:spacing w:val="0"/>
      <w:kern w:val="2"/>
      <w:szCs w:val="24"/>
    </w:rPr>
  </w:style>
  <w:style w:type="paragraph" w:customStyle="1" w:styleId="115">
    <w:name w:val="table_1stline"/>
    <w:basedOn w:val="1"/>
    <w:autoRedefine/>
    <w:qFormat/>
    <w:uiPriority w:val="0"/>
    <w:pPr>
      <w:widowControl/>
      <w:spacing w:before="120"/>
      <w:jc w:val="left"/>
    </w:pPr>
    <w:rPr>
      <w:bCs/>
      <w:kern w:val="0"/>
      <w:sz w:val="20"/>
      <w:szCs w:val="20"/>
      <w:lang w:val="de-DE" w:eastAsia="de-DE"/>
    </w:rPr>
  </w:style>
  <w:style w:type="paragraph" w:customStyle="1" w:styleId="116">
    <w:name w:val="样式 标题 3 + 红色"/>
    <w:basedOn w:val="7"/>
    <w:autoRedefine/>
    <w:qFormat/>
    <w:uiPriority w:val="0"/>
    <w:pPr>
      <w:spacing w:before="120" w:after="120" w:line="700" w:lineRule="exact"/>
      <w:jc w:val="left"/>
    </w:pPr>
    <w:rPr>
      <w:rFonts w:ascii="宋体" w:hAnsi="宋体" w:eastAsia="宋体"/>
      <w:b/>
      <w:bCs/>
      <w:color w:val="FF0000"/>
      <w:spacing w:val="10"/>
      <w:szCs w:val="32"/>
    </w:rPr>
  </w:style>
  <w:style w:type="paragraph" w:customStyle="1" w:styleId="117">
    <w:name w:val="zbzw"/>
    <w:basedOn w:val="1"/>
    <w:autoRedefine/>
    <w:qFormat/>
    <w:uiPriority w:val="0"/>
    <w:pPr>
      <w:tabs>
        <w:tab w:val="left" w:pos="720"/>
      </w:tabs>
      <w:spacing w:line="430" w:lineRule="exact"/>
      <w:ind w:right="-76"/>
    </w:pPr>
    <w:rPr>
      <w:szCs w:val="21"/>
    </w:rPr>
  </w:style>
  <w:style w:type="paragraph" w:customStyle="1" w:styleId="118">
    <w:name w:val="Char Char Char2 Char"/>
    <w:basedOn w:val="1"/>
    <w:autoRedefine/>
    <w:qFormat/>
    <w:uiPriority w:val="0"/>
    <w:pPr>
      <w:tabs>
        <w:tab w:val="left" w:pos="360"/>
      </w:tabs>
      <w:ind w:left="360" w:hanging="360"/>
    </w:pPr>
    <w:rPr>
      <w:rFonts w:ascii="方正综艺简体" w:hAnsi="方正综艺简体" w:eastAsia="方正综艺简体" w:cs="方正综艺简体"/>
    </w:rPr>
  </w:style>
  <w:style w:type="paragraph" w:customStyle="1" w:styleId="119">
    <w:name w:val="发文标题"/>
    <w:basedOn w:val="1"/>
    <w:autoRedefine/>
    <w:qFormat/>
    <w:uiPriority w:val="0"/>
    <w:pPr>
      <w:spacing w:beforeLines="20" w:afterLines="20" w:line="0" w:lineRule="atLeast"/>
      <w:jc w:val="center"/>
    </w:pPr>
    <w:rPr>
      <w:rFonts w:ascii="宋体"/>
      <w:b/>
      <w:spacing w:val="-20"/>
      <w:sz w:val="32"/>
      <w:szCs w:val="44"/>
    </w:rPr>
  </w:style>
  <w:style w:type="paragraph" w:customStyle="1" w:styleId="120">
    <w:name w:val="Pa0"/>
    <w:basedOn w:val="1"/>
    <w:next w:val="1"/>
    <w:autoRedefine/>
    <w:qFormat/>
    <w:uiPriority w:val="0"/>
    <w:pPr>
      <w:widowControl/>
      <w:autoSpaceDE w:val="0"/>
      <w:autoSpaceDN w:val="0"/>
      <w:adjustRightInd w:val="0"/>
      <w:spacing w:line="241" w:lineRule="atLeast"/>
      <w:jc w:val="left"/>
    </w:pPr>
    <w:rPr>
      <w:rFonts w:ascii="Univers 45 Light" w:hAnsi="Univers 45 Light"/>
      <w:kern w:val="0"/>
      <w:sz w:val="24"/>
      <w:lang w:val="de-DE" w:eastAsia="de-DE"/>
    </w:rPr>
  </w:style>
  <w:style w:type="paragraph" w:customStyle="1" w:styleId="121">
    <w:name w:val="Char1"/>
    <w:basedOn w:val="10"/>
    <w:autoRedefine/>
    <w:qFormat/>
    <w:uiPriority w:val="0"/>
    <w:pPr>
      <w:spacing w:line="360" w:lineRule="auto"/>
      <w:ind w:firstLine="200" w:firstLineChars="200"/>
    </w:pPr>
    <w:rPr>
      <w:spacing w:val="0"/>
      <w:kern w:val="2"/>
      <w:szCs w:val="24"/>
    </w:rPr>
  </w:style>
  <w:style w:type="paragraph" w:customStyle="1" w:styleId="122">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23">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4">
    <w:name w:val="菲页(卷)"/>
    <w:basedOn w:val="5"/>
    <w:next w:val="103"/>
    <w:autoRedefine/>
    <w:qFormat/>
    <w:uiPriority w:val="0"/>
    <w:pPr>
      <w:keepLines w:val="0"/>
      <w:widowControl/>
      <w:tabs>
        <w:tab w:val="left" w:pos="1595"/>
      </w:tabs>
      <w:spacing w:before="0" w:after="0" w:line="240" w:lineRule="auto"/>
      <w:ind w:left="1595" w:hanging="425"/>
      <w:outlineLvl w:val="1"/>
    </w:pPr>
    <w:rPr>
      <w:rFonts w:ascii="黑体" w:eastAsia="黑体"/>
      <w:b w:val="0"/>
      <w:spacing w:val="0"/>
      <w:kern w:val="0"/>
      <w:sz w:val="52"/>
    </w:rPr>
  </w:style>
  <w:style w:type="paragraph" w:customStyle="1" w:styleId="125">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26">
    <w:name w:val="p0"/>
    <w:basedOn w:val="1"/>
    <w:autoRedefine/>
    <w:qFormat/>
    <w:uiPriority w:val="0"/>
    <w:pPr>
      <w:widowControl/>
    </w:pPr>
    <w:rPr>
      <w:kern w:val="0"/>
      <w:szCs w:val="21"/>
    </w:rPr>
  </w:style>
  <w:style w:type="paragraph" w:customStyle="1" w:styleId="127">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Cs w:val="21"/>
      <w:lang w:eastAsia="en-US"/>
    </w:rPr>
  </w:style>
  <w:style w:type="paragraph" w:customStyle="1" w:styleId="128">
    <w:name w:val="标书标题3"/>
    <w:basedOn w:val="7"/>
    <w:autoRedefine/>
    <w:qFormat/>
    <w:uiPriority w:val="0"/>
    <w:pPr>
      <w:widowControl/>
      <w:adjustRightInd w:val="0"/>
      <w:snapToGrid w:val="0"/>
      <w:spacing w:before="120" w:after="60" w:line="300" w:lineRule="auto"/>
      <w:jc w:val="left"/>
    </w:pPr>
    <w:rPr>
      <w:rFonts w:ascii="Arial Narrow" w:hAnsi="Arial Narrow" w:eastAsia="仿宋_GB2312"/>
      <w:color w:val="000000"/>
      <w:spacing w:val="0"/>
      <w:kern w:val="0"/>
      <w:szCs w:val="32"/>
    </w:rPr>
  </w:style>
  <w:style w:type="paragraph" w:customStyle="1" w:styleId="129">
    <w:name w:val="Char Char Char Char"/>
    <w:basedOn w:val="10"/>
    <w:autoRedefine/>
    <w:qFormat/>
    <w:uiPriority w:val="0"/>
    <w:pPr>
      <w:spacing w:line="360" w:lineRule="auto"/>
      <w:ind w:firstLine="200" w:firstLineChars="200"/>
    </w:pPr>
    <w:rPr>
      <w:spacing w:val="0"/>
      <w:kern w:val="2"/>
      <w:szCs w:val="24"/>
    </w:rPr>
  </w:style>
  <w:style w:type="paragraph" w:styleId="130">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_Style 128"/>
    <w:basedOn w:val="5"/>
    <w:next w:val="1"/>
    <w:autoRedefine/>
    <w:qFormat/>
    <w:uiPriority w:val="39"/>
    <w:pPr>
      <w:widowControl/>
      <w:spacing w:before="480" w:after="0" w:line="276" w:lineRule="auto"/>
      <w:jc w:val="left"/>
      <w:outlineLvl w:val="9"/>
    </w:pPr>
    <w:rPr>
      <w:rFonts w:ascii="Cambria" w:hAnsi="Cambria"/>
      <w:bCs/>
      <w:color w:val="365F91"/>
      <w:spacing w:val="0"/>
      <w:kern w:val="0"/>
      <w:sz w:val="28"/>
      <w:szCs w:val="28"/>
    </w:rPr>
  </w:style>
  <w:style w:type="paragraph" w:customStyle="1" w:styleId="132">
    <w:name w:val="样式 五号 居中"/>
    <w:basedOn w:val="1"/>
    <w:autoRedefine/>
    <w:qFormat/>
    <w:uiPriority w:val="0"/>
    <w:pPr>
      <w:spacing w:line="0" w:lineRule="atLeast"/>
      <w:jc w:val="center"/>
    </w:pPr>
    <w:rPr>
      <w:rFonts w:cs="宋体"/>
      <w:sz w:val="24"/>
      <w:szCs w:val="20"/>
    </w:rPr>
  </w:style>
  <w:style w:type="paragraph" w:customStyle="1" w:styleId="13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34">
    <w:name w:val="正文（项目编号）"/>
    <w:basedOn w:val="1"/>
    <w:autoRedefine/>
    <w:qFormat/>
    <w:uiPriority w:val="0"/>
    <w:pPr>
      <w:tabs>
        <w:tab w:val="left" w:pos="980"/>
      </w:tabs>
      <w:spacing w:line="480" w:lineRule="exact"/>
      <w:ind w:left="980" w:hanging="420"/>
    </w:pPr>
    <w:rPr>
      <w:bCs/>
      <w:sz w:val="28"/>
      <w:szCs w:val="20"/>
    </w:rPr>
  </w:style>
  <w:style w:type="paragraph" w:customStyle="1" w:styleId="13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36">
    <w:name w:val="Char Char1"/>
    <w:basedOn w:val="1"/>
    <w:autoRedefine/>
    <w:qFormat/>
    <w:uiPriority w:val="0"/>
    <w:rPr>
      <w:rFonts w:ascii="Tahoma" w:hAnsi="Tahoma"/>
      <w:sz w:val="24"/>
      <w:szCs w:val="20"/>
    </w:rPr>
  </w:style>
  <w:style w:type="paragraph" w:customStyle="1" w:styleId="137">
    <w:name w:val="样式 标题 2 + Times New Roman 四号 非加粗 段前: 5 磅 段后: 0 磅 行距: 固定值 20..."/>
    <w:basedOn w:val="6"/>
    <w:autoRedefine/>
    <w:qFormat/>
    <w:uiPriority w:val="0"/>
    <w:pPr>
      <w:numPr>
        <w:ilvl w:val="1"/>
        <w:numId w:val="2"/>
      </w:numPr>
      <w:tabs>
        <w:tab w:val="left" w:pos="1483"/>
      </w:tabs>
      <w:spacing w:before="100" w:after="0" w:line="400" w:lineRule="exact"/>
    </w:pPr>
    <w:rPr>
      <w:rFonts w:ascii="方正综艺简体" w:hAnsi="方正综艺简体" w:eastAsia="方正综艺简体" w:cs="方正综艺简体"/>
      <w:b w:val="0"/>
      <w:bCs w:val="0"/>
      <w:kern w:val="0"/>
      <w:sz w:val="28"/>
      <w:szCs w:val="20"/>
    </w:rPr>
  </w:style>
  <w:style w:type="paragraph" w:customStyle="1" w:styleId="138">
    <w:name w:val="1、"/>
    <w:basedOn w:val="1"/>
    <w:autoRedefine/>
    <w:qFormat/>
    <w:uiPriority w:val="0"/>
    <w:pPr>
      <w:jc w:val="left"/>
    </w:pPr>
  </w:style>
  <w:style w:type="paragraph" w:customStyle="1" w:styleId="139">
    <w:name w:val="PP 行"/>
    <w:basedOn w:val="34"/>
    <w:autoRedefine/>
    <w:qFormat/>
    <w:uiPriority w:val="0"/>
  </w:style>
  <w:style w:type="paragraph" w:customStyle="1" w:styleId="140">
    <w:name w:val="my title2"/>
    <w:basedOn w:val="1"/>
    <w:autoRedefine/>
    <w:qFormat/>
    <w:uiPriority w:val="0"/>
    <w:pPr>
      <w:widowControl/>
    </w:pPr>
    <w:rPr>
      <w:rFonts w:eastAsia="仿宋_GB2312"/>
      <w:kern w:val="0"/>
      <w:sz w:val="24"/>
      <w:szCs w:val="20"/>
    </w:rPr>
  </w:style>
  <w:style w:type="paragraph" w:customStyle="1" w:styleId="14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4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43">
    <w:name w:val="样式4"/>
    <w:basedOn w:val="1"/>
    <w:autoRedefine/>
    <w:qFormat/>
    <w:uiPriority w:val="0"/>
    <w:pPr>
      <w:widowControl/>
      <w:tabs>
        <w:tab w:val="left" w:pos="567"/>
      </w:tabs>
      <w:spacing w:before="120" w:after="120" w:line="360" w:lineRule="auto"/>
      <w:ind w:left="851" w:hanging="851"/>
      <w:jc w:val="left"/>
      <w:outlineLvl w:val="3"/>
    </w:pPr>
    <w:rPr>
      <w:rFonts w:eastAsia="黑体"/>
      <w:b/>
      <w:sz w:val="24"/>
    </w:rPr>
  </w:style>
  <w:style w:type="paragraph" w:customStyle="1" w:styleId="144">
    <w:name w:val="font0"/>
    <w:basedOn w:val="1"/>
    <w:autoRedefine/>
    <w:qFormat/>
    <w:uiPriority w:val="0"/>
    <w:pPr>
      <w:widowControl/>
      <w:spacing w:before="100" w:beforeAutospacing="1" w:after="100" w:afterAutospacing="1"/>
      <w:jc w:val="left"/>
    </w:pPr>
    <w:rPr>
      <w:rFonts w:hint="eastAsia" w:ascii="宋体" w:hAnsi="宋体" w:cs="Courier New"/>
      <w:kern w:val="0"/>
      <w:sz w:val="24"/>
      <w:lang w:eastAsia="en-US"/>
    </w:rPr>
  </w:style>
  <w:style w:type="paragraph" w:customStyle="1" w:styleId="145">
    <w:name w:val="bullets (T)"/>
    <w:basedOn w:val="1"/>
    <w:autoRedefine/>
    <w:qFormat/>
    <w:uiPriority w:val="0"/>
    <w:pPr>
      <w:tabs>
        <w:tab w:val="left" w:pos="360"/>
      </w:tabs>
      <w:spacing w:after="100" w:line="240" w:lineRule="exact"/>
      <w:ind w:left="360" w:hanging="360"/>
    </w:pPr>
    <w:rPr>
      <w:snapToGrid w:val="0"/>
      <w:color w:val="000000"/>
      <w:sz w:val="20"/>
      <w:szCs w:val="20"/>
    </w:rPr>
  </w:style>
  <w:style w:type="paragraph" w:customStyle="1" w:styleId="146">
    <w:name w:val="(1)"/>
    <w:basedOn w:val="1"/>
    <w:autoRedefine/>
    <w:qFormat/>
    <w:uiPriority w:val="0"/>
    <w:pPr>
      <w:numPr>
        <w:ilvl w:val="5"/>
        <w:numId w:val="3"/>
      </w:numPr>
      <w:jc w:val="left"/>
    </w:pPr>
  </w:style>
  <w:style w:type="paragraph" w:customStyle="1" w:styleId="147">
    <w:name w:val="正文 + (中文) 仿宋_GB2312"/>
    <w:basedOn w:val="1"/>
    <w:link w:val="218"/>
    <w:autoRedefine/>
    <w:qFormat/>
    <w:uiPriority w:val="0"/>
    <w:pPr>
      <w:adjustRightInd w:val="0"/>
      <w:snapToGrid w:val="0"/>
      <w:spacing w:line="360" w:lineRule="exact"/>
      <w:ind w:firstLine="408" w:firstLineChars="170"/>
      <w:textAlignment w:val="baseline"/>
    </w:pPr>
    <w:rPr>
      <w:kern w:val="0"/>
      <w:sz w:val="24"/>
    </w:rPr>
  </w:style>
  <w:style w:type="paragraph" w:customStyle="1" w:styleId="148">
    <w:name w:val="xl32"/>
    <w:basedOn w:val="1"/>
    <w:autoRedefine/>
    <w:qFormat/>
    <w:uiPriority w:val="0"/>
    <w:pPr>
      <w:widowControl/>
      <w:spacing w:before="100" w:beforeAutospacing="1" w:after="100" w:afterAutospacing="1"/>
      <w:jc w:val="left"/>
      <w:textAlignment w:val="center"/>
    </w:pPr>
    <w:rPr>
      <w:rFonts w:ascii="宋体" w:hAnsi="宋体"/>
      <w:kern w:val="0"/>
      <w:szCs w:val="21"/>
    </w:rPr>
  </w:style>
  <w:style w:type="paragraph" w:customStyle="1" w:styleId="14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lang w:eastAsia="en-US"/>
    </w:rPr>
  </w:style>
  <w:style w:type="paragraph" w:customStyle="1" w:styleId="150">
    <w:name w:val="样式 标题 3 + (中文) 黑体 小四 非加粗 段前: 7.8 磅 段后: 0 磅 行距: 固定值 20 磅"/>
    <w:basedOn w:val="7"/>
    <w:autoRedefine/>
    <w:qFormat/>
    <w:uiPriority w:val="0"/>
    <w:pPr>
      <w:numPr>
        <w:ilvl w:val="2"/>
        <w:numId w:val="2"/>
      </w:numPr>
      <w:tabs>
        <w:tab w:val="left" w:pos="1903"/>
      </w:tabs>
      <w:spacing w:line="400" w:lineRule="exact"/>
      <w:ind w:left="1903"/>
    </w:pPr>
    <w:rPr>
      <w:rFonts w:ascii="方正综艺简体" w:hAnsi="方正综艺简体" w:eastAsia="方正综艺简体" w:cs="方正综艺简体"/>
      <w:spacing w:val="0"/>
      <w:kern w:val="2"/>
      <w:sz w:val="24"/>
    </w:rPr>
  </w:style>
  <w:style w:type="paragraph" w:customStyle="1" w:styleId="151">
    <w:name w:val="样式2"/>
    <w:basedOn w:val="5"/>
    <w:link w:val="271"/>
    <w:autoRedefine/>
    <w:qFormat/>
    <w:uiPriority w:val="0"/>
    <w:pPr>
      <w:tabs>
        <w:tab w:val="left" w:pos="482"/>
        <w:tab w:val="left" w:pos="2183"/>
        <w:tab w:val="left" w:pos="3884"/>
        <w:tab w:val="left" w:pos="5585"/>
      </w:tabs>
      <w:adjustRightInd w:val="0"/>
      <w:spacing w:before="0" w:after="240" w:line="360" w:lineRule="auto"/>
      <w:textAlignment w:val="baseline"/>
    </w:pPr>
    <w:rPr>
      <w:rFonts w:ascii="方正综艺简体" w:hAnsi="方正综艺简体" w:eastAsia="方正综艺简体"/>
      <w:b w:val="0"/>
      <w:bCs/>
      <w:spacing w:val="0"/>
      <w:sz w:val="44"/>
      <w:szCs w:val="44"/>
    </w:rPr>
  </w:style>
  <w:style w:type="paragraph" w:customStyle="1" w:styleId="152">
    <w:name w:val="目录"/>
    <w:basedOn w:val="1"/>
    <w:autoRedefine/>
    <w:qFormat/>
    <w:uiPriority w:val="0"/>
    <w:pPr>
      <w:widowControl/>
      <w:jc w:val="center"/>
    </w:pPr>
    <w:rPr>
      <w:rFonts w:hint="eastAsia" w:ascii="宋体"/>
      <w:b/>
      <w:kern w:val="0"/>
      <w:sz w:val="36"/>
      <w:szCs w:val="20"/>
    </w:rPr>
  </w:style>
  <w:style w:type="paragraph" w:customStyle="1" w:styleId="153">
    <w:name w:val="font8"/>
    <w:basedOn w:val="1"/>
    <w:autoRedefine/>
    <w:qFormat/>
    <w:uiPriority w:val="0"/>
    <w:pPr>
      <w:widowControl/>
      <w:spacing w:before="100" w:beforeAutospacing="1" w:after="100" w:afterAutospacing="1"/>
      <w:jc w:val="left"/>
    </w:pPr>
    <w:rPr>
      <w:rFonts w:eastAsia="Arial Unicode MS"/>
      <w:kern w:val="0"/>
      <w:sz w:val="24"/>
      <w:lang w:eastAsia="en-US"/>
    </w:rPr>
  </w:style>
  <w:style w:type="paragraph" w:customStyle="1" w:styleId="154">
    <w:name w:val="Pa2"/>
    <w:basedOn w:val="1"/>
    <w:next w:val="1"/>
    <w:autoRedefine/>
    <w:qFormat/>
    <w:uiPriority w:val="0"/>
    <w:pPr>
      <w:widowControl/>
      <w:autoSpaceDE w:val="0"/>
      <w:autoSpaceDN w:val="0"/>
      <w:adjustRightInd w:val="0"/>
      <w:spacing w:line="241" w:lineRule="atLeast"/>
      <w:jc w:val="left"/>
    </w:pPr>
    <w:rPr>
      <w:rFonts w:ascii="Univers 45 Light" w:hAnsi="Univers 45 Light"/>
      <w:kern w:val="0"/>
      <w:sz w:val="24"/>
      <w:lang w:val="de-DE" w:eastAsia="de-DE"/>
    </w:rPr>
  </w:style>
  <w:style w:type="paragraph" w:customStyle="1" w:styleId="155">
    <w:name w:val="_Style 153"/>
    <w:autoRedefine/>
    <w:qFormat/>
    <w:uiPriority w:val="0"/>
    <w:rPr>
      <w:rFonts w:ascii="方正综艺简体" w:hAnsi="方正综艺简体" w:eastAsia="方正综艺简体" w:cs="方正综艺简体"/>
      <w:kern w:val="2"/>
      <w:sz w:val="21"/>
      <w:szCs w:val="24"/>
      <w:lang w:val="en-US" w:eastAsia="zh-CN" w:bidi="ar-SA"/>
    </w:rPr>
  </w:style>
  <w:style w:type="paragraph" w:customStyle="1" w:styleId="156">
    <w:name w:val="标书标题4"/>
    <w:basedOn w:val="8"/>
    <w:autoRedefine/>
    <w:qFormat/>
    <w:uiPriority w:val="0"/>
    <w:pPr>
      <w:keepLines w:val="0"/>
      <w:adjustRightInd w:val="0"/>
      <w:snapToGrid w:val="0"/>
      <w:spacing w:before="0" w:after="0" w:line="300" w:lineRule="auto"/>
    </w:pPr>
    <w:rPr>
      <w:rFonts w:ascii="Arial Narrow" w:hAnsi="Arial Narrow" w:eastAsia="仿宋_GB2312"/>
      <w:bCs w:val="0"/>
      <w:color w:val="000000"/>
      <w:kern w:val="0"/>
      <w:sz w:val="28"/>
      <w:szCs w:val="32"/>
    </w:rPr>
  </w:style>
  <w:style w:type="paragraph" w:customStyle="1" w:styleId="157">
    <w:name w:val="标书正文"/>
    <w:basedOn w:val="3"/>
    <w:autoRedefine/>
    <w:qFormat/>
    <w:uiPriority w:val="0"/>
    <w:pPr>
      <w:adjustRightInd w:val="0"/>
      <w:snapToGrid w:val="0"/>
      <w:spacing w:after="0" w:line="400" w:lineRule="exact"/>
      <w:ind w:firstLine="1276"/>
    </w:pPr>
    <w:rPr>
      <w:rFonts w:ascii="宋体" w:hAnsi="宋体" w:eastAsia="黑体"/>
      <w:kern w:val="0"/>
      <w:sz w:val="24"/>
      <w:szCs w:val="20"/>
    </w:rPr>
  </w:style>
  <w:style w:type="paragraph" w:customStyle="1" w:styleId="158">
    <w:name w:val="正文首缩"/>
    <w:basedOn w:val="1"/>
    <w:next w:val="8"/>
    <w:autoRedefine/>
    <w:qFormat/>
    <w:uiPriority w:val="0"/>
    <w:pPr>
      <w:adjustRightInd w:val="0"/>
      <w:spacing w:line="324" w:lineRule="auto"/>
      <w:ind w:firstLine="567"/>
      <w:textAlignment w:val="baseline"/>
    </w:pPr>
    <w:rPr>
      <w:kern w:val="0"/>
      <w:sz w:val="28"/>
    </w:rPr>
  </w:style>
  <w:style w:type="paragraph" w:customStyle="1" w:styleId="15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4"/>
      <w:szCs w:val="14"/>
      <w:lang w:eastAsia="en-US"/>
    </w:rPr>
  </w:style>
  <w:style w:type="paragraph" w:customStyle="1" w:styleId="160">
    <w:name w:val="zbzw2"/>
    <w:basedOn w:val="82"/>
    <w:autoRedefine/>
    <w:qFormat/>
    <w:uiPriority w:val="0"/>
    <w:pPr>
      <w:tabs>
        <w:tab w:val="left" w:pos="720"/>
      </w:tabs>
      <w:spacing w:before="0" w:after="0" w:line="380" w:lineRule="exact"/>
      <w:ind w:right="-76" w:firstLine="420" w:firstLineChars="200"/>
    </w:pPr>
    <w:rPr>
      <w:b w:val="0"/>
      <w:sz w:val="21"/>
      <w:szCs w:val="21"/>
    </w:rPr>
  </w:style>
  <w:style w:type="paragraph" w:customStyle="1" w:styleId="161">
    <w:name w:val="Char Char Char Char11"/>
    <w:basedOn w:val="1"/>
    <w:autoRedefine/>
    <w:qFormat/>
    <w:uiPriority w:val="0"/>
    <w:rPr>
      <w:rFonts w:ascii="方正综艺简体" w:hAnsi="方正综艺简体" w:eastAsia="方正综艺简体" w:cs="方正综艺简体"/>
    </w:rPr>
  </w:style>
  <w:style w:type="paragraph" w:customStyle="1" w:styleId="162">
    <w:name w:val="Indent a)"/>
    <w:basedOn w:val="1"/>
    <w:autoRedefine/>
    <w:qFormat/>
    <w:uiPriority w:val="0"/>
    <w:pPr>
      <w:widowControl/>
      <w:tabs>
        <w:tab w:val="left" w:pos="1843"/>
        <w:tab w:val="right" w:pos="9072"/>
      </w:tabs>
      <w:suppressAutoHyphens/>
      <w:spacing w:line="360" w:lineRule="auto"/>
      <w:ind w:right="-21" w:rightChars="-10" w:firstLine="420" w:firstLineChars="200"/>
    </w:pPr>
    <w:rPr>
      <w:rFonts w:ascii="宋体" w:hAnsi="宋体"/>
      <w:color w:val="000000"/>
      <w:szCs w:val="20"/>
    </w:rPr>
  </w:style>
  <w:style w:type="paragraph" w:customStyle="1" w:styleId="163">
    <w:name w:val="标题5"/>
    <w:basedOn w:val="7"/>
    <w:link w:val="169"/>
    <w:autoRedefine/>
    <w:qFormat/>
    <w:uiPriority w:val="0"/>
    <w:pPr>
      <w:tabs>
        <w:tab w:val="left" w:pos="1903"/>
        <w:tab w:val="left" w:pos="2400"/>
      </w:tabs>
      <w:ind w:left="1903" w:hanging="420"/>
    </w:pPr>
    <w:rPr>
      <w:rFonts w:ascii="Times New Roman" w:hAnsi="Times New Roman" w:eastAsia="宋体"/>
      <w:b/>
      <w:bCs/>
      <w:spacing w:val="0"/>
      <w:kern w:val="0"/>
      <w:sz w:val="24"/>
      <w:szCs w:val="32"/>
    </w:rPr>
  </w:style>
  <w:style w:type="paragraph" w:customStyle="1" w:styleId="164">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6"/>
      <w:szCs w:val="16"/>
      <w:lang w:eastAsia="en-US"/>
    </w:rPr>
  </w:style>
  <w:style w:type="paragraph" w:customStyle="1" w:styleId="16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character" w:customStyle="1" w:styleId="166">
    <w:name w:val="my-notice1"/>
    <w:basedOn w:val="51"/>
    <w:autoRedefine/>
    <w:qFormat/>
    <w:uiPriority w:val="0"/>
  </w:style>
  <w:style w:type="character" w:customStyle="1" w:styleId="167">
    <w:name w:val="Blockquote Char Char"/>
    <w:autoRedefine/>
    <w:qFormat/>
    <w:uiPriority w:val="0"/>
    <w:rPr>
      <w:rFonts w:eastAsia="宋体"/>
      <w:sz w:val="24"/>
      <w:lang w:val="en-US" w:eastAsia="zh-CN" w:bidi="ar-SA"/>
    </w:rPr>
  </w:style>
  <w:style w:type="character" w:customStyle="1" w:styleId="168">
    <w:name w:val="bds_more1"/>
    <w:autoRedefine/>
    <w:qFormat/>
    <w:uiPriority w:val="0"/>
    <w:rPr>
      <w:rFonts w:hint="eastAsia" w:ascii="宋体" w:hAnsi="宋体" w:eastAsia="宋体" w:cs="宋体"/>
    </w:rPr>
  </w:style>
  <w:style w:type="character" w:customStyle="1" w:styleId="169">
    <w:name w:val="标题5 Char Char"/>
    <w:link w:val="163"/>
    <w:autoRedefine/>
    <w:qFormat/>
    <w:uiPriority w:val="0"/>
    <w:rPr>
      <w:b/>
      <w:bCs/>
      <w:sz w:val="24"/>
      <w:szCs w:val="32"/>
    </w:rPr>
  </w:style>
  <w:style w:type="character" w:customStyle="1" w:styleId="170">
    <w:name w:val="no7"/>
    <w:basedOn w:val="51"/>
    <w:autoRedefine/>
    <w:qFormat/>
    <w:uiPriority w:val="0"/>
  </w:style>
  <w:style w:type="character" w:customStyle="1" w:styleId="171">
    <w:name w:val="ico-jiang1"/>
    <w:basedOn w:val="51"/>
    <w:autoRedefine/>
    <w:qFormat/>
    <w:uiPriority w:val="0"/>
  </w:style>
  <w:style w:type="character" w:customStyle="1" w:styleId="172">
    <w:name w:val="tip10"/>
    <w:autoRedefine/>
    <w:qFormat/>
    <w:uiPriority w:val="0"/>
    <w:rPr>
      <w:vanish/>
      <w:color w:val="FF0000"/>
      <w:sz w:val="18"/>
      <w:szCs w:val="18"/>
    </w:rPr>
  </w:style>
  <w:style w:type="character" w:customStyle="1" w:styleId="173">
    <w:name w:val="样式 行距: 1.5 倍行距 Char Char"/>
    <w:link w:val="74"/>
    <w:autoRedefine/>
    <w:qFormat/>
    <w:uiPriority w:val="0"/>
    <w:rPr>
      <w:kern w:val="2"/>
      <w:sz w:val="24"/>
    </w:rPr>
  </w:style>
  <w:style w:type="character" w:customStyle="1" w:styleId="174">
    <w:name w:val="标题4 Char Char"/>
    <w:link w:val="69"/>
    <w:autoRedefine/>
    <w:qFormat/>
    <w:uiPriority w:val="0"/>
    <w:rPr>
      <w:b/>
      <w:bCs/>
      <w:sz w:val="24"/>
      <w:szCs w:val="32"/>
    </w:rPr>
  </w:style>
  <w:style w:type="character" w:customStyle="1" w:styleId="175">
    <w:name w:val="标题 7 Char"/>
    <w:link w:val="12"/>
    <w:autoRedefine/>
    <w:qFormat/>
    <w:uiPriority w:val="0"/>
    <w:rPr>
      <w:b/>
      <w:bCs/>
      <w:spacing w:val="6"/>
      <w:kern w:val="2"/>
      <w:sz w:val="24"/>
      <w:szCs w:val="24"/>
    </w:rPr>
  </w:style>
  <w:style w:type="character" w:customStyle="1" w:styleId="176">
    <w:name w:val="批注主题 Char"/>
    <w:link w:val="47"/>
    <w:autoRedefine/>
    <w:qFormat/>
    <w:uiPriority w:val="0"/>
    <w:rPr>
      <w:b/>
      <w:bCs/>
      <w:kern w:val="2"/>
      <w:sz w:val="21"/>
      <w:szCs w:val="24"/>
    </w:rPr>
  </w:style>
  <w:style w:type="character" w:customStyle="1" w:styleId="177">
    <w:name w:val="Para head"/>
    <w:autoRedefine/>
    <w:qFormat/>
    <w:uiPriority w:val="0"/>
    <w:rPr>
      <w:rFonts w:ascii="Arial" w:hAnsi="Arial" w:eastAsia="Times New Roman"/>
      <w:sz w:val="20"/>
    </w:rPr>
  </w:style>
  <w:style w:type="character" w:customStyle="1" w:styleId="178">
    <w:name w:val="批注文字 Char"/>
    <w:link w:val="18"/>
    <w:autoRedefine/>
    <w:qFormat/>
    <w:uiPriority w:val="0"/>
    <w:rPr>
      <w:kern w:val="2"/>
      <w:sz w:val="21"/>
      <w:szCs w:val="24"/>
    </w:rPr>
  </w:style>
  <w:style w:type="character" w:customStyle="1" w:styleId="179">
    <w:name w:val="tip9"/>
    <w:autoRedefine/>
    <w:qFormat/>
    <w:uiPriority w:val="0"/>
    <w:rPr>
      <w:vanish/>
      <w:color w:val="FF0000"/>
      <w:sz w:val="18"/>
      <w:szCs w:val="18"/>
    </w:rPr>
  </w:style>
  <w:style w:type="character" w:customStyle="1" w:styleId="180">
    <w:name w:val="列出段落 Char"/>
    <w:link w:val="83"/>
    <w:autoRedefine/>
    <w:qFormat/>
    <w:uiPriority w:val="0"/>
    <w:rPr>
      <w:sz w:val="21"/>
    </w:rPr>
  </w:style>
  <w:style w:type="character" w:customStyle="1" w:styleId="181">
    <w:name w:val="org_name2"/>
    <w:basedOn w:val="51"/>
    <w:autoRedefine/>
    <w:qFormat/>
    <w:uiPriority w:val="0"/>
  </w:style>
  <w:style w:type="character" w:customStyle="1" w:styleId="182">
    <w:name w:val="引用 Char"/>
    <w:link w:val="84"/>
    <w:autoRedefine/>
    <w:qFormat/>
    <w:uiPriority w:val="0"/>
    <w:rPr>
      <w:i/>
      <w:iCs/>
      <w:color w:val="000000"/>
      <w:kern w:val="2"/>
      <w:sz w:val="21"/>
      <w:szCs w:val="24"/>
    </w:rPr>
  </w:style>
  <w:style w:type="character" w:customStyle="1" w:styleId="183">
    <w:name w:val="my-class"/>
    <w:basedOn w:val="51"/>
    <w:autoRedefine/>
    <w:qFormat/>
    <w:uiPriority w:val="0"/>
  </w:style>
  <w:style w:type="character" w:customStyle="1" w:styleId="184">
    <w:name w:val="引用 Char2"/>
    <w:autoRedefine/>
    <w:qFormat/>
    <w:uiPriority w:val="29"/>
    <w:rPr>
      <w:i/>
      <w:iCs/>
      <w:color w:val="404040"/>
      <w:kern w:val="2"/>
      <w:sz w:val="21"/>
      <w:szCs w:val="24"/>
    </w:rPr>
  </w:style>
  <w:style w:type="character" w:customStyle="1" w:styleId="185">
    <w:name w:val="std"/>
    <w:basedOn w:val="51"/>
    <w:autoRedefine/>
    <w:qFormat/>
    <w:uiPriority w:val="0"/>
  </w:style>
  <w:style w:type="character" w:customStyle="1" w:styleId="186">
    <w:name w:val="批注框文本 Char2"/>
    <w:autoRedefine/>
    <w:semiHidden/>
    <w:qFormat/>
    <w:uiPriority w:val="99"/>
    <w:rPr>
      <w:kern w:val="2"/>
      <w:sz w:val="18"/>
      <w:szCs w:val="18"/>
    </w:rPr>
  </w:style>
  <w:style w:type="character" w:customStyle="1" w:styleId="187">
    <w:name w:val="正文首行缩进 Char"/>
    <w:link w:val="4"/>
    <w:autoRedefine/>
    <w:qFormat/>
    <w:uiPriority w:val="0"/>
    <w:rPr>
      <w:sz w:val="24"/>
    </w:rPr>
  </w:style>
  <w:style w:type="character" w:customStyle="1" w:styleId="188">
    <w:name w:val="standardtitle1"/>
    <w:autoRedefine/>
    <w:qFormat/>
    <w:uiPriority w:val="0"/>
    <w:rPr>
      <w:rFonts w:ascii="黑体" w:hAnsi="宋体" w:eastAsia="黑体" w:cs="黑体"/>
      <w:color w:val="000000"/>
      <w:sz w:val="27"/>
      <w:szCs w:val="27"/>
    </w:rPr>
  </w:style>
  <w:style w:type="character" w:customStyle="1" w:styleId="189">
    <w:name w:val="标题 4 Char"/>
    <w:link w:val="8"/>
    <w:autoRedefine/>
    <w:qFormat/>
    <w:uiPriority w:val="0"/>
    <w:rPr>
      <w:rFonts w:eastAsia="黑体"/>
      <w:b/>
      <w:bCs/>
      <w:kern w:val="2"/>
      <w:sz w:val="30"/>
      <w:szCs w:val="28"/>
    </w:rPr>
  </w:style>
  <w:style w:type="character" w:customStyle="1" w:styleId="190">
    <w:name w:val="no52"/>
    <w:basedOn w:val="51"/>
    <w:autoRedefine/>
    <w:qFormat/>
    <w:uiPriority w:val="0"/>
  </w:style>
  <w:style w:type="character" w:customStyle="1" w:styleId="191">
    <w:name w:val="small"/>
    <w:basedOn w:val="51"/>
    <w:autoRedefine/>
    <w:qFormat/>
    <w:uiPriority w:val="0"/>
  </w:style>
  <w:style w:type="character" w:customStyle="1" w:styleId="192">
    <w:name w:val="日期 Char"/>
    <w:link w:val="29"/>
    <w:autoRedefine/>
    <w:qFormat/>
    <w:uiPriority w:val="0"/>
    <w:rPr>
      <w:kern w:val="2"/>
      <w:sz w:val="24"/>
      <w:szCs w:val="24"/>
    </w:rPr>
  </w:style>
  <w:style w:type="character" w:customStyle="1" w:styleId="193">
    <w:name w:val="样式 表格内文字 + (符号) 宋体 Char"/>
    <w:basedOn w:val="194"/>
    <w:link w:val="105"/>
    <w:autoRedefine/>
    <w:qFormat/>
    <w:uiPriority w:val="0"/>
    <w:rPr>
      <w:rFonts w:ascii="宋体"/>
      <w:kern w:val="2"/>
      <w:sz w:val="21"/>
      <w:szCs w:val="32"/>
    </w:rPr>
  </w:style>
  <w:style w:type="character" w:customStyle="1" w:styleId="194">
    <w:name w:val="表格内文字 Char"/>
    <w:link w:val="106"/>
    <w:autoRedefine/>
    <w:qFormat/>
    <w:uiPriority w:val="0"/>
    <w:rPr>
      <w:rFonts w:ascii="宋体"/>
      <w:kern w:val="2"/>
      <w:sz w:val="21"/>
      <w:szCs w:val="32"/>
    </w:rPr>
  </w:style>
  <w:style w:type="character" w:customStyle="1" w:styleId="195">
    <w:name w:val="页眉 Char Char"/>
    <w:autoRedefine/>
    <w:qFormat/>
    <w:uiPriority w:val="0"/>
    <w:rPr>
      <w:rFonts w:eastAsia="宋体"/>
      <w:kern w:val="2"/>
      <w:sz w:val="18"/>
      <w:lang w:val="en-US" w:eastAsia="zh-CN" w:bidi="ar-SA"/>
    </w:rPr>
  </w:style>
  <w:style w:type="character" w:customStyle="1" w:styleId="196">
    <w:name w:val="del1"/>
    <w:autoRedefine/>
    <w:qFormat/>
    <w:uiPriority w:val="0"/>
    <w:rPr>
      <w:vanish/>
      <w:color w:val="666666"/>
      <w:sz w:val="18"/>
      <w:szCs w:val="18"/>
      <w:u w:val="single"/>
    </w:rPr>
  </w:style>
  <w:style w:type="character" w:customStyle="1" w:styleId="197">
    <w:name w:val="t1"/>
    <w:autoRedefine/>
    <w:qFormat/>
    <w:uiPriority w:val="0"/>
    <w:rPr>
      <w:color w:val="666666"/>
      <w:sz w:val="16"/>
      <w:szCs w:val="16"/>
    </w:rPr>
  </w:style>
  <w:style w:type="character" w:customStyle="1" w:styleId="198">
    <w:name w:val="t"/>
    <w:autoRedefine/>
    <w:qFormat/>
    <w:uiPriority w:val="0"/>
    <w:rPr>
      <w:color w:val="666666"/>
      <w:sz w:val="16"/>
      <w:szCs w:val="16"/>
    </w:rPr>
  </w:style>
  <w:style w:type="character" w:customStyle="1" w:styleId="199">
    <w:name w:val="标题 2 Char"/>
    <w:link w:val="6"/>
    <w:autoRedefine/>
    <w:qFormat/>
    <w:uiPriority w:val="0"/>
    <w:rPr>
      <w:rFonts w:ascii="Arial" w:hAnsi="Arial" w:eastAsia="黑体"/>
      <w:b/>
      <w:bCs/>
      <w:kern w:val="2"/>
      <w:sz w:val="32"/>
      <w:szCs w:val="32"/>
      <w:lang w:val="en-US" w:eastAsia="zh-CN" w:bidi="ar-SA"/>
    </w:rPr>
  </w:style>
  <w:style w:type="character" w:customStyle="1" w:styleId="200">
    <w:name w:val="普通(网站) Char Char"/>
    <w:autoRedefine/>
    <w:qFormat/>
    <w:uiPriority w:val="0"/>
    <w:rPr>
      <w:rFonts w:ascii="宋体" w:hAnsi="宋体" w:eastAsia="宋体"/>
      <w:sz w:val="24"/>
      <w:lang w:val="en-US" w:eastAsia="zh-CN" w:bidi="ar-SA"/>
    </w:rPr>
  </w:style>
  <w:style w:type="character" w:customStyle="1" w:styleId="201">
    <w:name w:val="del"/>
    <w:autoRedefine/>
    <w:qFormat/>
    <w:uiPriority w:val="0"/>
    <w:rPr>
      <w:vanish/>
    </w:rPr>
  </w:style>
  <w:style w:type="character" w:customStyle="1" w:styleId="202">
    <w:name w:val="bds_more2"/>
    <w:basedOn w:val="51"/>
    <w:autoRedefine/>
    <w:qFormat/>
    <w:uiPriority w:val="0"/>
  </w:style>
  <w:style w:type="character" w:customStyle="1" w:styleId="203">
    <w:name w:val="legend"/>
    <w:autoRedefine/>
    <w:qFormat/>
    <w:uiPriority w:val="0"/>
    <w:rPr>
      <w:rFonts w:hint="default" w:ascii="Arial" w:hAnsi="Arial" w:cs="Arial"/>
      <w:b/>
      <w:color w:val="73B304"/>
      <w:sz w:val="21"/>
      <w:szCs w:val="21"/>
      <w:shd w:val="clear" w:color="auto" w:fill="FFFFFF"/>
    </w:rPr>
  </w:style>
  <w:style w:type="character" w:customStyle="1" w:styleId="204">
    <w:name w:val="纯文本 Char1"/>
    <w:autoRedefine/>
    <w:semiHidden/>
    <w:qFormat/>
    <w:uiPriority w:val="99"/>
    <w:rPr>
      <w:rFonts w:ascii="宋体" w:hAnsi="Courier New" w:eastAsia="宋体" w:cs="Courier New"/>
      <w:szCs w:val="21"/>
    </w:rPr>
  </w:style>
  <w:style w:type="character" w:customStyle="1" w:styleId="205">
    <w:name w:val="文档结构图 Char1"/>
    <w:autoRedefine/>
    <w:qFormat/>
    <w:uiPriority w:val="0"/>
    <w:rPr>
      <w:rFonts w:ascii="方正综艺简体"/>
      <w:kern w:val="2"/>
      <w:sz w:val="18"/>
      <w:szCs w:val="18"/>
    </w:rPr>
  </w:style>
  <w:style w:type="character" w:customStyle="1" w:styleId="206">
    <w:name w:val="no4"/>
    <w:basedOn w:val="51"/>
    <w:autoRedefine/>
    <w:qFormat/>
    <w:uiPriority w:val="0"/>
  </w:style>
  <w:style w:type="character" w:customStyle="1" w:styleId="207">
    <w:name w:val="标题 1 Char"/>
    <w:link w:val="5"/>
    <w:autoRedefine/>
    <w:qFormat/>
    <w:uiPriority w:val="0"/>
    <w:rPr>
      <w:rFonts w:eastAsia="宋体"/>
      <w:b/>
      <w:spacing w:val="14"/>
      <w:kern w:val="44"/>
      <w:sz w:val="36"/>
      <w:lang w:val="en-US" w:eastAsia="zh-CN" w:bidi="ar-SA"/>
    </w:rPr>
  </w:style>
  <w:style w:type="character" w:customStyle="1" w:styleId="208">
    <w:name w:val="t-tag"/>
    <w:autoRedefine/>
    <w:qFormat/>
    <w:uiPriority w:val="0"/>
    <w:rPr>
      <w:color w:val="FFFFFF"/>
      <w:sz w:val="18"/>
      <w:szCs w:val="18"/>
      <w:shd w:val="clear" w:color="auto" w:fill="FE8833"/>
    </w:rPr>
  </w:style>
  <w:style w:type="character" w:customStyle="1" w:styleId="209">
    <w:name w:val="正文内容 Char Char"/>
    <w:link w:val="66"/>
    <w:autoRedefine/>
    <w:qFormat/>
    <w:uiPriority w:val="0"/>
    <w:rPr>
      <w:rFonts w:ascii="仿宋_GB2312" w:hAnsi="Calibri" w:eastAsia="仿宋_GB2312"/>
      <w:kern w:val="2"/>
      <w:sz w:val="24"/>
      <w:szCs w:val="28"/>
    </w:rPr>
  </w:style>
  <w:style w:type="character" w:customStyle="1" w:styleId="210">
    <w:name w:val="_Style 208"/>
    <w:autoRedefine/>
    <w:qFormat/>
    <w:uiPriority w:val="0"/>
    <w:rPr>
      <w:i/>
      <w:iCs/>
      <w:color w:val="808080"/>
    </w:rPr>
  </w:style>
  <w:style w:type="character" w:customStyle="1" w:styleId="211">
    <w:name w:val="unnamed51"/>
    <w:autoRedefine/>
    <w:qFormat/>
    <w:uiPriority w:val="0"/>
    <w:rPr>
      <w:sz w:val="22"/>
      <w:szCs w:val="22"/>
    </w:rPr>
  </w:style>
  <w:style w:type="character" w:customStyle="1" w:styleId="212">
    <w:name w:val="bds_more"/>
    <w:basedOn w:val="51"/>
    <w:autoRedefine/>
    <w:qFormat/>
    <w:uiPriority w:val="0"/>
  </w:style>
  <w:style w:type="character" w:customStyle="1" w:styleId="213">
    <w:name w:val="no42"/>
    <w:basedOn w:val="51"/>
    <w:autoRedefine/>
    <w:qFormat/>
    <w:uiPriority w:val="0"/>
  </w:style>
  <w:style w:type="character" w:customStyle="1" w:styleId="214">
    <w:name w:val="ico-jiang"/>
    <w:basedOn w:val="51"/>
    <w:autoRedefine/>
    <w:qFormat/>
    <w:uiPriority w:val="0"/>
  </w:style>
  <w:style w:type="character" w:customStyle="1" w:styleId="215">
    <w:name w:val="std1"/>
    <w:basedOn w:val="51"/>
    <w:autoRedefine/>
    <w:qFormat/>
    <w:uiPriority w:val="0"/>
  </w:style>
  <w:style w:type="character" w:customStyle="1" w:styleId="216">
    <w:name w:val="Char Char9"/>
    <w:autoRedefine/>
    <w:qFormat/>
    <w:uiPriority w:val="0"/>
    <w:rPr>
      <w:kern w:val="2"/>
      <w:sz w:val="21"/>
      <w:szCs w:val="22"/>
    </w:rPr>
  </w:style>
  <w:style w:type="character" w:customStyle="1" w:styleId="217">
    <w:name w:val="ui-bz-bg-hover1"/>
    <w:basedOn w:val="51"/>
    <w:autoRedefine/>
    <w:qFormat/>
    <w:uiPriority w:val="0"/>
  </w:style>
  <w:style w:type="character" w:customStyle="1" w:styleId="218">
    <w:name w:val="正文 + (中文) 仿宋_GB2312 Char Char"/>
    <w:link w:val="147"/>
    <w:autoRedefine/>
    <w:qFormat/>
    <w:uiPriority w:val="0"/>
    <w:rPr>
      <w:sz w:val="24"/>
      <w:szCs w:val="24"/>
    </w:rPr>
  </w:style>
  <w:style w:type="character" w:customStyle="1" w:styleId="219">
    <w:name w:val="num"/>
    <w:basedOn w:val="51"/>
    <w:autoRedefine/>
    <w:qFormat/>
    <w:uiPriority w:val="0"/>
  </w:style>
  <w:style w:type="character" w:customStyle="1" w:styleId="220">
    <w:name w:val="标题 6 Char"/>
    <w:link w:val="11"/>
    <w:autoRedefine/>
    <w:qFormat/>
    <w:uiPriority w:val="0"/>
    <w:rPr>
      <w:rFonts w:ascii="Arial" w:hAnsi="Arial" w:eastAsia="黑体"/>
      <w:b/>
      <w:bCs/>
      <w:spacing w:val="6"/>
      <w:kern w:val="2"/>
      <w:sz w:val="24"/>
      <w:szCs w:val="24"/>
    </w:rPr>
  </w:style>
  <w:style w:type="character" w:customStyle="1" w:styleId="221">
    <w:name w:val="正文文本 Char1"/>
    <w:autoRedefine/>
    <w:qFormat/>
    <w:uiPriority w:val="0"/>
    <w:rPr>
      <w:kern w:val="2"/>
      <w:sz w:val="21"/>
      <w:szCs w:val="22"/>
    </w:rPr>
  </w:style>
  <w:style w:type="character" w:customStyle="1" w:styleId="222">
    <w:name w:val="纯文本 Char"/>
    <w:link w:val="27"/>
    <w:autoRedefine/>
    <w:qFormat/>
    <w:uiPriority w:val="0"/>
    <w:rPr>
      <w:rFonts w:ascii="宋体" w:hAnsi="Courier New"/>
      <w:kern w:val="2"/>
      <w:sz w:val="21"/>
    </w:rPr>
  </w:style>
  <w:style w:type="character" w:customStyle="1" w:styleId="223">
    <w:name w:val="price"/>
    <w:autoRedefine/>
    <w:qFormat/>
    <w:uiPriority w:val="0"/>
    <w:rPr>
      <w:color w:val="666666"/>
      <w:sz w:val="15"/>
      <w:szCs w:val="15"/>
    </w:rPr>
  </w:style>
  <w:style w:type="character" w:customStyle="1" w:styleId="224">
    <w:name w:val="disabled"/>
    <w:autoRedefine/>
    <w:qFormat/>
    <w:uiPriority w:val="0"/>
    <w:rPr>
      <w:vanish/>
    </w:rPr>
  </w:style>
  <w:style w:type="character" w:customStyle="1" w:styleId="225">
    <w:name w:val="orange6"/>
    <w:autoRedefine/>
    <w:qFormat/>
    <w:uiPriority w:val="0"/>
    <w:rPr>
      <w:color w:val="3FB58F"/>
    </w:rPr>
  </w:style>
  <w:style w:type="character" w:customStyle="1" w:styleId="226">
    <w:name w:val="bds_nopic"/>
    <w:basedOn w:val="51"/>
    <w:autoRedefine/>
    <w:qFormat/>
    <w:uiPriority w:val="0"/>
  </w:style>
  <w:style w:type="character" w:customStyle="1" w:styleId="227">
    <w:name w:val="current"/>
    <w:autoRedefine/>
    <w:qFormat/>
    <w:uiPriority w:val="0"/>
    <w:rPr>
      <w:color w:val="6D643C"/>
      <w:shd w:val="clear" w:color="auto" w:fill="F6EFCC"/>
    </w:rPr>
  </w:style>
  <w:style w:type="character" w:customStyle="1" w:styleId="228">
    <w:name w:val="正文文本 3 Char"/>
    <w:link w:val="20"/>
    <w:autoRedefine/>
    <w:qFormat/>
    <w:uiPriority w:val="0"/>
    <w:rPr>
      <w:rFonts w:ascii="宋体" w:hAnsi="宋体"/>
      <w:kern w:val="2"/>
      <w:sz w:val="24"/>
      <w:szCs w:val="24"/>
    </w:rPr>
  </w:style>
  <w:style w:type="character" w:customStyle="1" w:styleId="229">
    <w:name w:val="批注文字 Char Char"/>
    <w:autoRedefine/>
    <w:qFormat/>
    <w:uiPriority w:val="0"/>
    <w:rPr>
      <w:rFonts w:ascii="方正综艺简体" w:hAnsi="方正综艺简体" w:eastAsia="方正综艺简体" w:cs="方正综艺简体"/>
      <w:sz w:val="28"/>
      <w:szCs w:val="20"/>
    </w:rPr>
  </w:style>
  <w:style w:type="character" w:customStyle="1" w:styleId="230">
    <w:name w:val="正文文本缩进 3 Char"/>
    <w:link w:val="39"/>
    <w:autoRedefine/>
    <w:qFormat/>
    <w:uiPriority w:val="0"/>
    <w:rPr>
      <w:spacing w:val="14"/>
      <w:kern w:val="24"/>
      <w:sz w:val="24"/>
    </w:rPr>
  </w:style>
  <w:style w:type="character" w:customStyle="1" w:styleId="231">
    <w:name w:val="_Style 229"/>
    <w:autoRedefine/>
    <w:qFormat/>
    <w:uiPriority w:val="0"/>
    <w:rPr>
      <w:b/>
      <w:bCs/>
      <w:smallCaps/>
      <w:color w:val="C0504D"/>
      <w:spacing w:val="5"/>
      <w:u w:val="single"/>
    </w:rPr>
  </w:style>
  <w:style w:type="character" w:customStyle="1" w:styleId="232">
    <w:name w:val="_Style 230"/>
    <w:autoRedefine/>
    <w:qFormat/>
    <w:uiPriority w:val="0"/>
    <w:rPr>
      <w:b/>
      <w:bCs/>
      <w:i/>
      <w:iCs/>
      <w:color w:val="4F81BD"/>
    </w:rPr>
  </w:style>
  <w:style w:type="character" w:customStyle="1" w:styleId="233">
    <w:name w:val="标题 8 Char"/>
    <w:link w:val="13"/>
    <w:autoRedefine/>
    <w:qFormat/>
    <w:uiPriority w:val="0"/>
    <w:rPr>
      <w:rFonts w:ascii="Arial" w:hAnsi="Arial" w:eastAsia="黑体"/>
      <w:spacing w:val="6"/>
      <w:kern w:val="2"/>
      <w:sz w:val="24"/>
      <w:szCs w:val="24"/>
    </w:rPr>
  </w:style>
  <w:style w:type="character" w:customStyle="1" w:styleId="234">
    <w:name w:val="表正文 Char2"/>
    <w:autoRedefine/>
    <w:qFormat/>
    <w:uiPriority w:val="0"/>
    <w:rPr>
      <w:rFonts w:eastAsia="宋体"/>
      <w:spacing w:val="14"/>
      <w:kern w:val="24"/>
      <w:sz w:val="24"/>
      <w:lang w:val="en-US" w:eastAsia="zh-CN" w:bidi="ar-SA"/>
    </w:rPr>
  </w:style>
  <w:style w:type="character" w:customStyle="1" w:styleId="235">
    <w:name w:val="bds_nopic2"/>
    <w:basedOn w:val="51"/>
    <w:autoRedefine/>
    <w:qFormat/>
    <w:uiPriority w:val="0"/>
  </w:style>
  <w:style w:type="character" w:customStyle="1" w:styleId="236">
    <w:name w:val="文档结构图 Char"/>
    <w:link w:val="17"/>
    <w:autoRedefine/>
    <w:qFormat/>
    <w:uiPriority w:val="0"/>
    <w:rPr>
      <w:rFonts w:ascii="宋体"/>
      <w:kern w:val="2"/>
      <w:sz w:val="18"/>
      <w:szCs w:val="18"/>
    </w:rPr>
  </w:style>
  <w:style w:type="character" w:customStyle="1" w:styleId="237">
    <w:name w:val="标题 2 Char Char Char"/>
    <w:autoRedefine/>
    <w:qFormat/>
    <w:uiPriority w:val="0"/>
    <w:rPr>
      <w:rFonts w:ascii="方正综艺简体" w:hAnsi="方正综艺简体" w:eastAsia="方正综艺简体" w:cs="方正综艺简体"/>
      <w:sz w:val="32"/>
      <w:szCs w:val="32"/>
      <w:lang w:val="en-US" w:eastAsia="zh-CN" w:bidi="ar-SA"/>
    </w:rPr>
  </w:style>
  <w:style w:type="character" w:customStyle="1" w:styleId="238">
    <w:name w:val="no72"/>
    <w:basedOn w:val="51"/>
    <w:autoRedefine/>
    <w:qFormat/>
    <w:uiPriority w:val="0"/>
  </w:style>
  <w:style w:type="character" w:customStyle="1" w:styleId="239">
    <w:name w:val="HTML 预设格式 Char"/>
    <w:link w:val="44"/>
    <w:autoRedefine/>
    <w:qFormat/>
    <w:uiPriority w:val="0"/>
    <w:rPr>
      <w:rFonts w:ascii="宋体" w:hAnsi="宋体" w:cs="宋体"/>
      <w:sz w:val="24"/>
      <w:szCs w:val="24"/>
    </w:rPr>
  </w:style>
  <w:style w:type="character" w:customStyle="1" w:styleId="240">
    <w:name w:val="ui-bz-bg-hover"/>
    <w:autoRedefine/>
    <w:qFormat/>
    <w:uiPriority w:val="0"/>
    <w:rPr>
      <w:shd w:val="clear" w:color="auto" w:fill="000000"/>
    </w:rPr>
  </w:style>
  <w:style w:type="character" w:customStyle="1" w:styleId="241">
    <w:name w:val="top-icon"/>
    <w:basedOn w:val="51"/>
    <w:autoRedefine/>
    <w:qFormat/>
    <w:uiPriority w:val="0"/>
  </w:style>
  <w:style w:type="character" w:customStyle="1" w:styleId="242">
    <w:name w:val="del2"/>
    <w:basedOn w:val="51"/>
    <w:autoRedefine/>
    <w:qFormat/>
    <w:uiPriority w:val="0"/>
  </w:style>
  <w:style w:type="character" w:customStyle="1" w:styleId="243">
    <w:name w:val="textcontents"/>
    <w:autoRedefine/>
    <w:qFormat/>
    <w:uiPriority w:val="0"/>
    <w:rPr>
      <w:rFonts w:cs="方正综艺简体"/>
    </w:rPr>
  </w:style>
  <w:style w:type="character" w:customStyle="1" w:styleId="244">
    <w:name w:val="no62"/>
    <w:basedOn w:val="51"/>
    <w:autoRedefine/>
    <w:qFormat/>
    <w:uiPriority w:val="0"/>
  </w:style>
  <w:style w:type="character" w:customStyle="1" w:styleId="245">
    <w:name w:val="页脚 Char"/>
    <w:link w:val="32"/>
    <w:autoRedefine/>
    <w:qFormat/>
    <w:uiPriority w:val="0"/>
    <w:rPr>
      <w:kern w:val="2"/>
      <w:sz w:val="18"/>
      <w:szCs w:val="18"/>
    </w:rPr>
  </w:style>
  <w:style w:type="character" w:customStyle="1" w:styleId="246">
    <w:name w:val="正文文本 2 Char"/>
    <w:link w:val="43"/>
    <w:autoRedefine/>
    <w:qFormat/>
    <w:uiPriority w:val="0"/>
    <w:rPr>
      <w:rFonts w:ascii="宋体" w:hAnsi="宋体"/>
      <w:kern w:val="2"/>
      <w:sz w:val="44"/>
      <w:szCs w:val="24"/>
    </w:rPr>
  </w:style>
  <w:style w:type="character" w:customStyle="1" w:styleId="247">
    <w:name w:val="_Style 245"/>
    <w:autoRedefine/>
    <w:qFormat/>
    <w:uiPriority w:val="0"/>
    <w:rPr>
      <w:smallCaps/>
      <w:color w:val="C0504D"/>
      <w:u w:val="single"/>
    </w:rPr>
  </w:style>
  <w:style w:type="character" w:customStyle="1" w:styleId="248">
    <w:name w:val="引用 Char1"/>
    <w:autoRedefine/>
    <w:qFormat/>
    <w:uiPriority w:val="29"/>
    <w:rPr>
      <w:i/>
      <w:iCs/>
      <w:color w:val="000000"/>
      <w:kern w:val="2"/>
      <w:sz w:val="21"/>
      <w:szCs w:val="24"/>
    </w:rPr>
  </w:style>
  <w:style w:type="character" w:customStyle="1" w:styleId="249">
    <w:name w:val="正文缩进 Char"/>
    <w:link w:val="10"/>
    <w:autoRedefine/>
    <w:qFormat/>
    <w:uiPriority w:val="0"/>
    <w:rPr>
      <w:spacing w:val="14"/>
      <w:kern w:val="24"/>
      <w:sz w:val="24"/>
    </w:rPr>
  </w:style>
  <w:style w:type="character" w:customStyle="1" w:styleId="250">
    <w:name w:val="press"/>
    <w:autoRedefine/>
    <w:qFormat/>
    <w:uiPriority w:val="0"/>
    <w:rPr>
      <w:color w:val="666666"/>
      <w:sz w:val="15"/>
      <w:szCs w:val="15"/>
    </w:rPr>
  </w:style>
  <w:style w:type="character" w:customStyle="1" w:styleId="251">
    <w:name w:val="正文文本 Char2"/>
    <w:autoRedefine/>
    <w:qFormat/>
    <w:uiPriority w:val="0"/>
    <w:rPr>
      <w:kern w:val="2"/>
      <w:sz w:val="30"/>
    </w:rPr>
  </w:style>
  <w:style w:type="character" w:customStyle="1" w:styleId="252">
    <w:name w:val="批注主题 Char1"/>
    <w:autoRedefine/>
    <w:qFormat/>
    <w:uiPriority w:val="0"/>
    <w:rPr>
      <w:b/>
      <w:bCs/>
      <w:kern w:val="2"/>
      <w:sz w:val="21"/>
      <w:szCs w:val="22"/>
    </w:rPr>
  </w:style>
  <w:style w:type="character" w:customStyle="1" w:styleId="253">
    <w:name w:val="A9"/>
    <w:autoRedefine/>
    <w:qFormat/>
    <w:uiPriority w:val="0"/>
    <w:rPr>
      <w:rFonts w:cs="Univers 45 Light"/>
      <w:b/>
      <w:bCs/>
      <w:color w:val="221E1F"/>
      <w:sz w:val="18"/>
      <w:szCs w:val="18"/>
    </w:rPr>
  </w:style>
  <w:style w:type="character" w:customStyle="1" w:styleId="254">
    <w:name w:val="标题 5 Char"/>
    <w:link w:val="9"/>
    <w:autoRedefine/>
    <w:qFormat/>
    <w:uiPriority w:val="0"/>
    <w:rPr>
      <w:rFonts w:eastAsia="黑体"/>
      <w:kern w:val="2"/>
      <w:sz w:val="32"/>
    </w:rPr>
  </w:style>
  <w:style w:type="character" w:customStyle="1" w:styleId="255">
    <w:name w:val="副标题 Char"/>
    <w:link w:val="37"/>
    <w:autoRedefine/>
    <w:qFormat/>
    <w:uiPriority w:val="0"/>
    <w:rPr>
      <w:rFonts w:ascii="Cambria" w:hAnsi="Cambria" w:cs="Times New Roman"/>
      <w:b/>
      <w:bCs/>
      <w:kern w:val="28"/>
      <w:sz w:val="32"/>
      <w:szCs w:val="32"/>
    </w:rPr>
  </w:style>
  <w:style w:type="character" w:customStyle="1" w:styleId="256">
    <w:name w:val="日期 Char1"/>
    <w:autoRedefine/>
    <w:qFormat/>
    <w:uiPriority w:val="0"/>
    <w:rPr>
      <w:kern w:val="2"/>
      <w:sz w:val="21"/>
      <w:szCs w:val="22"/>
    </w:rPr>
  </w:style>
  <w:style w:type="character" w:customStyle="1" w:styleId="257">
    <w:name w:val="标题 3 Char"/>
    <w:link w:val="7"/>
    <w:autoRedefine/>
    <w:qFormat/>
    <w:uiPriority w:val="0"/>
    <w:rPr>
      <w:rFonts w:ascii="Arial" w:hAnsi="Arial" w:eastAsia="黑体"/>
      <w:spacing w:val="14"/>
      <w:kern w:val="24"/>
      <w:sz w:val="28"/>
    </w:rPr>
  </w:style>
  <w:style w:type="character" w:customStyle="1" w:styleId="258">
    <w:name w:val="明显引用 Char2"/>
    <w:autoRedefine/>
    <w:qFormat/>
    <w:uiPriority w:val="30"/>
    <w:rPr>
      <w:b/>
      <w:bCs/>
      <w:i/>
      <w:iCs/>
      <w:color w:val="4F81BD"/>
      <w:kern w:val="2"/>
      <w:sz w:val="21"/>
      <w:szCs w:val="24"/>
    </w:rPr>
  </w:style>
  <w:style w:type="character" w:customStyle="1" w:styleId="259">
    <w:name w:val="del3"/>
    <w:autoRedefine/>
    <w:qFormat/>
    <w:uiPriority w:val="0"/>
    <w:rPr>
      <w:vanish/>
    </w:rPr>
  </w:style>
  <w:style w:type="character" w:customStyle="1" w:styleId="260">
    <w:name w:val="明显引用 Char"/>
    <w:link w:val="89"/>
    <w:autoRedefine/>
    <w:qFormat/>
    <w:uiPriority w:val="0"/>
    <w:rPr>
      <w:b/>
      <w:bCs/>
      <w:i/>
      <w:iCs/>
      <w:color w:val="4F81BD"/>
      <w:kern w:val="2"/>
      <w:sz w:val="21"/>
      <w:szCs w:val="22"/>
    </w:rPr>
  </w:style>
  <w:style w:type="character" w:customStyle="1" w:styleId="261">
    <w:name w:val="my-notice"/>
    <w:basedOn w:val="51"/>
    <w:autoRedefine/>
    <w:qFormat/>
    <w:uiPriority w:val="0"/>
  </w:style>
  <w:style w:type="character" w:customStyle="1" w:styleId="262">
    <w:name w:val="批注框文本 Char1"/>
    <w:autoRedefine/>
    <w:qFormat/>
    <w:uiPriority w:val="0"/>
    <w:rPr>
      <w:kern w:val="2"/>
      <w:sz w:val="18"/>
      <w:szCs w:val="18"/>
    </w:rPr>
  </w:style>
  <w:style w:type="character" w:customStyle="1" w:styleId="263">
    <w:name w:val="页脚 Char Char"/>
    <w:autoRedefine/>
    <w:qFormat/>
    <w:uiPriority w:val="0"/>
    <w:rPr>
      <w:rFonts w:eastAsia="宋体"/>
      <w:kern w:val="2"/>
      <w:sz w:val="18"/>
      <w:lang w:val="en-US" w:eastAsia="zh-CN" w:bidi="ar-SA"/>
    </w:rPr>
  </w:style>
  <w:style w:type="character" w:customStyle="1" w:styleId="264">
    <w:name w:val="批注主题 Char2"/>
    <w:autoRedefine/>
    <w:qFormat/>
    <w:uiPriority w:val="99"/>
    <w:rPr>
      <w:b/>
      <w:bCs/>
      <w:kern w:val="2"/>
      <w:sz w:val="21"/>
      <w:szCs w:val="24"/>
    </w:rPr>
  </w:style>
  <w:style w:type="character" w:customStyle="1" w:styleId="265">
    <w:name w:val="a011"/>
    <w:autoRedefine/>
    <w:qFormat/>
    <w:uiPriority w:val="0"/>
    <w:rPr>
      <w:sz w:val="21"/>
      <w:szCs w:val="21"/>
      <w:u w:val="none"/>
    </w:rPr>
  </w:style>
  <w:style w:type="character" w:customStyle="1" w:styleId="266">
    <w:name w:val="批注框文本 Char"/>
    <w:link w:val="31"/>
    <w:autoRedefine/>
    <w:qFormat/>
    <w:uiPriority w:val="0"/>
    <w:rPr>
      <w:kern w:val="2"/>
      <w:sz w:val="18"/>
      <w:szCs w:val="18"/>
    </w:rPr>
  </w:style>
  <w:style w:type="character" w:customStyle="1" w:styleId="267">
    <w:name w:val="apple-converted-space"/>
    <w:autoRedefine/>
    <w:qFormat/>
    <w:uiPriority w:val="0"/>
  </w:style>
  <w:style w:type="character" w:customStyle="1" w:styleId="268">
    <w:name w:val="_Style 266"/>
    <w:autoRedefine/>
    <w:qFormat/>
    <w:uiPriority w:val="0"/>
    <w:rPr>
      <w:b/>
      <w:bCs/>
      <w:smallCaps/>
      <w:spacing w:val="5"/>
    </w:rPr>
  </w:style>
  <w:style w:type="character" w:customStyle="1" w:styleId="269">
    <w:name w:val="no5"/>
    <w:basedOn w:val="51"/>
    <w:autoRedefine/>
    <w:qFormat/>
    <w:uiPriority w:val="0"/>
  </w:style>
  <w:style w:type="character" w:customStyle="1" w:styleId="270">
    <w:name w:val="f-star"/>
    <w:autoRedefine/>
    <w:qFormat/>
    <w:uiPriority w:val="0"/>
    <w:rPr>
      <w:color w:val="999999"/>
      <w:sz w:val="21"/>
      <w:szCs w:val="21"/>
    </w:rPr>
  </w:style>
  <w:style w:type="character" w:customStyle="1" w:styleId="271">
    <w:name w:val="样式2 Char"/>
    <w:link w:val="151"/>
    <w:autoRedefine/>
    <w:qFormat/>
    <w:uiPriority w:val="0"/>
    <w:rPr>
      <w:rFonts w:ascii="方正综艺简体" w:hAnsi="方正综艺简体" w:eastAsia="方正综艺简体" w:cs="方正综艺简体"/>
      <w:bCs/>
      <w:kern w:val="44"/>
      <w:sz w:val="44"/>
      <w:szCs w:val="44"/>
    </w:rPr>
  </w:style>
  <w:style w:type="character" w:customStyle="1" w:styleId="272">
    <w:name w:val="明显引用 Char1"/>
    <w:autoRedefine/>
    <w:qFormat/>
    <w:uiPriority w:val="30"/>
    <w:rPr>
      <w:b/>
      <w:bCs/>
      <w:i/>
      <w:iCs/>
      <w:color w:val="4F81BD"/>
      <w:kern w:val="2"/>
      <w:sz w:val="21"/>
      <w:szCs w:val="24"/>
    </w:rPr>
  </w:style>
  <w:style w:type="character" w:customStyle="1" w:styleId="273">
    <w:name w:val="正文文本 Char"/>
    <w:link w:val="3"/>
    <w:autoRedefine/>
    <w:qFormat/>
    <w:uiPriority w:val="0"/>
    <w:rPr>
      <w:kern w:val="2"/>
      <w:sz w:val="21"/>
      <w:szCs w:val="24"/>
    </w:rPr>
  </w:style>
  <w:style w:type="character" w:customStyle="1" w:styleId="274">
    <w:name w:val="批注文字 Char1"/>
    <w:autoRedefine/>
    <w:qFormat/>
    <w:uiPriority w:val="0"/>
    <w:rPr>
      <w:kern w:val="2"/>
      <w:sz w:val="21"/>
    </w:rPr>
  </w:style>
  <w:style w:type="character" w:customStyle="1" w:styleId="275">
    <w:name w:val="标题 Char1"/>
    <w:autoRedefine/>
    <w:qFormat/>
    <w:uiPriority w:val="10"/>
    <w:rPr>
      <w:rFonts w:ascii="Calibri Light" w:hAnsi="Calibri Light" w:cs="Times New Roman"/>
      <w:b/>
      <w:bCs/>
      <w:kern w:val="2"/>
      <w:sz w:val="32"/>
      <w:szCs w:val="32"/>
    </w:rPr>
  </w:style>
  <w:style w:type="character" w:customStyle="1" w:styleId="276">
    <w:name w:val="my-class2"/>
    <w:basedOn w:val="51"/>
    <w:autoRedefine/>
    <w:qFormat/>
    <w:uiPriority w:val="0"/>
  </w:style>
  <w:style w:type="character" w:customStyle="1" w:styleId="277">
    <w:name w:val="正文文本缩进 2 Char"/>
    <w:link w:val="30"/>
    <w:autoRedefine/>
    <w:qFormat/>
    <w:uiPriority w:val="0"/>
    <w:rPr>
      <w:spacing w:val="14"/>
      <w:kern w:val="24"/>
      <w:sz w:val="24"/>
    </w:rPr>
  </w:style>
  <w:style w:type="character" w:customStyle="1" w:styleId="278">
    <w:name w:val="标题 Char"/>
    <w:link w:val="46"/>
    <w:autoRedefine/>
    <w:qFormat/>
    <w:uiPriority w:val="0"/>
    <w:rPr>
      <w:rFonts w:ascii="Cambria" w:hAnsi="Cambria" w:cs="Times New Roman"/>
      <w:b/>
      <w:bCs/>
      <w:kern w:val="2"/>
      <w:sz w:val="32"/>
      <w:szCs w:val="32"/>
    </w:rPr>
  </w:style>
  <w:style w:type="character" w:customStyle="1" w:styleId="279">
    <w:name w:val="页眉 Char"/>
    <w:link w:val="33"/>
    <w:autoRedefine/>
    <w:qFormat/>
    <w:uiPriority w:val="0"/>
    <w:rPr>
      <w:kern w:val="2"/>
      <w:sz w:val="18"/>
      <w:szCs w:val="18"/>
    </w:rPr>
  </w:style>
  <w:style w:type="character" w:customStyle="1" w:styleId="280">
    <w:name w:val="正文文本缩进 Char"/>
    <w:link w:val="21"/>
    <w:autoRedefine/>
    <w:qFormat/>
    <w:uiPriority w:val="0"/>
    <w:rPr>
      <w:rFonts w:ascii="宋体"/>
      <w:kern w:val="24"/>
      <w:sz w:val="28"/>
    </w:rPr>
  </w:style>
  <w:style w:type="character" w:customStyle="1" w:styleId="281">
    <w:name w:val="A6"/>
    <w:autoRedefine/>
    <w:qFormat/>
    <w:uiPriority w:val="0"/>
    <w:rPr>
      <w:rFonts w:cs="Univers 45 Light"/>
      <w:b/>
      <w:bCs/>
      <w:color w:val="003D78"/>
      <w:sz w:val="20"/>
      <w:szCs w:val="20"/>
    </w:rPr>
  </w:style>
  <w:style w:type="character" w:customStyle="1" w:styleId="282">
    <w:name w:val="A3"/>
    <w:autoRedefine/>
    <w:qFormat/>
    <w:uiPriority w:val="0"/>
    <w:rPr>
      <w:rFonts w:cs="Univers 45 Light"/>
      <w:b/>
      <w:bCs/>
      <w:color w:val="221E1F"/>
      <w:sz w:val="28"/>
      <w:szCs w:val="28"/>
    </w:rPr>
  </w:style>
  <w:style w:type="character" w:customStyle="1" w:styleId="283">
    <w:name w:val="副标题 Char2"/>
    <w:autoRedefine/>
    <w:qFormat/>
    <w:uiPriority w:val="11"/>
    <w:rPr>
      <w:rFonts w:ascii="Calibri Light" w:hAnsi="Calibri Light" w:cs="Times New Roman"/>
      <w:b/>
      <w:bCs/>
      <w:kern w:val="28"/>
      <w:sz w:val="32"/>
      <w:szCs w:val="32"/>
    </w:rPr>
  </w:style>
  <w:style w:type="character" w:customStyle="1" w:styleId="284">
    <w:name w:val="副标题 Char1"/>
    <w:autoRedefine/>
    <w:qFormat/>
    <w:uiPriority w:val="0"/>
    <w:rPr>
      <w:rFonts w:ascii="方正综艺简体" w:hAnsi="方正综艺简体" w:cs="方正综艺简体"/>
      <w:b/>
      <w:bCs/>
      <w:kern w:val="28"/>
      <w:sz w:val="32"/>
      <w:szCs w:val="32"/>
    </w:rPr>
  </w:style>
  <w:style w:type="character" w:customStyle="1" w:styleId="285">
    <w:name w:val="bds_nopic1"/>
    <w:basedOn w:val="51"/>
    <w:autoRedefine/>
    <w:qFormat/>
    <w:uiPriority w:val="0"/>
  </w:style>
  <w:style w:type="character" w:customStyle="1" w:styleId="286">
    <w:name w:val="A2"/>
    <w:autoRedefine/>
    <w:qFormat/>
    <w:uiPriority w:val="0"/>
    <w:rPr>
      <w:rFonts w:ascii="Univers 55" w:hAnsi="Univers 55" w:cs="Univers 55"/>
      <w:color w:val="221E1F"/>
      <w:sz w:val="16"/>
      <w:szCs w:val="16"/>
    </w:rPr>
  </w:style>
  <w:style w:type="character" w:customStyle="1" w:styleId="287">
    <w:name w:val="标题 9 Char"/>
    <w:link w:val="14"/>
    <w:autoRedefine/>
    <w:qFormat/>
    <w:uiPriority w:val="0"/>
    <w:rPr>
      <w:rFonts w:ascii="Arial" w:hAnsi="Arial" w:eastAsia="黑体"/>
      <w:spacing w:val="6"/>
      <w:kern w:val="2"/>
      <w:sz w:val="24"/>
      <w:szCs w:val="24"/>
    </w:rPr>
  </w:style>
  <w:style w:type="paragraph" w:customStyle="1" w:styleId="288">
    <w:name w:val="中等深浅网格 1 - 强调文字颜色 21"/>
    <w:basedOn w:val="1"/>
    <w:autoRedefine/>
    <w:qFormat/>
    <w:uiPriority w:val="34"/>
    <w:pPr>
      <w:widowControl/>
      <w:ind w:firstLine="420" w:firstLineChars="200"/>
      <w:jc w:val="left"/>
    </w:pPr>
    <w:rPr>
      <w:kern w:val="0"/>
      <w:szCs w:val="20"/>
    </w:rPr>
  </w:style>
  <w:style w:type="paragraph" w:customStyle="1" w:styleId="289">
    <w:name w:val="正文2"/>
    <w:basedOn w:val="1"/>
    <w:autoRedefine/>
    <w:qFormat/>
    <w:uiPriority w:val="0"/>
    <w:pPr>
      <w:spacing w:before="156" w:line="360" w:lineRule="auto"/>
      <w:ind w:firstLine="510" w:firstLineChars="200"/>
    </w:pPr>
    <w:rPr>
      <w:rFonts w:ascii="Calibri" w:hAnsi="Calibri"/>
      <w:sz w:val="24"/>
    </w:rPr>
  </w:style>
  <w:style w:type="character" w:customStyle="1" w:styleId="290">
    <w:name w:val="font01"/>
    <w:basedOn w:val="51"/>
    <w:autoRedefine/>
    <w:qFormat/>
    <w:uiPriority w:val="0"/>
    <w:rPr>
      <w:rFonts w:hint="eastAsia" w:ascii="宋体" w:hAnsi="宋体" w:eastAsia="宋体"/>
      <w:color w:val="000000"/>
      <w:sz w:val="22"/>
      <w:szCs w:val="22"/>
      <w:u w:val="none"/>
    </w:rPr>
  </w:style>
  <w:style w:type="character" w:customStyle="1" w:styleId="291">
    <w:name w:val="font31"/>
    <w:basedOn w:val="51"/>
    <w:autoRedefine/>
    <w:qFormat/>
    <w:uiPriority w:val="0"/>
    <w:rPr>
      <w:rFonts w:hint="eastAsia" w:ascii="宋体" w:hAnsi="宋体" w:eastAsia="宋体" w:cs="宋体"/>
      <w:color w:val="000000"/>
      <w:sz w:val="20"/>
      <w:szCs w:val="20"/>
      <w:u w:val="none"/>
    </w:rPr>
  </w:style>
  <w:style w:type="character" w:customStyle="1" w:styleId="292">
    <w:name w:val="font61"/>
    <w:basedOn w:val="51"/>
    <w:autoRedefine/>
    <w:qFormat/>
    <w:uiPriority w:val="0"/>
    <w:rPr>
      <w:rFonts w:hint="default" w:ascii="Times New Roman" w:hAnsi="Times New Roman" w:cs="Times New Roman"/>
      <w:color w:val="000000"/>
      <w:sz w:val="21"/>
      <w:szCs w:val="21"/>
      <w:u w:val="none"/>
    </w:rPr>
  </w:style>
  <w:style w:type="paragraph" w:customStyle="1" w:styleId="293">
    <w:name w:val="Default"/>
    <w:autoRedefine/>
    <w:qFormat/>
    <w:uiPriority w:val="0"/>
    <w:pPr>
      <w:widowControl w:val="0"/>
      <w:autoSpaceDE w:val="0"/>
      <w:autoSpaceDN w:val="0"/>
      <w:adjustRightInd w:val="0"/>
    </w:pPr>
    <w:rPr>
      <w:rFonts w:ascii="宋体" w:hAnsi="Calibri" w:eastAsia="宋体"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1AD8C-25C1-4CB0-8FBD-9C439838A82D}">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67</Pages>
  <Words>7749</Words>
  <Characters>44172</Characters>
  <Lines>368</Lines>
  <Paragraphs>103</Paragraphs>
  <TotalTime>53</TotalTime>
  <ScaleCrop>false</ScaleCrop>
  <LinksUpToDate>false</LinksUpToDate>
  <CharactersWithSpaces>51818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2017-04-10T01:20:00Z</dcterms:created>
  <dc:creator>TK</dc:creator>
  <cp:keywords>招标文件</cp:keywords>
  <cp:lastModifiedBy>Jessica夏夏</cp:lastModifiedBy>
  <cp:lastPrinted>2023-12-05T06:55:00Z</cp:lastPrinted>
  <dcterms:modified xsi:type="dcterms:W3CDTF">2024-01-15T06:02:33Z</dcterms:modified>
  <cp:revision>1094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A6904AEDA94B4DE7BF86B32688DE1718_13</vt:lpwstr>
  </property>
</Properties>
</file>