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A1615">
      <w:pPr>
        <w:pStyle w:val="3"/>
        <w:rPr>
          <w:rFonts w:cs="Times New Roman"/>
          <w:color w:val="auto"/>
          <w:highlight w:val="none"/>
        </w:rPr>
      </w:pPr>
    </w:p>
    <w:p w14:paraId="201A9FA2">
      <w:pPr>
        <w:jc w:val="center"/>
        <w:rPr>
          <w:rFonts w:hint="eastAsia" w:ascii="宋体" w:eastAsia="宋体"/>
          <w:b/>
          <w:bCs/>
          <w:color w:val="000000" w:themeColor="text1"/>
          <w:sz w:val="40"/>
          <w:szCs w:val="40"/>
          <w:highlight w:val="none"/>
          <w:lang w:eastAsia="zh-CN"/>
          <w14:textFill>
            <w14:solidFill>
              <w14:schemeClr w14:val="tx1"/>
            </w14:solidFill>
          </w14:textFill>
        </w:rPr>
      </w:pPr>
      <w:r>
        <w:rPr>
          <w:rFonts w:hint="eastAsia" w:ascii="宋体" w:hAnsi="宋体" w:cs="宋体"/>
          <w:b/>
          <w:bCs/>
          <w:color w:val="000000" w:themeColor="text1"/>
          <w:sz w:val="40"/>
          <w:szCs w:val="40"/>
          <w:highlight w:val="none"/>
          <w:lang w:eastAsia="zh-CN"/>
          <w14:textFill>
            <w14:solidFill>
              <w14:schemeClr w14:val="tx1"/>
            </w14:solidFill>
          </w14:textFill>
        </w:rPr>
        <w:t>2025年水库堤防等水利工程安全生产风险管控“六项机制”创建项目</w:t>
      </w:r>
    </w:p>
    <w:p w14:paraId="544B0A76">
      <w:pPr>
        <w:pStyle w:val="6"/>
        <w:rPr>
          <w:rFonts w:ascii="宋体"/>
          <w:b/>
          <w:bCs/>
          <w:color w:val="auto"/>
          <w:sz w:val="44"/>
          <w:szCs w:val="44"/>
          <w:highlight w:val="none"/>
        </w:rPr>
      </w:pPr>
    </w:p>
    <w:p w14:paraId="3B711534">
      <w:pPr>
        <w:pStyle w:val="6"/>
        <w:rPr>
          <w:rFonts w:ascii="宋体"/>
          <w:b/>
          <w:bCs/>
          <w:color w:val="auto"/>
          <w:sz w:val="44"/>
          <w:szCs w:val="44"/>
          <w:highlight w:val="none"/>
        </w:rPr>
      </w:pPr>
    </w:p>
    <w:p w14:paraId="15DCDF5D">
      <w:pPr>
        <w:rPr>
          <w:rFonts w:ascii="宋体"/>
          <w:b/>
          <w:bCs/>
          <w:color w:val="auto"/>
          <w:sz w:val="44"/>
          <w:szCs w:val="44"/>
          <w:highlight w:val="none"/>
        </w:rPr>
      </w:pPr>
    </w:p>
    <w:p w14:paraId="30885219">
      <w:pPr>
        <w:pStyle w:val="14"/>
        <w:rPr>
          <w:color w:val="auto"/>
        </w:rPr>
      </w:pPr>
    </w:p>
    <w:p w14:paraId="4EABD6A9">
      <w:pPr>
        <w:pStyle w:val="6"/>
        <w:rPr>
          <w:rFonts w:ascii="宋体"/>
          <w:b/>
          <w:bCs/>
          <w:color w:val="auto"/>
          <w:sz w:val="44"/>
          <w:szCs w:val="44"/>
          <w:highlight w:val="none"/>
        </w:rPr>
      </w:pPr>
    </w:p>
    <w:p w14:paraId="5CF9FB59">
      <w:pPr>
        <w:pStyle w:val="6"/>
        <w:rPr>
          <w:rFonts w:ascii="宋体"/>
          <w:b/>
          <w:bCs/>
          <w:color w:val="auto"/>
          <w:sz w:val="44"/>
          <w:szCs w:val="44"/>
          <w:highlight w:val="none"/>
        </w:rPr>
      </w:pPr>
    </w:p>
    <w:p w14:paraId="62B3F1E2">
      <w:pPr>
        <w:pStyle w:val="6"/>
        <w:rPr>
          <w:color w:val="auto"/>
          <w:highlight w:val="none"/>
        </w:rPr>
      </w:pPr>
    </w:p>
    <w:p w14:paraId="5BF0E44B">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30B57E71">
      <w:pPr>
        <w:spacing w:line="360" w:lineRule="auto"/>
        <w:jc w:val="center"/>
        <w:rPr>
          <w:rFonts w:ascii="宋体"/>
          <w:b/>
          <w:bCs/>
          <w:color w:val="auto"/>
          <w:sz w:val="24"/>
          <w:szCs w:val="24"/>
          <w:highlight w:val="none"/>
        </w:rPr>
      </w:pPr>
    </w:p>
    <w:p w14:paraId="57700F30">
      <w:pPr>
        <w:snapToGrid w:val="0"/>
        <w:spacing w:line="360" w:lineRule="auto"/>
        <w:ind w:firstLine="2301" w:firstLineChars="767"/>
        <w:jc w:val="left"/>
        <w:rPr>
          <w:rFonts w:hint="eastAsia" w:ascii="宋体" w:eastAsia="宋体"/>
          <w:color w:val="auto"/>
          <w:sz w:val="30"/>
          <w:szCs w:val="30"/>
          <w:highlight w:val="none"/>
          <w:u w:val="singl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lang w:eastAsia="zh-CN"/>
        </w:rPr>
        <w:t xml:space="preserve">ZJJK2025010 </w:t>
      </w:r>
    </w:p>
    <w:p w14:paraId="3CF4285B">
      <w:pPr>
        <w:snapToGrid w:val="0"/>
        <w:spacing w:line="360" w:lineRule="auto"/>
        <w:ind w:firstLine="2301" w:firstLineChars="767"/>
        <w:jc w:val="left"/>
        <w:rPr>
          <w:rFonts w:ascii="宋体"/>
          <w:color w:val="auto"/>
          <w:sz w:val="30"/>
          <w:szCs w:val="30"/>
          <w:highlight w:val="none"/>
        </w:rPr>
      </w:pPr>
    </w:p>
    <w:p w14:paraId="06EEBA71">
      <w:pPr>
        <w:spacing w:line="360" w:lineRule="auto"/>
        <w:rPr>
          <w:rFonts w:ascii="宋体"/>
          <w:color w:val="auto"/>
          <w:sz w:val="28"/>
          <w:szCs w:val="28"/>
          <w:highlight w:val="none"/>
        </w:rPr>
      </w:pPr>
    </w:p>
    <w:p w14:paraId="7BDA5449">
      <w:pPr>
        <w:spacing w:line="360" w:lineRule="auto"/>
        <w:jc w:val="center"/>
        <w:rPr>
          <w:rFonts w:ascii="宋体"/>
          <w:color w:val="auto"/>
          <w:sz w:val="24"/>
          <w:szCs w:val="24"/>
          <w:highlight w:val="none"/>
        </w:rPr>
      </w:pPr>
    </w:p>
    <w:p w14:paraId="4BFE0C33">
      <w:pPr>
        <w:spacing w:line="360" w:lineRule="auto"/>
        <w:jc w:val="center"/>
        <w:rPr>
          <w:rFonts w:ascii="宋体"/>
          <w:color w:val="auto"/>
          <w:sz w:val="24"/>
          <w:szCs w:val="24"/>
          <w:highlight w:val="none"/>
        </w:rPr>
      </w:pPr>
    </w:p>
    <w:p w14:paraId="4009EA38">
      <w:pPr>
        <w:spacing w:line="360" w:lineRule="auto"/>
        <w:jc w:val="center"/>
        <w:rPr>
          <w:rFonts w:ascii="宋体"/>
          <w:color w:val="auto"/>
          <w:sz w:val="24"/>
          <w:szCs w:val="24"/>
          <w:highlight w:val="none"/>
        </w:rPr>
      </w:pPr>
    </w:p>
    <w:p w14:paraId="0684E6D7">
      <w:pPr>
        <w:spacing w:line="360" w:lineRule="auto"/>
        <w:jc w:val="center"/>
        <w:rPr>
          <w:rFonts w:ascii="宋体"/>
          <w:color w:val="auto"/>
          <w:sz w:val="24"/>
          <w:szCs w:val="24"/>
          <w:highlight w:val="none"/>
        </w:rPr>
      </w:pPr>
    </w:p>
    <w:p w14:paraId="746004AC">
      <w:pPr>
        <w:spacing w:line="360" w:lineRule="auto"/>
        <w:jc w:val="center"/>
        <w:rPr>
          <w:rFonts w:ascii="宋体"/>
          <w:color w:val="auto"/>
          <w:sz w:val="24"/>
          <w:szCs w:val="24"/>
          <w:highlight w:val="none"/>
        </w:rPr>
      </w:pPr>
    </w:p>
    <w:p w14:paraId="6AAC7BFC">
      <w:pPr>
        <w:snapToGrid w:val="0"/>
        <w:spacing w:line="360" w:lineRule="auto"/>
        <w:ind w:firstLine="1500" w:firstLineChars="500"/>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绍兴市上虞区水利局</w:t>
      </w:r>
    </w:p>
    <w:p w14:paraId="78FA2B23">
      <w:pPr>
        <w:snapToGrid w:val="0"/>
        <w:spacing w:line="360" w:lineRule="auto"/>
        <w:ind w:firstLine="1500" w:firstLineChars="500"/>
        <w:rPr>
          <w:rFonts w:hint="eastAsia" w:ascii="宋体" w:eastAsia="宋体"/>
          <w:color w:val="auto"/>
          <w:sz w:val="30"/>
          <w:szCs w:val="30"/>
          <w:highlight w:val="none"/>
          <w:lang w:eastAsia="zh-CN"/>
        </w:rPr>
      </w:pPr>
      <w:r>
        <w:rPr>
          <w:rFonts w:hint="eastAsia" w:ascii="宋体" w:hAnsi="宋体" w:cs="宋体"/>
          <w:color w:val="auto"/>
          <w:sz w:val="30"/>
          <w:szCs w:val="30"/>
          <w:highlight w:val="none"/>
        </w:rPr>
        <w:t>采购代理机构：</w:t>
      </w:r>
      <w:r>
        <w:rPr>
          <w:rFonts w:hint="eastAsia" w:ascii="宋体" w:hAnsi="宋体" w:cs="宋体"/>
          <w:color w:val="auto"/>
          <w:sz w:val="30"/>
          <w:szCs w:val="30"/>
          <w:highlight w:val="none"/>
          <w:lang w:eastAsia="zh-CN"/>
        </w:rPr>
        <w:t>浙江建科工程项目管理有限公司</w:t>
      </w:r>
    </w:p>
    <w:p w14:paraId="1DF50B8D">
      <w:pPr>
        <w:jc w:val="center"/>
        <w:rPr>
          <w:rFonts w:ascii="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七</w:t>
      </w:r>
      <w:r>
        <w:rPr>
          <w:rFonts w:hint="eastAsia" w:ascii="宋体" w:hAnsi="宋体" w:cs="宋体"/>
          <w:color w:val="auto"/>
          <w:sz w:val="30"/>
          <w:szCs w:val="30"/>
          <w:highlight w:val="none"/>
        </w:rPr>
        <w:t>月</w:t>
      </w:r>
    </w:p>
    <w:p w14:paraId="06AC7611">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录</w:t>
      </w:r>
    </w:p>
    <w:p w14:paraId="2A538655">
      <w:pPr>
        <w:pStyle w:val="23"/>
        <w:tabs>
          <w:tab w:val="right" w:leader="dot" w:pos="8306"/>
        </w:tabs>
        <w:spacing w:line="360" w:lineRule="auto"/>
        <w:rPr>
          <w:sz w:val="22"/>
          <w:szCs w:val="22"/>
        </w:rPr>
      </w:pPr>
      <w:r>
        <w:rPr>
          <w:rFonts w:hint="eastAsia" w:ascii="宋体" w:hAnsi="宋体" w:cs="宋体"/>
          <w:color w:val="auto"/>
          <w:sz w:val="48"/>
          <w:szCs w:val="48"/>
          <w:highlight w:val="none"/>
        </w:rPr>
        <w:fldChar w:fldCharType="begin"/>
      </w:r>
      <w:r>
        <w:rPr>
          <w:rFonts w:hint="eastAsia" w:ascii="宋体" w:hAnsi="宋体" w:cs="宋体"/>
          <w:color w:val="auto"/>
          <w:sz w:val="48"/>
          <w:szCs w:val="48"/>
          <w:highlight w:val="none"/>
        </w:rPr>
        <w:instrText xml:space="preserve">TOC \o "1-3" \h \u </w:instrText>
      </w:r>
      <w:r>
        <w:rPr>
          <w:rFonts w:hint="eastAsia" w:ascii="宋体" w:hAnsi="宋体" w:cs="宋体"/>
          <w:color w:val="auto"/>
          <w:sz w:val="48"/>
          <w:szCs w:val="48"/>
          <w:highlight w:val="none"/>
        </w:rPr>
        <w:fldChar w:fldCharType="separate"/>
      </w:r>
      <w:r>
        <w:rPr>
          <w:rFonts w:hint="eastAsia" w:ascii="宋体" w:hAnsi="宋体" w:cs="宋体"/>
          <w:color w:val="auto"/>
          <w:sz w:val="22"/>
          <w:szCs w:val="48"/>
          <w:highlight w:val="none"/>
        </w:rPr>
        <w:fldChar w:fldCharType="begin"/>
      </w:r>
      <w:r>
        <w:rPr>
          <w:rFonts w:hint="eastAsia" w:ascii="宋体" w:hAnsi="宋体" w:cs="宋体"/>
          <w:sz w:val="22"/>
          <w:szCs w:val="48"/>
          <w:highlight w:val="none"/>
        </w:rPr>
        <w:instrText xml:space="preserve"> HYPERLINK \l _Toc12613 </w:instrText>
      </w:r>
      <w:r>
        <w:rPr>
          <w:rFonts w:hint="eastAsia" w:ascii="宋体" w:hAnsi="宋体" w:cs="宋体"/>
          <w:sz w:val="22"/>
          <w:szCs w:val="48"/>
          <w:highlight w:val="none"/>
        </w:rPr>
        <w:fldChar w:fldCharType="separate"/>
      </w:r>
      <w:r>
        <w:rPr>
          <w:rFonts w:hint="eastAsia" w:cs="宋体"/>
          <w:sz w:val="22"/>
          <w:szCs w:val="40"/>
          <w:highlight w:val="none"/>
        </w:rPr>
        <w:t>第一部分</w:t>
      </w:r>
      <w:r>
        <w:rPr>
          <w:sz w:val="22"/>
          <w:szCs w:val="40"/>
          <w:highlight w:val="none"/>
        </w:rPr>
        <w:t xml:space="preserve"> </w:t>
      </w:r>
      <w:r>
        <w:rPr>
          <w:rFonts w:hint="eastAsia" w:cs="宋体"/>
          <w:sz w:val="22"/>
          <w:szCs w:val="40"/>
          <w:highlight w:val="none"/>
        </w:rPr>
        <w:t>磋商公告</w:t>
      </w:r>
      <w:r>
        <w:rPr>
          <w:sz w:val="22"/>
          <w:szCs w:val="22"/>
        </w:rPr>
        <w:tab/>
      </w:r>
      <w:r>
        <w:rPr>
          <w:sz w:val="22"/>
          <w:szCs w:val="22"/>
        </w:rPr>
        <w:fldChar w:fldCharType="begin"/>
      </w:r>
      <w:r>
        <w:rPr>
          <w:sz w:val="22"/>
          <w:szCs w:val="22"/>
        </w:rPr>
        <w:instrText xml:space="preserve"> PAGEREF _Toc12613 \h </w:instrText>
      </w:r>
      <w:r>
        <w:rPr>
          <w:sz w:val="22"/>
          <w:szCs w:val="22"/>
        </w:rPr>
        <w:fldChar w:fldCharType="separate"/>
      </w:r>
      <w:r>
        <w:rPr>
          <w:sz w:val="22"/>
          <w:szCs w:val="22"/>
        </w:rPr>
        <w:t>1</w:t>
      </w:r>
      <w:r>
        <w:rPr>
          <w:sz w:val="22"/>
          <w:szCs w:val="22"/>
        </w:rPr>
        <w:fldChar w:fldCharType="end"/>
      </w:r>
      <w:r>
        <w:rPr>
          <w:rFonts w:hint="eastAsia" w:ascii="宋体" w:hAnsi="宋体" w:cs="宋体"/>
          <w:color w:val="auto"/>
          <w:sz w:val="22"/>
          <w:szCs w:val="48"/>
          <w:highlight w:val="none"/>
        </w:rPr>
        <w:fldChar w:fldCharType="end"/>
      </w:r>
    </w:p>
    <w:p w14:paraId="1B5A2F88">
      <w:pPr>
        <w:pStyle w:val="23"/>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_Toc1749 </w:instrText>
      </w:r>
      <w:r>
        <w:rPr>
          <w:rFonts w:hint="eastAsia" w:hAnsi="宋体"/>
          <w:sz w:val="22"/>
          <w:szCs w:val="48"/>
          <w:highlight w:val="none"/>
        </w:rPr>
        <w:fldChar w:fldCharType="separate"/>
      </w:r>
      <w:r>
        <w:rPr>
          <w:rFonts w:hint="eastAsia" w:cs="宋体"/>
          <w:sz w:val="22"/>
          <w:szCs w:val="40"/>
          <w:highlight w:val="none"/>
        </w:rPr>
        <w:t>第二部分</w:t>
      </w:r>
      <w:r>
        <w:rPr>
          <w:sz w:val="22"/>
          <w:szCs w:val="40"/>
          <w:highlight w:val="none"/>
        </w:rPr>
        <w:t xml:space="preserve"> </w:t>
      </w:r>
      <w:r>
        <w:rPr>
          <w:rFonts w:hint="eastAsia" w:cs="宋体"/>
          <w:sz w:val="22"/>
          <w:szCs w:val="40"/>
          <w:highlight w:val="none"/>
        </w:rPr>
        <w:t>供应商须知</w:t>
      </w:r>
      <w:r>
        <w:rPr>
          <w:sz w:val="22"/>
          <w:szCs w:val="22"/>
        </w:rPr>
        <w:tab/>
      </w:r>
      <w:r>
        <w:rPr>
          <w:sz w:val="22"/>
          <w:szCs w:val="22"/>
        </w:rPr>
        <w:fldChar w:fldCharType="begin"/>
      </w:r>
      <w:r>
        <w:rPr>
          <w:sz w:val="22"/>
          <w:szCs w:val="22"/>
        </w:rPr>
        <w:instrText xml:space="preserve"> PAGEREF _Toc1749 \h </w:instrText>
      </w:r>
      <w:r>
        <w:rPr>
          <w:sz w:val="22"/>
          <w:szCs w:val="22"/>
        </w:rPr>
        <w:fldChar w:fldCharType="separate"/>
      </w:r>
      <w:r>
        <w:rPr>
          <w:sz w:val="22"/>
          <w:szCs w:val="22"/>
        </w:rPr>
        <w:t>5</w:t>
      </w:r>
      <w:r>
        <w:rPr>
          <w:sz w:val="22"/>
          <w:szCs w:val="22"/>
        </w:rPr>
        <w:fldChar w:fldCharType="end"/>
      </w:r>
      <w:r>
        <w:rPr>
          <w:rFonts w:hint="eastAsia" w:hAnsi="宋体"/>
          <w:color w:val="auto"/>
          <w:sz w:val="22"/>
          <w:szCs w:val="48"/>
          <w:highlight w:val="none"/>
        </w:rPr>
        <w:fldChar w:fldCharType="end"/>
      </w:r>
    </w:p>
    <w:p w14:paraId="55144D41">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_Toc12290 </w:instrText>
      </w:r>
      <w:r>
        <w:rPr>
          <w:rFonts w:hint="eastAsia" w:hAnsi="宋体"/>
          <w:sz w:val="22"/>
          <w:szCs w:val="48"/>
          <w:highlight w:val="none"/>
        </w:rPr>
        <w:fldChar w:fldCharType="separate"/>
      </w:r>
      <w:r>
        <w:rPr>
          <w:rFonts w:hint="eastAsia" w:hAnsi="宋体" w:cs="Times New Roman"/>
          <w:sz w:val="22"/>
          <w:szCs w:val="22"/>
        </w:rPr>
        <w:t xml:space="preserve">一、 </w:t>
      </w:r>
      <w:r>
        <w:rPr>
          <w:rFonts w:hint="eastAsia" w:hAnsi="宋体"/>
          <w:sz w:val="22"/>
          <w:szCs w:val="22"/>
          <w:highlight w:val="none"/>
        </w:rPr>
        <w:t>总则</w:t>
      </w:r>
      <w:r>
        <w:rPr>
          <w:sz w:val="22"/>
          <w:szCs w:val="22"/>
        </w:rPr>
        <w:tab/>
      </w:r>
      <w:r>
        <w:rPr>
          <w:sz w:val="22"/>
          <w:szCs w:val="22"/>
        </w:rPr>
        <w:fldChar w:fldCharType="begin"/>
      </w:r>
      <w:r>
        <w:rPr>
          <w:sz w:val="22"/>
          <w:szCs w:val="22"/>
        </w:rPr>
        <w:instrText xml:space="preserve"> PAGEREF _Toc12290 \h </w:instrText>
      </w:r>
      <w:r>
        <w:rPr>
          <w:sz w:val="22"/>
          <w:szCs w:val="22"/>
        </w:rPr>
        <w:fldChar w:fldCharType="separate"/>
      </w:r>
      <w:r>
        <w:rPr>
          <w:sz w:val="22"/>
          <w:szCs w:val="22"/>
        </w:rPr>
        <w:t>9</w:t>
      </w:r>
      <w:r>
        <w:rPr>
          <w:sz w:val="22"/>
          <w:szCs w:val="22"/>
        </w:rPr>
        <w:fldChar w:fldCharType="end"/>
      </w:r>
      <w:r>
        <w:rPr>
          <w:rFonts w:hint="eastAsia" w:hAnsi="宋体"/>
          <w:color w:val="auto"/>
          <w:sz w:val="22"/>
          <w:szCs w:val="48"/>
          <w:highlight w:val="none"/>
        </w:rPr>
        <w:fldChar w:fldCharType="end"/>
      </w:r>
    </w:p>
    <w:p w14:paraId="1E1EA13B">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_Toc19346 </w:instrText>
      </w:r>
      <w:r>
        <w:rPr>
          <w:rFonts w:hint="eastAsia" w:hAnsi="宋体"/>
          <w:sz w:val="22"/>
          <w:szCs w:val="48"/>
          <w:highlight w:val="none"/>
        </w:rPr>
        <w:fldChar w:fldCharType="separate"/>
      </w:r>
      <w:r>
        <w:rPr>
          <w:rFonts w:hint="eastAsia" w:cs="Times New Roman"/>
          <w:sz w:val="22"/>
          <w:szCs w:val="22"/>
        </w:rPr>
        <w:t xml:space="preserve">二、 </w:t>
      </w:r>
      <w:r>
        <w:rPr>
          <w:rFonts w:hint="eastAsia"/>
          <w:sz w:val="22"/>
          <w:szCs w:val="22"/>
          <w:highlight w:val="none"/>
        </w:rPr>
        <w:t>竞争性磋商文件</w:t>
      </w:r>
      <w:r>
        <w:rPr>
          <w:sz w:val="22"/>
          <w:szCs w:val="22"/>
        </w:rPr>
        <w:tab/>
      </w:r>
      <w:r>
        <w:rPr>
          <w:sz w:val="22"/>
          <w:szCs w:val="22"/>
        </w:rPr>
        <w:fldChar w:fldCharType="begin"/>
      </w:r>
      <w:r>
        <w:rPr>
          <w:sz w:val="22"/>
          <w:szCs w:val="22"/>
        </w:rPr>
        <w:instrText xml:space="preserve"> PAGEREF _Toc19346 \h </w:instrText>
      </w:r>
      <w:r>
        <w:rPr>
          <w:sz w:val="22"/>
          <w:szCs w:val="22"/>
        </w:rPr>
        <w:fldChar w:fldCharType="separate"/>
      </w:r>
      <w:r>
        <w:rPr>
          <w:sz w:val="22"/>
          <w:szCs w:val="22"/>
        </w:rPr>
        <w:t>9</w:t>
      </w:r>
      <w:r>
        <w:rPr>
          <w:sz w:val="22"/>
          <w:szCs w:val="22"/>
        </w:rPr>
        <w:fldChar w:fldCharType="end"/>
      </w:r>
      <w:r>
        <w:rPr>
          <w:rFonts w:hint="eastAsia" w:hAnsi="宋体"/>
          <w:color w:val="auto"/>
          <w:sz w:val="22"/>
          <w:szCs w:val="48"/>
          <w:highlight w:val="none"/>
        </w:rPr>
        <w:fldChar w:fldCharType="end"/>
      </w:r>
    </w:p>
    <w:p w14:paraId="0A5542B8">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_Toc13705 </w:instrText>
      </w:r>
      <w:r>
        <w:rPr>
          <w:rFonts w:hint="eastAsia" w:hAnsi="宋体"/>
          <w:sz w:val="22"/>
          <w:szCs w:val="48"/>
          <w:highlight w:val="none"/>
        </w:rPr>
        <w:fldChar w:fldCharType="separate"/>
      </w:r>
      <w:r>
        <w:rPr>
          <w:rFonts w:hint="eastAsia" w:cs="Times New Roman"/>
          <w:sz w:val="22"/>
          <w:szCs w:val="22"/>
        </w:rPr>
        <w:t xml:space="preserve">三、 </w:t>
      </w:r>
      <w:r>
        <w:rPr>
          <w:rFonts w:hint="eastAsia"/>
          <w:sz w:val="22"/>
          <w:szCs w:val="22"/>
          <w:highlight w:val="none"/>
        </w:rPr>
        <w:t>竞争性磋商响应文件的编写</w:t>
      </w:r>
      <w:r>
        <w:rPr>
          <w:sz w:val="22"/>
          <w:szCs w:val="22"/>
        </w:rPr>
        <w:tab/>
      </w:r>
      <w:r>
        <w:rPr>
          <w:sz w:val="22"/>
          <w:szCs w:val="22"/>
        </w:rPr>
        <w:fldChar w:fldCharType="begin"/>
      </w:r>
      <w:r>
        <w:rPr>
          <w:sz w:val="22"/>
          <w:szCs w:val="22"/>
        </w:rPr>
        <w:instrText xml:space="preserve"> PAGEREF _Toc13705 \h </w:instrText>
      </w:r>
      <w:r>
        <w:rPr>
          <w:sz w:val="22"/>
          <w:szCs w:val="22"/>
        </w:rPr>
        <w:fldChar w:fldCharType="separate"/>
      </w:r>
      <w:r>
        <w:rPr>
          <w:sz w:val="22"/>
          <w:szCs w:val="22"/>
        </w:rPr>
        <w:t>10</w:t>
      </w:r>
      <w:r>
        <w:rPr>
          <w:sz w:val="22"/>
          <w:szCs w:val="22"/>
        </w:rPr>
        <w:fldChar w:fldCharType="end"/>
      </w:r>
      <w:r>
        <w:rPr>
          <w:rFonts w:hint="eastAsia" w:hAnsi="宋体"/>
          <w:color w:val="auto"/>
          <w:sz w:val="22"/>
          <w:szCs w:val="48"/>
          <w:highlight w:val="none"/>
        </w:rPr>
        <w:fldChar w:fldCharType="end"/>
      </w:r>
    </w:p>
    <w:p w14:paraId="787657B8">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_Toc31706 </w:instrText>
      </w:r>
      <w:r>
        <w:rPr>
          <w:rFonts w:hint="eastAsia" w:hAnsi="宋体"/>
          <w:sz w:val="22"/>
          <w:szCs w:val="48"/>
          <w:highlight w:val="none"/>
        </w:rPr>
        <w:fldChar w:fldCharType="separate"/>
      </w:r>
      <w:r>
        <w:rPr>
          <w:rFonts w:hint="eastAsia" w:cs="Times New Roman"/>
          <w:sz w:val="22"/>
          <w:szCs w:val="22"/>
        </w:rPr>
        <w:t xml:space="preserve">四、 </w:t>
      </w:r>
      <w:r>
        <w:rPr>
          <w:rFonts w:hint="eastAsia"/>
          <w:sz w:val="22"/>
          <w:szCs w:val="22"/>
          <w:highlight w:val="none"/>
        </w:rPr>
        <w:t>响应文件的递交</w:t>
      </w:r>
      <w:r>
        <w:rPr>
          <w:sz w:val="22"/>
          <w:szCs w:val="22"/>
        </w:rPr>
        <w:tab/>
      </w:r>
      <w:r>
        <w:rPr>
          <w:sz w:val="22"/>
          <w:szCs w:val="22"/>
        </w:rPr>
        <w:fldChar w:fldCharType="begin"/>
      </w:r>
      <w:r>
        <w:rPr>
          <w:sz w:val="22"/>
          <w:szCs w:val="22"/>
        </w:rPr>
        <w:instrText xml:space="preserve"> PAGEREF _Toc31706 \h </w:instrText>
      </w:r>
      <w:r>
        <w:rPr>
          <w:sz w:val="22"/>
          <w:szCs w:val="22"/>
        </w:rPr>
        <w:fldChar w:fldCharType="separate"/>
      </w:r>
      <w:r>
        <w:rPr>
          <w:sz w:val="22"/>
          <w:szCs w:val="22"/>
        </w:rPr>
        <w:t>14</w:t>
      </w:r>
      <w:r>
        <w:rPr>
          <w:sz w:val="22"/>
          <w:szCs w:val="22"/>
        </w:rPr>
        <w:fldChar w:fldCharType="end"/>
      </w:r>
      <w:r>
        <w:rPr>
          <w:rFonts w:hint="eastAsia" w:hAnsi="宋体"/>
          <w:color w:val="auto"/>
          <w:sz w:val="22"/>
          <w:szCs w:val="48"/>
          <w:highlight w:val="none"/>
        </w:rPr>
        <w:fldChar w:fldCharType="end"/>
      </w:r>
    </w:p>
    <w:p w14:paraId="5A8659FA">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_Toc11703 </w:instrText>
      </w:r>
      <w:r>
        <w:rPr>
          <w:rFonts w:hint="eastAsia" w:hAnsi="宋体"/>
          <w:sz w:val="22"/>
          <w:szCs w:val="48"/>
          <w:highlight w:val="none"/>
        </w:rPr>
        <w:fldChar w:fldCharType="separate"/>
      </w:r>
      <w:r>
        <w:rPr>
          <w:rFonts w:hint="eastAsia" w:hAnsi="宋体" w:cs="Times New Roman"/>
          <w:sz w:val="22"/>
          <w:szCs w:val="22"/>
        </w:rPr>
        <w:t xml:space="preserve">五、 </w:t>
      </w:r>
      <w:r>
        <w:rPr>
          <w:rFonts w:hint="eastAsia"/>
          <w:sz w:val="22"/>
          <w:szCs w:val="22"/>
          <w:highlight w:val="none"/>
        </w:rPr>
        <w:t>磋商无效的情形</w:t>
      </w:r>
      <w:r>
        <w:rPr>
          <w:sz w:val="22"/>
          <w:szCs w:val="22"/>
        </w:rPr>
        <w:tab/>
      </w:r>
      <w:r>
        <w:rPr>
          <w:sz w:val="22"/>
          <w:szCs w:val="22"/>
        </w:rPr>
        <w:fldChar w:fldCharType="begin"/>
      </w:r>
      <w:r>
        <w:rPr>
          <w:sz w:val="22"/>
          <w:szCs w:val="22"/>
        </w:rPr>
        <w:instrText xml:space="preserve"> PAGEREF _Toc11703 \h </w:instrText>
      </w:r>
      <w:r>
        <w:rPr>
          <w:sz w:val="22"/>
          <w:szCs w:val="22"/>
        </w:rPr>
        <w:fldChar w:fldCharType="separate"/>
      </w:r>
      <w:r>
        <w:rPr>
          <w:sz w:val="22"/>
          <w:szCs w:val="22"/>
        </w:rPr>
        <w:t>14</w:t>
      </w:r>
      <w:r>
        <w:rPr>
          <w:sz w:val="22"/>
          <w:szCs w:val="22"/>
        </w:rPr>
        <w:fldChar w:fldCharType="end"/>
      </w:r>
      <w:r>
        <w:rPr>
          <w:rFonts w:hint="eastAsia" w:hAnsi="宋体"/>
          <w:color w:val="auto"/>
          <w:sz w:val="22"/>
          <w:szCs w:val="48"/>
          <w:highlight w:val="none"/>
        </w:rPr>
        <w:fldChar w:fldCharType="end"/>
      </w:r>
    </w:p>
    <w:p w14:paraId="33BB2002">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_Toc5474 </w:instrText>
      </w:r>
      <w:r>
        <w:rPr>
          <w:rFonts w:hint="eastAsia" w:hAnsi="宋体"/>
          <w:sz w:val="22"/>
          <w:szCs w:val="48"/>
          <w:highlight w:val="none"/>
        </w:rPr>
        <w:fldChar w:fldCharType="separate"/>
      </w:r>
      <w:r>
        <w:rPr>
          <w:rFonts w:hint="eastAsia" w:cs="Times New Roman"/>
          <w:sz w:val="22"/>
          <w:szCs w:val="22"/>
        </w:rPr>
        <w:t xml:space="preserve">六、 </w:t>
      </w:r>
      <w:r>
        <w:rPr>
          <w:rFonts w:hint="eastAsia"/>
          <w:sz w:val="22"/>
          <w:szCs w:val="22"/>
          <w:highlight w:val="none"/>
        </w:rPr>
        <w:t>采购中止的情形</w:t>
      </w:r>
      <w:r>
        <w:rPr>
          <w:sz w:val="22"/>
          <w:szCs w:val="22"/>
        </w:rPr>
        <w:tab/>
      </w:r>
      <w:r>
        <w:rPr>
          <w:sz w:val="22"/>
          <w:szCs w:val="22"/>
        </w:rPr>
        <w:fldChar w:fldCharType="begin"/>
      </w:r>
      <w:r>
        <w:rPr>
          <w:sz w:val="22"/>
          <w:szCs w:val="22"/>
        </w:rPr>
        <w:instrText xml:space="preserve"> PAGEREF _Toc5474 \h </w:instrText>
      </w:r>
      <w:r>
        <w:rPr>
          <w:sz w:val="22"/>
          <w:szCs w:val="22"/>
        </w:rPr>
        <w:fldChar w:fldCharType="separate"/>
      </w:r>
      <w:r>
        <w:rPr>
          <w:sz w:val="22"/>
          <w:szCs w:val="22"/>
        </w:rPr>
        <w:t>15</w:t>
      </w:r>
      <w:r>
        <w:rPr>
          <w:sz w:val="22"/>
          <w:szCs w:val="22"/>
        </w:rPr>
        <w:fldChar w:fldCharType="end"/>
      </w:r>
      <w:r>
        <w:rPr>
          <w:rFonts w:hint="eastAsia" w:hAnsi="宋体"/>
          <w:color w:val="auto"/>
          <w:sz w:val="22"/>
          <w:szCs w:val="48"/>
          <w:highlight w:val="none"/>
        </w:rPr>
        <w:fldChar w:fldCharType="end"/>
      </w:r>
    </w:p>
    <w:p w14:paraId="31EE7847">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_Toc905 </w:instrText>
      </w:r>
      <w:r>
        <w:rPr>
          <w:rFonts w:hint="eastAsia" w:hAnsi="宋体"/>
          <w:sz w:val="22"/>
          <w:szCs w:val="48"/>
          <w:highlight w:val="none"/>
        </w:rPr>
        <w:fldChar w:fldCharType="separate"/>
      </w:r>
      <w:r>
        <w:rPr>
          <w:rFonts w:hint="eastAsia" w:cs="Times New Roman"/>
          <w:sz w:val="22"/>
          <w:szCs w:val="22"/>
        </w:rPr>
        <w:t xml:space="preserve">七、 </w:t>
      </w:r>
      <w:r>
        <w:rPr>
          <w:rFonts w:hint="eastAsia"/>
          <w:sz w:val="22"/>
          <w:szCs w:val="22"/>
          <w:highlight w:val="none"/>
        </w:rPr>
        <w:t>确定成交供应商与签订合同</w:t>
      </w:r>
      <w:r>
        <w:rPr>
          <w:sz w:val="22"/>
          <w:szCs w:val="22"/>
        </w:rPr>
        <w:tab/>
      </w:r>
      <w:r>
        <w:rPr>
          <w:sz w:val="22"/>
          <w:szCs w:val="22"/>
        </w:rPr>
        <w:fldChar w:fldCharType="begin"/>
      </w:r>
      <w:r>
        <w:rPr>
          <w:sz w:val="22"/>
          <w:szCs w:val="22"/>
        </w:rPr>
        <w:instrText xml:space="preserve"> PAGEREF _Toc905 \h </w:instrText>
      </w:r>
      <w:r>
        <w:rPr>
          <w:sz w:val="22"/>
          <w:szCs w:val="22"/>
        </w:rPr>
        <w:fldChar w:fldCharType="separate"/>
      </w:r>
      <w:r>
        <w:rPr>
          <w:sz w:val="22"/>
          <w:szCs w:val="22"/>
        </w:rPr>
        <w:t>16</w:t>
      </w:r>
      <w:r>
        <w:rPr>
          <w:sz w:val="22"/>
          <w:szCs w:val="22"/>
        </w:rPr>
        <w:fldChar w:fldCharType="end"/>
      </w:r>
      <w:r>
        <w:rPr>
          <w:rFonts w:hint="eastAsia" w:hAnsi="宋体"/>
          <w:color w:val="auto"/>
          <w:sz w:val="22"/>
          <w:szCs w:val="48"/>
          <w:highlight w:val="none"/>
        </w:rPr>
        <w:fldChar w:fldCharType="end"/>
      </w:r>
    </w:p>
    <w:p w14:paraId="5129EBBE">
      <w:pPr>
        <w:pStyle w:val="23"/>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_Toc13003 </w:instrText>
      </w:r>
      <w:r>
        <w:rPr>
          <w:rFonts w:hint="eastAsia" w:hAnsi="宋体"/>
          <w:sz w:val="22"/>
          <w:szCs w:val="48"/>
          <w:highlight w:val="none"/>
        </w:rPr>
        <w:fldChar w:fldCharType="separate"/>
      </w:r>
      <w:r>
        <w:rPr>
          <w:rFonts w:hint="eastAsia"/>
          <w:sz w:val="22"/>
          <w:szCs w:val="40"/>
          <w:highlight w:val="none"/>
        </w:rPr>
        <w:t xml:space="preserve">第三部分 </w:t>
      </w:r>
      <w:r>
        <w:rPr>
          <w:rFonts w:hint="eastAsia" w:cs="宋体"/>
          <w:sz w:val="22"/>
          <w:szCs w:val="40"/>
          <w:highlight w:val="none"/>
        </w:rPr>
        <w:t>采购内容及要求</w:t>
      </w:r>
      <w:r>
        <w:rPr>
          <w:sz w:val="22"/>
          <w:szCs w:val="22"/>
        </w:rPr>
        <w:tab/>
      </w:r>
      <w:r>
        <w:rPr>
          <w:sz w:val="22"/>
          <w:szCs w:val="22"/>
        </w:rPr>
        <w:fldChar w:fldCharType="begin"/>
      </w:r>
      <w:r>
        <w:rPr>
          <w:sz w:val="22"/>
          <w:szCs w:val="22"/>
        </w:rPr>
        <w:instrText xml:space="preserve"> PAGEREF _Toc13003 \h </w:instrText>
      </w:r>
      <w:r>
        <w:rPr>
          <w:sz w:val="22"/>
          <w:szCs w:val="22"/>
        </w:rPr>
        <w:fldChar w:fldCharType="separate"/>
      </w:r>
      <w:r>
        <w:rPr>
          <w:sz w:val="22"/>
          <w:szCs w:val="22"/>
        </w:rPr>
        <w:t>17</w:t>
      </w:r>
      <w:r>
        <w:rPr>
          <w:sz w:val="22"/>
          <w:szCs w:val="22"/>
        </w:rPr>
        <w:fldChar w:fldCharType="end"/>
      </w:r>
      <w:r>
        <w:rPr>
          <w:rFonts w:hint="eastAsia" w:hAnsi="宋体"/>
          <w:color w:val="auto"/>
          <w:sz w:val="22"/>
          <w:szCs w:val="48"/>
          <w:highlight w:val="none"/>
        </w:rPr>
        <w:fldChar w:fldCharType="end"/>
      </w:r>
    </w:p>
    <w:p w14:paraId="2255F5F3">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_Toc15443 </w:instrText>
      </w:r>
      <w:r>
        <w:rPr>
          <w:rFonts w:hint="eastAsia" w:hAnsi="宋体"/>
          <w:sz w:val="22"/>
          <w:szCs w:val="48"/>
          <w:highlight w:val="none"/>
        </w:rPr>
        <w:fldChar w:fldCharType="separate"/>
      </w:r>
      <w:r>
        <w:rPr>
          <w:rFonts w:hint="eastAsia"/>
          <w:sz w:val="22"/>
          <w:szCs w:val="22"/>
          <w:highlight w:val="none"/>
        </w:rPr>
        <w:t>第一章 采购内容及要求</w:t>
      </w:r>
      <w:r>
        <w:rPr>
          <w:sz w:val="22"/>
          <w:szCs w:val="22"/>
        </w:rPr>
        <w:tab/>
      </w:r>
      <w:r>
        <w:rPr>
          <w:sz w:val="22"/>
          <w:szCs w:val="22"/>
        </w:rPr>
        <w:fldChar w:fldCharType="begin"/>
      </w:r>
      <w:r>
        <w:rPr>
          <w:sz w:val="22"/>
          <w:szCs w:val="22"/>
        </w:rPr>
        <w:instrText xml:space="preserve"> PAGEREF _Toc15443 \h </w:instrText>
      </w:r>
      <w:r>
        <w:rPr>
          <w:sz w:val="22"/>
          <w:szCs w:val="22"/>
        </w:rPr>
        <w:fldChar w:fldCharType="separate"/>
      </w:r>
      <w:r>
        <w:rPr>
          <w:sz w:val="22"/>
          <w:szCs w:val="22"/>
        </w:rPr>
        <w:t>17</w:t>
      </w:r>
      <w:r>
        <w:rPr>
          <w:sz w:val="22"/>
          <w:szCs w:val="22"/>
        </w:rPr>
        <w:fldChar w:fldCharType="end"/>
      </w:r>
      <w:r>
        <w:rPr>
          <w:rFonts w:hint="eastAsia" w:hAnsi="宋体"/>
          <w:color w:val="auto"/>
          <w:sz w:val="22"/>
          <w:szCs w:val="48"/>
          <w:highlight w:val="none"/>
        </w:rPr>
        <w:fldChar w:fldCharType="end"/>
      </w:r>
    </w:p>
    <w:p w14:paraId="051530D4">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_Toc3205 </w:instrText>
      </w:r>
      <w:r>
        <w:rPr>
          <w:rFonts w:hint="eastAsia" w:hAnsi="宋体"/>
          <w:sz w:val="22"/>
          <w:szCs w:val="48"/>
          <w:highlight w:val="none"/>
        </w:rPr>
        <w:fldChar w:fldCharType="separate"/>
      </w:r>
      <w:r>
        <w:rPr>
          <w:rFonts w:hint="eastAsia"/>
          <w:sz w:val="22"/>
          <w:szCs w:val="22"/>
          <w:lang w:val="en-US" w:eastAsia="zh-CN"/>
        </w:rPr>
        <w:t xml:space="preserve">第二章 </w:t>
      </w:r>
      <w:r>
        <w:rPr>
          <w:rFonts w:hint="eastAsia"/>
          <w:sz w:val="22"/>
          <w:szCs w:val="22"/>
        </w:rPr>
        <w:t>付款方式及要求</w:t>
      </w:r>
      <w:r>
        <w:rPr>
          <w:sz w:val="22"/>
          <w:szCs w:val="22"/>
        </w:rPr>
        <w:tab/>
      </w:r>
      <w:r>
        <w:rPr>
          <w:sz w:val="22"/>
          <w:szCs w:val="22"/>
        </w:rPr>
        <w:fldChar w:fldCharType="begin"/>
      </w:r>
      <w:r>
        <w:rPr>
          <w:sz w:val="22"/>
          <w:szCs w:val="22"/>
        </w:rPr>
        <w:instrText xml:space="preserve"> PAGEREF _Toc3205 \h </w:instrText>
      </w:r>
      <w:r>
        <w:rPr>
          <w:sz w:val="22"/>
          <w:szCs w:val="22"/>
        </w:rPr>
        <w:fldChar w:fldCharType="separate"/>
      </w:r>
      <w:r>
        <w:rPr>
          <w:sz w:val="22"/>
          <w:szCs w:val="22"/>
        </w:rPr>
        <w:t>21</w:t>
      </w:r>
      <w:r>
        <w:rPr>
          <w:sz w:val="22"/>
          <w:szCs w:val="22"/>
        </w:rPr>
        <w:fldChar w:fldCharType="end"/>
      </w:r>
      <w:r>
        <w:rPr>
          <w:rFonts w:hint="eastAsia" w:hAnsi="宋体"/>
          <w:color w:val="auto"/>
          <w:sz w:val="22"/>
          <w:szCs w:val="48"/>
          <w:highlight w:val="none"/>
        </w:rPr>
        <w:fldChar w:fldCharType="end"/>
      </w:r>
    </w:p>
    <w:p w14:paraId="43BE9C39">
      <w:pPr>
        <w:pStyle w:val="23"/>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_Toc32131 </w:instrText>
      </w:r>
      <w:r>
        <w:rPr>
          <w:rFonts w:hint="eastAsia" w:hAnsi="宋体"/>
          <w:sz w:val="22"/>
          <w:szCs w:val="48"/>
          <w:highlight w:val="none"/>
        </w:rPr>
        <w:fldChar w:fldCharType="separate"/>
      </w:r>
      <w:r>
        <w:rPr>
          <w:rFonts w:hint="eastAsia" w:cs="宋体"/>
          <w:sz w:val="22"/>
          <w:szCs w:val="40"/>
          <w:highlight w:val="none"/>
        </w:rPr>
        <w:t>第四部分 磋商原则及磋商方法</w:t>
      </w:r>
      <w:r>
        <w:rPr>
          <w:sz w:val="22"/>
          <w:szCs w:val="22"/>
        </w:rPr>
        <w:tab/>
      </w:r>
      <w:r>
        <w:rPr>
          <w:sz w:val="22"/>
          <w:szCs w:val="22"/>
        </w:rPr>
        <w:fldChar w:fldCharType="begin"/>
      </w:r>
      <w:r>
        <w:rPr>
          <w:sz w:val="22"/>
          <w:szCs w:val="22"/>
        </w:rPr>
        <w:instrText xml:space="preserve"> PAGEREF _Toc32131 \h </w:instrText>
      </w:r>
      <w:r>
        <w:rPr>
          <w:sz w:val="22"/>
          <w:szCs w:val="22"/>
        </w:rPr>
        <w:fldChar w:fldCharType="separate"/>
      </w:r>
      <w:r>
        <w:rPr>
          <w:sz w:val="22"/>
          <w:szCs w:val="22"/>
        </w:rPr>
        <w:t>22</w:t>
      </w:r>
      <w:r>
        <w:rPr>
          <w:sz w:val="22"/>
          <w:szCs w:val="22"/>
        </w:rPr>
        <w:fldChar w:fldCharType="end"/>
      </w:r>
      <w:r>
        <w:rPr>
          <w:rFonts w:hint="eastAsia" w:hAnsi="宋体"/>
          <w:color w:val="auto"/>
          <w:sz w:val="22"/>
          <w:szCs w:val="48"/>
          <w:highlight w:val="none"/>
        </w:rPr>
        <w:fldChar w:fldCharType="end"/>
      </w:r>
    </w:p>
    <w:p w14:paraId="1DD6B484">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_Toc19962 </w:instrText>
      </w:r>
      <w:r>
        <w:rPr>
          <w:rFonts w:hint="eastAsia" w:hAnsi="宋体"/>
          <w:sz w:val="22"/>
          <w:szCs w:val="48"/>
          <w:highlight w:val="none"/>
        </w:rPr>
        <w:fldChar w:fldCharType="separate"/>
      </w:r>
      <w:r>
        <w:rPr>
          <w:rFonts w:hint="eastAsia" w:cs="Times New Roman"/>
          <w:sz w:val="22"/>
          <w:szCs w:val="22"/>
        </w:rPr>
        <w:t xml:space="preserve">一、 </w:t>
      </w:r>
      <w:r>
        <w:rPr>
          <w:rFonts w:hint="eastAsia"/>
          <w:sz w:val="22"/>
          <w:szCs w:val="22"/>
          <w:highlight w:val="none"/>
        </w:rPr>
        <w:t>磋商原则</w:t>
      </w:r>
      <w:r>
        <w:rPr>
          <w:sz w:val="22"/>
          <w:szCs w:val="22"/>
        </w:rPr>
        <w:tab/>
      </w:r>
      <w:r>
        <w:rPr>
          <w:sz w:val="22"/>
          <w:szCs w:val="22"/>
        </w:rPr>
        <w:fldChar w:fldCharType="begin"/>
      </w:r>
      <w:r>
        <w:rPr>
          <w:sz w:val="22"/>
          <w:szCs w:val="22"/>
        </w:rPr>
        <w:instrText xml:space="preserve"> PAGEREF _Toc19962 \h </w:instrText>
      </w:r>
      <w:r>
        <w:rPr>
          <w:sz w:val="22"/>
          <w:szCs w:val="22"/>
        </w:rPr>
        <w:fldChar w:fldCharType="separate"/>
      </w:r>
      <w:r>
        <w:rPr>
          <w:sz w:val="22"/>
          <w:szCs w:val="22"/>
        </w:rPr>
        <w:t>22</w:t>
      </w:r>
      <w:r>
        <w:rPr>
          <w:sz w:val="22"/>
          <w:szCs w:val="22"/>
        </w:rPr>
        <w:fldChar w:fldCharType="end"/>
      </w:r>
      <w:r>
        <w:rPr>
          <w:rFonts w:hint="eastAsia" w:hAnsi="宋体"/>
          <w:color w:val="auto"/>
          <w:sz w:val="22"/>
          <w:szCs w:val="48"/>
          <w:highlight w:val="none"/>
        </w:rPr>
        <w:fldChar w:fldCharType="end"/>
      </w:r>
    </w:p>
    <w:p w14:paraId="7A12D656">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_Toc22956 </w:instrText>
      </w:r>
      <w:r>
        <w:rPr>
          <w:rFonts w:hint="eastAsia" w:hAnsi="宋体"/>
          <w:sz w:val="22"/>
          <w:szCs w:val="48"/>
          <w:highlight w:val="none"/>
        </w:rPr>
        <w:fldChar w:fldCharType="separate"/>
      </w:r>
      <w:r>
        <w:rPr>
          <w:rFonts w:hint="eastAsia" w:cs="Times New Roman"/>
          <w:sz w:val="22"/>
          <w:szCs w:val="22"/>
        </w:rPr>
        <w:t xml:space="preserve">二、 </w:t>
      </w:r>
      <w:r>
        <w:rPr>
          <w:rFonts w:hint="eastAsia"/>
          <w:sz w:val="22"/>
          <w:szCs w:val="22"/>
          <w:highlight w:val="none"/>
        </w:rPr>
        <w:t>磋商程序</w:t>
      </w:r>
      <w:r>
        <w:rPr>
          <w:sz w:val="22"/>
          <w:szCs w:val="22"/>
        </w:rPr>
        <w:tab/>
      </w:r>
      <w:r>
        <w:rPr>
          <w:sz w:val="22"/>
          <w:szCs w:val="22"/>
        </w:rPr>
        <w:fldChar w:fldCharType="begin"/>
      </w:r>
      <w:r>
        <w:rPr>
          <w:sz w:val="22"/>
          <w:szCs w:val="22"/>
        </w:rPr>
        <w:instrText xml:space="preserve"> PAGEREF _Toc22956 \h </w:instrText>
      </w:r>
      <w:r>
        <w:rPr>
          <w:sz w:val="22"/>
          <w:szCs w:val="22"/>
        </w:rPr>
        <w:fldChar w:fldCharType="separate"/>
      </w:r>
      <w:r>
        <w:rPr>
          <w:sz w:val="22"/>
          <w:szCs w:val="22"/>
        </w:rPr>
        <w:t>23</w:t>
      </w:r>
      <w:r>
        <w:rPr>
          <w:sz w:val="22"/>
          <w:szCs w:val="22"/>
        </w:rPr>
        <w:fldChar w:fldCharType="end"/>
      </w:r>
      <w:r>
        <w:rPr>
          <w:rFonts w:hint="eastAsia" w:hAnsi="宋体"/>
          <w:color w:val="auto"/>
          <w:sz w:val="22"/>
          <w:szCs w:val="48"/>
          <w:highlight w:val="none"/>
        </w:rPr>
        <w:fldChar w:fldCharType="end"/>
      </w:r>
    </w:p>
    <w:p w14:paraId="349D8EA1">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_Toc18692 </w:instrText>
      </w:r>
      <w:r>
        <w:rPr>
          <w:rFonts w:hint="eastAsia" w:hAnsi="宋体"/>
          <w:sz w:val="22"/>
          <w:szCs w:val="48"/>
          <w:highlight w:val="none"/>
        </w:rPr>
        <w:fldChar w:fldCharType="separate"/>
      </w:r>
      <w:r>
        <w:rPr>
          <w:rFonts w:hint="eastAsia" w:cs="Times New Roman"/>
          <w:sz w:val="22"/>
          <w:szCs w:val="22"/>
        </w:rPr>
        <w:t xml:space="preserve">三、 </w:t>
      </w:r>
      <w:r>
        <w:rPr>
          <w:rFonts w:hint="eastAsia"/>
          <w:sz w:val="22"/>
          <w:szCs w:val="22"/>
          <w:highlight w:val="none"/>
        </w:rPr>
        <w:t>注意事项</w:t>
      </w:r>
      <w:r>
        <w:rPr>
          <w:sz w:val="22"/>
          <w:szCs w:val="22"/>
        </w:rPr>
        <w:tab/>
      </w:r>
      <w:r>
        <w:rPr>
          <w:sz w:val="22"/>
          <w:szCs w:val="22"/>
        </w:rPr>
        <w:fldChar w:fldCharType="begin"/>
      </w:r>
      <w:r>
        <w:rPr>
          <w:sz w:val="22"/>
          <w:szCs w:val="22"/>
        </w:rPr>
        <w:instrText xml:space="preserve"> PAGEREF _Toc18692 \h </w:instrText>
      </w:r>
      <w:r>
        <w:rPr>
          <w:sz w:val="22"/>
          <w:szCs w:val="22"/>
        </w:rPr>
        <w:fldChar w:fldCharType="separate"/>
      </w:r>
      <w:r>
        <w:rPr>
          <w:sz w:val="22"/>
          <w:szCs w:val="22"/>
        </w:rPr>
        <w:t>26</w:t>
      </w:r>
      <w:r>
        <w:rPr>
          <w:sz w:val="22"/>
          <w:szCs w:val="22"/>
        </w:rPr>
        <w:fldChar w:fldCharType="end"/>
      </w:r>
      <w:r>
        <w:rPr>
          <w:rFonts w:hint="eastAsia" w:hAnsi="宋体"/>
          <w:color w:val="auto"/>
          <w:sz w:val="22"/>
          <w:szCs w:val="48"/>
          <w:highlight w:val="none"/>
        </w:rPr>
        <w:fldChar w:fldCharType="end"/>
      </w:r>
    </w:p>
    <w:p w14:paraId="38D2DFAD">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_Toc26280 </w:instrText>
      </w:r>
      <w:r>
        <w:rPr>
          <w:rFonts w:hint="eastAsia" w:hAnsi="宋体"/>
          <w:sz w:val="22"/>
          <w:szCs w:val="48"/>
          <w:highlight w:val="none"/>
        </w:rPr>
        <w:fldChar w:fldCharType="separate"/>
      </w:r>
      <w:r>
        <w:rPr>
          <w:rFonts w:hint="eastAsia" w:cs="Times New Roman"/>
          <w:sz w:val="22"/>
          <w:szCs w:val="22"/>
        </w:rPr>
        <w:t xml:space="preserve">四、 </w:t>
      </w:r>
      <w:r>
        <w:rPr>
          <w:rFonts w:hint="eastAsia"/>
          <w:sz w:val="22"/>
          <w:szCs w:val="22"/>
          <w:highlight w:val="none"/>
        </w:rPr>
        <w:t>评分细则</w:t>
      </w:r>
      <w:r>
        <w:rPr>
          <w:sz w:val="22"/>
          <w:szCs w:val="22"/>
        </w:rPr>
        <w:tab/>
      </w:r>
      <w:r>
        <w:rPr>
          <w:sz w:val="22"/>
          <w:szCs w:val="22"/>
        </w:rPr>
        <w:fldChar w:fldCharType="begin"/>
      </w:r>
      <w:r>
        <w:rPr>
          <w:sz w:val="22"/>
          <w:szCs w:val="22"/>
        </w:rPr>
        <w:instrText xml:space="preserve"> PAGEREF _Toc26280 \h </w:instrText>
      </w:r>
      <w:r>
        <w:rPr>
          <w:sz w:val="22"/>
          <w:szCs w:val="22"/>
        </w:rPr>
        <w:fldChar w:fldCharType="separate"/>
      </w:r>
      <w:r>
        <w:rPr>
          <w:sz w:val="22"/>
          <w:szCs w:val="22"/>
        </w:rPr>
        <w:t>27</w:t>
      </w:r>
      <w:r>
        <w:rPr>
          <w:sz w:val="22"/>
          <w:szCs w:val="22"/>
        </w:rPr>
        <w:fldChar w:fldCharType="end"/>
      </w:r>
      <w:r>
        <w:rPr>
          <w:rFonts w:hint="eastAsia" w:hAnsi="宋体"/>
          <w:color w:val="auto"/>
          <w:sz w:val="22"/>
          <w:szCs w:val="48"/>
          <w:highlight w:val="none"/>
        </w:rPr>
        <w:fldChar w:fldCharType="end"/>
      </w:r>
    </w:p>
    <w:p w14:paraId="770FEBA3">
      <w:pPr>
        <w:pStyle w:val="23"/>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_Toc8680 </w:instrText>
      </w:r>
      <w:r>
        <w:rPr>
          <w:rFonts w:hint="eastAsia" w:hAnsi="宋体"/>
          <w:sz w:val="22"/>
          <w:szCs w:val="48"/>
          <w:highlight w:val="none"/>
        </w:rPr>
        <w:fldChar w:fldCharType="separate"/>
      </w:r>
      <w:r>
        <w:rPr>
          <w:rFonts w:hint="eastAsia" w:cs="宋体"/>
          <w:sz w:val="22"/>
          <w:szCs w:val="40"/>
          <w:highlight w:val="none"/>
        </w:rPr>
        <w:t>第五部分</w:t>
      </w:r>
      <w:r>
        <w:rPr>
          <w:sz w:val="22"/>
          <w:szCs w:val="40"/>
          <w:highlight w:val="none"/>
        </w:rPr>
        <w:t xml:space="preserve"> </w:t>
      </w:r>
      <w:r>
        <w:rPr>
          <w:rFonts w:hint="eastAsia" w:cs="宋体"/>
          <w:sz w:val="22"/>
          <w:szCs w:val="40"/>
          <w:highlight w:val="none"/>
        </w:rPr>
        <w:t>采购合同</w:t>
      </w:r>
      <w:r>
        <w:rPr>
          <w:sz w:val="22"/>
          <w:szCs w:val="22"/>
        </w:rPr>
        <w:tab/>
      </w:r>
      <w:r>
        <w:rPr>
          <w:sz w:val="22"/>
          <w:szCs w:val="22"/>
        </w:rPr>
        <w:fldChar w:fldCharType="begin"/>
      </w:r>
      <w:r>
        <w:rPr>
          <w:sz w:val="22"/>
          <w:szCs w:val="22"/>
        </w:rPr>
        <w:instrText xml:space="preserve"> PAGEREF _Toc8680 \h </w:instrText>
      </w:r>
      <w:r>
        <w:rPr>
          <w:sz w:val="22"/>
          <w:szCs w:val="22"/>
        </w:rPr>
        <w:fldChar w:fldCharType="separate"/>
      </w:r>
      <w:r>
        <w:rPr>
          <w:sz w:val="22"/>
          <w:szCs w:val="22"/>
        </w:rPr>
        <w:t>31</w:t>
      </w:r>
      <w:r>
        <w:rPr>
          <w:sz w:val="22"/>
          <w:szCs w:val="22"/>
        </w:rPr>
        <w:fldChar w:fldCharType="end"/>
      </w:r>
      <w:r>
        <w:rPr>
          <w:rFonts w:hint="eastAsia" w:hAnsi="宋体"/>
          <w:color w:val="auto"/>
          <w:sz w:val="22"/>
          <w:szCs w:val="48"/>
          <w:highlight w:val="none"/>
        </w:rPr>
        <w:fldChar w:fldCharType="end"/>
      </w:r>
    </w:p>
    <w:p w14:paraId="7479F462">
      <w:pPr>
        <w:pStyle w:val="23"/>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_Toc28180 </w:instrText>
      </w:r>
      <w:r>
        <w:rPr>
          <w:rFonts w:hint="eastAsia" w:hAnsi="宋体"/>
          <w:sz w:val="22"/>
          <w:szCs w:val="48"/>
          <w:highlight w:val="none"/>
        </w:rPr>
        <w:fldChar w:fldCharType="separate"/>
      </w:r>
      <w:r>
        <w:rPr>
          <w:rFonts w:hint="eastAsia" w:cs="宋体"/>
          <w:sz w:val="22"/>
          <w:szCs w:val="40"/>
          <w:highlight w:val="none"/>
        </w:rPr>
        <w:t>第六部分</w:t>
      </w:r>
      <w:r>
        <w:rPr>
          <w:sz w:val="22"/>
          <w:szCs w:val="40"/>
          <w:highlight w:val="none"/>
        </w:rPr>
        <w:t xml:space="preserve"> </w:t>
      </w:r>
      <w:r>
        <w:rPr>
          <w:rFonts w:hint="eastAsia" w:cs="宋体"/>
          <w:sz w:val="22"/>
          <w:szCs w:val="40"/>
          <w:highlight w:val="none"/>
        </w:rPr>
        <w:t>应提交的有关格式范例</w:t>
      </w:r>
      <w:r>
        <w:rPr>
          <w:sz w:val="22"/>
          <w:szCs w:val="22"/>
        </w:rPr>
        <w:tab/>
      </w:r>
      <w:r>
        <w:rPr>
          <w:sz w:val="22"/>
          <w:szCs w:val="22"/>
        </w:rPr>
        <w:fldChar w:fldCharType="begin"/>
      </w:r>
      <w:r>
        <w:rPr>
          <w:sz w:val="22"/>
          <w:szCs w:val="22"/>
        </w:rPr>
        <w:instrText xml:space="preserve"> PAGEREF _Toc28180 \h </w:instrText>
      </w:r>
      <w:r>
        <w:rPr>
          <w:sz w:val="22"/>
          <w:szCs w:val="22"/>
        </w:rPr>
        <w:fldChar w:fldCharType="separate"/>
      </w:r>
      <w:r>
        <w:rPr>
          <w:sz w:val="22"/>
          <w:szCs w:val="22"/>
        </w:rPr>
        <w:t>35</w:t>
      </w:r>
      <w:r>
        <w:rPr>
          <w:sz w:val="22"/>
          <w:szCs w:val="22"/>
        </w:rPr>
        <w:fldChar w:fldCharType="end"/>
      </w:r>
      <w:r>
        <w:rPr>
          <w:rFonts w:hint="eastAsia" w:hAnsi="宋体"/>
          <w:color w:val="auto"/>
          <w:sz w:val="22"/>
          <w:szCs w:val="48"/>
          <w:highlight w:val="none"/>
        </w:rPr>
        <w:fldChar w:fldCharType="end"/>
      </w:r>
    </w:p>
    <w:p w14:paraId="29B4B956">
      <w:pPr>
        <w:pStyle w:val="3"/>
        <w:spacing w:line="360" w:lineRule="auto"/>
        <w:rPr>
          <w:rFonts w:cs="Times New Roman"/>
          <w:color w:val="auto"/>
          <w:sz w:val="32"/>
          <w:szCs w:val="32"/>
          <w:highlight w:val="none"/>
        </w:rPr>
      </w:pPr>
      <w:r>
        <w:rPr>
          <w:rFonts w:hint="eastAsia" w:hAnsi="宋体"/>
          <w:color w:val="auto"/>
          <w:sz w:val="32"/>
          <w:szCs w:val="48"/>
          <w:highlight w:val="none"/>
        </w:rPr>
        <w:fldChar w:fldCharType="end"/>
      </w:r>
    </w:p>
    <w:p w14:paraId="67D231CB">
      <w:pPr>
        <w:rPr>
          <w:color w:val="auto"/>
          <w:highlight w:val="none"/>
        </w:rPr>
      </w:pPr>
    </w:p>
    <w:p w14:paraId="6FAF1AB7">
      <w:pPr>
        <w:rPr>
          <w:color w:val="auto"/>
          <w:highlight w:val="none"/>
        </w:rPr>
      </w:pPr>
    </w:p>
    <w:p w14:paraId="49996CF9">
      <w:pPr>
        <w:rPr>
          <w:color w:val="auto"/>
          <w:highlight w:val="none"/>
        </w:rPr>
      </w:pPr>
    </w:p>
    <w:p w14:paraId="75C975AE">
      <w:pPr>
        <w:rPr>
          <w:color w:val="auto"/>
          <w:highlight w:val="none"/>
        </w:rPr>
      </w:pPr>
    </w:p>
    <w:p w14:paraId="2A746891">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14:paraId="2F1AA2AF">
      <w:pPr>
        <w:pStyle w:val="2"/>
        <w:jc w:val="center"/>
        <w:rPr>
          <w:rFonts w:ascii="宋体" w:cs="Times New Roman"/>
          <w:color w:val="auto"/>
          <w:highlight w:val="none"/>
        </w:rPr>
      </w:pPr>
      <w:bookmarkStart w:id="0" w:name="_Toc31034"/>
      <w:bookmarkStart w:id="1" w:name="_Toc32199"/>
      <w:bookmarkStart w:id="2" w:name="_Toc12613"/>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4D531EA4">
      <w:pPr>
        <w:adjustRightInd w:val="0"/>
        <w:spacing w:line="360" w:lineRule="auto"/>
        <w:ind w:right="-313" w:rightChars="-149"/>
        <w:jc w:val="center"/>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浙江建科工程项目管理有限公司</w:t>
      </w:r>
      <w:r>
        <w:rPr>
          <w:rFonts w:hint="eastAsia" w:ascii="宋体" w:hAnsi="宋体" w:cs="宋体"/>
          <w:color w:val="000000" w:themeColor="text1"/>
          <w:sz w:val="28"/>
          <w:szCs w:val="28"/>
          <w:highlight w:val="none"/>
          <w14:textFill>
            <w14:solidFill>
              <w14:schemeClr w14:val="tx1"/>
            </w14:solidFill>
          </w14:textFill>
        </w:rPr>
        <w:t>关于</w:t>
      </w:r>
      <w:r>
        <w:rPr>
          <w:rFonts w:hint="eastAsia" w:ascii="宋体" w:hAnsi="宋体" w:cs="宋体"/>
          <w:color w:val="000000" w:themeColor="text1"/>
          <w:sz w:val="28"/>
          <w:szCs w:val="28"/>
          <w:highlight w:val="none"/>
          <w:lang w:eastAsia="zh-CN"/>
          <w14:textFill>
            <w14:solidFill>
              <w14:schemeClr w14:val="tx1"/>
            </w14:solidFill>
          </w14:textFill>
        </w:rPr>
        <w:t>绍兴市上虞区水利局2025年水库堤防等水利工程安全生产风险管控“六项机制”创建项目</w:t>
      </w:r>
      <w:r>
        <w:rPr>
          <w:rFonts w:hint="eastAsia" w:ascii="宋体" w:hAnsi="宋体" w:cs="宋体"/>
          <w:color w:val="000000" w:themeColor="text1"/>
          <w:sz w:val="28"/>
          <w:szCs w:val="28"/>
          <w:highlight w:val="none"/>
          <w14:textFill>
            <w14:solidFill>
              <w14:schemeClr w14:val="tx1"/>
            </w14:solidFill>
          </w14:textFill>
        </w:rPr>
        <w:t>的竞争性磋商公告</w:t>
      </w:r>
    </w:p>
    <w:p w14:paraId="76F40163">
      <w:pPr>
        <w:adjustRightInd w:val="0"/>
        <w:spacing w:line="360" w:lineRule="auto"/>
        <w:jc w:val="center"/>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公告日期：</w:t>
      </w:r>
      <w:r>
        <w:rPr>
          <w:rFonts w:ascii="宋体" w:hAnsi="宋体" w:cs="宋体"/>
          <w:color w:val="000000" w:themeColor="text1"/>
          <w:sz w:val="28"/>
          <w:szCs w:val="28"/>
          <w:highlight w:val="none"/>
          <w14:textFill>
            <w14:solidFill>
              <w14:schemeClr w14:val="tx1"/>
            </w14:solidFill>
          </w14:textFill>
        </w:rPr>
        <w:t>20</w:t>
      </w:r>
      <w:r>
        <w:rPr>
          <w:rFonts w:hint="eastAsia"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日</w:t>
      </w:r>
    </w:p>
    <w:p w14:paraId="64E77201">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根据《中华人民共和国政府采购法》等有关规定，</w:t>
      </w:r>
      <w:r>
        <w:rPr>
          <w:rFonts w:hint="eastAsia" w:ascii="宋体" w:hAnsi="宋体" w:cs="宋体"/>
          <w:color w:val="000000" w:themeColor="text1"/>
          <w:sz w:val="24"/>
          <w:szCs w:val="24"/>
          <w:highlight w:val="none"/>
          <w:u w:val="single"/>
          <w:lang w:eastAsia="zh-CN"/>
          <w14:textFill>
            <w14:solidFill>
              <w14:schemeClr w14:val="tx1"/>
            </w14:solidFill>
          </w14:textFill>
        </w:rPr>
        <w:t>浙江建科工程项目管理有限公司</w:t>
      </w:r>
      <w:r>
        <w:rPr>
          <w:rFonts w:hint="eastAsia" w:ascii="宋体" w:hAnsi="宋体" w:cs="宋体"/>
          <w:color w:val="000000" w:themeColor="text1"/>
          <w:sz w:val="24"/>
          <w:szCs w:val="24"/>
          <w:highlight w:val="none"/>
          <w14:textFill>
            <w14:solidFill>
              <w14:schemeClr w14:val="tx1"/>
            </w14:solidFill>
          </w14:textFill>
        </w:rPr>
        <w:t>受</w:t>
      </w:r>
      <w:r>
        <w:rPr>
          <w:rFonts w:hint="eastAsia" w:ascii="宋体" w:hAnsi="宋体" w:cs="宋体"/>
          <w:color w:val="000000" w:themeColor="text1"/>
          <w:sz w:val="24"/>
          <w:szCs w:val="24"/>
          <w:highlight w:val="none"/>
          <w:u w:val="single"/>
          <w:lang w:eastAsia="zh-CN"/>
          <w14:textFill>
            <w14:solidFill>
              <w14:schemeClr w14:val="tx1"/>
            </w14:solidFill>
          </w14:textFill>
        </w:rPr>
        <w:t>绍兴市上虞区水利局</w:t>
      </w:r>
      <w:r>
        <w:rPr>
          <w:rFonts w:hint="eastAsia" w:ascii="宋体" w:hAnsi="宋体" w:cs="宋体"/>
          <w:color w:val="000000" w:themeColor="text1"/>
          <w:sz w:val="24"/>
          <w:szCs w:val="24"/>
          <w:highlight w:val="none"/>
          <w14:textFill>
            <w14:solidFill>
              <w14:schemeClr w14:val="tx1"/>
            </w14:solidFill>
          </w14:textFill>
        </w:rPr>
        <w:t>委托，现就</w:t>
      </w:r>
      <w:r>
        <w:rPr>
          <w:rFonts w:hint="eastAsia" w:ascii="宋体" w:hAnsi="宋体" w:cs="宋体"/>
          <w:color w:val="000000" w:themeColor="text1"/>
          <w:sz w:val="24"/>
          <w:szCs w:val="24"/>
          <w:highlight w:val="none"/>
          <w:u w:val="single"/>
          <w:lang w:eastAsia="zh-CN"/>
          <w14:textFill>
            <w14:solidFill>
              <w14:schemeClr w14:val="tx1"/>
            </w14:solidFill>
          </w14:textFill>
        </w:rPr>
        <w:t>2025年水库堤防等水利工程安全生产风险管控“六项机制”创建项目</w:t>
      </w:r>
      <w:r>
        <w:rPr>
          <w:rFonts w:hint="eastAsia" w:ascii="宋体" w:hAnsi="宋体" w:cs="宋体"/>
          <w:color w:val="000000" w:themeColor="text1"/>
          <w:sz w:val="24"/>
          <w:szCs w:val="24"/>
          <w:highlight w:val="none"/>
          <w:u w:val="single"/>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采购进行</w:t>
      </w:r>
      <w:r>
        <w:rPr>
          <w:rFonts w:hint="eastAsia" w:ascii="宋体" w:hAnsi="宋体" w:cs="宋体"/>
          <w:color w:val="000000" w:themeColor="text1"/>
          <w:sz w:val="24"/>
          <w:szCs w:val="24"/>
          <w:highlight w:val="none"/>
          <w:u w:val="single"/>
          <w14:textFill>
            <w14:solidFill>
              <w14:schemeClr w14:val="tx1"/>
            </w14:solidFill>
          </w14:textFill>
        </w:rPr>
        <w:t>竞争性磋商</w:t>
      </w:r>
      <w:r>
        <w:rPr>
          <w:rFonts w:hint="eastAsia" w:ascii="宋体" w:hAnsi="宋体" w:cs="宋体"/>
          <w:color w:val="000000" w:themeColor="text1"/>
          <w:sz w:val="24"/>
          <w:szCs w:val="24"/>
          <w:highlight w:val="none"/>
          <w14:textFill>
            <w14:solidFill>
              <w14:schemeClr w14:val="tx1"/>
            </w14:solidFill>
          </w14:textFill>
        </w:rPr>
        <w:t>，欢迎国内合格的供应商参加本次采购活动。</w:t>
      </w:r>
    </w:p>
    <w:p w14:paraId="6F498A41">
      <w:pPr>
        <w:adjustRightInd w:val="0"/>
        <w:spacing w:line="360" w:lineRule="auto"/>
        <w:ind w:firstLine="480" w:firstLineChars="200"/>
        <w:rPr>
          <w:rFonts w:hint="eastAsia" w:ascii="宋体" w:eastAsia="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磋商项目编号：</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ZJJK2025010 </w:t>
      </w:r>
    </w:p>
    <w:p w14:paraId="5ED57A10">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采购组织类型：</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分散采购（中介代理）</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14:paraId="7D0A2ABB">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磋商项目概况</w:t>
      </w:r>
      <w:r>
        <w:rPr>
          <w:rFonts w:hint="eastAsia" w:ascii="宋体" w:hAnsi="宋体" w:cs="宋体"/>
          <w:color w:val="000000" w:themeColor="text1"/>
          <w:sz w:val="24"/>
          <w:szCs w:val="24"/>
          <w:highlight w:val="none"/>
          <w:lang w:eastAsia="zh-CN"/>
          <w14:textFill>
            <w14:solidFill>
              <w14:schemeClr w14:val="tx1"/>
            </w14:solidFill>
          </w14:textFill>
        </w:rPr>
        <w:t>：</w:t>
      </w:r>
    </w:p>
    <w:tbl>
      <w:tblPr>
        <w:tblStyle w:val="31"/>
        <w:tblW w:w="896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9"/>
        <w:gridCol w:w="1807"/>
        <w:gridCol w:w="645"/>
        <w:gridCol w:w="675"/>
        <w:gridCol w:w="1185"/>
        <w:gridCol w:w="2380"/>
        <w:gridCol w:w="1274"/>
        <w:gridCol w:w="532"/>
      </w:tblGrid>
      <w:tr w14:paraId="0DDB7F0D">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9" w:type="dxa"/>
            <w:tcBorders>
              <w:top w:val="single" w:color="000000" w:sz="4" w:space="0"/>
            </w:tcBorders>
            <w:vAlign w:val="center"/>
          </w:tcPr>
          <w:p w14:paraId="5C711343">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807" w:type="dxa"/>
            <w:tcBorders>
              <w:top w:val="single" w:color="000000" w:sz="4" w:space="0"/>
            </w:tcBorders>
            <w:vAlign w:val="center"/>
          </w:tcPr>
          <w:p w14:paraId="12BE9FC7">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645" w:type="dxa"/>
            <w:tcBorders>
              <w:top w:val="single" w:color="000000" w:sz="4" w:space="0"/>
            </w:tcBorders>
            <w:vAlign w:val="center"/>
          </w:tcPr>
          <w:p w14:paraId="0AF450E0">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675" w:type="dxa"/>
            <w:tcBorders>
              <w:top w:val="single" w:color="000000" w:sz="4" w:space="0"/>
            </w:tcBorders>
            <w:vAlign w:val="center"/>
          </w:tcPr>
          <w:p w14:paraId="484C20B4">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w:t>
            </w:r>
          </w:p>
        </w:tc>
        <w:tc>
          <w:tcPr>
            <w:tcW w:w="1185" w:type="dxa"/>
            <w:tcBorders>
              <w:top w:val="single" w:color="000000" w:sz="4" w:space="0"/>
            </w:tcBorders>
            <w:vAlign w:val="center"/>
          </w:tcPr>
          <w:p w14:paraId="18DF9299">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2380" w:type="dxa"/>
            <w:tcBorders>
              <w:top w:val="single" w:color="000000" w:sz="4" w:space="0"/>
            </w:tcBorders>
            <w:vAlign w:val="center"/>
          </w:tcPr>
          <w:p w14:paraId="43A30803">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简要规格描述或标项基本概况介绍</w:t>
            </w:r>
          </w:p>
        </w:tc>
        <w:tc>
          <w:tcPr>
            <w:tcW w:w="1274" w:type="dxa"/>
            <w:tcBorders>
              <w:top w:val="single" w:color="000000" w:sz="4" w:space="0"/>
            </w:tcBorders>
            <w:vAlign w:val="center"/>
          </w:tcPr>
          <w:p w14:paraId="2C42E5F7">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最高限价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532" w:type="dxa"/>
            <w:tcBorders>
              <w:top w:val="single" w:color="000000" w:sz="4" w:space="0"/>
            </w:tcBorders>
            <w:vAlign w:val="center"/>
          </w:tcPr>
          <w:p w14:paraId="350C5D6B">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备注</w:t>
            </w:r>
          </w:p>
        </w:tc>
      </w:tr>
      <w:tr w14:paraId="5B062E7F">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9" w:type="dxa"/>
            <w:tcBorders>
              <w:bottom w:val="single" w:color="000000" w:sz="4" w:space="0"/>
            </w:tcBorders>
            <w:vAlign w:val="center"/>
          </w:tcPr>
          <w:p w14:paraId="10DCCAC1">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1807" w:type="dxa"/>
            <w:tcBorders>
              <w:bottom w:val="single" w:color="000000" w:sz="4" w:space="0"/>
            </w:tcBorders>
            <w:vAlign w:val="center"/>
          </w:tcPr>
          <w:p w14:paraId="6CDB5986">
            <w:pPr>
              <w:pStyle w:val="17"/>
              <w:snapToGrid w:val="0"/>
              <w:spacing w:before="120" w:after="120"/>
              <w:jc w:val="center"/>
              <w:rPr>
                <w:rFonts w:hint="eastAsia" w:hAnsi="宋体" w:cs="Times New Roman"/>
                <w:color w:val="000000" w:themeColor="text1"/>
                <w:sz w:val="24"/>
                <w:szCs w:val="24"/>
                <w:highlight w:val="none"/>
                <w:lang w:eastAsia="zh-CN"/>
                <w14:textFill>
                  <w14:solidFill>
                    <w14:schemeClr w14:val="tx1"/>
                  </w14:solidFill>
                </w14:textFill>
              </w:rPr>
            </w:pPr>
            <w:r>
              <w:rPr>
                <w:rFonts w:hint="eastAsia" w:hAnsi="宋体" w:cs="Times New Roman"/>
                <w:color w:val="000000" w:themeColor="text1"/>
                <w:sz w:val="24"/>
                <w:szCs w:val="24"/>
                <w:highlight w:val="none"/>
                <w:lang w:val="en-US" w:eastAsia="zh-CN"/>
                <w14:textFill>
                  <w14:solidFill>
                    <w14:schemeClr w14:val="tx1"/>
                  </w14:solidFill>
                </w14:textFill>
              </w:rPr>
              <w:t>2025年水库堤防等水利工程安全生产风险管控“六项机制”创建项目</w:t>
            </w:r>
          </w:p>
        </w:tc>
        <w:tc>
          <w:tcPr>
            <w:tcW w:w="645" w:type="dxa"/>
            <w:tcBorders>
              <w:bottom w:val="single" w:color="000000" w:sz="4" w:space="0"/>
            </w:tcBorders>
            <w:vAlign w:val="center"/>
          </w:tcPr>
          <w:p w14:paraId="7D744409">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675" w:type="dxa"/>
            <w:tcBorders>
              <w:bottom w:val="single" w:color="000000" w:sz="4" w:space="0"/>
            </w:tcBorders>
            <w:vAlign w:val="center"/>
          </w:tcPr>
          <w:p w14:paraId="4417CD66">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w:t>
            </w:r>
          </w:p>
        </w:tc>
        <w:tc>
          <w:tcPr>
            <w:tcW w:w="1185" w:type="dxa"/>
            <w:tcBorders>
              <w:bottom w:val="single" w:color="000000" w:sz="4" w:space="0"/>
            </w:tcBorders>
            <w:vAlign w:val="center"/>
          </w:tcPr>
          <w:p w14:paraId="2B9766F2">
            <w:pPr>
              <w:widowControl/>
              <w:spacing w:before="100" w:after="100" w:line="312" w:lineRule="auto"/>
              <w:jc w:val="center"/>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95</w:t>
            </w:r>
          </w:p>
        </w:tc>
        <w:tc>
          <w:tcPr>
            <w:tcW w:w="2380" w:type="dxa"/>
            <w:tcBorders>
              <w:bottom w:val="single" w:color="000000" w:sz="4" w:space="0"/>
            </w:tcBorders>
            <w:vAlign w:val="center"/>
          </w:tcPr>
          <w:p w14:paraId="477D5DF6">
            <w:pPr>
              <w:pStyle w:val="17"/>
              <w:snapToGrid w:val="0"/>
              <w:spacing w:before="120" w:after="120"/>
              <w:jc w:val="center"/>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lang w:val="en-US" w:eastAsia="zh-CN"/>
                <w14:textFill>
                  <w14:solidFill>
                    <w14:schemeClr w14:val="tx1"/>
                  </w14:solidFill>
                </w14:textFill>
              </w:rPr>
              <w:t>开展上虞区51座水库、25段堤防、36座电排站等水利工程水利安全生产风险管控“六项机制”创建，5座水电站水利安全生产风险管控“六项机制”创建的技术指导。</w:t>
            </w:r>
          </w:p>
        </w:tc>
        <w:tc>
          <w:tcPr>
            <w:tcW w:w="1274" w:type="dxa"/>
            <w:tcBorders>
              <w:bottom w:val="single" w:color="000000" w:sz="4" w:space="0"/>
            </w:tcBorders>
            <w:vAlign w:val="center"/>
          </w:tcPr>
          <w:p w14:paraId="263D6B56">
            <w:pPr>
              <w:adjustRightInd w:val="0"/>
              <w:spacing w:line="360" w:lineRule="auto"/>
              <w:jc w:val="center"/>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95</w:t>
            </w:r>
          </w:p>
        </w:tc>
        <w:tc>
          <w:tcPr>
            <w:tcW w:w="532" w:type="dxa"/>
            <w:tcBorders>
              <w:bottom w:val="single" w:color="000000" w:sz="4" w:space="0"/>
            </w:tcBorders>
            <w:vAlign w:val="center"/>
          </w:tcPr>
          <w:p w14:paraId="543745ED">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w:t>
            </w:r>
          </w:p>
        </w:tc>
      </w:tr>
    </w:tbl>
    <w:p w14:paraId="14F7A826">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合格供应商资格要求</w:t>
      </w:r>
      <w:r>
        <w:rPr>
          <w:rFonts w:hint="eastAsia" w:ascii="宋体" w:hAnsi="宋体" w:cs="宋体"/>
          <w:color w:val="000000" w:themeColor="text1"/>
          <w:sz w:val="24"/>
          <w:szCs w:val="24"/>
          <w:highlight w:val="none"/>
          <w:lang w:eastAsia="zh-CN"/>
          <w14:textFill>
            <w14:solidFill>
              <w14:schemeClr w14:val="tx1"/>
            </w14:solidFill>
          </w14:textFill>
        </w:rPr>
        <w:t>：</w:t>
      </w:r>
    </w:p>
    <w:p w14:paraId="1C92FD94">
      <w:pPr>
        <w:numPr>
          <w:ilvl w:val="0"/>
          <w:numId w:val="2"/>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符合政府采购法第二十二条，且未被“信用中国”（</w:t>
      </w:r>
      <w:r>
        <w:rPr>
          <w:rFonts w:ascii="宋体" w:hAnsi="宋体" w:cs="宋体"/>
          <w:color w:val="000000" w:themeColor="text1"/>
          <w:sz w:val="24"/>
          <w:szCs w:val="24"/>
          <w:highlight w:val="none"/>
          <w14:textFill>
            <w14:solidFill>
              <w14:schemeClr w14:val="tx1"/>
            </w14:solidFill>
          </w14:textFill>
        </w:rPr>
        <w:t>www.creditchina.gov.cn</w:t>
      </w:r>
      <w:r>
        <w:rPr>
          <w:rFonts w:hint="eastAsia" w:ascii="宋体" w:hAnsi="宋体" w:cs="宋体"/>
          <w:color w:val="000000" w:themeColor="text1"/>
          <w:sz w:val="24"/>
          <w:szCs w:val="24"/>
          <w:highlight w:val="none"/>
          <w14:textFill>
            <w14:solidFill>
              <w14:schemeClr w14:val="tx1"/>
            </w14:solidFill>
          </w14:textFill>
        </w:rPr>
        <w:t>）、中国政府采购网（</w:t>
      </w:r>
      <w:r>
        <w:rPr>
          <w:rFonts w:ascii="宋体" w:hAnsi="宋体" w:cs="宋体"/>
          <w:color w:val="000000" w:themeColor="text1"/>
          <w:sz w:val="24"/>
          <w:szCs w:val="24"/>
          <w:highlight w:val="none"/>
          <w14:textFill>
            <w14:solidFill>
              <w14:schemeClr w14:val="tx1"/>
            </w14:solidFill>
          </w14:textFill>
        </w:rPr>
        <w:t>www.ccgp.gov.cn</w:t>
      </w:r>
      <w:r>
        <w:rPr>
          <w:rFonts w:hint="eastAsia" w:ascii="宋体" w:hAnsi="宋体" w:cs="宋体"/>
          <w:color w:val="000000" w:themeColor="text1"/>
          <w:sz w:val="24"/>
          <w:szCs w:val="24"/>
          <w:highlight w:val="none"/>
          <w14:textFill>
            <w14:solidFill>
              <w14:schemeClr w14:val="tx1"/>
            </w14:solidFill>
          </w14:textFill>
        </w:rPr>
        <w:t>）列入失信被执行人、重大税收违法案件当事人名单、政府采购严重违法失信行为记录名单。</w:t>
      </w:r>
      <w:r>
        <w:rPr>
          <w:rFonts w:ascii="宋体"/>
          <w:color w:val="000000" w:themeColor="text1"/>
          <w:sz w:val="24"/>
          <w:szCs w:val="24"/>
          <w:highlight w:val="none"/>
          <w14:textFill>
            <w14:solidFill>
              <w14:schemeClr w14:val="tx1"/>
            </w14:solidFill>
          </w14:textFill>
        </w:rPr>
        <w:t> </w:t>
      </w:r>
    </w:p>
    <w:p w14:paraId="3479F2F9">
      <w:pPr>
        <w:numPr>
          <w:ilvl w:val="0"/>
          <w:numId w:val="2"/>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落实政府采购政策需满足的资格要求：供应商为中小企业/小微企业</w:t>
      </w:r>
      <w:r>
        <w:rPr>
          <w:rFonts w:hint="eastAsia" w:ascii="宋体"/>
          <w:color w:val="000000" w:themeColor="text1"/>
          <w:sz w:val="24"/>
          <w:szCs w:val="24"/>
          <w:highlight w:val="none"/>
          <w:lang w:eastAsia="zh-CN"/>
          <w14:textFill>
            <w14:solidFill>
              <w14:schemeClr w14:val="tx1"/>
            </w14:solidFill>
          </w14:textFill>
        </w:rPr>
        <w:t>。</w:t>
      </w:r>
    </w:p>
    <w:p w14:paraId="60BEF37F">
      <w:pPr>
        <w:numPr>
          <w:ilvl w:val="0"/>
          <w:numId w:val="2"/>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w:t>
      </w:r>
      <w:r>
        <w:rPr>
          <w:rFonts w:hint="eastAsia" w:ascii="宋体" w:hAnsi="宋体" w:cs="宋体"/>
          <w:color w:val="000000" w:themeColor="text1"/>
          <w:sz w:val="24"/>
          <w:szCs w:val="24"/>
          <w:highlight w:val="none"/>
          <w:u w:val="single"/>
          <w14:textFill>
            <w14:solidFill>
              <w14:schemeClr w14:val="tx1"/>
            </w14:solidFill>
          </w14:textFill>
        </w:rPr>
        <w:t>不接受</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联合体参加磋商。</w:t>
      </w:r>
    </w:p>
    <w:p w14:paraId="795D9B44">
      <w:pPr>
        <w:numPr>
          <w:ilvl w:val="0"/>
          <w:numId w:val="2"/>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本项目采用资格后审的审查方式，由磋商小组负责审查。</w:t>
      </w:r>
    </w:p>
    <w:p w14:paraId="353589AC">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五．获取磋商文件</w:t>
      </w:r>
    </w:p>
    <w:p w14:paraId="08623E60">
      <w:pPr>
        <w:numPr>
          <w:ilvl w:val="0"/>
          <w:numId w:val="3"/>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5" w:name="报名开始时间1"/>
      <w:r>
        <w:rPr>
          <w:rFonts w:hint="eastAsia" w:ascii="宋体" w:hAnsi="宋体" w:cs="宋体"/>
          <w:color w:val="000000" w:themeColor="text1"/>
          <w:sz w:val="24"/>
          <w:szCs w:val="24"/>
          <w:highlight w:val="none"/>
          <w14:textFill>
            <w14:solidFill>
              <w14:schemeClr w14:val="tx1"/>
            </w14:solidFill>
          </w14:textFill>
        </w:rPr>
        <w:t>获取磋商文件时间</w:t>
      </w:r>
      <w:r>
        <w:rPr>
          <w:rFonts w:hint="eastAsia" w:ascii="宋体" w:hAnsi="宋体" w:cs="宋体"/>
          <w:color w:val="000000" w:themeColor="text1"/>
          <w:sz w:val="24"/>
          <w:szCs w:val="24"/>
          <w:highlight w:val="none"/>
          <w:lang w:eastAsia="zh-CN"/>
          <w14:textFill>
            <w14:solidFill>
              <w14:schemeClr w14:val="tx1"/>
            </w14:solidFill>
          </w14:textFill>
        </w:rPr>
        <w:t>：</w:t>
      </w:r>
      <w:bookmarkEnd w:id="5"/>
      <w:r>
        <w:rPr>
          <w:rFonts w:ascii="宋体" w:hAnsi="宋体" w:cs="宋体"/>
          <w:color w:val="000000" w:themeColor="text1"/>
          <w:sz w:val="24"/>
          <w:szCs w:val="24"/>
          <w:highlight w:val="none"/>
          <w:u w:val="single"/>
          <w14:textFill>
            <w14:solidFill>
              <w14:schemeClr w14:val="tx1"/>
            </w14:solidFill>
          </w14:textFill>
        </w:rPr>
        <w:t>20</w:t>
      </w:r>
      <w:r>
        <w:rPr>
          <w:rFonts w:hint="eastAsia" w:ascii="宋体" w:hAnsi="宋体" w:cs="宋体"/>
          <w:color w:val="000000" w:themeColor="text1"/>
          <w:sz w:val="24"/>
          <w:szCs w:val="24"/>
          <w:highlight w:val="none"/>
          <w:u w:val="single"/>
          <w14:textFill>
            <w14:solidFill>
              <w14:schemeClr w14:val="tx1"/>
            </w14:solidFill>
          </w14:textFill>
        </w:rPr>
        <w:t>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16</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9</w:t>
      </w:r>
      <w:r>
        <w:rPr>
          <w:rFonts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3</w:t>
      </w:r>
      <w:r>
        <w:rPr>
          <w:rFonts w:ascii="宋体" w:hAnsi="宋体" w:cs="宋体"/>
          <w:color w:val="000000" w:themeColor="text1"/>
          <w:sz w:val="24"/>
          <w:szCs w:val="24"/>
          <w:highlight w:val="none"/>
          <w:u w:val="singl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之前获取。</w:t>
      </w:r>
    </w:p>
    <w:p w14:paraId="0057E876">
      <w:pPr>
        <w:numPr>
          <w:ilvl w:val="0"/>
          <w:numId w:val="3"/>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获取磋商文件方式：供应商登陆政采云平台</w:t>
      </w:r>
      <w:r>
        <w:rPr>
          <w:rFonts w:ascii="宋体" w:hAnsi="宋体" w:cs="宋体"/>
          <w:color w:val="000000" w:themeColor="text1"/>
          <w:sz w:val="24"/>
          <w:szCs w:val="24"/>
          <w:highlight w:val="none"/>
          <w14:textFill>
            <w14:solidFill>
              <w14:schemeClr w14:val="tx1"/>
            </w14:solidFill>
          </w14:textFill>
        </w:rPr>
        <w:t>http://www.zcygov.cn</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在线申请获取磋商文件（进入“项目采购”应用，在获取采购文件菜单中选择项目，申请获取采购文件）。</w:t>
      </w:r>
    </w:p>
    <w:p w14:paraId="23F14577">
      <w:pPr>
        <w:numPr>
          <w:ilvl w:val="0"/>
          <w:numId w:val="3"/>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提示：</w:t>
      </w:r>
    </w:p>
    <w:p w14:paraId="48C52063">
      <w:pPr>
        <w:numPr>
          <w:ilvl w:val="0"/>
          <w:numId w:val="4"/>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将拒绝接受未获取磋商文件供应商的响应文件。</w:t>
      </w:r>
    </w:p>
    <w:p w14:paraId="557CF12F">
      <w:pPr>
        <w:numPr>
          <w:ilvl w:val="0"/>
          <w:numId w:val="4"/>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磋商文件及更正补充公告请自行登录浙江政府采购网或绍兴市上虞区公共资源交易中心网站，在采购公告页面中下载。</w:t>
      </w:r>
    </w:p>
    <w:p w14:paraId="2D1C4055">
      <w:p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六．投标与开标注意事项：</w:t>
      </w:r>
    </w:p>
    <w:p w14:paraId="44B0748F">
      <w:pPr>
        <w:numPr>
          <w:ilvl w:val="0"/>
          <w:numId w:val="0"/>
        </w:numPr>
        <w:adjustRightInd w:val="0"/>
        <w:spacing w:line="360" w:lineRule="auto"/>
        <w:ind w:left="0" w:leftChars="0" w:firstLine="480" w:firstLineChars="200"/>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本项目实行</w:t>
      </w:r>
      <w:r>
        <w:rPr>
          <w:rFonts w:hint="eastAsia" w:ascii="宋体" w:hAnsi="宋体" w:cs="宋体"/>
          <w:b/>
          <w:bCs/>
          <w:color w:val="000000" w:themeColor="text1"/>
          <w:sz w:val="24"/>
          <w:szCs w:val="24"/>
          <w:highlight w:val="none"/>
          <w14:textFill>
            <w14:solidFill>
              <w14:schemeClr w14:val="tx1"/>
            </w14:solidFill>
          </w14:textFill>
        </w:rPr>
        <w:t>网上投标</w:t>
      </w:r>
      <w:r>
        <w:rPr>
          <w:rFonts w:hint="eastAsia" w:ascii="宋体" w:hAnsi="宋体" w:cs="宋体"/>
          <w:color w:val="000000" w:themeColor="text1"/>
          <w:sz w:val="24"/>
          <w:szCs w:val="24"/>
          <w:highlight w:val="none"/>
          <w14:textFill>
            <w14:solidFill>
              <w14:schemeClr w14:val="tx1"/>
            </w14:solidFill>
          </w14:textFill>
        </w:rPr>
        <w:t>，采用电子投标文件，若供应商参与投标，自行承担投标一切费用。</w:t>
      </w:r>
    </w:p>
    <w:p w14:paraId="46296FF0">
      <w:pPr>
        <w:numPr>
          <w:ilvl w:val="0"/>
          <w:numId w:val="0"/>
        </w:numPr>
        <w:wordWrap w:val="0"/>
        <w:adjustRightInd w:val="0"/>
        <w:spacing w:line="360" w:lineRule="auto"/>
        <w:ind w:left="0" w:leftChars="0" w:firstLine="480" w:firstLineChars="200"/>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标前准备：各供应商应在开标前应确保成为浙江省政府采购网正式注册入库供应商，并完成CA数字证书办理。因未注册入库、未办理CA数字证书等原因造成无法投标或投标失败等后果由供应商自行承担。</w:t>
      </w:r>
    </w:p>
    <w:p w14:paraId="4981B5F3">
      <w:pPr>
        <w:autoSpaceDE w:val="0"/>
        <w:autoSpaceDN w:val="0"/>
        <w:spacing w:line="360" w:lineRule="auto"/>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供应商将政采云电子交易客户端下载、安装完成后，可通过账号密码或CA登录客户端进行投标文件制作。在使用政采云投标客户端时，建议使用WIN7及以上操作系统。</w:t>
      </w:r>
    </w:p>
    <w:p w14:paraId="79A155B0">
      <w:pPr>
        <w:autoSpaceDE w:val="0"/>
        <w:autoSpaceDN w:val="0"/>
        <w:spacing w:line="360" w:lineRule="auto"/>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注：供应商先要申领CA，取得CA后需要在政采云平台进行绑定，CA相关操作可参考《CA管理学习专题》。完成CA数字证书办理在资料齐全的情况下预计7个工作日左右，建议供应商获取招标文件后立即办理。</w:t>
      </w:r>
    </w:p>
    <w:p w14:paraId="54DB9907">
      <w:pPr>
        <w:adjustRightInd w:val="0"/>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《CA管理学习专题》：</w:t>
      </w:r>
    </w:p>
    <w:p w14:paraId="4CF9B881">
      <w:pPr>
        <w:adjustRightInd w:val="0"/>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https://edu.zcygov.cn/luban/ca?utm=web-government-front.380aac0a.0.0.fc2b6aa0b6e211ebbdb0dd007730dd44</w:t>
      </w:r>
    </w:p>
    <w:p w14:paraId="34C7F0BE">
      <w:pPr>
        <w:adjustRightInd w:val="0"/>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《CA驱动和申领流程》:</w:t>
      </w:r>
    </w:p>
    <w:p w14:paraId="32DBFB84">
      <w:pPr>
        <w:adjustRightInd w:val="0"/>
        <w:spacing w:line="360" w:lineRule="auto"/>
        <w:ind w:left="420" w:leftChars="200"/>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"http://zfcg.czt.zj.gov.cn/bidClientTemplate/2019-05-27/12945.html"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http://zfcg.czt.zj.gov.cn/bidClientTemplate/2019-05-27/12945.html</w:t>
      </w:r>
      <w:r>
        <w:rPr>
          <w:rFonts w:hint="eastAsia" w:ascii="宋体" w:hAnsi="宋体" w:cs="宋体"/>
          <w:color w:val="000000" w:themeColor="text1"/>
          <w:sz w:val="24"/>
          <w:highlight w:val="none"/>
          <w14:textFill>
            <w14:solidFill>
              <w14:schemeClr w14:val="tx1"/>
            </w14:solidFill>
          </w14:textFill>
        </w:rPr>
        <w:fldChar w:fldCharType="end"/>
      </w:r>
    </w:p>
    <w:p w14:paraId="3E20001C">
      <w:pPr>
        <w:numPr>
          <w:ilvl w:val="0"/>
          <w:numId w:val="0"/>
        </w:numPr>
        <w:adjustRightInd w:val="0"/>
        <w:spacing w:line="360" w:lineRule="auto"/>
        <w:ind w:left="0" w:leftChars="0" w:firstLine="480" w:firstLineChars="200"/>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投标文件制作：</w:t>
      </w:r>
    </w:p>
    <w:p w14:paraId="79BA3234">
      <w:pPr>
        <w:numPr>
          <w:ilvl w:val="0"/>
          <w:numId w:val="5"/>
        </w:num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000000" w:themeColor="text1"/>
          <w:sz w:val="24"/>
          <w:szCs w:val="24"/>
          <w:highlight w:val="none"/>
          <w:lang w:val="en-US" w:eastAsia="zh-CN"/>
          <w14:textFill>
            <w14:solidFill>
              <w14:schemeClr w14:val="tx1"/>
            </w14:solidFill>
          </w14:textFill>
        </w:rPr>
        <w:t>95763</w:t>
      </w:r>
      <w:r>
        <w:rPr>
          <w:rFonts w:hint="eastAsia" w:ascii="宋体" w:hAnsi="宋体" w:cs="宋体"/>
          <w:color w:val="000000" w:themeColor="text1"/>
          <w:sz w:val="24"/>
          <w:szCs w:val="24"/>
          <w:highlight w:val="none"/>
          <w14:textFill>
            <w14:solidFill>
              <w14:schemeClr w14:val="tx1"/>
            </w14:solidFill>
          </w14:textFill>
        </w:rPr>
        <w:t>。</w:t>
      </w:r>
    </w:p>
    <w:p w14:paraId="0F14F27D">
      <w:pPr>
        <w:numPr>
          <w:ilvl w:val="0"/>
          <w:numId w:val="5"/>
        </w:numPr>
        <w:wordWrap w:val="0"/>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投标人通过“政采云”平台电子投标工具制作投标文件。</w:t>
      </w:r>
    </w:p>
    <w:p w14:paraId="594B2DF1">
      <w:pPr>
        <w:adjustRightIn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《电子投标工具》：</w:t>
      </w:r>
    </w:p>
    <w:p w14:paraId="262BDB26">
      <w:pPr>
        <w:adjustRightInd w:val="0"/>
        <w:spacing w:line="360" w:lineRule="auto"/>
        <w:ind w:firstLine="420" w:firstLineChars="200"/>
        <w:jc w:val="left"/>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"http://zfcg.czt.zj.gov.cn/bidClientTemplate/2019-09-24/12975.html"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http://zfcg.czt.zj.gov.cn/bidClientTemplate/2019-09-24/12975.html</w:t>
      </w:r>
      <w:r>
        <w:rPr>
          <w:rFonts w:hint="eastAsia" w:ascii="宋体" w:hAnsi="宋体" w:cs="宋体"/>
          <w:color w:val="000000" w:themeColor="text1"/>
          <w:sz w:val="24"/>
          <w:szCs w:val="24"/>
          <w:highlight w:val="none"/>
          <w14:textFill>
            <w14:solidFill>
              <w14:schemeClr w14:val="tx1"/>
            </w14:solidFill>
          </w14:textFill>
        </w:rPr>
        <w:fldChar w:fldCharType="end"/>
      </w:r>
    </w:p>
    <w:p w14:paraId="2CAA1810">
      <w:pPr>
        <w:adjustRightIn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政府采购项目电子交易操作指南》：</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需登录账号后查看</w:t>
      </w:r>
      <w:r>
        <w:rPr>
          <w:rFonts w:hint="eastAsia" w:ascii="宋体" w:hAnsi="宋体" w:cs="宋体"/>
          <w:color w:val="000000" w:themeColor="text1"/>
          <w:sz w:val="24"/>
          <w:szCs w:val="24"/>
          <w:highlight w:val="none"/>
          <w:lang w:eastAsia="zh-CN"/>
          <w14:textFill>
            <w14:solidFill>
              <w14:schemeClr w14:val="tx1"/>
            </w14:solidFill>
          </w14:textFill>
        </w:rPr>
        <w:t>）</w:t>
      </w:r>
    </w:p>
    <w:p w14:paraId="4C4E4872">
      <w:pPr>
        <w:adjustRightInd w:val="0"/>
        <w:spacing w:line="360" w:lineRule="auto"/>
        <w:ind w:firstLine="420" w:firstLineChars="200"/>
        <w:jc w:val="left"/>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"https://service.zcygov.cn/" \l "/knowledges/tree?tag=AG1DtGwBFdiHxlNdhY0r"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https://service.zcygov.cn/#/knowledges/tree?tag=AG1DtGwBFdiHxlNdhY0r</w:t>
      </w:r>
      <w:r>
        <w:rPr>
          <w:rFonts w:hint="eastAsia" w:ascii="宋体" w:hAnsi="宋体" w:cs="宋体"/>
          <w:color w:val="000000" w:themeColor="text1"/>
          <w:sz w:val="24"/>
          <w:szCs w:val="24"/>
          <w:highlight w:val="none"/>
          <w14:textFill>
            <w14:solidFill>
              <w14:schemeClr w14:val="tx1"/>
            </w14:solidFill>
          </w14:textFill>
        </w:rPr>
        <w:fldChar w:fldCharType="end"/>
      </w:r>
    </w:p>
    <w:p w14:paraId="67F6005D">
      <w:pPr>
        <w:numPr>
          <w:ilvl w:val="0"/>
          <w:numId w:val="0"/>
        </w:numPr>
        <w:adjustRightInd w:val="0"/>
        <w:spacing w:line="360" w:lineRule="auto"/>
        <w:ind w:left="0" w:leftChars="0"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供应商在法定质疑期内应一次性提出针对同一采购程序环节的质疑。</w:t>
      </w:r>
    </w:p>
    <w:p w14:paraId="25C5292E">
      <w:pPr>
        <w:numPr>
          <w:ilvl w:val="0"/>
          <w:numId w:val="0"/>
        </w:numPr>
        <w:adjustRightInd w:val="0"/>
        <w:spacing w:line="360" w:lineRule="auto"/>
        <w:ind w:left="0" w:leftChars="0" w:firstLine="480" w:firstLineChars="200"/>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投标人可指派授权代表递交备份文件</w:t>
      </w:r>
      <w:bookmarkStart w:id="103" w:name="_GoBack"/>
      <w:bookmarkEnd w:id="103"/>
      <w:r>
        <w:rPr>
          <w:rFonts w:hint="eastAsia" w:ascii="宋体" w:hAnsi="宋体" w:cs="宋体"/>
          <w:color w:val="000000" w:themeColor="text1"/>
          <w:sz w:val="24"/>
          <w:szCs w:val="24"/>
          <w:highlight w:val="none"/>
          <w14:textFill>
            <w14:solidFill>
              <w14:schemeClr w14:val="tx1"/>
            </w14:solidFill>
          </w14:textFill>
        </w:rPr>
        <w:t>，授权代表递交备份文件需携带法定代表人授权书原件，于投标截止时间前到达开标地点递交。</w:t>
      </w:r>
    </w:p>
    <w:p w14:paraId="2335A611">
      <w:pPr>
        <w:adjustRightInd w:val="0"/>
        <w:spacing w:line="360" w:lineRule="auto"/>
        <w:ind w:left="420" w:left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6.特别提醒</w:t>
      </w:r>
    </w:p>
    <w:p w14:paraId="7F5B2DE8">
      <w:pPr>
        <w:numPr>
          <w:ilvl w:val="0"/>
          <w:numId w:val="6"/>
        </w:numPr>
        <w:wordWrap w:val="0"/>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单位负责人为同一人或者存在直接控股、管理关系的不同供应商，不得参加同一合同项下的政府采购活动。</w:t>
      </w:r>
    </w:p>
    <w:p w14:paraId="316C25C4">
      <w:pPr>
        <w:numPr>
          <w:ilvl w:val="0"/>
          <w:numId w:val="6"/>
        </w:numPr>
        <w:wordWrap w:val="0"/>
        <w:adjustRightInd w:val="0"/>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除单一来源采购项目外，为采购项目提供整体设计、规范编制或者项目管理、监理、检测等服务的供应商，不得再参加该采购项目的其他采购活动。</w:t>
      </w:r>
    </w:p>
    <w:p w14:paraId="25C98137">
      <w:pPr>
        <w:adjustRightInd w:val="0"/>
        <w:spacing w:line="360" w:lineRule="auto"/>
        <w:ind w:firstLine="482"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七．磋商响应截止时间及要求：</w:t>
      </w:r>
      <w:r>
        <w:rPr>
          <w:rFonts w:ascii="宋体" w:hAnsi="宋体" w:cs="宋体"/>
          <w:color w:val="000000" w:themeColor="text1"/>
          <w:sz w:val="24"/>
          <w:szCs w:val="24"/>
          <w:highlight w:val="none"/>
          <w:u w:val="single"/>
          <w14:textFill>
            <w14:solidFill>
              <w14:schemeClr w14:val="tx1"/>
            </w14:solidFill>
          </w14:textFill>
        </w:rPr>
        <w:t xml:space="preserve"> 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16</w:t>
      </w: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时</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3</w:t>
      </w:r>
      <w:r>
        <w:rPr>
          <w:rFonts w:ascii="宋体" w:hAnsi="宋体" w:cs="宋体"/>
          <w:color w:val="000000" w:themeColor="text1"/>
          <w:sz w:val="24"/>
          <w:szCs w:val="24"/>
          <w:highlight w:val="none"/>
          <w:u w:val="single"/>
          <w14:textFill>
            <w14:solidFill>
              <w14:schemeClr w14:val="tx1"/>
            </w14:solidFill>
          </w14:textFill>
        </w:rPr>
        <w:t xml:space="preserve">0 </w:t>
      </w:r>
      <w:r>
        <w:rPr>
          <w:rFonts w:hint="eastAsia" w:ascii="宋体" w:hAnsi="宋体" w:cs="宋体"/>
          <w:color w:val="000000" w:themeColor="text1"/>
          <w:sz w:val="24"/>
          <w:szCs w:val="24"/>
          <w:highlight w:val="none"/>
          <w14:textFill>
            <w14:solidFill>
              <w14:schemeClr w14:val="tx1"/>
            </w14:solidFill>
          </w14:textFill>
        </w:rPr>
        <w:t>分整</w:t>
      </w:r>
      <w:r>
        <w:rPr>
          <w:rFonts w:hint="eastAsia" w:ascii="宋体" w:hAnsi="宋体" w:cs="宋体"/>
          <w:color w:val="000000" w:themeColor="text1"/>
          <w:kern w:val="0"/>
          <w:sz w:val="24"/>
          <w:szCs w:val="24"/>
          <w:highlight w:val="none"/>
          <w14:textFill>
            <w14:solidFill>
              <w14:schemeClr w14:val="tx1"/>
            </w14:solidFill>
          </w14:textFill>
        </w:rPr>
        <w:t>之前将电子磋商响应文件上传到“政采云”平台。</w:t>
      </w:r>
    </w:p>
    <w:p w14:paraId="035F7766">
      <w:pPr>
        <w:adjustRightInd w:val="0"/>
        <w:spacing w:line="360" w:lineRule="auto"/>
        <w:ind w:firstLine="482"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八．递交首次响应文件时间及地点：</w:t>
      </w:r>
      <w:r>
        <w:rPr>
          <w:rFonts w:ascii="宋体" w:hAnsi="宋体" w:cs="宋体"/>
          <w:color w:val="000000" w:themeColor="text1"/>
          <w:sz w:val="24"/>
          <w:szCs w:val="24"/>
          <w:highlight w:val="none"/>
          <w:u w:val="single"/>
          <w14:textFill>
            <w14:solidFill>
              <w14:schemeClr w14:val="tx1"/>
            </w14:solidFill>
          </w14:textFill>
        </w:rPr>
        <w:t xml:space="preserve"> 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16</w:t>
      </w: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时</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3</w:t>
      </w:r>
      <w:r>
        <w:rPr>
          <w:rFonts w:ascii="宋体" w:hAnsi="宋体" w:cs="宋体"/>
          <w:color w:val="000000" w:themeColor="text1"/>
          <w:sz w:val="24"/>
          <w:szCs w:val="24"/>
          <w:highlight w:val="none"/>
          <w:u w:val="single"/>
          <w14:textFill>
            <w14:solidFill>
              <w14:schemeClr w14:val="tx1"/>
            </w14:solidFill>
          </w14:textFill>
        </w:rPr>
        <w:t xml:space="preserve">0  </w:t>
      </w:r>
      <w:r>
        <w:rPr>
          <w:rFonts w:hint="eastAsia" w:ascii="宋体" w:hAnsi="宋体" w:cs="宋体"/>
          <w:color w:val="000000" w:themeColor="text1"/>
          <w:sz w:val="24"/>
          <w:szCs w:val="24"/>
          <w:highlight w:val="none"/>
          <w14:textFill>
            <w14:solidFill>
              <w14:schemeClr w14:val="tx1"/>
            </w14:solidFill>
          </w14:textFill>
        </w:rPr>
        <w:t>分</w:t>
      </w:r>
      <w:bookmarkStart w:id="6" w:name="B30_开标地点"/>
      <w:r>
        <w:rPr>
          <w:rFonts w:hint="eastAsia" w:ascii="宋体" w:hAnsi="宋体" w:cs="宋体"/>
          <w:color w:val="000000" w:themeColor="text1"/>
          <w:sz w:val="24"/>
          <w:szCs w:val="24"/>
          <w:highlight w:val="none"/>
          <w14:textFill>
            <w14:solidFill>
              <w14:schemeClr w14:val="tx1"/>
            </w14:solidFill>
          </w14:textFill>
        </w:rPr>
        <w:t>整在</w:t>
      </w:r>
      <w:r>
        <w:rPr>
          <w:rFonts w:hint="eastAsia" w:ascii="宋体" w:hAnsi="宋体" w:cs="宋体"/>
          <w:color w:val="000000" w:themeColor="text1"/>
          <w:sz w:val="24"/>
          <w:szCs w:val="24"/>
          <w:highlight w:val="none"/>
          <w:lang w:val="en-US" w:eastAsia="zh-CN"/>
          <w14:textFill>
            <w14:solidFill>
              <w14:schemeClr w14:val="tx1"/>
            </w14:solidFill>
          </w14:textFill>
        </w:rPr>
        <w:t>浙江建科工程项目管理有限公司</w:t>
      </w:r>
      <w:r>
        <w:rPr>
          <w:rFonts w:hint="eastAsia" w:ascii="宋体" w:hAnsi="宋体" w:cs="宋体"/>
          <w:color w:val="000000" w:themeColor="text1"/>
          <w:sz w:val="24"/>
          <w:szCs w:val="24"/>
          <w:highlight w:val="none"/>
          <w14:textFill>
            <w14:solidFill>
              <w14:schemeClr w14:val="tx1"/>
            </w14:solidFill>
          </w14:textFill>
        </w:rPr>
        <w:t>开标室开标。</w:t>
      </w:r>
      <w:bookmarkEnd w:id="6"/>
    </w:p>
    <w:p w14:paraId="68F3656B">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开标时间后</w:t>
      </w:r>
      <w:r>
        <w:rPr>
          <w:rFonts w:ascii="宋体" w:hAnsi="宋体" w:cs="宋体"/>
          <w:color w:val="000000" w:themeColor="text1"/>
          <w:sz w:val="24"/>
          <w:szCs w:val="24"/>
          <w:highlight w:val="none"/>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分钟内（</w:t>
      </w:r>
      <w:r>
        <w:rPr>
          <w:rFonts w:hint="eastAsia" w:ascii="宋体" w:hAnsi="宋体" w:cs="宋体"/>
          <w:color w:val="000000" w:themeColor="text1"/>
          <w:sz w:val="24"/>
          <w:szCs w:val="24"/>
          <w:highlight w:val="none"/>
          <w:lang w:val="en-US" w:eastAsia="zh-CN"/>
          <w14:textFill>
            <w14:solidFill>
              <w14:schemeClr w14:val="tx1"/>
            </w14:solidFill>
          </w14:textFill>
        </w:rPr>
        <w:t>当日</w:t>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0</w:t>
      </w:r>
      <w:r>
        <w:rPr>
          <w:rFonts w:ascii="宋体" w:hAnsi="宋体" w:cs="宋体"/>
          <w:color w:val="000000" w:themeColor="text1"/>
          <w:sz w:val="24"/>
          <w:szCs w:val="24"/>
          <w:highlight w:val="none"/>
          <w14:textFill>
            <w14:solidFill>
              <w14:schemeClr w14:val="tx1"/>
            </w14:solidFill>
          </w14:textFill>
        </w:rPr>
        <w:t xml:space="preserve">0 </w:t>
      </w:r>
      <w:r>
        <w:rPr>
          <w:rFonts w:hint="eastAsia" w:ascii="宋体" w:hAnsi="宋体" w:cs="宋体"/>
          <w:color w:val="000000" w:themeColor="text1"/>
          <w:sz w:val="24"/>
          <w:szCs w:val="24"/>
          <w:highlight w:val="none"/>
          <w14:textFill>
            <w14:solidFill>
              <w14:schemeClr w14:val="tx1"/>
            </w14:solidFill>
          </w14:textFill>
        </w:rPr>
        <w:t>前）供应商可以登录“政采云”平台，用“项目采购</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开标评标”功能进行解密响应文件。若供应商在规定时间内（</w:t>
      </w:r>
      <w:r>
        <w:rPr>
          <w:rFonts w:hint="eastAsia" w:ascii="宋体" w:hAnsi="宋体" w:cs="宋体"/>
          <w:color w:val="000000" w:themeColor="text1"/>
          <w:sz w:val="24"/>
          <w:szCs w:val="24"/>
          <w:highlight w:val="none"/>
          <w:lang w:val="en-US" w:eastAsia="zh-CN"/>
          <w14:textFill>
            <w14:solidFill>
              <w14:schemeClr w14:val="tx1"/>
            </w14:solidFill>
          </w14:textFill>
        </w:rPr>
        <w:t>当日</w:t>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0</w:t>
      </w:r>
      <w:r>
        <w:rPr>
          <w:rFonts w:ascii="宋体" w:hAnsi="宋体" w:cs="宋体"/>
          <w:color w:val="000000" w:themeColor="text1"/>
          <w:sz w:val="24"/>
          <w:szCs w:val="24"/>
          <w:highlight w:val="none"/>
          <w14:textFill>
            <w14:solidFill>
              <w14:schemeClr w14:val="tx1"/>
            </w14:solidFill>
          </w14:textFill>
        </w:rPr>
        <w:t xml:space="preserve">0 </w:t>
      </w:r>
      <w:r>
        <w:rPr>
          <w:rFonts w:hint="eastAsia" w:ascii="宋体" w:hAnsi="宋体" w:cs="宋体"/>
          <w:color w:val="000000" w:themeColor="text1"/>
          <w:sz w:val="24"/>
          <w:szCs w:val="24"/>
          <w:highlight w:val="none"/>
          <w14:textFill>
            <w14:solidFill>
              <w14:schemeClr w14:val="tx1"/>
            </w14:solidFill>
          </w14:textFill>
        </w:rPr>
        <w:t>前）解密失败，则由采购代理机构工作人员上传供应商提供的备份文件。备份文件（后缀名为</w:t>
      </w:r>
      <w:r>
        <w:rPr>
          <w:rFonts w:ascii="宋体" w:hAnsi="宋体" w:cs="宋体"/>
          <w:color w:val="000000" w:themeColor="text1"/>
          <w:sz w:val="24"/>
          <w:szCs w:val="24"/>
          <w:highlight w:val="none"/>
          <w14:textFill>
            <w14:solidFill>
              <w14:schemeClr w14:val="tx1"/>
            </w14:solidFill>
          </w14:textFill>
        </w:rPr>
        <w:t>.bfbs</w:t>
      </w:r>
      <w:r>
        <w:rPr>
          <w:rFonts w:hint="eastAsia" w:ascii="宋体" w:hAnsi="宋体" w:cs="宋体"/>
          <w:color w:val="000000" w:themeColor="text1"/>
          <w:sz w:val="24"/>
          <w:szCs w:val="24"/>
          <w:highlight w:val="none"/>
          <w14:textFill>
            <w14:solidFill>
              <w14:schemeClr w14:val="tx1"/>
            </w14:solidFill>
          </w14:textFill>
        </w:rPr>
        <w:t>）须存储在</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盘中，与上传的电子磋商响应文件一致，用信封进行密封并盖章</w:t>
      </w:r>
      <w:r>
        <w:rPr>
          <w:rFonts w:hint="eastAsia" w:ascii="宋体" w:hAnsi="宋体" w:cs="宋体"/>
          <w:b/>
          <w:bCs/>
          <w:color w:val="000000" w:themeColor="text1"/>
          <w:sz w:val="24"/>
          <w:szCs w:val="24"/>
          <w:highlight w:val="none"/>
          <w14:textFill>
            <w14:solidFill>
              <w14:schemeClr w14:val="tx1"/>
            </w14:solidFill>
          </w14:textFill>
        </w:rPr>
        <w:t>（信封内仅需放入存储备份文件的</w:t>
      </w:r>
      <w:r>
        <w:rPr>
          <w:rFonts w:ascii="宋体" w:hAnsi="宋体" w:cs="宋体"/>
          <w:b/>
          <w:bCs/>
          <w:color w:val="000000" w:themeColor="text1"/>
          <w:sz w:val="24"/>
          <w:szCs w:val="24"/>
          <w:highlight w:val="none"/>
          <w14:textFill>
            <w14:solidFill>
              <w14:schemeClr w14:val="tx1"/>
            </w14:solidFill>
          </w14:textFill>
        </w:rPr>
        <w:t>U</w:t>
      </w:r>
      <w:r>
        <w:rPr>
          <w:rFonts w:hint="eastAsia" w:ascii="宋体" w:hAnsi="宋体" w:cs="宋体"/>
          <w:b/>
          <w:bCs/>
          <w:color w:val="000000" w:themeColor="text1"/>
          <w:sz w:val="24"/>
          <w:szCs w:val="24"/>
          <w:highlight w:val="none"/>
          <w14:textFill>
            <w14:solidFill>
              <w14:schemeClr w14:val="tx1"/>
            </w14:solidFill>
          </w14:textFill>
        </w:rPr>
        <w:t>盘）</w:t>
      </w:r>
      <w:r>
        <w:rPr>
          <w:rFonts w:hint="eastAsia" w:ascii="宋体" w:hAnsi="宋体" w:cs="宋体"/>
          <w:color w:val="000000" w:themeColor="text1"/>
          <w:sz w:val="24"/>
          <w:szCs w:val="24"/>
          <w:highlight w:val="none"/>
          <w14:textFill>
            <w14:solidFill>
              <w14:schemeClr w14:val="tx1"/>
            </w14:solidFill>
          </w14:textFill>
        </w:rPr>
        <w:t>，由授权代表在磋商响应截止时间前递交至开标地点。若电子磋商响应文件正常解锁，则</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盘退还给供应商；若解锁失败，则由采购代理机构将</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盘中的备份文件上传，该</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盘将由采购代理机构保存。</w:t>
      </w:r>
    </w:p>
    <w:p w14:paraId="60BC9848">
      <w:pPr>
        <w:adjustRightInd w:val="0"/>
        <w:spacing w:line="360" w:lineRule="auto"/>
        <w:ind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本次开标不提供现场视频。</w:t>
      </w:r>
    </w:p>
    <w:p w14:paraId="36B405DC">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九．磋商保证金：无</w:t>
      </w:r>
    </w:p>
    <w:p w14:paraId="5D917505">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十．公告期限：</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个工作日</w:t>
      </w:r>
    </w:p>
    <w:p w14:paraId="61CE237E">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十一．联系方式：</w:t>
      </w:r>
    </w:p>
    <w:p w14:paraId="791F8A2D">
      <w:pPr>
        <w:adjustRightInd w:val="0"/>
        <w:spacing w:line="360" w:lineRule="auto"/>
        <w:ind w:firstLine="480" w:firstLineChars="200"/>
        <w:rPr>
          <w:rFonts w:hint="eastAsia" w:ascii="宋体" w:eastAsia="宋体"/>
          <w:color w:val="000000" w:themeColor="text1"/>
          <w:sz w:val="24"/>
          <w:szCs w:val="24"/>
          <w:highlight w:val="none"/>
          <w:lang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．采购代理机构名称：</w:t>
      </w:r>
      <w:r>
        <w:rPr>
          <w:rFonts w:hint="eastAsia" w:ascii="宋体" w:hAnsi="宋体" w:cs="宋体"/>
          <w:color w:val="000000" w:themeColor="text1"/>
          <w:sz w:val="24"/>
          <w:szCs w:val="24"/>
          <w:highlight w:val="none"/>
          <w:lang w:eastAsia="zh-CN"/>
          <w14:textFill>
            <w14:solidFill>
              <w14:schemeClr w14:val="tx1"/>
            </w14:solidFill>
          </w14:textFill>
        </w:rPr>
        <w:t>浙江建科工程项目管理有限公司</w:t>
      </w:r>
    </w:p>
    <w:p w14:paraId="530174E6">
      <w:p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项目联系人（询问）：</w:t>
      </w:r>
      <w:r>
        <w:rPr>
          <w:rFonts w:hint="eastAsia" w:ascii="宋体" w:hAnsi="宋体" w:cs="宋体"/>
          <w:color w:val="000000" w:themeColor="text1"/>
          <w:sz w:val="24"/>
          <w:szCs w:val="24"/>
          <w:highlight w:val="none"/>
          <w:lang w:val="en-US" w:eastAsia="zh-CN"/>
          <w14:textFill>
            <w14:solidFill>
              <w14:schemeClr w14:val="tx1"/>
            </w14:solidFill>
          </w14:textFill>
        </w:rPr>
        <w:t>章惠娟</w:t>
      </w:r>
      <w:r>
        <w:rPr>
          <w:rFonts w:hint="eastAsia" w:ascii="宋体" w:hAnsi="宋体" w:cs="宋体"/>
          <w:color w:val="000000" w:themeColor="text1"/>
          <w:sz w:val="24"/>
          <w:szCs w:val="24"/>
          <w:highlight w:val="none"/>
          <w14:textFill>
            <w14:solidFill>
              <w14:schemeClr w14:val="tx1"/>
            </w14:solidFill>
          </w14:textFill>
        </w:rPr>
        <w:t xml:space="preserve">               </w:t>
      </w:r>
    </w:p>
    <w:p w14:paraId="5A7FF625">
      <w:p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项目联系方式（询问）：</w:t>
      </w:r>
      <w:r>
        <w:rPr>
          <w:rFonts w:hint="eastAsia" w:ascii="宋体" w:hAnsi="宋体" w:cs="宋体"/>
          <w:color w:val="000000" w:themeColor="text1"/>
          <w:sz w:val="24"/>
          <w:szCs w:val="24"/>
          <w:highlight w:val="none"/>
          <w:lang w:val="en-US" w:eastAsia="zh-CN"/>
          <w14:textFill>
            <w14:solidFill>
              <w14:schemeClr w14:val="tx1"/>
            </w14:solidFill>
          </w14:textFill>
        </w:rPr>
        <w:t>18106885899</w:t>
      </w:r>
      <w:r>
        <w:rPr>
          <w:rFonts w:hint="eastAsia" w:ascii="宋体" w:hAnsi="宋体" w:cs="宋体"/>
          <w:color w:val="000000" w:themeColor="text1"/>
          <w:sz w:val="24"/>
          <w:szCs w:val="24"/>
          <w:highlight w:val="none"/>
          <w14:textFill>
            <w14:solidFill>
              <w14:schemeClr w14:val="tx1"/>
            </w14:solidFill>
          </w14:textFill>
        </w:rPr>
        <w:t xml:space="preserve">          </w:t>
      </w:r>
    </w:p>
    <w:p w14:paraId="0E7F91C9">
      <w:p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质疑联系人：</w:t>
      </w:r>
      <w:r>
        <w:rPr>
          <w:rFonts w:hint="eastAsia" w:ascii="宋体" w:hAnsi="宋体" w:cs="宋体"/>
          <w:color w:val="000000" w:themeColor="text1"/>
          <w:sz w:val="24"/>
          <w:szCs w:val="24"/>
          <w:highlight w:val="none"/>
          <w:lang w:val="en-US" w:eastAsia="zh-CN"/>
          <w14:textFill>
            <w14:solidFill>
              <w14:schemeClr w14:val="tx1"/>
            </w14:solidFill>
          </w14:textFill>
        </w:rPr>
        <w:t>章文彬</w:t>
      </w:r>
      <w:r>
        <w:rPr>
          <w:rFonts w:hint="eastAsia" w:ascii="宋体" w:hAnsi="宋体" w:cs="宋体"/>
          <w:color w:val="000000" w:themeColor="text1"/>
          <w:sz w:val="24"/>
          <w:szCs w:val="24"/>
          <w:highlight w:val="none"/>
          <w14:textFill>
            <w14:solidFill>
              <w14:schemeClr w14:val="tx1"/>
            </w14:solidFill>
          </w14:textFill>
        </w:rPr>
        <w:t xml:space="preserve">             </w:t>
      </w:r>
    </w:p>
    <w:p w14:paraId="5F3B5CFF">
      <w:p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质疑联系方式：</w:t>
      </w:r>
      <w:r>
        <w:rPr>
          <w:rFonts w:hint="eastAsia" w:ascii="宋体" w:hAnsi="宋体" w:cs="宋体"/>
          <w:color w:val="000000" w:themeColor="text1"/>
          <w:sz w:val="24"/>
          <w:szCs w:val="24"/>
          <w:highlight w:val="none"/>
          <w:lang w:val="en-US" w:eastAsia="zh-CN"/>
          <w14:textFill>
            <w14:solidFill>
              <w14:schemeClr w14:val="tx1"/>
            </w14:solidFill>
          </w14:textFill>
        </w:rPr>
        <w:t>18157592955</w:t>
      </w:r>
      <w:r>
        <w:rPr>
          <w:rFonts w:hint="eastAsia" w:ascii="宋体" w:hAnsi="宋体" w:cs="宋体"/>
          <w:color w:val="000000" w:themeColor="text1"/>
          <w:sz w:val="24"/>
          <w:szCs w:val="24"/>
          <w:highlight w:val="none"/>
          <w14:textFill>
            <w14:solidFill>
              <w14:schemeClr w14:val="tx1"/>
            </w14:solidFill>
          </w14:textFill>
        </w:rPr>
        <w:t xml:space="preserve">      </w:t>
      </w:r>
    </w:p>
    <w:p w14:paraId="6F11FCF4">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lang w:eastAsia="zh-CN"/>
          <w14:textFill>
            <w14:solidFill>
              <w14:schemeClr w14:val="tx1"/>
            </w14:solidFill>
          </w14:textFill>
        </w:rPr>
        <w:t>绍兴市上虞区曹娥街道越秀中路273号4号楼204</w:t>
      </w:r>
      <w:r>
        <w:rPr>
          <w:rFonts w:hint="eastAsia" w:ascii="宋体" w:hAnsi="宋体" w:cs="宋体"/>
          <w:color w:val="000000" w:themeColor="text1"/>
          <w:sz w:val="24"/>
          <w:szCs w:val="24"/>
          <w:highlight w:val="none"/>
          <w14:textFill>
            <w14:solidFill>
              <w14:schemeClr w14:val="tx1"/>
            </w14:solidFill>
          </w14:textFill>
        </w:rPr>
        <w:t xml:space="preserve">  </w:t>
      </w:r>
    </w:p>
    <w:p w14:paraId="1D499EE5">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．采购人名称：</w:t>
      </w:r>
      <w:r>
        <w:rPr>
          <w:rFonts w:hint="eastAsia" w:ascii="宋体" w:hAnsi="宋体" w:cs="宋体"/>
          <w:color w:val="000000" w:themeColor="text1"/>
          <w:sz w:val="24"/>
          <w:szCs w:val="24"/>
          <w:highlight w:val="none"/>
          <w:lang w:eastAsia="zh-CN"/>
          <w14:textFill>
            <w14:solidFill>
              <w14:schemeClr w14:val="tx1"/>
            </w14:solidFill>
          </w14:textFill>
        </w:rPr>
        <w:t>绍兴市上虞区水利局</w:t>
      </w:r>
    </w:p>
    <w:p w14:paraId="6E88D200">
      <w:pPr>
        <w:adjustRightIn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7" w:name="_Toc4466"/>
      <w:r>
        <w:rPr>
          <w:rFonts w:hint="eastAsia" w:ascii="宋体" w:hAnsi="宋体" w:cs="宋体"/>
          <w:color w:val="000000" w:themeColor="text1"/>
          <w:sz w:val="24"/>
          <w:szCs w:val="24"/>
          <w:highlight w:val="none"/>
          <w14:textFill>
            <w14:solidFill>
              <w14:schemeClr w14:val="tx1"/>
            </w14:solidFill>
          </w14:textFill>
        </w:rPr>
        <w:t>项目联系人：</w:t>
      </w:r>
      <w:r>
        <w:rPr>
          <w:rFonts w:hint="eastAsia" w:ascii="宋体" w:hAnsi="宋体" w:cs="宋体"/>
          <w:color w:val="000000" w:themeColor="text1"/>
          <w:sz w:val="24"/>
          <w:szCs w:val="24"/>
          <w:highlight w:val="none"/>
          <w:lang w:val="en-US" w:eastAsia="zh-CN"/>
          <w14:textFill>
            <w14:solidFill>
              <w14:schemeClr w14:val="tx1"/>
            </w14:solidFill>
          </w14:textFill>
        </w:rPr>
        <w:t xml:space="preserve"> 徐先生</w:t>
      </w:r>
    </w:p>
    <w:p w14:paraId="5F5205A5">
      <w:pPr>
        <w:adjustRightIn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项目联系方式</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 xml:space="preserve"> 15968552115</w:t>
      </w:r>
    </w:p>
    <w:p w14:paraId="54E459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质疑联系人：</w:t>
      </w:r>
      <w:bookmarkEnd w:id="7"/>
      <w:r>
        <w:rPr>
          <w:rFonts w:hint="eastAsia" w:ascii="宋体" w:hAnsi="宋体" w:cs="宋体"/>
          <w:color w:val="000000" w:themeColor="text1"/>
          <w:sz w:val="24"/>
          <w:szCs w:val="24"/>
          <w:highlight w:val="none"/>
          <w:lang w:val="en-US" w:eastAsia="zh-CN"/>
          <w14:textFill>
            <w14:solidFill>
              <w14:schemeClr w14:val="tx1"/>
            </w14:solidFill>
          </w14:textFill>
        </w:rPr>
        <w:t xml:space="preserve"> 姚先生</w:t>
      </w:r>
    </w:p>
    <w:p w14:paraId="18D7F5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8" w:name="_Toc6598"/>
      <w:r>
        <w:rPr>
          <w:rFonts w:hint="eastAsia" w:ascii="宋体" w:hAnsi="宋体" w:eastAsia="宋体" w:cs="宋体"/>
          <w:color w:val="000000" w:themeColor="text1"/>
          <w:sz w:val="24"/>
          <w:szCs w:val="24"/>
          <w:highlight w:val="none"/>
          <w14:textFill>
            <w14:solidFill>
              <w14:schemeClr w14:val="tx1"/>
            </w14:solidFill>
          </w14:textFill>
        </w:rPr>
        <w:t>质疑联系方式：</w:t>
      </w:r>
      <w:bookmarkEnd w:id="8"/>
      <w:r>
        <w:rPr>
          <w:rFonts w:hint="eastAsia" w:ascii="宋体" w:hAnsi="宋体" w:cs="宋体"/>
          <w:color w:val="000000" w:themeColor="text1"/>
          <w:sz w:val="24"/>
          <w:szCs w:val="24"/>
          <w:lang w:val="en-US" w:eastAsia="zh-CN"/>
          <w14:textFill>
            <w14:solidFill>
              <w14:schemeClr w14:val="tx1"/>
            </w14:solidFill>
          </w14:textFill>
        </w:rPr>
        <w:t xml:space="preserve"> 057582397366</w:t>
      </w:r>
    </w:p>
    <w:p w14:paraId="3C692DCB">
      <w:pPr>
        <w:adjustRightIn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地址：上虞区舜江西路681号  </w:t>
      </w:r>
      <w:r>
        <w:rPr>
          <w:rFonts w:hint="eastAsia" w:ascii="宋体" w:hAnsi="宋体" w:cs="宋体"/>
          <w:color w:val="000000" w:themeColor="text1"/>
          <w:sz w:val="24"/>
          <w:lang w:val="en-US" w:eastAsia="zh-CN"/>
          <w14:textFill>
            <w14:solidFill>
              <w14:schemeClr w14:val="tx1"/>
            </w14:solidFill>
          </w14:textFill>
        </w:rPr>
        <w:t xml:space="preserve"> </w:t>
      </w:r>
    </w:p>
    <w:p w14:paraId="607AD4EE">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．同级政府采购监督管理部门名称：上虞区财政局政府采购监管科</w:t>
      </w:r>
    </w:p>
    <w:p w14:paraId="25D83B44">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联系人：谷先生</w:t>
      </w:r>
    </w:p>
    <w:p w14:paraId="3D5CACBE">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监督投诉电话：</w:t>
      </w:r>
      <w:r>
        <w:rPr>
          <w:rFonts w:ascii="宋体" w:hAnsi="宋体" w:cs="宋体"/>
          <w:color w:val="000000" w:themeColor="text1"/>
          <w:sz w:val="24"/>
          <w:szCs w:val="24"/>
          <w:highlight w:val="none"/>
          <w14:textFill>
            <w14:solidFill>
              <w14:schemeClr w14:val="tx1"/>
            </w14:solidFill>
          </w14:textFill>
        </w:rPr>
        <w:t>0575-82130212</w:t>
      </w:r>
    </w:p>
    <w:p w14:paraId="24DE8C27">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r>
        <w:rPr>
          <w:rFonts w:ascii="宋体" w:hAnsi="宋体" w:cs="宋体"/>
          <w:color w:val="000000" w:themeColor="text1"/>
          <w:sz w:val="24"/>
          <w:szCs w:val="24"/>
          <w14:textFill>
            <w14:solidFill>
              <w14:schemeClr w14:val="tx1"/>
            </w14:solidFill>
          </w14:textFill>
        </w:rPr>
        <w:t>0575-821</w:t>
      </w:r>
      <w:r>
        <w:rPr>
          <w:rFonts w:hint="eastAsia" w:ascii="宋体" w:hAnsi="宋体" w:cs="宋体"/>
          <w:color w:val="000000" w:themeColor="text1"/>
          <w:sz w:val="24"/>
          <w:szCs w:val="24"/>
          <w:lang w:val="en-US" w:eastAsia="zh-CN"/>
          <w14:textFill>
            <w14:solidFill>
              <w14:schemeClr w14:val="tx1"/>
            </w14:solidFill>
          </w14:textFill>
        </w:rPr>
        <w:t>54859</w:t>
      </w:r>
    </w:p>
    <w:p w14:paraId="5226E88E">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地址：绍兴市上虞区体育场路</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号</w:t>
      </w:r>
    </w:p>
    <w:p w14:paraId="1E9C851F">
      <w:pPr>
        <w:spacing w:line="360" w:lineRule="auto"/>
        <w:jc w:val="center"/>
        <w:outlineLvl w:val="0"/>
        <w:rPr>
          <w:rFonts w:ascii="宋体"/>
          <w:b/>
          <w:bCs/>
          <w:color w:val="000000" w:themeColor="text1"/>
          <w:sz w:val="36"/>
          <w:szCs w:val="36"/>
          <w:highlight w:val="none"/>
          <w14:textFill>
            <w14:solidFill>
              <w14:schemeClr w14:val="tx1"/>
            </w14:solidFill>
          </w14:textFill>
        </w:rPr>
      </w:pPr>
      <w:r>
        <w:rPr>
          <w:rFonts w:ascii="宋体"/>
          <w:b/>
          <w:bCs/>
          <w:color w:val="000000" w:themeColor="text1"/>
          <w:sz w:val="36"/>
          <w:szCs w:val="36"/>
          <w:highlight w:val="none"/>
          <w14:textFill>
            <w14:solidFill>
              <w14:schemeClr w14:val="tx1"/>
            </w14:solidFill>
          </w14:textFill>
        </w:rPr>
        <w:br w:type="page"/>
      </w:r>
      <w:bookmarkStart w:id="9" w:name="_Toc546"/>
      <w:bookmarkStart w:id="10" w:name="_Toc1749"/>
      <w:bookmarkStart w:id="11" w:name="_Toc29834"/>
      <w:r>
        <w:rPr>
          <w:rStyle w:val="47"/>
          <w:rFonts w:hint="eastAsia" w:cs="宋体"/>
          <w:color w:val="000000" w:themeColor="text1"/>
          <w:sz w:val="36"/>
          <w:szCs w:val="36"/>
          <w:highlight w:val="none"/>
          <w14:textFill>
            <w14:solidFill>
              <w14:schemeClr w14:val="tx1"/>
            </w14:solidFill>
          </w14:textFill>
        </w:rPr>
        <w:t>第二部分</w:t>
      </w:r>
      <w:bookmarkEnd w:id="3"/>
      <w:r>
        <w:rPr>
          <w:rStyle w:val="47"/>
          <w:color w:val="000000" w:themeColor="text1"/>
          <w:sz w:val="36"/>
          <w:szCs w:val="36"/>
          <w:highlight w:val="none"/>
          <w14:textFill>
            <w14:solidFill>
              <w14:schemeClr w14:val="tx1"/>
            </w14:solidFill>
          </w14:textFill>
        </w:rPr>
        <w:t xml:space="preserve"> </w:t>
      </w:r>
      <w:bookmarkEnd w:id="4"/>
      <w:r>
        <w:rPr>
          <w:rStyle w:val="47"/>
          <w:rFonts w:hint="eastAsia" w:cs="宋体"/>
          <w:color w:val="000000" w:themeColor="text1"/>
          <w:sz w:val="36"/>
          <w:szCs w:val="36"/>
          <w:highlight w:val="none"/>
          <w14:textFill>
            <w14:solidFill>
              <w14:schemeClr w14:val="tx1"/>
            </w14:solidFill>
          </w14:textFill>
        </w:rPr>
        <w:t>供应商须知</w:t>
      </w:r>
      <w:bookmarkEnd w:id="9"/>
      <w:bookmarkEnd w:id="10"/>
      <w:bookmarkEnd w:id="11"/>
    </w:p>
    <w:p w14:paraId="5AA3679C">
      <w:pPr>
        <w:widowControl/>
        <w:adjustRightInd w:val="0"/>
        <w:snapToGrid w:val="0"/>
        <w:spacing w:line="360" w:lineRule="auto"/>
        <w:jc w:val="center"/>
        <w:rPr>
          <w:rFonts w:ascii="宋体"/>
          <w:b/>
          <w:bCs/>
          <w:snapToGrid w:val="0"/>
          <w:color w:val="000000" w:themeColor="text1"/>
          <w:kern w:val="0"/>
          <w:sz w:val="32"/>
          <w:szCs w:val="32"/>
          <w:highlight w:val="none"/>
          <w14:textFill>
            <w14:solidFill>
              <w14:schemeClr w14:val="tx1"/>
            </w14:solidFill>
          </w14:textFill>
        </w:rPr>
      </w:pPr>
      <w:r>
        <w:rPr>
          <w:rFonts w:hint="eastAsia" w:ascii="宋体" w:hAnsi="宋体" w:cs="宋体"/>
          <w:b/>
          <w:bCs/>
          <w:snapToGrid w:val="0"/>
          <w:color w:val="000000" w:themeColor="text1"/>
          <w:kern w:val="0"/>
          <w:sz w:val="30"/>
          <w:szCs w:val="30"/>
          <w:highlight w:val="none"/>
          <w14:textFill>
            <w14:solidFill>
              <w14:schemeClr w14:val="tx1"/>
            </w14:solidFill>
          </w14:textFill>
        </w:rPr>
        <w:t>前附表</w:t>
      </w:r>
    </w:p>
    <w:tbl>
      <w:tblPr>
        <w:tblStyle w:val="31"/>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2DD50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10DF4023">
            <w:pPr>
              <w:snapToGrid w:val="0"/>
              <w:jc w:val="center"/>
              <w:rPr>
                <w:rFonts w:ascii="宋体"/>
                <w:b/>
                <w:bCs/>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序号</w:t>
            </w:r>
          </w:p>
        </w:tc>
        <w:tc>
          <w:tcPr>
            <w:tcW w:w="1800" w:type="dxa"/>
            <w:tcBorders>
              <w:top w:val="double" w:color="auto" w:sz="4" w:space="0"/>
            </w:tcBorders>
            <w:vAlign w:val="center"/>
          </w:tcPr>
          <w:p w14:paraId="5A80B7F7">
            <w:pPr>
              <w:snapToGrid w:val="0"/>
              <w:jc w:val="center"/>
              <w:rPr>
                <w:rFonts w:ascii="宋体"/>
                <w:b/>
                <w:bCs/>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项目</w:t>
            </w:r>
          </w:p>
        </w:tc>
        <w:tc>
          <w:tcPr>
            <w:tcW w:w="6682" w:type="dxa"/>
            <w:tcBorders>
              <w:top w:val="double" w:color="auto" w:sz="4" w:space="0"/>
            </w:tcBorders>
            <w:vAlign w:val="center"/>
          </w:tcPr>
          <w:p w14:paraId="55390F5E">
            <w:pPr>
              <w:snapToGrid w:val="0"/>
              <w:jc w:val="center"/>
              <w:rPr>
                <w:rFonts w:ascii="宋体"/>
                <w:b/>
                <w:bCs/>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内容</w:t>
            </w:r>
          </w:p>
        </w:tc>
      </w:tr>
      <w:tr w14:paraId="34B12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0DB1D0CF">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w:t>
            </w:r>
          </w:p>
        </w:tc>
        <w:tc>
          <w:tcPr>
            <w:tcW w:w="1800" w:type="dxa"/>
            <w:vAlign w:val="center"/>
          </w:tcPr>
          <w:p w14:paraId="78522638">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项目名称</w:t>
            </w:r>
          </w:p>
        </w:tc>
        <w:tc>
          <w:tcPr>
            <w:tcW w:w="6682" w:type="dxa"/>
            <w:vAlign w:val="center"/>
          </w:tcPr>
          <w:p w14:paraId="6F0D4979">
            <w:pPr>
              <w:snapToGrid w:val="0"/>
              <w:jc w:val="left"/>
              <w:rPr>
                <w:rFonts w:hint="eastAsia" w:ascii="宋体" w:eastAsia="宋体"/>
                <w:snapToGrid w:val="0"/>
                <w:color w:val="000000" w:themeColor="text1"/>
                <w:kern w:val="0"/>
                <w:highlight w:val="none"/>
                <w:lang w:eastAsia="zh-CN"/>
                <w14:textFill>
                  <w14:solidFill>
                    <w14:schemeClr w14:val="tx1"/>
                  </w14:solidFill>
                </w14:textFill>
              </w:rPr>
            </w:pPr>
            <w:r>
              <w:rPr>
                <w:rFonts w:hint="eastAsia" w:ascii="宋体" w:hAnsi="宋体" w:cs="宋体"/>
                <w:snapToGrid w:val="0"/>
                <w:color w:val="000000" w:themeColor="text1"/>
                <w:kern w:val="0"/>
                <w:highlight w:val="none"/>
                <w:lang w:eastAsia="zh-CN"/>
                <w14:textFill>
                  <w14:solidFill>
                    <w14:schemeClr w14:val="tx1"/>
                  </w14:solidFill>
                </w14:textFill>
              </w:rPr>
              <w:t>2025年水库堤防等水利工程安全生产风险管控“六项机制”创建项目</w:t>
            </w:r>
          </w:p>
        </w:tc>
      </w:tr>
      <w:tr w14:paraId="38684B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39525F2C">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2</w:t>
            </w:r>
          </w:p>
        </w:tc>
        <w:tc>
          <w:tcPr>
            <w:tcW w:w="1800" w:type="dxa"/>
            <w:vAlign w:val="center"/>
          </w:tcPr>
          <w:p w14:paraId="3B26EBD9">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服务周期</w:t>
            </w:r>
          </w:p>
        </w:tc>
        <w:tc>
          <w:tcPr>
            <w:tcW w:w="6682" w:type="dxa"/>
            <w:vAlign w:val="center"/>
          </w:tcPr>
          <w:p w14:paraId="7A884CBB">
            <w:pPr>
              <w:ind w:firstLine="422" w:firstLineChars="200"/>
              <w:rPr>
                <w:rFonts w:ascii="宋体"/>
                <w:color w:val="000000" w:themeColor="text1"/>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自合同签订之日起到2025年10月30日前完成</w:t>
            </w:r>
          </w:p>
        </w:tc>
      </w:tr>
      <w:tr w14:paraId="23839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7569F73B">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3</w:t>
            </w:r>
          </w:p>
        </w:tc>
        <w:tc>
          <w:tcPr>
            <w:tcW w:w="1800" w:type="dxa"/>
            <w:vAlign w:val="center"/>
          </w:tcPr>
          <w:p w14:paraId="46D6EE01">
            <w:pPr>
              <w:snapToGrid w:val="0"/>
              <w:jc w:val="center"/>
              <w:rPr>
                <w:rFonts w:ascii="宋体"/>
                <w:b/>
                <w:bCs/>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最高限价</w:t>
            </w:r>
          </w:p>
        </w:tc>
        <w:tc>
          <w:tcPr>
            <w:tcW w:w="6682" w:type="dxa"/>
            <w:vAlign w:val="center"/>
          </w:tcPr>
          <w:p w14:paraId="1079AD8C">
            <w:pPr>
              <w:snapToGrid w:val="0"/>
              <w:ind w:firstLine="420" w:firstLineChars="200"/>
              <w:rPr>
                <w:rFonts w:ascii="宋体"/>
                <w:b/>
                <w:bCs/>
                <w:snapToGrid w:val="0"/>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本项目最高限价人民币</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95</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万元。</w:t>
            </w:r>
          </w:p>
        </w:tc>
      </w:tr>
      <w:tr w14:paraId="2757E0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0EC94CA">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 xml:space="preserve">                                                                                                   4</w:t>
            </w:r>
          </w:p>
        </w:tc>
        <w:tc>
          <w:tcPr>
            <w:tcW w:w="1800" w:type="dxa"/>
            <w:vAlign w:val="center"/>
          </w:tcPr>
          <w:p w14:paraId="6096A5FC">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资格审查方式</w:t>
            </w:r>
          </w:p>
        </w:tc>
        <w:tc>
          <w:tcPr>
            <w:tcW w:w="6682" w:type="dxa"/>
            <w:vAlign w:val="center"/>
          </w:tcPr>
          <w:p w14:paraId="17306648">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资格审查是指开标后，磋商小组将依据法律法规和磋商文件的规定对供应商的资格进行审查。</w:t>
            </w:r>
          </w:p>
        </w:tc>
      </w:tr>
      <w:tr w14:paraId="2F5848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4F1F3E19">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5</w:t>
            </w:r>
          </w:p>
        </w:tc>
        <w:tc>
          <w:tcPr>
            <w:tcW w:w="1800" w:type="dxa"/>
            <w:vAlign w:val="center"/>
          </w:tcPr>
          <w:p w14:paraId="1FA46892">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踏勘现场</w:t>
            </w:r>
          </w:p>
        </w:tc>
        <w:tc>
          <w:tcPr>
            <w:tcW w:w="6682" w:type="dxa"/>
            <w:vAlign w:val="center"/>
          </w:tcPr>
          <w:p w14:paraId="643B4292">
            <w:pPr>
              <w:snapToGrid w:val="0"/>
              <w:ind w:firstLine="422"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本项目不组织现场踏勘</w:t>
            </w:r>
          </w:p>
        </w:tc>
      </w:tr>
      <w:tr w14:paraId="08C840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68E6C6C">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6</w:t>
            </w:r>
          </w:p>
        </w:tc>
        <w:tc>
          <w:tcPr>
            <w:tcW w:w="1800" w:type="dxa"/>
            <w:vAlign w:val="center"/>
          </w:tcPr>
          <w:p w14:paraId="302C766E">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询问</w:t>
            </w:r>
          </w:p>
        </w:tc>
        <w:tc>
          <w:tcPr>
            <w:tcW w:w="6682" w:type="dxa"/>
            <w:vAlign w:val="center"/>
          </w:tcPr>
          <w:p w14:paraId="0BE264F9">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供应商对政府采购活动事项有疑问的，可以向采购机构提出询问，采购人或者招标代理机构应当在</w:t>
            </w:r>
            <w:r>
              <w:rPr>
                <w:rFonts w:ascii="宋体" w:hAnsi="宋体" w:cs="宋体"/>
                <w:snapToGrid w:val="0"/>
                <w:color w:val="000000" w:themeColor="text1"/>
                <w:kern w:val="0"/>
                <w:highlight w:val="none"/>
                <w14:textFill>
                  <w14:solidFill>
                    <w14:schemeClr w14:val="tx1"/>
                  </w14:solidFill>
                </w14:textFill>
              </w:rPr>
              <w:t>3</w:t>
            </w:r>
            <w:r>
              <w:rPr>
                <w:rFonts w:hint="eastAsia" w:ascii="宋体" w:hAnsi="宋体" w:cs="宋体"/>
                <w:snapToGrid w:val="0"/>
                <w:color w:val="000000" w:themeColor="text1"/>
                <w:kern w:val="0"/>
                <w:highlight w:val="none"/>
                <w14:textFill>
                  <w14:solidFill>
                    <w14:schemeClr w14:val="tx1"/>
                  </w14:solidFill>
                </w14:textFill>
              </w:rPr>
              <w:t>个工作日内对供应商依法提出的询问作出答复，但答复的内容不得涉及商业秘密。</w:t>
            </w:r>
          </w:p>
        </w:tc>
      </w:tr>
      <w:tr w14:paraId="7AD809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40A85D7">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7</w:t>
            </w:r>
          </w:p>
        </w:tc>
        <w:tc>
          <w:tcPr>
            <w:tcW w:w="1800" w:type="dxa"/>
            <w:vAlign w:val="center"/>
          </w:tcPr>
          <w:p w14:paraId="5B800D1D">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磋商文件的澄清与修改</w:t>
            </w:r>
          </w:p>
        </w:tc>
        <w:tc>
          <w:tcPr>
            <w:tcW w:w="6682" w:type="dxa"/>
            <w:vAlign w:val="center"/>
          </w:tcPr>
          <w:p w14:paraId="545F53D0">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采购单位可以对已发出的磋商文件进行必要澄清或者修改，澄清或者修改的内容可能影响响应文件编制的，应当在提交首次响应文件截</w:t>
            </w:r>
            <w:r>
              <w:rPr>
                <w:rFonts w:hint="eastAsia" w:ascii="宋体" w:hAnsi="宋体" w:cs="宋体"/>
                <w:snapToGrid w:val="0"/>
                <w:color w:val="000000" w:themeColor="text1"/>
                <w:kern w:val="0"/>
                <w:highlight w:val="none"/>
                <w:lang w:val="en-US" w:eastAsia="zh-CN"/>
                <w14:textFill>
                  <w14:solidFill>
                    <w14:schemeClr w14:val="tx1"/>
                  </w14:solidFill>
                </w14:textFill>
              </w:rPr>
              <w:t>止</w:t>
            </w:r>
            <w:r>
              <w:rPr>
                <w:rFonts w:hint="eastAsia" w:ascii="宋体" w:hAnsi="宋体" w:cs="宋体"/>
                <w:snapToGrid w:val="0"/>
                <w:color w:val="000000" w:themeColor="text1"/>
                <w:kern w:val="0"/>
                <w:highlight w:val="none"/>
                <w14:textFill>
                  <w14:solidFill>
                    <w14:schemeClr w14:val="tx1"/>
                  </w14:solidFill>
                </w14:textFill>
              </w:rPr>
              <w:t>时间至少</w:t>
            </w:r>
            <w:r>
              <w:rPr>
                <w:rFonts w:ascii="宋体" w:hAnsi="宋体" w:cs="宋体"/>
                <w:snapToGrid w:val="0"/>
                <w:color w:val="000000" w:themeColor="text1"/>
                <w:kern w:val="0"/>
                <w:highlight w:val="none"/>
                <w14:textFill>
                  <w14:solidFill>
                    <w14:schemeClr w14:val="tx1"/>
                  </w14:solidFill>
                </w14:textFill>
              </w:rPr>
              <w:t>5</w:t>
            </w:r>
            <w:r>
              <w:rPr>
                <w:rFonts w:hint="eastAsia" w:ascii="宋体" w:hAnsi="宋体" w:cs="宋体"/>
                <w:snapToGrid w:val="0"/>
                <w:color w:val="000000" w:themeColor="text1"/>
                <w:kern w:val="0"/>
                <w:highlight w:val="none"/>
                <w14:textFill>
                  <w14:solidFill>
                    <w14:schemeClr w14:val="tx1"/>
                  </w14:solidFill>
                </w14:textFill>
              </w:rPr>
              <w:t>日前，在磋商公告发布的媒体上发布更正公告。本项目磋商文件和补充（答疑、澄清）、修改文件等请自行登录浙江政府采购网或绍兴市上虞区公共资源交易中心网站查看。</w:t>
            </w:r>
          </w:p>
        </w:tc>
      </w:tr>
      <w:tr w14:paraId="6BDCF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5D08180">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8</w:t>
            </w:r>
          </w:p>
        </w:tc>
        <w:tc>
          <w:tcPr>
            <w:tcW w:w="1800" w:type="dxa"/>
            <w:vAlign w:val="center"/>
          </w:tcPr>
          <w:p w14:paraId="12D83684">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磋商响应文件组成</w:t>
            </w:r>
          </w:p>
        </w:tc>
        <w:tc>
          <w:tcPr>
            <w:tcW w:w="6682" w:type="dxa"/>
            <w:vAlign w:val="center"/>
          </w:tcPr>
          <w:p w14:paraId="12049042">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供应商向采购人递交的响应文件由资格文件、商务技术文件、报价文件三部分组成。</w:t>
            </w:r>
          </w:p>
        </w:tc>
      </w:tr>
      <w:tr w14:paraId="1D49A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2F14FAE5">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9</w:t>
            </w:r>
          </w:p>
        </w:tc>
        <w:tc>
          <w:tcPr>
            <w:tcW w:w="1800" w:type="dxa"/>
            <w:vAlign w:val="center"/>
          </w:tcPr>
          <w:p w14:paraId="213B897E">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评标办法</w:t>
            </w:r>
          </w:p>
        </w:tc>
        <w:tc>
          <w:tcPr>
            <w:tcW w:w="6682" w:type="dxa"/>
            <w:vAlign w:val="center"/>
          </w:tcPr>
          <w:p w14:paraId="11BDB14E">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综合评分法</w:t>
            </w:r>
          </w:p>
        </w:tc>
      </w:tr>
      <w:tr w14:paraId="24B00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784BE07">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10</w:t>
            </w:r>
          </w:p>
        </w:tc>
        <w:tc>
          <w:tcPr>
            <w:tcW w:w="1800" w:type="dxa"/>
            <w:vAlign w:val="center"/>
          </w:tcPr>
          <w:p w14:paraId="12889391">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磋商响应文件递交地址及截止时间</w:t>
            </w:r>
          </w:p>
        </w:tc>
        <w:tc>
          <w:tcPr>
            <w:tcW w:w="6682" w:type="dxa"/>
            <w:vAlign w:val="center"/>
          </w:tcPr>
          <w:p w14:paraId="48A77D37">
            <w:pPr>
              <w:snapToGrid w:val="0"/>
              <w:ind w:firstLine="420" w:firstLineChars="200"/>
              <w:rPr>
                <w:rFonts w:ascii="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详见磋商公告</w:t>
            </w:r>
          </w:p>
        </w:tc>
      </w:tr>
      <w:tr w14:paraId="1EEB6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2EE3016">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11</w:t>
            </w:r>
          </w:p>
        </w:tc>
        <w:tc>
          <w:tcPr>
            <w:tcW w:w="1800" w:type="dxa"/>
            <w:vAlign w:val="center"/>
          </w:tcPr>
          <w:p w14:paraId="70446E47">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开标时间、地点</w:t>
            </w:r>
          </w:p>
        </w:tc>
        <w:tc>
          <w:tcPr>
            <w:tcW w:w="6682" w:type="dxa"/>
            <w:vAlign w:val="center"/>
          </w:tcPr>
          <w:p w14:paraId="689D0381">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开标时间：</w:t>
            </w:r>
            <w:r>
              <w:rPr>
                <w:rFonts w:hint="eastAsia" w:ascii="宋体" w:hAnsi="宋体" w:cs="宋体"/>
                <w:color w:val="000000" w:themeColor="text1"/>
                <w:kern w:val="0"/>
                <w:highlight w:val="none"/>
                <w14:textFill>
                  <w14:solidFill>
                    <w14:schemeClr w14:val="tx1"/>
                  </w14:solidFill>
                </w14:textFill>
              </w:rPr>
              <w:t>详见磋商公告</w:t>
            </w:r>
          </w:p>
          <w:p w14:paraId="2C1A03A6">
            <w:pPr>
              <w:snapToGrid w:val="0"/>
              <w:ind w:firstLine="420" w:firstLineChars="200"/>
              <w:rPr>
                <w:rFonts w:ascii="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开标地点：</w:t>
            </w:r>
            <w:r>
              <w:rPr>
                <w:rFonts w:hint="eastAsia" w:ascii="宋体" w:hAnsi="宋体" w:cs="宋体"/>
                <w:color w:val="000000" w:themeColor="text1"/>
                <w:kern w:val="0"/>
                <w:highlight w:val="none"/>
                <w14:textFill>
                  <w14:solidFill>
                    <w14:schemeClr w14:val="tx1"/>
                  </w14:solidFill>
                </w14:textFill>
              </w:rPr>
              <w:t>详见磋商公告</w:t>
            </w:r>
          </w:p>
        </w:tc>
      </w:tr>
      <w:tr w14:paraId="397CEF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9A1C4E4">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12</w:t>
            </w:r>
          </w:p>
        </w:tc>
        <w:tc>
          <w:tcPr>
            <w:tcW w:w="1800" w:type="dxa"/>
            <w:vAlign w:val="center"/>
          </w:tcPr>
          <w:p w14:paraId="5E3F77C5">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磋商响应文件有效期</w:t>
            </w:r>
          </w:p>
        </w:tc>
        <w:tc>
          <w:tcPr>
            <w:tcW w:w="6682" w:type="dxa"/>
            <w:vAlign w:val="center"/>
          </w:tcPr>
          <w:p w14:paraId="355AA87F">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响应文件有效期为从提交响应文件的截止之日起</w:t>
            </w:r>
            <w:r>
              <w:rPr>
                <w:rFonts w:ascii="宋体" w:hAnsi="宋体" w:cs="宋体"/>
                <w:snapToGrid w:val="0"/>
                <w:color w:val="000000" w:themeColor="text1"/>
                <w:kern w:val="0"/>
                <w:highlight w:val="none"/>
                <w14:textFill>
                  <w14:solidFill>
                    <w14:schemeClr w14:val="tx1"/>
                  </w14:solidFill>
                </w14:textFill>
              </w:rPr>
              <w:t>90</w:t>
            </w:r>
            <w:r>
              <w:rPr>
                <w:rFonts w:hint="eastAsia" w:ascii="宋体" w:hAnsi="宋体" w:cs="宋体"/>
                <w:snapToGrid w:val="0"/>
                <w:color w:val="000000" w:themeColor="text1"/>
                <w:kern w:val="0"/>
                <w:highlight w:val="none"/>
                <w14:textFill>
                  <w14:solidFill>
                    <w14:schemeClr w14:val="tx1"/>
                  </w14:solidFill>
                </w14:textFill>
              </w:rPr>
              <w:t>天。供应商的响应文件中承诺的响应文件有效期少于磋商文件中载明的响应文件有效期的，磋商无效。</w:t>
            </w:r>
          </w:p>
        </w:tc>
      </w:tr>
      <w:tr w14:paraId="1A42C8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648" w:type="dxa"/>
            <w:vAlign w:val="center"/>
          </w:tcPr>
          <w:p w14:paraId="74D2061E">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13</w:t>
            </w:r>
          </w:p>
        </w:tc>
        <w:tc>
          <w:tcPr>
            <w:tcW w:w="1800" w:type="dxa"/>
            <w:vAlign w:val="center"/>
          </w:tcPr>
          <w:p w14:paraId="1B348CBE">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履约保证金</w:t>
            </w:r>
          </w:p>
        </w:tc>
        <w:tc>
          <w:tcPr>
            <w:tcW w:w="6682" w:type="dxa"/>
            <w:vAlign w:val="center"/>
          </w:tcPr>
          <w:p w14:paraId="1C514E81">
            <w:pPr>
              <w:widowControl/>
              <w:ind w:firstLine="420" w:firstLineChars="200"/>
              <w:jc w:val="left"/>
              <w:rPr>
                <w:rFonts w:hint="default" w:hAnsi="宋体" w:eastAsia="宋体" w:cs="Times New Roman"/>
                <w:color w:val="000000" w:themeColor="text1"/>
                <w:kern w:val="0"/>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不设置履约保证金。</w:t>
            </w:r>
          </w:p>
        </w:tc>
      </w:tr>
      <w:tr w14:paraId="3C99BA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392B324">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14</w:t>
            </w:r>
          </w:p>
        </w:tc>
        <w:tc>
          <w:tcPr>
            <w:tcW w:w="1800" w:type="dxa"/>
            <w:vAlign w:val="center"/>
          </w:tcPr>
          <w:p w14:paraId="0D68EF7E">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磋商公告及成交结果公告发布媒体</w:t>
            </w:r>
          </w:p>
        </w:tc>
        <w:tc>
          <w:tcPr>
            <w:tcW w:w="6682" w:type="dxa"/>
            <w:vAlign w:val="center"/>
          </w:tcPr>
          <w:p w14:paraId="60F5B91C">
            <w:pPr>
              <w:pStyle w:val="17"/>
              <w:snapToGrid w:val="0"/>
              <w:ind w:firstLine="420" w:firstLineChars="200"/>
              <w:jc w:val="left"/>
              <w:rPr>
                <w:rFonts w:hAnsi="宋体" w:cs="Times New Roman"/>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浙江省政府采购网、绍兴市上虞区公共资源交易中心网站</w:t>
            </w:r>
          </w:p>
        </w:tc>
      </w:tr>
      <w:tr w14:paraId="6B726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8AD2FA1">
            <w:pPr>
              <w:snapToGrid w:val="0"/>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w:t>
            </w:r>
          </w:p>
        </w:tc>
        <w:tc>
          <w:tcPr>
            <w:tcW w:w="1800" w:type="dxa"/>
            <w:vAlign w:val="center"/>
          </w:tcPr>
          <w:p w14:paraId="7D0A55BA">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质疑</w:t>
            </w:r>
          </w:p>
        </w:tc>
        <w:tc>
          <w:tcPr>
            <w:tcW w:w="6682" w:type="dxa"/>
            <w:vAlign w:val="center"/>
          </w:tcPr>
          <w:p w14:paraId="095B973A">
            <w:pPr>
              <w:ind w:firstLine="420" w:firstLineChars="200"/>
              <w:jc w:val="lef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根据《中华人民共和国政府采购法》第五十二条、《中华人民共和国政府采购法实施条例》第五十三条、《浙江省政府采购供应商质疑处理办法》的规定：</w:t>
            </w:r>
          </w:p>
          <w:p w14:paraId="2DE291F7">
            <w:pPr>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供应商认为磋商文件使自己的权益受到损害的，可以在磋商文件公告期限届满之日起</w:t>
            </w: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个工作日内，以书面形式向采购人和采购代理机构提出质疑。供应商在法定质疑期内应一次性提出针对同一采购程序环节的质疑。</w:t>
            </w:r>
          </w:p>
          <w:p w14:paraId="16668AA3">
            <w:pPr>
              <w:ind w:firstLine="420" w:firstLineChars="200"/>
              <w:jc w:val="lef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供应商如认为采购过程使自身的合法权益受到损害的，应于各采购程序环节结束之日起七个工作日内以书面形式向采购机构提出质疑；</w:t>
            </w:r>
          </w:p>
          <w:p w14:paraId="6F00F3C2">
            <w:pPr>
              <w:snapToGrid w:val="0"/>
              <w:ind w:firstLine="420" w:firstLineChars="200"/>
              <w:jc w:val="left"/>
              <w:rPr>
                <w:rFonts w:ascii="宋体"/>
                <w:snapToGrid w:val="0"/>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000000" w:themeColor="text1"/>
                <w:kern w:val="0"/>
                <w:highlight w:val="none"/>
                <w14:textFill>
                  <w14:solidFill>
                    <w14:schemeClr w14:val="tx1"/>
                  </w14:solidFill>
                </w14:textFill>
              </w:rPr>
              <w:t>。</w:t>
            </w:r>
          </w:p>
        </w:tc>
      </w:tr>
      <w:tr w14:paraId="27A266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D5CC95D">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16</w:t>
            </w:r>
          </w:p>
        </w:tc>
        <w:tc>
          <w:tcPr>
            <w:tcW w:w="1800" w:type="dxa"/>
            <w:vAlign w:val="center"/>
          </w:tcPr>
          <w:p w14:paraId="44963D01">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投诉</w:t>
            </w:r>
          </w:p>
        </w:tc>
        <w:tc>
          <w:tcPr>
            <w:tcW w:w="6682" w:type="dxa"/>
            <w:vAlign w:val="center"/>
          </w:tcPr>
          <w:p w14:paraId="516B52C0">
            <w:pPr>
              <w:snapToGrid w:val="0"/>
              <w:ind w:firstLine="420" w:firstLineChars="200"/>
              <w:jc w:val="left"/>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根据《</w:t>
            </w:r>
            <w:r>
              <w:rPr>
                <w:rFonts w:hint="eastAsia" w:ascii="宋体" w:hAnsi="宋体" w:cs="宋体"/>
                <w:color w:val="000000" w:themeColor="text1"/>
                <w:highlight w:val="none"/>
                <w14:textFill>
                  <w14:solidFill>
                    <w14:schemeClr w14:val="tx1"/>
                  </w14:solidFill>
                </w14:textFill>
              </w:rPr>
              <w:t>中华人民共和国</w:t>
            </w:r>
            <w:r>
              <w:rPr>
                <w:rFonts w:hint="eastAsia" w:ascii="宋体" w:hAnsi="宋体" w:cs="宋体"/>
                <w:snapToGrid w:val="0"/>
                <w:color w:val="000000" w:themeColor="text1"/>
                <w:kern w:val="0"/>
                <w:highlight w:val="none"/>
                <w14:textFill>
                  <w14:solidFill>
                    <w14:schemeClr w14:val="tx1"/>
                  </w14:solidFill>
                </w14:textFill>
              </w:rPr>
              <w:t>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42179A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C672B59">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17</w:t>
            </w:r>
          </w:p>
        </w:tc>
        <w:tc>
          <w:tcPr>
            <w:tcW w:w="1800" w:type="dxa"/>
            <w:vAlign w:val="center"/>
          </w:tcPr>
          <w:p w14:paraId="7FE44286">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特别说明</w:t>
            </w:r>
          </w:p>
        </w:tc>
        <w:tc>
          <w:tcPr>
            <w:tcW w:w="6682" w:type="dxa"/>
            <w:vAlign w:val="center"/>
          </w:tcPr>
          <w:p w14:paraId="573048E5">
            <w:pPr>
              <w:pStyle w:val="17"/>
              <w:snapToGrid w:val="0"/>
              <w:ind w:firstLine="420" w:firstLineChars="200"/>
              <w:jc w:val="left"/>
              <w:rPr>
                <w:rFonts w:hAnsi="宋体" w:cs="Times New Roman"/>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36EFB88B">
            <w:pPr>
              <w:pStyle w:val="17"/>
              <w:snapToGrid w:val="0"/>
              <w:ind w:firstLine="420" w:firstLineChars="200"/>
              <w:jc w:val="left"/>
              <w:rPr>
                <w:rFonts w:hAnsi="宋体" w:cs="Times New Roman"/>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1A200292">
            <w:pPr>
              <w:pStyle w:val="17"/>
              <w:snapToGrid w:val="0"/>
              <w:ind w:firstLine="420" w:firstLineChars="200"/>
              <w:jc w:val="left"/>
              <w:rPr>
                <w:rFonts w:hAnsi="宋体" w:cs="Times New Roman"/>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质疑、投诉人未按前列进行质疑、投诉（申诉），均属于扰乱政府采购市场不良行为。</w:t>
            </w:r>
          </w:p>
          <w:p w14:paraId="477B507C">
            <w:pPr>
              <w:pStyle w:val="17"/>
              <w:snapToGrid w:val="0"/>
              <w:ind w:firstLine="420" w:firstLineChars="200"/>
              <w:jc w:val="left"/>
              <w:rPr>
                <w:rFonts w:hAnsi="宋体" w:cs="Times New Roman"/>
                <w:b/>
                <w:bCs/>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磋商文件中凡标注“</w:t>
            </w:r>
            <w:r>
              <w:rPr>
                <w:rFonts w:hint="eastAsia" w:hAnsi="宋体"/>
                <w:color w:val="000000" w:themeColor="text1"/>
                <w:highlight w:val="none"/>
                <w14:textFill>
                  <w14:solidFill>
                    <w14:schemeClr w14:val="tx1"/>
                  </w14:solidFill>
                </w14:textFill>
              </w:rPr>
              <w:t>★</w:t>
            </w:r>
            <w:r>
              <w:rPr>
                <w:rFonts w:hint="eastAsia" w:hAnsi="宋体"/>
                <w:color w:val="000000" w:themeColor="text1"/>
                <w:kern w:val="0"/>
                <w:highlight w:val="none"/>
                <w14:textFill>
                  <w14:solidFill>
                    <w14:schemeClr w14:val="tx1"/>
                  </w14:solidFill>
                </w14:textFill>
              </w:rPr>
              <w:t>”的条款均为实质性要求，不响应的响应文件将作无效标处理。</w:t>
            </w:r>
          </w:p>
        </w:tc>
      </w:tr>
      <w:tr w14:paraId="7E76C2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466D0C96">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w:t>
            </w:r>
            <w:r>
              <w:rPr>
                <w:rFonts w:hint="eastAsia" w:ascii="宋体" w:hAnsi="宋体" w:cs="宋体"/>
                <w:snapToGrid w:val="0"/>
                <w:color w:val="000000" w:themeColor="text1"/>
                <w:kern w:val="0"/>
                <w:highlight w:val="none"/>
                <w14:textFill>
                  <w14:solidFill>
                    <w14:schemeClr w14:val="tx1"/>
                  </w14:solidFill>
                </w14:textFill>
              </w:rPr>
              <w:t>8</w:t>
            </w:r>
          </w:p>
        </w:tc>
        <w:tc>
          <w:tcPr>
            <w:tcW w:w="1800" w:type="dxa"/>
            <w:vAlign w:val="center"/>
          </w:tcPr>
          <w:p w14:paraId="4B407EE6">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w:t>
            </w:r>
          </w:p>
          <w:p w14:paraId="634877BD">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持</w:t>
            </w:r>
          </w:p>
          <w:p w14:paraId="0EBA0FDD">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w:t>
            </w:r>
          </w:p>
          <w:p w14:paraId="6C783801">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小</w:t>
            </w:r>
          </w:p>
          <w:p w14:paraId="31A050F1">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w:t>
            </w:r>
          </w:p>
          <w:p w14:paraId="70CA1A98">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业</w:t>
            </w:r>
          </w:p>
          <w:p w14:paraId="3317797D">
            <w:pPr>
              <w:snapToGrid w:val="0"/>
              <w:jc w:val="center"/>
              <w:rPr>
                <w:rFonts w:ascii="宋体"/>
                <w:color w:val="000000" w:themeColor="text1"/>
                <w:highlight w:val="none"/>
                <w14:textFill>
                  <w14:solidFill>
                    <w14:schemeClr w14:val="tx1"/>
                  </w14:solidFill>
                </w14:textFill>
              </w:rPr>
            </w:pPr>
          </w:p>
        </w:tc>
        <w:tc>
          <w:tcPr>
            <w:tcW w:w="6682" w:type="dxa"/>
            <w:vAlign w:val="center"/>
          </w:tcPr>
          <w:p w14:paraId="1C43DF88">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小微企业是指在中华人民共和国境内依法设立，依据国务院批准的中小企业划分标准确定的小型企业和微型企业，但与大企业的负责人为同一人，或者与大企业存在直接控股、管理关系的除外。</w:t>
            </w:r>
          </w:p>
          <w:p w14:paraId="3499E8AB">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符合中小企业划分标准的个体工商户，在政府采购活动中视同中小企业。</w:t>
            </w:r>
          </w:p>
          <w:p w14:paraId="4D17C8D3">
            <w:pPr>
              <w:bidi w:val="0"/>
              <w:spacing w:line="24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在货物采购项目中，货物由小微企业制造，即货物由小微企业生产且使用该小微企业商号或者注册商标。供应商提供的货物既有中小企业制造货物，也有大型企业制造货物的，不享受中小企业扶持政策。</w:t>
            </w:r>
          </w:p>
          <w:p w14:paraId="1D609350">
            <w:pPr>
              <w:bidi w:val="0"/>
              <w:spacing w:line="24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在服务采购项目中，服务由小微企业承接，即提供服务的人员为小微企业依照《中华人民共和国劳动合同法》订立劳动合同的从业人员。</w:t>
            </w:r>
          </w:p>
          <w:p w14:paraId="5AAF775B">
            <w:pPr>
              <w:bidi w:val="0"/>
              <w:ind w:firstLine="420" w:firstLineChars="200"/>
              <w:rPr>
                <w:color w:val="000000" w:themeColor="text1"/>
                <w14:textFill>
                  <w14:solidFill>
                    <w14:schemeClr w14:val="tx1"/>
                  </w14:solidFill>
                </w14:textFill>
              </w:rPr>
            </w:pPr>
            <w:bookmarkStart w:id="12" w:name="_Toc16526"/>
            <w:r>
              <w:rPr>
                <w:rFonts w:hint="eastAsia"/>
                <w:color w:val="000000" w:themeColor="text1"/>
                <w14:textFill>
                  <w14:solidFill>
                    <w14:schemeClr w14:val="tx1"/>
                  </w14:solidFill>
                </w14:textFill>
              </w:rPr>
              <w:t>联合体各方均为小型、微型企业的，联合体视同为小型、微型企业。</w:t>
            </w:r>
            <w:bookmarkEnd w:id="12"/>
          </w:p>
          <w:p w14:paraId="5B8734A3">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合上述条件的中小微型企业应按照招标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511C8D">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财政部</w:t>
            </w:r>
            <w:r>
              <w:rPr>
                <w:rFonts w:hint="eastAsia" w:ascii="宋体" w:hAnsi="宋体" w:eastAsia="宋体" w:cs="宋体"/>
                <w:color w:val="000000" w:themeColor="text1"/>
                <w:sz w:val="21"/>
                <w:szCs w:val="21"/>
                <w:highlight w:val="none"/>
                <w14:textFill>
                  <w14:solidFill>
                    <w14:schemeClr w14:val="tx1"/>
                  </w14:solidFill>
                </w14:textFill>
              </w:rPr>
              <w:t>的《关于进一步加大政府采购支持中小企业力度的通知》（</w:t>
            </w:r>
            <w:r>
              <w:rPr>
                <w:rFonts w:hint="eastAsia" w:ascii="宋体" w:hAnsi="宋体" w:eastAsia="宋体" w:cs="宋体"/>
                <w:color w:val="000000" w:themeColor="text1"/>
                <w:sz w:val="21"/>
                <w:szCs w:val="21"/>
                <w:highlight w:val="none"/>
                <w:lang w:val="en-US" w:eastAsia="zh-CN"/>
                <w14:textFill>
                  <w14:solidFill>
                    <w14:schemeClr w14:val="tx1"/>
                  </w14:solidFill>
                </w14:textFill>
              </w:rPr>
              <w:t>财库</w:t>
            </w:r>
            <w:r>
              <w:rPr>
                <w:rFonts w:hint="eastAsia" w:ascii="宋体" w:hAnsi="宋体" w:eastAsia="宋体" w:cs="宋体"/>
                <w:color w:val="000000" w:themeColor="text1"/>
                <w:sz w:val="21"/>
                <w:szCs w:val="21"/>
                <w:highlight w:val="none"/>
                <w14:textFill>
                  <w14:solidFill>
                    <w14:schemeClr w14:val="tx1"/>
                  </w14:solidFill>
                </w14:textFill>
              </w:rPr>
              <w:t>〔2022〕</w:t>
            </w: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给予扣除，用扣除后的价格参加评审。</w:t>
            </w:r>
          </w:p>
          <w:p w14:paraId="2D8BDFC2">
            <w:pPr>
              <w:ind w:firstLine="420" w:firstLineChars="200"/>
              <w:rPr>
                <w:rFonts w:ascii="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组成联合体或者接受分包的小微企业与联合体内其他企业、分包企业之间存在直接控股、管理关系的，不享受价格扣除优惠政策。</w:t>
            </w:r>
          </w:p>
        </w:tc>
      </w:tr>
      <w:tr w14:paraId="11738B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487B12E">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19</w:t>
            </w:r>
          </w:p>
        </w:tc>
        <w:tc>
          <w:tcPr>
            <w:tcW w:w="1800" w:type="dxa"/>
            <w:vAlign w:val="center"/>
          </w:tcPr>
          <w:p w14:paraId="13634A32">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招标代理服务费</w:t>
            </w:r>
          </w:p>
        </w:tc>
        <w:tc>
          <w:tcPr>
            <w:tcW w:w="6682" w:type="dxa"/>
            <w:vAlign w:val="center"/>
          </w:tcPr>
          <w:p w14:paraId="30C691F1">
            <w:pPr>
              <w:autoSpaceDN w:val="0"/>
              <w:spacing w:line="340" w:lineRule="exact"/>
              <w:ind w:firstLine="420" w:firstLineChars="20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招标代理服务费由成交供应商支付，按下列服务招标计算方式计取</w:t>
            </w:r>
            <w:r>
              <w:rPr>
                <w:rFonts w:hint="eastAsia" w:ascii="宋体" w:hAnsi="宋体" w:cs="宋体"/>
                <w:snapToGrid w:val="0"/>
                <w:color w:val="000000" w:themeColor="text1"/>
                <w:kern w:val="0"/>
                <w:highlight w:val="none"/>
                <w:lang w:eastAsia="zh-CN"/>
                <w14:textFill>
                  <w14:solidFill>
                    <w14:schemeClr w14:val="tx1"/>
                  </w14:solidFill>
                </w14:textFill>
              </w:rPr>
              <w:t>，</w:t>
            </w:r>
            <w:r>
              <w:rPr>
                <w:rFonts w:hint="eastAsia" w:ascii="宋体" w:hAnsi="宋体" w:cs="宋体"/>
                <w:snapToGrid w:val="0"/>
                <w:color w:val="000000" w:themeColor="text1"/>
                <w:kern w:val="0"/>
                <w:highlight w:val="none"/>
                <w:lang w:val="en-US" w:eastAsia="zh-CN"/>
                <w14:textFill>
                  <w14:solidFill>
                    <w14:schemeClr w14:val="tx1"/>
                  </w14:solidFill>
                </w14:textFill>
              </w:rPr>
              <w:t>代理服务费最低6500元</w:t>
            </w:r>
            <w:r>
              <w:rPr>
                <w:rFonts w:hint="eastAsia" w:ascii="宋体" w:hAnsi="宋体" w:cs="宋体"/>
                <w:snapToGrid w:val="0"/>
                <w:color w:val="000000" w:themeColor="text1"/>
                <w:kern w:val="0"/>
                <w:highlight w:val="none"/>
                <w14:textFill>
                  <w14:solidFill>
                    <w14:schemeClr w14:val="tx1"/>
                  </w14:solidFill>
                </w14:textFill>
              </w:rPr>
              <w:t>。</w:t>
            </w:r>
          </w:p>
          <w:tbl>
            <w:tblPr>
              <w:tblStyle w:val="31"/>
              <w:tblW w:w="473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01"/>
              <w:gridCol w:w="1006"/>
              <w:gridCol w:w="1006"/>
              <w:gridCol w:w="975"/>
            </w:tblGrid>
            <w:tr w14:paraId="799FC3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79F575A7">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服务类型 中标金额（万元）</w:t>
                  </w:r>
                </w:p>
              </w:tc>
              <w:tc>
                <w:tcPr>
                  <w:tcW w:w="1008" w:type="dxa"/>
                  <w:tcBorders>
                    <w:top w:val="outset" w:color="auto" w:sz="6" w:space="0"/>
                    <w:left w:val="outset" w:color="auto" w:sz="6" w:space="0"/>
                    <w:bottom w:val="outset" w:color="auto" w:sz="6" w:space="0"/>
                    <w:right w:val="outset" w:color="auto" w:sz="6" w:space="0"/>
                  </w:tcBorders>
                  <w:vAlign w:val="center"/>
                </w:tcPr>
                <w:p w14:paraId="0D8A8B24">
                  <w:pPr>
                    <w:pStyle w:val="28"/>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货物招标</w:t>
                  </w:r>
                </w:p>
              </w:tc>
              <w:tc>
                <w:tcPr>
                  <w:tcW w:w="1008" w:type="dxa"/>
                  <w:tcBorders>
                    <w:top w:val="outset" w:color="auto" w:sz="6" w:space="0"/>
                    <w:left w:val="outset" w:color="auto" w:sz="6" w:space="0"/>
                    <w:bottom w:val="outset" w:color="auto" w:sz="6" w:space="0"/>
                    <w:right w:val="outset" w:color="auto" w:sz="6" w:space="0"/>
                  </w:tcBorders>
                  <w:vAlign w:val="center"/>
                </w:tcPr>
                <w:p w14:paraId="09E4A3B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服务招标</w:t>
                  </w:r>
                </w:p>
              </w:tc>
              <w:tc>
                <w:tcPr>
                  <w:tcW w:w="977" w:type="dxa"/>
                  <w:tcBorders>
                    <w:top w:val="outset" w:color="auto" w:sz="6" w:space="0"/>
                    <w:left w:val="outset" w:color="auto" w:sz="6" w:space="0"/>
                    <w:bottom w:val="outset" w:color="auto" w:sz="6" w:space="0"/>
                    <w:right w:val="outset" w:color="auto" w:sz="6" w:space="0"/>
                  </w:tcBorders>
                  <w:vAlign w:val="center"/>
                </w:tcPr>
                <w:p w14:paraId="2B2F7DA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工程招标</w:t>
                  </w:r>
                </w:p>
              </w:tc>
            </w:tr>
            <w:tr w14:paraId="550FC7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134853D4">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100以下</w:t>
                  </w:r>
                </w:p>
              </w:tc>
              <w:tc>
                <w:tcPr>
                  <w:tcW w:w="1008" w:type="dxa"/>
                  <w:tcBorders>
                    <w:top w:val="outset" w:color="auto" w:sz="6" w:space="0"/>
                    <w:left w:val="outset" w:color="auto" w:sz="6" w:space="0"/>
                    <w:bottom w:val="outset" w:color="auto" w:sz="6" w:space="0"/>
                    <w:right w:val="outset" w:color="auto" w:sz="6" w:space="0"/>
                  </w:tcBorders>
                  <w:vAlign w:val="center"/>
                </w:tcPr>
                <w:p w14:paraId="658C437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w:t>
                  </w:r>
                </w:p>
              </w:tc>
              <w:tc>
                <w:tcPr>
                  <w:tcW w:w="1008" w:type="dxa"/>
                  <w:tcBorders>
                    <w:top w:val="outset" w:color="auto" w:sz="6" w:space="0"/>
                    <w:left w:val="outset" w:color="auto" w:sz="6" w:space="0"/>
                    <w:bottom w:val="outset" w:color="auto" w:sz="6" w:space="0"/>
                    <w:right w:val="outset" w:color="auto" w:sz="6" w:space="0"/>
                  </w:tcBorders>
                  <w:vAlign w:val="center"/>
                </w:tcPr>
                <w:p w14:paraId="6A45A8F7">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w:t>
                  </w:r>
                </w:p>
              </w:tc>
              <w:tc>
                <w:tcPr>
                  <w:tcW w:w="977" w:type="dxa"/>
                  <w:tcBorders>
                    <w:top w:val="outset" w:color="auto" w:sz="6" w:space="0"/>
                    <w:left w:val="outset" w:color="auto" w:sz="6" w:space="0"/>
                    <w:bottom w:val="outset" w:color="auto" w:sz="6" w:space="0"/>
                    <w:right w:val="outset" w:color="auto" w:sz="6" w:space="0"/>
                  </w:tcBorders>
                  <w:vAlign w:val="center"/>
                </w:tcPr>
                <w:p w14:paraId="328525D9">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r>
            <w:tr w14:paraId="209BDC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27022FC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100—500</w:t>
                  </w:r>
                </w:p>
              </w:tc>
              <w:tc>
                <w:tcPr>
                  <w:tcW w:w="1008" w:type="dxa"/>
                  <w:tcBorders>
                    <w:top w:val="outset" w:color="auto" w:sz="6" w:space="0"/>
                    <w:left w:val="outset" w:color="auto" w:sz="6" w:space="0"/>
                    <w:bottom w:val="outset" w:color="auto" w:sz="6" w:space="0"/>
                    <w:right w:val="outset" w:color="auto" w:sz="6" w:space="0"/>
                  </w:tcBorders>
                  <w:vAlign w:val="center"/>
                </w:tcPr>
                <w:p w14:paraId="14DF1E3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008" w:type="dxa"/>
                  <w:tcBorders>
                    <w:top w:val="outset" w:color="auto" w:sz="6" w:space="0"/>
                    <w:left w:val="outset" w:color="auto" w:sz="6" w:space="0"/>
                    <w:bottom w:val="outset" w:color="auto" w:sz="6" w:space="0"/>
                    <w:right w:val="outset" w:color="auto" w:sz="6" w:space="0"/>
                  </w:tcBorders>
                  <w:vAlign w:val="center"/>
                </w:tcPr>
                <w:p w14:paraId="0D53F3D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0.8％</w:t>
                  </w:r>
                </w:p>
              </w:tc>
              <w:tc>
                <w:tcPr>
                  <w:tcW w:w="977" w:type="dxa"/>
                  <w:tcBorders>
                    <w:top w:val="outset" w:color="auto" w:sz="6" w:space="0"/>
                    <w:left w:val="outset" w:color="auto" w:sz="6" w:space="0"/>
                    <w:bottom w:val="outset" w:color="auto" w:sz="6" w:space="0"/>
                    <w:right w:val="outset" w:color="auto" w:sz="6" w:space="0"/>
                  </w:tcBorders>
                  <w:vAlign w:val="center"/>
                </w:tcPr>
                <w:p w14:paraId="03A92294">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0.7％</w:t>
                  </w:r>
                </w:p>
              </w:tc>
            </w:tr>
          </w:tbl>
          <w:p w14:paraId="39CDA91F">
            <w:pPr>
              <w:spacing w:line="340" w:lineRule="exact"/>
              <w:ind w:firstLine="420" w:firstLineChars="20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结算方式及时间为：在领取中标通知书前由成交供应商一次性向采购代理机构付清。</w:t>
            </w:r>
          </w:p>
        </w:tc>
      </w:tr>
      <w:tr w14:paraId="4C95A2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B038D25">
            <w:pPr>
              <w:snapToGrid w:val="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20</w:t>
            </w:r>
          </w:p>
        </w:tc>
        <w:tc>
          <w:tcPr>
            <w:tcW w:w="1800" w:type="dxa"/>
            <w:vAlign w:val="center"/>
          </w:tcPr>
          <w:p w14:paraId="1D2557AF">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682" w:type="dxa"/>
            <w:vAlign w:val="center"/>
          </w:tcPr>
          <w:p w14:paraId="3DDA5380">
            <w:pPr>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w:t>
            </w:r>
            <w:r>
              <w:rPr>
                <w:rFonts w:hint="eastAsia" w:ascii="宋体" w:hAnsi="宋体" w:cs="宋体"/>
                <w:color w:val="000000" w:themeColor="text1"/>
                <w:highlight w:val="none"/>
                <w:u w:val="single"/>
                <w14:textFill>
                  <w14:solidFill>
                    <w14:schemeClr w14:val="tx1"/>
                  </w14:solidFill>
                </w14:textFill>
              </w:rPr>
              <w:t>不允许</w:t>
            </w:r>
            <w:r>
              <w:rPr>
                <w:rFonts w:hint="eastAsia" w:ascii="宋体" w:hAnsi="宋体" w:cs="宋体"/>
                <w:color w:val="000000" w:themeColor="text1"/>
                <w:highlight w:val="none"/>
                <w14:textFill>
                  <w14:solidFill>
                    <w14:schemeClr w14:val="tx1"/>
                  </w14:solidFill>
                </w14:textFill>
              </w:rPr>
              <w:t>分包</w:t>
            </w:r>
          </w:p>
        </w:tc>
      </w:tr>
      <w:tr w14:paraId="1C1DF8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2501AD77">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21</w:t>
            </w:r>
          </w:p>
        </w:tc>
        <w:tc>
          <w:tcPr>
            <w:tcW w:w="1800" w:type="dxa"/>
            <w:tcBorders>
              <w:top w:val="single" w:color="auto" w:sz="4" w:space="0"/>
            </w:tcBorders>
            <w:vAlign w:val="center"/>
          </w:tcPr>
          <w:p w14:paraId="15FDB5A3">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是否提供演示</w:t>
            </w:r>
          </w:p>
        </w:tc>
        <w:tc>
          <w:tcPr>
            <w:tcW w:w="6682" w:type="dxa"/>
            <w:tcBorders>
              <w:top w:val="single" w:color="auto" w:sz="4" w:space="0"/>
            </w:tcBorders>
            <w:vAlign w:val="center"/>
          </w:tcPr>
          <w:p w14:paraId="66A1F1B4">
            <w:pPr>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w:t>
            </w:r>
            <w:r>
              <w:rPr>
                <w:rFonts w:hint="eastAsia" w:ascii="宋体" w:hAnsi="宋体" w:cs="宋体"/>
                <w:color w:val="000000" w:themeColor="text1"/>
                <w:highlight w:val="none"/>
                <w:u w:val="single"/>
                <w14:textFill>
                  <w14:solidFill>
                    <w14:schemeClr w14:val="tx1"/>
                  </w14:solidFill>
                </w14:textFill>
              </w:rPr>
              <w:t>不需要</w:t>
            </w:r>
            <w:r>
              <w:rPr>
                <w:rFonts w:hint="eastAsia" w:ascii="宋体" w:hAnsi="宋体" w:cs="宋体"/>
                <w:color w:val="000000" w:themeColor="text1"/>
                <w:highlight w:val="none"/>
                <w14:textFill>
                  <w14:solidFill>
                    <w14:schemeClr w14:val="tx1"/>
                  </w14:solidFill>
                </w14:textFill>
              </w:rPr>
              <w:t>提供演示。</w:t>
            </w:r>
          </w:p>
        </w:tc>
      </w:tr>
      <w:tr w14:paraId="0BC630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20B0273C">
            <w:pPr>
              <w:snapToGrid w:val="0"/>
              <w:jc w:val="center"/>
              <w:rPr>
                <w:rFonts w:hint="default" w:ascii="宋体" w:hAnsi="宋体" w:eastAsia="宋体" w:cs="宋体"/>
                <w:snapToGrid w:val="0"/>
                <w:color w:val="000000" w:themeColor="text1"/>
                <w:kern w:val="0"/>
                <w:highlight w:val="none"/>
                <w:lang w:val="en-US" w:eastAsia="zh-CN"/>
                <w14:textFill>
                  <w14:solidFill>
                    <w14:schemeClr w14:val="tx1"/>
                  </w14:solidFill>
                </w14:textFill>
              </w:rPr>
            </w:pPr>
            <w:r>
              <w:rPr>
                <w:rFonts w:hint="eastAsia" w:ascii="宋体" w:hAnsi="宋体" w:cs="宋体"/>
                <w:snapToGrid w:val="0"/>
                <w:color w:val="000000" w:themeColor="text1"/>
                <w:kern w:val="0"/>
                <w:highlight w:val="none"/>
                <w:lang w:val="en-US" w:eastAsia="zh-CN"/>
                <w14:textFill>
                  <w14:solidFill>
                    <w14:schemeClr w14:val="tx1"/>
                  </w14:solidFill>
                </w14:textFill>
              </w:rPr>
              <w:t>22</w:t>
            </w:r>
          </w:p>
        </w:tc>
        <w:tc>
          <w:tcPr>
            <w:tcW w:w="1800" w:type="dxa"/>
            <w:vMerge w:val="restart"/>
            <w:tcBorders>
              <w:top w:val="single" w:color="auto" w:sz="4" w:space="0"/>
            </w:tcBorders>
            <w:vAlign w:val="center"/>
          </w:tcPr>
          <w:p w14:paraId="7F3C4CB5">
            <w:pPr>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lang w:val="en-US" w:eastAsia="zh-CN"/>
              </w:rPr>
              <w:t>预付款</w:t>
            </w:r>
          </w:p>
          <w:p w14:paraId="44D25C81">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01310BF2">
            <w:pPr>
              <w:tabs>
                <w:tab w:val="left" w:pos="256"/>
              </w:tabs>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000000" w:themeColor="text1"/>
                <w:highlight w:val="none"/>
                <w:lang w:val="en-US" w:eastAsia="zh-CN"/>
                <w14:textFill>
                  <w14:solidFill>
                    <w14:schemeClr w14:val="tx1"/>
                  </w14:solidFill>
                </w14:textFill>
              </w:rPr>
              <w:t>本项目</w:t>
            </w:r>
            <w:r>
              <w:rPr>
                <w:rFonts w:hint="eastAsia"/>
                <w:color w:val="000000" w:themeColor="text1"/>
                <w:sz w:val="24"/>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 xml:space="preserve">是  </w:t>
            </w:r>
            <w:r>
              <w:rPr>
                <w:rFonts w:hint="eastAsia"/>
                <w:color w:val="000000" w:themeColor="text1"/>
                <w:sz w:val="24"/>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否  涉及预付款，预付款比例为</w:t>
            </w:r>
            <w:r>
              <w:rPr>
                <w:rFonts w:hint="eastAsia" w:ascii="宋体" w:hAnsi="宋体" w:cs="宋体"/>
                <w:color w:val="000000" w:themeColor="text1"/>
                <w:highlight w:val="none"/>
                <w:u w:val="single"/>
                <w:lang w:val="en-US" w:eastAsia="zh-CN"/>
                <w14:textFill>
                  <w14:solidFill>
                    <w14:schemeClr w14:val="tx1"/>
                  </w14:solidFill>
                </w14:textFill>
              </w:rPr>
              <w:t xml:space="preserve"> 40 %</w:t>
            </w:r>
          </w:p>
        </w:tc>
      </w:tr>
      <w:tr w14:paraId="2E259C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3C93156D">
            <w:pPr>
              <w:snapToGrid w:val="0"/>
              <w:jc w:val="center"/>
              <w:rPr>
                <w:rFonts w:hint="eastAsia" w:ascii="宋体" w:hAnsi="宋体" w:cs="宋体"/>
                <w:snapToGrid w:val="0"/>
                <w:color w:val="000000" w:themeColor="text1"/>
                <w:kern w:val="0"/>
                <w:highlight w:val="none"/>
                <w14:textFill>
                  <w14:solidFill>
                    <w14:schemeClr w14:val="tx1"/>
                  </w14:solidFill>
                </w14:textFill>
              </w:rPr>
            </w:pPr>
          </w:p>
        </w:tc>
        <w:tc>
          <w:tcPr>
            <w:tcW w:w="1800" w:type="dxa"/>
            <w:vMerge w:val="continue"/>
            <w:vAlign w:val="center"/>
          </w:tcPr>
          <w:p w14:paraId="40F195F1">
            <w:pPr>
              <w:snapToGrid w:val="0"/>
              <w:jc w:val="center"/>
              <w:rPr>
                <w:rFonts w:hint="eastAsia" w:ascii="宋体" w:hAnsi="宋体" w:cs="宋体"/>
                <w:color w:val="000000" w:themeColor="text1"/>
                <w:highlight w:val="none"/>
                <w14:textFill>
                  <w14:solidFill>
                    <w14:schemeClr w14:val="tx1"/>
                  </w14:solidFill>
                </w14:textFill>
              </w:rPr>
            </w:pPr>
          </w:p>
        </w:tc>
        <w:tc>
          <w:tcPr>
            <w:tcW w:w="6682" w:type="dxa"/>
            <w:tcBorders>
              <w:top w:val="single" w:color="auto" w:sz="4" w:space="0"/>
            </w:tcBorders>
            <w:vAlign w:val="center"/>
          </w:tcPr>
          <w:p w14:paraId="3FF26149">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根据《浙江省财政厅关于进一步发挥政府采购政策功能全力推动经济稳进提质的通知》[浙财采监</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2022）3号]文件第二条第五点关于“进一步提高政府采购预付款比例”的规定：</w:t>
            </w:r>
          </w:p>
          <w:p w14:paraId="65C63053">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1、采购单位应当在政府采购合同中约定预付款；</w:t>
            </w:r>
          </w:p>
          <w:p w14:paraId="0338C7C9">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735453CD">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3、本项目涉及投标人为大型企业，或者以人工投入为主且实行按月定期结算支付款项的，预付款可低于上述比例或者不约定预付款（相应字样应在合同中体现）。</w:t>
            </w:r>
          </w:p>
          <w:p w14:paraId="4177AEFB">
            <w:pPr>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4、在签订合同时，中标人明确表示无需预付款或者主动要求降低预付款比例的，应提交相应申请函经采购人确认后，可不适用前述规定。</w:t>
            </w:r>
          </w:p>
        </w:tc>
      </w:tr>
      <w:tr w14:paraId="3F11C1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A6AB813">
            <w:pPr>
              <w:snapToGrid w:val="0"/>
              <w:jc w:val="center"/>
              <w:rPr>
                <w:rFonts w:hint="eastAsia" w:ascii="宋体" w:eastAsia="宋体"/>
                <w:snapToGrid w:val="0"/>
                <w:color w:val="000000" w:themeColor="text1"/>
                <w:kern w:val="0"/>
                <w:highlight w:val="none"/>
                <w:lang w:eastAsia="zh-CN"/>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w:t>
            </w:r>
            <w:r>
              <w:rPr>
                <w:rFonts w:hint="eastAsia" w:ascii="宋体" w:hAnsi="宋体" w:cs="宋体"/>
                <w:snapToGrid w:val="0"/>
                <w:color w:val="000000" w:themeColor="text1"/>
                <w:kern w:val="0"/>
                <w:highlight w:val="none"/>
                <w:lang w:val="en-US" w:eastAsia="zh-CN"/>
                <w14:textFill>
                  <w14:solidFill>
                    <w14:schemeClr w14:val="tx1"/>
                  </w14:solidFill>
                </w14:textFill>
              </w:rPr>
              <w:t>3</w:t>
            </w:r>
          </w:p>
        </w:tc>
        <w:tc>
          <w:tcPr>
            <w:tcW w:w="1800" w:type="dxa"/>
            <w:vAlign w:val="center"/>
          </w:tcPr>
          <w:p w14:paraId="1FB80654">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供应商信用信息查询渠道及截止时点、信用信息查询记录和证据留存的具体方式、信用信息的使用规则</w:t>
            </w:r>
          </w:p>
        </w:tc>
        <w:tc>
          <w:tcPr>
            <w:tcW w:w="6682" w:type="dxa"/>
            <w:vAlign w:val="center"/>
          </w:tcPr>
          <w:p w14:paraId="6E28F5A8">
            <w:pPr>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、查询渠道：信用中国（网址：</w:t>
            </w:r>
            <w:r>
              <w:rPr>
                <w:rFonts w:ascii="宋体" w:hAnsi="宋体" w:cs="宋体"/>
                <w:color w:val="000000" w:themeColor="text1"/>
                <w:highlight w:val="none"/>
                <w14:textFill>
                  <w14:solidFill>
                    <w14:schemeClr w14:val="tx1"/>
                  </w14:solidFill>
                </w14:textFill>
              </w:rPr>
              <w:t>http://www.creditchina.gov.cn</w:t>
            </w:r>
            <w:r>
              <w:rPr>
                <w:rFonts w:hint="eastAsia" w:ascii="宋体" w:hAnsi="宋体" w:cs="宋体"/>
                <w:color w:val="000000" w:themeColor="text1"/>
                <w:highlight w:val="none"/>
                <w14:textFill>
                  <w14:solidFill>
                    <w14:schemeClr w14:val="tx1"/>
                  </w14:solidFill>
                </w14:textFill>
              </w:rPr>
              <w:t>）、中国政府采购网</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网址：</w:t>
            </w:r>
            <w:r>
              <w:rPr>
                <w:rFonts w:ascii="宋体" w:hAnsi="宋体" w:cs="宋体"/>
                <w:color w:val="000000" w:themeColor="text1"/>
                <w:highlight w:val="none"/>
                <w14:textFill>
                  <w14:solidFill>
                    <w14:schemeClr w14:val="tx1"/>
                  </w14:solidFill>
                </w14:textFill>
              </w:rPr>
              <w:t>http://www.ccgp.gov.cn</w:t>
            </w:r>
            <w:r>
              <w:rPr>
                <w:rFonts w:hint="eastAsia" w:ascii="宋体" w:hAnsi="宋体" w:cs="宋体"/>
                <w:color w:val="000000" w:themeColor="text1"/>
                <w:highlight w:val="none"/>
                <w14:textFill>
                  <w14:solidFill>
                    <w14:schemeClr w14:val="tx1"/>
                  </w14:solidFill>
                </w14:textFill>
              </w:rPr>
              <w:t>）。</w:t>
            </w:r>
          </w:p>
          <w:p w14:paraId="42DF0B44">
            <w:pPr>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、截止时点：开标后评标前。</w:t>
            </w:r>
          </w:p>
          <w:p w14:paraId="0AB3D7EA">
            <w:pPr>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、信用信息查询记录和证据留存的具体方式：由采购组织机构在规定查询时间内打印信用信息查询记录并归入项目档案。</w:t>
            </w:r>
          </w:p>
          <w:p w14:paraId="51DCB15D">
            <w:pPr>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06380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CFFF406">
            <w:pPr>
              <w:snapToGrid w:val="0"/>
              <w:jc w:val="center"/>
              <w:rPr>
                <w:rFonts w:hint="eastAsia" w:ascii="宋体" w:eastAsia="宋体"/>
                <w:snapToGrid w:val="0"/>
                <w:color w:val="000000" w:themeColor="text1"/>
                <w:kern w:val="0"/>
                <w:highlight w:val="none"/>
                <w:lang w:eastAsia="zh-CN"/>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w:t>
            </w:r>
            <w:r>
              <w:rPr>
                <w:rFonts w:hint="eastAsia" w:ascii="宋体" w:hAnsi="宋体" w:cs="宋体"/>
                <w:snapToGrid w:val="0"/>
                <w:color w:val="000000" w:themeColor="text1"/>
                <w:kern w:val="0"/>
                <w:highlight w:val="none"/>
                <w:lang w:val="en-US" w:eastAsia="zh-CN"/>
                <w14:textFill>
                  <w14:solidFill>
                    <w14:schemeClr w14:val="tx1"/>
                  </w14:solidFill>
                </w14:textFill>
              </w:rPr>
              <w:t>4</w:t>
            </w:r>
          </w:p>
        </w:tc>
        <w:tc>
          <w:tcPr>
            <w:tcW w:w="1800" w:type="dxa"/>
            <w:vAlign w:val="center"/>
          </w:tcPr>
          <w:p w14:paraId="7543AE35">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金融支持</w:t>
            </w:r>
          </w:p>
        </w:tc>
        <w:tc>
          <w:tcPr>
            <w:tcW w:w="6682" w:type="dxa"/>
            <w:vAlign w:val="center"/>
          </w:tcPr>
          <w:p w14:paraId="11F1F22E">
            <w:pPr>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为支持和促进中小企业发展，进一步发挥政府采购政策功能，浙江省财政厅出台浙财采监〔</w:t>
            </w:r>
            <w:r>
              <w:rPr>
                <w:rFonts w:ascii="宋体" w:hAnsi="宋体" w:cs="宋体"/>
                <w:color w:val="000000" w:themeColor="text1"/>
                <w:highlight w:val="none"/>
                <w14:textFill>
                  <w14:solidFill>
                    <w14:schemeClr w14:val="tx1"/>
                  </w14:solidFill>
                </w14:textFill>
              </w:rPr>
              <w:t>2020</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3 </w:t>
            </w:r>
            <w:r>
              <w:rPr>
                <w:rFonts w:hint="eastAsia" w:ascii="宋体" w:hAnsi="宋体" w:cs="宋体"/>
                <w:color w:val="000000" w:themeColor="text1"/>
                <w:highlight w:val="none"/>
                <w14:textFill>
                  <w14:solidFill>
                    <w14:schemeClr w14:val="tx1"/>
                  </w14:solidFill>
                </w14:textFill>
              </w:rPr>
              <w:t>号文件，企业若有融资意向，</w:t>
            </w:r>
            <w:r>
              <w:rPr>
                <w:rFonts w:hint="eastAsia" w:ascii="宋体" w:hAnsi="宋体" w:cs="宋体"/>
                <w:color w:val="000000" w:themeColor="text1"/>
                <w:highlight w:val="none"/>
                <w:lang w:eastAsia="zh-CN"/>
                <w14:textFill>
                  <w14:solidFill>
                    <w14:schemeClr w14:val="tx1"/>
                  </w14:solidFill>
                </w14:textFill>
              </w:rPr>
              <w:t>可登录</w:t>
            </w:r>
            <w:r>
              <w:rPr>
                <w:rFonts w:hint="eastAsia" w:ascii="宋体" w:hAnsi="宋体" w:cs="宋体"/>
                <w:color w:val="000000" w:themeColor="text1"/>
                <w:highlight w:val="none"/>
                <w14:textFill>
                  <w14:solidFill>
                    <w14:schemeClr w14:val="tx1"/>
                  </w14:solidFill>
                </w14:textFill>
              </w:rPr>
              <w:t>政采云平台融资服务（</w:t>
            </w:r>
            <w:r>
              <w:rPr>
                <w:rFonts w:ascii="宋体" w:hAnsi="宋体" w:cs="宋体"/>
                <w:color w:val="000000" w:themeColor="text1"/>
                <w:highlight w:val="none"/>
                <w14:textFill>
                  <w14:solidFill>
                    <w14:schemeClr w14:val="tx1"/>
                  </w14:solidFill>
                </w14:textFill>
              </w:rPr>
              <w:t>https://jinrong.zcygov.cn/</w:t>
            </w:r>
            <w:r>
              <w:rPr>
                <w:rFonts w:hint="eastAsia" w:ascii="宋体" w:hAnsi="宋体" w:cs="宋体"/>
                <w:color w:val="000000" w:themeColor="text1"/>
                <w:highlight w:val="none"/>
                <w14:textFill>
                  <w14:solidFill>
                    <w14:schemeClr w14:val="tx1"/>
                  </w14:solidFill>
                </w14:textFill>
              </w:rPr>
              <w:t>），查看相应融资政策文件及各相关银行服务方案。</w:t>
            </w:r>
          </w:p>
        </w:tc>
      </w:tr>
      <w:tr w14:paraId="775D61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1F197F8B">
            <w:pPr>
              <w:snapToGrid w:val="0"/>
              <w:jc w:val="center"/>
              <w:rPr>
                <w:rFonts w:hint="eastAsia" w:ascii="宋体" w:eastAsia="宋体"/>
                <w:snapToGrid w:val="0"/>
                <w:color w:val="000000" w:themeColor="text1"/>
                <w:kern w:val="0"/>
                <w:highlight w:val="none"/>
                <w:lang w:eastAsia="zh-CN"/>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w:t>
            </w:r>
            <w:r>
              <w:rPr>
                <w:rFonts w:hint="eastAsia" w:ascii="宋体" w:hAnsi="宋体" w:cs="宋体"/>
                <w:snapToGrid w:val="0"/>
                <w:color w:val="000000" w:themeColor="text1"/>
                <w:kern w:val="0"/>
                <w:highlight w:val="none"/>
                <w:lang w:val="en-US" w:eastAsia="zh-CN"/>
                <w14:textFill>
                  <w14:solidFill>
                    <w14:schemeClr w14:val="tx1"/>
                  </w14:solidFill>
                </w14:textFill>
              </w:rPr>
              <w:t>5</w:t>
            </w:r>
          </w:p>
        </w:tc>
        <w:tc>
          <w:tcPr>
            <w:tcW w:w="1800" w:type="dxa"/>
            <w:tcBorders>
              <w:bottom w:val="double" w:color="auto" w:sz="4" w:space="0"/>
            </w:tcBorders>
            <w:vAlign w:val="center"/>
          </w:tcPr>
          <w:p w14:paraId="0BE39950">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w:t>
            </w:r>
          </w:p>
        </w:tc>
        <w:tc>
          <w:tcPr>
            <w:tcW w:w="6682" w:type="dxa"/>
            <w:tcBorders>
              <w:bottom w:val="double" w:color="auto" w:sz="4" w:space="0"/>
            </w:tcBorders>
            <w:vAlign w:val="center"/>
          </w:tcPr>
          <w:p w14:paraId="59A7038D">
            <w:pPr>
              <w:ind w:firstLine="42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本磋商文件要求提供的身份证复印件皆需提供正反面，否则按不提供处理。</w:t>
            </w:r>
          </w:p>
          <w:p w14:paraId="647B7B4B">
            <w:pPr>
              <w:ind w:firstLine="420" w:firstLineChars="200"/>
              <w:rPr>
                <w:rFonts w:ascii="宋体"/>
                <w:b/>
                <w:bCs/>
                <w:color w:val="000000" w:themeColor="text1"/>
                <w:highlight w:val="none"/>
                <w14:textFill>
                  <w14:solidFill>
                    <w14:schemeClr w14:val="tx1"/>
                  </w14:solidFill>
                </w14:textFill>
              </w:rPr>
            </w:pPr>
            <w:r>
              <w:rPr>
                <w:rFonts w:hint="eastAsia"/>
                <w:color w:val="000000" w:themeColor="text1"/>
                <w:lang w:val="en-US" w:eastAsia="zh-CN"/>
                <w14:textFill>
                  <w14:solidFill>
                    <w14:schemeClr w14:val="tx1"/>
                  </w14:solidFill>
                </w14:textFill>
              </w:rPr>
              <w:t>2、本项目货物如涉及柴油动力移动源，柴油动力移动源应当符合低排放要求。</w:t>
            </w:r>
          </w:p>
        </w:tc>
      </w:tr>
    </w:tbl>
    <w:p w14:paraId="6469AE10">
      <w:pPr>
        <w:pStyle w:val="6"/>
        <w:spacing w:line="360" w:lineRule="auto"/>
        <w:rPr>
          <w:rFonts w:ascii="宋体"/>
          <w:color w:val="000000" w:themeColor="text1"/>
          <w:highlight w:val="none"/>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000000" w:themeColor="text1"/>
          <w:sz w:val="24"/>
          <w:szCs w:val="24"/>
          <w:highlight w:val="none"/>
          <w14:textFill>
            <w14:solidFill>
              <w14:schemeClr w14:val="tx1"/>
            </w14:solidFill>
          </w14:textFill>
        </w:rPr>
        <w:t>注：以上内容如有变化将另行通知。如通知其中某一内容发生变化，其余未提及的将不作变动。</w:t>
      </w:r>
    </w:p>
    <w:p w14:paraId="0F1348BF">
      <w:pPr>
        <w:pStyle w:val="3"/>
        <w:numPr>
          <w:ilvl w:val="0"/>
          <w:numId w:val="7"/>
        </w:numPr>
        <w:spacing w:line="336" w:lineRule="auto"/>
        <w:jc w:val="center"/>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w:t>
      </w:r>
      <w:bookmarkStart w:id="13" w:name="_Toc25187"/>
      <w:bookmarkStart w:id="14" w:name="_Toc12290"/>
      <w:r>
        <w:rPr>
          <w:rFonts w:hint="eastAsia" w:hAnsi="宋体"/>
          <w:color w:val="000000" w:themeColor="text1"/>
          <w:highlight w:val="none"/>
          <w14:textFill>
            <w14:solidFill>
              <w14:schemeClr w14:val="tx1"/>
            </w14:solidFill>
          </w14:textFill>
        </w:rPr>
        <w:t>总则</w:t>
      </w:r>
      <w:bookmarkEnd w:id="13"/>
      <w:bookmarkEnd w:id="14"/>
    </w:p>
    <w:p w14:paraId="379F9DFB">
      <w:pPr>
        <w:spacing w:line="336" w:lineRule="auto"/>
        <w:ind w:firstLine="480" w:firstLineChars="200"/>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本次招标工作是按照《中华人民共和国政府采购法》《中华人民共和国政府采购法实施条例》《政府采购竞争性磋商采购方式管理暂行办法》等相关法律、组织和实施，并由政府采购管理部门指导和监督。</w:t>
      </w:r>
    </w:p>
    <w:p w14:paraId="3BCF2F45">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、适用范围</w:t>
      </w:r>
    </w:p>
    <w:p w14:paraId="27F2382D">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本次磋商工作仅适用于</w:t>
      </w:r>
      <w:r>
        <w:rPr>
          <w:rFonts w:hint="eastAsia" w:ascii="宋体" w:hAnsi="宋体" w:cs="宋体"/>
          <w:color w:val="000000" w:themeColor="text1"/>
          <w:sz w:val="24"/>
          <w:szCs w:val="24"/>
          <w:highlight w:val="none"/>
          <w:u w:val="single"/>
          <w:lang w:eastAsia="zh-CN"/>
          <w14:textFill>
            <w14:solidFill>
              <w14:schemeClr w14:val="tx1"/>
            </w14:solidFill>
          </w14:textFill>
        </w:rPr>
        <w:t>2025年水库堤防等水利工程安全生产风险管控“六项机制”创建项目</w:t>
      </w:r>
      <w:r>
        <w:rPr>
          <w:rFonts w:hint="eastAsia" w:ascii="宋体" w:hAnsi="宋体" w:cs="宋体"/>
          <w:color w:val="000000" w:themeColor="text1"/>
          <w:sz w:val="24"/>
          <w:szCs w:val="24"/>
          <w:highlight w:val="none"/>
          <w14:textFill>
            <w14:solidFill>
              <w14:schemeClr w14:val="tx1"/>
            </w14:solidFill>
          </w14:textFill>
        </w:rPr>
        <w:t>。</w:t>
      </w:r>
    </w:p>
    <w:p w14:paraId="4130E64D">
      <w:pPr>
        <w:pStyle w:val="29"/>
        <w:spacing w:line="336" w:lineRule="auto"/>
        <w:ind w:firstLine="480" w:firstLineChars="200"/>
        <w:rPr>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本项目采购方式采用竞争性磋商方式。</w:t>
      </w:r>
    </w:p>
    <w:p w14:paraId="012B8798">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、定义</w:t>
      </w:r>
    </w:p>
    <w:p w14:paraId="08D4973C">
      <w:pPr>
        <w:spacing w:line="336" w:lineRule="auto"/>
        <w:ind w:firstLine="480" w:firstLineChars="200"/>
        <w:rPr>
          <w:rFonts w:ascii="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采购人”系指</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绍兴市上虞区水利局</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。采购人委托</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浙江建科工程项目管理有限公司</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为本项目采购代理机构。</w:t>
      </w:r>
    </w:p>
    <w:p w14:paraId="72A7710F">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“磋商供应商”系指响应本次采购，参加本次竞争性磋商的供应商。</w:t>
      </w:r>
    </w:p>
    <w:p w14:paraId="477C84C2">
      <w:pPr>
        <w:spacing w:line="336" w:lineRule="auto"/>
        <w:ind w:firstLine="480" w:firstLineChars="200"/>
        <w:rPr>
          <w:rFonts w:ascii="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2.3</w:t>
      </w:r>
      <w:r>
        <w:rPr>
          <w:rFonts w:hint="eastAsia" w:ascii="宋体" w:hAnsi="宋体" w:cs="宋体"/>
          <w:color w:val="000000" w:themeColor="text1"/>
          <w:sz w:val="24"/>
          <w:szCs w:val="24"/>
          <w:highlight w:val="none"/>
          <w:lang w:val="zh-CN"/>
          <w14:textFill>
            <w14:solidFill>
              <w14:schemeClr w14:val="tx1"/>
            </w14:solidFill>
          </w14:textFill>
        </w:rPr>
        <w:t>“服务”系指</w:t>
      </w:r>
      <w:r>
        <w:rPr>
          <w:rFonts w:hint="eastAsia" w:ascii="宋体" w:hAnsi="宋体" w:cs="宋体"/>
          <w:color w:val="000000" w:themeColor="text1"/>
          <w:sz w:val="24"/>
          <w:szCs w:val="24"/>
          <w:highlight w:val="none"/>
          <w14:textFill>
            <w14:solidFill>
              <w14:schemeClr w14:val="tx1"/>
            </w14:solidFill>
          </w14:textFill>
        </w:rPr>
        <w:t>磋商供应商按合同规定，须承担的服务的义务</w:t>
      </w:r>
      <w:r>
        <w:rPr>
          <w:rFonts w:hint="eastAsia" w:ascii="宋体" w:hAnsi="宋体" w:cs="宋体"/>
          <w:color w:val="000000" w:themeColor="text1"/>
          <w:sz w:val="24"/>
          <w:szCs w:val="24"/>
          <w:highlight w:val="none"/>
          <w:lang w:val="zh-CN"/>
          <w14:textFill>
            <w14:solidFill>
              <w14:schemeClr w14:val="tx1"/>
            </w14:solidFill>
          </w14:textFill>
        </w:rPr>
        <w:t>。</w:t>
      </w:r>
    </w:p>
    <w:p w14:paraId="1E9AAD5F">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、采购项目概况</w:t>
      </w:r>
      <w:r>
        <w:rPr>
          <w:rFonts w:ascii="宋体"/>
          <w:b/>
          <w:bCs/>
          <w:color w:val="000000" w:themeColor="text1"/>
          <w:sz w:val="24"/>
          <w:szCs w:val="24"/>
          <w:highlight w:val="none"/>
          <w14:textFill>
            <w14:solidFill>
              <w14:schemeClr w14:val="tx1"/>
            </w14:solidFill>
          </w14:textFill>
        </w:rPr>
        <w:tab/>
      </w:r>
      <w:r>
        <w:rPr>
          <w:rFonts w:ascii="宋体"/>
          <w:b/>
          <w:bCs/>
          <w:color w:val="000000" w:themeColor="text1"/>
          <w:sz w:val="24"/>
          <w:szCs w:val="24"/>
          <w:highlight w:val="none"/>
          <w14:textFill>
            <w14:solidFill>
              <w14:schemeClr w14:val="tx1"/>
            </w14:solidFill>
          </w14:textFill>
        </w:rPr>
        <w:tab/>
      </w:r>
    </w:p>
    <w:p w14:paraId="0445E456">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详见竞争性磋商公告相关内容，主要要求参见本文件第</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三</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部分。</w:t>
      </w:r>
    </w:p>
    <w:p w14:paraId="30D30F27">
      <w:pPr>
        <w:adjustRightIn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、合格的磋商供应商</w:t>
      </w:r>
    </w:p>
    <w:p w14:paraId="6594D7F2">
      <w:pPr>
        <w:spacing w:line="336" w:lineRule="auto"/>
        <w:ind w:firstLine="480" w:firstLineChars="200"/>
        <w:rPr>
          <w:rFonts w:ascii="宋体"/>
          <w:color w:val="000000" w:themeColor="text1"/>
          <w:sz w:val="24"/>
          <w:szCs w:val="24"/>
          <w:highlight w:val="none"/>
          <w14:textFill>
            <w14:solidFill>
              <w14:schemeClr w14:val="tx1"/>
            </w14:solidFill>
          </w14:textFill>
        </w:rPr>
      </w:pPr>
      <w:bookmarkStart w:id="15" w:name="_Toc208287611"/>
      <w:bookmarkStart w:id="16" w:name="_Toc197156227"/>
      <w:bookmarkStart w:id="17" w:name="_Toc209504018"/>
      <w:bookmarkStart w:id="18" w:name="_Toc197053926"/>
      <w:bookmarkStart w:id="19" w:name="_Toc204683265"/>
      <w:bookmarkStart w:id="20" w:name="_Toc209435242"/>
      <w:bookmarkStart w:id="21" w:name="_Toc193538208"/>
      <w:bookmarkStart w:id="22" w:name="_Toc193523219"/>
      <w:bookmarkStart w:id="23" w:name="_Toc208913145"/>
      <w:bookmarkStart w:id="24" w:name="_Toc207946571"/>
      <w:bookmarkStart w:id="25" w:name="_Toc209520993"/>
      <w:bookmarkStart w:id="26" w:name="_Toc211412066"/>
      <w:bookmarkStart w:id="27" w:name="_Toc197163261"/>
      <w:bookmarkStart w:id="28" w:name="_Toc197657950"/>
      <w:r>
        <w:rPr>
          <w:rFonts w:hint="eastAsia" w:ascii="宋体" w:hAnsi="宋体" w:cs="宋体"/>
          <w:color w:val="000000" w:themeColor="text1"/>
          <w:sz w:val="24"/>
          <w:szCs w:val="24"/>
          <w:highlight w:val="none"/>
          <w14:textFill>
            <w14:solidFill>
              <w14:schemeClr w14:val="tx1"/>
            </w14:solidFill>
          </w14:textFill>
        </w:rPr>
        <w:t>详见竞争性磋商采购公告磋商供应商的资格要求规定。</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8F2C917">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、磋商费用</w:t>
      </w:r>
    </w:p>
    <w:p w14:paraId="5F827784">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磋商供应商应承担其参加磋商所涉及的一切费用，不管结果如何，采购人对上述费用不负任何责任。</w:t>
      </w:r>
    </w:p>
    <w:p w14:paraId="1E3F3A3B">
      <w:pPr>
        <w:pStyle w:val="3"/>
        <w:numPr>
          <w:ilvl w:val="0"/>
          <w:numId w:val="7"/>
        </w:numPr>
        <w:spacing w:line="336" w:lineRule="auto"/>
        <w:jc w:val="center"/>
        <w:rPr>
          <w:rFonts w:cs="Times New Roman"/>
          <w:color w:val="000000" w:themeColor="text1"/>
          <w:highlight w:val="none"/>
          <w14:textFill>
            <w14:solidFill>
              <w14:schemeClr w14:val="tx1"/>
            </w14:solidFill>
          </w14:textFill>
        </w:rPr>
      </w:pPr>
      <w:bookmarkStart w:id="29" w:name="_Toc32689"/>
      <w:bookmarkStart w:id="30" w:name="_Toc25923"/>
      <w:bookmarkStart w:id="31" w:name="_Toc416992151"/>
      <w:r>
        <w:rPr>
          <w:color w:val="000000" w:themeColor="text1"/>
          <w:highlight w:val="none"/>
          <w14:textFill>
            <w14:solidFill>
              <w14:schemeClr w14:val="tx1"/>
            </w14:solidFill>
          </w14:textFill>
        </w:rPr>
        <w:t xml:space="preserve"> </w:t>
      </w:r>
      <w:bookmarkStart w:id="32" w:name="_Toc19346"/>
      <w:bookmarkStart w:id="33" w:name="_Toc11814"/>
      <w:r>
        <w:rPr>
          <w:rFonts w:hint="eastAsia"/>
          <w:color w:val="000000" w:themeColor="text1"/>
          <w:highlight w:val="none"/>
          <w14:textFill>
            <w14:solidFill>
              <w14:schemeClr w14:val="tx1"/>
            </w14:solidFill>
          </w14:textFill>
        </w:rPr>
        <w:t>竞争性磋商文件</w:t>
      </w:r>
      <w:bookmarkEnd w:id="29"/>
      <w:bookmarkEnd w:id="30"/>
      <w:bookmarkEnd w:id="31"/>
      <w:bookmarkEnd w:id="32"/>
      <w:bookmarkEnd w:id="33"/>
    </w:p>
    <w:p w14:paraId="3C2490F4">
      <w:pPr>
        <w:adjustRightIn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、磋商文件的组成</w:t>
      </w:r>
    </w:p>
    <w:p w14:paraId="4BDC7AF5">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6.1</w:t>
      </w:r>
      <w:r>
        <w:rPr>
          <w:rFonts w:hint="eastAsia" w:ascii="宋体" w:hAnsi="宋体" w:cs="宋体"/>
          <w:color w:val="000000" w:themeColor="text1"/>
          <w:sz w:val="24"/>
          <w:szCs w:val="24"/>
          <w:highlight w:val="none"/>
          <w14:textFill>
            <w14:solidFill>
              <w14:schemeClr w14:val="tx1"/>
            </w14:solidFill>
          </w14:textFill>
        </w:rPr>
        <w:t>本磋商文件包括目录所示内容及所有按本须知发出的补充资料（如果有）。</w:t>
      </w:r>
    </w:p>
    <w:p w14:paraId="7F580A41">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6.2</w:t>
      </w:r>
      <w:r>
        <w:rPr>
          <w:rFonts w:hint="eastAsia" w:ascii="宋体" w:hAnsi="宋体" w:cs="宋体"/>
          <w:color w:val="000000" w:themeColor="text1"/>
          <w:sz w:val="24"/>
          <w:szCs w:val="24"/>
          <w:highlight w:val="none"/>
          <w14:textFill>
            <w14:solidFill>
              <w14:schemeClr w14:val="tx1"/>
            </w14:solidFill>
          </w14:textFill>
        </w:rPr>
        <w:t>除上述所列内容外，采购人及采购代理机构的任何工作人员对磋商供应商所作的任何口头解释、介绍、答复，只能供磋商供应商参考，对采购人和磋商供应商无任何约束力。</w:t>
      </w:r>
    </w:p>
    <w:p w14:paraId="48C469A3">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6.3</w:t>
      </w:r>
      <w:r>
        <w:rPr>
          <w:rFonts w:hint="eastAsia" w:ascii="宋体" w:hAnsi="宋体" w:cs="宋体"/>
          <w:color w:val="000000" w:themeColor="text1"/>
          <w:sz w:val="24"/>
          <w:szCs w:val="24"/>
          <w:highlight w:val="none"/>
          <w14:textFill>
            <w14:solidFill>
              <w14:schemeClr w14:val="tx1"/>
            </w14:solidFill>
          </w14:textFill>
        </w:rPr>
        <w:t>磋商供应商应仔细阅读磋商文件的所有内容，按照文件要求提交响应文件，并保证所提交的全部资料的真实性。不按磋商文件的要求提供的响应文件和资料，可能导致磋商被拒绝。</w:t>
      </w:r>
    </w:p>
    <w:p w14:paraId="32584110">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6.4</w:t>
      </w:r>
      <w:r>
        <w:rPr>
          <w:rFonts w:hint="eastAsia" w:ascii="宋体" w:hAnsi="宋体" w:cs="宋体"/>
          <w:color w:val="000000" w:themeColor="text1"/>
          <w:sz w:val="24"/>
          <w:szCs w:val="24"/>
          <w:highlight w:val="none"/>
          <w14:textFill>
            <w14:solidFill>
              <w14:schemeClr w14:val="tx1"/>
            </w14:solidFill>
          </w14:textFill>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1A14CC06">
      <w:pPr>
        <w:adjustRightInd w:val="0"/>
        <w:spacing w:line="336" w:lineRule="auto"/>
        <w:ind w:firstLine="472" w:firstLineChars="196"/>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、磋商文件的澄清与修改</w:t>
      </w:r>
    </w:p>
    <w:p w14:paraId="6BD0932C">
      <w:pPr>
        <w:pStyle w:val="14"/>
        <w:spacing w:line="336" w:lineRule="auto"/>
        <w:ind w:firstLine="48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w:t>
      </w:r>
      <w:r>
        <w:rPr>
          <w:rFonts w:hint="eastAsia"/>
          <w:color w:val="000000" w:themeColor="text1"/>
          <w:highlight w:val="none"/>
          <w14:textFill>
            <w14:solidFill>
              <w14:schemeClr w14:val="tx1"/>
            </w14:solidFill>
          </w14:textFill>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1DB43548">
      <w:pPr>
        <w:pStyle w:val="14"/>
        <w:spacing w:line="336" w:lineRule="auto"/>
        <w:ind w:right="-252" w:rightChars="-120" w:firstLine="48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7.2</w:t>
      </w:r>
      <w:r>
        <w:rPr>
          <w:rFonts w:hint="eastAsia"/>
          <w:color w:val="000000" w:themeColor="text1"/>
          <w:highlight w:val="none"/>
          <w14:textFill>
            <w14:solidFill>
              <w14:schemeClr w14:val="tx1"/>
            </w14:solidFill>
          </w14:textFill>
        </w:rPr>
        <w:t>磋商供应商要求解释或澄清的问题应以书面形式，并加盖公章、写明日期。</w:t>
      </w:r>
    </w:p>
    <w:p w14:paraId="41F22921">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7.3</w:t>
      </w:r>
      <w:r>
        <w:rPr>
          <w:rFonts w:hint="eastAsia" w:ascii="宋体" w:hAnsi="宋体" w:cs="宋体"/>
          <w:color w:val="000000" w:themeColor="text1"/>
          <w:sz w:val="24"/>
          <w:szCs w:val="24"/>
          <w:highlight w:val="none"/>
          <w14:textFill>
            <w14:solidFill>
              <w14:schemeClr w14:val="tx1"/>
            </w14:solidFill>
          </w14:textFill>
        </w:rPr>
        <w:t>提交响应文件截止之日前，采购人、采购代理机构或者磋商小组可以对已发出的磋商文件进行必要的澄清或者修改，澄清或者修改的内容作为磋商文件的组成部分。</w:t>
      </w:r>
    </w:p>
    <w:p w14:paraId="6BA491CA">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7.4</w:t>
      </w:r>
      <w:r>
        <w:rPr>
          <w:rFonts w:hint="eastAsia" w:ascii="宋体" w:hAnsi="宋体" w:cs="宋体"/>
          <w:color w:val="000000" w:themeColor="text1"/>
          <w:sz w:val="24"/>
          <w:szCs w:val="24"/>
          <w:highlight w:val="none"/>
          <w14:textFill>
            <w14:solidFill>
              <w14:schemeClr w14:val="tx1"/>
            </w14:solidFill>
          </w14:textFill>
        </w:rPr>
        <w:t>竞争性磋商文件的澄清修改文件及更正补充公告，请自行登录浙江政府采购网或绍兴市上虞区公共资源交易中心网站，在采购公告页面中下载。</w:t>
      </w:r>
    </w:p>
    <w:p w14:paraId="467AE5A1">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7.5</w:t>
      </w:r>
      <w:r>
        <w:rPr>
          <w:rFonts w:hint="eastAsia" w:ascii="宋体" w:hAnsi="宋体" w:cs="宋体"/>
          <w:color w:val="000000" w:themeColor="text1"/>
          <w:sz w:val="24"/>
          <w:szCs w:val="24"/>
          <w:highlight w:val="none"/>
          <w14:textFill>
            <w14:solidFill>
              <w14:schemeClr w14:val="tx1"/>
            </w14:solidFill>
          </w14:textFill>
        </w:rPr>
        <w:t>澄清或者修改的内容可能影响响应文件编制的，采购人、采购代理机构将在提交响应文件截止时间至少</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日前，以公告形式通知所有获取磋商文件的供应商；不足</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日的，采购人、采购代理机构可能会顺延提交首次响应文件截止时间。澄清或者修改的内容未对原磋商文件作出重大修改或不会影响响应文件编制的，递交首次响应文件截止时间不变。</w:t>
      </w:r>
    </w:p>
    <w:p w14:paraId="46F3BE78">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7.6</w:t>
      </w:r>
      <w:r>
        <w:rPr>
          <w:rFonts w:hint="eastAsia" w:ascii="宋体" w:hAnsi="宋体" w:cs="宋体"/>
          <w:color w:val="000000" w:themeColor="text1"/>
          <w:sz w:val="24"/>
          <w:szCs w:val="24"/>
          <w:highlight w:val="none"/>
          <w14:textFill>
            <w14:solidFill>
              <w14:schemeClr w14:val="tx1"/>
            </w14:solidFill>
          </w14:textFill>
        </w:rPr>
        <w:t>竞争性磋商文件澄清、答复、修改、补充的内容为竞争性磋商文件的组成部分。</w:t>
      </w:r>
    </w:p>
    <w:p w14:paraId="778C81AA">
      <w:pPr>
        <w:pStyle w:val="6"/>
        <w:spacing w:line="336" w:lineRule="auto"/>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7.7</w:t>
      </w:r>
      <w:r>
        <w:rPr>
          <w:rFonts w:hint="eastAsia" w:ascii="宋体" w:hAnsi="宋体" w:cs="宋体"/>
          <w:color w:val="000000" w:themeColor="text1"/>
          <w:sz w:val="24"/>
          <w:szCs w:val="24"/>
          <w:highlight w:val="none"/>
          <w14:textFill>
            <w14:solidFill>
              <w14:schemeClr w14:val="tx1"/>
            </w14:solidFill>
          </w14:textFill>
        </w:rPr>
        <w:t>磋商文件发售截止日后，经采购人同意后购买磋商文件的磋商供应商不得对磋商文件和补充文件提出答疑或质疑。</w:t>
      </w:r>
    </w:p>
    <w:p w14:paraId="37BBCCC9">
      <w:pPr>
        <w:pStyle w:val="3"/>
        <w:numPr>
          <w:ilvl w:val="0"/>
          <w:numId w:val="7"/>
        </w:numPr>
        <w:spacing w:line="336" w:lineRule="auto"/>
        <w:jc w:val="center"/>
        <w:rPr>
          <w:rFonts w:cs="Times New Roman"/>
          <w:color w:val="000000" w:themeColor="text1"/>
          <w:highlight w:val="none"/>
          <w14:textFill>
            <w14:solidFill>
              <w14:schemeClr w14:val="tx1"/>
            </w14:solidFill>
          </w14:textFill>
        </w:rPr>
      </w:pPr>
      <w:bookmarkStart w:id="34" w:name="_Toc7126"/>
      <w:bookmarkStart w:id="35" w:name="_Toc391298957"/>
      <w:bookmarkStart w:id="36" w:name="_Toc6457"/>
      <w:bookmarkStart w:id="37" w:name="_Toc18702"/>
      <w:bookmarkStart w:id="38" w:name="_Toc11669"/>
      <w:bookmarkStart w:id="39" w:name="_Toc10810"/>
      <w:bookmarkStart w:id="40" w:name="_Toc14650"/>
      <w:bookmarkStart w:id="41" w:name="_Toc11692"/>
      <w:bookmarkStart w:id="42" w:name="_Toc6273"/>
      <w:bookmarkStart w:id="43" w:name="_Toc6079"/>
      <w:bookmarkStart w:id="44" w:name="_Toc1828"/>
      <w:bookmarkStart w:id="45" w:name="_Toc23975"/>
      <w:bookmarkStart w:id="46" w:name="_Toc31748"/>
      <w:bookmarkStart w:id="47" w:name="_Toc8860"/>
      <w:bookmarkStart w:id="48" w:name="_Toc1202"/>
      <w:bookmarkStart w:id="49" w:name="_Toc24622"/>
      <w:bookmarkStart w:id="50" w:name="_Toc10669"/>
      <w:bookmarkStart w:id="51" w:name="_Toc26027"/>
      <w:bookmarkStart w:id="52" w:name="_Toc11093"/>
      <w:bookmarkStart w:id="53" w:name="_Toc1729"/>
      <w:bookmarkStart w:id="54" w:name="_Toc23135"/>
      <w:bookmarkStart w:id="55" w:name="_Toc26603"/>
      <w:r>
        <w:rPr>
          <w:color w:val="000000" w:themeColor="text1"/>
          <w:highlight w:val="none"/>
          <w14:textFill>
            <w14:solidFill>
              <w14:schemeClr w14:val="tx1"/>
            </w14:solidFill>
          </w14:textFill>
        </w:rPr>
        <w:t xml:space="preserve"> </w:t>
      </w:r>
      <w:bookmarkStart w:id="56" w:name="_Toc13705"/>
      <w:bookmarkStart w:id="57" w:name="_Toc11515"/>
      <w:r>
        <w:rPr>
          <w:rFonts w:hint="eastAsia"/>
          <w:color w:val="000000" w:themeColor="text1"/>
          <w:highlight w:val="none"/>
          <w14:textFill>
            <w14:solidFill>
              <w14:schemeClr w14:val="tx1"/>
            </w14:solidFill>
          </w14:textFill>
        </w:rPr>
        <w:t>竞争性磋商响应文件的编写</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8B8ADB8">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、要求</w:t>
      </w:r>
    </w:p>
    <w:p w14:paraId="67CF1C54">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8.1</w:t>
      </w:r>
      <w:r>
        <w:rPr>
          <w:rFonts w:hint="eastAsia" w:ascii="宋体" w:hAnsi="宋体" w:cs="宋体"/>
          <w:color w:val="000000" w:themeColor="text1"/>
          <w:sz w:val="24"/>
          <w:szCs w:val="24"/>
          <w:highlight w:val="none"/>
          <w14:textFill>
            <w14:solidFill>
              <w14:schemeClr w14:val="tx1"/>
            </w14:solidFill>
          </w14:textFill>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1FB71984">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8.2</w:t>
      </w:r>
      <w:r>
        <w:rPr>
          <w:rFonts w:hint="eastAsia" w:ascii="宋体" w:hAnsi="宋体" w:cs="宋体"/>
          <w:color w:val="000000" w:themeColor="text1"/>
          <w:sz w:val="24"/>
          <w:szCs w:val="24"/>
          <w:highlight w:val="none"/>
          <w14:textFill>
            <w14:solidFill>
              <w14:schemeClr w14:val="tx1"/>
            </w14:solidFill>
          </w14:textFill>
        </w:rPr>
        <w:t>报价</w:t>
      </w:r>
    </w:p>
    <w:p w14:paraId="1DF7DA1A">
      <w:pPr>
        <w:spacing w:line="336" w:lineRule="auto"/>
        <w:ind w:firstLine="480" w:firstLineChars="200"/>
        <w:rPr>
          <w:rFonts w:ascii="宋体"/>
          <w:b/>
          <w:bCs/>
          <w:color w:val="000000" w:themeColor="text1"/>
          <w:sz w:val="24"/>
          <w:szCs w:val="24"/>
          <w:highlight w:val="none"/>
          <w:shd w:val="clear" w:color="FFFFFF" w:fill="D9D9D9"/>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8.2.1</w:t>
      </w:r>
      <w:r>
        <w:rPr>
          <w:rFonts w:hint="eastAsia" w:ascii="宋体" w:hAnsi="宋体" w:cs="宋体"/>
          <w:color w:val="000000" w:themeColor="text1"/>
          <w:sz w:val="24"/>
          <w:szCs w:val="24"/>
          <w:highlight w:val="none"/>
          <w14:textFill>
            <w14:solidFill>
              <w14:schemeClr w14:val="tx1"/>
            </w14:solidFill>
          </w14:textFill>
        </w:rPr>
        <w:t>本次报价非一次性报价，报价币种为人民币。在磋商后根据磋商情况（包括细化采购方案和要求，增补部分采购内容等），供应商须二次报价（最终报价），</w:t>
      </w:r>
      <w:r>
        <w:rPr>
          <w:rFonts w:hint="eastAsia" w:ascii="宋体" w:hAnsi="宋体" w:cs="宋体"/>
          <w:b/>
          <w:bCs/>
          <w:color w:val="000000" w:themeColor="text1"/>
          <w:sz w:val="24"/>
          <w:szCs w:val="24"/>
          <w:highlight w:val="none"/>
          <w14:textFill>
            <w14:solidFill>
              <w14:schemeClr w14:val="tx1"/>
            </w14:solidFill>
          </w14:textFill>
        </w:rPr>
        <w:t>如果供应商在规定时间</w:t>
      </w:r>
      <w:r>
        <w:rPr>
          <w:rFonts w:ascii="宋体" w:hAnsi="宋体" w:cs="宋体"/>
          <w:b/>
          <w:bCs/>
          <w:color w:val="000000" w:themeColor="text1"/>
          <w:sz w:val="24"/>
          <w:szCs w:val="24"/>
          <w:highlight w:val="none"/>
          <w14:textFill>
            <w14:solidFill>
              <w14:schemeClr w14:val="tx1"/>
            </w14:solidFill>
          </w14:textFill>
        </w:rPr>
        <w:t>30</w:t>
      </w:r>
      <w:r>
        <w:rPr>
          <w:rFonts w:hint="eastAsia" w:ascii="宋体" w:hAnsi="宋体" w:cs="宋体"/>
          <w:b/>
          <w:bCs/>
          <w:color w:val="000000" w:themeColor="text1"/>
          <w:sz w:val="24"/>
          <w:szCs w:val="24"/>
          <w:highlight w:val="none"/>
          <w14:textFill>
            <w14:solidFill>
              <w14:schemeClr w14:val="tx1"/>
            </w14:solidFill>
          </w14:textFill>
        </w:rPr>
        <w:t>分钟内未提交第二次报价，视该供应商放弃本次投标，作无效标处理</w:t>
      </w:r>
      <w:r>
        <w:rPr>
          <w:rFonts w:hint="eastAsia" w:ascii="宋体" w:hAnsi="宋体" w:cs="宋体"/>
          <w:color w:val="000000" w:themeColor="text1"/>
          <w:sz w:val="24"/>
          <w:szCs w:val="24"/>
          <w:highlight w:val="none"/>
          <w14:textFill>
            <w14:solidFill>
              <w14:schemeClr w14:val="tx1"/>
            </w14:solidFill>
          </w14:textFill>
        </w:rPr>
        <w:t>。</w:t>
      </w:r>
    </w:p>
    <w:p w14:paraId="4718B8D1">
      <w:pPr>
        <w:pStyle w:val="58"/>
        <w:tabs>
          <w:tab w:val="left" w:pos="0"/>
        </w:tabs>
        <w:spacing w:line="336" w:lineRule="auto"/>
        <w:ind w:firstLine="480"/>
        <w:rPr>
          <w:rFonts w:ascii="宋体"/>
          <w:color w:val="000000" w:themeColor="text1"/>
          <w:highlight w:val="none"/>
          <w:u w:val="single"/>
          <w14:textFill>
            <w14:solidFill>
              <w14:schemeClr w14:val="tx1"/>
            </w14:solidFill>
          </w14:textFill>
        </w:rPr>
      </w:pPr>
      <w:r>
        <w:rPr>
          <w:rFonts w:ascii="宋体" w:hAnsi="宋体" w:cs="宋体"/>
          <w:color w:val="000000" w:themeColor="text1"/>
          <w:highlight w:val="none"/>
          <w:u w:val="none"/>
          <w14:textFill>
            <w14:solidFill>
              <w14:schemeClr w14:val="tx1"/>
            </w14:solidFill>
          </w14:textFill>
        </w:rPr>
        <w:t>8.2.2</w:t>
      </w:r>
      <w:r>
        <w:rPr>
          <w:rFonts w:hint="eastAsia" w:ascii="宋体" w:hAnsi="宋体" w:cs="宋体"/>
          <w:color w:val="000000" w:themeColor="text1"/>
          <w:highlight w:val="none"/>
          <w:u w:val="single"/>
          <w14:textFill>
            <w14:solidFill>
              <w14:schemeClr w14:val="tx1"/>
            </w14:solidFill>
          </w14:textFill>
        </w:rPr>
        <w:t>投标报价应包含项目所需全部服务和货物，不得缺漏，是履行合同的最终价格（人员的工资福利、员工五险费（养老保险、医疗保险、失业保险、工伤保险、生育保险）、搜集资料费、评估费、指导费、标志标牌制造及安装费、办公用品、耗材、管理费、招标代理费、税费等一切费用）</w:t>
      </w:r>
      <w:r>
        <w:rPr>
          <w:rFonts w:hint="eastAsia" w:ascii="宋体" w:hAnsi="宋体" w:cs="宋体"/>
          <w:color w:val="0000FF"/>
          <w:highlight w:val="none"/>
          <w:u w:val="single"/>
        </w:rPr>
        <w:t>。</w:t>
      </w:r>
      <w:r>
        <w:rPr>
          <w:rFonts w:hint="eastAsia" w:cs="宋体"/>
          <w:color w:val="auto"/>
          <w:highlight w:val="none"/>
        </w:rPr>
        <w:t>投标报价为供应商所能承受的最低、最终报价，供应商不得再要求追加任</w:t>
      </w:r>
      <w:r>
        <w:rPr>
          <w:rFonts w:hint="eastAsia" w:cs="宋体"/>
          <w:color w:val="000000" w:themeColor="text1"/>
          <w:highlight w:val="none"/>
          <w14:textFill>
            <w14:solidFill>
              <w14:schemeClr w14:val="tx1"/>
            </w14:solidFill>
          </w14:textFill>
        </w:rPr>
        <w:t>何费用。</w:t>
      </w:r>
    </w:p>
    <w:p w14:paraId="53F0D087">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投标报价固定是指供应商所填写的投标报价在合同实施期间不因市场因素而变动，供应商在计算报价时可考虑一定的风险系数（由供应商自行考虑）。</w:t>
      </w:r>
    </w:p>
    <w:p w14:paraId="344BE0E4">
      <w:pPr>
        <w:spacing w:line="336" w:lineRule="auto"/>
        <w:ind w:firstLine="480" w:firstLineChars="200"/>
        <w:rPr>
          <w:rFonts w:ascii="宋体"/>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8.2.3</w:t>
      </w:r>
      <w:r>
        <w:rPr>
          <w:rFonts w:hint="eastAsia" w:ascii="宋体" w:hAnsi="宋体" w:cs="宋体"/>
          <w:color w:val="000000" w:themeColor="text1"/>
          <w:sz w:val="24"/>
          <w:szCs w:val="24"/>
          <w:highlight w:val="none"/>
          <w14:textFill>
            <w14:solidFill>
              <w14:schemeClr w14:val="tx1"/>
            </w14:solidFill>
          </w14:textFill>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7CBE3F2E">
      <w:pPr>
        <w:pStyle w:val="17"/>
        <w:spacing w:line="336" w:lineRule="auto"/>
        <w:ind w:firstLine="482" w:firstLineChars="200"/>
        <w:rPr>
          <w:rFonts w:hAnsi="宋体" w:cs="Times New Roman"/>
          <w:b/>
          <w:bCs/>
          <w:color w:val="000000" w:themeColor="text1"/>
          <w:sz w:val="24"/>
          <w:szCs w:val="24"/>
          <w:highlight w:val="none"/>
          <w:u w:val="singl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9</w:t>
      </w:r>
      <w:r>
        <w:rPr>
          <w:rFonts w:hint="eastAsia" w:hAnsi="宋体"/>
          <w:b/>
          <w:bCs/>
          <w:color w:val="000000" w:themeColor="text1"/>
          <w:sz w:val="24"/>
          <w:szCs w:val="24"/>
          <w:highlight w:val="none"/>
          <w14:textFill>
            <w14:solidFill>
              <w14:schemeClr w14:val="tx1"/>
            </w14:solidFill>
          </w14:textFill>
        </w:rPr>
        <w:t>、响应文件的组成</w:t>
      </w:r>
      <w:r>
        <w:rPr>
          <w:rFonts w:hint="eastAsia" w:hAnsi="宋体"/>
          <w:b/>
          <w:bCs/>
          <w:color w:val="000000" w:themeColor="text1"/>
          <w:sz w:val="24"/>
          <w:szCs w:val="24"/>
          <w:highlight w:val="none"/>
          <w:u w:val="single"/>
          <w14:textFill>
            <w14:solidFill>
              <w14:schemeClr w14:val="tx1"/>
            </w14:solidFill>
          </w14:textFill>
        </w:rPr>
        <w:t>（供应商应根据采购文件的要求提供相应的内容且设置关联定位，供应商可查看《供应商</w:t>
      </w:r>
      <w:r>
        <w:rPr>
          <w:rFonts w:hAnsi="宋体"/>
          <w:b/>
          <w:bCs/>
          <w:color w:val="000000" w:themeColor="text1"/>
          <w:sz w:val="24"/>
          <w:szCs w:val="24"/>
          <w:highlight w:val="none"/>
          <w:u w:val="single"/>
          <w14:textFill>
            <w14:solidFill>
              <w14:schemeClr w14:val="tx1"/>
            </w14:solidFill>
          </w14:textFill>
        </w:rPr>
        <w:t>-</w:t>
      </w:r>
      <w:r>
        <w:rPr>
          <w:rFonts w:hint="eastAsia" w:hAnsi="宋体"/>
          <w:b/>
          <w:bCs/>
          <w:color w:val="000000" w:themeColor="text1"/>
          <w:sz w:val="24"/>
          <w:szCs w:val="24"/>
          <w:highlight w:val="none"/>
          <w:u w:val="single"/>
          <w14:textFill>
            <w14:solidFill>
              <w14:schemeClr w14:val="tx1"/>
            </w14:solidFill>
          </w14:textFill>
        </w:rPr>
        <w:t>政府采购项目电子交易操作指南》进行操作：</w:t>
      </w:r>
      <w:r>
        <w:rPr>
          <w:rFonts w:hAnsi="宋体"/>
          <w:b/>
          <w:bCs/>
          <w:color w:val="000000" w:themeColor="text1"/>
          <w:sz w:val="24"/>
          <w:szCs w:val="24"/>
          <w:highlight w:val="none"/>
          <w:u w:val="single"/>
          <w14:textFill>
            <w14:solidFill>
              <w14:schemeClr w14:val="tx1"/>
            </w14:solidFill>
          </w14:textFill>
        </w:rPr>
        <w:t>https://help.zcygov.cn/web/site_2/2018/12-28/2573.html</w:t>
      </w:r>
      <w:r>
        <w:rPr>
          <w:rFonts w:hint="eastAsia" w:hAnsi="宋体"/>
          <w:b/>
          <w:bCs/>
          <w:color w:val="000000" w:themeColor="text1"/>
          <w:sz w:val="24"/>
          <w:szCs w:val="24"/>
          <w:highlight w:val="none"/>
          <w:u w:val="single"/>
          <w14:textFill>
            <w14:solidFill>
              <w14:schemeClr w14:val="tx1"/>
            </w14:solidFill>
          </w14:textFill>
        </w:rPr>
        <w:t>）</w:t>
      </w:r>
    </w:p>
    <w:p w14:paraId="63F81183">
      <w:pPr>
        <w:pStyle w:val="58"/>
        <w:tabs>
          <w:tab w:val="left" w:pos="0"/>
        </w:tabs>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响应文件应当包括以下主要内容：资格文件、商务技术文件、报价文件。</w:t>
      </w:r>
    </w:p>
    <w:p w14:paraId="324CC9FD">
      <w:pPr>
        <w:pStyle w:val="58"/>
        <w:numPr>
          <w:ilvl w:val="0"/>
          <w:numId w:val="8"/>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资格文件包括以下内容：</w:t>
      </w:r>
    </w:p>
    <w:p w14:paraId="0B7CF2F5">
      <w:pPr>
        <w:pStyle w:val="58"/>
        <w:numPr>
          <w:ilvl w:val="0"/>
          <w:numId w:val="9"/>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75A00413">
      <w:pPr>
        <w:pStyle w:val="58"/>
        <w:numPr>
          <w:ilvl w:val="0"/>
          <w:numId w:val="9"/>
        </w:numPr>
        <w:spacing w:before="0" w:line="336" w:lineRule="auto"/>
        <w:ind w:left="420" w:leftChars="0"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营业执照</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或事业法人登记证或其他工商等登记证明材料</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复印件、税务登记证</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或其它缴纳证明材料</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复印件、社保登记证（</w:t>
      </w:r>
      <w:r>
        <w:rPr>
          <w:rFonts w:hint="eastAsia" w:ascii="宋体" w:hAnsi="宋体" w:cs="宋体"/>
          <w:color w:val="000000" w:themeColor="text1"/>
          <w:highlight w:val="none"/>
          <w:lang w:eastAsia="zh-CN"/>
          <w14:textFill>
            <w14:solidFill>
              <w14:schemeClr w14:val="tx1"/>
            </w14:solidFill>
          </w14:textFill>
        </w:rPr>
        <w:t>或其他</w:t>
      </w:r>
      <w:r>
        <w:rPr>
          <w:rFonts w:hint="eastAsia" w:ascii="宋体" w:hAnsi="宋体" w:cs="宋体"/>
          <w:color w:val="000000" w:themeColor="text1"/>
          <w:highlight w:val="none"/>
          <w14:textFill>
            <w14:solidFill>
              <w14:schemeClr w14:val="tx1"/>
            </w14:solidFill>
          </w14:textFill>
        </w:rPr>
        <w:t>缴纳证明材料）复印件；实施“五证合一、一照一码”登记制度改革的，只需提供改革后取得的营业执照复印件；事业单位的，则提供有效的《事业单位法人证书》副本复印件并加盖单位公章；</w:t>
      </w:r>
    </w:p>
    <w:p w14:paraId="16BC27D2">
      <w:pPr>
        <w:pStyle w:val="58"/>
        <w:spacing w:before="0" w:line="336" w:lineRule="auto"/>
        <w:ind w:firstLine="897" w:firstLineChars="374"/>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A206ABB">
      <w:pPr>
        <w:pStyle w:val="58"/>
        <w:numPr>
          <w:ilvl w:val="0"/>
          <w:numId w:val="9"/>
        </w:numPr>
        <w:spacing w:before="0" w:line="336" w:lineRule="auto"/>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具有履行合同所必需的产品和专业技术能力的承诺函；</w:t>
      </w:r>
    </w:p>
    <w:p w14:paraId="416D59F4">
      <w:pPr>
        <w:pStyle w:val="58"/>
        <w:numPr>
          <w:ilvl w:val="0"/>
          <w:numId w:val="9"/>
        </w:numPr>
        <w:spacing w:before="0" w:line="336" w:lineRule="auto"/>
        <w:ind w:firstLine="48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投标人承诺函（格式见附件）</w:t>
      </w:r>
      <w:r>
        <w:rPr>
          <w:rFonts w:hint="eastAsia" w:ascii="宋体" w:hAnsi="宋体" w:cs="宋体"/>
          <w:color w:val="000000" w:themeColor="text1"/>
          <w:highlight w:val="none"/>
          <w:lang w:eastAsia="zh-CN"/>
          <w14:textFill>
            <w14:solidFill>
              <w14:schemeClr w14:val="tx1"/>
            </w14:solidFill>
          </w14:textFill>
        </w:rPr>
        <w:t>；</w:t>
      </w:r>
    </w:p>
    <w:p w14:paraId="2660BD8D">
      <w:pPr>
        <w:pStyle w:val="58"/>
        <w:numPr>
          <w:ilvl w:val="0"/>
          <w:numId w:val="9"/>
        </w:numPr>
        <w:spacing w:before="0" w:line="336" w:lineRule="auto"/>
        <w:ind w:firstLine="48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中小企业声明函（格式见附件）；</w:t>
      </w:r>
    </w:p>
    <w:p w14:paraId="54596A45">
      <w:pPr>
        <w:pStyle w:val="58"/>
        <w:numPr>
          <w:ilvl w:val="0"/>
          <w:numId w:val="9"/>
        </w:numPr>
        <w:spacing w:before="0" w:line="336" w:lineRule="auto"/>
        <w:ind w:firstLine="48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残疾人福利性单位声明函（如有）（格式见附件）；</w:t>
      </w:r>
    </w:p>
    <w:p w14:paraId="1A0D7AE1">
      <w:pPr>
        <w:pStyle w:val="58"/>
        <w:numPr>
          <w:ilvl w:val="0"/>
          <w:numId w:val="9"/>
        </w:numPr>
        <w:spacing w:before="0" w:line="336" w:lineRule="auto"/>
        <w:ind w:firstLine="48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监狱企业证明文件（如有）（格式见附件）。</w:t>
      </w:r>
    </w:p>
    <w:p w14:paraId="499FFA28">
      <w:pPr>
        <w:pStyle w:val="58"/>
        <w:numPr>
          <w:ilvl w:val="0"/>
          <w:numId w:val="8"/>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商务技术文件，本次磋商需要供应商提供以下项所列的技术文件：</w:t>
      </w:r>
    </w:p>
    <w:p w14:paraId="5CE41A28">
      <w:pPr>
        <w:pStyle w:val="58"/>
        <w:numPr>
          <w:ilvl w:val="0"/>
          <w:numId w:val="10"/>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评分对应表（格式见附件</w:t>
      </w:r>
      <w:r>
        <w:rPr>
          <w:rFonts w:hint="eastAsia" w:ascii="宋体" w:hAnsi="宋体" w:cs="宋体"/>
          <w:color w:val="000000" w:themeColor="text1"/>
          <w:highlight w:val="none"/>
          <w:lang w:eastAsia="zh-CN"/>
          <w14:textFill>
            <w14:solidFill>
              <w14:schemeClr w14:val="tx1"/>
            </w14:solidFill>
          </w14:textFill>
        </w:rPr>
        <w:t>，主要用于评委对应评分内容</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w:t>
      </w:r>
    </w:p>
    <w:p w14:paraId="6B33B3AE">
      <w:pPr>
        <w:pStyle w:val="58"/>
        <w:numPr>
          <w:ilvl w:val="0"/>
          <w:numId w:val="10"/>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供应商商务技术文件中资信分自评表（格式见附件）；</w:t>
      </w:r>
    </w:p>
    <w:p w14:paraId="1DC04EB6">
      <w:pPr>
        <w:pStyle w:val="58"/>
        <w:numPr>
          <w:ilvl w:val="0"/>
          <w:numId w:val="10"/>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磋商项目明细清单（格式见附件）；</w:t>
      </w:r>
    </w:p>
    <w:p w14:paraId="458586DD">
      <w:pPr>
        <w:pStyle w:val="58"/>
        <w:numPr>
          <w:ilvl w:val="0"/>
          <w:numId w:val="10"/>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技术响应及建议表（格式见附件）；</w:t>
      </w:r>
    </w:p>
    <w:p w14:paraId="4708B98F">
      <w:pPr>
        <w:pStyle w:val="58"/>
        <w:numPr>
          <w:ilvl w:val="0"/>
          <w:numId w:val="10"/>
        </w:numPr>
        <w:spacing w:before="0" w:line="336"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商务响应表（格式见附件）；</w:t>
      </w:r>
    </w:p>
    <w:p w14:paraId="57CDA134">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项目理解；</w:t>
      </w:r>
    </w:p>
    <w:p w14:paraId="28EB4468">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项目实施方案</w:t>
      </w:r>
      <w:r>
        <w:rPr>
          <w:rFonts w:hint="eastAsia" w:ascii="宋体" w:hAnsi="宋体" w:cs="宋体"/>
          <w:color w:val="auto"/>
          <w:highlight w:val="none"/>
          <w:lang w:val="en-US" w:eastAsia="zh-CN"/>
        </w:rPr>
        <w:t>；</w:t>
      </w:r>
    </w:p>
    <w:p w14:paraId="7757CF4A">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质量保证措施</w:t>
      </w:r>
      <w:r>
        <w:rPr>
          <w:rFonts w:hint="eastAsia" w:ascii="宋体" w:hAnsi="宋体" w:cs="宋体"/>
          <w:color w:val="auto"/>
          <w:highlight w:val="none"/>
          <w:lang w:val="en-US" w:eastAsia="zh-CN"/>
        </w:rPr>
        <w:t>；</w:t>
      </w:r>
    </w:p>
    <w:p w14:paraId="2F655E60">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服务保障能力</w:t>
      </w:r>
      <w:r>
        <w:rPr>
          <w:rFonts w:hint="eastAsia" w:ascii="宋体" w:hAnsi="宋体" w:cs="宋体"/>
          <w:color w:val="auto"/>
          <w:highlight w:val="none"/>
          <w:lang w:val="en-US" w:eastAsia="zh-CN"/>
        </w:rPr>
        <w:t>；</w:t>
      </w:r>
    </w:p>
    <w:p w14:paraId="0B9B689A">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数据资料安全保密制度措施及管理制度</w:t>
      </w:r>
      <w:r>
        <w:rPr>
          <w:rFonts w:hint="eastAsia" w:ascii="宋体" w:hAnsi="宋体" w:cs="宋体"/>
          <w:color w:val="auto"/>
          <w:highlight w:val="none"/>
          <w:lang w:val="en-US" w:eastAsia="zh-CN"/>
        </w:rPr>
        <w:t>；</w:t>
      </w:r>
    </w:p>
    <w:p w14:paraId="6DF4FE19">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合理化建议</w:t>
      </w:r>
      <w:r>
        <w:rPr>
          <w:rFonts w:hint="eastAsia" w:ascii="宋体" w:hAnsi="宋体" w:cs="宋体"/>
          <w:color w:val="auto"/>
          <w:highlight w:val="none"/>
          <w:lang w:val="en-US" w:eastAsia="zh-CN"/>
        </w:rPr>
        <w:t>；</w:t>
      </w:r>
    </w:p>
    <w:p w14:paraId="19BAE129">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设备设施配备情况</w:t>
      </w:r>
      <w:r>
        <w:rPr>
          <w:rFonts w:hint="eastAsia" w:ascii="宋体" w:hAnsi="宋体" w:cs="宋体"/>
          <w:color w:val="auto"/>
          <w:highlight w:val="none"/>
          <w:lang w:val="en-US" w:eastAsia="zh-CN"/>
        </w:rPr>
        <w:t>；</w:t>
      </w:r>
    </w:p>
    <w:p w14:paraId="10FF7688">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应急预案</w:t>
      </w:r>
      <w:r>
        <w:rPr>
          <w:rFonts w:hint="eastAsia" w:ascii="宋体" w:hAnsi="宋体" w:cs="宋体"/>
          <w:color w:val="auto"/>
          <w:highlight w:val="none"/>
          <w:lang w:val="en-US" w:eastAsia="zh-CN"/>
        </w:rPr>
        <w:t>；</w:t>
      </w:r>
    </w:p>
    <w:p w14:paraId="3D6E882A">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重难点分析</w:t>
      </w:r>
      <w:r>
        <w:rPr>
          <w:rFonts w:hint="eastAsia" w:ascii="宋体" w:hAnsi="宋体" w:cs="宋体"/>
          <w:color w:val="auto"/>
          <w:highlight w:val="none"/>
          <w:lang w:val="en-US" w:eastAsia="zh-CN"/>
        </w:rPr>
        <w:t>；</w:t>
      </w:r>
    </w:p>
    <w:p w14:paraId="72A3CBC4">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售后服务</w:t>
      </w:r>
      <w:r>
        <w:rPr>
          <w:rFonts w:hint="eastAsia" w:ascii="宋体" w:hAnsi="宋体" w:cs="宋体"/>
          <w:color w:val="auto"/>
          <w:highlight w:val="none"/>
          <w:lang w:val="en-US" w:eastAsia="zh-CN"/>
        </w:rPr>
        <w:t>；</w:t>
      </w:r>
    </w:p>
    <w:p w14:paraId="24197CAB">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认证情况</w:t>
      </w:r>
      <w:r>
        <w:rPr>
          <w:rFonts w:hint="eastAsia" w:ascii="宋体" w:hAnsi="宋体" w:cs="宋体"/>
          <w:color w:val="auto"/>
          <w:highlight w:val="none"/>
          <w:lang w:val="en-US" w:eastAsia="zh-CN"/>
        </w:rPr>
        <w:t>；</w:t>
      </w:r>
    </w:p>
    <w:p w14:paraId="5A537964">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项目负责人</w:t>
      </w:r>
      <w:r>
        <w:rPr>
          <w:rFonts w:hint="eastAsia" w:ascii="宋体" w:hAnsi="宋体" w:cs="宋体"/>
          <w:color w:val="auto"/>
          <w:highlight w:val="none"/>
          <w:lang w:val="en-US" w:eastAsia="zh-CN"/>
        </w:rPr>
        <w:t>；</w:t>
      </w:r>
    </w:p>
    <w:p w14:paraId="076A8408">
      <w:pPr>
        <w:pStyle w:val="58"/>
        <w:numPr>
          <w:ilvl w:val="0"/>
          <w:numId w:val="10"/>
        </w:numPr>
        <w:spacing w:before="0" w:line="336" w:lineRule="auto"/>
        <w:ind w:firstLine="480"/>
        <w:rPr>
          <w:rFonts w:ascii="宋体" w:hAnsi="宋体" w:cs="宋体"/>
          <w:color w:val="auto"/>
          <w:highlight w:val="none"/>
        </w:rPr>
      </w:pPr>
      <w:r>
        <w:rPr>
          <w:rFonts w:hint="eastAsia" w:ascii="宋体" w:hAnsi="宋体" w:eastAsia="宋体" w:cs="Times New Roman"/>
          <w:color w:val="000000" w:themeColor="text1"/>
          <w:sz w:val="24"/>
          <w:szCs w:val="21"/>
          <w:highlight w:val="none"/>
          <w14:textFill>
            <w14:solidFill>
              <w14:schemeClr w14:val="tx1"/>
            </w14:solidFill>
          </w14:textFill>
        </w:rPr>
        <w:t>项目组成员</w:t>
      </w:r>
      <w:r>
        <w:rPr>
          <w:rFonts w:hint="eastAsia" w:ascii="宋体" w:hAnsi="宋体" w:cs="宋体"/>
          <w:color w:val="auto"/>
          <w:highlight w:val="none"/>
          <w:lang w:val="en-US" w:eastAsia="zh-CN"/>
        </w:rPr>
        <w:t>；</w:t>
      </w:r>
    </w:p>
    <w:p w14:paraId="75D88CC8">
      <w:pPr>
        <w:pStyle w:val="58"/>
        <w:numPr>
          <w:ilvl w:val="0"/>
          <w:numId w:val="10"/>
        </w:numPr>
        <w:spacing w:before="0" w:line="336"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供应商认为需要的其他文件资料。</w:t>
      </w:r>
      <w:r>
        <w:rPr>
          <w:rFonts w:ascii="宋体" w:hAnsi="宋体" w:cs="宋体"/>
          <w:color w:val="000000" w:themeColor="text1"/>
          <w:highlight w:val="none"/>
          <w14:textFill>
            <w14:solidFill>
              <w14:schemeClr w14:val="tx1"/>
            </w14:solidFill>
          </w14:textFill>
        </w:rPr>
        <w:t xml:space="preserve"> </w:t>
      </w:r>
    </w:p>
    <w:p w14:paraId="762A29F7">
      <w:pPr>
        <w:pStyle w:val="58"/>
        <w:tabs>
          <w:tab w:val="left" w:pos="0"/>
        </w:tabs>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注：以上内容应与评标办法中内容具有一致性。</w:t>
      </w:r>
    </w:p>
    <w:p w14:paraId="072E38C1">
      <w:pPr>
        <w:pStyle w:val="58"/>
        <w:tabs>
          <w:tab w:val="left" w:pos="0"/>
        </w:tabs>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1016B6E3">
      <w:pPr>
        <w:pStyle w:val="58"/>
        <w:tabs>
          <w:tab w:val="left" w:pos="0"/>
        </w:tabs>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000000" w:themeColor="text1"/>
          <w:highlight w:val="none"/>
          <w14:textFill>
            <w14:solidFill>
              <w14:schemeClr w14:val="tx1"/>
            </w14:solidFill>
          </w14:textFill>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3577DCC6">
      <w:pPr>
        <w:pStyle w:val="58"/>
        <w:numPr>
          <w:ilvl w:val="0"/>
          <w:numId w:val="8"/>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报价文件包括以下内容：</w:t>
      </w:r>
    </w:p>
    <w:p w14:paraId="4D534327">
      <w:pPr>
        <w:pStyle w:val="58"/>
        <w:numPr>
          <w:ilvl w:val="0"/>
          <w:numId w:val="11"/>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磋商函（格式见附件）；</w:t>
      </w:r>
    </w:p>
    <w:p w14:paraId="5038F31F">
      <w:pPr>
        <w:pStyle w:val="58"/>
        <w:numPr>
          <w:ilvl w:val="0"/>
          <w:numId w:val="11"/>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报价一览表（格式见附件）；</w:t>
      </w:r>
    </w:p>
    <w:p w14:paraId="245A1DFF">
      <w:pPr>
        <w:pStyle w:val="58"/>
        <w:numPr>
          <w:ilvl w:val="0"/>
          <w:numId w:val="11"/>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磋商报价明细表（格式见附件）。</w:t>
      </w:r>
    </w:p>
    <w:p w14:paraId="474A34DE">
      <w:pPr>
        <w:pStyle w:val="58"/>
        <w:spacing w:before="0" w:line="336" w:lineRule="auto"/>
        <w:ind w:firstLine="241" w:firstLineChars="100"/>
        <w:rPr>
          <w:rFonts w:ascii="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注：“资格文件</w:t>
      </w:r>
      <w:r>
        <w:rPr>
          <w:rFonts w:hint="eastAsia" w:ascii="宋体" w:hAnsi="宋体" w:cs="宋体"/>
          <w:b/>
          <w:bCs/>
          <w:color w:val="000000" w:themeColor="text1"/>
          <w:highlight w:val="none"/>
          <w:u w:val="single"/>
          <w:lang w:eastAsia="zh-CN"/>
          <w14:textFill>
            <w14:solidFill>
              <w14:schemeClr w14:val="tx1"/>
            </w14:solidFill>
          </w14:textFill>
        </w:rPr>
        <w:t>”“</w:t>
      </w:r>
      <w:r>
        <w:rPr>
          <w:rFonts w:hint="eastAsia" w:ascii="宋体" w:hAnsi="宋体" w:cs="宋体"/>
          <w:b/>
          <w:bCs/>
          <w:color w:val="000000" w:themeColor="text1"/>
          <w:highlight w:val="none"/>
          <w:u w:val="single"/>
          <w14:textFill>
            <w14:solidFill>
              <w14:schemeClr w14:val="tx1"/>
            </w14:solidFill>
          </w14:textFill>
        </w:rPr>
        <w:t>商务技术文件</w:t>
      </w:r>
      <w:r>
        <w:rPr>
          <w:rFonts w:hint="eastAsia" w:ascii="宋体" w:hAnsi="宋体" w:cs="宋体"/>
          <w:b/>
          <w:bCs/>
          <w:color w:val="000000" w:themeColor="text1"/>
          <w:highlight w:val="none"/>
          <w:u w:val="single"/>
          <w:lang w:eastAsia="zh-CN"/>
          <w14:textFill>
            <w14:solidFill>
              <w14:schemeClr w14:val="tx1"/>
            </w14:solidFill>
          </w14:textFill>
        </w:rPr>
        <w:t>”“</w:t>
      </w:r>
      <w:r>
        <w:rPr>
          <w:rFonts w:hint="eastAsia" w:ascii="宋体" w:hAnsi="宋体" w:cs="宋体"/>
          <w:b/>
          <w:bCs/>
          <w:color w:val="000000" w:themeColor="text1"/>
          <w:highlight w:val="none"/>
          <w:u w:val="single"/>
          <w14:textFill>
            <w14:solidFill>
              <w14:schemeClr w14:val="tx1"/>
            </w14:solidFill>
          </w14:textFill>
        </w:rPr>
        <w:t>报价文件”须分</w:t>
      </w:r>
      <w:r>
        <w:rPr>
          <w:rFonts w:ascii="宋体" w:hAnsi="宋体" w:cs="宋体"/>
          <w:b/>
          <w:bCs/>
          <w:color w:val="000000" w:themeColor="text1"/>
          <w:highlight w:val="none"/>
          <w:u w:val="single"/>
          <w14:textFill>
            <w14:solidFill>
              <w14:schemeClr w14:val="tx1"/>
            </w14:solidFill>
          </w14:textFill>
        </w:rPr>
        <w:t>3</w:t>
      </w:r>
      <w:r>
        <w:rPr>
          <w:rFonts w:hint="eastAsia" w:ascii="宋体" w:hAnsi="宋体" w:cs="宋体"/>
          <w:b/>
          <w:bCs/>
          <w:color w:val="000000" w:themeColor="text1"/>
          <w:highlight w:val="none"/>
          <w:u w:val="single"/>
          <w14:textFill>
            <w14:solidFill>
              <w14:schemeClr w14:val="tx1"/>
            </w14:solidFill>
          </w14:textFill>
        </w:rPr>
        <w:t>个</w:t>
      </w:r>
      <w:r>
        <w:rPr>
          <w:rFonts w:ascii="宋体" w:hAnsi="宋体" w:cs="宋体"/>
          <w:b/>
          <w:bCs/>
          <w:color w:val="000000" w:themeColor="text1"/>
          <w:highlight w:val="none"/>
          <w:u w:val="single"/>
          <w14:textFill>
            <w14:solidFill>
              <w14:schemeClr w14:val="tx1"/>
            </w14:solidFill>
          </w14:textFill>
        </w:rPr>
        <w:t>PDF</w:t>
      </w:r>
      <w:r>
        <w:rPr>
          <w:rFonts w:hint="eastAsia" w:ascii="宋体" w:hAnsi="宋体" w:cs="宋体"/>
          <w:b/>
          <w:bCs/>
          <w:color w:val="000000" w:themeColor="text1"/>
          <w:highlight w:val="none"/>
          <w:u w:val="single"/>
          <w14:textFill>
            <w14:solidFill>
              <w14:schemeClr w14:val="tx1"/>
            </w14:solidFill>
          </w14:textFill>
        </w:rPr>
        <w:t>格式分别导入。</w:t>
      </w:r>
    </w:p>
    <w:p w14:paraId="3FD143CA">
      <w:pPr>
        <w:pStyle w:val="58"/>
        <w:spacing w:before="0" w:line="336" w:lineRule="auto"/>
        <w:ind w:left="420" w:leftChars="200" w:firstLine="0" w:firstLineChars="0"/>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10</w:t>
      </w:r>
      <w:r>
        <w:rPr>
          <w:rFonts w:hint="eastAsia" w:ascii="宋体" w:hAnsi="宋体" w:cs="宋体"/>
          <w:b/>
          <w:bCs/>
          <w:color w:val="000000" w:themeColor="text1"/>
          <w:highlight w:val="none"/>
          <w14:textFill>
            <w14:solidFill>
              <w14:schemeClr w14:val="tx1"/>
            </w14:solidFill>
          </w14:textFill>
        </w:rPr>
        <w:t>、响应文件有效期</w:t>
      </w:r>
    </w:p>
    <w:p w14:paraId="6E90D08F">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10.1 </w:t>
      </w:r>
      <w:r>
        <w:rPr>
          <w:rFonts w:hint="eastAsia" w:ascii="宋体" w:hAnsi="宋体" w:cs="宋体"/>
          <w:color w:val="000000" w:themeColor="text1"/>
          <w:highlight w:val="none"/>
          <w14:textFill>
            <w14:solidFill>
              <w14:schemeClr w14:val="tx1"/>
            </w14:solidFill>
          </w14:textFill>
        </w:rPr>
        <w:t>响应文件未在磋商响应截止时间前完成传输的或者未按时解密的，视为放弃磋商；响应文件解密失败后未提供备份文件或者备份文件也出现异常情况无法进行评审的，亦视为放弃磋商。</w:t>
      </w:r>
    </w:p>
    <w:p w14:paraId="779D0209">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10.2 </w:t>
      </w:r>
      <w:r>
        <w:rPr>
          <w:rFonts w:hint="eastAsia" w:ascii="宋体" w:hAnsi="宋体" w:cs="宋体"/>
          <w:color w:val="000000" w:themeColor="text1"/>
          <w:highlight w:val="none"/>
          <w14:textFill>
            <w14:solidFill>
              <w14:schemeClr w14:val="tx1"/>
            </w14:solidFill>
          </w14:textFill>
        </w:rPr>
        <w:t>响应文件上传后，自磋商响应截止日期起，在前附表所列的磋商响应文件有效期内有效。</w:t>
      </w:r>
    </w:p>
    <w:p w14:paraId="2C34E0A9">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10.3 </w:t>
      </w:r>
      <w:r>
        <w:rPr>
          <w:rFonts w:hint="eastAsia" w:ascii="宋体" w:hAnsi="宋体" w:cs="宋体"/>
          <w:color w:val="000000" w:themeColor="text1"/>
          <w:highlight w:val="none"/>
          <w14:textFill>
            <w14:solidFill>
              <w14:schemeClr w14:val="tx1"/>
            </w14:solidFill>
          </w14:textFill>
        </w:rPr>
        <w:t>在原定有效期满之前，如果出现特殊情况，采购代理机构可以以书面形式向磋商供应商提出延长磋商有效期的要求，磋商供应商对此须以书面形式予以答复。</w:t>
      </w:r>
    </w:p>
    <w:p w14:paraId="03B1C115">
      <w:pPr>
        <w:pStyle w:val="58"/>
        <w:spacing w:before="0" w:line="336" w:lineRule="auto"/>
        <w:ind w:left="420" w:leftChars="200" w:firstLine="0" w:firstLineChars="0"/>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11</w:t>
      </w:r>
      <w:r>
        <w:rPr>
          <w:rFonts w:hint="eastAsia" w:ascii="宋体" w:hAnsi="宋体" w:cs="宋体"/>
          <w:b/>
          <w:bCs/>
          <w:color w:val="000000" w:themeColor="text1"/>
          <w:highlight w:val="none"/>
          <w14:textFill>
            <w14:solidFill>
              <w14:schemeClr w14:val="tx1"/>
            </w14:solidFill>
          </w14:textFill>
        </w:rPr>
        <w:t>、供应商如有下列情况之一者列入不良行为记录：</w:t>
      </w:r>
    </w:p>
    <w:p w14:paraId="5B1B4AFE">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11.1 </w:t>
      </w:r>
      <w:r>
        <w:rPr>
          <w:rFonts w:hint="eastAsia" w:ascii="宋体" w:hAnsi="宋体" w:cs="宋体"/>
          <w:color w:val="000000" w:themeColor="text1"/>
          <w:highlight w:val="none"/>
          <w14:textFill>
            <w14:solidFill>
              <w14:schemeClr w14:val="tx1"/>
            </w14:solidFill>
          </w14:textFill>
        </w:rPr>
        <w:t>供应商在磋商响应文件有效期内撤回投标的；</w:t>
      </w:r>
    </w:p>
    <w:p w14:paraId="7E561D7C">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11.2 </w:t>
      </w:r>
      <w:r>
        <w:rPr>
          <w:rFonts w:hint="eastAsia" w:ascii="宋体" w:hAnsi="宋体" w:cs="宋体"/>
          <w:color w:val="000000" w:themeColor="text1"/>
          <w:highlight w:val="none"/>
          <w14:textFill>
            <w14:solidFill>
              <w14:schemeClr w14:val="tx1"/>
            </w14:solidFill>
          </w14:textFill>
        </w:rPr>
        <w:t>供应商或中标候选人放弃中标或中标候选人资格的；</w:t>
      </w:r>
    </w:p>
    <w:p w14:paraId="1832BD0F">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11.3 </w:t>
      </w:r>
      <w:r>
        <w:rPr>
          <w:rFonts w:hint="eastAsia" w:ascii="宋体" w:hAnsi="宋体" w:cs="宋体"/>
          <w:color w:val="000000" w:themeColor="text1"/>
          <w:highlight w:val="none"/>
          <w14:textFill>
            <w14:solidFill>
              <w14:schemeClr w14:val="tx1"/>
            </w14:solidFill>
          </w14:textFill>
        </w:rPr>
        <w:t>擅自修改或拒绝接受已经确认的条款；</w:t>
      </w:r>
    </w:p>
    <w:p w14:paraId="71766B27">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11.4 </w:t>
      </w:r>
      <w:r>
        <w:rPr>
          <w:rFonts w:hint="eastAsia" w:ascii="宋体" w:hAnsi="宋体" w:cs="宋体"/>
          <w:color w:val="000000" w:themeColor="text1"/>
          <w:highlight w:val="none"/>
          <w14:textFill>
            <w14:solidFill>
              <w14:schemeClr w14:val="tx1"/>
            </w14:solidFill>
          </w14:textFill>
        </w:rPr>
        <w:t>成交供应商未按规定与采购人签订合同；</w:t>
      </w:r>
    </w:p>
    <w:p w14:paraId="532657CC">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5</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供应商采取提供虚假资料等不正当手段的；</w:t>
      </w:r>
    </w:p>
    <w:p w14:paraId="7BF3F343">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6</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供应商在投标过程中串通投标的。</w:t>
      </w:r>
    </w:p>
    <w:p w14:paraId="340C78F9">
      <w:pPr>
        <w:pStyle w:val="58"/>
        <w:spacing w:before="0" w:line="336" w:lineRule="auto"/>
        <w:ind w:left="420" w:leftChars="200" w:firstLine="0" w:firstLineChars="0"/>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12</w:t>
      </w:r>
      <w:r>
        <w:rPr>
          <w:rFonts w:hint="eastAsia" w:ascii="宋体" w:hAnsi="宋体" w:cs="宋体"/>
          <w:b/>
          <w:bCs/>
          <w:color w:val="000000" w:themeColor="text1"/>
          <w:highlight w:val="none"/>
          <w14:textFill>
            <w14:solidFill>
              <w14:schemeClr w14:val="tx1"/>
            </w14:solidFill>
          </w14:textFill>
        </w:rPr>
        <w:t>、响应文件的编制和签署</w:t>
      </w:r>
    </w:p>
    <w:p w14:paraId="59C5C916">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12.1 </w:t>
      </w:r>
      <w:r>
        <w:rPr>
          <w:rFonts w:hint="eastAsia" w:ascii="宋体" w:hAnsi="宋体" w:cs="宋体"/>
          <w:color w:val="000000" w:themeColor="text1"/>
          <w:highlight w:val="none"/>
          <w14:textFill>
            <w14:solidFill>
              <w14:schemeClr w14:val="tx1"/>
            </w14:solidFill>
          </w14:textFill>
        </w:rPr>
        <w:t>按磋商文件</w:t>
      </w:r>
      <w:r>
        <w:rPr>
          <w:rFonts w:ascii="宋体" w:hAnsi="宋体" w:cs="宋体"/>
          <w:color w:val="000000" w:themeColor="text1"/>
          <w:highlight w:val="none"/>
          <w14:textFill>
            <w14:solidFill>
              <w14:schemeClr w14:val="tx1"/>
            </w14:solidFill>
          </w14:textFill>
        </w:rPr>
        <w:t>9.1</w:t>
      </w:r>
      <w:r>
        <w:rPr>
          <w:rFonts w:hint="eastAsia" w:ascii="宋体" w:hAnsi="宋体" w:cs="宋体"/>
          <w:color w:val="000000" w:themeColor="text1"/>
          <w:highlight w:val="none"/>
          <w14:textFill>
            <w14:solidFill>
              <w14:schemeClr w14:val="tx1"/>
            </w14:solidFill>
          </w14:textFill>
        </w:rPr>
        <w:t>条、</w:t>
      </w:r>
      <w:r>
        <w:rPr>
          <w:rFonts w:ascii="宋体" w:hAnsi="宋体" w:cs="宋体"/>
          <w:color w:val="000000" w:themeColor="text1"/>
          <w:highlight w:val="none"/>
          <w14:textFill>
            <w14:solidFill>
              <w14:schemeClr w14:val="tx1"/>
            </w14:solidFill>
          </w14:textFill>
        </w:rPr>
        <w:t>9.2</w:t>
      </w:r>
      <w:r>
        <w:rPr>
          <w:rFonts w:hint="eastAsia" w:ascii="宋体" w:hAnsi="宋体" w:cs="宋体"/>
          <w:color w:val="000000" w:themeColor="text1"/>
          <w:highlight w:val="none"/>
          <w14:textFill>
            <w14:solidFill>
              <w14:schemeClr w14:val="tx1"/>
            </w14:solidFill>
          </w14:textFill>
        </w:rPr>
        <w:t>条、</w:t>
      </w:r>
      <w:r>
        <w:rPr>
          <w:rFonts w:ascii="宋体" w:hAnsi="宋体" w:cs="宋体"/>
          <w:color w:val="000000" w:themeColor="text1"/>
          <w:highlight w:val="none"/>
          <w14:textFill>
            <w14:solidFill>
              <w14:schemeClr w14:val="tx1"/>
            </w14:solidFill>
          </w14:textFill>
        </w:rPr>
        <w:t>9.3</w:t>
      </w:r>
      <w:r>
        <w:rPr>
          <w:rFonts w:hint="eastAsia" w:ascii="宋体" w:hAnsi="宋体" w:cs="宋体"/>
          <w:color w:val="000000" w:themeColor="text1"/>
          <w:highlight w:val="none"/>
          <w14:textFill>
            <w14:solidFill>
              <w14:schemeClr w14:val="tx1"/>
            </w14:solidFill>
          </w14:textFill>
        </w:rPr>
        <w:t>条要求提供的各种文件，响应文件分为资格文件、商务技术文件和报价文件三部分。</w:t>
      </w:r>
    </w:p>
    <w:p w14:paraId="463F81FD">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12.2 </w:t>
      </w:r>
      <w:r>
        <w:rPr>
          <w:rFonts w:hint="eastAsia" w:ascii="宋体" w:hAnsi="宋体" w:cs="宋体"/>
          <w:color w:val="000000" w:themeColor="text1"/>
          <w:highlight w:val="none"/>
          <w14:textFill>
            <w14:solidFill>
              <w14:schemeClr w14:val="tx1"/>
            </w14:solidFill>
          </w14:textFill>
        </w:rPr>
        <w:t>响应文件须按附件格式要求进行电子签章，供应商应写全称。（电子磋商响应文件中所须加盖公章部分均应采用电子签章）</w:t>
      </w:r>
    </w:p>
    <w:p w14:paraId="223557AC">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12.3 </w:t>
      </w:r>
      <w:r>
        <w:rPr>
          <w:rFonts w:hint="eastAsia" w:ascii="宋体" w:hAnsi="宋体" w:cs="宋体"/>
          <w:color w:val="000000" w:themeColor="text1"/>
          <w:highlight w:val="none"/>
          <w14:textFill>
            <w14:solidFill>
              <w14:schemeClr w14:val="tx1"/>
            </w14:solidFill>
          </w14:textFill>
        </w:rPr>
        <w:t>全套响应文件应无涂改和行间插字，除非这些删改是根据采购代理机构要求进行，或者是供应商造成的必须修改的错误。所修改处应由法定代表人或其授权代表签字盖章予以确认。</w:t>
      </w:r>
    </w:p>
    <w:p w14:paraId="47FF5074">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12.4 </w:t>
      </w:r>
      <w:r>
        <w:rPr>
          <w:rFonts w:hint="eastAsia" w:ascii="宋体" w:hAnsi="宋体" w:cs="宋体"/>
          <w:color w:val="000000" w:themeColor="text1"/>
          <w:highlight w:val="none"/>
          <w14:textFill>
            <w14:solidFill>
              <w14:schemeClr w14:val="tx1"/>
            </w14:solidFill>
          </w14:textFill>
        </w:rPr>
        <w:t>由于字迹模糊或表达不清引起的后果由供应商负责。</w:t>
      </w:r>
    </w:p>
    <w:p w14:paraId="19B5A8C2">
      <w:pPr>
        <w:pStyle w:val="58"/>
        <w:spacing w:before="0" w:line="336" w:lineRule="auto"/>
        <w:ind w:left="420" w:leftChars="200" w:firstLine="0" w:firstLineChars="0"/>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13</w:t>
      </w:r>
      <w:r>
        <w:rPr>
          <w:rFonts w:hint="eastAsia" w:ascii="宋体" w:hAnsi="宋体" w:cs="宋体"/>
          <w:b/>
          <w:bCs/>
          <w:color w:val="000000" w:themeColor="text1"/>
          <w:highlight w:val="none"/>
          <w14:textFill>
            <w14:solidFill>
              <w14:schemeClr w14:val="tx1"/>
            </w14:solidFill>
          </w14:textFill>
        </w:rPr>
        <w:t>、响应文件的形式</w:t>
      </w:r>
    </w:p>
    <w:p w14:paraId="43872D6A">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响应文件为电子磋商响应文件，电子磋商响应文件按“政采云供应商项目采购</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电子招投标操作指南”及本磋商文件要求制作、加密传输。</w:t>
      </w:r>
    </w:p>
    <w:p w14:paraId="018EC58B">
      <w:pPr>
        <w:pStyle w:val="3"/>
        <w:numPr>
          <w:ilvl w:val="0"/>
          <w:numId w:val="7"/>
        </w:numPr>
        <w:spacing w:line="336" w:lineRule="auto"/>
        <w:jc w:val="center"/>
        <w:rPr>
          <w:rFonts w:cs="Times New Roman"/>
          <w:color w:val="000000" w:themeColor="text1"/>
          <w:highlight w:val="none"/>
          <w14:textFill>
            <w14:solidFill>
              <w14:schemeClr w14:val="tx1"/>
            </w14:solidFill>
          </w14:textFill>
        </w:rPr>
      </w:pPr>
      <w:bookmarkStart w:id="58" w:name="_Toc1420"/>
      <w:r>
        <w:rPr>
          <w:color w:val="000000" w:themeColor="text1"/>
          <w:highlight w:val="none"/>
          <w14:textFill>
            <w14:solidFill>
              <w14:schemeClr w14:val="tx1"/>
            </w14:solidFill>
          </w14:textFill>
        </w:rPr>
        <w:t xml:space="preserve"> </w:t>
      </w:r>
      <w:bookmarkStart w:id="59" w:name="_Toc31706"/>
      <w:bookmarkStart w:id="60" w:name="_Toc21266"/>
      <w:r>
        <w:rPr>
          <w:rFonts w:hint="eastAsia"/>
          <w:color w:val="000000" w:themeColor="text1"/>
          <w:highlight w:val="none"/>
          <w14:textFill>
            <w14:solidFill>
              <w14:schemeClr w14:val="tx1"/>
            </w14:solidFill>
          </w14:textFill>
        </w:rPr>
        <w:t>响应文件的递交</w:t>
      </w:r>
      <w:bookmarkEnd w:id="58"/>
      <w:bookmarkEnd w:id="59"/>
      <w:bookmarkEnd w:id="60"/>
    </w:p>
    <w:p w14:paraId="5303B074">
      <w:pPr>
        <w:pStyle w:val="17"/>
        <w:spacing w:line="336" w:lineRule="auto"/>
        <w:ind w:left="420" w:left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14</w:t>
      </w:r>
      <w:r>
        <w:rPr>
          <w:rFonts w:hint="eastAsia" w:hAnsi="宋体"/>
          <w:b/>
          <w:bCs/>
          <w:color w:val="000000" w:themeColor="text1"/>
          <w:sz w:val="24"/>
          <w:szCs w:val="24"/>
          <w:highlight w:val="none"/>
          <w14:textFill>
            <w14:solidFill>
              <w14:schemeClr w14:val="tx1"/>
            </w14:solidFill>
          </w14:textFill>
        </w:rPr>
        <w:t>、磋商响应截止期</w:t>
      </w:r>
    </w:p>
    <w:p w14:paraId="2B88898E">
      <w:pPr>
        <w:pStyle w:val="58"/>
        <w:numPr>
          <w:ilvl w:val="0"/>
          <w:numId w:val="12"/>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0EE923A0">
      <w:pPr>
        <w:pStyle w:val="58"/>
        <w:numPr>
          <w:ilvl w:val="0"/>
          <w:numId w:val="12"/>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采购人因故推迟磋商响应截止时间，将以公告形式通知。在这种情况下，采购人和供应商的权利和义务将受到新的截止时间的约束。</w:t>
      </w:r>
    </w:p>
    <w:p w14:paraId="31EF915F">
      <w:pPr>
        <w:pStyle w:val="17"/>
        <w:spacing w:line="336" w:lineRule="auto"/>
        <w:ind w:left="420" w:left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15</w:t>
      </w:r>
      <w:r>
        <w:rPr>
          <w:rFonts w:hint="eastAsia" w:hAnsi="宋体"/>
          <w:b/>
          <w:bCs/>
          <w:color w:val="000000" w:themeColor="text1"/>
          <w:sz w:val="24"/>
          <w:szCs w:val="24"/>
          <w:highlight w:val="none"/>
          <w14:textFill>
            <w14:solidFill>
              <w14:schemeClr w14:val="tx1"/>
            </w14:solidFill>
          </w14:textFill>
        </w:rPr>
        <w:t>、响应文件的修改、撤销</w:t>
      </w:r>
    </w:p>
    <w:p w14:paraId="6C3E158E">
      <w:pPr>
        <w:pStyle w:val="17"/>
        <w:spacing w:line="336"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1978931C">
      <w:pPr>
        <w:pStyle w:val="3"/>
        <w:numPr>
          <w:ilvl w:val="0"/>
          <w:numId w:val="7"/>
        </w:numPr>
        <w:spacing w:line="336" w:lineRule="auto"/>
        <w:jc w:val="center"/>
        <w:rPr>
          <w:rFonts w:hAnsi="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61" w:name="_Toc24120"/>
      <w:bookmarkStart w:id="62" w:name="_Toc11703"/>
      <w:r>
        <w:rPr>
          <w:rFonts w:hint="eastAsia"/>
          <w:color w:val="000000" w:themeColor="text1"/>
          <w:highlight w:val="none"/>
          <w14:textFill>
            <w14:solidFill>
              <w14:schemeClr w14:val="tx1"/>
            </w14:solidFill>
          </w14:textFill>
        </w:rPr>
        <w:t>磋商无效的情形</w:t>
      </w:r>
      <w:bookmarkEnd w:id="61"/>
      <w:bookmarkEnd w:id="62"/>
    </w:p>
    <w:p w14:paraId="3C5EB3C5">
      <w:pPr>
        <w:pStyle w:val="17"/>
        <w:snapToGrid w:val="0"/>
        <w:spacing w:line="336" w:lineRule="auto"/>
        <w:ind w:firstLine="482" w:firstLine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16</w:t>
      </w:r>
      <w:r>
        <w:rPr>
          <w:rFonts w:hint="eastAsia" w:hAnsi="宋体"/>
          <w:b/>
          <w:bCs/>
          <w:color w:val="000000" w:themeColor="text1"/>
          <w:sz w:val="24"/>
          <w:szCs w:val="24"/>
          <w:highlight w:val="none"/>
          <w14:textFill>
            <w14:solidFill>
              <w14:schemeClr w14:val="tx1"/>
            </w14:solidFill>
          </w14:textFill>
        </w:rPr>
        <w:t>、无效响应</w:t>
      </w:r>
    </w:p>
    <w:p w14:paraId="563AC411">
      <w:pPr>
        <w:pStyle w:val="17"/>
        <w:snapToGrid w:val="0"/>
        <w:spacing w:line="336"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经过审查，凡不符合有关规定，不响应磋商文件的实质性条款，存在以下重大偏离之一的，经磋商小组认定，并由采购人报采购办、监督办备案，将因未通过资格性或符合性审查而被作为无效响应处理：</w:t>
      </w:r>
    </w:p>
    <w:p w14:paraId="6AB87630">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w:t>
      </w:r>
      <w:r>
        <w:rPr>
          <w:rFonts w:hint="eastAsia" w:ascii="宋体" w:hAnsi="宋体" w:cs="宋体"/>
          <w:b/>
          <w:bCs/>
          <w:color w:val="000000" w:themeColor="text1"/>
          <w:sz w:val="24"/>
          <w:szCs w:val="24"/>
          <w:highlight w:val="none"/>
          <w14:textFill>
            <w14:solidFill>
              <w14:schemeClr w14:val="tx1"/>
            </w14:solidFill>
          </w14:textFill>
        </w:rPr>
        <w:t>未按照磋商文件规定要求签署、盖章的；</w:t>
      </w:r>
    </w:p>
    <w:p w14:paraId="53F8C9F2">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16.2</w:t>
      </w:r>
      <w:r>
        <w:rPr>
          <w:rFonts w:hint="eastAsia" w:ascii="宋体" w:hAnsi="宋体" w:cs="宋体"/>
          <w:b/>
          <w:bCs/>
          <w:color w:val="000000" w:themeColor="text1"/>
          <w:sz w:val="24"/>
          <w:szCs w:val="24"/>
          <w:highlight w:val="none"/>
          <w14:textFill>
            <w14:solidFill>
              <w14:schemeClr w14:val="tx1"/>
            </w14:solidFill>
          </w14:textFill>
        </w:rPr>
        <w:t>《法定代表人授权书》填写不全、错误、未加盖供应商公章（公章和签字或盖章缺一不可）；</w:t>
      </w:r>
      <w:r>
        <w:rPr>
          <w:rFonts w:ascii="宋体" w:hAnsi="宋体" w:cs="宋体"/>
          <w:b/>
          <w:bCs/>
          <w:color w:val="000000" w:themeColor="text1"/>
          <w:sz w:val="24"/>
          <w:szCs w:val="24"/>
          <w:highlight w:val="none"/>
          <w14:textFill>
            <w14:solidFill>
              <w14:schemeClr w14:val="tx1"/>
            </w14:solidFill>
          </w14:textFill>
        </w:rPr>
        <w:t xml:space="preserve"> </w:t>
      </w:r>
    </w:p>
    <w:p w14:paraId="41A0EFB1">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16.3</w:t>
      </w:r>
      <w:r>
        <w:rPr>
          <w:rFonts w:hint="eastAsia" w:ascii="宋体" w:hAnsi="宋体" w:cs="宋体"/>
          <w:b/>
          <w:bCs/>
          <w:color w:val="000000" w:themeColor="text1"/>
          <w:sz w:val="24"/>
          <w:szCs w:val="24"/>
          <w:highlight w:val="none"/>
          <w14:textFill>
            <w14:solidFill>
              <w14:schemeClr w14:val="tx1"/>
            </w14:solidFill>
          </w14:textFill>
        </w:rPr>
        <w:t>个体工商户的身份证明与营业执照不一致的；</w:t>
      </w:r>
    </w:p>
    <w:p w14:paraId="00FFC92D">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16.4</w:t>
      </w:r>
      <w:r>
        <w:rPr>
          <w:rFonts w:hint="eastAsia" w:ascii="宋体" w:hAnsi="宋体" w:cs="宋体"/>
          <w:b/>
          <w:bCs/>
          <w:color w:val="000000" w:themeColor="text1"/>
          <w:sz w:val="24"/>
          <w:szCs w:val="24"/>
          <w:highlight w:val="none"/>
          <w14:textFill>
            <w14:solidFill>
              <w14:schemeClr w14:val="tx1"/>
            </w14:solidFill>
          </w14:textFill>
        </w:rPr>
        <w:t>响应文件中的磋商函未加盖供应商的企业公章或填写不全的；</w:t>
      </w:r>
    </w:p>
    <w:p w14:paraId="6057FE5B">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16.5</w:t>
      </w:r>
      <w:r>
        <w:rPr>
          <w:rFonts w:hint="eastAsia" w:ascii="宋体" w:hAnsi="宋体" w:cs="宋体"/>
          <w:b/>
          <w:bCs/>
          <w:color w:val="000000" w:themeColor="text1"/>
          <w:sz w:val="24"/>
          <w:szCs w:val="24"/>
          <w:highlight w:val="none"/>
          <w14:textFill>
            <w14:solidFill>
              <w14:schemeClr w14:val="tx1"/>
            </w14:solidFill>
          </w14:textFill>
        </w:rPr>
        <w:t>报价一经涂改，未在涂改处加盖投标单位公章或者未经法定代表人或其授权代表签字或盖章的；</w:t>
      </w:r>
    </w:p>
    <w:p w14:paraId="1E883511">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16.6</w:t>
      </w:r>
      <w:r>
        <w:rPr>
          <w:rFonts w:hint="eastAsia" w:ascii="宋体" w:hAnsi="宋体" w:cs="宋体"/>
          <w:b/>
          <w:bCs/>
          <w:color w:val="000000" w:themeColor="text1"/>
          <w:sz w:val="24"/>
          <w:szCs w:val="24"/>
          <w:highlight w:val="none"/>
          <w14:textFill>
            <w14:solidFill>
              <w14:schemeClr w14:val="tx1"/>
            </w14:solidFill>
          </w14:textFill>
        </w:rPr>
        <w:t>因未按规定的格式填写，内容不全或主要实质性内容字迹模糊辨认不清</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经评标委员会认定为无法评审的；</w:t>
      </w:r>
    </w:p>
    <w:p w14:paraId="01EA4CC6">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16.7</w:t>
      </w:r>
      <w:r>
        <w:rPr>
          <w:rFonts w:hint="eastAsia" w:ascii="宋体" w:hAnsi="宋体" w:cs="宋体"/>
          <w:b/>
          <w:bCs/>
          <w:color w:val="000000" w:themeColor="text1"/>
          <w:sz w:val="24"/>
          <w:szCs w:val="24"/>
          <w:highlight w:val="none"/>
          <w14:textFill>
            <w14:solidFill>
              <w14:schemeClr w14:val="tx1"/>
            </w14:solidFill>
          </w14:textFill>
        </w:rPr>
        <w:t>出现同一标的物或本次采购产品</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服务</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内的主要产品</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重要组成部分</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出现技术、商务描述不一致或前后描述不一致，经评标委员会认定后为无法评审的；</w:t>
      </w:r>
    </w:p>
    <w:p w14:paraId="618FF4D2">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16.8</w:t>
      </w:r>
      <w:r>
        <w:rPr>
          <w:rFonts w:hint="eastAsia" w:ascii="宋体" w:hAnsi="宋体" w:cs="宋体"/>
          <w:b/>
          <w:bCs/>
          <w:color w:val="000000" w:themeColor="text1"/>
          <w:sz w:val="24"/>
          <w:szCs w:val="24"/>
          <w:highlight w:val="none"/>
          <w14:textFill>
            <w14:solidFill>
              <w14:schemeClr w14:val="tx1"/>
            </w14:solidFill>
          </w14:textFill>
        </w:rPr>
        <w:t>响应详细配置清单响应表不真实填写或弄虚作假的；改变磋商文件提供的清单中的计量单位、工程数量；</w:t>
      </w:r>
    </w:p>
    <w:p w14:paraId="5FBEF67A">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16.9</w:t>
      </w:r>
      <w:r>
        <w:rPr>
          <w:rFonts w:hint="eastAsia" w:ascii="宋体" w:hAnsi="宋体" w:cs="宋体"/>
          <w:b/>
          <w:bCs/>
          <w:color w:val="000000" w:themeColor="text1"/>
          <w:sz w:val="24"/>
          <w:szCs w:val="24"/>
          <w:highlight w:val="none"/>
          <w14:textFill>
            <w14:solidFill>
              <w14:schemeClr w14:val="tx1"/>
            </w14:solidFill>
          </w14:textFill>
        </w:rPr>
        <w:t>对采购产品技术规格未详细应答，致使其技术文件无法评审的；</w:t>
      </w:r>
    </w:p>
    <w:p w14:paraId="5D82CA25">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16.10</w:t>
      </w:r>
      <w:r>
        <w:rPr>
          <w:rFonts w:hint="eastAsia" w:ascii="宋体" w:hAnsi="宋体" w:cs="宋体"/>
          <w:b/>
          <w:bCs/>
          <w:color w:val="000000" w:themeColor="text1"/>
          <w:sz w:val="24"/>
          <w:szCs w:val="24"/>
          <w:highlight w:val="none"/>
          <w14:textFill>
            <w14:solidFill>
              <w14:schemeClr w14:val="tx1"/>
            </w14:solidFill>
          </w14:textFill>
        </w:rPr>
        <w:t>响应文件有采购方不能接受的条件；</w:t>
      </w:r>
    </w:p>
    <w:p w14:paraId="18DBD7E6">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16.11</w:t>
      </w:r>
      <w:r>
        <w:rPr>
          <w:rFonts w:hint="eastAsia" w:ascii="宋体" w:hAnsi="宋体" w:cs="宋体"/>
          <w:b/>
          <w:bCs/>
          <w:color w:val="000000" w:themeColor="text1"/>
          <w:sz w:val="24"/>
          <w:szCs w:val="24"/>
          <w:highlight w:val="none"/>
          <w14:textFill>
            <w14:solidFill>
              <w14:schemeClr w14:val="tx1"/>
            </w14:solidFill>
          </w14:textFill>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59541261">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16.12</w:t>
      </w:r>
      <w:r>
        <w:rPr>
          <w:rFonts w:hint="eastAsia" w:ascii="宋体" w:hAnsi="宋体" w:cs="宋体"/>
          <w:b/>
          <w:bCs/>
          <w:color w:val="000000" w:themeColor="text1"/>
          <w:sz w:val="24"/>
          <w:szCs w:val="24"/>
          <w:highlight w:val="none"/>
          <w14:textFill>
            <w14:solidFill>
              <w14:schemeClr w14:val="tx1"/>
            </w14:solidFill>
          </w14:textFill>
        </w:rPr>
        <w:t>磋商报价超过预算金额或最高限价的；</w:t>
      </w:r>
    </w:p>
    <w:p w14:paraId="48714514">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16.13</w:t>
      </w:r>
      <w:r>
        <w:rPr>
          <w:rFonts w:hint="eastAsia" w:ascii="宋体" w:hAnsi="宋体" w:cs="宋体"/>
          <w:b/>
          <w:bCs/>
          <w:color w:val="000000" w:themeColor="text1"/>
          <w:sz w:val="24"/>
          <w:szCs w:val="24"/>
          <w:highlight w:val="none"/>
          <w14:textFill>
            <w14:solidFill>
              <w14:schemeClr w14:val="tx1"/>
            </w14:solidFill>
          </w14:textFill>
        </w:rPr>
        <w:t>响应文件“商务技术文件资料”部分中出现《报价一览表》或《磋商报价明细表》相关内容的；</w:t>
      </w:r>
    </w:p>
    <w:p w14:paraId="1C9D6B47">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16.14</w:t>
      </w:r>
      <w:r>
        <w:rPr>
          <w:rFonts w:hint="eastAsia" w:ascii="宋体" w:hAnsi="宋体" w:cs="宋体"/>
          <w:b/>
          <w:bCs/>
          <w:color w:val="000000" w:themeColor="text1"/>
          <w:sz w:val="24"/>
          <w:szCs w:val="24"/>
          <w:highlight w:val="none"/>
          <w14:textFill>
            <w14:solidFill>
              <w14:schemeClr w14:val="tx1"/>
            </w14:solidFill>
          </w14:textFill>
        </w:rPr>
        <w:t>评标委员会认定有重大偏差或实质性不响应磋商文件要求的，即“★”的关键性指标及技术参数要求负偏离或缺漏；</w:t>
      </w:r>
    </w:p>
    <w:p w14:paraId="636E7B44">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16.15</w:t>
      </w:r>
      <w:r>
        <w:rPr>
          <w:rFonts w:hint="eastAsia" w:ascii="宋体" w:hAnsi="宋体" w:cs="宋体"/>
          <w:b/>
          <w:bCs/>
          <w:color w:val="000000" w:themeColor="text1"/>
          <w:sz w:val="24"/>
          <w:szCs w:val="24"/>
          <w:highlight w:val="none"/>
          <w14:textFill>
            <w14:solidFill>
              <w14:schemeClr w14:val="tx1"/>
            </w14:solidFill>
          </w14:textFill>
        </w:rPr>
        <w:t>供应商拒绝按磋商文件规定的修正原则对响应文件进行修改的；</w:t>
      </w:r>
    </w:p>
    <w:p w14:paraId="2AA770F7">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w:t>
      </w:r>
      <w:r>
        <w:rPr>
          <w:rFonts w:hint="eastAsia" w:ascii="宋体" w:hAnsi="宋体" w:cs="宋体"/>
          <w:b/>
          <w:bCs/>
          <w:color w:val="000000" w:themeColor="text1"/>
          <w:sz w:val="24"/>
          <w:szCs w:val="24"/>
          <w:highlight w:val="none"/>
          <w14:textFill>
            <w14:solidFill>
              <w14:schemeClr w14:val="tx1"/>
            </w14:solidFill>
          </w14:textFill>
        </w:rPr>
        <w:t>有下列情形之一的，视为供应商串通投标，其投标无效：</w:t>
      </w:r>
    </w:p>
    <w:p w14:paraId="4BED13CB">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16.16.1</w:t>
      </w:r>
      <w:r>
        <w:rPr>
          <w:rFonts w:hint="eastAsia" w:ascii="宋体" w:hAnsi="宋体" w:cs="宋体"/>
          <w:b/>
          <w:bCs/>
          <w:color w:val="000000" w:themeColor="text1"/>
          <w:sz w:val="24"/>
          <w:szCs w:val="24"/>
          <w:highlight w:val="none"/>
          <w14:textFill>
            <w14:solidFill>
              <w14:schemeClr w14:val="tx1"/>
            </w14:solidFill>
          </w14:textFill>
        </w:rPr>
        <w:t>不同供应商的响应文件由同一单位或者个人编制；</w:t>
      </w:r>
    </w:p>
    <w:p w14:paraId="2F17040D">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16.16.2</w:t>
      </w:r>
      <w:r>
        <w:rPr>
          <w:rFonts w:hint="eastAsia" w:ascii="宋体" w:hAnsi="宋体" w:cs="宋体"/>
          <w:b/>
          <w:bCs/>
          <w:color w:val="000000" w:themeColor="text1"/>
          <w:sz w:val="24"/>
          <w:szCs w:val="24"/>
          <w:highlight w:val="none"/>
          <w14:textFill>
            <w14:solidFill>
              <w14:schemeClr w14:val="tx1"/>
            </w14:solidFill>
          </w14:textFill>
        </w:rPr>
        <w:t>不同供应商委托同一单位或者个人办理投标事宜；</w:t>
      </w:r>
    </w:p>
    <w:p w14:paraId="6CD5A783">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16.16.3</w:t>
      </w:r>
      <w:r>
        <w:rPr>
          <w:rFonts w:hint="eastAsia" w:ascii="宋体" w:hAnsi="宋体" w:cs="宋体"/>
          <w:b/>
          <w:bCs/>
          <w:color w:val="000000" w:themeColor="text1"/>
          <w:sz w:val="24"/>
          <w:szCs w:val="24"/>
          <w:highlight w:val="none"/>
          <w14:textFill>
            <w14:solidFill>
              <w14:schemeClr w14:val="tx1"/>
            </w14:solidFill>
          </w14:textFill>
        </w:rPr>
        <w:t>不同供应商的响应文件载明的项目管理成员或者联系人员为同一人；</w:t>
      </w:r>
    </w:p>
    <w:p w14:paraId="0A8B5017">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16.16.4</w:t>
      </w:r>
      <w:r>
        <w:rPr>
          <w:rFonts w:hint="eastAsia" w:ascii="宋体" w:hAnsi="宋体" w:cs="宋体"/>
          <w:b/>
          <w:bCs/>
          <w:color w:val="000000" w:themeColor="text1"/>
          <w:sz w:val="24"/>
          <w:szCs w:val="24"/>
          <w:highlight w:val="none"/>
          <w14:textFill>
            <w14:solidFill>
              <w14:schemeClr w14:val="tx1"/>
            </w14:solidFill>
          </w14:textFill>
        </w:rPr>
        <w:t>不同供应商的响应文件异常一致或者投标报价呈规律性差异；</w:t>
      </w:r>
    </w:p>
    <w:p w14:paraId="5283CD9C">
      <w:pPr>
        <w:spacing w:line="336"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16.16.5</w:t>
      </w:r>
      <w:r>
        <w:rPr>
          <w:rFonts w:hint="eastAsia" w:ascii="宋体" w:hAnsi="宋体" w:cs="宋体"/>
          <w:b/>
          <w:bCs/>
          <w:color w:val="000000" w:themeColor="text1"/>
          <w:sz w:val="24"/>
          <w:szCs w:val="24"/>
          <w:highlight w:val="none"/>
          <w14:textFill>
            <w14:solidFill>
              <w14:schemeClr w14:val="tx1"/>
            </w14:solidFill>
          </w14:textFill>
        </w:rPr>
        <w:t>不同供应商提供的响应文件出自同一终端设备的，或在相同</w:t>
      </w:r>
      <w:r>
        <w:rPr>
          <w:rFonts w:ascii="宋体" w:hAnsi="宋体" w:cs="宋体"/>
          <w:b/>
          <w:bCs/>
          <w:color w:val="000000" w:themeColor="text1"/>
          <w:sz w:val="24"/>
          <w:szCs w:val="24"/>
          <w:highlight w:val="none"/>
          <w14:textFill>
            <w14:solidFill>
              <w14:schemeClr w14:val="tx1"/>
            </w14:solidFill>
          </w14:textFill>
        </w:rPr>
        <w:t>Internet</w:t>
      </w:r>
      <w:r>
        <w:rPr>
          <w:rFonts w:hint="eastAsia" w:ascii="宋体" w:hAnsi="宋体" w:cs="宋体"/>
          <w:b/>
          <w:bCs/>
          <w:color w:val="000000" w:themeColor="text1"/>
          <w:sz w:val="24"/>
          <w:szCs w:val="24"/>
          <w:highlight w:val="none"/>
          <w14:textFill>
            <w14:solidFill>
              <w14:schemeClr w14:val="tx1"/>
            </w14:solidFill>
          </w14:textFill>
        </w:rPr>
        <w:t>主机分配地址（相同</w:t>
      </w:r>
      <w:r>
        <w:rPr>
          <w:rFonts w:ascii="宋体" w:hAnsi="宋体" w:cs="宋体"/>
          <w:b/>
          <w:bCs/>
          <w:color w:val="000000" w:themeColor="text1"/>
          <w:sz w:val="24"/>
          <w:szCs w:val="24"/>
          <w:highlight w:val="none"/>
          <w14:textFill>
            <w14:solidFill>
              <w14:schemeClr w14:val="tx1"/>
            </w14:solidFill>
          </w14:textFill>
        </w:rPr>
        <w:t>IP</w:t>
      </w:r>
      <w:r>
        <w:rPr>
          <w:rFonts w:hint="eastAsia" w:ascii="宋体" w:hAnsi="宋体" w:cs="宋体"/>
          <w:b/>
          <w:bCs/>
          <w:color w:val="000000" w:themeColor="text1"/>
          <w:sz w:val="24"/>
          <w:szCs w:val="24"/>
          <w:highlight w:val="none"/>
          <w14:textFill>
            <w14:solidFill>
              <w14:schemeClr w14:val="tx1"/>
            </w14:solidFill>
          </w14:textFill>
        </w:rPr>
        <w:t>地址）报名或网上投标的，且经询标澄清供应商无令人信服的理由和可靠证据证明其合理性的，经评标委员会半数以上成员确认有串通投标嫌疑的。</w:t>
      </w:r>
    </w:p>
    <w:p w14:paraId="353848AC">
      <w:pPr>
        <w:tabs>
          <w:tab w:val="left" w:pos="3870"/>
          <w:tab w:val="left" w:pos="4085"/>
        </w:tabs>
        <w:snapToGrid w:val="0"/>
        <w:spacing w:line="336" w:lineRule="auto"/>
        <w:ind w:firstLine="482" w:firstLineChars="20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16.1</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 xml:space="preserve"> 其他违反</w:t>
      </w:r>
      <w:r>
        <w:rPr>
          <w:rFonts w:hint="eastAsia" w:ascii="宋体" w:hAnsi="宋体" w:cs="宋体"/>
          <w:b/>
          <w:bCs/>
          <w:color w:val="000000" w:themeColor="text1"/>
          <w:sz w:val="24"/>
          <w:szCs w:val="24"/>
          <w:highlight w:val="none"/>
          <w:lang w:eastAsia="zh-CN"/>
          <w14:textFill>
            <w14:solidFill>
              <w14:schemeClr w14:val="tx1"/>
            </w14:solidFill>
          </w14:textFill>
        </w:rPr>
        <w:t>法律法规</w:t>
      </w:r>
      <w:r>
        <w:rPr>
          <w:rFonts w:hint="eastAsia" w:ascii="宋体" w:hAnsi="宋体" w:cs="宋体"/>
          <w:b/>
          <w:bCs/>
          <w:color w:val="000000" w:themeColor="text1"/>
          <w:sz w:val="24"/>
          <w:szCs w:val="24"/>
          <w:highlight w:val="none"/>
          <w14:textFill>
            <w14:solidFill>
              <w14:schemeClr w14:val="tx1"/>
            </w14:solidFill>
          </w14:textFill>
        </w:rPr>
        <w:t>的情形。</w:t>
      </w:r>
    </w:p>
    <w:p w14:paraId="686D78AA">
      <w:pPr>
        <w:pStyle w:val="3"/>
        <w:numPr>
          <w:ilvl w:val="0"/>
          <w:numId w:val="7"/>
        </w:numPr>
        <w:spacing w:line="336" w:lineRule="auto"/>
        <w:jc w:val="center"/>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63" w:name="_Toc21752"/>
      <w:bookmarkStart w:id="64" w:name="_Toc5474"/>
      <w:r>
        <w:rPr>
          <w:rFonts w:hint="eastAsia"/>
          <w:color w:val="000000" w:themeColor="text1"/>
          <w:highlight w:val="none"/>
          <w14:textFill>
            <w14:solidFill>
              <w14:schemeClr w14:val="tx1"/>
            </w14:solidFill>
          </w14:textFill>
        </w:rPr>
        <w:t>采购中止的情形</w:t>
      </w:r>
      <w:bookmarkEnd w:id="63"/>
      <w:bookmarkEnd w:id="64"/>
    </w:p>
    <w:p w14:paraId="0EF60A4F">
      <w:pPr>
        <w:pStyle w:val="17"/>
        <w:spacing w:line="336" w:lineRule="auto"/>
        <w:ind w:left="420" w:left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17</w:t>
      </w:r>
      <w:r>
        <w:rPr>
          <w:rFonts w:hint="eastAsia" w:hAnsi="宋体"/>
          <w:b/>
          <w:bCs/>
          <w:color w:val="000000" w:themeColor="text1"/>
          <w:sz w:val="24"/>
          <w:szCs w:val="24"/>
          <w:highlight w:val="none"/>
          <w14:textFill>
            <w14:solidFill>
              <w14:schemeClr w14:val="tx1"/>
            </w14:solidFill>
          </w14:textFill>
        </w:rPr>
        <w:t>、</w:t>
      </w:r>
      <w:r>
        <w:rPr>
          <w:rFonts w:hint="eastAsia" w:hAnsi="宋体"/>
          <w:b/>
          <w:bCs/>
          <w:color w:val="000000" w:themeColor="text1"/>
          <w:sz w:val="24"/>
          <w:szCs w:val="24"/>
          <w:highlight w:val="none"/>
          <w:lang w:val="zh-CN"/>
          <w14:textFill>
            <w14:solidFill>
              <w14:schemeClr w14:val="tx1"/>
            </w14:solidFill>
          </w14:textFill>
        </w:rPr>
        <w:t>中止电子交易活动和</w:t>
      </w:r>
      <w:r>
        <w:rPr>
          <w:rFonts w:hint="eastAsia" w:hAnsi="宋体"/>
          <w:b/>
          <w:bCs/>
          <w:color w:val="000000" w:themeColor="text1"/>
          <w:sz w:val="24"/>
          <w:szCs w:val="24"/>
          <w:highlight w:val="none"/>
          <w14:textFill>
            <w14:solidFill>
              <w14:schemeClr w14:val="tx1"/>
            </w14:solidFill>
          </w14:textFill>
        </w:rPr>
        <w:t>重新组织采购</w:t>
      </w:r>
    </w:p>
    <w:p w14:paraId="6FDC929D">
      <w:pPr>
        <w:pStyle w:val="58"/>
        <w:tabs>
          <w:tab w:val="left" w:pos="0"/>
        </w:tabs>
        <w:spacing w:before="0" w:line="336" w:lineRule="auto"/>
        <w:ind w:left="420" w:leftChars="200" w:firstLine="0" w:firstLineChars="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17.1</w:t>
      </w:r>
      <w:r>
        <w:rPr>
          <w:rFonts w:hint="eastAsia" w:ascii="宋体" w:hAnsi="宋体" w:cs="宋体"/>
          <w:color w:val="000000" w:themeColor="text1"/>
          <w:highlight w:val="none"/>
          <w:lang w:val="zh-CN"/>
          <w14:textFill>
            <w14:solidFill>
              <w14:schemeClr w14:val="tx1"/>
            </w14:solidFill>
          </w14:textFill>
        </w:rPr>
        <w:t>采购过程中出现以下情形，导致电子交易平台无法正常运行，或者无法保证电子交易的公平、公正和安全时，采购组织机构可中止电子交易活动：</w:t>
      </w:r>
    </w:p>
    <w:p w14:paraId="6807D762">
      <w:pPr>
        <w:numPr>
          <w:ilvl w:val="0"/>
          <w:numId w:val="13"/>
        </w:numPr>
        <w:tabs>
          <w:tab w:val="left" w:pos="0"/>
        </w:tabs>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电子交易平台发生故障而无法登录访问的；</w:t>
      </w:r>
      <w:r>
        <w:rPr>
          <w:rFonts w:ascii="宋体" w:hAnsi="宋体" w:cs="宋体"/>
          <w:color w:val="000000" w:themeColor="text1"/>
          <w:sz w:val="24"/>
          <w:szCs w:val="24"/>
          <w:highlight w:val="none"/>
          <w14:textFill>
            <w14:solidFill>
              <w14:schemeClr w14:val="tx1"/>
            </w14:solidFill>
          </w14:textFill>
        </w:rPr>
        <w:t xml:space="preserve"> </w:t>
      </w:r>
    </w:p>
    <w:p w14:paraId="2F72281D">
      <w:pPr>
        <w:numPr>
          <w:ilvl w:val="0"/>
          <w:numId w:val="13"/>
        </w:numPr>
        <w:tabs>
          <w:tab w:val="left" w:pos="0"/>
        </w:tabs>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电子交易平台应用或数据库出现错误，不能进行正常操作的；</w:t>
      </w:r>
    </w:p>
    <w:p w14:paraId="47D3911C">
      <w:pPr>
        <w:numPr>
          <w:ilvl w:val="0"/>
          <w:numId w:val="13"/>
        </w:numPr>
        <w:tabs>
          <w:tab w:val="left" w:pos="0"/>
        </w:tabs>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电子交易平台发现严重安全漏洞，有潜在泄密危险的；</w:t>
      </w:r>
    </w:p>
    <w:p w14:paraId="49D687BB">
      <w:pPr>
        <w:numPr>
          <w:ilvl w:val="0"/>
          <w:numId w:val="13"/>
        </w:numPr>
        <w:tabs>
          <w:tab w:val="left" w:pos="0"/>
        </w:tabs>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病毒发作导致不能进行正常操作的；</w:t>
      </w:r>
      <w:r>
        <w:rPr>
          <w:rFonts w:ascii="宋体" w:hAnsi="宋体" w:cs="宋体"/>
          <w:color w:val="000000" w:themeColor="text1"/>
          <w:sz w:val="24"/>
          <w:szCs w:val="24"/>
          <w:highlight w:val="none"/>
          <w14:textFill>
            <w14:solidFill>
              <w14:schemeClr w14:val="tx1"/>
            </w14:solidFill>
          </w14:textFill>
        </w:rPr>
        <w:t xml:space="preserve"> </w:t>
      </w:r>
    </w:p>
    <w:p w14:paraId="2B1B85B8">
      <w:pPr>
        <w:numPr>
          <w:ilvl w:val="0"/>
          <w:numId w:val="13"/>
        </w:numPr>
        <w:tabs>
          <w:tab w:val="left" w:pos="0"/>
        </w:tabs>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其他无法保证电子交易的公平、公正和安全的情况。</w:t>
      </w:r>
    </w:p>
    <w:p w14:paraId="6B40062F">
      <w:pPr>
        <w:pStyle w:val="58"/>
        <w:tabs>
          <w:tab w:val="left" w:pos="0"/>
        </w:tabs>
        <w:spacing w:before="0" w:line="336" w:lineRule="auto"/>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17.2</w:t>
      </w:r>
      <w:r>
        <w:rPr>
          <w:rFonts w:hint="eastAsia" w:ascii="宋体" w:hAnsi="宋体" w:cs="宋体"/>
          <w:color w:val="000000" w:themeColor="text1"/>
          <w:highlight w:val="none"/>
          <w14:textFill>
            <w14:solidFill>
              <w14:schemeClr w14:val="tx1"/>
            </w14:solidFill>
          </w14:textFill>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3AA7D500">
      <w:pPr>
        <w:pStyle w:val="3"/>
        <w:numPr>
          <w:ilvl w:val="0"/>
          <w:numId w:val="7"/>
        </w:numPr>
        <w:spacing w:line="336" w:lineRule="auto"/>
        <w:jc w:val="center"/>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65" w:name="_Toc14029"/>
      <w:bookmarkStart w:id="66" w:name="_Toc905"/>
      <w:r>
        <w:rPr>
          <w:rFonts w:hint="eastAsia"/>
          <w:color w:val="000000" w:themeColor="text1"/>
          <w:highlight w:val="none"/>
          <w14:textFill>
            <w14:solidFill>
              <w14:schemeClr w14:val="tx1"/>
            </w14:solidFill>
          </w14:textFill>
        </w:rPr>
        <w:t>确定成交供应商与签订合同</w:t>
      </w:r>
      <w:bookmarkEnd w:id="65"/>
      <w:bookmarkEnd w:id="66"/>
    </w:p>
    <w:p w14:paraId="125FB767">
      <w:pPr>
        <w:snapToGri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、推荐成交候选供应商</w:t>
      </w:r>
    </w:p>
    <w:p w14:paraId="27CD743C">
      <w:pPr>
        <w:snapToGri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18.1 </w:t>
      </w:r>
      <w:r>
        <w:rPr>
          <w:rFonts w:hint="eastAsia" w:ascii="宋体" w:hAnsi="宋体" w:cs="宋体"/>
          <w:color w:val="000000" w:themeColor="text1"/>
          <w:sz w:val="24"/>
          <w:szCs w:val="24"/>
          <w:highlight w:val="none"/>
          <w14:textFill>
            <w14:solidFill>
              <w14:schemeClr w14:val="tx1"/>
            </w14:solidFill>
          </w14:textFill>
        </w:rPr>
        <w:t>磋商小组应当根据综合评分情况，按照评审得分由高到低顺序推荐</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名或以上成交候选供应商，并编写评审报告。评审得分相同的，按照最后报价由低到高的顺序推荐。评审得分且最后报价相同的，按照技术指标优劣顺序推荐。</w:t>
      </w:r>
    </w:p>
    <w:p w14:paraId="67B925D6">
      <w:pPr>
        <w:snapToGri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18.2 </w:t>
      </w:r>
      <w:r>
        <w:rPr>
          <w:rFonts w:hint="eastAsia" w:ascii="宋体" w:hAnsi="宋体" w:cs="宋体"/>
          <w:color w:val="000000" w:themeColor="text1"/>
          <w:sz w:val="24"/>
          <w:szCs w:val="24"/>
          <w:highlight w:val="none"/>
          <w14:textFill>
            <w14:solidFill>
              <w14:schemeClr w14:val="tx1"/>
            </w14:solidFill>
          </w14:textFill>
        </w:rPr>
        <w:t>采购代理机构应当在评审结束后</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个工作日内将评审报告送采购人确认。</w:t>
      </w:r>
    </w:p>
    <w:p w14:paraId="56EF3E5F">
      <w:pPr>
        <w:snapToGri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19</w:t>
      </w:r>
      <w:r>
        <w:rPr>
          <w:rFonts w:hint="eastAsia" w:ascii="宋体" w:hAnsi="宋体" w:cs="宋体"/>
          <w:b/>
          <w:bCs/>
          <w:color w:val="000000" w:themeColor="text1"/>
          <w:sz w:val="24"/>
          <w:szCs w:val="24"/>
          <w:highlight w:val="none"/>
          <w14:textFill>
            <w14:solidFill>
              <w14:schemeClr w14:val="tx1"/>
            </w14:solidFill>
          </w14:textFill>
        </w:rPr>
        <w:t>、确定成交供应商</w:t>
      </w:r>
    </w:p>
    <w:p w14:paraId="396DDCFE">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19.1</w:t>
      </w:r>
      <w:r>
        <w:rPr>
          <w:rFonts w:hint="eastAsia" w:ascii="宋体" w:hAnsi="宋体" w:cs="宋体"/>
          <w:color w:val="000000" w:themeColor="text1"/>
          <w:sz w:val="24"/>
          <w:szCs w:val="24"/>
          <w:highlight w:val="none"/>
          <w14:textFill>
            <w14:solidFill>
              <w14:schemeClr w14:val="tx1"/>
            </w14:solidFill>
          </w14:textFill>
        </w:rPr>
        <w:t>采购人应当在收到评审报告后</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4596B52">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19.2</w:t>
      </w:r>
      <w:r>
        <w:rPr>
          <w:rFonts w:hint="eastAsia" w:ascii="宋体" w:hAnsi="宋体" w:cs="宋体"/>
          <w:color w:val="000000" w:themeColor="text1"/>
          <w:sz w:val="24"/>
          <w:szCs w:val="24"/>
          <w:highlight w:val="none"/>
          <w14:textFill>
            <w14:solidFill>
              <w14:schemeClr w14:val="tx1"/>
            </w14:solidFill>
          </w14:textFill>
        </w:rPr>
        <w:t>采购人或者采购代理机构应当在成交供应商确定后</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个工作日内，在省级以上财政部门指定的政府采购信息发布媒体上公告成交结果，同时向成交供应商发出成交通知书。</w:t>
      </w:r>
    </w:p>
    <w:p w14:paraId="45457A2C">
      <w:pPr>
        <w:adjustRightIn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20</w:t>
      </w:r>
      <w:r>
        <w:rPr>
          <w:rFonts w:hint="eastAsia" w:ascii="宋体" w:hAnsi="宋体" w:cs="宋体"/>
          <w:b/>
          <w:bCs/>
          <w:color w:val="000000" w:themeColor="text1"/>
          <w:sz w:val="24"/>
          <w:szCs w:val="24"/>
          <w:highlight w:val="none"/>
          <w14:textFill>
            <w14:solidFill>
              <w14:schemeClr w14:val="tx1"/>
            </w14:solidFill>
          </w14:textFill>
        </w:rPr>
        <w:t>、签订合同</w:t>
      </w:r>
    </w:p>
    <w:p w14:paraId="7EE7CFF1">
      <w:pPr>
        <w:pStyle w:val="58"/>
        <w:snapToGrid w:val="0"/>
        <w:spacing w:before="0" w:line="336" w:lineRule="auto"/>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20.1. </w:t>
      </w:r>
      <w:r>
        <w:rPr>
          <w:rFonts w:hint="eastAsia" w:ascii="宋体" w:hAnsi="宋体" w:cs="宋体"/>
          <w:color w:val="000000" w:themeColor="text1"/>
          <w:highlight w:val="none"/>
          <w14:textFill>
            <w14:solidFill>
              <w14:schemeClr w14:val="tx1"/>
            </w14:solidFill>
          </w14:textFill>
        </w:rPr>
        <w:t>采购人与成交供应商应当在成交通知书发出之日起</w:t>
      </w:r>
      <w:r>
        <w:rPr>
          <w:rFonts w:ascii="宋体" w:hAnsi="宋体" w:cs="宋体"/>
          <w:color w:val="000000" w:themeColor="text1"/>
          <w:highlight w:val="none"/>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日内，按照磋商文件确定的合同文本以及采购标的、规格型号、采购金额、采购数量、技术和服务要求等事项签订政府采购合同。</w:t>
      </w:r>
    </w:p>
    <w:p w14:paraId="12789732">
      <w:pPr>
        <w:pStyle w:val="58"/>
        <w:snapToGrid w:val="0"/>
        <w:spacing w:before="0" w:line="336" w:lineRule="auto"/>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20.2. </w:t>
      </w:r>
      <w:r>
        <w:rPr>
          <w:rFonts w:hint="eastAsia" w:ascii="宋体" w:hAnsi="宋体" w:cs="宋体"/>
          <w:color w:val="000000" w:themeColor="text1"/>
          <w:highlight w:val="none"/>
          <w14:textFill>
            <w14:solidFill>
              <w14:schemeClr w14:val="tx1"/>
            </w14:solidFill>
          </w14:textFill>
        </w:rPr>
        <w:t>成交供应商拒绝签订政府采购合同的，采购人可以按照《政府采购竞争性磋商采购方式管理暂行办法》（财库〔</w:t>
      </w:r>
      <w:r>
        <w:rPr>
          <w:rFonts w:ascii="宋体" w:hAnsi="宋体" w:cs="宋体"/>
          <w:color w:val="000000" w:themeColor="text1"/>
          <w:highlight w:val="none"/>
          <w14:textFill>
            <w14:solidFill>
              <w14:schemeClr w14:val="tx1"/>
            </w14:solidFill>
          </w14:textFill>
        </w:rPr>
        <w:t>2014</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214</w:t>
      </w:r>
      <w:r>
        <w:rPr>
          <w:rFonts w:hint="eastAsia" w:ascii="宋体" w:hAnsi="宋体" w:cs="宋体"/>
          <w:color w:val="000000" w:themeColor="text1"/>
          <w:highlight w:val="none"/>
          <w14:textFill>
            <w14:solidFill>
              <w14:schemeClr w14:val="tx1"/>
            </w14:solidFill>
          </w14:textFill>
        </w:rPr>
        <w:t>号）第二十八条第二款规定的原则确定其他供应商作为成交供应商并签订政府采购合同，也可以重新开展采购活动。拒绝签订政府采购合同的成交供应商不得参加对该项目重新开展的采购活动。</w:t>
      </w:r>
    </w:p>
    <w:p w14:paraId="3A80BF49">
      <w:pPr>
        <w:adjustRightInd w:val="0"/>
        <w:snapToGri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21</w:t>
      </w:r>
      <w:r>
        <w:rPr>
          <w:rFonts w:hint="eastAsia" w:ascii="宋体" w:hAnsi="宋体" w:cs="宋体"/>
          <w:b/>
          <w:bCs/>
          <w:color w:val="000000" w:themeColor="text1"/>
          <w:sz w:val="24"/>
          <w:szCs w:val="24"/>
          <w:highlight w:val="none"/>
          <w14:textFill>
            <w14:solidFill>
              <w14:schemeClr w14:val="tx1"/>
            </w14:solidFill>
          </w14:textFill>
        </w:rPr>
        <w:t>、解释权</w:t>
      </w:r>
    </w:p>
    <w:p w14:paraId="788AA6B5">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磋商文件的解释权均属于</w:t>
      </w:r>
      <w:r>
        <w:rPr>
          <w:rFonts w:hint="eastAsia" w:ascii="宋体" w:hAnsi="宋体" w:cs="宋体"/>
          <w:color w:val="000000" w:themeColor="text1"/>
          <w:sz w:val="24"/>
          <w:szCs w:val="24"/>
          <w:highlight w:val="none"/>
          <w:u w:val="single"/>
          <w:lang w:eastAsia="zh-CN"/>
          <w14:textFill>
            <w14:solidFill>
              <w14:schemeClr w14:val="tx1"/>
            </w14:solidFill>
          </w14:textFill>
        </w:rPr>
        <w:t>绍兴市上虞区水利局</w:t>
      </w:r>
      <w:r>
        <w:rPr>
          <w:rFonts w:hint="eastAsia" w:ascii="宋体" w:hAnsi="宋体" w:cs="宋体"/>
          <w:color w:val="000000" w:themeColor="text1"/>
          <w:sz w:val="24"/>
          <w:szCs w:val="24"/>
          <w:highlight w:val="none"/>
          <w14:textFill>
            <w14:solidFill>
              <w14:schemeClr w14:val="tx1"/>
            </w14:solidFill>
          </w14:textFill>
        </w:rPr>
        <w:t>和</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浙江建科工程项目管理有限公司</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0563AD46">
      <w:pPr>
        <w:pStyle w:val="2"/>
        <w:jc w:val="center"/>
        <w:rPr>
          <w:rFonts w:cs="Times New Roman"/>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bookmarkStart w:id="67" w:name="_Toc13003"/>
      <w:bookmarkStart w:id="68" w:name="_Toc21248"/>
      <w:r>
        <w:rPr>
          <w:rFonts w:hint="eastAsia"/>
          <w:color w:val="000000" w:themeColor="text1"/>
          <w:sz w:val="36"/>
          <w:szCs w:val="36"/>
          <w:highlight w:val="none"/>
          <w14:textFill>
            <w14:solidFill>
              <w14:schemeClr w14:val="tx1"/>
            </w14:solidFill>
          </w14:textFill>
        </w:rPr>
        <w:t xml:space="preserve">第三部分 </w:t>
      </w:r>
      <w:r>
        <w:rPr>
          <w:rFonts w:hint="eastAsia" w:cs="宋体"/>
          <w:color w:val="000000" w:themeColor="text1"/>
          <w:sz w:val="36"/>
          <w:szCs w:val="36"/>
          <w:highlight w:val="none"/>
          <w14:textFill>
            <w14:solidFill>
              <w14:schemeClr w14:val="tx1"/>
            </w14:solidFill>
          </w14:textFill>
        </w:rPr>
        <w:t>采购内容及要求</w:t>
      </w:r>
      <w:bookmarkEnd w:id="67"/>
      <w:bookmarkEnd w:id="68"/>
    </w:p>
    <w:p w14:paraId="494674E4">
      <w:pPr>
        <w:pStyle w:val="3"/>
        <w:jc w:val="center"/>
        <w:rPr>
          <w:color w:val="000000" w:themeColor="text1"/>
          <w:highlight w:val="none"/>
          <w14:textFill>
            <w14:solidFill>
              <w14:schemeClr w14:val="tx1"/>
            </w14:solidFill>
          </w14:textFill>
        </w:rPr>
      </w:pPr>
      <w:bookmarkStart w:id="69" w:name="_Toc15443"/>
      <w:bookmarkStart w:id="70" w:name="_Toc25073"/>
      <w:bookmarkStart w:id="71" w:name="_Toc15284"/>
      <w:r>
        <w:rPr>
          <w:rFonts w:hint="eastAsia"/>
          <w:color w:val="000000" w:themeColor="text1"/>
          <w:highlight w:val="none"/>
          <w14:textFill>
            <w14:solidFill>
              <w14:schemeClr w14:val="tx1"/>
            </w14:solidFill>
          </w14:textFill>
        </w:rPr>
        <w:t xml:space="preserve">第一章 </w:t>
      </w:r>
      <w:bookmarkStart w:id="72" w:name="_Toc506107120"/>
      <w:r>
        <w:rPr>
          <w:rFonts w:hint="eastAsia"/>
          <w:color w:val="000000" w:themeColor="text1"/>
          <w:highlight w:val="none"/>
          <w14:textFill>
            <w14:solidFill>
              <w14:schemeClr w14:val="tx1"/>
            </w14:solidFill>
          </w14:textFill>
        </w:rPr>
        <w:t>采购内容及要求</w:t>
      </w:r>
      <w:bookmarkEnd w:id="69"/>
      <w:bookmarkEnd w:id="70"/>
      <w:bookmarkEnd w:id="72"/>
    </w:p>
    <w:p w14:paraId="623047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bookmarkStart w:id="73" w:name="_Toc21027"/>
      <w:bookmarkStart w:id="74" w:name="_Toc12256"/>
      <w:bookmarkStart w:id="75" w:name="_Toc506107121"/>
      <w:bookmarkStart w:id="76" w:name="_Toc22912"/>
      <w:r>
        <w:rPr>
          <w:rFonts w:hint="eastAsia" w:ascii="宋体" w:hAnsi="宋体" w:eastAsia="宋体" w:cs="宋体"/>
          <w:b/>
          <w:bCs/>
          <w:color w:val="auto"/>
          <w:kern w:val="2"/>
          <w:sz w:val="24"/>
          <w:szCs w:val="24"/>
          <w:lang w:val="en-US" w:eastAsia="zh-CN" w:bidi="ar-SA"/>
        </w:rPr>
        <w:t>一、</w:t>
      </w:r>
      <w:r>
        <w:rPr>
          <w:rFonts w:hint="eastAsia" w:eastAsia="宋体" w:cs="宋体"/>
          <w:b/>
          <w:bCs/>
          <w:color w:val="auto"/>
          <w:sz w:val="24"/>
          <w:szCs w:val="24"/>
          <w:highlight w:val="none"/>
          <w:lang w:val="en-US" w:eastAsia="zh-CN"/>
        </w:rPr>
        <w:t>项目背景</w:t>
      </w:r>
    </w:p>
    <w:p w14:paraId="543DEA1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贯彻落实党的二十届三中全会《决定》精神，进一步全面深化改革水利安全生产工作，水利工程安全运行风险管控“六项机制”创建任务已被列入《浙江水利2025年工作要点和重点工作清单》，现根据水利部、浙江省水利厅和绍兴市水利局关于构建水利安全生产风险管控“六项机制”的有关要求，开展2025年上虞区水库、堤防等</w:t>
      </w:r>
      <w:r>
        <w:rPr>
          <w:rFonts w:hint="eastAsia" w:ascii="宋体" w:hAnsi="宋体" w:cs="宋体"/>
          <w:b w:val="0"/>
          <w:bCs w:val="0"/>
          <w:color w:val="auto"/>
          <w:sz w:val="24"/>
          <w:szCs w:val="24"/>
          <w:highlight w:val="none"/>
          <w:lang w:val="en-US" w:eastAsia="zh-CN"/>
        </w:rPr>
        <w:t>2025年水库堤防等水利工程安全生产风险管控“六项机制”创建项目</w:t>
      </w:r>
      <w:r>
        <w:rPr>
          <w:rFonts w:hint="eastAsia" w:ascii="宋体" w:hAnsi="宋体" w:eastAsia="宋体" w:cs="宋体"/>
          <w:b w:val="0"/>
          <w:bCs w:val="0"/>
          <w:color w:val="auto"/>
          <w:sz w:val="24"/>
          <w:szCs w:val="24"/>
          <w:highlight w:val="none"/>
          <w:lang w:val="en-US" w:eastAsia="zh-CN"/>
        </w:rPr>
        <w:t>。</w:t>
      </w:r>
    </w:p>
    <w:p w14:paraId="5BCA31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二、</w:t>
      </w:r>
      <w:r>
        <w:rPr>
          <w:rFonts w:hint="eastAsia" w:eastAsia="宋体" w:cs="宋体"/>
          <w:b/>
          <w:bCs/>
          <w:color w:val="auto"/>
          <w:sz w:val="24"/>
          <w:szCs w:val="24"/>
          <w:highlight w:val="none"/>
          <w:lang w:val="en-US" w:eastAsia="zh-CN"/>
        </w:rPr>
        <w:t>工作范围</w:t>
      </w:r>
    </w:p>
    <w:p w14:paraId="6064A39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开展上虞区51座水库、25段堤防、36座电排站等水利工程水利安全生产风险管控“六项机制”创建，5座水电站水利安全生产风险管控“六项机制”创建的技术指导。</w:t>
      </w:r>
    </w:p>
    <w:p w14:paraId="391036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20" w:firstLineChars="200"/>
        <w:textAlignment w:val="auto"/>
        <w:rPr>
          <w:rFonts w:hint="eastAsia"/>
          <w:lang w:val="en-US" w:eastAsia="zh-CN"/>
        </w:rPr>
      </w:pPr>
      <w:r>
        <w:rPr>
          <w:rFonts w:hint="eastAsia" w:ascii="Times New Roman" w:hAnsi="Times New Roman" w:eastAsia="宋体" w:cs="Times New Roman"/>
          <w:kern w:val="2"/>
          <w:sz w:val="21"/>
          <w:szCs w:val="21"/>
          <w:lang w:val="en-US" w:eastAsia="zh-CN" w:bidi="ar-SA"/>
        </w:rPr>
        <w:t>三、</w:t>
      </w:r>
      <w:r>
        <w:rPr>
          <w:rFonts w:hint="eastAsia" w:eastAsia="宋体" w:cs="宋体"/>
          <w:b/>
          <w:bCs/>
          <w:color w:val="auto"/>
          <w:sz w:val="24"/>
          <w:szCs w:val="24"/>
          <w:highlight w:val="none"/>
          <w:lang w:val="en-US" w:eastAsia="zh-CN"/>
        </w:rPr>
        <w:t>工作内容</w:t>
      </w:r>
    </w:p>
    <w:p w14:paraId="31ADFBB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1、搜集资料</w:t>
      </w:r>
    </w:p>
    <w:p w14:paraId="3D43D1D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根据上述水利工程的相关情况派遣专家和工作人员到现场搜集已有资料，从查找机制、研判机制、预警机制、防范机制、处置机制、责任机制等六个方面进行资料搜集。</w:t>
      </w:r>
    </w:p>
    <w:p w14:paraId="59635A3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2、查看现场</w:t>
      </w:r>
    </w:p>
    <w:p w14:paraId="6DE4964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专家及工作人员查看各现场管控措施是否到位，风险等级研判是否合理。</w:t>
      </w:r>
    </w:p>
    <w:p w14:paraId="51AF1EC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3、创建初步评估</w:t>
      </w:r>
    </w:p>
    <w:p w14:paraId="67A9406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根据搜集的资料和现场情况对各水利工程水利安全生产风险管控“六项机制”创建工作进行初步评估，并对“六项机制”相关现场和台账做出初步指导。</w:t>
      </w:r>
    </w:p>
    <w:p w14:paraId="105A55D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4、台账指导及补充完善</w:t>
      </w:r>
    </w:p>
    <w:p w14:paraId="4AD9D7EB">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A.指导编写每座水利工程《构建安全生产风险管控“六项机制”工作实施方案》；</w:t>
      </w:r>
    </w:p>
    <w:p w14:paraId="26CFF5E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B.指导每座水利工程修订原有的应急预案；</w:t>
      </w:r>
    </w:p>
    <w:p w14:paraId="6EB4FB9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C.指导每座水利工程危险源辨识与风险评价；</w:t>
      </w:r>
    </w:p>
    <w:p w14:paraId="2204F40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D.指导编写重大危险源应急预案；</w:t>
      </w:r>
    </w:p>
    <w:p w14:paraId="24CC11C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E.指导编写每座水利工程《危险源辨识与风险评价报告》；</w:t>
      </w:r>
    </w:p>
    <w:p w14:paraId="46BF40D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F.指导编写每座水利工程《重大危险源专项档案》；</w:t>
      </w:r>
    </w:p>
    <w:p w14:paraId="4D5ED64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G.指导每座水利工程隐患排查治理资料、动态更新危险源等。 </w:t>
      </w:r>
    </w:p>
    <w:p w14:paraId="3BAA685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5、现场标志标牌等制作</w:t>
      </w:r>
    </w:p>
    <w:p w14:paraId="74B47E1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通过专家及工作人员现场查看，制作并安装“六项机制”所需的标志标牌等。</w:t>
      </w:r>
    </w:p>
    <w:p w14:paraId="47E4E73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6、整改</w:t>
      </w:r>
    </w:p>
    <w:p w14:paraId="43E2E9F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专家和工作人员指导各水利工程水利安全生产风险管控“六项机制”创建工作的落实执行情况，对现场和台账需整改和完善的地方进行指导，按照《构建水利安全生产风险管控“六项机制”工作指导手册》要求协助完善现场和台账。</w:t>
      </w:r>
    </w:p>
    <w:p w14:paraId="5EEC612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7、验收</w:t>
      </w:r>
    </w:p>
    <w:p w14:paraId="1942058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对整改后的现场和台账按水利安全生产风险管控“六项机制”要求进行预验收，协助各水利工程备齐构建水利安全生产风险管控“六项机制”创建资料，提交后，最终通过验收。</w:t>
      </w:r>
    </w:p>
    <w:p w14:paraId="4B74CEC3">
      <w:pPr>
        <w:rPr>
          <w:rFonts w:hint="eastAsia"/>
          <w:lang w:val="en-US" w:eastAsia="zh-CN"/>
        </w:rPr>
      </w:pPr>
    </w:p>
    <w:p w14:paraId="23EC6FA5">
      <w:pPr>
        <w:widowControl/>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lang w:val="en-US" w:eastAsia="zh-CN"/>
        </w:rPr>
        <w:t>51座</w:t>
      </w:r>
      <w:r>
        <w:rPr>
          <w:rFonts w:hint="eastAsia" w:ascii="宋体" w:hAnsi="宋体" w:eastAsia="宋体" w:cs="宋体"/>
          <w:bCs/>
          <w:sz w:val="32"/>
          <w:szCs w:val="32"/>
        </w:rPr>
        <w:t>小型水库工程</w:t>
      </w:r>
      <w:r>
        <w:rPr>
          <w:rFonts w:hint="eastAsia" w:ascii="宋体" w:hAnsi="宋体" w:eastAsia="宋体" w:cs="宋体"/>
          <w:bCs/>
          <w:sz w:val="32"/>
          <w:szCs w:val="32"/>
          <w:lang w:eastAsia="zh-CN"/>
        </w:rPr>
        <w:t>清单</w:t>
      </w:r>
    </w:p>
    <w:tbl>
      <w:tblPr>
        <w:tblStyle w:val="31"/>
        <w:tblW w:w="4895" w:type="pct"/>
        <w:tblInd w:w="-176" w:type="dxa"/>
        <w:tblLayout w:type="fixed"/>
        <w:tblCellMar>
          <w:top w:w="0" w:type="dxa"/>
          <w:left w:w="108" w:type="dxa"/>
          <w:bottom w:w="0" w:type="dxa"/>
          <w:right w:w="108" w:type="dxa"/>
        </w:tblCellMar>
      </w:tblPr>
      <w:tblGrid>
        <w:gridCol w:w="759"/>
        <w:gridCol w:w="1970"/>
        <w:gridCol w:w="3004"/>
        <w:gridCol w:w="885"/>
        <w:gridCol w:w="1245"/>
        <w:gridCol w:w="1065"/>
      </w:tblGrid>
      <w:tr w14:paraId="3DADA021">
        <w:tblPrEx>
          <w:tblCellMar>
            <w:top w:w="0" w:type="dxa"/>
            <w:left w:w="108" w:type="dxa"/>
            <w:bottom w:w="0" w:type="dxa"/>
            <w:right w:w="108" w:type="dxa"/>
          </w:tblCellMar>
        </w:tblPrEx>
        <w:trPr>
          <w:trHeight w:val="55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06CA5FB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974" w:type="dxa"/>
            <w:gridSpan w:val="2"/>
            <w:tcBorders>
              <w:top w:val="single" w:color="auto" w:sz="4" w:space="0"/>
              <w:left w:val="nil"/>
              <w:bottom w:val="single" w:color="auto" w:sz="4" w:space="0"/>
              <w:right w:val="single" w:color="000000" w:sz="4" w:space="0"/>
            </w:tcBorders>
            <w:noWrap w:val="0"/>
            <w:vAlign w:val="center"/>
          </w:tcPr>
          <w:p w14:paraId="238302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885" w:type="dxa"/>
            <w:tcBorders>
              <w:top w:val="single" w:color="auto" w:sz="4" w:space="0"/>
              <w:left w:val="nil"/>
              <w:bottom w:val="single" w:color="auto" w:sz="4" w:space="0"/>
              <w:right w:val="single" w:color="auto" w:sz="4" w:space="0"/>
            </w:tcBorders>
            <w:noWrap/>
            <w:vAlign w:val="center"/>
          </w:tcPr>
          <w:p w14:paraId="32E732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245" w:type="dxa"/>
            <w:tcBorders>
              <w:top w:val="single" w:color="auto" w:sz="4" w:space="0"/>
              <w:left w:val="nil"/>
              <w:bottom w:val="single" w:color="auto" w:sz="4" w:space="0"/>
              <w:right w:val="single" w:color="auto" w:sz="4" w:space="0"/>
            </w:tcBorders>
            <w:noWrap/>
            <w:vAlign w:val="center"/>
          </w:tcPr>
          <w:p w14:paraId="28D350C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065" w:type="dxa"/>
            <w:tcBorders>
              <w:top w:val="single" w:color="auto" w:sz="4" w:space="0"/>
              <w:left w:val="nil"/>
              <w:bottom w:val="single" w:color="auto" w:sz="4" w:space="0"/>
              <w:right w:val="single" w:color="auto" w:sz="4" w:space="0"/>
            </w:tcBorders>
            <w:noWrap/>
            <w:vAlign w:val="center"/>
          </w:tcPr>
          <w:p w14:paraId="4A6519DA">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备注</w:t>
            </w:r>
          </w:p>
        </w:tc>
      </w:tr>
      <w:tr w14:paraId="4874AB82">
        <w:tblPrEx>
          <w:tblCellMar>
            <w:top w:w="0" w:type="dxa"/>
            <w:left w:w="108" w:type="dxa"/>
            <w:bottom w:w="0" w:type="dxa"/>
            <w:right w:w="108" w:type="dxa"/>
          </w:tblCellMar>
        </w:tblPrEx>
        <w:trPr>
          <w:trHeight w:val="855" w:hRule="atLeast"/>
        </w:trPr>
        <w:tc>
          <w:tcPr>
            <w:tcW w:w="759" w:type="dxa"/>
            <w:tcBorders>
              <w:top w:val="nil"/>
              <w:left w:val="single" w:color="auto" w:sz="4" w:space="0"/>
              <w:bottom w:val="single" w:color="auto" w:sz="4" w:space="0"/>
              <w:right w:val="single" w:color="auto" w:sz="4" w:space="0"/>
            </w:tcBorders>
            <w:noWrap w:val="0"/>
            <w:vAlign w:val="center"/>
          </w:tcPr>
          <w:p w14:paraId="601426B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70" w:type="dxa"/>
            <w:tcBorders>
              <w:top w:val="nil"/>
              <w:left w:val="nil"/>
              <w:bottom w:val="single" w:color="auto" w:sz="4" w:space="0"/>
              <w:right w:val="single" w:color="auto" w:sz="4" w:space="0"/>
            </w:tcBorders>
            <w:noWrap w:val="0"/>
            <w:vAlign w:val="center"/>
          </w:tcPr>
          <w:p w14:paraId="542048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资料搜集以及现场踏勘</w:t>
            </w:r>
          </w:p>
        </w:tc>
        <w:tc>
          <w:tcPr>
            <w:tcW w:w="3004" w:type="dxa"/>
            <w:tcBorders>
              <w:top w:val="nil"/>
              <w:left w:val="nil"/>
              <w:bottom w:val="single" w:color="auto" w:sz="4" w:space="0"/>
              <w:right w:val="single" w:color="auto" w:sz="4" w:space="0"/>
            </w:tcBorders>
            <w:noWrap w:val="0"/>
            <w:vAlign w:val="center"/>
          </w:tcPr>
          <w:p w14:paraId="1D8733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拟投入人员2人，暂按1工日完成</w:t>
            </w:r>
          </w:p>
        </w:tc>
        <w:tc>
          <w:tcPr>
            <w:tcW w:w="885" w:type="dxa"/>
            <w:tcBorders>
              <w:top w:val="nil"/>
              <w:left w:val="nil"/>
              <w:bottom w:val="single" w:color="auto" w:sz="4" w:space="0"/>
              <w:right w:val="single" w:color="auto" w:sz="4" w:space="0"/>
            </w:tcBorders>
            <w:noWrap/>
            <w:vAlign w:val="center"/>
          </w:tcPr>
          <w:p w14:paraId="697A15B9">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245" w:type="dxa"/>
            <w:tcBorders>
              <w:top w:val="nil"/>
              <w:left w:val="nil"/>
              <w:bottom w:val="single" w:color="auto" w:sz="4" w:space="0"/>
              <w:right w:val="single" w:color="auto" w:sz="4" w:space="0"/>
            </w:tcBorders>
            <w:noWrap/>
            <w:vAlign w:val="center"/>
          </w:tcPr>
          <w:p w14:paraId="3CDF5821">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项</w:t>
            </w:r>
          </w:p>
        </w:tc>
        <w:tc>
          <w:tcPr>
            <w:tcW w:w="1065" w:type="dxa"/>
            <w:tcBorders>
              <w:top w:val="nil"/>
              <w:left w:val="nil"/>
              <w:bottom w:val="single" w:color="auto" w:sz="4" w:space="0"/>
              <w:right w:val="single" w:color="auto" w:sz="4" w:space="0"/>
            </w:tcBorders>
            <w:noWrap/>
            <w:vAlign w:val="center"/>
          </w:tcPr>
          <w:p w14:paraId="5B2CF2C7">
            <w:pPr>
              <w:widowControl/>
              <w:jc w:val="center"/>
              <w:rPr>
                <w:rFonts w:hint="eastAsia" w:ascii="宋体" w:hAnsi="宋体" w:eastAsia="宋体" w:cs="宋体"/>
                <w:color w:val="000000"/>
                <w:kern w:val="0"/>
                <w:sz w:val="24"/>
                <w:szCs w:val="24"/>
              </w:rPr>
            </w:pPr>
          </w:p>
        </w:tc>
      </w:tr>
      <w:tr w14:paraId="2DE1AEDA">
        <w:tblPrEx>
          <w:tblCellMar>
            <w:top w:w="0" w:type="dxa"/>
            <w:left w:w="108" w:type="dxa"/>
            <w:bottom w:w="0" w:type="dxa"/>
            <w:right w:w="108" w:type="dxa"/>
          </w:tblCellMar>
        </w:tblPrEx>
        <w:trPr>
          <w:trHeight w:val="855" w:hRule="atLeast"/>
        </w:trPr>
        <w:tc>
          <w:tcPr>
            <w:tcW w:w="759" w:type="dxa"/>
            <w:tcBorders>
              <w:top w:val="nil"/>
              <w:left w:val="single" w:color="auto" w:sz="4" w:space="0"/>
              <w:bottom w:val="single" w:color="auto" w:sz="4" w:space="0"/>
              <w:right w:val="single" w:color="auto" w:sz="4" w:space="0"/>
            </w:tcBorders>
            <w:noWrap w:val="0"/>
            <w:vAlign w:val="center"/>
          </w:tcPr>
          <w:p w14:paraId="34D8F48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70" w:type="dxa"/>
            <w:tcBorders>
              <w:top w:val="nil"/>
              <w:left w:val="nil"/>
              <w:bottom w:val="single" w:color="auto" w:sz="4" w:space="0"/>
              <w:right w:val="single" w:color="auto" w:sz="4" w:space="0"/>
            </w:tcBorders>
            <w:noWrap w:val="0"/>
            <w:vAlign w:val="center"/>
          </w:tcPr>
          <w:p w14:paraId="1F0374C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台账整理、指导及补充完善</w:t>
            </w:r>
          </w:p>
        </w:tc>
        <w:tc>
          <w:tcPr>
            <w:tcW w:w="3004" w:type="dxa"/>
            <w:tcBorders>
              <w:top w:val="nil"/>
              <w:left w:val="nil"/>
              <w:bottom w:val="single" w:color="auto" w:sz="4" w:space="0"/>
              <w:right w:val="single" w:color="auto" w:sz="4" w:space="0"/>
            </w:tcBorders>
            <w:noWrap w:val="0"/>
            <w:vAlign w:val="center"/>
          </w:tcPr>
          <w:p w14:paraId="5FA37AF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拟投入人员3人员，暂按3工日完成</w:t>
            </w:r>
          </w:p>
        </w:tc>
        <w:tc>
          <w:tcPr>
            <w:tcW w:w="885" w:type="dxa"/>
            <w:tcBorders>
              <w:top w:val="nil"/>
              <w:left w:val="nil"/>
              <w:bottom w:val="single" w:color="auto" w:sz="4" w:space="0"/>
              <w:right w:val="single" w:color="auto" w:sz="4" w:space="0"/>
            </w:tcBorders>
            <w:noWrap/>
            <w:vAlign w:val="center"/>
          </w:tcPr>
          <w:p w14:paraId="1C03BA84">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245" w:type="dxa"/>
            <w:tcBorders>
              <w:top w:val="nil"/>
              <w:left w:val="nil"/>
              <w:bottom w:val="single" w:color="auto" w:sz="4" w:space="0"/>
              <w:right w:val="single" w:color="auto" w:sz="4" w:space="0"/>
            </w:tcBorders>
            <w:noWrap/>
            <w:vAlign w:val="center"/>
          </w:tcPr>
          <w:p w14:paraId="4F801D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w:t>
            </w:r>
          </w:p>
        </w:tc>
        <w:tc>
          <w:tcPr>
            <w:tcW w:w="1065" w:type="dxa"/>
            <w:tcBorders>
              <w:top w:val="nil"/>
              <w:left w:val="nil"/>
              <w:bottom w:val="single" w:color="auto" w:sz="4" w:space="0"/>
              <w:right w:val="single" w:color="auto" w:sz="4" w:space="0"/>
            </w:tcBorders>
            <w:noWrap/>
            <w:vAlign w:val="center"/>
          </w:tcPr>
          <w:p w14:paraId="64FE7099">
            <w:pPr>
              <w:widowControl/>
              <w:jc w:val="center"/>
              <w:rPr>
                <w:rFonts w:hint="eastAsia" w:ascii="宋体" w:hAnsi="宋体" w:eastAsia="宋体" w:cs="宋体"/>
                <w:color w:val="000000"/>
                <w:kern w:val="0"/>
                <w:sz w:val="24"/>
                <w:szCs w:val="24"/>
              </w:rPr>
            </w:pPr>
          </w:p>
        </w:tc>
      </w:tr>
      <w:tr w14:paraId="18B74F2D">
        <w:tblPrEx>
          <w:tblCellMar>
            <w:top w:w="0" w:type="dxa"/>
            <w:left w:w="108" w:type="dxa"/>
            <w:bottom w:w="0" w:type="dxa"/>
            <w:right w:w="108" w:type="dxa"/>
          </w:tblCellMar>
        </w:tblPrEx>
        <w:trPr>
          <w:trHeight w:val="1140" w:hRule="atLeast"/>
        </w:trPr>
        <w:tc>
          <w:tcPr>
            <w:tcW w:w="759" w:type="dxa"/>
            <w:vMerge w:val="restart"/>
            <w:tcBorders>
              <w:top w:val="nil"/>
              <w:left w:val="single" w:color="auto" w:sz="4" w:space="0"/>
              <w:bottom w:val="single" w:color="auto" w:sz="4" w:space="0"/>
              <w:right w:val="single" w:color="auto" w:sz="4" w:space="0"/>
            </w:tcBorders>
            <w:noWrap w:val="0"/>
            <w:vAlign w:val="center"/>
          </w:tcPr>
          <w:p w14:paraId="55ED1A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70" w:type="dxa"/>
            <w:vMerge w:val="restart"/>
            <w:tcBorders>
              <w:top w:val="nil"/>
              <w:left w:val="single" w:color="auto" w:sz="4" w:space="0"/>
              <w:bottom w:val="single" w:color="auto" w:sz="4" w:space="0"/>
              <w:right w:val="single" w:color="auto" w:sz="4" w:space="0"/>
            </w:tcBorders>
            <w:noWrap w:val="0"/>
            <w:vAlign w:val="center"/>
          </w:tcPr>
          <w:p w14:paraId="12EB38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标志牌设计、制作、安装等费用</w:t>
            </w:r>
          </w:p>
        </w:tc>
        <w:tc>
          <w:tcPr>
            <w:tcW w:w="3004" w:type="dxa"/>
            <w:tcBorders>
              <w:top w:val="nil"/>
              <w:left w:val="nil"/>
              <w:bottom w:val="single" w:color="auto" w:sz="4" w:space="0"/>
              <w:right w:val="single" w:color="auto" w:sz="4" w:space="0"/>
            </w:tcBorders>
            <w:noWrap w:val="0"/>
            <w:vAlign w:val="center"/>
          </w:tcPr>
          <w:p w14:paraId="582117A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重大危险源警示牌（尺寸0.6*0.9</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5A03CF4A">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1020</w:t>
            </w:r>
          </w:p>
        </w:tc>
        <w:tc>
          <w:tcPr>
            <w:tcW w:w="1245" w:type="dxa"/>
            <w:tcBorders>
              <w:top w:val="nil"/>
              <w:left w:val="nil"/>
              <w:bottom w:val="single" w:color="auto" w:sz="4" w:space="0"/>
              <w:right w:val="single" w:color="auto" w:sz="4" w:space="0"/>
            </w:tcBorders>
            <w:noWrap/>
            <w:vAlign w:val="center"/>
          </w:tcPr>
          <w:p w14:paraId="1DEDF44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56C6B286">
            <w:pPr>
              <w:widowControl/>
              <w:jc w:val="center"/>
              <w:rPr>
                <w:rFonts w:hint="eastAsia" w:ascii="宋体" w:hAnsi="宋体" w:eastAsia="宋体" w:cs="宋体"/>
                <w:color w:val="000000"/>
                <w:kern w:val="0"/>
                <w:sz w:val="24"/>
                <w:szCs w:val="24"/>
              </w:rPr>
            </w:pPr>
          </w:p>
        </w:tc>
      </w:tr>
      <w:tr w14:paraId="1D6769D3">
        <w:tblPrEx>
          <w:tblCellMar>
            <w:top w:w="0" w:type="dxa"/>
            <w:left w:w="108" w:type="dxa"/>
            <w:bottom w:w="0" w:type="dxa"/>
            <w:right w:w="108" w:type="dxa"/>
          </w:tblCellMar>
        </w:tblPrEx>
        <w:trPr>
          <w:trHeight w:val="1140" w:hRule="atLeast"/>
        </w:trPr>
        <w:tc>
          <w:tcPr>
            <w:tcW w:w="759" w:type="dxa"/>
            <w:vMerge w:val="continue"/>
            <w:tcBorders>
              <w:top w:val="nil"/>
              <w:left w:val="single" w:color="auto" w:sz="4" w:space="0"/>
              <w:bottom w:val="single" w:color="auto" w:sz="4" w:space="0"/>
              <w:right w:val="single" w:color="auto" w:sz="4" w:space="0"/>
            </w:tcBorders>
            <w:noWrap w:val="0"/>
            <w:vAlign w:val="center"/>
          </w:tcPr>
          <w:p w14:paraId="2DA438D6">
            <w:pPr>
              <w:widowControl/>
              <w:jc w:val="left"/>
              <w:rPr>
                <w:rFonts w:hint="eastAsia" w:ascii="宋体" w:hAnsi="宋体" w:eastAsia="宋体" w:cs="宋体"/>
                <w:color w:val="000000"/>
                <w:kern w:val="0"/>
                <w:sz w:val="24"/>
                <w:szCs w:val="24"/>
              </w:rPr>
            </w:pPr>
          </w:p>
        </w:tc>
        <w:tc>
          <w:tcPr>
            <w:tcW w:w="1970" w:type="dxa"/>
            <w:vMerge w:val="continue"/>
            <w:tcBorders>
              <w:top w:val="nil"/>
              <w:left w:val="single" w:color="auto" w:sz="4" w:space="0"/>
              <w:bottom w:val="single" w:color="auto" w:sz="4" w:space="0"/>
              <w:right w:val="single" w:color="auto" w:sz="4" w:space="0"/>
            </w:tcBorders>
            <w:noWrap w:val="0"/>
            <w:vAlign w:val="center"/>
          </w:tcPr>
          <w:p w14:paraId="3E2893C3">
            <w:pPr>
              <w:widowControl/>
              <w:jc w:val="left"/>
              <w:rPr>
                <w:rFonts w:hint="eastAsia" w:ascii="宋体" w:hAnsi="宋体" w:eastAsia="宋体" w:cs="宋体"/>
                <w:color w:val="000000"/>
                <w:kern w:val="0"/>
                <w:sz w:val="24"/>
                <w:szCs w:val="24"/>
              </w:rPr>
            </w:pPr>
          </w:p>
        </w:tc>
        <w:tc>
          <w:tcPr>
            <w:tcW w:w="3004" w:type="dxa"/>
            <w:tcBorders>
              <w:top w:val="nil"/>
              <w:left w:val="nil"/>
              <w:bottom w:val="single" w:color="auto" w:sz="4" w:space="0"/>
              <w:right w:val="single" w:color="auto" w:sz="4" w:space="0"/>
            </w:tcBorders>
            <w:noWrap w:val="0"/>
            <w:vAlign w:val="center"/>
          </w:tcPr>
          <w:p w14:paraId="3D00954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安全风险告知牌（尺寸1.2*0.8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7F44FDA3">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w:t>
            </w:r>
          </w:p>
        </w:tc>
        <w:tc>
          <w:tcPr>
            <w:tcW w:w="1245" w:type="dxa"/>
            <w:tcBorders>
              <w:top w:val="nil"/>
              <w:left w:val="nil"/>
              <w:bottom w:val="single" w:color="auto" w:sz="4" w:space="0"/>
              <w:right w:val="single" w:color="auto" w:sz="4" w:space="0"/>
            </w:tcBorders>
            <w:noWrap/>
            <w:vAlign w:val="center"/>
          </w:tcPr>
          <w:p w14:paraId="3AAAFBE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1CA742E8">
            <w:pPr>
              <w:widowControl/>
              <w:jc w:val="center"/>
              <w:rPr>
                <w:rFonts w:hint="eastAsia" w:ascii="宋体" w:hAnsi="宋体" w:eastAsia="宋体" w:cs="宋体"/>
                <w:color w:val="000000"/>
                <w:kern w:val="0"/>
                <w:sz w:val="24"/>
                <w:szCs w:val="24"/>
              </w:rPr>
            </w:pPr>
          </w:p>
        </w:tc>
      </w:tr>
      <w:tr w14:paraId="236C87AB">
        <w:tblPrEx>
          <w:tblCellMar>
            <w:top w:w="0" w:type="dxa"/>
            <w:left w:w="108" w:type="dxa"/>
            <w:bottom w:w="0" w:type="dxa"/>
            <w:right w:w="108" w:type="dxa"/>
          </w:tblCellMar>
        </w:tblPrEx>
        <w:trPr>
          <w:trHeight w:val="855" w:hRule="atLeast"/>
        </w:trPr>
        <w:tc>
          <w:tcPr>
            <w:tcW w:w="759" w:type="dxa"/>
            <w:vMerge w:val="continue"/>
            <w:tcBorders>
              <w:top w:val="nil"/>
              <w:left w:val="single" w:color="auto" w:sz="4" w:space="0"/>
              <w:bottom w:val="single" w:color="auto" w:sz="4" w:space="0"/>
              <w:right w:val="single" w:color="auto" w:sz="4" w:space="0"/>
            </w:tcBorders>
            <w:noWrap w:val="0"/>
            <w:vAlign w:val="center"/>
          </w:tcPr>
          <w:p w14:paraId="0D80939E">
            <w:pPr>
              <w:widowControl/>
              <w:jc w:val="left"/>
              <w:rPr>
                <w:rFonts w:hint="eastAsia" w:ascii="宋体" w:hAnsi="宋体" w:eastAsia="宋体" w:cs="宋体"/>
                <w:color w:val="000000"/>
                <w:kern w:val="0"/>
                <w:sz w:val="24"/>
                <w:szCs w:val="24"/>
              </w:rPr>
            </w:pPr>
          </w:p>
        </w:tc>
        <w:tc>
          <w:tcPr>
            <w:tcW w:w="1970" w:type="dxa"/>
            <w:vMerge w:val="continue"/>
            <w:tcBorders>
              <w:top w:val="nil"/>
              <w:left w:val="single" w:color="auto" w:sz="4" w:space="0"/>
              <w:bottom w:val="single" w:color="auto" w:sz="4" w:space="0"/>
              <w:right w:val="single" w:color="auto" w:sz="4" w:space="0"/>
            </w:tcBorders>
            <w:noWrap w:val="0"/>
            <w:vAlign w:val="center"/>
          </w:tcPr>
          <w:p w14:paraId="48513EE0">
            <w:pPr>
              <w:widowControl/>
              <w:jc w:val="left"/>
              <w:rPr>
                <w:rFonts w:hint="eastAsia" w:ascii="宋体" w:hAnsi="宋体" w:eastAsia="宋体" w:cs="宋体"/>
                <w:color w:val="000000"/>
                <w:kern w:val="0"/>
                <w:sz w:val="24"/>
                <w:szCs w:val="24"/>
              </w:rPr>
            </w:pPr>
          </w:p>
        </w:tc>
        <w:tc>
          <w:tcPr>
            <w:tcW w:w="3004" w:type="dxa"/>
            <w:tcBorders>
              <w:top w:val="nil"/>
              <w:left w:val="nil"/>
              <w:bottom w:val="single" w:color="auto" w:sz="4" w:space="0"/>
              <w:right w:val="single" w:color="auto" w:sz="4" w:space="0"/>
            </w:tcBorders>
            <w:noWrap w:val="0"/>
            <w:vAlign w:val="center"/>
          </w:tcPr>
          <w:p w14:paraId="238D56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四色图牌（尺寸1.2*0.8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6AF00068">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w:t>
            </w:r>
          </w:p>
        </w:tc>
        <w:tc>
          <w:tcPr>
            <w:tcW w:w="1245" w:type="dxa"/>
            <w:tcBorders>
              <w:top w:val="nil"/>
              <w:left w:val="nil"/>
              <w:bottom w:val="single" w:color="auto" w:sz="4" w:space="0"/>
              <w:right w:val="single" w:color="auto" w:sz="4" w:space="0"/>
            </w:tcBorders>
            <w:noWrap/>
            <w:vAlign w:val="center"/>
          </w:tcPr>
          <w:p w14:paraId="30D08C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55E64950">
            <w:pPr>
              <w:widowControl/>
              <w:jc w:val="center"/>
              <w:rPr>
                <w:rFonts w:hint="eastAsia" w:ascii="宋体" w:hAnsi="宋体" w:eastAsia="宋体" w:cs="宋体"/>
                <w:color w:val="000000"/>
                <w:kern w:val="0"/>
                <w:sz w:val="24"/>
                <w:szCs w:val="24"/>
              </w:rPr>
            </w:pPr>
          </w:p>
        </w:tc>
      </w:tr>
    </w:tbl>
    <w:p w14:paraId="1FB9654B">
      <w:pPr>
        <w:widowControl/>
        <w:spacing w:line="360" w:lineRule="auto"/>
        <w:jc w:val="both"/>
        <w:rPr>
          <w:rFonts w:hint="eastAsia" w:ascii="宋体" w:hAnsi="宋体" w:eastAsia="宋体" w:cs="宋体"/>
          <w:bCs/>
          <w:sz w:val="24"/>
        </w:rPr>
      </w:pPr>
    </w:p>
    <w:p w14:paraId="3D94F9FF">
      <w:pPr>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br w:type="page"/>
      </w:r>
    </w:p>
    <w:p w14:paraId="2936ADA2">
      <w:pPr>
        <w:widowControl/>
        <w:spacing w:line="360" w:lineRule="auto"/>
        <w:jc w:val="center"/>
        <w:rPr>
          <w:rFonts w:hint="eastAsia" w:ascii="宋体" w:hAnsi="宋体" w:eastAsia="宋体" w:cs="宋体"/>
          <w:bCs/>
          <w:sz w:val="32"/>
          <w:szCs w:val="32"/>
        </w:rPr>
      </w:pPr>
      <w:r>
        <w:rPr>
          <w:rFonts w:hint="eastAsia" w:ascii="宋体" w:hAnsi="宋体" w:eastAsia="宋体" w:cs="宋体"/>
          <w:bCs/>
          <w:sz w:val="32"/>
          <w:szCs w:val="32"/>
          <w:lang w:val="en-US" w:eastAsia="zh-CN"/>
        </w:rPr>
        <w:t>25段</w:t>
      </w:r>
      <w:r>
        <w:rPr>
          <w:rFonts w:hint="eastAsia" w:ascii="宋体" w:hAnsi="宋体" w:eastAsia="宋体" w:cs="宋体"/>
          <w:bCs/>
          <w:sz w:val="32"/>
          <w:szCs w:val="32"/>
        </w:rPr>
        <w:t>堤防工程</w:t>
      </w:r>
      <w:r>
        <w:rPr>
          <w:rFonts w:hint="eastAsia" w:ascii="宋体" w:hAnsi="宋体" w:eastAsia="宋体" w:cs="宋体"/>
          <w:bCs/>
          <w:sz w:val="32"/>
          <w:szCs w:val="32"/>
          <w:lang w:eastAsia="zh-CN"/>
        </w:rPr>
        <w:t>清单</w:t>
      </w:r>
    </w:p>
    <w:tbl>
      <w:tblPr>
        <w:tblStyle w:val="31"/>
        <w:tblW w:w="4892" w:type="pct"/>
        <w:tblInd w:w="-176" w:type="dxa"/>
        <w:tblLayout w:type="fixed"/>
        <w:tblCellMar>
          <w:top w:w="0" w:type="dxa"/>
          <w:left w:w="108" w:type="dxa"/>
          <w:bottom w:w="0" w:type="dxa"/>
          <w:right w:w="108" w:type="dxa"/>
        </w:tblCellMar>
      </w:tblPr>
      <w:tblGrid>
        <w:gridCol w:w="759"/>
        <w:gridCol w:w="1749"/>
        <w:gridCol w:w="3219"/>
        <w:gridCol w:w="885"/>
        <w:gridCol w:w="1245"/>
        <w:gridCol w:w="1065"/>
      </w:tblGrid>
      <w:tr w14:paraId="0374911B">
        <w:tblPrEx>
          <w:tblCellMar>
            <w:top w:w="0" w:type="dxa"/>
            <w:left w:w="108" w:type="dxa"/>
            <w:bottom w:w="0" w:type="dxa"/>
            <w:right w:w="108" w:type="dxa"/>
          </w:tblCellMar>
        </w:tblPrEx>
        <w:trPr>
          <w:trHeight w:val="37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7B203A3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968" w:type="dxa"/>
            <w:gridSpan w:val="2"/>
            <w:tcBorders>
              <w:top w:val="single" w:color="auto" w:sz="4" w:space="0"/>
              <w:left w:val="nil"/>
              <w:bottom w:val="single" w:color="auto" w:sz="4" w:space="0"/>
              <w:right w:val="single" w:color="000000" w:sz="4" w:space="0"/>
            </w:tcBorders>
            <w:noWrap w:val="0"/>
            <w:vAlign w:val="center"/>
          </w:tcPr>
          <w:p w14:paraId="1B0915E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885" w:type="dxa"/>
            <w:tcBorders>
              <w:top w:val="single" w:color="auto" w:sz="4" w:space="0"/>
              <w:left w:val="nil"/>
              <w:bottom w:val="single" w:color="auto" w:sz="4" w:space="0"/>
              <w:right w:val="single" w:color="auto" w:sz="4" w:space="0"/>
            </w:tcBorders>
            <w:noWrap/>
            <w:vAlign w:val="center"/>
          </w:tcPr>
          <w:p w14:paraId="18F8711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245" w:type="dxa"/>
            <w:tcBorders>
              <w:top w:val="single" w:color="auto" w:sz="4" w:space="0"/>
              <w:left w:val="nil"/>
              <w:bottom w:val="single" w:color="auto" w:sz="4" w:space="0"/>
              <w:right w:val="single" w:color="auto" w:sz="4" w:space="0"/>
            </w:tcBorders>
            <w:noWrap/>
            <w:vAlign w:val="center"/>
          </w:tcPr>
          <w:p w14:paraId="63FD88F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065" w:type="dxa"/>
            <w:tcBorders>
              <w:top w:val="single" w:color="auto" w:sz="4" w:space="0"/>
              <w:left w:val="nil"/>
              <w:bottom w:val="single" w:color="auto" w:sz="4" w:space="0"/>
              <w:right w:val="single" w:color="auto" w:sz="4" w:space="0"/>
            </w:tcBorders>
            <w:noWrap/>
            <w:vAlign w:val="center"/>
          </w:tcPr>
          <w:p w14:paraId="7D388EF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备注</w:t>
            </w:r>
          </w:p>
        </w:tc>
      </w:tr>
      <w:tr w14:paraId="11ED551A">
        <w:tblPrEx>
          <w:tblCellMar>
            <w:top w:w="0" w:type="dxa"/>
            <w:left w:w="108" w:type="dxa"/>
            <w:bottom w:w="0" w:type="dxa"/>
            <w:right w:w="108" w:type="dxa"/>
          </w:tblCellMar>
        </w:tblPrEx>
        <w:trPr>
          <w:trHeight w:val="855" w:hRule="atLeast"/>
        </w:trPr>
        <w:tc>
          <w:tcPr>
            <w:tcW w:w="759" w:type="dxa"/>
            <w:tcBorders>
              <w:top w:val="nil"/>
              <w:left w:val="single" w:color="auto" w:sz="4" w:space="0"/>
              <w:bottom w:val="single" w:color="auto" w:sz="4" w:space="0"/>
              <w:right w:val="single" w:color="auto" w:sz="4" w:space="0"/>
            </w:tcBorders>
            <w:noWrap w:val="0"/>
            <w:vAlign w:val="center"/>
          </w:tcPr>
          <w:p w14:paraId="6179FC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49" w:type="dxa"/>
            <w:tcBorders>
              <w:top w:val="nil"/>
              <w:left w:val="nil"/>
              <w:bottom w:val="single" w:color="auto" w:sz="4" w:space="0"/>
              <w:right w:val="single" w:color="auto" w:sz="4" w:space="0"/>
            </w:tcBorders>
            <w:noWrap w:val="0"/>
            <w:vAlign w:val="center"/>
          </w:tcPr>
          <w:p w14:paraId="2F7A0B1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资料搜集以及现场踏勘</w:t>
            </w:r>
          </w:p>
        </w:tc>
        <w:tc>
          <w:tcPr>
            <w:tcW w:w="3219" w:type="dxa"/>
            <w:tcBorders>
              <w:top w:val="nil"/>
              <w:left w:val="nil"/>
              <w:bottom w:val="single" w:color="auto" w:sz="4" w:space="0"/>
              <w:right w:val="single" w:color="auto" w:sz="4" w:space="0"/>
            </w:tcBorders>
            <w:noWrap w:val="0"/>
            <w:vAlign w:val="center"/>
          </w:tcPr>
          <w:p w14:paraId="1373EFB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拟投入人员2人，暂按1工日完成</w:t>
            </w:r>
          </w:p>
        </w:tc>
        <w:tc>
          <w:tcPr>
            <w:tcW w:w="885" w:type="dxa"/>
            <w:tcBorders>
              <w:top w:val="nil"/>
              <w:left w:val="nil"/>
              <w:bottom w:val="single" w:color="auto" w:sz="4" w:space="0"/>
              <w:right w:val="single" w:color="auto" w:sz="4" w:space="0"/>
            </w:tcBorders>
            <w:noWrap/>
            <w:vAlign w:val="center"/>
          </w:tcPr>
          <w:p w14:paraId="1F4D6B1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245" w:type="dxa"/>
            <w:tcBorders>
              <w:top w:val="nil"/>
              <w:left w:val="nil"/>
              <w:bottom w:val="single" w:color="auto" w:sz="4" w:space="0"/>
              <w:right w:val="single" w:color="auto" w:sz="4" w:space="0"/>
            </w:tcBorders>
            <w:noWrap/>
            <w:vAlign w:val="center"/>
          </w:tcPr>
          <w:p w14:paraId="347802F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w:t>
            </w:r>
          </w:p>
        </w:tc>
        <w:tc>
          <w:tcPr>
            <w:tcW w:w="1065" w:type="dxa"/>
            <w:tcBorders>
              <w:top w:val="nil"/>
              <w:left w:val="nil"/>
              <w:bottom w:val="single" w:color="auto" w:sz="4" w:space="0"/>
              <w:right w:val="single" w:color="auto" w:sz="4" w:space="0"/>
            </w:tcBorders>
            <w:noWrap/>
            <w:vAlign w:val="center"/>
          </w:tcPr>
          <w:p w14:paraId="19ABBE63">
            <w:pPr>
              <w:widowControl/>
              <w:jc w:val="center"/>
              <w:rPr>
                <w:rFonts w:hint="eastAsia" w:ascii="宋体" w:hAnsi="宋体" w:eastAsia="宋体" w:cs="宋体"/>
                <w:color w:val="000000"/>
                <w:kern w:val="0"/>
                <w:sz w:val="24"/>
                <w:szCs w:val="24"/>
              </w:rPr>
            </w:pPr>
          </w:p>
        </w:tc>
      </w:tr>
      <w:tr w14:paraId="4D55968B">
        <w:tblPrEx>
          <w:tblCellMar>
            <w:top w:w="0" w:type="dxa"/>
            <w:left w:w="108" w:type="dxa"/>
            <w:bottom w:w="0" w:type="dxa"/>
            <w:right w:w="108" w:type="dxa"/>
          </w:tblCellMar>
        </w:tblPrEx>
        <w:trPr>
          <w:trHeight w:val="756" w:hRule="atLeast"/>
        </w:trPr>
        <w:tc>
          <w:tcPr>
            <w:tcW w:w="759" w:type="dxa"/>
            <w:tcBorders>
              <w:top w:val="nil"/>
              <w:left w:val="single" w:color="auto" w:sz="4" w:space="0"/>
              <w:bottom w:val="single" w:color="auto" w:sz="4" w:space="0"/>
              <w:right w:val="single" w:color="auto" w:sz="4" w:space="0"/>
            </w:tcBorders>
            <w:noWrap w:val="0"/>
            <w:vAlign w:val="center"/>
          </w:tcPr>
          <w:p w14:paraId="48EC366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749" w:type="dxa"/>
            <w:tcBorders>
              <w:top w:val="nil"/>
              <w:left w:val="nil"/>
              <w:bottom w:val="single" w:color="auto" w:sz="4" w:space="0"/>
              <w:right w:val="single" w:color="auto" w:sz="4" w:space="0"/>
            </w:tcBorders>
            <w:noWrap w:val="0"/>
            <w:vAlign w:val="center"/>
          </w:tcPr>
          <w:p w14:paraId="30AB229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台账整理、指导及补充完善</w:t>
            </w:r>
          </w:p>
        </w:tc>
        <w:tc>
          <w:tcPr>
            <w:tcW w:w="3219" w:type="dxa"/>
            <w:tcBorders>
              <w:top w:val="nil"/>
              <w:left w:val="nil"/>
              <w:bottom w:val="single" w:color="auto" w:sz="4" w:space="0"/>
              <w:right w:val="single" w:color="auto" w:sz="4" w:space="0"/>
            </w:tcBorders>
            <w:noWrap w:val="0"/>
            <w:vAlign w:val="center"/>
          </w:tcPr>
          <w:p w14:paraId="7820DC9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拟投入人员3人员，暂按3工日完成</w:t>
            </w:r>
          </w:p>
        </w:tc>
        <w:tc>
          <w:tcPr>
            <w:tcW w:w="885" w:type="dxa"/>
            <w:tcBorders>
              <w:top w:val="nil"/>
              <w:left w:val="nil"/>
              <w:bottom w:val="single" w:color="auto" w:sz="4" w:space="0"/>
              <w:right w:val="single" w:color="auto" w:sz="4" w:space="0"/>
            </w:tcBorders>
            <w:noWrap/>
            <w:vAlign w:val="center"/>
          </w:tcPr>
          <w:p w14:paraId="52E7CCD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245" w:type="dxa"/>
            <w:tcBorders>
              <w:top w:val="nil"/>
              <w:left w:val="nil"/>
              <w:bottom w:val="single" w:color="auto" w:sz="4" w:space="0"/>
              <w:right w:val="single" w:color="auto" w:sz="4" w:space="0"/>
            </w:tcBorders>
            <w:noWrap/>
            <w:vAlign w:val="center"/>
          </w:tcPr>
          <w:p w14:paraId="632AA12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w:t>
            </w:r>
          </w:p>
        </w:tc>
        <w:tc>
          <w:tcPr>
            <w:tcW w:w="1065" w:type="dxa"/>
            <w:tcBorders>
              <w:top w:val="nil"/>
              <w:left w:val="nil"/>
              <w:bottom w:val="single" w:color="auto" w:sz="4" w:space="0"/>
              <w:right w:val="single" w:color="auto" w:sz="4" w:space="0"/>
            </w:tcBorders>
            <w:noWrap/>
            <w:vAlign w:val="center"/>
          </w:tcPr>
          <w:p w14:paraId="16183734">
            <w:pPr>
              <w:widowControl/>
              <w:jc w:val="center"/>
              <w:rPr>
                <w:rFonts w:hint="eastAsia" w:ascii="宋体" w:hAnsi="宋体" w:eastAsia="宋体" w:cs="宋体"/>
                <w:color w:val="000000"/>
                <w:kern w:val="0"/>
                <w:sz w:val="24"/>
                <w:szCs w:val="24"/>
              </w:rPr>
            </w:pPr>
          </w:p>
        </w:tc>
      </w:tr>
      <w:tr w14:paraId="13C0B239">
        <w:tblPrEx>
          <w:tblCellMar>
            <w:top w:w="0" w:type="dxa"/>
            <w:left w:w="108" w:type="dxa"/>
            <w:bottom w:w="0" w:type="dxa"/>
            <w:right w:w="108" w:type="dxa"/>
          </w:tblCellMar>
        </w:tblPrEx>
        <w:trPr>
          <w:trHeight w:val="870" w:hRule="atLeast"/>
        </w:trPr>
        <w:tc>
          <w:tcPr>
            <w:tcW w:w="759" w:type="dxa"/>
            <w:vMerge w:val="restart"/>
            <w:tcBorders>
              <w:top w:val="nil"/>
              <w:left w:val="single" w:color="auto" w:sz="4" w:space="0"/>
              <w:bottom w:val="single" w:color="auto" w:sz="4" w:space="0"/>
              <w:right w:val="single" w:color="auto" w:sz="4" w:space="0"/>
            </w:tcBorders>
            <w:noWrap w:val="0"/>
            <w:vAlign w:val="center"/>
          </w:tcPr>
          <w:p w14:paraId="511B58F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749" w:type="dxa"/>
            <w:vMerge w:val="restart"/>
            <w:tcBorders>
              <w:top w:val="nil"/>
              <w:left w:val="single" w:color="auto" w:sz="4" w:space="0"/>
              <w:bottom w:val="single" w:color="auto" w:sz="4" w:space="0"/>
              <w:right w:val="single" w:color="auto" w:sz="4" w:space="0"/>
            </w:tcBorders>
            <w:noWrap w:val="0"/>
            <w:vAlign w:val="center"/>
          </w:tcPr>
          <w:p w14:paraId="1B3F82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标志牌设计、制作、安装等费用</w:t>
            </w:r>
          </w:p>
        </w:tc>
        <w:tc>
          <w:tcPr>
            <w:tcW w:w="3219" w:type="dxa"/>
            <w:tcBorders>
              <w:top w:val="nil"/>
              <w:left w:val="nil"/>
              <w:bottom w:val="single" w:color="auto" w:sz="4" w:space="0"/>
              <w:right w:val="single" w:color="auto" w:sz="4" w:space="0"/>
            </w:tcBorders>
            <w:noWrap w:val="0"/>
            <w:vAlign w:val="center"/>
          </w:tcPr>
          <w:p w14:paraId="45787B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重大危险源警示牌（尺寸0.6*0.9</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4EA07048">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375</w:t>
            </w:r>
          </w:p>
        </w:tc>
        <w:tc>
          <w:tcPr>
            <w:tcW w:w="1245" w:type="dxa"/>
            <w:tcBorders>
              <w:top w:val="nil"/>
              <w:left w:val="nil"/>
              <w:bottom w:val="single" w:color="auto" w:sz="4" w:space="0"/>
              <w:right w:val="single" w:color="auto" w:sz="4" w:space="0"/>
            </w:tcBorders>
            <w:noWrap/>
            <w:vAlign w:val="center"/>
          </w:tcPr>
          <w:p w14:paraId="647F367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29806D0D">
            <w:pPr>
              <w:widowControl/>
              <w:jc w:val="center"/>
              <w:rPr>
                <w:rFonts w:hint="eastAsia" w:ascii="宋体" w:hAnsi="宋体" w:eastAsia="宋体" w:cs="宋体"/>
                <w:color w:val="000000"/>
                <w:kern w:val="0"/>
                <w:sz w:val="24"/>
                <w:szCs w:val="24"/>
              </w:rPr>
            </w:pPr>
          </w:p>
        </w:tc>
      </w:tr>
      <w:tr w14:paraId="4D64629A">
        <w:tblPrEx>
          <w:tblCellMar>
            <w:top w:w="0" w:type="dxa"/>
            <w:left w:w="108" w:type="dxa"/>
            <w:bottom w:w="0" w:type="dxa"/>
            <w:right w:w="108" w:type="dxa"/>
          </w:tblCellMar>
        </w:tblPrEx>
        <w:trPr>
          <w:trHeight w:val="930" w:hRule="atLeast"/>
        </w:trPr>
        <w:tc>
          <w:tcPr>
            <w:tcW w:w="759" w:type="dxa"/>
            <w:vMerge w:val="continue"/>
            <w:tcBorders>
              <w:top w:val="nil"/>
              <w:left w:val="single" w:color="auto" w:sz="4" w:space="0"/>
              <w:bottom w:val="single" w:color="auto" w:sz="4" w:space="0"/>
              <w:right w:val="single" w:color="auto" w:sz="4" w:space="0"/>
            </w:tcBorders>
            <w:noWrap w:val="0"/>
            <w:vAlign w:val="center"/>
          </w:tcPr>
          <w:p w14:paraId="2CBBE190">
            <w:pPr>
              <w:widowControl/>
              <w:jc w:val="center"/>
              <w:rPr>
                <w:rFonts w:hint="eastAsia" w:ascii="宋体" w:hAnsi="宋体" w:eastAsia="宋体" w:cs="宋体"/>
                <w:color w:val="000000"/>
                <w:kern w:val="0"/>
                <w:sz w:val="24"/>
                <w:szCs w:val="24"/>
              </w:rPr>
            </w:pPr>
          </w:p>
        </w:tc>
        <w:tc>
          <w:tcPr>
            <w:tcW w:w="1749" w:type="dxa"/>
            <w:vMerge w:val="continue"/>
            <w:tcBorders>
              <w:top w:val="nil"/>
              <w:left w:val="single" w:color="auto" w:sz="4" w:space="0"/>
              <w:bottom w:val="single" w:color="auto" w:sz="4" w:space="0"/>
              <w:right w:val="single" w:color="auto" w:sz="4" w:space="0"/>
            </w:tcBorders>
            <w:noWrap w:val="0"/>
            <w:vAlign w:val="center"/>
          </w:tcPr>
          <w:p w14:paraId="76AA15D8">
            <w:pPr>
              <w:widowControl/>
              <w:jc w:val="center"/>
              <w:rPr>
                <w:rFonts w:hint="eastAsia" w:ascii="宋体" w:hAnsi="宋体" w:eastAsia="宋体" w:cs="宋体"/>
                <w:color w:val="000000"/>
                <w:kern w:val="0"/>
                <w:sz w:val="24"/>
                <w:szCs w:val="24"/>
              </w:rPr>
            </w:pPr>
          </w:p>
        </w:tc>
        <w:tc>
          <w:tcPr>
            <w:tcW w:w="3219" w:type="dxa"/>
            <w:tcBorders>
              <w:top w:val="nil"/>
              <w:left w:val="nil"/>
              <w:bottom w:val="single" w:color="auto" w:sz="4" w:space="0"/>
              <w:right w:val="single" w:color="auto" w:sz="4" w:space="0"/>
            </w:tcBorders>
            <w:noWrap w:val="0"/>
            <w:vAlign w:val="center"/>
          </w:tcPr>
          <w:p w14:paraId="47590CF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安全风险告知牌（尺寸1.2*0.8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13C48F0C">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w:t>
            </w:r>
          </w:p>
        </w:tc>
        <w:tc>
          <w:tcPr>
            <w:tcW w:w="1245" w:type="dxa"/>
            <w:tcBorders>
              <w:top w:val="nil"/>
              <w:left w:val="nil"/>
              <w:bottom w:val="single" w:color="auto" w:sz="4" w:space="0"/>
              <w:right w:val="single" w:color="auto" w:sz="4" w:space="0"/>
            </w:tcBorders>
            <w:noWrap/>
            <w:vAlign w:val="center"/>
          </w:tcPr>
          <w:p w14:paraId="665B513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48AD8D60">
            <w:pPr>
              <w:widowControl/>
              <w:jc w:val="center"/>
              <w:rPr>
                <w:rFonts w:hint="eastAsia" w:ascii="宋体" w:hAnsi="宋体" w:eastAsia="宋体" w:cs="宋体"/>
                <w:color w:val="000000"/>
                <w:kern w:val="0"/>
                <w:sz w:val="24"/>
                <w:szCs w:val="24"/>
              </w:rPr>
            </w:pPr>
          </w:p>
        </w:tc>
      </w:tr>
      <w:tr w14:paraId="7B9D01E0">
        <w:tblPrEx>
          <w:tblCellMar>
            <w:top w:w="0" w:type="dxa"/>
            <w:left w:w="108" w:type="dxa"/>
            <w:bottom w:w="0" w:type="dxa"/>
            <w:right w:w="108" w:type="dxa"/>
          </w:tblCellMar>
        </w:tblPrEx>
        <w:trPr>
          <w:trHeight w:val="855" w:hRule="atLeast"/>
        </w:trPr>
        <w:tc>
          <w:tcPr>
            <w:tcW w:w="759" w:type="dxa"/>
            <w:vMerge w:val="continue"/>
            <w:tcBorders>
              <w:top w:val="nil"/>
              <w:left w:val="single" w:color="auto" w:sz="4" w:space="0"/>
              <w:bottom w:val="single" w:color="auto" w:sz="4" w:space="0"/>
              <w:right w:val="single" w:color="auto" w:sz="4" w:space="0"/>
            </w:tcBorders>
            <w:noWrap w:val="0"/>
            <w:vAlign w:val="center"/>
          </w:tcPr>
          <w:p w14:paraId="7608284C">
            <w:pPr>
              <w:widowControl/>
              <w:jc w:val="center"/>
              <w:rPr>
                <w:rFonts w:hint="eastAsia" w:ascii="宋体" w:hAnsi="宋体" w:eastAsia="宋体" w:cs="宋体"/>
                <w:color w:val="000000"/>
                <w:kern w:val="0"/>
                <w:sz w:val="24"/>
                <w:szCs w:val="24"/>
              </w:rPr>
            </w:pPr>
          </w:p>
        </w:tc>
        <w:tc>
          <w:tcPr>
            <w:tcW w:w="1749" w:type="dxa"/>
            <w:vMerge w:val="continue"/>
            <w:tcBorders>
              <w:top w:val="nil"/>
              <w:left w:val="single" w:color="auto" w:sz="4" w:space="0"/>
              <w:bottom w:val="single" w:color="auto" w:sz="4" w:space="0"/>
              <w:right w:val="single" w:color="auto" w:sz="4" w:space="0"/>
            </w:tcBorders>
            <w:noWrap w:val="0"/>
            <w:vAlign w:val="center"/>
          </w:tcPr>
          <w:p w14:paraId="013C77C1">
            <w:pPr>
              <w:widowControl/>
              <w:jc w:val="center"/>
              <w:rPr>
                <w:rFonts w:hint="eastAsia" w:ascii="宋体" w:hAnsi="宋体" w:eastAsia="宋体" w:cs="宋体"/>
                <w:color w:val="000000"/>
                <w:kern w:val="0"/>
                <w:sz w:val="24"/>
                <w:szCs w:val="24"/>
              </w:rPr>
            </w:pPr>
          </w:p>
        </w:tc>
        <w:tc>
          <w:tcPr>
            <w:tcW w:w="3219" w:type="dxa"/>
            <w:tcBorders>
              <w:top w:val="nil"/>
              <w:left w:val="nil"/>
              <w:bottom w:val="single" w:color="auto" w:sz="4" w:space="0"/>
              <w:right w:val="single" w:color="auto" w:sz="4" w:space="0"/>
            </w:tcBorders>
            <w:noWrap w:val="0"/>
            <w:vAlign w:val="center"/>
          </w:tcPr>
          <w:p w14:paraId="504FE83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四色图牌（尺寸1.2*0.8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537ADF29">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w:t>
            </w:r>
          </w:p>
        </w:tc>
        <w:tc>
          <w:tcPr>
            <w:tcW w:w="1245" w:type="dxa"/>
            <w:tcBorders>
              <w:top w:val="nil"/>
              <w:left w:val="nil"/>
              <w:bottom w:val="single" w:color="auto" w:sz="4" w:space="0"/>
              <w:right w:val="single" w:color="auto" w:sz="4" w:space="0"/>
            </w:tcBorders>
            <w:noWrap/>
            <w:vAlign w:val="center"/>
          </w:tcPr>
          <w:p w14:paraId="69F8F86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5BB47B86">
            <w:pPr>
              <w:widowControl/>
              <w:jc w:val="center"/>
              <w:rPr>
                <w:rFonts w:hint="eastAsia" w:ascii="宋体" w:hAnsi="宋体" w:eastAsia="宋体" w:cs="宋体"/>
                <w:color w:val="000000"/>
                <w:kern w:val="0"/>
                <w:sz w:val="24"/>
                <w:szCs w:val="24"/>
              </w:rPr>
            </w:pPr>
          </w:p>
        </w:tc>
      </w:tr>
    </w:tbl>
    <w:p w14:paraId="7E6C5823">
      <w:pPr>
        <w:widowControl/>
        <w:spacing w:line="360" w:lineRule="auto"/>
        <w:jc w:val="both"/>
        <w:rPr>
          <w:rFonts w:hint="eastAsia" w:ascii="宋体" w:hAnsi="宋体" w:eastAsia="宋体" w:cs="宋体"/>
          <w:bCs/>
          <w:sz w:val="24"/>
        </w:rPr>
      </w:pPr>
    </w:p>
    <w:p w14:paraId="36E9359B">
      <w:pPr>
        <w:widowControl/>
        <w:spacing w:line="360" w:lineRule="auto"/>
        <w:jc w:val="center"/>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36座排涝站工程</w:t>
      </w:r>
      <w:r>
        <w:rPr>
          <w:rFonts w:hint="eastAsia" w:ascii="宋体" w:hAnsi="宋体" w:eastAsia="宋体" w:cs="宋体"/>
          <w:bCs/>
          <w:sz w:val="32"/>
          <w:szCs w:val="32"/>
          <w:lang w:eastAsia="zh-CN"/>
        </w:rPr>
        <w:t>清单</w:t>
      </w:r>
    </w:p>
    <w:tbl>
      <w:tblPr>
        <w:tblStyle w:val="31"/>
        <w:tblW w:w="4890" w:type="pct"/>
        <w:tblInd w:w="-176" w:type="dxa"/>
        <w:tblLayout w:type="fixed"/>
        <w:tblCellMar>
          <w:top w:w="0" w:type="dxa"/>
          <w:left w:w="108" w:type="dxa"/>
          <w:bottom w:w="0" w:type="dxa"/>
          <w:right w:w="108" w:type="dxa"/>
        </w:tblCellMar>
      </w:tblPr>
      <w:tblGrid>
        <w:gridCol w:w="760"/>
        <w:gridCol w:w="1968"/>
        <w:gridCol w:w="2988"/>
        <w:gridCol w:w="902"/>
        <w:gridCol w:w="1234"/>
        <w:gridCol w:w="1066"/>
      </w:tblGrid>
      <w:tr w14:paraId="41682771">
        <w:tblPrEx>
          <w:tblCellMar>
            <w:top w:w="0" w:type="dxa"/>
            <w:left w:w="108" w:type="dxa"/>
            <w:bottom w:w="0" w:type="dxa"/>
            <w:right w:w="108" w:type="dxa"/>
          </w:tblCellMar>
        </w:tblPrEx>
        <w:trPr>
          <w:trHeight w:val="28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7F47607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957" w:type="dxa"/>
            <w:gridSpan w:val="2"/>
            <w:tcBorders>
              <w:top w:val="single" w:color="auto" w:sz="4" w:space="0"/>
              <w:left w:val="nil"/>
              <w:bottom w:val="single" w:color="auto" w:sz="4" w:space="0"/>
              <w:right w:val="single" w:color="000000" w:sz="4" w:space="0"/>
            </w:tcBorders>
            <w:noWrap w:val="0"/>
            <w:vAlign w:val="center"/>
          </w:tcPr>
          <w:p w14:paraId="0A7164F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902" w:type="dxa"/>
            <w:tcBorders>
              <w:top w:val="single" w:color="auto" w:sz="4" w:space="0"/>
              <w:left w:val="nil"/>
              <w:bottom w:val="single" w:color="auto" w:sz="4" w:space="0"/>
              <w:right w:val="single" w:color="auto" w:sz="4" w:space="0"/>
            </w:tcBorders>
            <w:noWrap/>
            <w:vAlign w:val="center"/>
          </w:tcPr>
          <w:p w14:paraId="0433EF9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234" w:type="dxa"/>
            <w:tcBorders>
              <w:top w:val="single" w:color="auto" w:sz="4" w:space="0"/>
              <w:left w:val="nil"/>
              <w:bottom w:val="single" w:color="auto" w:sz="4" w:space="0"/>
              <w:right w:val="single" w:color="auto" w:sz="4" w:space="0"/>
            </w:tcBorders>
            <w:noWrap/>
            <w:vAlign w:val="center"/>
          </w:tcPr>
          <w:p w14:paraId="1F3EF42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066" w:type="dxa"/>
            <w:tcBorders>
              <w:top w:val="single" w:color="auto" w:sz="4" w:space="0"/>
              <w:left w:val="nil"/>
              <w:bottom w:val="single" w:color="auto" w:sz="4" w:space="0"/>
              <w:right w:val="single" w:color="auto" w:sz="4" w:space="0"/>
            </w:tcBorders>
            <w:noWrap/>
            <w:vAlign w:val="center"/>
          </w:tcPr>
          <w:p w14:paraId="3342760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备注</w:t>
            </w:r>
          </w:p>
        </w:tc>
      </w:tr>
      <w:tr w14:paraId="0F59DB0F">
        <w:tblPrEx>
          <w:tblCellMar>
            <w:top w:w="0" w:type="dxa"/>
            <w:left w:w="108" w:type="dxa"/>
            <w:bottom w:w="0" w:type="dxa"/>
            <w:right w:w="108" w:type="dxa"/>
          </w:tblCellMar>
        </w:tblPrEx>
        <w:trPr>
          <w:trHeight w:val="855" w:hRule="atLeast"/>
        </w:trPr>
        <w:tc>
          <w:tcPr>
            <w:tcW w:w="760" w:type="dxa"/>
            <w:tcBorders>
              <w:top w:val="nil"/>
              <w:left w:val="single" w:color="auto" w:sz="4" w:space="0"/>
              <w:bottom w:val="single" w:color="auto" w:sz="4" w:space="0"/>
              <w:right w:val="single" w:color="auto" w:sz="4" w:space="0"/>
            </w:tcBorders>
            <w:noWrap w:val="0"/>
            <w:vAlign w:val="center"/>
          </w:tcPr>
          <w:p w14:paraId="75CA98A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68" w:type="dxa"/>
            <w:tcBorders>
              <w:top w:val="nil"/>
              <w:left w:val="nil"/>
              <w:bottom w:val="single" w:color="auto" w:sz="4" w:space="0"/>
              <w:right w:val="single" w:color="auto" w:sz="4" w:space="0"/>
            </w:tcBorders>
            <w:noWrap w:val="0"/>
            <w:vAlign w:val="center"/>
          </w:tcPr>
          <w:p w14:paraId="1543AB8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资料搜集以及现场踏勘</w:t>
            </w:r>
          </w:p>
        </w:tc>
        <w:tc>
          <w:tcPr>
            <w:tcW w:w="2989" w:type="dxa"/>
            <w:tcBorders>
              <w:top w:val="nil"/>
              <w:left w:val="nil"/>
              <w:bottom w:val="single" w:color="auto" w:sz="4" w:space="0"/>
              <w:right w:val="single" w:color="auto" w:sz="4" w:space="0"/>
            </w:tcBorders>
            <w:noWrap w:val="0"/>
            <w:vAlign w:val="center"/>
          </w:tcPr>
          <w:p w14:paraId="299EB99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拟投入人员2人，暂按1工日完成</w:t>
            </w:r>
          </w:p>
        </w:tc>
        <w:tc>
          <w:tcPr>
            <w:tcW w:w="902" w:type="dxa"/>
            <w:tcBorders>
              <w:top w:val="nil"/>
              <w:left w:val="nil"/>
              <w:bottom w:val="single" w:color="auto" w:sz="4" w:space="0"/>
              <w:right w:val="single" w:color="auto" w:sz="4" w:space="0"/>
            </w:tcBorders>
            <w:noWrap/>
            <w:vAlign w:val="center"/>
          </w:tcPr>
          <w:p w14:paraId="7ED5B158">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234" w:type="dxa"/>
            <w:tcBorders>
              <w:top w:val="nil"/>
              <w:left w:val="nil"/>
              <w:bottom w:val="single" w:color="auto" w:sz="4" w:space="0"/>
              <w:right w:val="single" w:color="auto" w:sz="4" w:space="0"/>
            </w:tcBorders>
            <w:noWrap/>
            <w:vAlign w:val="center"/>
          </w:tcPr>
          <w:p w14:paraId="14F620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w:t>
            </w:r>
          </w:p>
        </w:tc>
        <w:tc>
          <w:tcPr>
            <w:tcW w:w="1066" w:type="dxa"/>
            <w:tcBorders>
              <w:top w:val="nil"/>
              <w:left w:val="nil"/>
              <w:bottom w:val="single" w:color="auto" w:sz="4" w:space="0"/>
              <w:right w:val="single" w:color="auto" w:sz="4" w:space="0"/>
            </w:tcBorders>
            <w:noWrap/>
            <w:vAlign w:val="center"/>
          </w:tcPr>
          <w:p w14:paraId="387CD0E8">
            <w:pPr>
              <w:widowControl/>
              <w:jc w:val="center"/>
              <w:rPr>
                <w:rFonts w:hint="eastAsia" w:ascii="宋体" w:hAnsi="宋体" w:eastAsia="宋体" w:cs="宋体"/>
                <w:color w:val="000000"/>
                <w:kern w:val="0"/>
                <w:sz w:val="24"/>
                <w:szCs w:val="24"/>
              </w:rPr>
            </w:pPr>
          </w:p>
        </w:tc>
      </w:tr>
      <w:tr w14:paraId="78386823">
        <w:tblPrEx>
          <w:tblCellMar>
            <w:top w:w="0" w:type="dxa"/>
            <w:left w:w="108" w:type="dxa"/>
            <w:bottom w:w="0" w:type="dxa"/>
            <w:right w:w="108" w:type="dxa"/>
          </w:tblCellMar>
        </w:tblPrEx>
        <w:trPr>
          <w:trHeight w:val="855" w:hRule="atLeast"/>
        </w:trPr>
        <w:tc>
          <w:tcPr>
            <w:tcW w:w="760" w:type="dxa"/>
            <w:tcBorders>
              <w:top w:val="nil"/>
              <w:left w:val="single" w:color="auto" w:sz="4" w:space="0"/>
              <w:bottom w:val="single" w:color="auto" w:sz="4" w:space="0"/>
              <w:right w:val="single" w:color="auto" w:sz="4" w:space="0"/>
            </w:tcBorders>
            <w:noWrap w:val="0"/>
            <w:vAlign w:val="center"/>
          </w:tcPr>
          <w:p w14:paraId="3C2EB54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68" w:type="dxa"/>
            <w:tcBorders>
              <w:top w:val="nil"/>
              <w:left w:val="nil"/>
              <w:bottom w:val="single" w:color="auto" w:sz="4" w:space="0"/>
              <w:right w:val="single" w:color="auto" w:sz="4" w:space="0"/>
            </w:tcBorders>
            <w:noWrap w:val="0"/>
            <w:vAlign w:val="center"/>
          </w:tcPr>
          <w:p w14:paraId="0A69AE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台账整理、指导及补充完善</w:t>
            </w:r>
          </w:p>
        </w:tc>
        <w:tc>
          <w:tcPr>
            <w:tcW w:w="2989" w:type="dxa"/>
            <w:tcBorders>
              <w:top w:val="nil"/>
              <w:left w:val="nil"/>
              <w:bottom w:val="single" w:color="auto" w:sz="4" w:space="0"/>
              <w:right w:val="single" w:color="auto" w:sz="4" w:space="0"/>
            </w:tcBorders>
            <w:noWrap w:val="0"/>
            <w:vAlign w:val="center"/>
          </w:tcPr>
          <w:p w14:paraId="2F7D4D7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拟投入人员2人员，暂按3工日完成</w:t>
            </w:r>
          </w:p>
        </w:tc>
        <w:tc>
          <w:tcPr>
            <w:tcW w:w="902" w:type="dxa"/>
            <w:tcBorders>
              <w:top w:val="nil"/>
              <w:left w:val="nil"/>
              <w:bottom w:val="single" w:color="auto" w:sz="4" w:space="0"/>
              <w:right w:val="single" w:color="auto" w:sz="4" w:space="0"/>
            </w:tcBorders>
            <w:noWrap/>
            <w:vAlign w:val="center"/>
          </w:tcPr>
          <w:p w14:paraId="1129B3A4">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234" w:type="dxa"/>
            <w:tcBorders>
              <w:top w:val="nil"/>
              <w:left w:val="nil"/>
              <w:bottom w:val="single" w:color="auto" w:sz="4" w:space="0"/>
              <w:right w:val="single" w:color="auto" w:sz="4" w:space="0"/>
            </w:tcBorders>
            <w:noWrap/>
            <w:vAlign w:val="center"/>
          </w:tcPr>
          <w:p w14:paraId="5C99E60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w:t>
            </w:r>
          </w:p>
        </w:tc>
        <w:tc>
          <w:tcPr>
            <w:tcW w:w="1066" w:type="dxa"/>
            <w:tcBorders>
              <w:top w:val="nil"/>
              <w:left w:val="nil"/>
              <w:bottom w:val="single" w:color="auto" w:sz="4" w:space="0"/>
              <w:right w:val="single" w:color="auto" w:sz="4" w:space="0"/>
            </w:tcBorders>
            <w:noWrap/>
            <w:vAlign w:val="center"/>
          </w:tcPr>
          <w:p w14:paraId="3EDD55A6">
            <w:pPr>
              <w:widowControl/>
              <w:jc w:val="center"/>
              <w:rPr>
                <w:rFonts w:hint="eastAsia" w:ascii="宋体" w:hAnsi="宋体" w:eastAsia="宋体" w:cs="宋体"/>
                <w:color w:val="000000"/>
                <w:kern w:val="0"/>
                <w:sz w:val="24"/>
                <w:szCs w:val="24"/>
              </w:rPr>
            </w:pPr>
          </w:p>
        </w:tc>
      </w:tr>
      <w:tr w14:paraId="1114521F">
        <w:tblPrEx>
          <w:tblCellMar>
            <w:top w:w="0" w:type="dxa"/>
            <w:left w:w="108" w:type="dxa"/>
            <w:bottom w:w="0" w:type="dxa"/>
            <w:right w:w="108" w:type="dxa"/>
          </w:tblCellMar>
        </w:tblPrEx>
        <w:trPr>
          <w:trHeight w:val="1140" w:hRule="atLeast"/>
        </w:trPr>
        <w:tc>
          <w:tcPr>
            <w:tcW w:w="760" w:type="dxa"/>
            <w:vMerge w:val="restart"/>
            <w:tcBorders>
              <w:top w:val="nil"/>
              <w:left w:val="single" w:color="auto" w:sz="4" w:space="0"/>
              <w:bottom w:val="single" w:color="auto" w:sz="4" w:space="0"/>
              <w:right w:val="single" w:color="auto" w:sz="4" w:space="0"/>
            </w:tcBorders>
            <w:noWrap w:val="0"/>
            <w:vAlign w:val="center"/>
          </w:tcPr>
          <w:p w14:paraId="09D0E4E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68" w:type="dxa"/>
            <w:vMerge w:val="restart"/>
            <w:tcBorders>
              <w:top w:val="nil"/>
              <w:left w:val="single" w:color="auto" w:sz="4" w:space="0"/>
              <w:bottom w:val="single" w:color="auto" w:sz="4" w:space="0"/>
              <w:right w:val="single" w:color="auto" w:sz="4" w:space="0"/>
            </w:tcBorders>
            <w:noWrap w:val="0"/>
            <w:vAlign w:val="center"/>
          </w:tcPr>
          <w:p w14:paraId="7DA08A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标志牌设计、制作、安装等费用</w:t>
            </w:r>
          </w:p>
        </w:tc>
        <w:tc>
          <w:tcPr>
            <w:tcW w:w="2989" w:type="dxa"/>
            <w:tcBorders>
              <w:top w:val="nil"/>
              <w:left w:val="nil"/>
              <w:bottom w:val="single" w:color="auto" w:sz="4" w:space="0"/>
              <w:right w:val="single" w:color="auto" w:sz="4" w:space="0"/>
            </w:tcBorders>
            <w:noWrap w:val="0"/>
            <w:vAlign w:val="center"/>
          </w:tcPr>
          <w:p w14:paraId="3C6C259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重大危险源警示牌（尺寸0.6*0.9</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02" w:type="dxa"/>
            <w:tcBorders>
              <w:top w:val="nil"/>
              <w:left w:val="nil"/>
              <w:bottom w:val="single" w:color="auto" w:sz="4" w:space="0"/>
              <w:right w:val="single" w:color="auto" w:sz="4" w:space="0"/>
            </w:tcBorders>
            <w:noWrap/>
            <w:vAlign w:val="center"/>
          </w:tcPr>
          <w:p w14:paraId="1E31427E">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360</w:t>
            </w:r>
          </w:p>
        </w:tc>
        <w:tc>
          <w:tcPr>
            <w:tcW w:w="1234" w:type="dxa"/>
            <w:tcBorders>
              <w:top w:val="nil"/>
              <w:left w:val="nil"/>
              <w:bottom w:val="single" w:color="auto" w:sz="4" w:space="0"/>
              <w:right w:val="single" w:color="auto" w:sz="4" w:space="0"/>
            </w:tcBorders>
            <w:noWrap/>
            <w:vAlign w:val="center"/>
          </w:tcPr>
          <w:p w14:paraId="44698B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6" w:type="dxa"/>
            <w:tcBorders>
              <w:top w:val="nil"/>
              <w:left w:val="nil"/>
              <w:bottom w:val="single" w:color="auto" w:sz="4" w:space="0"/>
              <w:right w:val="single" w:color="auto" w:sz="4" w:space="0"/>
            </w:tcBorders>
            <w:noWrap/>
            <w:vAlign w:val="center"/>
          </w:tcPr>
          <w:p w14:paraId="51163513">
            <w:pPr>
              <w:widowControl/>
              <w:jc w:val="center"/>
              <w:rPr>
                <w:rFonts w:hint="eastAsia" w:ascii="宋体" w:hAnsi="宋体" w:eastAsia="宋体" w:cs="宋体"/>
                <w:color w:val="000000"/>
                <w:kern w:val="0"/>
                <w:sz w:val="24"/>
                <w:szCs w:val="24"/>
              </w:rPr>
            </w:pPr>
          </w:p>
        </w:tc>
      </w:tr>
      <w:tr w14:paraId="2907F51B">
        <w:tblPrEx>
          <w:tblCellMar>
            <w:top w:w="0" w:type="dxa"/>
            <w:left w:w="108" w:type="dxa"/>
            <w:bottom w:w="0" w:type="dxa"/>
            <w:right w:w="108" w:type="dxa"/>
          </w:tblCellMar>
        </w:tblPrEx>
        <w:trPr>
          <w:trHeight w:val="1140" w:hRule="atLeast"/>
        </w:trPr>
        <w:tc>
          <w:tcPr>
            <w:tcW w:w="760" w:type="dxa"/>
            <w:vMerge w:val="continue"/>
            <w:tcBorders>
              <w:top w:val="nil"/>
              <w:left w:val="single" w:color="auto" w:sz="4" w:space="0"/>
              <w:bottom w:val="single" w:color="auto" w:sz="4" w:space="0"/>
              <w:right w:val="single" w:color="auto" w:sz="4" w:space="0"/>
            </w:tcBorders>
            <w:noWrap w:val="0"/>
            <w:vAlign w:val="center"/>
          </w:tcPr>
          <w:p w14:paraId="233A2586">
            <w:pPr>
              <w:widowControl/>
              <w:jc w:val="left"/>
              <w:rPr>
                <w:rFonts w:hint="eastAsia" w:ascii="宋体" w:hAnsi="宋体" w:eastAsia="宋体" w:cs="宋体"/>
                <w:color w:val="000000"/>
                <w:kern w:val="0"/>
                <w:sz w:val="24"/>
                <w:szCs w:val="24"/>
              </w:rPr>
            </w:pPr>
          </w:p>
        </w:tc>
        <w:tc>
          <w:tcPr>
            <w:tcW w:w="1968" w:type="dxa"/>
            <w:vMerge w:val="continue"/>
            <w:tcBorders>
              <w:top w:val="nil"/>
              <w:left w:val="single" w:color="auto" w:sz="4" w:space="0"/>
              <w:bottom w:val="single" w:color="auto" w:sz="4" w:space="0"/>
              <w:right w:val="single" w:color="auto" w:sz="4" w:space="0"/>
            </w:tcBorders>
            <w:noWrap w:val="0"/>
            <w:vAlign w:val="center"/>
          </w:tcPr>
          <w:p w14:paraId="572854CD">
            <w:pPr>
              <w:widowControl/>
              <w:jc w:val="left"/>
              <w:rPr>
                <w:rFonts w:hint="eastAsia" w:ascii="宋体" w:hAnsi="宋体" w:eastAsia="宋体" w:cs="宋体"/>
                <w:color w:val="000000"/>
                <w:kern w:val="0"/>
                <w:sz w:val="24"/>
                <w:szCs w:val="24"/>
              </w:rPr>
            </w:pPr>
          </w:p>
        </w:tc>
        <w:tc>
          <w:tcPr>
            <w:tcW w:w="2989" w:type="dxa"/>
            <w:tcBorders>
              <w:top w:val="nil"/>
              <w:left w:val="nil"/>
              <w:bottom w:val="single" w:color="auto" w:sz="4" w:space="0"/>
              <w:right w:val="single" w:color="auto" w:sz="4" w:space="0"/>
            </w:tcBorders>
            <w:noWrap w:val="0"/>
            <w:vAlign w:val="center"/>
          </w:tcPr>
          <w:p w14:paraId="09CC09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安全风险告知牌（尺寸1.2*0.8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02" w:type="dxa"/>
            <w:tcBorders>
              <w:top w:val="nil"/>
              <w:left w:val="nil"/>
              <w:bottom w:val="single" w:color="auto" w:sz="4" w:space="0"/>
              <w:right w:val="single" w:color="auto" w:sz="4" w:space="0"/>
            </w:tcBorders>
            <w:noWrap/>
            <w:vAlign w:val="center"/>
          </w:tcPr>
          <w:p w14:paraId="73961F74">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w:t>
            </w:r>
          </w:p>
        </w:tc>
        <w:tc>
          <w:tcPr>
            <w:tcW w:w="1234" w:type="dxa"/>
            <w:tcBorders>
              <w:top w:val="nil"/>
              <w:left w:val="nil"/>
              <w:bottom w:val="single" w:color="auto" w:sz="4" w:space="0"/>
              <w:right w:val="single" w:color="auto" w:sz="4" w:space="0"/>
            </w:tcBorders>
            <w:noWrap/>
            <w:vAlign w:val="center"/>
          </w:tcPr>
          <w:p w14:paraId="1398F46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6" w:type="dxa"/>
            <w:tcBorders>
              <w:top w:val="nil"/>
              <w:left w:val="nil"/>
              <w:bottom w:val="single" w:color="auto" w:sz="4" w:space="0"/>
              <w:right w:val="single" w:color="auto" w:sz="4" w:space="0"/>
            </w:tcBorders>
            <w:noWrap/>
            <w:vAlign w:val="center"/>
          </w:tcPr>
          <w:p w14:paraId="6344BF7E">
            <w:pPr>
              <w:widowControl/>
              <w:jc w:val="center"/>
              <w:rPr>
                <w:rFonts w:hint="eastAsia" w:ascii="宋体" w:hAnsi="宋体" w:eastAsia="宋体" w:cs="宋体"/>
                <w:color w:val="000000"/>
                <w:kern w:val="0"/>
                <w:sz w:val="24"/>
                <w:szCs w:val="24"/>
              </w:rPr>
            </w:pPr>
          </w:p>
        </w:tc>
      </w:tr>
      <w:tr w14:paraId="03BED54E">
        <w:tblPrEx>
          <w:tblCellMar>
            <w:top w:w="0" w:type="dxa"/>
            <w:left w:w="108" w:type="dxa"/>
            <w:bottom w:w="0" w:type="dxa"/>
            <w:right w:w="108" w:type="dxa"/>
          </w:tblCellMar>
        </w:tblPrEx>
        <w:trPr>
          <w:trHeight w:val="855" w:hRule="atLeast"/>
        </w:trPr>
        <w:tc>
          <w:tcPr>
            <w:tcW w:w="760" w:type="dxa"/>
            <w:vMerge w:val="continue"/>
            <w:tcBorders>
              <w:top w:val="nil"/>
              <w:left w:val="single" w:color="auto" w:sz="4" w:space="0"/>
              <w:bottom w:val="single" w:color="auto" w:sz="4" w:space="0"/>
              <w:right w:val="single" w:color="auto" w:sz="4" w:space="0"/>
            </w:tcBorders>
            <w:noWrap w:val="0"/>
            <w:vAlign w:val="center"/>
          </w:tcPr>
          <w:p w14:paraId="3E697448">
            <w:pPr>
              <w:widowControl/>
              <w:jc w:val="left"/>
              <w:rPr>
                <w:rFonts w:hint="eastAsia" w:ascii="宋体" w:hAnsi="宋体" w:eastAsia="宋体" w:cs="宋体"/>
                <w:color w:val="000000"/>
                <w:kern w:val="0"/>
                <w:sz w:val="24"/>
                <w:szCs w:val="24"/>
              </w:rPr>
            </w:pPr>
          </w:p>
        </w:tc>
        <w:tc>
          <w:tcPr>
            <w:tcW w:w="1968" w:type="dxa"/>
            <w:vMerge w:val="continue"/>
            <w:tcBorders>
              <w:top w:val="nil"/>
              <w:left w:val="single" w:color="auto" w:sz="4" w:space="0"/>
              <w:bottom w:val="single" w:color="auto" w:sz="4" w:space="0"/>
              <w:right w:val="single" w:color="auto" w:sz="4" w:space="0"/>
            </w:tcBorders>
            <w:noWrap w:val="0"/>
            <w:vAlign w:val="center"/>
          </w:tcPr>
          <w:p w14:paraId="704C1632">
            <w:pPr>
              <w:widowControl/>
              <w:jc w:val="left"/>
              <w:rPr>
                <w:rFonts w:hint="eastAsia" w:ascii="宋体" w:hAnsi="宋体" w:eastAsia="宋体" w:cs="宋体"/>
                <w:color w:val="000000"/>
                <w:kern w:val="0"/>
                <w:sz w:val="24"/>
                <w:szCs w:val="24"/>
              </w:rPr>
            </w:pPr>
          </w:p>
        </w:tc>
        <w:tc>
          <w:tcPr>
            <w:tcW w:w="2989" w:type="dxa"/>
            <w:tcBorders>
              <w:top w:val="nil"/>
              <w:left w:val="nil"/>
              <w:bottom w:val="single" w:color="auto" w:sz="4" w:space="0"/>
              <w:right w:val="single" w:color="auto" w:sz="4" w:space="0"/>
            </w:tcBorders>
            <w:noWrap w:val="0"/>
            <w:vAlign w:val="center"/>
          </w:tcPr>
          <w:p w14:paraId="2130D04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四色图牌（尺寸1.2*0.8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02" w:type="dxa"/>
            <w:tcBorders>
              <w:top w:val="nil"/>
              <w:left w:val="nil"/>
              <w:bottom w:val="single" w:color="auto" w:sz="4" w:space="0"/>
              <w:right w:val="single" w:color="auto" w:sz="4" w:space="0"/>
            </w:tcBorders>
            <w:noWrap/>
            <w:vAlign w:val="center"/>
          </w:tcPr>
          <w:p w14:paraId="546A89D0">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w:t>
            </w:r>
          </w:p>
        </w:tc>
        <w:tc>
          <w:tcPr>
            <w:tcW w:w="1234" w:type="dxa"/>
            <w:tcBorders>
              <w:top w:val="nil"/>
              <w:left w:val="nil"/>
              <w:bottom w:val="single" w:color="auto" w:sz="4" w:space="0"/>
              <w:right w:val="single" w:color="auto" w:sz="4" w:space="0"/>
            </w:tcBorders>
            <w:noWrap/>
            <w:vAlign w:val="center"/>
          </w:tcPr>
          <w:p w14:paraId="3CBA529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6" w:type="dxa"/>
            <w:tcBorders>
              <w:top w:val="nil"/>
              <w:left w:val="nil"/>
              <w:bottom w:val="single" w:color="auto" w:sz="4" w:space="0"/>
              <w:right w:val="single" w:color="auto" w:sz="4" w:space="0"/>
            </w:tcBorders>
            <w:noWrap/>
            <w:vAlign w:val="center"/>
          </w:tcPr>
          <w:p w14:paraId="78429D6E">
            <w:pPr>
              <w:widowControl/>
              <w:jc w:val="center"/>
              <w:rPr>
                <w:rFonts w:hint="eastAsia" w:ascii="宋体" w:hAnsi="宋体" w:eastAsia="宋体" w:cs="宋体"/>
                <w:color w:val="000000"/>
                <w:kern w:val="0"/>
                <w:sz w:val="24"/>
                <w:szCs w:val="24"/>
              </w:rPr>
            </w:pPr>
          </w:p>
        </w:tc>
      </w:tr>
    </w:tbl>
    <w:p w14:paraId="3A45672E">
      <w:pPr>
        <w:widowControl/>
        <w:spacing w:line="360" w:lineRule="auto"/>
        <w:jc w:val="both"/>
        <w:rPr>
          <w:rFonts w:hint="eastAsia" w:ascii="宋体" w:hAnsi="宋体" w:eastAsia="宋体" w:cs="宋体"/>
          <w:bCs/>
          <w:sz w:val="24"/>
        </w:rPr>
      </w:pPr>
    </w:p>
    <w:p w14:paraId="47377490">
      <w:pPr>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br w:type="page"/>
      </w:r>
    </w:p>
    <w:p w14:paraId="1CDF1FD1">
      <w:pPr>
        <w:widowControl/>
        <w:spacing w:line="360" w:lineRule="auto"/>
        <w:jc w:val="center"/>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5座水电站工程指导</w:t>
      </w:r>
      <w:r>
        <w:rPr>
          <w:rFonts w:hint="eastAsia" w:ascii="宋体" w:hAnsi="宋体" w:eastAsia="宋体" w:cs="宋体"/>
          <w:bCs/>
          <w:sz w:val="32"/>
          <w:szCs w:val="32"/>
          <w:lang w:eastAsia="zh-CN"/>
        </w:rPr>
        <w:t>清单</w:t>
      </w:r>
    </w:p>
    <w:tbl>
      <w:tblPr>
        <w:tblStyle w:val="31"/>
        <w:tblW w:w="4822" w:type="pct"/>
        <w:tblInd w:w="-176" w:type="dxa"/>
        <w:tblLayout w:type="fixed"/>
        <w:tblCellMar>
          <w:top w:w="0" w:type="dxa"/>
          <w:left w:w="108" w:type="dxa"/>
          <w:bottom w:w="0" w:type="dxa"/>
          <w:right w:w="108" w:type="dxa"/>
        </w:tblCellMar>
      </w:tblPr>
      <w:tblGrid>
        <w:gridCol w:w="760"/>
        <w:gridCol w:w="1830"/>
        <w:gridCol w:w="3129"/>
        <w:gridCol w:w="917"/>
        <w:gridCol w:w="1217"/>
        <w:gridCol w:w="941"/>
      </w:tblGrid>
      <w:tr w14:paraId="6F9F9E31">
        <w:tblPrEx>
          <w:tblCellMar>
            <w:top w:w="0" w:type="dxa"/>
            <w:left w:w="108" w:type="dxa"/>
            <w:bottom w:w="0" w:type="dxa"/>
            <w:right w:w="108" w:type="dxa"/>
          </w:tblCellMar>
        </w:tblPrEx>
        <w:trPr>
          <w:trHeight w:val="28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32B470E5">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4959" w:type="dxa"/>
            <w:gridSpan w:val="2"/>
            <w:tcBorders>
              <w:top w:val="single" w:color="auto" w:sz="4" w:space="0"/>
              <w:left w:val="nil"/>
              <w:bottom w:val="single" w:color="auto" w:sz="4" w:space="0"/>
              <w:right w:val="single" w:color="000000" w:sz="4" w:space="0"/>
            </w:tcBorders>
            <w:noWrap w:val="0"/>
            <w:vAlign w:val="center"/>
          </w:tcPr>
          <w:p w14:paraId="2D635250">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项目名称</w:t>
            </w:r>
          </w:p>
        </w:tc>
        <w:tc>
          <w:tcPr>
            <w:tcW w:w="917" w:type="dxa"/>
            <w:tcBorders>
              <w:top w:val="single" w:color="auto" w:sz="4" w:space="0"/>
              <w:left w:val="nil"/>
              <w:bottom w:val="single" w:color="auto" w:sz="4" w:space="0"/>
              <w:right w:val="single" w:color="auto" w:sz="4" w:space="0"/>
            </w:tcBorders>
            <w:noWrap/>
            <w:vAlign w:val="center"/>
          </w:tcPr>
          <w:p w14:paraId="33D701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数量</w:t>
            </w:r>
          </w:p>
        </w:tc>
        <w:tc>
          <w:tcPr>
            <w:tcW w:w="1217" w:type="dxa"/>
            <w:tcBorders>
              <w:top w:val="single" w:color="auto" w:sz="4" w:space="0"/>
              <w:left w:val="nil"/>
              <w:bottom w:val="single" w:color="auto" w:sz="4" w:space="0"/>
              <w:right w:val="single" w:color="auto" w:sz="4" w:space="0"/>
            </w:tcBorders>
            <w:noWrap/>
            <w:vAlign w:val="center"/>
          </w:tcPr>
          <w:p w14:paraId="516BA8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941" w:type="dxa"/>
            <w:tcBorders>
              <w:top w:val="single" w:color="auto" w:sz="4" w:space="0"/>
              <w:left w:val="nil"/>
              <w:bottom w:val="single" w:color="auto" w:sz="4" w:space="0"/>
              <w:right w:val="single" w:color="auto" w:sz="4" w:space="0"/>
            </w:tcBorders>
            <w:noWrap/>
            <w:vAlign w:val="center"/>
          </w:tcPr>
          <w:p w14:paraId="464BB2F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4"/>
                <w:szCs w:val="24"/>
                <w:lang w:eastAsia="zh-CN"/>
              </w:rPr>
              <w:t>备注</w:t>
            </w:r>
          </w:p>
        </w:tc>
      </w:tr>
      <w:tr w14:paraId="65106CCE">
        <w:tblPrEx>
          <w:tblCellMar>
            <w:top w:w="0" w:type="dxa"/>
            <w:left w:w="108" w:type="dxa"/>
            <w:bottom w:w="0" w:type="dxa"/>
            <w:right w:w="108" w:type="dxa"/>
          </w:tblCellMar>
        </w:tblPrEx>
        <w:trPr>
          <w:trHeight w:val="720" w:hRule="atLeast"/>
        </w:trPr>
        <w:tc>
          <w:tcPr>
            <w:tcW w:w="760" w:type="dxa"/>
            <w:tcBorders>
              <w:top w:val="nil"/>
              <w:left w:val="single" w:color="auto" w:sz="4" w:space="0"/>
              <w:bottom w:val="single" w:color="auto" w:sz="4" w:space="0"/>
              <w:right w:val="single" w:color="auto" w:sz="4" w:space="0"/>
            </w:tcBorders>
            <w:noWrap w:val="0"/>
            <w:vAlign w:val="center"/>
          </w:tcPr>
          <w:p w14:paraId="1C5362F6">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830" w:type="dxa"/>
            <w:tcBorders>
              <w:top w:val="nil"/>
              <w:left w:val="nil"/>
              <w:bottom w:val="single" w:color="auto" w:sz="4" w:space="0"/>
              <w:right w:val="single" w:color="auto" w:sz="4" w:space="0"/>
            </w:tcBorders>
            <w:noWrap w:val="0"/>
            <w:vAlign w:val="center"/>
          </w:tcPr>
          <w:p w14:paraId="45BB55C3">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资料搜集以及现场踏勘</w:t>
            </w:r>
          </w:p>
        </w:tc>
        <w:tc>
          <w:tcPr>
            <w:tcW w:w="3129" w:type="dxa"/>
            <w:tcBorders>
              <w:top w:val="nil"/>
              <w:left w:val="nil"/>
              <w:bottom w:val="single" w:color="auto" w:sz="4" w:space="0"/>
              <w:right w:val="single" w:color="auto" w:sz="4" w:space="0"/>
            </w:tcBorders>
            <w:noWrap w:val="0"/>
            <w:vAlign w:val="center"/>
          </w:tcPr>
          <w:p w14:paraId="5670134E">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拟投入人员2人，暂按1工日完成</w:t>
            </w:r>
          </w:p>
        </w:tc>
        <w:tc>
          <w:tcPr>
            <w:tcW w:w="917" w:type="dxa"/>
            <w:tcBorders>
              <w:top w:val="nil"/>
              <w:left w:val="nil"/>
              <w:bottom w:val="single" w:color="auto" w:sz="4" w:space="0"/>
              <w:right w:val="single" w:color="auto" w:sz="4" w:space="0"/>
            </w:tcBorders>
            <w:noWrap/>
            <w:vAlign w:val="center"/>
          </w:tcPr>
          <w:p w14:paraId="1D7A16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4"/>
                <w:szCs w:val="24"/>
                <w:lang w:val="en-US" w:eastAsia="zh-CN"/>
              </w:rPr>
              <w:t>1</w:t>
            </w:r>
          </w:p>
        </w:tc>
        <w:tc>
          <w:tcPr>
            <w:tcW w:w="1217" w:type="dxa"/>
            <w:tcBorders>
              <w:top w:val="nil"/>
              <w:left w:val="nil"/>
              <w:bottom w:val="single" w:color="auto" w:sz="4" w:space="0"/>
              <w:right w:val="single" w:color="auto" w:sz="4" w:space="0"/>
            </w:tcBorders>
            <w:noWrap/>
            <w:vAlign w:val="center"/>
          </w:tcPr>
          <w:p w14:paraId="6403FF3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4"/>
                <w:szCs w:val="24"/>
                <w:lang w:eastAsia="zh-CN"/>
              </w:rPr>
              <w:t>项</w:t>
            </w:r>
          </w:p>
        </w:tc>
        <w:tc>
          <w:tcPr>
            <w:tcW w:w="941" w:type="dxa"/>
            <w:tcBorders>
              <w:top w:val="nil"/>
              <w:left w:val="nil"/>
              <w:bottom w:val="single" w:color="auto" w:sz="4" w:space="0"/>
              <w:right w:val="single" w:color="auto" w:sz="4" w:space="0"/>
            </w:tcBorders>
            <w:noWrap/>
            <w:vAlign w:val="center"/>
          </w:tcPr>
          <w:p w14:paraId="6A0427A6">
            <w:pPr>
              <w:widowControl/>
              <w:jc w:val="center"/>
              <w:rPr>
                <w:rFonts w:hint="eastAsia" w:ascii="宋体" w:hAnsi="宋体" w:eastAsia="宋体" w:cs="宋体"/>
                <w:color w:val="000000"/>
                <w:kern w:val="0"/>
                <w:sz w:val="22"/>
                <w:szCs w:val="22"/>
              </w:rPr>
            </w:pPr>
          </w:p>
        </w:tc>
      </w:tr>
      <w:tr w14:paraId="772F6DE3">
        <w:tblPrEx>
          <w:tblCellMar>
            <w:top w:w="0" w:type="dxa"/>
            <w:left w:w="108" w:type="dxa"/>
            <w:bottom w:w="0" w:type="dxa"/>
            <w:right w:w="108" w:type="dxa"/>
          </w:tblCellMar>
        </w:tblPrEx>
        <w:trPr>
          <w:trHeight w:val="720" w:hRule="atLeast"/>
        </w:trPr>
        <w:tc>
          <w:tcPr>
            <w:tcW w:w="760" w:type="dxa"/>
            <w:tcBorders>
              <w:top w:val="nil"/>
              <w:left w:val="single" w:color="auto" w:sz="4" w:space="0"/>
              <w:bottom w:val="single" w:color="auto" w:sz="4" w:space="0"/>
              <w:right w:val="single" w:color="auto" w:sz="4" w:space="0"/>
            </w:tcBorders>
            <w:noWrap w:val="0"/>
            <w:vAlign w:val="center"/>
          </w:tcPr>
          <w:p w14:paraId="5BE9C3A5">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830" w:type="dxa"/>
            <w:tcBorders>
              <w:top w:val="nil"/>
              <w:left w:val="nil"/>
              <w:bottom w:val="single" w:color="auto" w:sz="4" w:space="0"/>
              <w:right w:val="single" w:color="auto" w:sz="4" w:space="0"/>
            </w:tcBorders>
            <w:noWrap w:val="0"/>
            <w:vAlign w:val="center"/>
          </w:tcPr>
          <w:p w14:paraId="3196A91B">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台账整理、指导及补充完善</w:t>
            </w:r>
          </w:p>
        </w:tc>
        <w:tc>
          <w:tcPr>
            <w:tcW w:w="3129" w:type="dxa"/>
            <w:tcBorders>
              <w:top w:val="nil"/>
              <w:left w:val="nil"/>
              <w:bottom w:val="single" w:color="auto" w:sz="4" w:space="0"/>
              <w:right w:val="single" w:color="auto" w:sz="4" w:space="0"/>
            </w:tcBorders>
            <w:noWrap w:val="0"/>
            <w:vAlign w:val="center"/>
          </w:tcPr>
          <w:p w14:paraId="2DFF4B47">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拟投入人员2人，暂按2工日完成</w:t>
            </w:r>
          </w:p>
        </w:tc>
        <w:tc>
          <w:tcPr>
            <w:tcW w:w="917" w:type="dxa"/>
            <w:tcBorders>
              <w:top w:val="nil"/>
              <w:left w:val="nil"/>
              <w:bottom w:val="single" w:color="auto" w:sz="4" w:space="0"/>
              <w:right w:val="single" w:color="auto" w:sz="4" w:space="0"/>
            </w:tcBorders>
            <w:noWrap/>
            <w:vAlign w:val="center"/>
          </w:tcPr>
          <w:p w14:paraId="3ACAB7B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4"/>
                <w:szCs w:val="24"/>
                <w:lang w:val="en-US" w:eastAsia="zh-CN"/>
              </w:rPr>
              <w:t>1</w:t>
            </w:r>
          </w:p>
        </w:tc>
        <w:tc>
          <w:tcPr>
            <w:tcW w:w="1217" w:type="dxa"/>
            <w:tcBorders>
              <w:top w:val="nil"/>
              <w:left w:val="nil"/>
              <w:bottom w:val="single" w:color="auto" w:sz="4" w:space="0"/>
              <w:right w:val="single" w:color="auto" w:sz="4" w:space="0"/>
            </w:tcBorders>
            <w:noWrap/>
            <w:vAlign w:val="center"/>
          </w:tcPr>
          <w:p w14:paraId="5DC429C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4"/>
                <w:szCs w:val="24"/>
                <w:lang w:eastAsia="zh-CN"/>
              </w:rPr>
              <w:t>项</w:t>
            </w:r>
          </w:p>
        </w:tc>
        <w:tc>
          <w:tcPr>
            <w:tcW w:w="941" w:type="dxa"/>
            <w:tcBorders>
              <w:top w:val="nil"/>
              <w:left w:val="nil"/>
              <w:bottom w:val="single" w:color="auto" w:sz="4" w:space="0"/>
              <w:right w:val="single" w:color="auto" w:sz="4" w:space="0"/>
            </w:tcBorders>
            <w:noWrap/>
            <w:vAlign w:val="center"/>
          </w:tcPr>
          <w:p w14:paraId="6C25A336">
            <w:pPr>
              <w:widowControl/>
              <w:jc w:val="center"/>
              <w:rPr>
                <w:rFonts w:hint="eastAsia" w:ascii="宋体" w:hAnsi="宋体" w:eastAsia="宋体" w:cs="宋体"/>
                <w:color w:val="000000"/>
                <w:kern w:val="0"/>
                <w:sz w:val="22"/>
                <w:szCs w:val="22"/>
              </w:rPr>
            </w:pPr>
          </w:p>
        </w:tc>
      </w:tr>
      <w:tr w14:paraId="053B5DBA">
        <w:tblPrEx>
          <w:tblCellMar>
            <w:top w:w="0" w:type="dxa"/>
            <w:left w:w="108" w:type="dxa"/>
            <w:bottom w:w="0" w:type="dxa"/>
            <w:right w:w="108" w:type="dxa"/>
          </w:tblCellMar>
        </w:tblPrEx>
        <w:trPr>
          <w:trHeight w:val="90" w:hRule="atLeast"/>
        </w:trPr>
        <w:tc>
          <w:tcPr>
            <w:tcW w:w="760" w:type="dxa"/>
            <w:vMerge w:val="restart"/>
            <w:tcBorders>
              <w:top w:val="nil"/>
              <w:left w:val="single" w:color="auto" w:sz="4" w:space="0"/>
              <w:bottom w:val="single" w:color="auto" w:sz="4" w:space="0"/>
              <w:right w:val="single" w:color="auto" w:sz="4" w:space="0"/>
            </w:tcBorders>
            <w:noWrap w:val="0"/>
            <w:vAlign w:val="center"/>
          </w:tcPr>
          <w:p w14:paraId="01793C14">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830" w:type="dxa"/>
            <w:vMerge w:val="restart"/>
            <w:tcBorders>
              <w:top w:val="nil"/>
              <w:left w:val="single" w:color="auto" w:sz="4" w:space="0"/>
              <w:bottom w:val="single" w:color="auto" w:sz="4" w:space="0"/>
              <w:right w:val="single" w:color="auto" w:sz="4" w:space="0"/>
            </w:tcBorders>
            <w:noWrap w:val="0"/>
            <w:vAlign w:val="center"/>
          </w:tcPr>
          <w:p w14:paraId="4C0CCE9E">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标志牌设计、制作、安装等费用</w:t>
            </w:r>
          </w:p>
        </w:tc>
        <w:tc>
          <w:tcPr>
            <w:tcW w:w="3129" w:type="dxa"/>
            <w:tcBorders>
              <w:top w:val="nil"/>
              <w:left w:val="nil"/>
              <w:bottom w:val="single" w:color="auto" w:sz="4" w:space="0"/>
              <w:right w:val="single" w:color="auto" w:sz="4" w:space="0"/>
            </w:tcBorders>
            <w:noWrap w:val="0"/>
            <w:vAlign w:val="center"/>
          </w:tcPr>
          <w:p w14:paraId="4D518EB2">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重大危险源警示牌（尺寸0.6*0.9</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17" w:type="dxa"/>
            <w:tcBorders>
              <w:top w:val="nil"/>
              <w:left w:val="nil"/>
              <w:bottom w:val="single" w:color="auto" w:sz="4" w:space="0"/>
              <w:right w:val="single" w:color="auto" w:sz="4" w:space="0"/>
            </w:tcBorders>
            <w:noWrap/>
            <w:vAlign w:val="center"/>
          </w:tcPr>
          <w:p w14:paraId="3BD910AC">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50</w:t>
            </w:r>
          </w:p>
        </w:tc>
        <w:tc>
          <w:tcPr>
            <w:tcW w:w="1217" w:type="dxa"/>
            <w:tcBorders>
              <w:top w:val="nil"/>
              <w:left w:val="nil"/>
              <w:bottom w:val="single" w:color="auto" w:sz="4" w:space="0"/>
              <w:right w:val="single" w:color="auto" w:sz="4" w:space="0"/>
            </w:tcBorders>
            <w:noWrap/>
            <w:vAlign w:val="center"/>
          </w:tcPr>
          <w:p w14:paraId="2DD538D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941" w:type="dxa"/>
            <w:tcBorders>
              <w:top w:val="nil"/>
              <w:left w:val="nil"/>
              <w:bottom w:val="single" w:color="auto" w:sz="4" w:space="0"/>
              <w:right w:val="single" w:color="auto" w:sz="4" w:space="0"/>
            </w:tcBorders>
            <w:noWrap/>
            <w:vAlign w:val="center"/>
          </w:tcPr>
          <w:p w14:paraId="173483EE">
            <w:pPr>
              <w:widowControl/>
              <w:jc w:val="center"/>
              <w:rPr>
                <w:rFonts w:hint="eastAsia" w:ascii="宋体" w:hAnsi="宋体" w:eastAsia="宋体" w:cs="宋体"/>
                <w:color w:val="000000"/>
                <w:kern w:val="0"/>
                <w:sz w:val="22"/>
                <w:szCs w:val="22"/>
              </w:rPr>
            </w:pPr>
          </w:p>
        </w:tc>
      </w:tr>
      <w:tr w14:paraId="45FB40E3">
        <w:tblPrEx>
          <w:tblCellMar>
            <w:top w:w="0" w:type="dxa"/>
            <w:left w:w="108" w:type="dxa"/>
            <w:bottom w:w="0" w:type="dxa"/>
            <w:right w:w="108" w:type="dxa"/>
          </w:tblCellMar>
        </w:tblPrEx>
        <w:trPr>
          <w:trHeight w:val="945" w:hRule="atLeast"/>
        </w:trPr>
        <w:tc>
          <w:tcPr>
            <w:tcW w:w="760" w:type="dxa"/>
            <w:vMerge w:val="continue"/>
            <w:tcBorders>
              <w:top w:val="nil"/>
              <w:left w:val="single" w:color="auto" w:sz="4" w:space="0"/>
              <w:bottom w:val="single" w:color="auto" w:sz="4" w:space="0"/>
              <w:right w:val="single" w:color="auto" w:sz="4" w:space="0"/>
            </w:tcBorders>
            <w:noWrap w:val="0"/>
            <w:vAlign w:val="center"/>
          </w:tcPr>
          <w:p w14:paraId="32978997">
            <w:pPr>
              <w:widowControl/>
              <w:jc w:val="left"/>
              <w:rPr>
                <w:rFonts w:hint="eastAsia" w:ascii="宋体" w:hAnsi="宋体" w:eastAsia="宋体" w:cs="宋体"/>
                <w:color w:val="000000"/>
                <w:kern w:val="0"/>
                <w:sz w:val="24"/>
              </w:rPr>
            </w:pPr>
          </w:p>
        </w:tc>
        <w:tc>
          <w:tcPr>
            <w:tcW w:w="1830" w:type="dxa"/>
            <w:vMerge w:val="continue"/>
            <w:tcBorders>
              <w:top w:val="nil"/>
              <w:left w:val="single" w:color="auto" w:sz="4" w:space="0"/>
              <w:bottom w:val="single" w:color="auto" w:sz="4" w:space="0"/>
              <w:right w:val="single" w:color="auto" w:sz="4" w:space="0"/>
            </w:tcBorders>
            <w:noWrap w:val="0"/>
            <w:vAlign w:val="center"/>
          </w:tcPr>
          <w:p w14:paraId="03EC6CD7">
            <w:pPr>
              <w:widowControl/>
              <w:jc w:val="left"/>
              <w:rPr>
                <w:rFonts w:hint="eastAsia" w:ascii="宋体" w:hAnsi="宋体" w:eastAsia="宋体" w:cs="宋体"/>
                <w:color w:val="000000"/>
                <w:kern w:val="0"/>
                <w:sz w:val="24"/>
              </w:rPr>
            </w:pPr>
          </w:p>
        </w:tc>
        <w:tc>
          <w:tcPr>
            <w:tcW w:w="3129" w:type="dxa"/>
            <w:tcBorders>
              <w:top w:val="nil"/>
              <w:left w:val="nil"/>
              <w:bottom w:val="single" w:color="auto" w:sz="4" w:space="0"/>
              <w:right w:val="single" w:color="auto" w:sz="4" w:space="0"/>
            </w:tcBorders>
            <w:noWrap w:val="0"/>
            <w:vAlign w:val="center"/>
          </w:tcPr>
          <w:p w14:paraId="4C3767A1">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安全风险告知牌（尺寸1.2*0.8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17" w:type="dxa"/>
            <w:tcBorders>
              <w:top w:val="nil"/>
              <w:left w:val="nil"/>
              <w:bottom w:val="single" w:color="auto" w:sz="4" w:space="0"/>
              <w:right w:val="single" w:color="auto" w:sz="4" w:space="0"/>
            </w:tcBorders>
            <w:noWrap/>
            <w:vAlign w:val="center"/>
          </w:tcPr>
          <w:p w14:paraId="3F474DA2">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5</w:t>
            </w:r>
          </w:p>
        </w:tc>
        <w:tc>
          <w:tcPr>
            <w:tcW w:w="1217" w:type="dxa"/>
            <w:tcBorders>
              <w:top w:val="nil"/>
              <w:left w:val="nil"/>
              <w:bottom w:val="single" w:color="auto" w:sz="4" w:space="0"/>
              <w:right w:val="single" w:color="auto" w:sz="4" w:space="0"/>
            </w:tcBorders>
            <w:noWrap/>
            <w:vAlign w:val="center"/>
          </w:tcPr>
          <w:p w14:paraId="2A7F3A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941" w:type="dxa"/>
            <w:tcBorders>
              <w:top w:val="nil"/>
              <w:left w:val="nil"/>
              <w:bottom w:val="single" w:color="auto" w:sz="4" w:space="0"/>
              <w:right w:val="single" w:color="auto" w:sz="4" w:space="0"/>
            </w:tcBorders>
            <w:noWrap/>
            <w:vAlign w:val="center"/>
          </w:tcPr>
          <w:p w14:paraId="1B59D7F5">
            <w:pPr>
              <w:widowControl/>
              <w:jc w:val="center"/>
              <w:rPr>
                <w:rFonts w:hint="eastAsia" w:ascii="宋体" w:hAnsi="宋体" w:eastAsia="宋体" w:cs="宋体"/>
                <w:color w:val="000000"/>
                <w:kern w:val="0"/>
                <w:sz w:val="22"/>
                <w:szCs w:val="22"/>
              </w:rPr>
            </w:pPr>
          </w:p>
        </w:tc>
      </w:tr>
      <w:tr w14:paraId="4ADEA5E5">
        <w:tblPrEx>
          <w:tblCellMar>
            <w:top w:w="0" w:type="dxa"/>
            <w:left w:w="108" w:type="dxa"/>
            <w:bottom w:w="0" w:type="dxa"/>
            <w:right w:w="108" w:type="dxa"/>
          </w:tblCellMar>
        </w:tblPrEx>
        <w:trPr>
          <w:trHeight w:val="855" w:hRule="atLeast"/>
        </w:trPr>
        <w:tc>
          <w:tcPr>
            <w:tcW w:w="760" w:type="dxa"/>
            <w:vMerge w:val="continue"/>
            <w:tcBorders>
              <w:top w:val="nil"/>
              <w:left w:val="single" w:color="auto" w:sz="4" w:space="0"/>
              <w:bottom w:val="single" w:color="auto" w:sz="4" w:space="0"/>
              <w:right w:val="single" w:color="auto" w:sz="4" w:space="0"/>
            </w:tcBorders>
            <w:noWrap w:val="0"/>
            <w:vAlign w:val="center"/>
          </w:tcPr>
          <w:p w14:paraId="055C7898">
            <w:pPr>
              <w:widowControl/>
              <w:jc w:val="left"/>
              <w:rPr>
                <w:rFonts w:hint="eastAsia" w:ascii="宋体" w:hAnsi="宋体" w:eastAsia="宋体" w:cs="宋体"/>
                <w:color w:val="000000"/>
                <w:kern w:val="0"/>
                <w:sz w:val="24"/>
              </w:rPr>
            </w:pPr>
          </w:p>
        </w:tc>
        <w:tc>
          <w:tcPr>
            <w:tcW w:w="1830" w:type="dxa"/>
            <w:vMerge w:val="continue"/>
            <w:tcBorders>
              <w:top w:val="nil"/>
              <w:left w:val="single" w:color="auto" w:sz="4" w:space="0"/>
              <w:bottom w:val="single" w:color="auto" w:sz="4" w:space="0"/>
              <w:right w:val="single" w:color="auto" w:sz="4" w:space="0"/>
            </w:tcBorders>
            <w:noWrap w:val="0"/>
            <w:vAlign w:val="center"/>
          </w:tcPr>
          <w:p w14:paraId="0E0944D8">
            <w:pPr>
              <w:widowControl/>
              <w:jc w:val="left"/>
              <w:rPr>
                <w:rFonts w:hint="eastAsia" w:ascii="宋体" w:hAnsi="宋体" w:eastAsia="宋体" w:cs="宋体"/>
                <w:color w:val="000000"/>
                <w:kern w:val="0"/>
                <w:sz w:val="24"/>
              </w:rPr>
            </w:pPr>
          </w:p>
        </w:tc>
        <w:tc>
          <w:tcPr>
            <w:tcW w:w="3129" w:type="dxa"/>
            <w:tcBorders>
              <w:top w:val="nil"/>
              <w:left w:val="nil"/>
              <w:bottom w:val="single" w:color="auto" w:sz="4" w:space="0"/>
              <w:right w:val="single" w:color="auto" w:sz="4" w:space="0"/>
            </w:tcBorders>
            <w:noWrap w:val="0"/>
            <w:vAlign w:val="center"/>
          </w:tcPr>
          <w:p w14:paraId="20533670">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四色图牌（尺寸1.2*0.8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17" w:type="dxa"/>
            <w:tcBorders>
              <w:top w:val="nil"/>
              <w:left w:val="nil"/>
              <w:bottom w:val="single" w:color="auto" w:sz="4" w:space="0"/>
              <w:right w:val="single" w:color="auto" w:sz="4" w:space="0"/>
            </w:tcBorders>
            <w:noWrap/>
            <w:vAlign w:val="center"/>
          </w:tcPr>
          <w:p w14:paraId="2E54D951">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5</w:t>
            </w:r>
          </w:p>
        </w:tc>
        <w:tc>
          <w:tcPr>
            <w:tcW w:w="1217" w:type="dxa"/>
            <w:tcBorders>
              <w:top w:val="nil"/>
              <w:left w:val="nil"/>
              <w:bottom w:val="single" w:color="auto" w:sz="4" w:space="0"/>
              <w:right w:val="single" w:color="auto" w:sz="4" w:space="0"/>
            </w:tcBorders>
            <w:noWrap/>
            <w:vAlign w:val="center"/>
          </w:tcPr>
          <w:p w14:paraId="5B68E7A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941" w:type="dxa"/>
            <w:tcBorders>
              <w:top w:val="nil"/>
              <w:left w:val="nil"/>
              <w:bottom w:val="single" w:color="auto" w:sz="4" w:space="0"/>
              <w:right w:val="single" w:color="auto" w:sz="4" w:space="0"/>
            </w:tcBorders>
            <w:noWrap/>
            <w:vAlign w:val="center"/>
          </w:tcPr>
          <w:p w14:paraId="4D333A62">
            <w:pPr>
              <w:widowControl/>
              <w:jc w:val="center"/>
              <w:rPr>
                <w:rFonts w:hint="eastAsia" w:ascii="宋体" w:hAnsi="宋体" w:eastAsia="宋体" w:cs="宋体"/>
                <w:color w:val="000000"/>
                <w:kern w:val="0"/>
                <w:sz w:val="22"/>
                <w:szCs w:val="22"/>
              </w:rPr>
            </w:pPr>
          </w:p>
        </w:tc>
      </w:tr>
    </w:tbl>
    <w:p w14:paraId="39ECE6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textAlignment w:val="auto"/>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四、验收成果要求</w:t>
      </w:r>
    </w:p>
    <w:p w14:paraId="57D7B1FF">
      <w:pPr>
        <w:spacing w:line="360" w:lineRule="auto"/>
        <w:ind w:firstLine="480" w:firstLineChars="200"/>
        <w:rPr>
          <w:rFonts w:hint="eastAsia" w:ascii="宋体" w:hAnsi="宋体" w:eastAsia="宋体" w:cs="宋体"/>
          <w:b w:val="0"/>
          <w:bCs w:val="0"/>
          <w:color w:val="auto"/>
          <w:sz w:val="24"/>
          <w:szCs w:val="24"/>
          <w:highlight w:val="none"/>
          <w:lang w:val="en-US" w:eastAsia="zh-CN"/>
        </w:rPr>
        <w:sectPr>
          <w:footerReference r:id="rId5" w:type="default"/>
          <w:pgSz w:w="11906" w:h="16838"/>
          <w:pgMar w:top="1417" w:right="1417" w:bottom="1417" w:left="1587" w:header="851" w:footer="992" w:gutter="0"/>
          <w:cols w:space="720" w:num="1"/>
          <w:docGrid w:type="lines" w:linePitch="312" w:charSpace="0"/>
        </w:sectPr>
      </w:pPr>
      <w:r>
        <w:rPr>
          <w:rFonts w:hint="eastAsia" w:ascii="宋体" w:hAnsi="宋体" w:eastAsia="宋体" w:cs="宋体"/>
          <w:b w:val="0"/>
          <w:bCs w:val="0"/>
          <w:color w:val="auto"/>
          <w:sz w:val="24"/>
          <w:szCs w:val="24"/>
          <w:highlight w:val="none"/>
          <w:lang w:val="en-US" w:eastAsia="zh-CN"/>
        </w:rPr>
        <w:t>提供项目成果，根据《绍兴市水利安全生产风险管控“六项机制”验收办法》。经采购方邀请专家评审通过后即验收通过。</w:t>
      </w:r>
    </w:p>
    <w:p w14:paraId="4CE0D6D1">
      <w:pPr>
        <w:pStyle w:val="3"/>
        <w:numPr>
          <w:ilvl w:val="0"/>
          <w:numId w:val="0"/>
        </w:numPr>
        <w:bidi w:val="0"/>
        <w:ind w:leftChars="0"/>
        <w:jc w:val="center"/>
        <w:rPr>
          <w:color w:val="000000" w:themeColor="text1"/>
          <w14:textFill>
            <w14:solidFill>
              <w14:schemeClr w14:val="tx1"/>
            </w14:solidFill>
          </w14:textFill>
        </w:rPr>
      </w:pPr>
      <w:bookmarkStart w:id="77" w:name="_Toc3205"/>
      <w:r>
        <w:rPr>
          <w:rFonts w:hint="eastAsia"/>
          <w:color w:val="000000" w:themeColor="text1"/>
          <w:lang w:val="en-US" w:eastAsia="zh-CN"/>
          <w14:textFill>
            <w14:solidFill>
              <w14:schemeClr w14:val="tx1"/>
            </w14:solidFill>
          </w14:textFill>
        </w:rPr>
        <w:t xml:space="preserve">第二章 </w:t>
      </w:r>
      <w:r>
        <w:rPr>
          <w:rFonts w:hint="eastAsia"/>
          <w:color w:val="000000" w:themeColor="text1"/>
          <w14:textFill>
            <w14:solidFill>
              <w14:schemeClr w14:val="tx1"/>
            </w14:solidFill>
          </w14:textFill>
        </w:rPr>
        <w:t>付款方式及要求</w:t>
      </w:r>
      <w:bookmarkEnd w:id="73"/>
      <w:bookmarkEnd w:id="74"/>
      <w:bookmarkEnd w:id="75"/>
      <w:bookmarkEnd w:id="76"/>
      <w:bookmarkEnd w:id="77"/>
    </w:p>
    <w:p w14:paraId="09AA50AF">
      <w:pPr>
        <w:spacing w:line="500" w:lineRule="exact"/>
        <w:ind w:firstLine="482" w:firstLineChars="200"/>
        <w:rPr>
          <w:rFonts w:hint="default" w:ascii="Times New Roman" w:hAnsi="Times New Roman" w:eastAsia="宋体" w:cs="Times New Roman"/>
          <w:b/>
          <w:bCs w:val="0"/>
          <w:color w:val="auto"/>
          <w:sz w:val="24"/>
          <w:highlight w:val="none"/>
          <w:lang w:val="en-US" w:eastAsia="zh-CN"/>
        </w:rPr>
      </w:pPr>
      <w:r>
        <w:rPr>
          <w:rFonts w:hint="eastAsia" w:ascii="Times New Roman" w:hAnsi="Times New Roman" w:eastAsia="宋体" w:cs="Times New Roman"/>
          <w:b/>
          <w:bCs w:val="0"/>
          <w:color w:val="auto"/>
          <w:sz w:val="24"/>
          <w:highlight w:val="none"/>
          <w:lang w:val="en-US" w:eastAsia="zh-CN"/>
        </w:rPr>
        <w:t>一、付款方式：</w:t>
      </w:r>
    </w:p>
    <w:p w14:paraId="6DDAC3B4">
      <w:pPr>
        <w:spacing w:line="500" w:lineRule="exact"/>
        <w:ind w:firstLine="600" w:firstLineChars="25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（1）合同生效以及具备实施条件后</w:t>
      </w:r>
      <w:r>
        <w:rPr>
          <w:rFonts w:hint="eastAsia" w:ascii="宋体"/>
          <w:color w:val="000000" w:themeColor="text1"/>
          <w:sz w:val="24"/>
          <w:lang w:val="en-US" w:eastAsia="zh-CN"/>
          <w14:textFill>
            <w14:solidFill>
              <w14:schemeClr w14:val="tx1"/>
            </w14:solidFill>
          </w14:textFill>
        </w:rPr>
        <w:t>30</w:t>
      </w:r>
      <w:r>
        <w:rPr>
          <w:rFonts w:hint="eastAsia" w:ascii="宋体"/>
          <w:color w:val="000000" w:themeColor="text1"/>
          <w:sz w:val="24"/>
          <w14:textFill>
            <w14:solidFill>
              <w14:schemeClr w14:val="tx1"/>
            </w14:solidFill>
          </w14:textFill>
        </w:rPr>
        <w:t>个工作日内支付预付款即合同价的40%；</w:t>
      </w:r>
    </w:p>
    <w:p w14:paraId="46D913BD">
      <w:pPr>
        <w:spacing w:line="500" w:lineRule="exact"/>
        <w:ind w:firstLine="600" w:firstLineChars="25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r>
        <w:rPr>
          <w:rFonts w:hint="eastAsia" w:ascii="宋体"/>
          <w:color w:val="000000" w:themeColor="text1"/>
          <w:sz w:val="24"/>
          <w:lang w:val="en-US" w:eastAsia="zh-CN"/>
          <w14:textFill>
            <w14:solidFill>
              <w14:schemeClr w14:val="tx1"/>
            </w14:solidFill>
          </w14:textFill>
        </w:rPr>
        <w:t>2</w:t>
      </w:r>
      <w:r>
        <w:rPr>
          <w:rFonts w:hint="eastAsia" w:ascii="宋体"/>
          <w:color w:val="000000" w:themeColor="text1"/>
          <w:sz w:val="24"/>
          <w14:textFill>
            <w14:solidFill>
              <w14:schemeClr w14:val="tx1"/>
            </w14:solidFill>
          </w14:textFill>
        </w:rPr>
        <w:t>）所有工作内容完成，经采购方邀请专家评审通过后即验收通过，支付到合同价的100%。</w:t>
      </w:r>
    </w:p>
    <w:p w14:paraId="67A6B334">
      <w:pPr>
        <w:spacing w:line="500" w:lineRule="exact"/>
        <w:ind w:firstLine="482" w:firstLineChars="200"/>
        <w:rPr>
          <w:rFonts w:hint="eastAsia" w:ascii="宋体"/>
          <w:b/>
          <w:bCs/>
          <w:color w:val="000000" w:themeColor="text1"/>
          <w:kern w:val="0"/>
          <w:sz w:val="24"/>
          <w:highlight w:val="none"/>
          <w:lang w:val="en-US" w:eastAsia="zh-CN"/>
          <w14:textFill>
            <w14:solidFill>
              <w14:schemeClr w14:val="tx1"/>
            </w14:solidFill>
          </w14:textFill>
        </w:rPr>
      </w:pPr>
      <w:r>
        <w:rPr>
          <w:rFonts w:hint="eastAsia" w:ascii="宋体"/>
          <w:b/>
          <w:bCs/>
          <w:color w:val="000000" w:themeColor="text1"/>
          <w:kern w:val="0"/>
          <w:sz w:val="24"/>
          <w:highlight w:val="none"/>
          <w:lang w:val="en-US" w:eastAsia="zh-CN"/>
          <w14:textFill>
            <w14:solidFill>
              <w14:schemeClr w14:val="tx1"/>
            </w14:solidFill>
          </w14:textFill>
        </w:rPr>
        <w:t>二、付款要求：</w:t>
      </w:r>
    </w:p>
    <w:p w14:paraId="025E2E3B">
      <w:pPr>
        <w:spacing w:line="50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567D4E11">
      <w:pPr>
        <w:spacing w:line="500" w:lineRule="exact"/>
        <w:ind w:firstLine="600" w:firstLineChars="250"/>
        <w:rPr>
          <w:rFonts w:ascii="宋体" w:hAnsi="宋体"/>
          <w:color w:val="000000" w:themeColor="text1"/>
          <w:sz w:val="24"/>
          <w14:textFill>
            <w14:solidFill>
              <w14:schemeClr w14:val="tx1"/>
            </w14:solidFill>
          </w14:textFill>
        </w:rPr>
        <w:sectPr>
          <w:pgSz w:w="11906" w:h="16838"/>
          <w:pgMar w:top="1417" w:right="1417" w:bottom="1417" w:left="1587" w:header="851" w:footer="992" w:gutter="0"/>
          <w:cols w:space="720" w:num="1"/>
          <w:docGrid w:type="lines" w:linePitch="312" w:charSpace="0"/>
        </w:sectPr>
      </w:pPr>
      <w:r>
        <w:rPr>
          <w:rFonts w:ascii="宋体" w:hAnsi="宋体"/>
          <w:color w:val="000000" w:themeColor="text1"/>
          <w:sz w:val="24"/>
          <w14:textFill>
            <w14:solidFill>
              <w14:schemeClr w14:val="tx1"/>
            </w14:solidFill>
          </w14:textFill>
        </w:rPr>
        <w:br w:type="page"/>
      </w:r>
    </w:p>
    <w:p w14:paraId="6DD6C3A5">
      <w:pPr>
        <w:pStyle w:val="2"/>
        <w:jc w:val="center"/>
        <w:rPr>
          <w:rFonts w:cs="Times New Roman"/>
          <w:color w:val="000000" w:themeColor="text1"/>
          <w:sz w:val="36"/>
          <w:szCs w:val="36"/>
          <w:highlight w:val="none"/>
          <w14:textFill>
            <w14:solidFill>
              <w14:schemeClr w14:val="tx1"/>
            </w14:solidFill>
          </w14:textFill>
        </w:rPr>
      </w:pPr>
      <w:bookmarkStart w:id="78" w:name="_Toc32131"/>
      <w:r>
        <w:rPr>
          <w:rFonts w:hint="eastAsia" w:cs="宋体"/>
          <w:color w:val="000000" w:themeColor="text1"/>
          <w:sz w:val="36"/>
          <w:szCs w:val="36"/>
          <w:highlight w:val="none"/>
          <w14:textFill>
            <w14:solidFill>
              <w14:schemeClr w14:val="tx1"/>
            </w14:solidFill>
          </w14:textFill>
        </w:rPr>
        <w:t>第四部分 磋商原则及磋商方法</w:t>
      </w:r>
      <w:bookmarkEnd w:id="71"/>
      <w:bookmarkEnd w:id="78"/>
    </w:p>
    <w:p w14:paraId="5A9C2D95">
      <w:pPr>
        <w:pStyle w:val="3"/>
        <w:numPr>
          <w:ilvl w:val="0"/>
          <w:numId w:val="14"/>
        </w:numPr>
        <w:jc w:val="center"/>
        <w:rPr>
          <w:rFonts w:cs="Times New Roman"/>
          <w:color w:val="000000" w:themeColor="text1"/>
          <w:highlight w:val="none"/>
          <w14:textFill>
            <w14:solidFill>
              <w14:schemeClr w14:val="tx1"/>
            </w14:solidFill>
          </w14:textFill>
        </w:rPr>
      </w:pPr>
      <w:bookmarkStart w:id="79" w:name="_Toc1265"/>
      <w:r>
        <w:rPr>
          <w:rFonts w:hint="eastAsia"/>
          <w:color w:val="000000" w:themeColor="text1"/>
          <w:highlight w:val="none"/>
          <w14:textFill>
            <w14:solidFill>
              <w14:schemeClr w14:val="tx1"/>
            </w14:solidFill>
          </w14:textFill>
        </w:rPr>
        <w:t xml:space="preserve"> </w:t>
      </w:r>
      <w:bookmarkStart w:id="80" w:name="_Toc19962"/>
      <w:r>
        <w:rPr>
          <w:rFonts w:hint="eastAsia"/>
          <w:color w:val="000000" w:themeColor="text1"/>
          <w:highlight w:val="none"/>
          <w14:textFill>
            <w14:solidFill>
              <w14:schemeClr w14:val="tx1"/>
            </w14:solidFill>
          </w14:textFill>
        </w:rPr>
        <w:t>磋商原则</w:t>
      </w:r>
      <w:bookmarkEnd w:id="79"/>
      <w:bookmarkEnd w:id="80"/>
    </w:p>
    <w:p w14:paraId="1AE7E5D8">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、本次竞争性磋商本着公平、公正、科学、择优的原则，邀请各磋商方参加报价。</w:t>
      </w:r>
    </w:p>
    <w:p w14:paraId="1012B276">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、磋商小组将严格按照竞争性磋商文件的要求，对供应商的响应性文件进行认真评审；磋商小组对响应性文件的评审仅依据响应性文件本身，而不依据响应性文件以外的任何因素。</w:t>
      </w:r>
    </w:p>
    <w:p w14:paraId="7A8CDDFA">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、磋商小组按照统一的磋商原则和磋商方法，用同一标准对所有响应性文件进行评审。</w:t>
      </w:r>
    </w:p>
    <w:p w14:paraId="27C54E26">
      <w:pPr>
        <w:pStyle w:val="17"/>
        <w:spacing w:line="360" w:lineRule="auto"/>
        <w:ind w:firstLine="482" w:firstLine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4</w:t>
      </w:r>
      <w:r>
        <w:rPr>
          <w:rFonts w:hint="eastAsia" w:hAnsi="宋体"/>
          <w:b/>
          <w:bCs/>
          <w:color w:val="000000" w:themeColor="text1"/>
          <w:sz w:val="24"/>
          <w:szCs w:val="24"/>
          <w:highlight w:val="none"/>
          <w14:textFill>
            <w14:solidFill>
              <w14:schemeClr w14:val="tx1"/>
            </w14:solidFill>
          </w14:textFill>
        </w:rPr>
        <w:t>、评审</w:t>
      </w:r>
    </w:p>
    <w:p w14:paraId="2784198F">
      <w:pPr>
        <w:pStyle w:val="17"/>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4.1</w:t>
      </w:r>
      <w:r>
        <w:rPr>
          <w:rFonts w:hint="eastAsia" w:hAnsi="宋体"/>
          <w:color w:val="000000" w:themeColor="text1"/>
          <w:sz w:val="24"/>
          <w:szCs w:val="24"/>
          <w:highlight w:val="none"/>
          <w14:textFill>
            <w14:solidFill>
              <w14:schemeClr w14:val="tx1"/>
            </w14:solidFill>
          </w14:textFill>
        </w:rPr>
        <w:t>在磋商响应截止时间前按规定提交响应文件的供应商在三家（含）以上的，由采购人或采购代理机构组织进行开标。</w:t>
      </w:r>
    </w:p>
    <w:p w14:paraId="07BD1434">
      <w:pPr>
        <w:pStyle w:val="17"/>
        <w:spacing w:line="360" w:lineRule="auto"/>
        <w:ind w:firstLine="482" w:firstLineChars="200"/>
        <w:rPr>
          <w:rFonts w:hAnsi="宋体" w:cs="Times New Roman"/>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4.2</w:t>
      </w:r>
      <w:r>
        <w:rPr>
          <w:rFonts w:hint="eastAsia" w:hAnsi="宋体"/>
          <w:b/>
          <w:bCs/>
          <w:color w:val="000000" w:themeColor="text1"/>
          <w:sz w:val="24"/>
          <w:szCs w:val="24"/>
          <w:highlight w:val="none"/>
          <w14:textFill>
            <w14:solidFill>
              <w14:schemeClr w14:val="tx1"/>
            </w14:solidFill>
          </w14:textFill>
        </w:rPr>
        <w:t>供应商登录政采云平台，用“项目采购</w:t>
      </w:r>
      <w:r>
        <w:rPr>
          <w:rFonts w:hAnsi="宋体"/>
          <w:b/>
          <w:bCs/>
          <w:color w:val="000000" w:themeColor="text1"/>
          <w:sz w:val="24"/>
          <w:szCs w:val="24"/>
          <w:highlight w:val="none"/>
          <w14:textFill>
            <w14:solidFill>
              <w14:schemeClr w14:val="tx1"/>
            </w14:solidFill>
          </w14:textFill>
        </w:rPr>
        <w:t>-</w:t>
      </w:r>
      <w:r>
        <w:rPr>
          <w:rFonts w:hint="eastAsia" w:hAnsi="宋体"/>
          <w:b/>
          <w:bCs/>
          <w:color w:val="000000" w:themeColor="text1"/>
          <w:sz w:val="24"/>
          <w:szCs w:val="24"/>
          <w:highlight w:val="none"/>
          <w14:textFill>
            <w14:solidFill>
              <w14:schemeClr w14:val="tx1"/>
            </w14:solidFill>
          </w14:textFill>
        </w:rPr>
        <w:t>开标评标”功能对电子磋商响应文件进行在线解密。在线解密电子磋商响应文件时间为开标时间起</w:t>
      </w:r>
      <w:r>
        <w:rPr>
          <w:rFonts w:hAnsi="宋体"/>
          <w:b/>
          <w:bCs/>
          <w:color w:val="000000" w:themeColor="text1"/>
          <w:sz w:val="24"/>
          <w:szCs w:val="24"/>
          <w:highlight w:val="none"/>
          <w14:textFill>
            <w14:solidFill>
              <w14:schemeClr w14:val="tx1"/>
            </w14:solidFill>
          </w14:textFill>
        </w:rPr>
        <w:t>30</w:t>
      </w:r>
      <w:r>
        <w:rPr>
          <w:rFonts w:hint="eastAsia" w:hAnsi="宋体"/>
          <w:b/>
          <w:bCs/>
          <w:color w:val="000000" w:themeColor="text1"/>
          <w:sz w:val="24"/>
          <w:szCs w:val="24"/>
          <w:highlight w:val="none"/>
          <w14:textFill>
            <w14:solidFill>
              <w14:schemeClr w14:val="tx1"/>
            </w14:solidFill>
          </w14:textFill>
        </w:rPr>
        <w:t>分钟内。若电子磋商响应文件解密失败，则由采购代理机构工作人员上传供应商提供的备份文件。</w:t>
      </w:r>
      <w:r>
        <w:rPr>
          <w:rFonts w:hint="eastAsia" w:hAnsi="宋体"/>
          <w:color w:val="000000" w:themeColor="text1"/>
          <w:sz w:val="24"/>
          <w:szCs w:val="24"/>
          <w:highlight w:val="none"/>
          <w14:textFill>
            <w14:solidFill>
              <w14:schemeClr w14:val="tx1"/>
            </w14:solidFill>
          </w14:textFill>
        </w:rPr>
        <w:t>备份文件（后缀名为</w:t>
      </w:r>
      <w:r>
        <w:rPr>
          <w:rFonts w:hAnsi="宋体"/>
          <w:color w:val="000000" w:themeColor="text1"/>
          <w:sz w:val="24"/>
          <w:szCs w:val="24"/>
          <w:highlight w:val="none"/>
          <w14:textFill>
            <w14:solidFill>
              <w14:schemeClr w14:val="tx1"/>
            </w14:solidFill>
          </w14:textFill>
        </w:rPr>
        <w:t>.bfbs</w:t>
      </w:r>
      <w:r>
        <w:rPr>
          <w:rFonts w:hint="eastAsia" w:hAnsi="宋体"/>
          <w:color w:val="000000" w:themeColor="text1"/>
          <w:sz w:val="24"/>
          <w:szCs w:val="24"/>
          <w:highlight w:val="none"/>
          <w14:textFill>
            <w14:solidFill>
              <w14:schemeClr w14:val="tx1"/>
            </w14:solidFill>
          </w14:textFill>
        </w:rPr>
        <w:t>）须存储在</w:t>
      </w:r>
      <w:r>
        <w:rPr>
          <w:rFonts w:hAnsi="宋体"/>
          <w:color w:val="000000" w:themeColor="text1"/>
          <w:sz w:val="24"/>
          <w:szCs w:val="24"/>
          <w:highlight w:val="none"/>
          <w14:textFill>
            <w14:solidFill>
              <w14:schemeClr w14:val="tx1"/>
            </w14:solidFill>
          </w14:textFill>
        </w:rPr>
        <w:t>U</w:t>
      </w:r>
      <w:r>
        <w:rPr>
          <w:rFonts w:hint="eastAsia" w:hAnsi="宋体"/>
          <w:color w:val="000000" w:themeColor="text1"/>
          <w:sz w:val="24"/>
          <w:szCs w:val="24"/>
          <w:highlight w:val="none"/>
          <w14:textFill>
            <w14:solidFill>
              <w14:schemeClr w14:val="tx1"/>
            </w14:solidFill>
          </w14:textFill>
        </w:rPr>
        <w:t>盘中，与上传的电子磋商响应文件一致，用信封进行密封并盖章</w:t>
      </w:r>
      <w:r>
        <w:rPr>
          <w:rFonts w:hint="eastAsia" w:hAnsi="宋体"/>
          <w:b/>
          <w:bCs/>
          <w:color w:val="000000" w:themeColor="text1"/>
          <w:sz w:val="24"/>
          <w:szCs w:val="24"/>
          <w:highlight w:val="none"/>
          <w14:textFill>
            <w14:solidFill>
              <w14:schemeClr w14:val="tx1"/>
            </w14:solidFill>
          </w14:textFill>
        </w:rPr>
        <w:t>（信封内仅需放入存储备份文件的</w:t>
      </w:r>
      <w:r>
        <w:rPr>
          <w:rFonts w:hAnsi="宋体"/>
          <w:b/>
          <w:bCs/>
          <w:color w:val="000000" w:themeColor="text1"/>
          <w:sz w:val="24"/>
          <w:szCs w:val="24"/>
          <w:highlight w:val="none"/>
          <w14:textFill>
            <w14:solidFill>
              <w14:schemeClr w14:val="tx1"/>
            </w14:solidFill>
          </w14:textFill>
        </w:rPr>
        <w:t>U</w:t>
      </w:r>
      <w:r>
        <w:rPr>
          <w:rFonts w:hint="eastAsia" w:hAnsi="宋体"/>
          <w:b/>
          <w:bCs/>
          <w:color w:val="000000" w:themeColor="text1"/>
          <w:sz w:val="24"/>
          <w:szCs w:val="24"/>
          <w:highlight w:val="none"/>
          <w14:textFill>
            <w14:solidFill>
              <w14:schemeClr w14:val="tx1"/>
            </w14:solidFill>
          </w14:textFill>
        </w:rPr>
        <w:t>盘）</w:t>
      </w:r>
      <w:r>
        <w:rPr>
          <w:rFonts w:hint="eastAsia" w:hAnsi="宋体"/>
          <w:color w:val="000000" w:themeColor="text1"/>
          <w:sz w:val="24"/>
          <w:szCs w:val="24"/>
          <w:highlight w:val="none"/>
          <w14:textFill>
            <w14:solidFill>
              <w14:schemeClr w14:val="tx1"/>
            </w14:solidFill>
          </w14:textFill>
        </w:rPr>
        <w:t>，由授权代表在磋商响应截止时间前递交至开标地点。</w:t>
      </w:r>
    </w:p>
    <w:p w14:paraId="16F8C174">
      <w:pPr>
        <w:pStyle w:val="17"/>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4.3</w:t>
      </w:r>
      <w:r>
        <w:rPr>
          <w:rFonts w:hint="eastAsia" w:hAnsi="宋体"/>
          <w:color w:val="000000" w:themeColor="text1"/>
          <w:sz w:val="24"/>
          <w:szCs w:val="24"/>
          <w:highlight w:val="none"/>
          <w14:textFill>
            <w14:solidFill>
              <w14:schemeClr w14:val="tx1"/>
            </w14:solidFill>
          </w14:textFill>
        </w:rPr>
        <w:t>采购人按磋商文件规定的时间、地点公开开标。开标仪式由采购人或采购代理机构主持及有关人员参加。</w:t>
      </w:r>
    </w:p>
    <w:p w14:paraId="79626BC6">
      <w:pPr>
        <w:pStyle w:val="58"/>
        <w:spacing w:before="0"/>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4.4</w:t>
      </w:r>
      <w:r>
        <w:rPr>
          <w:rFonts w:hint="eastAsia" w:ascii="宋体" w:hAnsi="宋体" w:cs="宋体"/>
          <w:color w:val="000000" w:themeColor="text1"/>
          <w:highlight w:val="none"/>
          <w14:textFill>
            <w14:solidFill>
              <w14:schemeClr w14:val="tx1"/>
            </w14:solidFill>
          </w14:textFill>
        </w:rPr>
        <w:t>本项目为电子投标项目，供应商一般不需要参加现场投标和开标，若供应商需要指派授权代表递交备份文件，则授权代表应随身携带法定代表人授权书原件于</w:t>
      </w:r>
      <w:r>
        <w:rPr>
          <w:rFonts w:hint="eastAsia" w:hAnsi="宋体" w:cs="宋体"/>
          <w:color w:val="000000" w:themeColor="text1"/>
          <w:highlight w:val="none"/>
          <w14:textFill>
            <w14:solidFill>
              <w14:schemeClr w14:val="tx1"/>
            </w14:solidFill>
          </w14:textFill>
        </w:rPr>
        <w:t>磋商响应</w:t>
      </w:r>
      <w:r>
        <w:rPr>
          <w:rFonts w:hint="eastAsia" w:ascii="宋体" w:hAnsi="宋体" w:cs="宋体"/>
          <w:color w:val="000000" w:themeColor="text1"/>
          <w:highlight w:val="none"/>
          <w14:textFill>
            <w14:solidFill>
              <w14:schemeClr w14:val="tx1"/>
            </w14:solidFill>
          </w14:textFill>
        </w:rPr>
        <w:t>截止时间前到达开标地点递交备份文件。若电子磋商响应文件正常解锁，则</w:t>
      </w:r>
      <w:r>
        <w:rPr>
          <w:rFonts w:ascii="宋体" w:hAnsi="宋体" w:cs="宋体"/>
          <w:color w:val="000000" w:themeColor="text1"/>
          <w:highlight w:val="none"/>
          <w14:textFill>
            <w14:solidFill>
              <w14:schemeClr w14:val="tx1"/>
            </w14:solidFill>
          </w14:textFill>
        </w:rPr>
        <w:t>U</w:t>
      </w:r>
      <w:r>
        <w:rPr>
          <w:rFonts w:hint="eastAsia" w:ascii="宋体" w:hAnsi="宋体" w:cs="宋体"/>
          <w:color w:val="000000" w:themeColor="text1"/>
          <w:highlight w:val="none"/>
          <w14:textFill>
            <w14:solidFill>
              <w14:schemeClr w14:val="tx1"/>
            </w14:solidFill>
          </w14:textFill>
        </w:rPr>
        <w:t>盘退还给供应商；若解锁失败，则由采购代理机构将</w:t>
      </w:r>
      <w:r>
        <w:rPr>
          <w:rFonts w:ascii="宋体" w:hAnsi="宋体" w:cs="宋体"/>
          <w:color w:val="000000" w:themeColor="text1"/>
          <w:highlight w:val="none"/>
          <w14:textFill>
            <w14:solidFill>
              <w14:schemeClr w14:val="tx1"/>
            </w14:solidFill>
          </w14:textFill>
        </w:rPr>
        <w:t>U</w:t>
      </w:r>
      <w:r>
        <w:rPr>
          <w:rFonts w:hint="eastAsia" w:ascii="宋体" w:hAnsi="宋体" w:cs="宋体"/>
          <w:color w:val="000000" w:themeColor="text1"/>
          <w:highlight w:val="none"/>
          <w14:textFill>
            <w14:solidFill>
              <w14:schemeClr w14:val="tx1"/>
            </w14:solidFill>
          </w14:textFill>
        </w:rPr>
        <w:t>盘中的备份文件上传，该</w:t>
      </w:r>
      <w:r>
        <w:rPr>
          <w:rFonts w:ascii="宋体" w:hAnsi="宋体" w:cs="宋体"/>
          <w:color w:val="000000" w:themeColor="text1"/>
          <w:highlight w:val="none"/>
          <w14:textFill>
            <w14:solidFill>
              <w14:schemeClr w14:val="tx1"/>
            </w14:solidFill>
          </w14:textFill>
        </w:rPr>
        <w:t>U</w:t>
      </w:r>
      <w:r>
        <w:rPr>
          <w:rFonts w:hint="eastAsia" w:ascii="宋体" w:hAnsi="宋体" w:cs="宋体"/>
          <w:color w:val="000000" w:themeColor="text1"/>
          <w:highlight w:val="none"/>
          <w14:textFill>
            <w14:solidFill>
              <w14:schemeClr w14:val="tx1"/>
            </w14:solidFill>
          </w14:textFill>
        </w:rPr>
        <w:t>盘将由采购代理机构保存。</w:t>
      </w:r>
    </w:p>
    <w:p w14:paraId="4A81A175">
      <w:pPr>
        <w:pStyle w:val="58"/>
        <w:spacing w:before="0"/>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4.5</w:t>
      </w:r>
      <w:r>
        <w:rPr>
          <w:rFonts w:hint="eastAsia" w:ascii="宋体" w:hAnsi="宋体" w:cs="宋体"/>
          <w:color w:val="000000" w:themeColor="text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B3956AC">
      <w:pPr>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、组建磋商小组</w:t>
      </w:r>
    </w:p>
    <w:p w14:paraId="27EA6326">
      <w:pPr>
        <w:pStyle w:val="58"/>
        <w:spacing w:before="0"/>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5.1</w:t>
      </w:r>
      <w:r>
        <w:rPr>
          <w:rFonts w:hint="eastAsia" w:ascii="宋体" w:hAnsi="宋体" w:cs="宋体"/>
          <w:color w:val="000000" w:themeColor="text1"/>
          <w:highlight w:val="none"/>
          <w14:textFill>
            <w14:solidFill>
              <w14:schemeClr w14:val="tx1"/>
            </w14:solidFill>
          </w14:textFill>
        </w:rPr>
        <w:t>磋商小组由采购人代表和评审专家共</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人或以上单数组成，其中评审专家人数不少于磋商小组成员总数的</w:t>
      </w:r>
      <w:r>
        <w:rPr>
          <w:rFonts w:ascii="宋体" w:hAnsi="宋体" w:cs="宋体"/>
          <w:color w:val="000000" w:themeColor="text1"/>
          <w:highlight w:val="none"/>
          <w14:textFill>
            <w14:solidFill>
              <w14:schemeClr w14:val="tx1"/>
            </w14:solidFill>
          </w14:textFill>
        </w:rPr>
        <w:t>2/3</w:t>
      </w:r>
      <w:r>
        <w:rPr>
          <w:rFonts w:hint="eastAsia" w:ascii="宋体" w:hAnsi="宋体" w:cs="宋体"/>
          <w:color w:val="000000" w:themeColor="text1"/>
          <w:highlight w:val="none"/>
          <w14:textFill>
            <w14:solidFill>
              <w14:schemeClr w14:val="tx1"/>
            </w14:solidFill>
          </w14:textFill>
        </w:rPr>
        <w:t>。</w:t>
      </w:r>
    </w:p>
    <w:p w14:paraId="3D2728D9">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lang w:val="zh-CN"/>
          <w14:textFill>
            <w14:solidFill>
              <w14:schemeClr w14:val="tx1"/>
            </w14:solidFill>
          </w14:textFill>
        </w:rPr>
        <w:t>评标工作由评标委员会负责，并推选产生的组长主持；</w:t>
      </w:r>
    </w:p>
    <w:p w14:paraId="57A29BD0">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5.3</w:t>
      </w:r>
      <w:r>
        <w:rPr>
          <w:rFonts w:hint="eastAsia" w:ascii="宋体" w:hAnsi="宋体" w:cs="宋体"/>
          <w:color w:val="000000" w:themeColor="text1"/>
          <w:sz w:val="24"/>
          <w:szCs w:val="24"/>
          <w:highlight w:val="none"/>
          <w:lang w:val="zh-CN"/>
          <w14:textFill>
            <w14:solidFill>
              <w14:schemeClr w14:val="tx1"/>
            </w14:solidFill>
          </w14:textFill>
        </w:rPr>
        <w:t>本次评标为在线评标。</w:t>
      </w:r>
    </w:p>
    <w:p w14:paraId="6EF6E76D">
      <w:pPr>
        <w:pStyle w:val="3"/>
        <w:numPr>
          <w:ilvl w:val="0"/>
          <w:numId w:val="14"/>
        </w:numPr>
        <w:jc w:val="center"/>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81" w:name="_Toc10093"/>
      <w:bookmarkStart w:id="82" w:name="_Toc22956"/>
      <w:r>
        <w:rPr>
          <w:rFonts w:hint="eastAsia"/>
          <w:color w:val="000000" w:themeColor="text1"/>
          <w:highlight w:val="none"/>
          <w14:textFill>
            <w14:solidFill>
              <w14:schemeClr w14:val="tx1"/>
            </w14:solidFill>
          </w14:textFill>
        </w:rPr>
        <w:t>磋商程序</w:t>
      </w:r>
      <w:bookmarkEnd w:id="81"/>
      <w:bookmarkEnd w:id="82"/>
    </w:p>
    <w:p w14:paraId="502D0C8A">
      <w:pPr>
        <w:snapToGrid w:val="0"/>
        <w:spacing w:line="360" w:lineRule="auto"/>
        <w:ind w:firstLine="48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、对所有响应文件的初审</w:t>
      </w:r>
    </w:p>
    <w:p w14:paraId="5FEB0B9D">
      <w:pPr>
        <w:adjustRightInd w:val="0"/>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资格审查</w:t>
      </w:r>
    </w:p>
    <w:p w14:paraId="591B5E99">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）开标后，磋商小组将依法对供应商的资格进行审查。</w:t>
      </w:r>
    </w:p>
    <w:p w14:paraId="722C0908">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）磋商小组依据法律法规和磋商文件的规定，对供应商的基本资格条件、特定资格条件进行审查。</w:t>
      </w:r>
    </w:p>
    <w:p w14:paraId="6B54BC15">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000000" w:themeColor="text1"/>
          <w:sz w:val="24"/>
          <w:szCs w:val="24"/>
          <w:highlight w:val="none"/>
          <w14:textFill>
            <w14:solidFill>
              <w14:schemeClr w14:val="tx1"/>
            </w14:solidFill>
          </w14:textFill>
        </w:rPr>
        <w:t>.</w:t>
      </w:r>
    </w:p>
    <w:p w14:paraId="387D2C08">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）采购人或采购代理机构将通过“信用中国”网站</w:t>
      </w:r>
      <w:r>
        <w:rPr>
          <w:rFonts w:ascii="宋体" w:hAnsi="宋体" w:cs="宋体"/>
          <w:color w:val="000000" w:themeColor="text1"/>
          <w:sz w:val="24"/>
          <w:szCs w:val="24"/>
          <w:highlight w:val="none"/>
          <w14:textFill>
            <w14:solidFill>
              <w14:schemeClr w14:val="tx1"/>
            </w14:solidFill>
          </w14:textFill>
        </w:rPr>
        <w:t>(www.creditchina.gov.cn)</w:t>
      </w:r>
      <w:r>
        <w:rPr>
          <w:rFonts w:hint="eastAsia" w:ascii="宋体" w:hAnsi="宋体" w:cs="宋体"/>
          <w:color w:val="000000" w:themeColor="text1"/>
          <w:sz w:val="24"/>
          <w:szCs w:val="24"/>
          <w:highlight w:val="none"/>
          <w14:textFill>
            <w14:solidFill>
              <w14:schemeClr w14:val="tx1"/>
            </w14:solidFill>
          </w14:textFill>
        </w:rPr>
        <w:t>、中国政府采购网</w:t>
      </w:r>
      <w:r>
        <w:rPr>
          <w:rFonts w:ascii="宋体" w:hAnsi="宋体" w:cs="宋体"/>
          <w:color w:val="000000" w:themeColor="text1"/>
          <w:sz w:val="24"/>
          <w:szCs w:val="24"/>
          <w:highlight w:val="none"/>
          <w14:textFill>
            <w14:solidFill>
              <w14:schemeClr w14:val="tx1"/>
            </w14:solidFill>
          </w14:textFill>
        </w:rPr>
        <w:t>(www.ccgp.gov.cn)</w:t>
      </w:r>
      <w:r>
        <w:rPr>
          <w:rFonts w:hint="eastAsia" w:ascii="宋体" w:hAnsi="宋体" w:cs="宋体"/>
          <w:color w:val="000000" w:themeColor="text1"/>
          <w:sz w:val="24"/>
          <w:szCs w:val="24"/>
          <w:highlight w:val="none"/>
          <w14:textFill>
            <w14:solidFill>
              <w14:schemeClr w14:val="tx1"/>
            </w14:solidFill>
          </w14:textFill>
        </w:rPr>
        <w:t>渠道查询供应商磋商开标后评标前的信用记录，经查询供应商列入失信被执行人名单、重大税收违法案件当事人名单、政府采购严重违法失信行为记录名单的，其磋商无效。</w:t>
      </w:r>
    </w:p>
    <w:p w14:paraId="0280CD34">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）磋商小组出具《供应商资格审查意见表》，供应商未按照磋商文件要求提供与基本资格条件、特定资格条件相应的有效资格证明材料的，视为供应商不具备磋商文件中规定的资格要求，其磋商无效。</w:t>
      </w:r>
    </w:p>
    <w:p w14:paraId="23EE0EAC">
      <w:pPr>
        <w:adjustRightInd w:val="0"/>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62FF1AC0">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）响应文件无法定代表人或其委托授权代表签名或盖章。</w:t>
      </w:r>
    </w:p>
    <w:p w14:paraId="31ACAFA4">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）响应文件内容虚假的。</w:t>
      </w:r>
    </w:p>
    <w:p w14:paraId="42A71FF6">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）响应文件有采购人不能接受的附加条件的。</w:t>
      </w:r>
    </w:p>
    <w:p w14:paraId="3068DA22">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）磋商有效期、服务期等商务条款不能满足磋商文件要求的。</w:t>
      </w:r>
    </w:p>
    <w:p w14:paraId="6DF3CD3B">
      <w:pPr>
        <w:widowControl/>
        <w:spacing w:line="360" w:lineRule="auto"/>
        <w:ind w:firstLine="482"/>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）投标价格超出预算或最高限价，导致采购单位无法支付的。</w:t>
      </w:r>
    </w:p>
    <w:p w14:paraId="50B13A5C">
      <w:pPr>
        <w:widowControl/>
        <w:spacing w:line="360" w:lineRule="auto"/>
        <w:ind w:firstLine="482"/>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）磋商文件明确规定的其他无效条款的。</w:t>
      </w:r>
    </w:p>
    <w:p w14:paraId="37E8ED03">
      <w:pPr>
        <w:adjustRightInd w:val="0"/>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85FF33">
      <w:pPr>
        <w:pStyle w:val="58"/>
        <w:tabs>
          <w:tab w:val="left" w:pos="0"/>
        </w:tabs>
        <w:spacing w:before="0"/>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1.4</w:t>
      </w:r>
      <w:r>
        <w:rPr>
          <w:rFonts w:hint="eastAsia" w:ascii="宋体" w:hAnsi="宋体" w:cs="宋体"/>
          <w:color w:val="000000" w:themeColor="text1"/>
          <w:highlight w:val="none"/>
          <w14:textFill>
            <w14:solidFill>
              <w14:schemeClr w14:val="tx1"/>
            </w14:solidFill>
          </w14:textFill>
        </w:rPr>
        <w:t>磋商小组要求供应商澄清、说明或者更正响应文件应当以书面形式发出。供应商的澄清、说明或者更正应当由法定代表人或其授权代表签字或者加盖公章。由授权代表签字的，应当附法定代表人授权书。</w:t>
      </w:r>
    </w:p>
    <w:p w14:paraId="78B2459D">
      <w:pPr>
        <w:snapToGrid w:val="0"/>
        <w:spacing w:line="360" w:lineRule="auto"/>
        <w:ind w:firstLine="480"/>
        <w:rPr>
          <w:rFonts w:ascii="宋体"/>
          <w:b/>
          <w:bCs/>
          <w:color w:val="000000" w:themeColor="text1"/>
          <w:sz w:val="24"/>
          <w:szCs w:val="24"/>
          <w:highlight w:val="none"/>
          <w:lang w:val="zh-CN"/>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lang w:val="zh-CN"/>
          <w14:textFill>
            <w14:solidFill>
              <w14:schemeClr w14:val="tx1"/>
            </w14:solidFill>
          </w14:textFill>
        </w:rPr>
        <w:t>、磋商</w:t>
      </w:r>
    </w:p>
    <w:p w14:paraId="42AFD3F5">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2.1 </w:t>
      </w:r>
      <w:r>
        <w:rPr>
          <w:rFonts w:hint="eastAsia" w:ascii="宋体" w:hAnsi="宋体" w:cs="宋体"/>
          <w:color w:val="000000" w:themeColor="text1"/>
          <w:sz w:val="24"/>
          <w:szCs w:val="24"/>
          <w:highlight w:val="none"/>
          <w14:textFill>
            <w14:solidFill>
              <w14:schemeClr w14:val="tx1"/>
            </w14:solidFill>
          </w14:textFill>
        </w:rPr>
        <w:t>初审合格的供应商进入下一步的磋商活动。</w:t>
      </w:r>
    </w:p>
    <w:p w14:paraId="2E4B28D2">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2.2 </w:t>
      </w:r>
      <w:r>
        <w:rPr>
          <w:rFonts w:hint="eastAsia" w:ascii="宋体" w:hAnsi="宋体" w:cs="宋体"/>
          <w:color w:val="000000" w:themeColor="text1"/>
          <w:sz w:val="24"/>
          <w:szCs w:val="24"/>
          <w:highlight w:val="none"/>
          <w14:textFill>
            <w14:solidFill>
              <w14:schemeClr w14:val="tx1"/>
            </w14:solidFill>
          </w14:textFill>
        </w:rPr>
        <w:t>磋商小组所有成员应当集中与单一供应商分别进行磋商，并给予所有参加磋商的供应商平等的磋商机会。</w:t>
      </w:r>
    </w:p>
    <w:p w14:paraId="4912F1E9">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2.3 </w:t>
      </w:r>
      <w:r>
        <w:rPr>
          <w:rFonts w:hint="eastAsia" w:ascii="宋体" w:hAnsi="宋体" w:cs="宋体"/>
          <w:color w:val="000000" w:themeColor="text1"/>
          <w:sz w:val="24"/>
          <w:szCs w:val="24"/>
          <w:highlight w:val="none"/>
          <w14:textFill>
            <w14:solidFill>
              <w14:schemeClr w14:val="tx1"/>
            </w14:solidFill>
          </w14:textFill>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000000" w:themeColor="text1"/>
          <w:sz w:val="24"/>
          <w:szCs w:val="24"/>
          <w:highlight w:val="none"/>
          <w14:textFill>
            <w14:solidFill>
              <w14:schemeClr w14:val="tx1"/>
            </w14:solidFill>
          </w14:textFill>
        </w:rPr>
        <w:t xml:space="preserve"> </w:t>
      </w:r>
    </w:p>
    <w:p w14:paraId="1947358D">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2.4 </w:t>
      </w:r>
      <w:r>
        <w:rPr>
          <w:rFonts w:hint="eastAsia" w:ascii="宋体" w:hAnsi="宋体" w:cs="宋体"/>
          <w:color w:val="000000" w:themeColor="text1"/>
          <w:sz w:val="24"/>
          <w:szCs w:val="24"/>
          <w:highlight w:val="none"/>
          <w14:textFill>
            <w14:solidFill>
              <w14:schemeClr w14:val="tx1"/>
            </w14:solidFill>
          </w14:textFill>
        </w:rPr>
        <w:t>在磋商过程中，磋商小组可以根据磋商文件和磋商情况实质性变动采购需求中的技术、服务要求以及合同草案条款。实质性变动的内容，须经采购人代表确认。</w:t>
      </w:r>
    </w:p>
    <w:p w14:paraId="5531FBC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2.5 </w:t>
      </w:r>
      <w:r>
        <w:rPr>
          <w:rFonts w:hint="eastAsia" w:ascii="宋体" w:hAnsi="宋体" w:cs="宋体"/>
          <w:color w:val="000000" w:themeColor="text1"/>
          <w:sz w:val="24"/>
          <w:szCs w:val="24"/>
          <w:highlight w:val="none"/>
          <w14:textFill>
            <w14:solidFill>
              <w14:schemeClr w14:val="tx1"/>
            </w14:solidFill>
          </w14:textFill>
        </w:rPr>
        <w:t>磋商文件作出的实质性变动是磋商文件的有效组成部分，磋商小组应当及时以书面形式同时通知所有参加磋商的供应商。</w:t>
      </w:r>
    </w:p>
    <w:p w14:paraId="0B567F6F">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2.6 </w:t>
      </w:r>
      <w:r>
        <w:rPr>
          <w:rFonts w:hint="eastAsia" w:ascii="宋体" w:hAnsi="宋体" w:cs="宋体"/>
          <w:color w:val="000000" w:themeColor="text1"/>
          <w:sz w:val="24"/>
          <w:szCs w:val="24"/>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8DF6B91">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2.7 </w:t>
      </w:r>
      <w:r>
        <w:rPr>
          <w:rFonts w:hint="eastAsia" w:ascii="宋体" w:hAnsi="宋体" w:cs="宋体"/>
          <w:color w:val="000000" w:themeColor="text1"/>
          <w:sz w:val="24"/>
          <w:szCs w:val="24"/>
          <w:highlight w:val="none"/>
          <w14:textFill>
            <w14:solidFill>
              <w14:schemeClr w14:val="tx1"/>
            </w14:solidFill>
          </w14:textFill>
        </w:rPr>
        <w:t>符合《政府采购竞争性磋商采购方式管理暂行办法》（财库〔</w:t>
      </w:r>
      <w:r>
        <w:rPr>
          <w:rFonts w:ascii="宋体" w:hAnsi="宋体" w:cs="宋体"/>
          <w:color w:val="000000" w:themeColor="text1"/>
          <w:sz w:val="24"/>
          <w:szCs w:val="24"/>
          <w:highlight w:val="none"/>
          <w14:textFill>
            <w14:solidFill>
              <w14:schemeClr w14:val="tx1"/>
            </w14:solidFill>
          </w14:textFill>
        </w:rPr>
        <w:t>2014</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214</w:t>
      </w:r>
      <w:r>
        <w:rPr>
          <w:rFonts w:hint="eastAsia" w:ascii="宋体" w:hAnsi="宋体" w:cs="宋体"/>
          <w:color w:val="000000" w:themeColor="text1"/>
          <w:sz w:val="24"/>
          <w:szCs w:val="24"/>
          <w:highlight w:val="none"/>
          <w14:textFill>
            <w14:solidFill>
              <w14:schemeClr w14:val="tx1"/>
            </w14:solidFill>
          </w14:textFill>
        </w:rPr>
        <w:t>号）第三条第四项即“市场竞争不充分的科研项目，以及需要扶持的科技成果转化项目”情形的，提交最后报价的供应商可以为</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家。</w:t>
      </w:r>
    </w:p>
    <w:p w14:paraId="4909628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2.8 </w:t>
      </w:r>
      <w:r>
        <w:rPr>
          <w:rFonts w:hint="eastAsia" w:ascii="宋体" w:hAnsi="宋体" w:cs="宋体"/>
          <w:color w:val="000000" w:themeColor="text1"/>
          <w:sz w:val="24"/>
          <w:szCs w:val="24"/>
          <w:highlight w:val="none"/>
          <w14:textFill>
            <w14:solidFill>
              <w14:schemeClr w14:val="tx1"/>
            </w14:solidFill>
          </w14:textFill>
        </w:rPr>
        <w:t>采用竞争性磋商采购方式采购的政府购买服务项目（含政府和社会资本合作项目），在采购过程中符合要求的供应商（社会资本）只有</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家的，竞争性磋商采购活动可以继续进行。采购过程中符合要求的供应商（社会资本）只有</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家的，采购人（项目实施机构）或者采购代理机构应当终止竞争性磋商采购活动，发布项目终止公告并说明原因，重新开展采购活动。</w:t>
      </w:r>
    </w:p>
    <w:p w14:paraId="558F5630">
      <w:pPr>
        <w:snapToGrid w:val="0"/>
        <w:spacing w:line="360" w:lineRule="auto"/>
        <w:ind w:firstLine="480"/>
        <w:rPr>
          <w:rFonts w:ascii="宋体"/>
          <w:b/>
          <w:bCs/>
          <w:color w:val="000000" w:themeColor="text1"/>
          <w:sz w:val="24"/>
          <w:szCs w:val="24"/>
          <w:highlight w:val="none"/>
          <w:lang w:val="zh-CN"/>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lang w:val="zh-CN"/>
          <w14:textFill>
            <w14:solidFill>
              <w14:schemeClr w14:val="tx1"/>
            </w14:solidFill>
          </w14:textFill>
        </w:rPr>
        <w:t>、最后报价</w:t>
      </w:r>
    </w:p>
    <w:p w14:paraId="7808BE0F">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w:t>
      </w:r>
      <w:r>
        <w:rPr>
          <w:rFonts w:hint="eastAsia" w:ascii="宋体" w:hAnsi="宋体" w:cs="宋体"/>
          <w:color w:val="000000" w:themeColor="text1"/>
          <w:sz w:val="24"/>
          <w:szCs w:val="24"/>
          <w:highlight w:val="none"/>
          <w14:textFill>
            <w14:solidFill>
              <w14:schemeClr w14:val="tx1"/>
            </w14:solidFill>
          </w14:textFill>
        </w:rPr>
        <w:t>商务技术汇总后，供应商开启报价文件，磋商小组应当要求所有实质性响应的供应商在规定时间内提交最后报价。</w:t>
      </w:r>
    </w:p>
    <w:p w14:paraId="74B4C6E5">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3.2</w:t>
      </w:r>
      <w:r>
        <w:rPr>
          <w:rFonts w:hint="eastAsia" w:ascii="宋体" w:hAnsi="宋体" w:cs="宋体"/>
          <w:color w:val="000000" w:themeColor="text1"/>
          <w:sz w:val="24"/>
          <w:szCs w:val="24"/>
          <w:highlight w:val="none"/>
          <w14:textFill>
            <w14:solidFill>
              <w14:schemeClr w14:val="tx1"/>
            </w14:solidFill>
          </w14:textFill>
        </w:rPr>
        <w:t>最后报价是供应商响应文件的有效组成部分，若最后报价高于响应文件报价文件报价，则以第一次报价计入评分。</w:t>
      </w:r>
    </w:p>
    <w:p w14:paraId="132BC4AA">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3.3</w:t>
      </w:r>
      <w:r>
        <w:rPr>
          <w:rFonts w:hint="eastAsia" w:ascii="宋体" w:hAnsi="宋体" w:cs="宋体"/>
          <w:color w:val="000000" w:themeColor="text1"/>
          <w:sz w:val="24"/>
          <w:szCs w:val="24"/>
          <w:highlight w:val="none"/>
          <w14:textFill>
            <w14:solidFill>
              <w14:schemeClr w14:val="tx1"/>
            </w14:solidFill>
          </w14:textFill>
        </w:rPr>
        <w:t>已提交响应文件的供应商，在提交最后报价之前，若因磋商文件实质性变动导致供应商无法满足采购需求的，允许供应商退出磋商。</w:t>
      </w:r>
    </w:p>
    <w:p w14:paraId="23735BAA">
      <w:pPr>
        <w:pStyle w:val="6"/>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、电子评标</w:t>
      </w:r>
    </w:p>
    <w:p w14:paraId="73C032E8">
      <w:pPr>
        <w:pStyle w:val="6"/>
        <w:spacing w:line="360" w:lineRule="auto"/>
        <w:ind w:firstLine="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4.1</w:t>
      </w:r>
      <w:r>
        <w:rPr>
          <w:rFonts w:hint="eastAsia" w:ascii="宋体" w:hAnsi="宋体" w:cs="宋体"/>
          <w:color w:val="000000" w:themeColor="text1"/>
          <w:sz w:val="24"/>
          <w:szCs w:val="24"/>
          <w:highlight w:val="none"/>
          <w14:textFill>
            <w14:solidFill>
              <w14:schemeClr w14:val="tx1"/>
            </w14:solidFill>
          </w14:textFill>
        </w:rPr>
        <w:t>磋商活动由采购代理机构主持</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磋商响应截止时间后</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供应商登录政采云平台对电子响应文件进行在线解密；</w:t>
      </w:r>
    </w:p>
    <w:p w14:paraId="4F832BF4">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4.2</w:t>
      </w:r>
      <w:r>
        <w:rPr>
          <w:rFonts w:hint="eastAsia" w:ascii="宋体" w:hAnsi="宋体" w:cs="宋体"/>
          <w:color w:val="000000" w:themeColor="text1"/>
          <w:sz w:val="24"/>
          <w:szCs w:val="24"/>
          <w:highlight w:val="none"/>
          <w14:textFill>
            <w14:solidFill>
              <w14:schemeClr w14:val="tx1"/>
            </w14:solidFill>
          </w14:textFill>
        </w:rPr>
        <w:t>响应文件解密结束</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开启响应文件</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磋商小组对资格和商务技术响应文件进行资格审查和符合性审查；</w:t>
      </w:r>
    </w:p>
    <w:p w14:paraId="39BDA6BF">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4.3</w:t>
      </w:r>
      <w:r>
        <w:rPr>
          <w:rFonts w:hint="eastAsia" w:ascii="宋体" w:hAnsi="宋体" w:cs="宋体"/>
          <w:color w:val="000000" w:themeColor="text1"/>
          <w:sz w:val="24"/>
          <w:szCs w:val="24"/>
          <w:highlight w:val="none"/>
          <w14:textFill>
            <w14:solidFill>
              <w14:schemeClr w14:val="tx1"/>
            </w14:solidFill>
          </w14:textFill>
        </w:rPr>
        <w:t>供应商按递交磋商响应文件的前后顺序决定磋商的顺序</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就价格、服务等认为需要磋商的内容进行磋商</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供应商逐家回答磋商小组的提问</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供应商作出最终承诺；</w:t>
      </w:r>
    </w:p>
    <w:p w14:paraId="1190B8B4">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4.4</w:t>
      </w:r>
      <w:r>
        <w:rPr>
          <w:rFonts w:hint="eastAsia" w:ascii="宋体" w:hAnsi="宋体" w:cs="宋体"/>
          <w:color w:val="000000" w:themeColor="text1"/>
          <w:sz w:val="24"/>
          <w:szCs w:val="24"/>
          <w:highlight w:val="none"/>
          <w14:textFill>
            <w14:solidFill>
              <w14:schemeClr w14:val="tx1"/>
            </w14:solidFill>
          </w14:textFill>
        </w:rPr>
        <w:t>磋商小组对商务技术响应文件进行评审；</w:t>
      </w:r>
    </w:p>
    <w:p w14:paraId="7A242643">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4.5</w:t>
      </w:r>
      <w:r>
        <w:rPr>
          <w:rFonts w:hint="eastAsia" w:ascii="宋体" w:hAnsi="宋体" w:cs="宋体"/>
          <w:color w:val="000000" w:themeColor="text1"/>
          <w:sz w:val="24"/>
          <w:szCs w:val="24"/>
          <w:highlight w:val="none"/>
          <w14:textFill>
            <w14:solidFill>
              <w14:schemeClr w14:val="tx1"/>
            </w14:solidFill>
          </w14:textFill>
        </w:rPr>
        <w:t>商务技术汇总后，供应商开启报价文件，进行磋商二次报价（最终报价），</w:t>
      </w:r>
      <w:r>
        <w:rPr>
          <w:rFonts w:hint="eastAsia" w:ascii="宋体" w:hAnsi="宋体" w:cs="宋体"/>
          <w:b/>
          <w:bCs/>
          <w:color w:val="000000" w:themeColor="text1"/>
          <w:sz w:val="24"/>
          <w:szCs w:val="24"/>
          <w:highlight w:val="none"/>
          <w14:textFill>
            <w14:solidFill>
              <w14:schemeClr w14:val="tx1"/>
            </w14:solidFill>
          </w14:textFill>
        </w:rPr>
        <w:t>如果供应商在规定时间</w:t>
      </w:r>
      <w:r>
        <w:rPr>
          <w:rFonts w:ascii="宋体" w:hAnsi="宋体" w:cs="宋体"/>
          <w:b/>
          <w:bCs/>
          <w:color w:val="000000" w:themeColor="text1"/>
          <w:sz w:val="24"/>
          <w:szCs w:val="24"/>
          <w:highlight w:val="none"/>
          <w14:textFill>
            <w14:solidFill>
              <w14:schemeClr w14:val="tx1"/>
            </w14:solidFill>
          </w14:textFill>
        </w:rPr>
        <w:t>30</w:t>
      </w:r>
      <w:r>
        <w:rPr>
          <w:rFonts w:hint="eastAsia" w:ascii="宋体" w:hAnsi="宋体" w:cs="宋体"/>
          <w:b/>
          <w:bCs/>
          <w:color w:val="000000" w:themeColor="text1"/>
          <w:sz w:val="24"/>
          <w:szCs w:val="24"/>
          <w:highlight w:val="none"/>
          <w14:textFill>
            <w14:solidFill>
              <w14:schemeClr w14:val="tx1"/>
            </w14:solidFill>
          </w14:textFill>
        </w:rPr>
        <w:t>分钟内未提交第二次报价，视该供应商放弃本次投标，作无效标处理</w:t>
      </w:r>
      <w:r>
        <w:rPr>
          <w:rFonts w:hint="eastAsia" w:ascii="宋体" w:hAnsi="宋体" w:cs="宋体"/>
          <w:color w:val="000000" w:themeColor="text1"/>
          <w:sz w:val="24"/>
          <w:szCs w:val="24"/>
          <w:highlight w:val="none"/>
          <w14:textFill>
            <w14:solidFill>
              <w14:schemeClr w14:val="tx1"/>
            </w14:solidFill>
          </w14:textFill>
        </w:rPr>
        <w:t>；</w:t>
      </w:r>
    </w:p>
    <w:p w14:paraId="25F8C1D8">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4.6</w:t>
      </w:r>
      <w:r>
        <w:rPr>
          <w:rFonts w:hint="eastAsia" w:ascii="宋体" w:hAnsi="宋体" w:cs="宋体"/>
          <w:color w:val="000000" w:themeColor="text1"/>
          <w:sz w:val="24"/>
          <w:szCs w:val="24"/>
          <w:highlight w:val="none"/>
          <w14:textFill>
            <w14:solidFill>
              <w14:schemeClr w14:val="tx1"/>
            </w14:solidFill>
          </w14:textFill>
        </w:rPr>
        <w:t>在系统上开启最终报价情况；</w:t>
      </w:r>
    </w:p>
    <w:p w14:paraId="6A2F1B2F">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4.7</w:t>
      </w:r>
      <w:r>
        <w:rPr>
          <w:rFonts w:hint="eastAsia" w:ascii="宋体" w:hAnsi="宋体" w:cs="宋体"/>
          <w:color w:val="000000" w:themeColor="text1"/>
          <w:sz w:val="24"/>
          <w:szCs w:val="24"/>
          <w:highlight w:val="none"/>
          <w14:textFill>
            <w14:solidFill>
              <w14:schemeClr w14:val="tx1"/>
            </w14:solidFill>
          </w14:textFill>
        </w:rPr>
        <w:t>磋商小组对报价情况进行评审；</w:t>
      </w:r>
    </w:p>
    <w:p w14:paraId="29E5A5DD">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4.8</w:t>
      </w:r>
      <w:r>
        <w:rPr>
          <w:rFonts w:hint="eastAsia" w:ascii="宋体" w:hAnsi="宋体" w:cs="宋体"/>
          <w:color w:val="000000" w:themeColor="text1"/>
          <w:sz w:val="24"/>
          <w:szCs w:val="24"/>
          <w:highlight w:val="none"/>
          <w14:textFill>
            <w14:solidFill>
              <w14:schemeClr w14:val="tx1"/>
            </w14:solidFill>
          </w14:textFill>
        </w:rPr>
        <w:t>在系统上公开资格和商务技术评审结果；</w:t>
      </w:r>
    </w:p>
    <w:p w14:paraId="643837D5">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4.9</w:t>
      </w:r>
      <w:r>
        <w:rPr>
          <w:rFonts w:hint="eastAsia" w:ascii="宋体" w:hAnsi="宋体" w:cs="宋体"/>
          <w:color w:val="000000" w:themeColor="text1"/>
          <w:sz w:val="24"/>
          <w:szCs w:val="24"/>
          <w:highlight w:val="none"/>
          <w14:textFill>
            <w14:solidFill>
              <w14:schemeClr w14:val="tx1"/>
            </w14:solidFill>
          </w14:textFill>
        </w:rPr>
        <w:t>在系统上公布评审结果。</w:t>
      </w:r>
    </w:p>
    <w:p w14:paraId="78714E4A">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4.10</w:t>
      </w:r>
      <w:r>
        <w:rPr>
          <w:rFonts w:hint="eastAsia" w:ascii="宋体" w:hAnsi="宋体" w:cs="宋体"/>
          <w:color w:val="000000" w:themeColor="text1"/>
          <w:sz w:val="24"/>
          <w:szCs w:val="24"/>
          <w:highlight w:val="none"/>
          <w14:textFill>
            <w14:solidFill>
              <w14:schemeClr w14:val="tx1"/>
            </w14:solidFill>
          </w14:textFill>
        </w:rPr>
        <w:t>开标会结束。</w:t>
      </w:r>
    </w:p>
    <w:p w14:paraId="3C769FAD">
      <w:pPr>
        <w:snapToGrid w:val="0"/>
        <w:spacing w:line="360" w:lineRule="auto"/>
        <w:ind w:firstLine="480"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特别说明</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政采云如对电子化开标及评审程序有调整的</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按调整后的程序操作。</w:t>
      </w:r>
    </w:p>
    <w:p w14:paraId="7BEB620D">
      <w:pPr>
        <w:snapToGrid w:val="0"/>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5</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综合评分</w:t>
      </w:r>
    </w:p>
    <w:p w14:paraId="7DE58A2B">
      <w:pPr>
        <w:tabs>
          <w:tab w:val="left" w:pos="-1080"/>
          <w:tab w:val="left" w:pos="180"/>
          <w:tab w:val="left" w:pos="1080"/>
        </w:tabs>
        <w:snapToGrid w:val="0"/>
        <w:spacing w:line="360" w:lineRule="auto"/>
        <w:ind w:firstLine="48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5.1</w:t>
      </w:r>
      <w:r>
        <w:rPr>
          <w:rFonts w:hint="eastAsia" w:ascii="宋体" w:hAnsi="宋体" w:cs="宋体"/>
          <w:color w:val="000000" w:themeColor="text1"/>
          <w:sz w:val="24"/>
          <w:szCs w:val="24"/>
          <w:highlight w:val="none"/>
          <w14:textFill>
            <w14:solidFill>
              <w14:schemeClr w14:val="tx1"/>
            </w14:solidFill>
          </w14:textFill>
        </w:rPr>
        <w:t>本评标办法采用综合评标法，由商务技术分和报价分合计组成，其中商务技术分</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70</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分、报价分</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分；满分为</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分。</w:t>
      </w:r>
    </w:p>
    <w:p w14:paraId="646B8959">
      <w:pPr>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5.2</w:t>
      </w:r>
      <w:r>
        <w:rPr>
          <w:rFonts w:hint="eastAsia" w:ascii="宋体" w:hAnsi="宋体" w:cs="宋体"/>
          <w:color w:val="000000" w:themeColor="text1"/>
          <w:sz w:val="24"/>
          <w:szCs w:val="24"/>
          <w:highlight w:val="none"/>
          <w14:textFill>
            <w14:solidFill>
              <w14:schemeClr w14:val="tx1"/>
            </w14:solidFill>
          </w14:textFill>
        </w:rPr>
        <w:t>经初步评审合格的响应文件，磋商小组根据竞争性磋商文件确定的评审标准和方法，对其商务技术部分作进一步评审、比较、打分。</w:t>
      </w:r>
    </w:p>
    <w:p w14:paraId="03D77486">
      <w:pPr>
        <w:pStyle w:val="17"/>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5.3</w:t>
      </w:r>
      <w:r>
        <w:rPr>
          <w:rFonts w:hint="eastAsia" w:hAnsi="宋体"/>
          <w:color w:val="000000" w:themeColor="text1"/>
          <w:sz w:val="24"/>
          <w:szCs w:val="24"/>
          <w:highlight w:val="none"/>
          <w14:textFill>
            <w14:solidFill>
              <w14:schemeClr w14:val="tx1"/>
            </w14:solidFill>
          </w14:textFill>
        </w:rPr>
        <w:t>磋商小组成员首先分别对每个供应商商务技术部分进行评审打分，然后计算出算术平均值（保留</w:t>
      </w: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位小数），即为供应商的商务技术得分，后计算二次报价，计算公式：投标价格分</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最佳报价</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投标报价</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价格权值</w:t>
      </w:r>
      <w:r>
        <w:rPr>
          <w:rFonts w:hAnsi="宋体"/>
          <w:color w:val="000000" w:themeColor="text1"/>
          <w:sz w:val="24"/>
          <w:szCs w:val="24"/>
          <w:highlight w:val="none"/>
          <w14:textFill>
            <w14:solidFill>
              <w14:schemeClr w14:val="tx1"/>
            </w14:solidFill>
          </w14:textFill>
        </w:rPr>
        <w:t>*100</w:t>
      </w:r>
      <w:r>
        <w:rPr>
          <w:rFonts w:hint="eastAsia" w:hAnsi="宋体"/>
          <w:color w:val="000000" w:themeColor="text1"/>
          <w:sz w:val="24"/>
          <w:szCs w:val="24"/>
          <w:highlight w:val="none"/>
          <w14:textFill>
            <w14:solidFill>
              <w14:schemeClr w14:val="tx1"/>
            </w14:solidFill>
          </w14:textFill>
        </w:rPr>
        <w:t>。综合得分</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商务技术分</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报价分，以综合得分（保留</w:t>
      </w: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478E6E4B">
      <w:pPr>
        <w:pStyle w:val="17"/>
        <w:spacing w:line="360" w:lineRule="auto"/>
        <w:ind w:left="420" w:left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6</w:t>
      </w:r>
      <w:r>
        <w:rPr>
          <w:rFonts w:hint="eastAsia" w:hAnsi="宋体"/>
          <w:b/>
          <w:bCs/>
          <w:color w:val="000000" w:themeColor="text1"/>
          <w:sz w:val="24"/>
          <w:szCs w:val="24"/>
          <w:highlight w:val="none"/>
          <w14:textFill>
            <w14:solidFill>
              <w14:schemeClr w14:val="tx1"/>
            </w14:solidFill>
          </w14:textFill>
        </w:rPr>
        <w:t>、修正原则</w:t>
      </w:r>
    </w:p>
    <w:p w14:paraId="034B417F">
      <w:pPr>
        <w:pStyle w:val="58"/>
        <w:spacing w:before="0"/>
        <w:ind w:left="420" w:leftChars="200" w:firstLine="0" w:firstLineChars="0"/>
        <w:rPr>
          <w:rFonts w:ascii="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w:t>
      </w:r>
      <w:r>
        <w:rPr>
          <w:rFonts w:hint="eastAsia" w:ascii="宋体" w:hAnsi="宋体" w:cs="宋体"/>
          <w:color w:val="000000" w:themeColor="text1"/>
          <w:highlight w:val="none"/>
          <w:lang w:val="zh-CN"/>
          <w14:textFill>
            <w14:solidFill>
              <w14:schemeClr w14:val="tx1"/>
            </w14:solidFill>
          </w14:textFill>
        </w:rPr>
        <w:t>文件报价出现前后不一致的，按照下列规定修正：</w:t>
      </w:r>
    </w:p>
    <w:p w14:paraId="7A27B3C3">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6.1</w:t>
      </w:r>
      <w:r>
        <w:rPr>
          <w:rFonts w:hint="eastAsia" w:ascii="宋体" w:hAnsi="宋体" w:cs="宋体"/>
          <w:color w:val="000000" w:themeColor="text1"/>
          <w:highlight w:val="none"/>
          <w14:textFill>
            <w14:solidFill>
              <w14:schemeClr w14:val="tx1"/>
            </w14:solidFill>
          </w14:textFill>
        </w:rPr>
        <w:t>响应</w:t>
      </w:r>
      <w:r>
        <w:rPr>
          <w:rFonts w:hint="eastAsia" w:ascii="宋体" w:hAnsi="宋体" w:cs="宋体"/>
          <w:color w:val="000000" w:themeColor="text1"/>
          <w:highlight w:val="none"/>
          <w:lang w:val="zh-CN"/>
          <w14:textFill>
            <w14:solidFill>
              <w14:schemeClr w14:val="tx1"/>
            </w14:solidFill>
          </w14:textFill>
        </w:rPr>
        <w:t>文件中</w:t>
      </w:r>
      <w:r>
        <w:rPr>
          <w:rFonts w:hint="eastAsia" w:ascii="宋体" w:hAnsi="宋体" w:cs="宋体"/>
          <w:color w:val="000000" w:themeColor="text1"/>
          <w:highlight w:val="none"/>
          <w14:textFill>
            <w14:solidFill>
              <w14:schemeClr w14:val="tx1"/>
            </w14:solidFill>
          </w14:textFill>
        </w:rPr>
        <w:t>报价</w:t>
      </w:r>
      <w:r>
        <w:rPr>
          <w:rFonts w:hint="eastAsia" w:ascii="宋体" w:hAnsi="宋体" w:cs="宋体"/>
          <w:color w:val="000000" w:themeColor="text1"/>
          <w:highlight w:val="none"/>
          <w:lang w:val="zh-CN"/>
          <w14:textFill>
            <w14:solidFill>
              <w14:schemeClr w14:val="tx1"/>
            </w14:solidFill>
          </w14:textFill>
        </w:rPr>
        <w:t>一览表内容与</w:t>
      </w:r>
      <w:r>
        <w:rPr>
          <w:rFonts w:hint="eastAsia" w:ascii="宋体" w:hAnsi="宋体" w:cs="宋体"/>
          <w:color w:val="000000" w:themeColor="text1"/>
          <w:highlight w:val="none"/>
          <w14:textFill>
            <w14:solidFill>
              <w14:schemeClr w14:val="tx1"/>
            </w14:solidFill>
          </w14:textFill>
        </w:rPr>
        <w:t>响应</w:t>
      </w:r>
      <w:r>
        <w:rPr>
          <w:rFonts w:hint="eastAsia" w:ascii="宋体" w:hAnsi="宋体" w:cs="宋体"/>
          <w:color w:val="000000" w:themeColor="text1"/>
          <w:highlight w:val="none"/>
          <w:lang w:val="zh-CN"/>
          <w14:textFill>
            <w14:solidFill>
              <w14:schemeClr w14:val="tx1"/>
            </w14:solidFill>
          </w14:textFill>
        </w:rPr>
        <w:t>文件中相应内容不一致的，以</w:t>
      </w:r>
      <w:r>
        <w:rPr>
          <w:rFonts w:hint="eastAsia" w:ascii="宋体" w:hAnsi="宋体" w:cs="宋体"/>
          <w:color w:val="000000" w:themeColor="text1"/>
          <w:highlight w:val="none"/>
          <w14:textFill>
            <w14:solidFill>
              <w14:schemeClr w14:val="tx1"/>
            </w14:solidFill>
          </w14:textFill>
        </w:rPr>
        <w:t>报价</w:t>
      </w:r>
      <w:r>
        <w:rPr>
          <w:rFonts w:hint="eastAsia" w:ascii="宋体" w:hAnsi="宋体" w:cs="宋体"/>
          <w:color w:val="000000" w:themeColor="text1"/>
          <w:highlight w:val="none"/>
          <w:lang w:val="zh-CN"/>
          <w14:textFill>
            <w14:solidFill>
              <w14:schemeClr w14:val="tx1"/>
            </w14:solidFill>
          </w14:textFill>
        </w:rPr>
        <w:t>一览表为准；</w:t>
      </w:r>
    </w:p>
    <w:p w14:paraId="1010A224">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6.2</w:t>
      </w:r>
      <w:r>
        <w:rPr>
          <w:rFonts w:hint="eastAsia" w:ascii="宋体" w:hAnsi="宋体" w:cs="宋体"/>
          <w:color w:val="000000" w:themeColor="text1"/>
          <w:highlight w:val="none"/>
          <w:lang w:val="zh-CN"/>
          <w14:textFill>
            <w14:solidFill>
              <w14:schemeClr w14:val="tx1"/>
            </w14:solidFill>
          </w14:textFill>
        </w:rPr>
        <w:t>大写金额和小写金额不一致的，以大写金额为准；</w:t>
      </w:r>
    </w:p>
    <w:p w14:paraId="269663C1">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6.3</w:t>
      </w:r>
      <w:r>
        <w:rPr>
          <w:rFonts w:hint="eastAsia" w:ascii="宋体" w:hAnsi="宋体" w:cs="宋体"/>
          <w:color w:val="000000" w:themeColor="text1"/>
          <w:highlight w:val="none"/>
          <w:lang w:val="zh-CN"/>
          <w14:textFill>
            <w14:solidFill>
              <w14:schemeClr w14:val="tx1"/>
            </w14:solidFill>
          </w14:textFill>
        </w:rPr>
        <w:t>单价金额小数点或者百分比有明显错位的，以</w:t>
      </w:r>
      <w:r>
        <w:rPr>
          <w:rFonts w:hint="eastAsia" w:ascii="宋体" w:hAnsi="宋体" w:cs="宋体"/>
          <w:color w:val="000000" w:themeColor="text1"/>
          <w:highlight w:val="none"/>
          <w14:textFill>
            <w14:solidFill>
              <w14:schemeClr w14:val="tx1"/>
            </w14:solidFill>
          </w14:textFill>
        </w:rPr>
        <w:t>报价</w:t>
      </w:r>
      <w:r>
        <w:rPr>
          <w:rFonts w:hint="eastAsia" w:ascii="宋体" w:hAnsi="宋体" w:cs="宋体"/>
          <w:color w:val="000000" w:themeColor="text1"/>
          <w:highlight w:val="none"/>
          <w:lang w:val="zh-CN"/>
          <w14:textFill>
            <w14:solidFill>
              <w14:schemeClr w14:val="tx1"/>
            </w14:solidFill>
          </w14:textFill>
        </w:rPr>
        <w:t>一览表的总价为准，并修改单价；</w:t>
      </w:r>
    </w:p>
    <w:p w14:paraId="51DA4CAD">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6.4</w:t>
      </w:r>
      <w:r>
        <w:rPr>
          <w:rFonts w:hint="eastAsia" w:ascii="宋体" w:hAnsi="宋体" w:cs="宋体"/>
          <w:color w:val="000000" w:themeColor="text1"/>
          <w:highlight w:val="none"/>
          <w:lang w:val="zh-CN"/>
          <w14:textFill>
            <w14:solidFill>
              <w14:schemeClr w14:val="tx1"/>
            </w14:solidFill>
          </w14:textFill>
        </w:rPr>
        <w:t>总价金额与按单价汇总金额不一致的，以单价金额计算结果为准。</w:t>
      </w:r>
    </w:p>
    <w:p w14:paraId="04F41354">
      <w:pPr>
        <w:pStyle w:val="58"/>
        <w:spacing w:before="0"/>
        <w:ind w:firstLine="480"/>
        <w:rPr>
          <w:rFonts w:ascii="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同时出现两种以上不一致的，按照前款规定的顺序修正。修正后的报价按照财政部公布第</w:t>
      </w:r>
      <w:r>
        <w:rPr>
          <w:rFonts w:ascii="宋体" w:hAnsi="宋体" w:cs="宋体"/>
          <w:color w:val="000000" w:themeColor="text1"/>
          <w:highlight w:val="none"/>
          <w:lang w:val="zh-CN"/>
          <w14:textFill>
            <w14:solidFill>
              <w14:schemeClr w14:val="tx1"/>
            </w14:solidFill>
          </w14:textFill>
        </w:rPr>
        <w:t>87</w:t>
      </w:r>
      <w:r>
        <w:rPr>
          <w:rFonts w:hint="eastAsia" w:ascii="宋体" w:hAnsi="宋体" w:cs="宋体"/>
          <w:color w:val="000000" w:themeColor="text1"/>
          <w:highlight w:val="none"/>
          <w:lang w:val="zh-CN"/>
          <w14:textFill>
            <w14:solidFill>
              <w14:schemeClr w14:val="tx1"/>
            </w14:solidFill>
          </w14:textFill>
        </w:rPr>
        <w:t>号令《政府采购</w:t>
      </w:r>
      <w:r>
        <w:rPr>
          <w:rFonts w:hint="eastAsia" w:ascii="宋体" w:hAnsi="宋体" w:cs="宋体"/>
          <w:color w:val="000000" w:themeColor="text1"/>
          <w:highlight w:val="none"/>
          <w:lang w:val="en-US" w:eastAsia="zh-CN"/>
          <w14:textFill>
            <w14:solidFill>
              <w14:schemeClr w14:val="tx1"/>
            </w14:solidFill>
          </w14:textFill>
        </w:rPr>
        <w:t>货物</w:t>
      </w:r>
      <w:r>
        <w:rPr>
          <w:rFonts w:hint="eastAsia" w:ascii="宋体" w:hAnsi="宋体" w:cs="宋体"/>
          <w:color w:val="000000" w:themeColor="text1"/>
          <w:highlight w:val="none"/>
          <w:lang w:val="zh-CN"/>
          <w14:textFill>
            <w14:solidFill>
              <w14:schemeClr w14:val="tx1"/>
            </w14:solidFill>
          </w14:textFill>
        </w:rPr>
        <w:t>和服务招标投标管理办法》第五十一条第二款的规定经</w:t>
      </w: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lang w:val="zh-CN"/>
          <w14:textFill>
            <w14:solidFill>
              <w14:schemeClr w14:val="tx1"/>
            </w14:solidFill>
          </w14:textFill>
        </w:rPr>
        <w:t>确认后产生约束力，</w:t>
      </w: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lang w:val="zh-CN"/>
          <w14:textFill>
            <w14:solidFill>
              <w14:schemeClr w14:val="tx1"/>
            </w14:solidFill>
          </w14:textFill>
        </w:rPr>
        <w:t>不确认的，其</w:t>
      </w:r>
      <w:r>
        <w:rPr>
          <w:rFonts w:hint="eastAsia" w:ascii="宋体" w:hAnsi="宋体" w:cs="宋体"/>
          <w:color w:val="000000" w:themeColor="text1"/>
          <w:highlight w:val="none"/>
          <w14:textFill>
            <w14:solidFill>
              <w14:schemeClr w14:val="tx1"/>
            </w14:solidFill>
          </w14:textFill>
        </w:rPr>
        <w:t>磋商</w:t>
      </w:r>
      <w:r>
        <w:rPr>
          <w:rFonts w:hint="eastAsia" w:ascii="宋体" w:hAnsi="宋体" w:cs="宋体"/>
          <w:color w:val="000000" w:themeColor="text1"/>
          <w:highlight w:val="none"/>
          <w:lang w:val="zh-CN"/>
          <w14:textFill>
            <w14:solidFill>
              <w14:schemeClr w14:val="tx1"/>
            </w14:solidFill>
          </w14:textFill>
        </w:rPr>
        <w:t>无效。</w:t>
      </w:r>
    </w:p>
    <w:p w14:paraId="27062C9A">
      <w:pPr>
        <w:pStyle w:val="17"/>
        <w:spacing w:line="360" w:lineRule="auto"/>
        <w:ind w:left="420" w:left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7</w:t>
      </w:r>
      <w:r>
        <w:rPr>
          <w:rFonts w:hint="eastAsia" w:hAnsi="宋体"/>
          <w:b/>
          <w:bCs/>
          <w:color w:val="000000" w:themeColor="text1"/>
          <w:sz w:val="24"/>
          <w:szCs w:val="24"/>
          <w:highlight w:val="none"/>
          <w14:textFill>
            <w14:solidFill>
              <w14:schemeClr w14:val="tx1"/>
            </w14:solidFill>
          </w14:textFill>
        </w:rPr>
        <w:t>、响应文件的澄清</w:t>
      </w:r>
    </w:p>
    <w:p w14:paraId="1AC15E59">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7.1</w:t>
      </w:r>
      <w:r>
        <w:rPr>
          <w:rFonts w:hint="eastAsia" w:ascii="宋体" w:hAnsi="宋体" w:cs="宋体"/>
          <w:color w:val="000000" w:themeColor="text1"/>
          <w:highlight w:val="none"/>
          <w:lang w:val="zh-CN"/>
          <w14:textFill>
            <w14:solidFill>
              <w14:schemeClr w14:val="tx1"/>
            </w14:solidFill>
          </w14:textFill>
        </w:rPr>
        <w:t>评审中因</w:t>
      </w:r>
      <w:r>
        <w:rPr>
          <w:rFonts w:hint="eastAsia" w:ascii="宋体" w:hAnsi="宋体" w:cs="宋体"/>
          <w:color w:val="000000" w:themeColor="text1"/>
          <w:highlight w:val="none"/>
          <w14:textFill>
            <w14:solidFill>
              <w14:schemeClr w14:val="tx1"/>
            </w14:solidFill>
          </w14:textFill>
        </w:rPr>
        <w:t>响应</w:t>
      </w:r>
      <w:r>
        <w:rPr>
          <w:rFonts w:hint="eastAsia" w:ascii="宋体" w:hAnsi="宋体" w:cs="宋体"/>
          <w:color w:val="000000" w:themeColor="text1"/>
          <w:highlight w:val="none"/>
          <w:lang w:val="zh-CN"/>
          <w14:textFill>
            <w14:solidFill>
              <w14:schemeClr w14:val="tx1"/>
            </w14:solidFill>
          </w14:textFill>
        </w:rPr>
        <w:t>文件含义不明、表述不一致或有明显计算错误等内容需要供应商作出澄清、说明或者补正的，</w:t>
      </w:r>
      <w:r>
        <w:rPr>
          <w:rFonts w:hint="eastAsia" w:ascii="宋体" w:hAnsi="宋体" w:cs="宋体"/>
          <w:color w:val="000000" w:themeColor="text1"/>
          <w:highlight w:val="none"/>
          <w14:textFill>
            <w14:solidFill>
              <w14:schemeClr w14:val="tx1"/>
            </w14:solidFill>
          </w14:textFill>
        </w:rPr>
        <w:t>磋商小组</w:t>
      </w:r>
      <w:r>
        <w:rPr>
          <w:rFonts w:hint="eastAsia" w:ascii="宋体" w:hAnsi="宋体" w:cs="宋体"/>
          <w:color w:val="000000" w:themeColor="text1"/>
          <w:highlight w:val="none"/>
          <w:lang w:val="zh-CN"/>
          <w14:textFill>
            <w14:solidFill>
              <w14:schemeClr w14:val="tx1"/>
            </w14:solidFill>
          </w14:textFill>
        </w:rPr>
        <w:t>和供应商应当通过政采云平台交换数据电文，给予供应商提交澄清说明或补正的时间不少于半小时，供应商已经明确表示澄清说明或补正完毕的除外。</w:t>
      </w:r>
    </w:p>
    <w:p w14:paraId="212A67C4">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供应商通过政采云平台交换的数据电文必须进行电子签章。</w:t>
      </w:r>
    </w:p>
    <w:p w14:paraId="5665BDAF">
      <w:pPr>
        <w:pStyle w:val="3"/>
        <w:numPr>
          <w:ilvl w:val="0"/>
          <w:numId w:val="14"/>
        </w:numPr>
        <w:jc w:val="center"/>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83" w:name="_Toc12816"/>
      <w:bookmarkStart w:id="84" w:name="_Toc18692"/>
      <w:r>
        <w:rPr>
          <w:rFonts w:hint="eastAsia"/>
          <w:color w:val="000000" w:themeColor="text1"/>
          <w:highlight w:val="none"/>
          <w14:textFill>
            <w14:solidFill>
              <w14:schemeClr w14:val="tx1"/>
            </w14:solidFill>
          </w14:textFill>
        </w:rPr>
        <w:t>注意事项</w:t>
      </w:r>
      <w:bookmarkEnd w:id="83"/>
      <w:bookmarkEnd w:id="84"/>
    </w:p>
    <w:p w14:paraId="01DC22A9">
      <w:pPr>
        <w:pStyle w:val="6"/>
        <w:spacing w:line="360" w:lineRule="auto"/>
        <w:rPr>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3BE440E9">
      <w:pPr>
        <w:pStyle w:val="3"/>
        <w:numPr>
          <w:ilvl w:val="0"/>
          <w:numId w:val="15"/>
        </w:numPr>
        <w:jc w:val="center"/>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85" w:name="_Toc13782"/>
      <w:bookmarkStart w:id="86" w:name="_Toc26280"/>
      <w:r>
        <w:rPr>
          <w:rFonts w:hint="eastAsia"/>
          <w:color w:val="000000" w:themeColor="text1"/>
          <w:highlight w:val="none"/>
          <w14:textFill>
            <w14:solidFill>
              <w14:schemeClr w14:val="tx1"/>
            </w14:solidFill>
          </w14:textFill>
        </w:rPr>
        <w:t>评分细则</w:t>
      </w:r>
      <w:bookmarkEnd w:id="85"/>
      <w:bookmarkEnd w:id="86"/>
    </w:p>
    <w:p w14:paraId="691FE802">
      <w:pP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一、报价文件评分标准（</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30</w:t>
      </w:r>
      <w:r>
        <w:rPr>
          <w:rFonts w:ascii="宋体" w:hAnsi="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分）</w:t>
      </w:r>
    </w:p>
    <w:p w14:paraId="18C0C053">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报价文件主要是对供应商的有效报价进行评议，其评分标准及分值设置规则如下：</w:t>
      </w:r>
    </w:p>
    <w:p w14:paraId="3EC82189">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、本次采购最高限价规定如下：</w:t>
      </w:r>
    </w:p>
    <w:p w14:paraId="692D29B6">
      <w:pPr>
        <w:spacing w:line="360" w:lineRule="auto"/>
        <w:ind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本项目投标报价的最高限价</w:t>
      </w:r>
      <w:r>
        <w:rPr>
          <w:rFonts w:hint="eastAsia" w:ascii="宋体" w:hAnsi="宋体" w:cs="宋体"/>
          <w:b/>
          <w:bCs/>
          <w:color w:val="000000" w:themeColor="text1"/>
          <w:sz w:val="24"/>
          <w:szCs w:val="24"/>
          <w:highlight w:val="none"/>
          <w14:textFill>
            <w14:solidFill>
              <w14:schemeClr w14:val="tx1"/>
            </w14:solidFill>
          </w14:textFill>
        </w:rPr>
        <w:t>为人民币</w:t>
      </w:r>
      <w:r>
        <w:rPr>
          <w:rFonts w:hint="eastAsia" w:ascii="宋体" w:hAnsi="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玖拾伍万</w:t>
      </w:r>
      <w:r>
        <w:rPr>
          <w:rFonts w:hint="eastAsia" w:ascii="宋体" w:hAnsi="宋体" w:cs="宋体"/>
          <w:b/>
          <w:bCs/>
          <w:color w:val="000000" w:themeColor="text1"/>
          <w:sz w:val="24"/>
          <w:szCs w:val="24"/>
          <w:highlight w:val="none"/>
          <w:u w:val="single"/>
          <w14:textFill>
            <w14:solidFill>
              <w14:schemeClr w14:val="tx1"/>
            </w14:solidFill>
          </w14:textFill>
        </w:rPr>
        <w:t xml:space="preserve">元整 </w:t>
      </w:r>
      <w:r>
        <w:rPr>
          <w:rFonts w:hint="eastAsia" w:ascii="宋体" w:hAnsi="宋体" w:cs="宋体"/>
          <w:b/>
          <w:bCs/>
          <w:color w:val="000000" w:themeColor="text1"/>
          <w:sz w:val="24"/>
          <w:szCs w:val="24"/>
          <w:highlight w:val="none"/>
          <w14:textFill>
            <w14:solidFill>
              <w14:schemeClr w14:val="tx1"/>
            </w14:solidFill>
          </w14:textFill>
        </w:rPr>
        <w:t>（小写</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950</w:t>
      </w:r>
      <w:r>
        <w:rPr>
          <w:rFonts w:hint="eastAsia" w:ascii="宋体" w:hAnsi="宋体" w:cs="宋体"/>
          <w:b/>
          <w:bCs/>
          <w:color w:val="000000" w:themeColor="text1"/>
          <w:sz w:val="24"/>
          <w:szCs w:val="24"/>
          <w:highlight w:val="none"/>
          <w:u w:val="single"/>
          <w14:textFill>
            <w14:solidFill>
              <w14:schemeClr w14:val="tx1"/>
            </w14:solidFill>
          </w14:textFill>
        </w:rPr>
        <w:t>000</w:t>
      </w:r>
      <w:r>
        <w:rPr>
          <w:rFonts w:ascii="宋体" w:hAnsi="宋体" w:cs="宋体"/>
          <w:b/>
          <w:bCs/>
          <w:color w:val="000000" w:themeColor="text1"/>
          <w:sz w:val="24"/>
          <w:szCs w:val="24"/>
          <w:highlight w:val="none"/>
          <w:u w:val="single"/>
          <w14:textFill>
            <w14:solidFill>
              <w14:schemeClr w14:val="tx1"/>
            </w14:solidFill>
          </w14:textFill>
        </w:rPr>
        <w:t xml:space="preserve">.00 </w:t>
      </w:r>
      <w:r>
        <w:rPr>
          <w:rFonts w:hint="eastAsia" w:ascii="宋体" w:hAnsi="宋体" w:cs="宋体"/>
          <w:b/>
          <w:bCs/>
          <w:color w:val="000000" w:themeColor="text1"/>
          <w:sz w:val="24"/>
          <w:szCs w:val="24"/>
          <w:highlight w:val="none"/>
          <w14:textFill>
            <w14:solidFill>
              <w14:schemeClr w14:val="tx1"/>
            </w14:solidFill>
          </w14:textFill>
        </w:rPr>
        <w:t>元）。</w:t>
      </w:r>
      <w:r>
        <w:rPr>
          <w:rFonts w:hint="eastAsia"/>
          <w:color w:val="000000" w:themeColor="text1"/>
          <w:highlight w:val="none"/>
          <w:lang w:val="en-US" w:eastAsia="zh-CN"/>
          <w14:textFill>
            <w14:solidFill>
              <w14:schemeClr w14:val="tx1"/>
            </w14:solidFill>
          </w14:textFill>
        </w:rPr>
        <w:t xml:space="preserve">  </w:t>
      </w:r>
    </w:p>
    <w:p w14:paraId="73646E8B">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、供应商的报价在最高限价内的，为有效报价。</w:t>
      </w:r>
    </w:p>
    <w:p w14:paraId="01FBF300">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、本次评标设有最佳报价。最佳报价确定方式：根据所有入围供应商有效报价中的最低报价作为最佳报价。</w:t>
      </w:r>
    </w:p>
    <w:p w14:paraId="2831A606">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、最佳报价者的报价分为满分，其他供应商的有效报价与最佳报价相比，按下列方法计算其报价分：</w:t>
      </w:r>
    </w:p>
    <w:p w14:paraId="1C3155B3">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投标价格分</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最佳报价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投标报价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价格权值</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p>
    <w:p w14:paraId="5B02EC62">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、当报价一览表与磋商报价明细表报价不一致时，以报价一览表为准，磋商报价明细表报价予以修正并由授权代表签字确认，拒绝修正或确认的，则做无效标处理。</w:t>
      </w:r>
    </w:p>
    <w:p w14:paraId="2A18D880">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、响应文件只允许有一个报价，磋商报价应按磋商文件中相关附表格式填报，该磋商报价应与明细报价汇总相等，且不允许出现报价优惠、赠送等字样（明细出现“</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”元，视同赠送）</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如出现则做</w:t>
      </w:r>
      <w:r>
        <w:rPr>
          <w:rFonts w:hint="eastAsia" w:ascii="宋体" w:hAnsi="宋体" w:cs="宋体"/>
          <w:b/>
          <w:bCs/>
          <w:color w:val="000000" w:themeColor="text1"/>
          <w:sz w:val="24"/>
          <w:szCs w:val="24"/>
          <w:highlight w:val="none"/>
          <w14:textFill>
            <w14:solidFill>
              <w14:schemeClr w14:val="tx1"/>
            </w14:solidFill>
          </w14:textFill>
        </w:rPr>
        <w:t>无效响应</w:t>
      </w:r>
      <w:r>
        <w:rPr>
          <w:rFonts w:hint="eastAsia" w:ascii="宋体" w:hAnsi="宋体" w:cs="宋体"/>
          <w:color w:val="000000" w:themeColor="text1"/>
          <w:sz w:val="24"/>
          <w:szCs w:val="24"/>
          <w:highlight w:val="none"/>
          <w14:textFill>
            <w14:solidFill>
              <w14:schemeClr w14:val="tx1"/>
            </w14:solidFill>
          </w14:textFill>
        </w:rPr>
        <w:t>处理。</w:t>
      </w:r>
    </w:p>
    <w:p w14:paraId="501A5B65">
      <w:pPr>
        <w:autoSpaceDE w:val="0"/>
        <w:autoSpaceDN w:val="0"/>
        <w:spacing w:line="360" w:lineRule="auto"/>
        <w:ind w:firstLine="482"/>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投标价格的合理性</w:t>
      </w:r>
      <w:r>
        <w:rPr>
          <w:rFonts w:hint="eastAsia" w:ascii="宋体" w:hAnsi="宋体" w:cs="宋体"/>
          <w:color w:val="000000" w:themeColor="text1"/>
          <w:sz w:val="24"/>
          <w:szCs w:val="24"/>
          <w:highlight w:val="none"/>
          <w14:textFill>
            <w14:solidFill>
              <w14:schemeClr w14:val="tx1"/>
            </w14:solidFill>
          </w14:textFill>
        </w:rPr>
        <w:t>：</w:t>
      </w:r>
      <w:r>
        <w:rPr>
          <w:rFonts w:hint="eastAsia" w:ascii="Arial" w:hAnsi="Arial" w:cs="宋体"/>
          <w:color w:val="000000" w:themeColor="text1"/>
          <w:sz w:val="24"/>
          <w:szCs w:val="24"/>
          <w:highlight w:val="none"/>
          <w14:textFill>
            <w14:solidFill>
              <w14:schemeClr w14:val="tx1"/>
            </w14:solidFill>
          </w14:textFill>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195631A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57C046A">
      <w:pPr>
        <w:spacing w:line="360" w:lineRule="auto"/>
        <w:ind w:firstLine="480" w:firstLineChars="200"/>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根据</w:t>
      </w:r>
      <w:r>
        <w:rPr>
          <w:rFonts w:hint="eastAsia" w:ascii="宋体" w:hAnsi="宋体"/>
          <w:color w:val="000000" w:themeColor="text1"/>
          <w:sz w:val="24"/>
          <w:szCs w:val="21"/>
          <w:highlight w:val="none"/>
          <w:lang w:val="en-US" w:eastAsia="zh-CN"/>
          <w14:textFill>
            <w14:solidFill>
              <w14:schemeClr w14:val="tx1"/>
            </w14:solidFill>
          </w14:textFill>
        </w:rPr>
        <w:t>财政部</w:t>
      </w:r>
      <w:r>
        <w:rPr>
          <w:rFonts w:hint="eastAsia" w:ascii="宋体" w:hAnsi="宋体"/>
          <w:color w:val="000000" w:themeColor="text1"/>
          <w:sz w:val="24"/>
          <w:szCs w:val="21"/>
          <w:highlight w:val="none"/>
          <w14:textFill>
            <w14:solidFill>
              <w14:schemeClr w14:val="tx1"/>
            </w14:solidFill>
          </w14:textFill>
        </w:rPr>
        <w:t>的《关于进一步加大政府采购支持中小企业力度的通知》（</w:t>
      </w:r>
      <w:r>
        <w:rPr>
          <w:rFonts w:hint="eastAsia" w:ascii="宋体" w:hAnsi="宋体"/>
          <w:color w:val="000000" w:themeColor="text1"/>
          <w:sz w:val="24"/>
          <w:szCs w:val="21"/>
          <w:highlight w:val="none"/>
          <w:lang w:val="en-US" w:eastAsia="zh-CN"/>
          <w14:textFill>
            <w14:solidFill>
              <w14:schemeClr w14:val="tx1"/>
            </w14:solidFill>
          </w14:textFill>
        </w:rPr>
        <w:t>财库</w:t>
      </w:r>
      <w:r>
        <w:rPr>
          <w:rFonts w:hint="eastAsia" w:ascii="宋体" w:hAnsi="宋体"/>
          <w:color w:val="000000" w:themeColor="text1"/>
          <w:sz w:val="24"/>
          <w:szCs w:val="21"/>
          <w:highlight w:val="none"/>
          <w14:textFill>
            <w14:solidFill>
              <w14:schemeClr w14:val="tx1"/>
            </w14:solidFill>
          </w14:textFill>
        </w:rPr>
        <w:t>〔2022〕</w:t>
      </w:r>
      <w:r>
        <w:rPr>
          <w:rFonts w:hint="eastAsia" w:ascii="宋体" w:hAnsi="宋体"/>
          <w:color w:val="000000" w:themeColor="text1"/>
          <w:sz w:val="24"/>
          <w:szCs w:val="21"/>
          <w:highlight w:val="none"/>
          <w:lang w:val="en-US" w:eastAsia="zh-CN"/>
          <w14:textFill>
            <w14:solidFill>
              <w14:schemeClr w14:val="tx1"/>
            </w14:solidFill>
          </w14:textFill>
        </w:rPr>
        <w:t>19</w:t>
      </w:r>
      <w:r>
        <w:rPr>
          <w:rFonts w:hint="eastAsia" w:ascii="宋体" w:hAnsi="宋体"/>
          <w:color w:val="000000" w:themeColor="text1"/>
          <w:sz w:val="24"/>
          <w:szCs w:val="21"/>
          <w:highlight w:val="none"/>
          <w14:textFill>
            <w14:solidFill>
              <w14:schemeClr w14:val="tx1"/>
            </w14:solidFill>
          </w14:textFill>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olor w:val="000000" w:themeColor="text1"/>
          <w:sz w:val="24"/>
          <w:szCs w:val="21"/>
          <w:highlight w:val="none"/>
          <w:lang w:val="en-US" w:eastAsia="zh-CN"/>
          <w14:textFill>
            <w14:solidFill>
              <w14:schemeClr w14:val="tx1"/>
            </w14:solidFill>
          </w14:textFill>
        </w:rPr>
        <w:t>10%</w:t>
      </w:r>
      <w:r>
        <w:rPr>
          <w:rFonts w:hint="eastAsia" w:ascii="宋体" w:hAnsi="宋体"/>
          <w:color w:val="000000" w:themeColor="text1"/>
          <w:sz w:val="24"/>
          <w:szCs w:val="21"/>
          <w:highlight w:val="none"/>
          <w14:textFill>
            <w14:solidFill>
              <w14:schemeClr w14:val="tx1"/>
            </w14:solidFill>
          </w14:textFill>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olor w:val="000000" w:themeColor="text1"/>
          <w:sz w:val="24"/>
          <w:szCs w:val="21"/>
          <w:highlight w:val="none"/>
          <w:lang w:val="en-US" w:eastAsia="zh-CN"/>
          <w14:textFill>
            <w14:solidFill>
              <w14:schemeClr w14:val="tx1"/>
            </w14:solidFill>
          </w14:textFill>
        </w:rPr>
        <w:t>4%</w:t>
      </w:r>
      <w:r>
        <w:rPr>
          <w:rFonts w:hint="eastAsia" w:ascii="宋体" w:hAnsi="宋体"/>
          <w:color w:val="000000" w:themeColor="text1"/>
          <w:sz w:val="24"/>
          <w:szCs w:val="21"/>
          <w:highlight w:val="none"/>
          <w14:textFill>
            <w14:solidFill>
              <w14:schemeClr w14:val="tx1"/>
            </w14:solidFill>
          </w14:textFill>
        </w:rPr>
        <w:t>给予扣除，用扣除后的价格参加评审。（中标价及合同价仍以其投标报价为准）</w:t>
      </w:r>
    </w:p>
    <w:p w14:paraId="549C3B37">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cs="宋体"/>
          <w:color w:val="000000" w:themeColor="text1"/>
          <w:sz w:val="24"/>
          <w:szCs w:val="24"/>
          <w:highlight w:val="none"/>
          <w14:textFill>
            <w14:solidFill>
              <w14:schemeClr w14:val="tx1"/>
            </w14:solidFill>
          </w14:textFill>
        </w:rPr>
        <w:t>。</w:t>
      </w:r>
    </w:p>
    <w:p w14:paraId="44255849">
      <w:pPr>
        <w:numPr>
          <w:ilvl w:val="0"/>
          <w:numId w:val="16"/>
        </w:numPr>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商务技术文件评标内容及标准（</w:t>
      </w:r>
      <w:r>
        <w:rPr>
          <w:rFonts w:ascii="宋体" w:hAnsi="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70</w:t>
      </w:r>
      <w:r>
        <w:rPr>
          <w:rFonts w:ascii="宋体" w:hAnsi="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分）</w:t>
      </w:r>
    </w:p>
    <w:p w14:paraId="212D9D9D">
      <w:pPr>
        <w:numPr>
          <w:ilvl w:val="0"/>
          <w:numId w:val="17"/>
        </w:numPr>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评分细则</w:t>
      </w:r>
    </w:p>
    <w:tbl>
      <w:tblPr>
        <w:tblStyle w:val="31"/>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001"/>
        <w:gridCol w:w="909"/>
      </w:tblGrid>
      <w:tr w14:paraId="3A0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14:paraId="3D6EC3FB">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评分项目</w:t>
            </w:r>
          </w:p>
        </w:tc>
        <w:tc>
          <w:tcPr>
            <w:tcW w:w="7001" w:type="dxa"/>
            <w:tcBorders>
              <w:top w:val="single" w:color="auto" w:sz="4" w:space="0"/>
              <w:left w:val="single" w:color="auto" w:sz="4" w:space="0"/>
              <w:bottom w:val="single" w:color="auto" w:sz="4" w:space="0"/>
              <w:right w:val="single" w:color="auto" w:sz="4" w:space="0"/>
            </w:tcBorders>
            <w:noWrap w:val="0"/>
            <w:vAlign w:val="center"/>
          </w:tcPr>
          <w:p w14:paraId="6CE36A15">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评标要点及说明</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7C316AED">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分值</w:t>
            </w:r>
          </w:p>
        </w:tc>
      </w:tr>
      <w:tr w14:paraId="7D8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251888A3">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项目理解</w:t>
            </w:r>
          </w:p>
        </w:tc>
        <w:tc>
          <w:tcPr>
            <w:tcW w:w="7001" w:type="dxa"/>
            <w:tcBorders>
              <w:left w:val="single" w:color="auto" w:sz="4" w:space="0"/>
              <w:right w:val="single" w:color="auto" w:sz="4" w:space="0"/>
            </w:tcBorders>
            <w:noWrap w:val="0"/>
            <w:vAlign w:val="center"/>
          </w:tcPr>
          <w:p w14:paraId="63F67EAA">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评委根据供应商对本项目的背景和现状的理解，项目目标和任务要求的理解，项目内容理解情况等进行打分。</w:t>
            </w:r>
          </w:p>
        </w:tc>
        <w:tc>
          <w:tcPr>
            <w:tcW w:w="909" w:type="dxa"/>
            <w:tcBorders>
              <w:top w:val="single" w:color="auto" w:sz="4" w:space="0"/>
              <w:left w:val="single" w:color="auto" w:sz="4" w:space="0"/>
              <w:right w:val="single" w:color="auto" w:sz="4" w:space="0"/>
            </w:tcBorders>
            <w:noWrap w:val="0"/>
            <w:vAlign w:val="center"/>
          </w:tcPr>
          <w:p w14:paraId="7B03FCC4">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128F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restart"/>
            <w:tcBorders>
              <w:left w:val="single" w:color="auto" w:sz="4" w:space="0"/>
              <w:right w:val="single" w:color="auto" w:sz="4" w:space="0"/>
            </w:tcBorders>
            <w:noWrap w:val="0"/>
            <w:vAlign w:val="center"/>
          </w:tcPr>
          <w:p w14:paraId="36E30A52">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项目实施方案</w:t>
            </w:r>
          </w:p>
        </w:tc>
        <w:tc>
          <w:tcPr>
            <w:tcW w:w="7001" w:type="dxa"/>
            <w:tcBorders>
              <w:left w:val="single" w:color="auto" w:sz="4" w:space="0"/>
              <w:right w:val="single" w:color="auto" w:sz="4" w:space="0"/>
            </w:tcBorders>
            <w:noWrap w:val="0"/>
            <w:vAlign w:val="center"/>
          </w:tcPr>
          <w:p w14:paraId="3FA5E514">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lang w:val="zh-CN"/>
                <w14:textFill>
                  <w14:solidFill>
                    <w14:schemeClr w14:val="tx1"/>
                  </w14:solidFill>
                </w14:textFill>
              </w:rPr>
              <w:t>评委根据投标人</w:t>
            </w:r>
            <w:r>
              <w:rPr>
                <w:rFonts w:hint="eastAsia" w:ascii="宋体" w:hAnsi="宋体" w:eastAsia="宋体" w:cs="Times New Roman"/>
                <w:color w:val="000000" w:themeColor="text1"/>
                <w:sz w:val="24"/>
                <w:szCs w:val="21"/>
                <w:highlight w:val="none"/>
                <w14:textFill>
                  <w14:solidFill>
                    <w14:schemeClr w14:val="tx1"/>
                  </w14:solidFill>
                </w14:textFill>
              </w:rPr>
              <w:t>对本项目情况制定的服务方案</w:t>
            </w:r>
            <w:r>
              <w:rPr>
                <w:rFonts w:hint="eastAsia" w:ascii="宋体" w:hAnsi="宋体" w:eastAsia="宋体" w:cs="Times New Roman"/>
                <w:color w:val="000000" w:themeColor="text1"/>
                <w:sz w:val="24"/>
                <w:szCs w:val="21"/>
                <w:highlight w:val="none"/>
                <w:lang w:val="zh-CN"/>
                <w14:textFill>
                  <w14:solidFill>
                    <w14:schemeClr w14:val="tx1"/>
                  </w14:solidFill>
                </w14:textFill>
              </w:rPr>
              <w:t>是否具有科学性、可靠性、可行性、合理性等四个方面，</w:t>
            </w:r>
            <w:r>
              <w:rPr>
                <w:rFonts w:hint="eastAsia" w:ascii="宋体" w:hAnsi="宋体" w:eastAsia="宋体" w:cs="Times New Roman"/>
                <w:color w:val="000000" w:themeColor="text1"/>
                <w:sz w:val="24"/>
                <w:szCs w:val="21"/>
                <w:highlight w:val="none"/>
                <w14:textFill>
                  <w14:solidFill>
                    <w14:schemeClr w14:val="tx1"/>
                  </w14:solidFill>
                </w14:textFill>
              </w:rPr>
              <w:t>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03123F44">
            <w:pPr>
              <w:spacing w:line="360" w:lineRule="auto"/>
              <w:jc w:val="center"/>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5</w:t>
            </w:r>
          </w:p>
        </w:tc>
      </w:tr>
      <w:tr w14:paraId="5D38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4" w:space="0"/>
              <w:right w:val="single" w:color="auto" w:sz="4" w:space="0"/>
            </w:tcBorders>
            <w:noWrap w:val="0"/>
            <w:vAlign w:val="center"/>
          </w:tcPr>
          <w:p w14:paraId="78306F22">
            <w:pPr>
              <w:spacing w:line="360" w:lineRule="auto"/>
              <w:ind w:firstLine="480" w:firstLineChars="200"/>
              <w:jc w:val="center"/>
              <w:rPr>
                <w:rFonts w:hint="eastAsia" w:ascii="宋体" w:hAnsi="宋体" w:eastAsia="宋体" w:cs="Times New Roman"/>
                <w:color w:val="000000" w:themeColor="text1"/>
                <w:sz w:val="24"/>
                <w:szCs w:val="21"/>
                <w:highlight w:val="none"/>
                <w14:textFill>
                  <w14:solidFill>
                    <w14:schemeClr w14:val="tx1"/>
                  </w14:solidFill>
                </w14:textFill>
              </w:rPr>
            </w:pPr>
          </w:p>
        </w:tc>
        <w:tc>
          <w:tcPr>
            <w:tcW w:w="7001" w:type="dxa"/>
            <w:tcBorders>
              <w:left w:val="single" w:color="auto" w:sz="4" w:space="0"/>
              <w:right w:val="single" w:color="auto" w:sz="4" w:space="0"/>
            </w:tcBorders>
            <w:noWrap w:val="0"/>
            <w:vAlign w:val="center"/>
          </w:tcPr>
          <w:p w14:paraId="0A2AC636">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lang w:val="zh-CN"/>
                <w14:textFill>
                  <w14:solidFill>
                    <w14:schemeClr w14:val="tx1"/>
                  </w14:solidFill>
                </w14:textFill>
              </w:rPr>
              <w:t>评委根据</w:t>
            </w:r>
            <w:r>
              <w:rPr>
                <w:rFonts w:hint="eastAsia" w:ascii="宋体" w:hAnsi="宋体" w:eastAsia="宋体" w:cs="Times New Roman"/>
                <w:color w:val="000000" w:themeColor="text1"/>
                <w:sz w:val="24"/>
                <w:szCs w:val="21"/>
                <w:highlight w:val="none"/>
                <w14:textFill>
                  <w14:solidFill>
                    <w14:schemeClr w14:val="tx1"/>
                  </w14:solidFill>
                </w14:textFill>
              </w:rPr>
              <w:t>供应商对本项目工作计划及时间进度安排的合理性、条理性，工作思路清晰、流程详细性、可操作性进行打分。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15E7C67B">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4</w:t>
            </w:r>
          </w:p>
        </w:tc>
      </w:tr>
      <w:tr w14:paraId="18A8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39A9CADF">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质量保证措施</w:t>
            </w:r>
          </w:p>
        </w:tc>
        <w:tc>
          <w:tcPr>
            <w:tcW w:w="7001" w:type="dxa"/>
            <w:tcBorders>
              <w:left w:val="single" w:color="auto" w:sz="4" w:space="0"/>
              <w:right w:val="single" w:color="auto" w:sz="4" w:space="0"/>
            </w:tcBorders>
            <w:noWrap w:val="0"/>
            <w:vAlign w:val="center"/>
          </w:tcPr>
          <w:p w14:paraId="26F2973A">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lang w:val="zh-CN"/>
                <w14:textFill>
                  <w14:solidFill>
                    <w14:schemeClr w14:val="tx1"/>
                  </w14:solidFill>
                </w14:textFill>
              </w:rPr>
              <w:t>评委根据</w:t>
            </w:r>
            <w:r>
              <w:rPr>
                <w:rFonts w:hint="eastAsia" w:ascii="宋体" w:hAnsi="宋体" w:eastAsia="宋体" w:cs="Times New Roman"/>
                <w:color w:val="000000" w:themeColor="text1"/>
                <w:sz w:val="24"/>
                <w:szCs w:val="21"/>
                <w:highlight w:val="none"/>
                <w14:textFill>
                  <w14:solidFill>
                    <w14:schemeClr w14:val="tx1"/>
                  </w14:solidFill>
                </w14:textFill>
              </w:rPr>
              <w:t>供应商提出的针对本项目质量保证体系是否完备，措施是否具体可行，服务承诺是否科学合理等情况进行打分。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075EF77A">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64BF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66C172D5">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服务保障能力</w:t>
            </w:r>
          </w:p>
        </w:tc>
        <w:tc>
          <w:tcPr>
            <w:tcW w:w="7001" w:type="dxa"/>
            <w:tcBorders>
              <w:left w:val="single" w:color="auto" w:sz="4" w:space="0"/>
              <w:right w:val="single" w:color="auto" w:sz="4" w:space="0"/>
            </w:tcBorders>
            <w:noWrap w:val="0"/>
            <w:vAlign w:val="center"/>
          </w:tcPr>
          <w:p w14:paraId="06D838D3">
            <w:pPr>
              <w:spacing w:line="360" w:lineRule="auto"/>
              <w:ind w:firstLine="480" w:firstLineChars="200"/>
              <w:rPr>
                <w:rFonts w:hint="eastAsia" w:ascii="宋体" w:hAnsi="宋体" w:eastAsia="宋体" w:cs="Times New Roman"/>
                <w:color w:val="000000" w:themeColor="text1"/>
                <w:sz w:val="24"/>
                <w:szCs w:val="21"/>
                <w:highlight w:val="none"/>
                <w:lang w:val="zh-CN"/>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评委根据供应商针对本项目服务保障能力进行打分，包括资料搜索、台账整理、进度保障措施等内容。</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092CE88B">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4D9B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6A5E4E3C">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数据资料安全保密制度措施及管理制度</w:t>
            </w:r>
          </w:p>
        </w:tc>
        <w:tc>
          <w:tcPr>
            <w:tcW w:w="7001" w:type="dxa"/>
            <w:tcBorders>
              <w:left w:val="single" w:color="auto" w:sz="4" w:space="0"/>
              <w:right w:val="single" w:color="auto" w:sz="4" w:space="0"/>
            </w:tcBorders>
            <w:noWrap w:val="0"/>
            <w:vAlign w:val="center"/>
          </w:tcPr>
          <w:p w14:paraId="7E8D5D1D">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评委根据供应商提供的数据资料安全保密制度措施及有较完善的质量管理制度，明确的工作职责、工作程序和工作要求，进行综合打分。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1F276916">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1839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0CA0EDEE">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合理化建议</w:t>
            </w:r>
          </w:p>
        </w:tc>
        <w:tc>
          <w:tcPr>
            <w:tcW w:w="7001" w:type="dxa"/>
            <w:tcBorders>
              <w:left w:val="single" w:color="auto" w:sz="4" w:space="0"/>
              <w:right w:val="single" w:color="auto" w:sz="4" w:space="0"/>
            </w:tcBorders>
            <w:noWrap w:val="0"/>
            <w:vAlign w:val="center"/>
          </w:tcPr>
          <w:p w14:paraId="0A37E939">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评委根据供应商对本项目水利安全生产风险管控的重难点及</w:t>
            </w:r>
            <w:r>
              <w:rPr>
                <w:rFonts w:hint="eastAsia" w:ascii="宋体" w:hAnsi="宋体" w:eastAsia="宋体" w:cs="Times New Roman"/>
                <w:color w:val="000000" w:themeColor="text1"/>
                <w:sz w:val="24"/>
                <w:szCs w:val="21"/>
                <w:highlight w:val="none"/>
                <w:lang w:val="zh-CN"/>
                <w14:textFill>
                  <w14:solidFill>
                    <w14:schemeClr w14:val="tx1"/>
                  </w14:solidFill>
                </w14:textFill>
              </w:rPr>
              <w:t>关键性技术难题</w:t>
            </w:r>
            <w:r>
              <w:rPr>
                <w:rFonts w:hint="eastAsia" w:ascii="宋体" w:hAnsi="宋体" w:eastAsia="宋体" w:cs="Times New Roman"/>
                <w:color w:val="000000" w:themeColor="text1"/>
                <w:sz w:val="24"/>
                <w:szCs w:val="21"/>
                <w:highlight w:val="none"/>
                <w14:textFill>
                  <w14:solidFill>
                    <w14:schemeClr w14:val="tx1"/>
                  </w14:solidFill>
                </w14:textFill>
              </w:rPr>
              <w:t>分析的科学合理性，提供的解决方案的科学合理性和可操作性进行打分。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5F84FA67">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4</w:t>
            </w:r>
          </w:p>
        </w:tc>
      </w:tr>
      <w:tr w14:paraId="19F8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76A39A64">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设备设施配备情况</w:t>
            </w:r>
          </w:p>
        </w:tc>
        <w:tc>
          <w:tcPr>
            <w:tcW w:w="7001" w:type="dxa"/>
            <w:tcBorders>
              <w:left w:val="single" w:color="auto" w:sz="4" w:space="0"/>
              <w:right w:val="single" w:color="auto" w:sz="4" w:space="0"/>
            </w:tcBorders>
            <w:noWrap w:val="0"/>
            <w:vAlign w:val="center"/>
          </w:tcPr>
          <w:p w14:paraId="05910E59">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评委根据投标人拟投入本项目配备相应的服务设备设施、器材、交通工具等是否能够满足本项目使用需求进行综合打分。</w:t>
            </w:r>
          </w:p>
          <w:p w14:paraId="1E9F5869">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（注：需提供自行购买相关凭证或租赁相关凭证扫描件并加盖公章）</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530FFCB8">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59DF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71716BFE">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应急预案</w:t>
            </w:r>
          </w:p>
        </w:tc>
        <w:tc>
          <w:tcPr>
            <w:tcW w:w="7001" w:type="dxa"/>
            <w:tcBorders>
              <w:left w:val="single" w:color="auto" w:sz="4" w:space="0"/>
              <w:right w:val="single" w:color="auto" w:sz="4" w:space="0"/>
            </w:tcBorders>
            <w:noWrap w:val="0"/>
            <w:vAlign w:val="center"/>
          </w:tcPr>
          <w:p w14:paraId="20B1A228">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w:t>
            </w:r>
            <w:r>
              <w:rPr>
                <w:rFonts w:hint="eastAsia" w:ascii="宋体" w:hAnsi="宋体" w:eastAsia="宋体" w:cs="Times New Roman"/>
                <w:color w:val="000000" w:themeColor="text1"/>
                <w:sz w:val="24"/>
                <w:szCs w:val="21"/>
                <w:highlight w:val="none"/>
                <w:lang w:val="zh-CN"/>
                <w14:textFill>
                  <w14:solidFill>
                    <w14:schemeClr w14:val="tx1"/>
                  </w14:solidFill>
                </w14:textFill>
              </w:rPr>
              <w:t>根据</w:t>
            </w:r>
            <w:r>
              <w:rPr>
                <w:rFonts w:hint="eastAsia" w:ascii="宋体" w:hAnsi="宋体" w:eastAsia="宋体" w:cs="Times New Roman"/>
                <w:color w:val="000000" w:themeColor="text1"/>
                <w:sz w:val="24"/>
                <w:szCs w:val="21"/>
                <w:highlight w:val="none"/>
                <w14:textFill>
                  <w14:solidFill>
                    <w14:schemeClr w14:val="tx1"/>
                  </w14:solidFill>
                </w14:textFill>
              </w:rPr>
              <w:t>供应商针对本项目提供的应急预案的全面性、合理性、可行性情况等进行打分。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78CB3219">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3089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6138DED3">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重难点分析</w:t>
            </w:r>
          </w:p>
        </w:tc>
        <w:tc>
          <w:tcPr>
            <w:tcW w:w="7001" w:type="dxa"/>
            <w:tcBorders>
              <w:left w:val="single" w:color="auto" w:sz="4" w:space="0"/>
              <w:right w:val="single" w:color="auto" w:sz="4" w:space="0"/>
            </w:tcBorders>
            <w:noWrap w:val="0"/>
            <w:vAlign w:val="center"/>
          </w:tcPr>
          <w:p w14:paraId="0595D34D">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评委根据供应商针对本项目提出的重点难点分析进行打分，要求对项目工作的重点、难点把握明确。</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4908162C">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1E92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restart"/>
            <w:tcBorders>
              <w:left w:val="single" w:color="auto" w:sz="4" w:space="0"/>
              <w:right w:val="single" w:color="auto" w:sz="4" w:space="0"/>
            </w:tcBorders>
            <w:noWrap w:val="0"/>
            <w:vAlign w:val="center"/>
          </w:tcPr>
          <w:p w14:paraId="6FC09348">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售后服务</w:t>
            </w:r>
          </w:p>
        </w:tc>
        <w:tc>
          <w:tcPr>
            <w:tcW w:w="7001" w:type="dxa"/>
            <w:tcBorders>
              <w:left w:val="single" w:color="auto" w:sz="4" w:space="0"/>
              <w:right w:val="single" w:color="auto" w:sz="4" w:space="0"/>
            </w:tcBorders>
            <w:noWrap w:val="0"/>
            <w:vAlign w:val="center"/>
          </w:tcPr>
          <w:p w14:paraId="58C071A2">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服务能力：评委根据</w:t>
            </w:r>
            <w:r>
              <w:rPr>
                <w:rFonts w:hint="eastAsia" w:ascii="宋体" w:hAnsi="宋体" w:eastAsia="宋体" w:cs="Times New Roman"/>
                <w:color w:val="000000" w:themeColor="text1"/>
                <w:sz w:val="24"/>
                <w:szCs w:val="21"/>
                <w:highlight w:val="none"/>
                <w:lang w:val="zh-CN"/>
                <w14:textFill>
                  <w14:solidFill>
                    <w14:schemeClr w14:val="tx1"/>
                  </w14:solidFill>
                </w14:textFill>
              </w:rPr>
              <w:t>投标人的服务能力、是否具有快速响应能力等进行打分。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7446C5CE">
            <w:pPr>
              <w:spacing w:line="360" w:lineRule="auto"/>
              <w:jc w:val="center"/>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4</w:t>
            </w:r>
          </w:p>
        </w:tc>
      </w:tr>
      <w:tr w14:paraId="68F3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4" w:space="0"/>
              <w:right w:val="single" w:color="auto" w:sz="4" w:space="0"/>
            </w:tcBorders>
            <w:noWrap w:val="0"/>
            <w:vAlign w:val="center"/>
          </w:tcPr>
          <w:p w14:paraId="14127E0E">
            <w:pPr>
              <w:spacing w:line="360" w:lineRule="auto"/>
              <w:ind w:firstLine="480" w:firstLineChars="200"/>
              <w:jc w:val="center"/>
              <w:rPr>
                <w:rFonts w:hint="eastAsia" w:ascii="宋体" w:hAnsi="宋体" w:eastAsia="宋体" w:cs="Times New Roman"/>
                <w:color w:val="000000" w:themeColor="text1"/>
                <w:sz w:val="24"/>
                <w:szCs w:val="21"/>
                <w:highlight w:val="none"/>
                <w14:textFill>
                  <w14:solidFill>
                    <w14:schemeClr w14:val="tx1"/>
                  </w14:solidFill>
                </w14:textFill>
              </w:rPr>
            </w:pPr>
          </w:p>
        </w:tc>
        <w:tc>
          <w:tcPr>
            <w:tcW w:w="7001" w:type="dxa"/>
            <w:tcBorders>
              <w:left w:val="single" w:color="auto" w:sz="4" w:space="0"/>
              <w:right w:val="single" w:color="auto" w:sz="4" w:space="0"/>
            </w:tcBorders>
            <w:noWrap w:val="0"/>
            <w:vAlign w:val="center"/>
          </w:tcPr>
          <w:p w14:paraId="3FC61C9E">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服务承诺：评委根据</w:t>
            </w:r>
            <w:r>
              <w:rPr>
                <w:rFonts w:hint="eastAsia" w:ascii="宋体" w:hAnsi="宋体" w:eastAsia="宋体" w:cs="Times New Roman"/>
                <w:color w:val="000000" w:themeColor="text1"/>
                <w:sz w:val="24"/>
                <w:szCs w:val="21"/>
                <w:highlight w:val="none"/>
                <w:lang w:val="zh-CN"/>
                <w14:textFill>
                  <w14:solidFill>
                    <w14:schemeClr w14:val="tx1"/>
                  </w14:solidFill>
                </w14:textFill>
              </w:rPr>
              <w:t>投标人</w:t>
            </w:r>
            <w:r>
              <w:rPr>
                <w:rFonts w:hint="eastAsia" w:ascii="宋体" w:hAnsi="宋体" w:eastAsia="宋体" w:cs="Times New Roman"/>
                <w:color w:val="000000" w:themeColor="text1"/>
                <w:sz w:val="24"/>
                <w:szCs w:val="21"/>
                <w:highlight w:val="none"/>
                <w14:textFill>
                  <w14:solidFill>
                    <w14:schemeClr w14:val="tx1"/>
                  </w14:solidFill>
                </w14:textFill>
              </w:rPr>
              <w:t>提供的售后服务承诺进行打分，包括措施是否有效扎实、管理责任是否清晰等。</w:t>
            </w:r>
          </w:p>
        </w:tc>
        <w:tc>
          <w:tcPr>
            <w:tcW w:w="909" w:type="dxa"/>
            <w:tcBorders>
              <w:top w:val="single" w:color="auto" w:sz="4" w:space="0"/>
              <w:left w:val="single" w:color="auto" w:sz="4" w:space="0"/>
              <w:right w:val="single" w:color="auto" w:sz="4" w:space="0"/>
            </w:tcBorders>
            <w:noWrap w:val="0"/>
            <w:vAlign w:val="center"/>
          </w:tcPr>
          <w:p w14:paraId="49463147">
            <w:pPr>
              <w:spacing w:line="360" w:lineRule="auto"/>
              <w:jc w:val="center"/>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4</w:t>
            </w:r>
          </w:p>
        </w:tc>
      </w:tr>
      <w:tr w14:paraId="3516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4" w:space="0"/>
              <w:right w:val="single" w:color="auto" w:sz="4" w:space="0"/>
            </w:tcBorders>
            <w:noWrap w:val="0"/>
            <w:vAlign w:val="center"/>
          </w:tcPr>
          <w:p w14:paraId="358A057C">
            <w:pPr>
              <w:spacing w:line="360" w:lineRule="auto"/>
              <w:ind w:firstLine="480" w:firstLineChars="200"/>
              <w:jc w:val="center"/>
              <w:rPr>
                <w:rFonts w:hint="eastAsia" w:ascii="宋体" w:hAnsi="宋体" w:eastAsia="宋体" w:cs="Times New Roman"/>
                <w:color w:val="000000" w:themeColor="text1"/>
                <w:sz w:val="24"/>
                <w:szCs w:val="21"/>
                <w:highlight w:val="none"/>
                <w14:textFill>
                  <w14:solidFill>
                    <w14:schemeClr w14:val="tx1"/>
                  </w14:solidFill>
                </w14:textFill>
              </w:rPr>
            </w:pPr>
          </w:p>
        </w:tc>
        <w:tc>
          <w:tcPr>
            <w:tcW w:w="7001" w:type="dxa"/>
            <w:noWrap w:val="0"/>
            <w:vAlign w:val="center"/>
          </w:tcPr>
          <w:p w14:paraId="1C03B74F">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项目维护计划：评委根据</w:t>
            </w:r>
            <w:r>
              <w:rPr>
                <w:rFonts w:hint="eastAsia" w:ascii="宋体" w:hAnsi="宋体" w:eastAsia="宋体" w:cs="Times New Roman"/>
                <w:color w:val="000000" w:themeColor="text1"/>
                <w:sz w:val="24"/>
                <w:szCs w:val="21"/>
                <w:highlight w:val="none"/>
                <w:lang w:val="zh-CN"/>
                <w14:textFill>
                  <w14:solidFill>
                    <w14:schemeClr w14:val="tx1"/>
                  </w14:solidFill>
                </w14:textFill>
              </w:rPr>
              <w:t>投标人</w:t>
            </w:r>
            <w:r>
              <w:rPr>
                <w:rFonts w:hint="eastAsia" w:ascii="宋体" w:hAnsi="宋体" w:eastAsia="宋体" w:cs="Times New Roman"/>
                <w:color w:val="000000" w:themeColor="text1"/>
                <w:sz w:val="24"/>
                <w:szCs w:val="21"/>
                <w:highlight w:val="none"/>
                <w14:textFill>
                  <w14:solidFill>
                    <w14:schemeClr w14:val="tx1"/>
                  </w14:solidFill>
                </w14:textFill>
              </w:rPr>
              <w:t>提供的针对本项目需要提供的驻点人员的安排方案、定期巡检计划的有效性进行打分。</w:t>
            </w:r>
          </w:p>
        </w:tc>
        <w:tc>
          <w:tcPr>
            <w:tcW w:w="909" w:type="dxa"/>
            <w:noWrap w:val="0"/>
            <w:vAlign w:val="center"/>
          </w:tcPr>
          <w:p w14:paraId="1FD7E8CD">
            <w:pPr>
              <w:spacing w:line="360" w:lineRule="auto"/>
              <w:jc w:val="center"/>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4</w:t>
            </w:r>
          </w:p>
        </w:tc>
      </w:tr>
      <w:tr w14:paraId="3746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restart"/>
            <w:tcBorders>
              <w:left w:val="single" w:color="auto" w:sz="4" w:space="0"/>
              <w:right w:val="single" w:color="auto" w:sz="4" w:space="0"/>
            </w:tcBorders>
            <w:noWrap w:val="0"/>
            <w:vAlign w:val="center"/>
          </w:tcPr>
          <w:p w14:paraId="4B387E25">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商务</w:t>
            </w:r>
          </w:p>
        </w:tc>
        <w:tc>
          <w:tcPr>
            <w:tcW w:w="7001" w:type="dxa"/>
            <w:noWrap w:val="0"/>
            <w:vAlign w:val="center"/>
          </w:tcPr>
          <w:p w14:paraId="30A3E79C">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认证情况（具体详见商务要求表）</w:t>
            </w:r>
          </w:p>
        </w:tc>
        <w:tc>
          <w:tcPr>
            <w:tcW w:w="909" w:type="dxa"/>
            <w:noWrap w:val="0"/>
            <w:vAlign w:val="center"/>
          </w:tcPr>
          <w:p w14:paraId="5D834611">
            <w:pPr>
              <w:spacing w:line="360" w:lineRule="auto"/>
              <w:jc w:val="center"/>
              <w:rPr>
                <w:rFonts w:hint="eastAsia" w:ascii="宋体" w:hAnsi="宋体" w:eastAsia="宋体" w:cs="Times New Roman"/>
                <w:color w:val="000000" w:themeColor="text1"/>
                <w:sz w:val="24"/>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1CCE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4" w:space="0"/>
              <w:right w:val="single" w:color="auto" w:sz="4" w:space="0"/>
            </w:tcBorders>
            <w:noWrap w:val="0"/>
            <w:vAlign w:val="center"/>
          </w:tcPr>
          <w:p w14:paraId="515236B9">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p>
        </w:tc>
        <w:tc>
          <w:tcPr>
            <w:tcW w:w="7001" w:type="dxa"/>
            <w:noWrap w:val="0"/>
            <w:vAlign w:val="center"/>
          </w:tcPr>
          <w:p w14:paraId="12FE60AA">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项目负责人（具体详见商务要求表）</w:t>
            </w:r>
          </w:p>
        </w:tc>
        <w:tc>
          <w:tcPr>
            <w:tcW w:w="909" w:type="dxa"/>
            <w:noWrap w:val="0"/>
            <w:vAlign w:val="center"/>
          </w:tcPr>
          <w:p w14:paraId="0BAC4806">
            <w:pPr>
              <w:spacing w:line="360" w:lineRule="auto"/>
              <w:jc w:val="center"/>
              <w:rPr>
                <w:rFonts w:hint="eastAsia" w:ascii="宋体" w:hAnsi="宋体" w:eastAsia="宋体" w:cs="Times New Roman"/>
                <w:color w:val="000000" w:themeColor="text1"/>
                <w:sz w:val="24"/>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2</w:t>
            </w:r>
          </w:p>
        </w:tc>
      </w:tr>
      <w:tr w14:paraId="40DD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4" w:space="0"/>
              <w:right w:val="single" w:color="auto" w:sz="4" w:space="0"/>
            </w:tcBorders>
            <w:noWrap w:val="0"/>
            <w:vAlign w:val="center"/>
          </w:tcPr>
          <w:p w14:paraId="545054C1">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p>
        </w:tc>
        <w:tc>
          <w:tcPr>
            <w:tcW w:w="7001" w:type="dxa"/>
            <w:noWrap w:val="0"/>
            <w:vAlign w:val="center"/>
          </w:tcPr>
          <w:p w14:paraId="617CA9FC">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项目组成员（具体详见商务要求表）</w:t>
            </w:r>
          </w:p>
        </w:tc>
        <w:tc>
          <w:tcPr>
            <w:tcW w:w="909" w:type="dxa"/>
            <w:noWrap w:val="0"/>
            <w:vAlign w:val="center"/>
          </w:tcPr>
          <w:p w14:paraId="5890C095">
            <w:pPr>
              <w:spacing w:line="360" w:lineRule="auto"/>
              <w:jc w:val="center"/>
              <w:rPr>
                <w:rFonts w:hint="eastAsia" w:ascii="宋体" w:hAnsi="宋体" w:eastAsia="宋体" w:cs="Times New Roman"/>
                <w:color w:val="000000" w:themeColor="text1"/>
                <w:sz w:val="24"/>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3</w:t>
            </w:r>
          </w:p>
        </w:tc>
      </w:tr>
    </w:tbl>
    <w:p w14:paraId="053312D8">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p>
    <w:p w14:paraId="3448274B">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2、商务要求表（对应评分标准）</w:t>
      </w:r>
    </w:p>
    <w:tbl>
      <w:tblPr>
        <w:tblStyle w:val="31"/>
        <w:tblW w:w="5668"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982"/>
        <w:gridCol w:w="6930"/>
        <w:gridCol w:w="918"/>
      </w:tblGrid>
      <w:tr w14:paraId="6484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0" w:type="pct"/>
            <w:vMerge w:val="restart"/>
            <w:tcBorders>
              <w:left w:val="single" w:color="auto" w:sz="4" w:space="0"/>
              <w:right w:val="single" w:color="auto" w:sz="4" w:space="0"/>
            </w:tcBorders>
            <w:noWrap w:val="0"/>
            <w:vAlign w:val="center"/>
          </w:tcPr>
          <w:p w14:paraId="2C79DCD6">
            <w:pPr>
              <w:spacing w:line="360" w:lineRule="auto"/>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商务</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43C3A819">
            <w:pPr>
              <w:spacing w:line="360" w:lineRule="auto"/>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认证情况</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1104DA7E">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供应商具备有效的质量管理体系认证得1分，具有环境管理体系认证得1分，具有职业健康管理体系认证得1分，具备有效的信息安全管理体系认证得1分，具备水安全管理体系认证得1分，满分得5分。</w:t>
            </w:r>
          </w:p>
          <w:p w14:paraId="1F59A2AC">
            <w:pPr>
              <w:spacing w:line="360" w:lineRule="auto"/>
              <w:ind w:firstLine="480" w:firstLineChars="200"/>
              <w:rPr>
                <w:rFonts w:hint="eastAsia" w:ascii="宋体" w:hAnsi="宋体" w:eastAsia="宋体" w:cs="Times New Roman"/>
                <w:color w:val="000000" w:themeColor="text1"/>
                <w:sz w:val="24"/>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注：①认证范围包含工程咨询</w:t>
            </w:r>
            <w:r>
              <w:rPr>
                <w:rFonts w:hint="eastAsia" w:ascii="宋体" w:hAnsi="宋体" w:eastAsia="宋体" w:cs="Times New Roman"/>
                <w:color w:val="000000" w:themeColor="text1"/>
                <w:sz w:val="24"/>
                <w:szCs w:val="21"/>
                <w:highlight w:val="none"/>
                <w:lang w:eastAsia="zh-CN"/>
                <w14:textFill>
                  <w14:solidFill>
                    <w14:schemeClr w14:val="tx1"/>
                  </w14:solidFill>
                </w14:textFill>
              </w:rPr>
              <w:t>或</w:t>
            </w:r>
            <w:r>
              <w:rPr>
                <w:rFonts w:hint="eastAsia" w:ascii="宋体" w:hAnsi="宋体" w:eastAsia="宋体" w:cs="Times New Roman"/>
                <w:color w:val="000000" w:themeColor="text1"/>
                <w:sz w:val="24"/>
                <w:szCs w:val="21"/>
                <w:highlight w:val="none"/>
                <w14:textFill>
                  <w14:solidFill>
                    <w14:schemeClr w14:val="tx1"/>
                  </w14:solidFill>
                </w14:textFill>
              </w:rPr>
              <w:t>运行管理；②须提供以上有效的证书扫描件加盖投标人公章。</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041F22A0">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5A27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0" w:type="pct"/>
            <w:vMerge w:val="continue"/>
            <w:tcBorders>
              <w:left w:val="single" w:color="auto" w:sz="4" w:space="0"/>
              <w:right w:val="single" w:color="auto" w:sz="4" w:space="0"/>
            </w:tcBorders>
            <w:noWrap w:val="0"/>
            <w:vAlign w:val="center"/>
          </w:tcPr>
          <w:p w14:paraId="2B70D4EB">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5E5CC92F">
            <w:pPr>
              <w:spacing w:line="360" w:lineRule="auto"/>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项目负责人</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2A32A3A4">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项目负责人具有水利相关专业高级职称得1分，具有水利相关专业正高级职称得2分；</w:t>
            </w:r>
          </w:p>
          <w:p w14:paraId="18423E2C">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注：须提供</w:t>
            </w:r>
            <w:r>
              <w:rPr>
                <w:rFonts w:hint="eastAsia" w:ascii="宋体" w:hAnsi="宋体" w:eastAsia="宋体" w:cs="Times New Roman"/>
                <w:color w:val="000000" w:themeColor="text1"/>
                <w:sz w:val="24"/>
                <w:szCs w:val="21"/>
                <w:highlight w:val="none"/>
                <w:lang w:eastAsia="zh-CN"/>
                <w14:textFill>
                  <w14:solidFill>
                    <w14:schemeClr w14:val="tx1"/>
                  </w14:solidFill>
                </w14:textFill>
              </w:rPr>
              <w:t>职称</w:t>
            </w:r>
            <w:r>
              <w:rPr>
                <w:rFonts w:hint="eastAsia" w:ascii="宋体" w:hAnsi="宋体" w:eastAsia="宋体" w:cs="Times New Roman"/>
                <w:color w:val="000000" w:themeColor="text1"/>
                <w:sz w:val="24"/>
                <w:szCs w:val="21"/>
                <w:highlight w:val="none"/>
                <w14:textFill>
                  <w14:solidFill>
                    <w14:schemeClr w14:val="tx1"/>
                  </w14:solidFill>
                </w14:textFill>
              </w:rPr>
              <w:t>书的复印件及社保证明材料，并加盖投标人公章，否则不得分。</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41E918F2">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2</w:t>
            </w:r>
          </w:p>
        </w:tc>
      </w:tr>
      <w:tr w14:paraId="4506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0" w:type="pct"/>
            <w:vMerge w:val="continue"/>
            <w:tcBorders>
              <w:left w:val="single" w:color="auto" w:sz="4" w:space="0"/>
              <w:right w:val="single" w:color="auto" w:sz="4" w:space="0"/>
            </w:tcBorders>
            <w:noWrap w:val="0"/>
            <w:vAlign w:val="center"/>
          </w:tcPr>
          <w:p w14:paraId="018E352B">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5D70590A">
            <w:pPr>
              <w:spacing w:line="360" w:lineRule="auto"/>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项目组成员</w:t>
            </w:r>
          </w:p>
        </w:tc>
        <w:tc>
          <w:tcPr>
            <w:tcW w:w="6930" w:type="dxa"/>
            <w:tcBorders>
              <w:top w:val="single" w:color="auto" w:sz="4" w:space="0"/>
              <w:left w:val="single" w:color="auto" w:sz="4" w:space="0"/>
              <w:bottom w:val="single" w:color="auto" w:sz="4" w:space="0"/>
              <w:right w:val="single" w:color="auto" w:sz="4" w:space="0"/>
            </w:tcBorders>
            <w:noWrap w:val="0"/>
            <w:vAlign w:val="center"/>
          </w:tcPr>
          <w:p w14:paraId="54B66185">
            <w:pPr>
              <w:spacing w:line="360" w:lineRule="auto"/>
              <w:ind w:firstLine="480" w:firstLineChars="200"/>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项目组成员（不含项目负责人）每提供一个水利类中级职称得0.5分，最高得1分；每提供一个水利类高级职称及以上得1分，最高得2分</w:t>
            </w:r>
            <w:r>
              <w:rPr>
                <w:rFonts w:hint="eastAsia" w:ascii="宋体" w:hAnsi="宋体" w:eastAsia="宋体" w:cs="Times New Roman"/>
                <w:color w:val="000000" w:themeColor="text1"/>
                <w:sz w:val="24"/>
                <w:szCs w:val="21"/>
                <w:highlight w:val="none"/>
                <w:lang w:eastAsia="zh-CN"/>
                <w14:textFill>
                  <w14:solidFill>
                    <w14:schemeClr w14:val="tx1"/>
                  </w14:solidFill>
                </w14:textFill>
              </w:rPr>
              <w:t>。</w:t>
            </w:r>
          </w:p>
          <w:p w14:paraId="6D059B86">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注：每个人员提供一本</w:t>
            </w:r>
            <w:r>
              <w:rPr>
                <w:rFonts w:hint="eastAsia" w:ascii="宋体" w:hAnsi="宋体" w:eastAsia="宋体" w:cs="Times New Roman"/>
                <w:color w:val="000000" w:themeColor="text1"/>
                <w:sz w:val="24"/>
                <w:szCs w:val="21"/>
                <w:highlight w:val="none"/>
                <w:lang w:eastAsia="zh-CN"/>
                <w14:textFill>
                  <w14:solidFill>
                    <w14:schemeClr w14:val="tx1"/>
                  </w14:solidFill>
                </w14:textFill>
              </w:rPr>
              <w:t>职称</w:t>
            </w:r>
            <w:r>
              <w:rPr>
                <w:rFonts w:hint="eastAsia" w:ascii="宋体" w:hAnsi="宋体" w:eastAsia="宋体" w:cs="Times New Roman"/>
                <w:color w:val="000000" w:themeColor="text1"/>
                <w:sz w:val="24"/>
                <w:szCs w:val="21"/>
                <w:highlight w:val="none"/>
                <w14:textFill>
                  <w14:solidFill>
                    <w14:schemeClr w14:val="tx1"/>
                  </w14:solidFill>
                </w14:textFill>
              </w:rPr>
              <w:t>书，不重复得分，须提供</w:t>
            </w:r>
            <w:r>
              <w:rPr>
                <w:rFonts w:hint="eastAsia" w:ascii="宋体" w:hAnsi="宋体" w:eastAsia="宋体" w:cs="Times New Roman"/>
                <w:color w:val="000000" w:themeColor="text1"/>
                <w:sz w:val="24"/>
                <w:szCs w:val="21"/>
                <w:highlight w:val="none"/>
                <w:lang w:eastAsia="zh-CN"/>
                <w14:textFill>
                  <w14:solidFill>
                    <w14:schemeClr w14:val="tx1"/>
                  </w14:solidFill>
                </w14:textFill>
              </w:rPr>
              <w:t>职称</w:t>
            </w:r>
            <w:r>
              <w:rPr>
                <w:rFonts w:hint="eastAsia" w:ascii="宋体" w:hAnsi="宋体" w:eastAsia="宋体" w:cs="Times New Roman"/>
                <w:color w:val="000000" w:themeColor="text1"/>
                <w:sz w:val="24"/>
                <w:szCs w:val="21"/>
                <w:highlight w:val="none"/>
                <w14:textFill>
                  <w14:solidFill>
                    <w14:schemeClr w14:val="tx1"/>
                  </w14:solidFill>
                </w14:textFill>
              </w:rPr>
              <w:t>书的复印件及社保证明材料，并加盖投标人公章，否则不得分。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4B793896">
            <w:pPr>
              <w:spacing w:line="360" w:lineRule="auto"/>
              <w:jc w:val="center"/>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3</w:t>
            </w:r>
          </w:p>
        </w:tc>
      </w:tr>
    </w:tbl>
    <w:p w14:paraId="6B575EE7">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w:t>
      </w:r>
    </w:p>
    <w:p w14:paraId="4DBDAC8D">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、评标委员会各成员应当独立对每个供应商的响应文件进行评价，并汇总每个供应商的得分。资信分为客观分，也需独立进行评价并核对分值，最终分值需一致。</w:t>
      </w:r>
    </w:p>
    <w:p w14:paraId="105081B2">
      <w:pPr>
        <w:spacing w:line="360" w:lineRule="auto"/>
        <w:ind w:firstLine="480" w:firstLineChars="200"/>
        <w:rPr>
          <w:rFonts w:cs="宋体"/>
          <w:color w:val="000000" w:themeColor="text1"/>
          <w:sz w:val="36"/>
          <w:szCs w:val="36"/>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、所有文件、合同、证书、资质等需要真实有效。成交供应商在中标后签订合同时需提供以上证明文件原件，若发现资料作假的取消中标资格。</w:t>
      </w:r>
      <w:bookmarkStart w:id="87" w:name="_Toc4517"/>
      <w:bookmarkStart w:id="88" w:name="_Toc8033"/>
      <w:r>
        <w:rPr>
          <w:rFonts w:hint="eastAsia" w:cs="宋体"/>
          <w:color w:val="000000" w:themeColor="text1"/>
          <w:sz w:val="36"/>
          <w:szCs w:val="36"/>
          <w:highlight w:val="none"/>
          <w14:textFill>
            <w14:solidFill>
              <w14:schemeClr w14:val="tx1"/>
            </w14:solidFill>
          </w14:textFill>
        </w:rPr>
        <w:br w:type="page"/>
      </w:r>
    </w:p>
    <w:p w14:paraId="583F2AED">
      <w:pPr>
        <w:pStyle w:val="2"/>
        <w:jc w:val="center"/>
        <w:rPr>
          <w:rFonts w:ascii="宋体" w:cs="Times New Roman"/>
          <w:color w:val="000000" w:themeColor="text1"/>
          <w:highlight w:val="none"/>
          <w14:textFill>
            <w14:solidFill>
              <w14:schemeClr w14:val="tx1"/>
            </w14:solidFill>
          </w14:textFill>
        </w:rPr>
      </w:pPr>
      <w:bookmarkStart w:id="89" w:name="_Toc8680"/>
      <w:r>
        <w:rPr>
          <w:rFonts w:hint="eastAsia" w:cs="宋体"/>
          <w:color w:val="000000" w:themeColor="text1"/>
          <w:sz w:val="36"/>
          <w:szCs w:val="36"/>
          <w:highlight w:val="none"/>
          <w14:textFill>
            <w14:solidFill>
              <w14:schemeClr w14:val="tx1"/>
            </w14:solidFill>
          </w14:textFill>
        </w:rPr>
        <w:t>第五部分</w:t>
      </w:r>
      <w:r>
        <w:rPr>
          <w:color w:val="000000" w:themeColor="text1"/>
          <w:sz w:val="36"/>
          <w:szCs w:val="36"/>
          <w:highlight w:val="none"/>
          <w14:textFill>
            <w14:solidFill>
              <w14:schemeClr w14:val="tx1"/>
            </w14:solidFill>
          </w14:textFill>
        </w:rPr>
        <w:t xml:space="preserve"> </w:t>
      </w:r>
      <w:r>
        <w:rPr>
          <w:rFonts w:hint="eastAsia" w:cs="宋体"/>
          <w:color w:val="000000" w:themeColor="text1"/>
          <w:sz w:val="36"/>
          <w:szCs w:val="36"/>
          <w:highlight w:val="none"/>
          <w14:textFill>
            <w14:solidFill>
              <w14:schemeClr w14:val="tx1"/>
            </w14:solidFill>
          </w14:textFill>
        </w:rPr>
        <w:t>采购合同</w:t>
      </w:r>
      <w:bookmarkEnd w:id="87"/>
      <w:bookmarkEnd w:id="88"/>
      <w:bookmarkEnd w:id="89"/>
    </w:p>
    <w:p w14:paraId="2012619C">
      <w:pPr>
        <w:keepNext w:val="0"/>
        <w:keepLines w:val="0"/>
        <w:pageBreakBefore w:val="0"/>
        <w:widowControl w:val="0"/>
        <w:kinsoku/>
        <w:wordWrap/>
        <w:overflowPunct/>
        <w:topLinePunct w:val="0"/>
        <w:autoSpaceDE/>
        <w:autoSpaceDN/>
        <w:bidi w:val="0"/>
        <w:adjustRightInd/>
        <w:snapToGrid/>
        <w:spacing w:line="460" w:lineRule="exact"/>
        <w:ind w:firstLine="600" w:firstLineChars="250"/>
        <w:textAlignment w:val="auto"/>
        <w:rPr>
          <w:rFonts w:hint="eastAsia" w:ascii="Times New Roman" w:hAnsi="Times New Roman" w:eastAsia="宋体" w:cs="Times New Roman"/>
          <w:b w:val="0"/>
          <w:bCs/>
          <w:color w:val="000000" w:themeColor="text1"/>
          <w:sz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合同编号：（</w:t>
      </w:r>
      <w:r>
        <w:rPr>
          <w:rFonts w:hint="eastAsia" w:cs="Times New Roman"/>
          <w:b w:val="0"/>
          <w:bCs/>
          <w:color w:val="000000" w:themeColor="text1"/>
          <w:sz w:val="24"/>
          <w:lang w:val="en-US" w:eastAsia="zh-CN"/>
          <w14:textFill>
            <w14:solidFill>
              <w14:schemeClr w14:val="tx1"/>
            </w14:solidFill>
          </w14:textFill>
        </w:rPr>
        <w:t>2025</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）第</w:t>
      </w:r>
      <w:r>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t>　　</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号</w:t>
      </w:r>
    </w:p>
    <w:p w14:paraId="476A1F33">
      <w:pPr>
        <w:keepNext w:val="0"/>
        <w:keepLines w:val="0"/>
        <w:pageBreakBefore w:val="0"/>
        <w:widowControl w:val="0"/>
        <w:kinsoku/>
        <w:wordWrap/>
        <w:overflowPunct/>
        <w:topLinePunct w:val="0"/>
        <w:autoSpaceDE/>
        <w:autoSpaceDN/>
        <w:bidi w:val="0"/>
        <w:adjustRightInd/>
        <w:snapToGrid/>
        <w:spacing w:line="460" w:lineRule="exact"/>
        <w:ind w:firstLine="600" w:firstLineChars="250"/>
        <w:textAlignment w:val="auto"/>
        <w:rPr>
          <w:rFonts w:hint="eastAsia" w:ascii="Times New Roman" w:hAnsi="Times New Roman" w:eastAsia="宋体" w:cs="Times New Roman"/>
          <w:b w:val="0"/>
          <w:bCs/>
          <w:color w:val="000000" w:themeColor="text1"/>
          <w:sz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签订日期：</w:t>
      </w:r>
      <w:r>
        <w:rPr>
          <w:rFonts w:hint="eastAsia" w:cs="Times New Roman"/>
          <w:b w:val="0"/>
          <w:bCs/>
          <w:color w:val="000000" w:themeColor="text1"/>
          <w:sz w:val="24"/>
          <w:lang w:val="en-US" w:eastAsia="zh-CN"/>
          <w14:textFill>
            <w14:solidFill>
              <w14:schemeClr w14:val="tx1"/>
            </w14:solidFill>
          </w14:textFill>
        </w:rPr>
        <w:t>2025</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年</w:t>
      </w:r>
      <w:r>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t>　　</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月</w:t>
      </w:r>
      <w:r>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t>　　</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日</w:t>
      </w:r>
    </w:p>
    <w:p w14:paraId="7E071A53">
      <w:pPr>
        <w:keepNext w:val="0"/>
        <w:keepLines w:val="0"/>
        <w:pageBreakBefore w:val="0"/>
        <w:widowControl w:val="0"/>
        <w:kinsoku/>
        <w:wordWrap/>
        <w:overflowPunct/>
        <w:topLinePunct w:val="0"/>
        <w:autoSpaceDE/>
        <w:autoSpaceDN/>
        <w:bidi w:val="0"/>
        <w:adjustRightInd/>
        <w:snapToGrid/>
        <w:spacing w:line="460" w:lineRule="exact"/>
        <w:ind w:firstLine="600" w:firstLineChars="250"/>
        <w:textAlignment w:val="auto"/>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甲方：</w:t>
      </w:r>
      <w:r>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t>　　　　　　　　　　　　　　　　　　　　　　　</w:t>
      </w:r>
    </w:p>
    <w:p w14:paraId="0C2EFCE7">
      <w:pPr>
        <w:keepNext w:val="0"/>
        <w:keepLines w:val="0"/>
        <w:pageBreakBefore w:val="0"/>
        <w:widowControl w:val="0"/>
        <w:kinsoku/>
        <w:wordWrap/>
        <w:overflowPunct/>
        <w:topLinePunct w:val="0"/>
        <w:autoSpaceDE/>
        <w:autoSpaceDN/>
        <w:bidi w:val="0"/>
        <w:adjustRightInd/>
        <w:snapToGrid/>
        <w:spacing w:line="460" w:lineRule="exact"/>
        <w:ind w:firstLine="600" w:firstLineChars="250"/>
        <w:textAlignment w:val="auto"/>
        <w:rPr>
          <w:rFonts w:hint="eastAsia" w:ascii="Times New Roman" w:hAnsi="Times New Roman" w:eastAsia="宋体" w:cs="Times New Roman"/>
          <w:b w:val="0"/>
          <w:bCs/>
          <w:color w:val="000000" w:themeColor="text1"/>
          <w:sz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乙方：</w:t>
      </w:r>
      <w:r>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t>　　　　　　　　　　　　　　　　　　　　　　　</w:t>
      </w:r>
    </w:p>
    <w:p w14:paraId="64F9FC40">
      <w:pPr>
        <w:keepNext w:val="0"/>
        <w:keepLines w:val="0"/>
        <w:pageBreakBefore w:val="0"/>
        <w:widowControl w:val="0"/>
        <w:kinsoku/>
        <w:wordWrap/>
        <w:overflowPunct/>
        <w:topLinePunct w:val="0"/>
        <w:autoSpaceDE/>
        <w:autoSpaceDN/>
        <w:bidi w:val="0"/>
        <w:adjustRightInd/>
        <w:snapToGrid/>
        <w:spacing w:line="460" w:lineRule="exact"/>
        <w:ind w:firstLine="600" w:firstLineChars="250"/>
        <w:textAlignment w:val="auto"/>
        <w:rPr>
          <w:rFonts w:hint="eastAsia" w:ascii="Times New Roman" w:hAnsi="Times New Roman" w:eastAsia="宋体" w:cs="Times New Roman"/>
          <w:b w:val="0"/>
          <w:bCs/>
          <w:color w:val="000000" w:themeColor="text1"/>
          <w:sz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根据《中华人民共和国民法典》、政府采购编号为</w:t>
      </w:r>
      <w:r>
        <w:rPr>
          <w:rFonts w:hint="eastAsia" w:cs="Times New Roman"/>
          <w:b w:val="0"/>
          <w:bCs/>
          <w:color w:val="000000" w:themeColor="text1"/>
          <w:sz w:val="24"/>
          <w:lang w:val="en-US" w:eastAsia="zh-CN"/>
          <w14:textFill>
            <w14:solidFill>
              <w14:schemeClr w14:val="tx1"/>
            </w14:solidFill>
          </w14:textFill>
        </w:rPr>
        <w:t>ZJJK2025010</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招标文件、</w:t>
      </w:r>
      <w:r>
        <w:rPr>
          <w:rFonts w:hint="eastAsia" w:cs="Times New Roman"/>
          <w:b w:val="0"/>
          <w:bCs/>
          <w:color w:val="000000" w:themeColor="text1"/>
          <w:sz w:val="24"/>
          <w:lang w:val="en-US" w:eastAsia="zh-CN"/>
          <w14:textFill>
            <w14:solidFill>
              <w14:schemeClr w14:val="tx1"/>
            </w14:solidFill>
          </w14:textFill>
        </w:rPr>
        <w:t>乙方</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 xml:space="preserve">响应文件的规定，经公开招标采购，签订本合同。 </w:t>
      </w:r>
    </w:p>
    <w:p w14:paraId="4DC12E9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一、</w:t>
      </w:r>
      <w:r>
        <w:rPr>
          <w:rFonts w:hint="eastAsia" w:eastAsia="宋体" w:cs="宋体"/>
          <w:b/>
          <w:bCs/>
          <w:color w:val="auto"/>
          <w:sz w:val="24"/>
          <w:szCs w:val="24"/>
          <w:highlight w:val="none"/>
          <w:lang w:val="en-US" w:eastAsia="zh-CN"/>
        </w:rPr>
        <w:t>项目背景</w:t>
      </w:r>
    </w:p>
    <w:p w14:paraId="12571D00">
      <w:pPr>
        <w:spacing w:line="360" w:lineRule="auto"/>
        <w:ind w:firstLine="480" w:firstLineChars="200"/>
        <w:rPr>
          <w:rFonts w:hint="eastAsia" w:ascii="宋体" w:hAnsi="宋体"/>
          <w:color w:val="auto"/>
          <w:sz w:val="24"/>
          <w:highlight w:val="none"/>
        </w:rPr>
      </w:pPr>
      <w:r>
        <w:rPr>
          <w:rFonts w:hint="eastAsia" w:ascii="宋体" w:hAnsi="宋体" w:eastAsia="宋体" w:cs="宋体"/>
          <w:b w:val="0"/>
          <w:bCs w:val="0"/>
          <w:color w:val="auto"/>
          <w:sz w:val="24"/>
          <w:szCs w:val="24"/>
          <w:highlight w:val="none"/>
          <w:lang w:val="en-US" w:eastAsia="zh-CN"/>
        </w:rPr>
        <w:t>为贯彻落实党的二十届三中全会《决定》精神，进一步全面深化改革水利安全生产工作，水利工程安全运行风险管控“六项机制”创建任务已被列入《浙江水利2025年工作要点和重点工作清单》，现根据水利部、浙江省水利厅和绍兴市水利局关于构建水利安全生产风险管控“六项机制”的有关要求，开展2025年上虞区水库、堤防等</w:t>
      </w:r>
      <w:r>
        <w:rPr>
          <w:rFonts w:hint="eastAsia" w:ascii="宋体" w:hAnsi="宋体" w:cs="宋体"/>
          <w:b w:val="0"/>
          <w:bCs w:val="0"/>
          <w:color w:val="auto"/>
          <w:sz w:val="24"/>
          <w:szCs w:val="24"/>
          <w:highlight w:val="none"/>
          <w:lang w:val="en-US" w:eastAsia="zh-CN"/>
        </w:rPr>
        <w:t>2025年水库堤防等水利工程安全生产风险管控“六项机制”创建项目</w:t>
      </w:r>
      <w:r>
        <w:rPr>
          <w:rFonts w:hint="eastAsia" w:ascii="宋体" w:hAnsi="宋体" w:eastAsia="宋体" w:cs="宋体"/>
          <w:b w:val="0"/>
          <w:bCs w:val="0"/>
          <w:color w:val="auto"/>
          <w:sz w:val="24"/>
          <w:szCs w:val="24"/>
          <w:highlight w:val="none"/>
          <w:lang w:val="en-US" w:eastAsia="zh-CN"/>
        </w:rPr>
        <w:t>。</w:t>
      </w:r>
    </w:p>
    <w:p w14:paraId="7E152CB5">
      <w:pPr>
        <w:pStyle w:val="46"/>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b/>
          <w:bCs/>
          <w:color w:val="000000" w:themeColor="text1"/>
          <w:szCs w:val="24"/>
          <w:highlight w:val="none"/>
          <w:lang w:val="en-US" w:eastAsia="zh-CN"/>
          <w14:textFill>
            <w14:solidFill>
              <w14:schemeClr w14:val="tx1"/>
            </w14:solidFill>
          </w14:textFill>
        </w:rPr>
      </w:pPr>
      <w:r>
        <w:rPr>
          <w:rFonts w:hint="eastAsia" w:ascii="宋体" w:hAnsi="宋体" w:eastAsia="宋体" w:cs="宋体"/>
          <w:b/>
          <w:bCs/>
          <w:color w:val="000000" w:themeColor="text1"/>
          <w:szCs w:val="24"/>
          <w:highlight w:val="none"/>
          <w:lang w:val="en-US" w:eastAsia="zh-CN"/>
          <w14:textFill>
            <w14:solidFill>
              <w14:schemeClr w14:val="tx1"/>
            </w14:solidFill>
          </w14:textFill>
        </w:rPr>
        <w:t>二、服务期限</w:t>
      </w:r>
    </w:p>
    <w:p w14:paraId="0FF46A4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自合同签订之日起到2025年10月30日前完成。</w:t>
      </w:r>
    </w:p>
    <w:p w14:paraId="1BCE8E0B">
      <w:pPr>
        <w:spacing w:line="360" w:lineRule="auto"/>
        <w:ind w:firstLine="482" w:firstLineChars="20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w:t>
      </w:r>
      <w:r>
        <w:rPr>
          <w:rFonts w:hint="eastAsia" w:eastAsia="宋体" w:cs="宋体"/>
          <w:b/>
          <w:bCs/>
          <w:color w:val="auto"/>
          <w:sz w:val="24"/>
          <w:szCs w:val="24"/>
          <w:highlight w:val="none"/>
          <w:lang w:val="en-US" w:eastAsia="zh-CN"/>
        </w:rPr>
        <w:t>工作范围</w:t>
      </w:r>
    </w:p>
    <w:p w14:paraId="7EE9D986">
      <w:pPr>
        <w:spacing w:line="360" w:lineRule="auto"/>
        <w:ind w:firstLine="480" w:firstLineChars="200"/>
        <w:rPr>
          <w:rFonts w:hint="eastAsia"/>
          <w:lang w:val="en-US" w:eastAsia="zh-CN"/>
        </w:rPr>
      </w:pPr>
      <w:r>
        <w:rPr>
          <w:rFonts w:hint="eastAsia" w:ascii="宋体" w:hAnsi="宋体" w:eastAsia="宋体" w:cs="宋体"/>
          <w:b w:val="0"/>
          <w:bCs w:val="0"/>
          <w:color w:val="auto"/>
          <w:sz w:val="24"/>
          <w:szCs w:val="24"/>
          <w:highlight w:val="none"/>
          <w:lang w:val="en-US" w:eastAsia="zh-CN"/>
        </w:rPr>
        <w:t>开展上虞区51座水库、25段堤防、36座电排站等水利工程水利安全生产风险管控“六项机制”创建，5座水电站水利安全生产风险管控“六项机制”创建的技术指导。</w:t>
      </w:r>
    </w:p>
    <w:p w14:paraId="2BADF591">
      <w:pPr>
        <w:spacing w:line="360" w:lineRule="auto"/>
        <w:ind w:firstLine="482" w:firstLineChars="20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四、服务内容</w:t>
      </w:r>
    </w:p>
    <w:p w14:paraId="427DCDC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1、搜集资料</w:t>
      </w:r>
    </w:p>
    <w:p w14:paraId="330A03C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根据上述水利工程的相关情况派遣专家和工作人员到现场搜集已有资料，从查找机制、研判机制、预警机制、防范机制、处置机制、责任机制等六个方面进行资料搜集。</w:t>
      </w:r>
    </w:p>
    <w:p w14:paraId="20D6061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2、查看现场</w:t>
      </w:r>
    </w:p>
    <w:p w14:paraId="3882D2E4">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专家及工作人员查看各现场管控措施是否到位，风险等级研判是否合理。</w:t>
      </w:r>
    </w:p>
    <w:p w14:paraId="3D0EEFD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3、创建初步评估</w:t>
      </w:r>
    </w:p>
    <w:p w14:paraId="742072A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根据搜集的资料和现场情况对各水利工程水利安全生产风险管控“六项机制”创建工作进行初步评估，并对“六项机制”相关现场和台账做出初步指导。</w:t>
      </w:r>
    </w:p>
    <w:p w14:paraId="40758CD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4、台账指导及补充完善</w:t>
      </w:r>
    </w:p>
    <w:p w14:paraId="2CBA9FD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A.指导编写每座水利工程《构建安全生产风险管控“六项机制”工作实施方案》；</w:t>
      </w:r>
    </w:p>
    <w:p w14:paraId="2D60CA3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B.指导每座水利工程修订原有的应急预案；</w:t>
      </w:r>
    </w:p>
    <w:p w14:paraId="398DE72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C.指导每座水利工程危险源辨识与风险评价；</w:t>
      </w:r>
    </w:p>
    <w:p w14:paraId="56772AA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D.指导编写重大危险源应急预案；</w:t>
      </w:r>
    </w:p>
    <w:p w14:paraId="5D35842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E.指导编写每座水利工程《危险源辨识与风险评价报告》；</w:t>
      </w:r>
    </w:p>
    <w:p w14:paraId="212F686A">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F.指导编写每座水利工程《重大危险源专项档案》；</w:t>
      </w:r>
    </w:p>
    <w:p w14:paraId="13061FBB">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G.指导每座水利工程隐患排查治理资料、动态更新危险源等。 </w:t>
      </w:r>
    </w:p>
    <w:p w14:paraId="32E4AE71">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5、现场标志标牌等制作</w:t>
      </w:r>
    </w:p>
    <w:p w14:paraId="6532177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通过专家及工作人员现场查看，制作并安装“六项机制”所需的标志标牌等。</w:t>
      </w:r>
    </w:p>
    <w:p w14:paraId="7DAE062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6、整改</w:t>
      </w:r>
    </w:p>
    <w:p w14:paraId="1C4696E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专家和工作人员指导各水利工程水利安全生产风险管控“六项机制”创建工作的落实执行情况，对现场和台账需整改和完善的地方进行指导，按照《构建水利安全生产风险管控“六项机制”工作指导手册》要求协助完善现场和台账。</w:t>
      </w:r>
    </w:p>
    <w:p w14:paraId="7675B23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7、验收</w:t>
      </w:r>
    </w:p>
    <w:p w14:paraId="5FB1A1D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对整改后的现场和台账按水利安全生产风险管控“六项机制”要求进行预验收，协助各水利工程备齐构建水利安全生产风险管控“六项机制”创建资料，提交后，最终通过验收。</w:t>
      </w:r>
    </w:p>
    <w:p w14:paraId="64A549A8">
      <w:pPr>
        <w:pStyle w:val="46"/>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b/>
          <w:bCs/>
          <w:color w:val="000000" w:themeColor="text1"/>
          <w:szCs w:val="24"/>
          <w:highlight w:val="none"/>
          <w:lang w:val="en-US" w:eastAsia="zh-CN"/>
          <w14:textFill>
            <w14:solidFill>
              <w14:schemeClr w14:val="tx1"/>
            </w14:solidFill>
          </w14:textFill>
        </w:rPr>
      </w:pPr>
      <w:r>
        <w:rPr>
          <w:rFonts w:hint="eastAsia" w:ascii="宋体" w:hAnsi="宋体" w:eastAsia="宋体" w:cs="宋体"/>
          <w:b/>
          <w:bCs/>
          <w:color w:val="000000" w:themeColor="text1"/>
          <w:szCs w:val="24"/>
          <w:highlight w:val="none"/>
          <w:lang w:val="en-US" w:eastAsia="zh-CN"/>
          <w14:textFill>
            <w14:solidFill>
              <w14:schemeClr w14:val="tx1"/>
            </w14:solidFill>
          </w14:textFill>
        </w:rPr>
        <w:t>四、验收成果要求</w:t>
      </w:r>
    </w:p>
    <w:p w14:paraId="25BFE55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提供项目成果，根据《绍兴市水利安全生产风险管控“六项机制”验收办法》。经采购方邀请专家评审通过后即验收通过。</w:t>
      </w:r>
    </w:p>
    <w:p w14:paraId="090F25BA">
      <w:pPr>
        <w:keepNext w:val="0"/>
        <w:keepLines w:val="0"/>
        <w:pageBreakBefore w:val="0"/>
        <w:widowControl w:val="0"/>
        <w:tabs>
          <w:tab w:val="left" w:pos="840"/>
        </w:tabs>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lang w:val="en-US" w:eastAsia="zh-CN"/>
          <w14:textFill>
            <w14:solidFill>
              <w14:schemeClr w14:val="tx1"/>
            </w14:solidFill>
          </w14:textFill>
        </w:rPr>
        <w:t>五</w:t>
      </w:r>
      <w:r>
        <w:rPr>
          <w:rFonts w:hint="eastAsia" w:ascii="宋体"/>
          <w:b/>
          <w:bCs/>
          <w:color w:val="000000" w:themeColor="text1"/>
          <w:kern w:val="0"/>
          <w:sz w:val="24"/>
          <w14:textFill>
            <w14:solidFill>
              <w14:schemeClr w14:val="tx1"/>
            </w14:solidFill>
          </w14:textFill>
        </w:rPr>
        <w:t>、合同金额</w:t>
      </w:r>
      <w:r>
        <w:rPr>
          <w:rFonts w:hint="eastAsia" w:ascii="宋体"/>
          <w:b/>
          <w:bCs/>
          <w:color w:val="000000" w:themeColor="text1"/>
          <w:kern w:val="0"/>
          <w:sz w:val="24"/>
          <w:lang w:val="en-US" w:eastAsia="zh-CN"/>
          <w14:textFill>
            <w14:solidFill>
              <w14:schemeClr w14:val="tx1"/>
            </w14:solidFill>
          </w14:textFill>
        </w:rPr>
        <w:t>及付款方式</w:t>
      </w:r>
      <w:r>
        <w:rPr>
          <w:rFonts w:hint="eastAsia" w:ascii="宋体"/>
          <w:b/>
          <w:bCs/>
          <w:color w:val="000000" w:themeColor="text1"/>
          <w:kern w:val="0"/>
          <w:sz w:val="24"/>
          <w14:textFill>
            <w14:solidFill>
              <w14:schemeClr w14:val="tx1"/>
            </w14:solidFill>
          </w14:textFill>
        </w:rPr>
        <w:t>：</w:t>
      </w:r>
    </w:p>
    <w:p w14:paraId="27E0ACD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000000" w:themeColor="text1"/>
          <w:kern w:val="0"/>
          <w:sz w:val="24"/>
          <w:lang w:val="en-US" w:eastAsia="zh-CN"/>
          <w14:textFill>
            <w14:solidFill>
              <w14:schemeClr w14:val="tx1"/>
            </w14:solidFill>
          </w14:textFill>
        </w:rPr>
      </w:pPr>
      <w:r>
        <w:rPr>
          <w:rFonts w:hint="eastAsia" w:ascii="宋体"/>
          <w:color w:val="000000" w:themeColor="text1"/>
          <w:kern w:val="0"/>
          <w:sz w:val="24"/>
          <w:lang w:val="en-US" w:eastAsia="zh-CN"/>
          <w14:textFill>
            <w14:solidFill>
              <w14:schemeClr w14:val="tx1"/>
            </w14:solidFill>
          </w14:textFill>
        </w:rPr>
        <w:t>1、合同金额：</w:t>
      </w:r>
    </w:p>
    <w:p w14:paraId="228079F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color w:val="000000" w:themeColor="text1"/>
          <w:kern w:val="0"/>
          <w:sz w:val="24"/>
          <w14:textFill>
            <w14:solidFill>
              <w14:schemeClr w14:val="tx1"/>
            </w14:solidFill>
          </w14:textFill>
        </w:rPr>
      </w:pPr>
      <w:r>
        <w:rPr>
          <w:rFonts w:hint="eastAsia" w:ascii="宋体"/>
          <w:color w:val="000000" w:themeColor="text1"/>
          <w:kern w:val="0"/>
          <w:sz w:val="24"/>
          <w:lang w:val="en-US" w:eastAsia="zh-CN"/>
          <w14:textFill>
            <w14:solidFill>
              <w14:schemeClr w14:val="tx1"/>
            </w14:solidFill>
          </w14:textFill>
        </w:rPr>
        <w:t>合同金额为大写人民币</w:t>
      </w:r>
      <w:r>
        <w:rPr>
          <w:rFonts w:hint="eastAsia" w:ascii="宋体"/>
          <w:color w:val="000000" w:themeColor="text1"/>
          <w:kern w:val="0"/>
          <w:sz w:val="24"/>
          <w:u w:val="single"/>
          <w14:textFill>
            <w14:solidFill>
              <w14:schemeClr w14:val="tx1"/>
            </w14:solidFill>
          </w14:textFill>
        </w:rPr>
        <w:t xml:space="preserve">        </w:t>
      </w:r>
      <w:r>
        <w:rPr>
          <w:rFonts w:hint="eastAsia" w:ascii="宋体"/>
          <w:color w:val="000000" w:themeColor="text1"/>
          <w:kern w:val="0"/>
          <w:sz w:val="24"/>
          <w:u w:val="single"/>
          <w:lang w:val="en-US" w:eastAsia="zh-CN"/>
          <w14:textFill>
            <w14:solidFill>
              <w14:schemeClr w14:val="tx1"/>
            </w14:solidFill>
          </w14:textFill>
        </w:rPr>
        <w:t xml:space="preserve">   </w:t>
      </w:r>
      <w:r>
        <w:rPr>
          <w:rFonts w:hint="eastAsia" w:ascii="宋体"/>
          <w:color w:val="000000" w:themeColor="text1"/>
          <w:kern w:val="0"/>
          <w:sz w:val="24"/>
          <w:u w:val="single"/>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整（￥：</w:t>
      </w:r>
      <w:r>
        <w:rPr>
          <w:rFonts w:hint="eastAsia" w:ascii="宋体"/>
          <w:color w:val="000000" w:themeColor="text1"/>
          <w:kern w:val="0"/>
          <w:sz w:val="24"/>
          <w:u w:val="single"/>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w:t>
      </w:r>
      <w:r>
        <w:rPr>
          <w:rFonts w:hint="eastAsia" w:ascii="宋体"/>
          <w:color w:val="000000" w:themeColor="text1"/>
          <w:kern w:val="0"/>
          <w:sz w:val="24"/>
          <w:lang w:eastAsia="zh-CN"/>
          <w14:textFill>
            <w14:solidFill>
              <w14:schemeClr w14:val="tx1"/>
            </w14:solidFill>
          </w14:textFill>
        </w:rPr>
        <w:t>，</w:t>
      </w:r>
      <w:r>
        <w:rPr>
          <w:rFonts w:hint="eastAsia" w:ascii="宋体"/>
          <w:color w:val="000000" w:themeColor="text1"/>
          <w:kern w:val="0"/>
          <w:sz w:val="24"/>
          <w:lang w:val="en-US" w:eastAsia="zh-CN"/>
          <w14:textFill>
            <w14:solidFill>
              <w14:schemeClr w14:val="tx1"/>
            </w14:solidFill>
          </w14:textFill>
        </w:rPr>
        <w:t>包含项目所需全部服务，不得缺漏，是履行合同的最终价格</w:t>
      </w:r>
      <w:r>
        <w:rPr>
          <w:rFonts w:hint="eastAsia" w:hAnsi="宋体"/>
          <w:color w:val="auto"/>
          <w:sz w:val="24"/>
          <w:szCs w:val="24"/>
          <w:highlight w:val="none"/>
        </w:rPr>
        <w:t>（人员的工资福利、员工五险费（养老保险、医疗保险、失业保险、工伤保险、生育保险）、</w:t>
      </w:r>
      <w:r>
        <w:rPr>
          <w:rFonts w:hint="eastAsia" w:ascii="宋体" w:hAnsi="宋体" w:eastAsia="宋体" w:cs="宋体"/>
          <w:b w:val="0"/>
          <w:bCs w:val="0"/>
          <w:color w:val="auto"/>
          <w:sz w:val="24"/>
          <w:szCs w:val="24"/>
          <w:highlight w:val="none"/>
          <w:lang w:val="en-US" w:eastAsia="zh-CN"/>
        </w:rPr>
        <w:t>搜集资料</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评估</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指导费</w:t>
      </w:r>
      <w:r>
        <w:rPr>
          <w:rFonts w:hint="eastAsia" w:hAnsi="宋体"/>
          <w:color w:val="auto"/>
          <w:sz w:val="24"/>
          <w:szCs w:val="24"/>
          <w:highlight w:val="none"/>
        </w:rPr>
        <w:t>、</w:t>
      </w:r>
      <w:r>
        <w:rPr>
          <w:rFonts w:hint="eastAsia" w:ascii="宋体" w:hAnsi="宋体" w:eastAsia="宋体" w:cs="宋体"/>
          <w:b w:val="0"/>
          <w:bCs w:val="0"/>
          <w:color w:val="auto"/>
          <w:sz w:val="24"/>
          <w:szCs w:val="24"/>
          <w:highlight w:val="none"/>
          <w:lang w:val="en-US" w:eastAsia="zh-CN"/>
        </w:rPr>
        <w:t>标志标牌制造及安装费、</w:t>
      </w:r>
      <w:r>
        <w:rPr>
          <w:rFonts w:hint="eastAsia" w:hAnsi="宋体"/>
          <w:color w:val="auto"/>
          <w:sz w:val="24"/>
          <w:szCs w:val="24"/>
          <w:highlight w:val="none"/>
        </w:rPr>
        <w:t>办公用品、耗材、管理费、招标代理费、税费等一切费用）</w:t>
      </w:r>
      <w:r>
        <w:rPr>
          <w:rFonts w:hint="eastAsia" w:ascii="宋体"/>
          <w:color w:val="000000" w:themeColor="text1"/>
          <w:kern w:val="0"/>
          <w:sz w:val="24"/>
          <w:lang w:val="en-US" w:eastAsia="zh-CN"/>
          <w14:textFill>
            <w14:solidFill>
              <w14:schemeClr w14:val="tx1"/>
            </w14:solidFill>
          </w14:textFill>
        </w:rPr>
        <w:t>。</w:t>
      </w:r>
    </w:p>
    <w:p w14:paraId="1D444B3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eastAsia="宋体"/>
          <w:color w:val="000000" w:themeColor="text1"/>
          <w:kern w:val="0"/>
          <w:sz w:val="24"/>
          <w:lang w:val="en-US" w:eastAsia="zh-CN"/>
          <w14:textFill>
            <w14:solidFill>
              <w14:schemeClr w14:val="tx1"/>
            </w14:solidFill>
          </w14:textFill>
        </w:rPr>
      </w:pPr>
      <w:r>
        <w:rPr>
          <w:rFonts w:hint="eastAsia" w:ascii="宋体" w:eastAsia="宋体"/>
          <w:color w:val="000000" w:themeColor="text1"/>
          <w:kern w:val="0"/>
          <w:sz w:val="24"/>
          <w:lang w:val="en-US" w:eastAsia="zh-CN"/>
          <w14:textFill>
            <w14:solidFill>
              <w14:schemeClr w14:val="tx1"/>
            </w14:solidFill>
          </w14:textFill>
        </w:rPr>
        <w:t>2、付款方式</w:t>
      </w:r>
    </w:p>
    <w:p w14:paraId="7571A30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（1）合同生效以及具备实施条件后</w:t>
      </w:r>
      <w:r>
        <w:rPr>
          <w:rFonts w:hint="eastAsia" w:ascii="宋体" w:hAnsi="宋体"/>
          <w:color w:val="auto"/>
          <w:sz w:val="24"/>
          <w:szCs w:val="24"/>
          <w:highlight w:val="none"/>
          <w:lang w:val="en-US" w:eastAsia="zh-CN"/>
        </w:rPr>
        <w:t>30</w:t>
      </w:r>
      <w:r>
        <w:rPr>
          <w:rFonts w:hint="eastAsia" w:ascii="宋体" w:hAnsi="宋体" w:eastAsia="宋体"/>
          <w:color w:val="auto"/>
          <w:sz w:val="24"/>
          <w:szCs w:val="24"/>
          <w:highlight w:val="none"/>
          <w:lang w:val="en-US" w:eastAsia="zh-CN"/>
        </w:rPr>
        <w:t>个工作日内支付预付款即合同价的40%；</w:t>
      </w:r>
    </w:p>
    <w:p w14:paraId="57E324D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（2）所有工作内容完成，经采购方邀请专家评审通过后即验收通过，支付到合同价的100%。</w:t>
      </w:r>
    </w:p>
    <w:p w14:paraId="2147CC1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eastAsia="宋体"/>
          <w:color w:val="000000" w:themeColor="text1"/>
          <w:kern w:val="0"/>
          <w:sz w:val="24"/>
          <w:lang w:val="en-US" w:eastAsia="zh-CN"/>
          <w14:textFill>
            <w14:solidFill>
              <w14:schemeClr w14:val="tx1"/>
            </w14:solidFill>
          </w14:textFill>
        </w:rPr>
      </w:pPr>
      <w:r>
        <w:rPr>
          <w:rFonts w:hint="eastAsia" w:ascii="宋体" w:eastAsia="宋体"/>
          <w:color w:val="000000" w:themeColor="text1"/>
          <w:kern w:val="0"/>
          <w:sz w:val="24"/>
          <w:lang w:val="en-US" w:eastAsia="zh-CN"/>
          <w14:textFill>
            <w14:solidFill>
              <w14:schemeClr w14:val="tx1"/>
            </w14:solidFill>
          </w14:textFill>
        </w:rPr>
        <w:t>3、付款要求</w:t>
      </w:r>
    </w:p>
    <w:p w14:paraId="7B6481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3BD98017">
      <w:pPr>
        <w:keepNext w:val="0"/>
        <w:keepLines w:val="0"/>
        <w:pageBreakBefore w:val="0"/>
        <w:widowControl w:val="0"/>
        <w:tabs>
          <w:tab w:val="left" w:pos="840"/>
        </w:tabs>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lang w:val="en-US" w:eastAsia="zh-CN"/>
          <w14:textFill>
            <w14:solidFill>
              <w14:schemeClr w14:val="tx1"/>
            </w14:solidFill>
          </w14:textFill>
        </w:rPr>
        <w:t>十</w:t>
      </w:r>
      <w:r>
        <w:rPr>
          <w:rFonts w:hint="eastAsia" w:ascii="宋体"/>
          <w:b/>
          <w:bCs/>
          <w:color w:val="000000" w:themeColor="text1"/>
          <w:kern w:val="0"/>
          <w:sz w:val="24"/>
          <w14:textFill>
            <w14:solidFill>
              <w14:schemeClr w14:val="tx1"/>
            </w14:solidFill>
          </w14:textFill>
        </w:rPr>
        <w:t>、合同的变更与终止</w:t>
      </w:r>
    </w:p>
    <w:p w14:paraId="7FCFB6B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1、合同的变更与提前终止必须采用书面形式；</w:t>
      </w:r>
    </w:p>
    <w:p w14:paraId="1BC322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2、本合同规定的履行期限届满，合同自行终止；</w:t>
      </w:r>
    </w:p>
    <w:p w14:paraId="4A77F0C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3、在合同履行过程中，如遇不可抗的因素，双方协商以补充合同方式解决；</w:t>
      </w:r>
    </w:p>
    <w:p w14:paraId="2683B2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4、合同内容变更、提前终止必须提前一个月书面通知对方。</w:t>
      </w:r>
    </w:p>
    <w:p w14:paraId="0A464E91">
      <w:pPr>
        <w:keepNext w:val="0"/>
        <w:keepLines w:val="0"/>
        <w:pageBreakBefore w:val="0"/>
        <w:widowControl w:val="0"/>
        <w:tabs>
          <w:tab w:val="left" w:pos="840"/>
        </w:tabs>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十</w:t>
      </w:r>
      <w:r>
        <w:rPr>
          <w:rFonts w:hint="eastAsia" w:ascii="宋体"/>
          <w:b/>
          <w:bCs/>
          <w:color w:val="000000" w:themeColor="text1"/>
          <w:kern w:val="0"/>
          <w:sz w:val="24"/>
          <w:lang w:val="en-US" w:eastAsia="zh-CN"/>
          <w14:textFill>
            <w14:solidFill>
              <w14:schemeClr w14:val="tx1"/>
            </w14:solidFill>
          </w14:textFill>
        </w:rPr>
        <w:t>一</w:t>
      </w:r>
      <w:r>
        <w:rPr>
          <w:rFonts w:hint="eastAsia" w:ascii="宋体"/>
          <w:b/>
          <w:bCs/>
          <w:color w:val="000000" w:themeColor="text1"/>
          <w:kern w:val="0"/>
          <w:sz w:val="24"/>
          <w14:textFill>
            <w14:solidFill>
              <w14:schemeClr w14:val="tx1"/>
            </w14:solidFill>
          </w14:textFill>
        </w:rPr>
        <w:t>、合同解除</w:t>
      </w:r>
    </w:p>
    <w:p w14:paraId="3A3E06F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1、乙方不得把本项目转包给第三方，否则甲方单方无条件终止合同。</w:t>
      </w:r>
    </w:p>
    <w:p w14:paraId="25F399F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eastAsia="宋体"/>
          <w:color w:val="000000" w:themeColor="text1"/>
          <w:kern w:val="0"/>
          <w:sz w:val="24"/>
          <w:lang w:eastAsia="zh-CN"/>
          <w14:textFill>
            <w14:solidFill>
              <w14:schemeClr w14:val="tx1"/>
            </w14:solidFill>
          </w14:textFill>
        </w:rPr>
      </w:pPr>
      <w:r>
        <w:rPr>
          <w:rFonts w:hint="eastAsia" w:ascii="宋体"/>
          <w:color w:val="000000" w:themeColor="text1"/>
          <w:kern w:val="0"/>
          <w:sz w:val="24"/>
          <w14:textFill>
            <w14:solidFill>
              <w14:schemeClr w14:val="tx1"/>
            </w14:solidFill>
          </w14:textFill>
        </w:rPr>
        <w:t>2、乙方严重失职造成甲方档案的重大损失，甲方可以单方无条件解除合同，并按违约责任要求赔偿</w:t>
      </w:r>
      <w:r>
        <w:rPr>
          <w:rFonts w:hint="eastAsia" w:ascii="宋体"/>
          <w:color w:val="000000" w:themeColor="text1"/>
          <w:kern w:val="0"/>
          <w:sz w:val="24"/>
          <w:lang w:eastAsia="zh-CN"/>
          <w14:textFill>
            <w14:solidFill>
              <w14:schemeClr w14:val="tx1"/>
            </w14:solidFill>
          </w14:textFill>
        </w:rPr>
        <w:t>。</w:t>
      </w:r>
    </w:p>
    <w:p w14:paraId="04E2398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color w:val="000000" w:themeColor="text1"/>
          <w:kern w:val="0"/>
          <w:sz w:val="24"/>
          <w14:textFill>
            <w14:solidFill>
              <w14:schemeClr w14:val="tx1"/>
            </w14:solidFill>
          </w14:textFill>
        </w:rPr>
      </w:pPr>
      <w:r>
        <w:rPr>
          <w:rFonts w:hint="eastAsia" w:ascii="宋体"/>
          <w:color w:val="000000" w:themeColor="text1"/>
          <w:kern w:val="0"/>
          <w:sz w:val="24"/>
          <w:lang w:val="en-US" w:eastAsia="zh-CN"/>
          <w14:textFill>
            <w14:solidFill>
              <w14:schemeClr w14:val="tx1"/>
            </w14:solidFill>
          </w14:textFill>
        </w:rPr>
        <w:t>3</w:t>
      </w:r>
      <w:r>
        <w:rPr>
          <w:rFonts w:hint="eastAsia" w:ascii="宋体"/>
          <w:color w:val="000000" w:themeColor="text1"/>
          <w:kern w:val="0"/>
          <w:sz w:val="24"/>
          <w14:textFill>
            <w14:solidFill>
              <w14:schemeClr w14:val="tx1"/>
            </w14:solidFill>
          </w14:textFill>
        </w:rPr>
        <w:t>、乙方发生严重违约后，在乙方收到甲方书面通知一个月内仍不能采取补救措施及行动，甲方可以单方面解除合同。</w:t>
      </w:r>
    </w:p>
    <w:p w14:paraId="36810A37">
      <w:pPr>
        <w:keepNext w:val="0"/>
        <w:keepLines w:val="0"/>
        <w:pageBreakBefore w:val="0"/>
        <w:widowControl w:val="0"/>
        <w:tabs>
          <w:tab w:val="left" w:pos="840"/>
        </w:tabs>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十</w:t>
      </w:r>
      <w:r>
        <w:rPr>
          <w:rFonts w:hint="eastAsia" w:ascii="宋体"/>
          <w:b/>
          <w:bCs/>
          <w:color w:val="000000" w:themeColor="text1"/>
          <w:kern w:val="0"/>
          <w:sz w:val="24"/>
          <w:lang w:val="en-US" w:eastAsia="zh-CN"/>
          <w14:textFill>
            <w14:solidFill>
              <w14:schemeClr w14:val="tx1"/>
            </w14:solidFill>
          </w14:textFill>
        </w:rPr>
        <w:t>二</w:t>
      </w:r>
      <w:r>
        <w:rPr>
          <w:rFonts w:hint="eastAsia" w:ascii="宋体"/>
          <w:b/>
          <w:bCs/>
          <w:color w:val="000000" w:themeColor="text1"/>
          <w:kern w:val="0"/>
          <w:sz w:val="24"/>
          <w14:textFill>
            <w14:solidFill>
              <w14:schemeClr w14:val="tx1"/>
            </w14:solidFill>
          </w14:textFill>
        </w:rPr>
        <w:t>、违约责任</w:t>
      </w:r>
    </w:p>
    <w:p w14:paraId="1A6ED984">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1、如甲方未按合同规定期限向乙方付费，经乙方催讨后仍未支付时，对逾期未付的费用每逾期一天，按应付金额的</w:t>
      </w:r>
      <w:r>
        <w:rPr>
          <w:rFonts w:hint="eastAsia" w:ascii="宋体"/>
          <w:b/>
          <w:bCs/>
          <w:color w:val="000000" w:themeColor="text1"/>
          <w:kern w:val="0"/>
          <w:sz w:val="24"/>
          <w:lang w:eastAsia="zh-CN"/>
          <w14:textFill>
            <w14:solidFill>
              <w14:schemeClr w14:val="tx1"/>
            </w14:solidFill>
          </w14:textFill>
        </w:rPr>
        <w:t>千分之一</w:t>
      </w:r>
      <w:r>
        <w:rPr>
          <w:rFonts w:hint="eastAsia" w:ascii="宋体"/>
          <w:b/>
          <w:bCs/>
          <w:color w:val="000000" w:themeColor="text1"/>
          <w:kern w:val="0"/>
          <w:sz w:val="24"/>
          <w14:textFill>
            <w14:solidFill>
              <w14:schemeClr w14:val="tx1"/>
            </w14:solidFill>
          </w14:textFill>
        </w:rPr>
        <w:t>支付滞纳金。</w:t>
      </w:r>
    </w:p>
    <w:p w14:paraId="58E40E3B">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2、如乙方未能按合同要求进行服务（按考核标准）给甲方造成恶劣影响和损失时，甲方有权向乙方收取剩余合同金额</w:t>
      </w:r>
      <w:r>
        <w:rPr>
          <w:rFonts w:hint="eastAsia" w:ascii="宋体"/>
          <w:b/>
          <w:bCs/>
          <w:color w:val="000000" w:themeColor="text1"/>
          <w:kern w:val="0"/>
          <w:sz w:val="24"/>
          <w:lang w:eastAsia="zh-CN"/>
          <w14:textFill>
            <w14:solidFill>
              <w14:schemeClr w14:val="tx1"/>
            </w14:solidFill>
          </w14:textFill>
        </w:rPr>
        <w:t>千分之一</w:t>
      </w:r>
      <w:r>
        <w:rPr>
          <w:rFonts w:hint="eastAsia" w:ascii="宋体"/>
          <w:b/>
          <w:bCs/>
          <w:color w:val="000000" w:themeColor="text1"/>
          <w:kern w:val="0"/>
          <w:sz w:val="24"/>
          <w14:textFill>
            <w14:solidFill>
              <w14:schemeClr w14:val="tx1"/>
            </w14:solidFill>
          </w14:textFill>
        </w:rPr>
        <w:t>的违约金。</w:t>
      </w:r>
    </w:p>
    <w:p w14:paraId="7CB662A8">
      <w:pPr>
        <w:keepNext w:val="0"/>
        <w:keepLines w:val="0"/>
        <w:pageBreakBefore w:val="0"/>
        <w:widowControl w:val="0"/>
        <w:tabs>
          <w:tab w:val="left" w:pos="840"/>
        </w:tabs>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十</w:t>
      </w:r>
      <w:r>
        <w:rPr>
          <w:rFonts w:hint="eastAsia" w:ascii="宋体"/>
          <w:b/>
          <w:bCs/>
          <w:color w:val="000000" w:themeColor="text1"/>
          <w:kern w:val="0"/>
          <w:sz w:val="24"/>
          <w:lang w:val="en-US" w:eastAsia="zh-CN"/>
          <w14:textFill>
            <w14:solidFill>
              <w14:schemeClr w14:val="tx1"/>
            </w14:solidFill>
          </w14:textFill>
        </w:rPr>
        <w:t>三</w:t>
      </w:r>
      <w:r>
        <w:rPr>
          <w:rFonts w:hint="eastAsia" w:ascii="宋体"/>
          <w:b/>
          <w:bCs/>
          <w:color w:val="000000" w:themeColor="text1"/>
          <w:kern w:val="0"/>
          <w:sz w:val="24"/>
          <w14:textFill>
            <w14:solidFill>
              <w14:schemeClr w14:val="tx1"/>
            </w14:solidFill>
          </w14:textFill>
        </w:rPr>
        <w:t>、争议解决</w:t>
      </w:r>
    </w:p>
    <w:p w14:paraId="05907A2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lang w:val="en-US" w:eastAsia="zh-CN"/>
          <w14:textFill>
            <w14:solidFill>
              <w14:schemeClr w14:val="tx1"/>
            </w14:solidFill>
          </w14:textFill>
        </w:rPr>
        <w:t>1、</w:t>
      </w:r>
      <w:r>
        <w:rPr>
          <w:rFonts w:hint="eastAsia" w:ascii="宋体"/>
          <w:color w:val="000000" w:themeColor="text1"/>
          <w:kern w:val="0"/>
          <w:sz w:val="24"/>
          <w14:textFill>
            <w14:solidFill>
              <w14:schemeClr w14:val="tx1"/>
            </w14:solidFill>
          </w14:textFill>
        </w:rPr>
        <w:t>因本合同及合同有关事项发生的争议，由甲乙双方友好协商解决。协商不成时，可以向有关组织申请调解。合同一方或双方不愿调解或调解不成的，可以通过</w:t>
      </w:r>
      <w:r>
        <w:rPr>
          <w:rFonts w:hint="eastAsia" w:ascii="宋体"/>
          <w:color w:val="000000" w:themeColor="text1"/>
          <w:kern w:val="0"/>
          <w:sz w:val="24"/>
          <w:lang w:val="en-US" w:eastAsia="zh-CN"/>
          <w14:textFill>
            <w14:solidFill>
              <w14:schemeClr w14:val="tx1"/>
            </w14:solidFill>
          </w14:textFill>
        </w:rPr>
        <w:t>向合同履行所在地仲裁机构</w:t>
      </w:r>
      <w:r>
        <w:rPr>
          <w:rFonts w:hint="eastAsia" w:ascii="宋体"/>
          <w:color w:val="000000" w:themeColor="text1"/>
          <w:kern w:val="0"/>
          <w:sz w:val="24"/>
          <w14:textFill>
            <w14:solidFill>
              <w14:schemeClr w14:val="tx1"/>
            </w14:solidFill>
          </w14:textFill>
        </w:rPr>
        <w:t>仲裁或</w:t>
      </w:r>
      <w:r>
        <w:rPr>
          <w:rFonts w:hint="eastAsia" w:ascii="宋体"/>
          <w:color w:val="000000" w:themeColor="text1"/>
          <w:kern w:val="0"/>
          <w:sz w:val="24"/>
          <w:lang w:val="en-US" w:eastAsia="zh-CN"/>
          <w14:textFill>
            <w14:solidFill>
              <w14:schemeClr w14:val="tx1"/>
            </w14:solidFill>
          </w14:textFill>
        </w:rPr>
        <w:t>合同履行所在地人民</w:t>
      </w:r>
      <w:r>
        <w:rPr>
          <w:rFonts w:hint="eastAsia" w:ascii="宋体"/>
          <w:color w:val="000000" w:themeColor="text1"/>
          <w:kern w:val="0"/>
          <w:sz w:val="24"/>
          <w14:textFill>
            <w14:solidFill>
              <w14:schemeClr w14:val="tx1"/>
            </w14:solidFill>
          </w14:textFill>
        </w:rPr>
        <w:t>法院</w:t>
      </w:r>
      <w:r>
        <w:rPr>
          <w:rFonts w:hint="eastAsia" w:ascii="宋体"/>
          <w:color w:val="000000" w:themeColor="text1"/>
          <w:kern w:val="0"/>
          <w:sz w:val="24"/>
          <w:lang w:val="en-US" w:eastAsia="zh-CN"/>
          <w14:textFill>
            <w14:solidFill>
              <w14:schemeClr w14:val="tx1"/>
            </w14:solidFill>
          </w14:textFill>
        </w:rPr>
        <w:t>诉讼</w:t>
      </w:r>
      <w:r>
        <w:rPr>
          <w:rFonts w:hint="eastAsia" w:ascii="宋体"/>
          <w:color w:val="000000" w:themeColor="text1"/>
          <w:kern w:val="0"/>
          <w:sz w:val="24"/>
          <w14:textFill>
            <w14:solidFill>
              <w14:schemeClr w14:val="tx1"/>
            </w14:solidFill>
          </w14:textFill>
        </w:rPr>
        <w:t>的方式解决争议。</w:t>
      </w:r>
    </w:p>
    <w:p w14:paraId="5794AD9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lang w:val="en-US" w:eastAsia="zh-CN"/>
          <w14:textFill>
            <w14:solidFill>
              <w14:schemeClr w14:val="tx1"/>
            </w14:solidFill>
          </w14:textFill>
        </w:rPr>
        <w:t>2、</w:t>
      </w:r>
      <w:r>
        <w:rPr>
          <w:rFonts w:hint="eastAsia" w:ascii="宋体"/>
          <w:color w:val="000000" w:themeColor="text1"/>
          <w:kern w:val="0"/>
          <w:sz w:val="24"/>
          <w14:textFill>
            <w14:solidFill>
              <w14:schemeClr w14:val="tx1"/>
            </w14:solidFill>
          </w14:textFill>
        </w:rPr>
        <w:t>如甲乙双方有争议的事项不影响合同其他部分的履行，在争议解决期间，合同其他部分应当继续履行。</w:t>
      </w:r>
    </w:p>
    <w:p w14:paraId="7A12836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default" w:ascii="宋体" w:hAnsi="Times New Roman" w:eastAsia="宋体" w:cs="Times New Roman"/>
          <w:b/>
          <w:bCs/>
          <w:color w:val="000000" w:themeColor="text1"/>
          <w:kern w:val="0"/>
          <w:sz w:val="24"/>
          <w14:textFill>
            <w14:solidFill>
              <w14:schemeClr w14:val="tx1"/>
            </w14:solidFill>
          </w14:textFill>
        </w:rPr>
        <w:t>十</w:t>
      </w:r>
      <w:r>
        <w:rPr>
          <w:rFonts w:hint="eastAsia" w:ascii="宋体" w:cs="Times New Roman"/>
          <w:b/>
          <w:bCs/>
          <w:color w:val="000000" w:themeColor="text1"/>
          <w:kern w:val="0"/>
          <w:sz w:val="24"/>
          <w:lang w:val="en-US" w:eastAsia="zh-CN"/>
          <w14:textFill>
            <w14:solidFill>
              <w14:schemeClr w14:val="tx1"/>
            </w14:solidFill>
          </w14:textFill>
        </w:rPr>
        <w:t>四</w:t>
      </w:r>
      <w:r>
        <w:rPr>
          <w:rFonts w:hint="default" w:ascii="宋体" w:hAnsi="Times New Roman" w:eastAsia="宋体" w:cs="Times New Roman"/>
          <w:b/>
          <w:bCs/>
          <w:color w:val="000000" w:themeColor="text1"/>
          <w:kern w:val="0"/>
          <w:sz w:val="24"/>
          <w14:textFill>
            <w14:solidFill>
              <w14:schemeClr w14:val="tx1"/>
            </w14:solidFill>
          </w14:textFill>
        </w:rPr>
        <w:t>、其他条款</w:t>
      </w:r>
    </w:p>
    <w:p w14:paraId="339469F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b w:val="0"/>
          <w:bCs/>
          <w:color w:val="000000" w:themeColor="text1"/>
          <w:sz w:val="24"/>
          <w:lang w:val="en-US" w:eastAsia="zh-CN"/>
          <w14:textFill>
            <w14:solidFill>
              <w14:schemeClr w14:val="tx1"/>
            </w14:solidFill>
          </w14:textFill>
        </w:rPr>
      </w:pPr>
      <w:r>
        <w:rPr>
          <w:rFonts w:hint="default"/>
          <w:color w:val="000000" w:themeColor="text1"/>
          <w:kern w:val="0"/>
          <w:sz w:val="24"/>
          <w14:textFill>
            <w14:solidFill>
              <w14:schemeClr w14:val="tx1"/>
            </w14:solidFill>
          </w14:textFill>
        </w:rPr>
        <w:t>甲、乙双方签订保密协议，乙方与员工签订保密协议并交甲方备案</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w:t>
      </w:r>
    </w:p>
    <w:p w14:paraId="4D10A08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宋体" w:hAnsi="Times New Roman" w:eastAsia="宋体" w:cs="Times New Roman"/>
          <w:b/>
          <w:bCs/>
          <w:color w:val="000000" w:themeColor="text1"/>
          <w:kern w:val="0"/>
          <w:sz w:val="24"/>
          <w:lang w:val="en-US" w:eastAsia="zh-CN"/>
          <w14:textFill>
            <w14:solidFill>
              <w14:schemeClr w14:val="tx1"/>
            </w14:solidFill>
          </w14:textFill>
        </w:rPr>
      </w:pPr>
      <w:r>
        <w:rPr>
          <w:rFonts w:hint="eastAsia" w:ascii="宋体" w:hAnsi="Times New Roman" w:eastAsia="宋体" w:cs="Times New Roman"/>
          <w:b/>
          <w:bCs/>
          <w:color w:val="000000" w:themeColor="text1"/>
          <w:kern w:val="0"/>
          <w:sz w:val="24"/>
          <w:lang w:val="en-US" w:eastAsia="zh-CN"/>
          <w14:textFill>
            <w14:solidFill>
              <w14:schemeClr w14:val="tx1"/>
            </w14:solidFill>
          </w14:textFill>
        </w:rPr>
        <w:t>十</w:t>
      </w:r>
      <w:r>
        <w:rPr>
          <w:rFonts w:hint="eastAsia" w:ascii="宋体" w:cs="Times New Roman"/>
          <w:b/>
          <w:bCs/>
          <w:color w:val="000000" w:themeColor="text1"/>
          <w:kern w:val="0"/>
          <w:sz w:val="24"/>
          <w:lang w:val="en-US" w:eastAsia="zh-CN"/>
          <w14:textFill>
            <w14:solidFill>
              <w14:schemeClr w14:val="tx1"/>
            </w14:solidFill>
          </w14:textFill>
        </w:rPr>
        <w:t>五</w:t>
      </w:r>
      <w:r>
        <w:rPr>
          <w:rFonts w:hint="eastAsia" w:ascii="宋体" w:hAnsi="Times New Roman" w:eastAsia="宋体" w:cs="Times New Roman"/>
          <w:b/>
          <w:bCs/>
          <w:color w:val="000000" w:themeColor="text1"/>
          <w:kern w:val="0"/>
          <w:sz w:val="24"/>
          <w14:textFill>
            <w14:solidFill>
              <w14:schemeClr w14:val="tx1"/>
            </w14:solidFill>
          </w14:textFill>
        </w:rPr>
        <w:t>、合同生效</w:t>
      </w:r>
      <w:r>
        <w:rPr>
          <w:rFonts w:hint="eastAsia" w:ascii="宋体" w:hAnsi="Times New Roman" w:eastAsia="宋体" w:cs="Times New Roman"/>
          <w:b/>
          <w:bCs/>
          <w:color w:val="000000" w:themeColor="text1"/>
          <w:kern w:val="0"/>
          <w:sz w:val="24"/>
          <w:lang w:val="en-US" w:eastAsia="zh-CN"/>
          <w14:textFill>
            <w14:solidFill>
              <w14:schemeClr w14:val="tx1"/>
            </w14:solidFill>
          </w14:textFill>
        </w:rPr>
        <w:t>及其他</w:t>
      </w:r>
    </w:p>
    <w:p w14:paraId="224A4139">
      <w:pPr>
        <w:keepNext w:val="0"/>
        <w:keepLines w:val="0"/>
        <w:pageBreakBefore w:val="0"/>
        <w:widowControl w:val="0"/>
        <w:numPr>
          <w:ilvl w:val="0"/>
          <w:numId w:val="18"/>
        </w:numPr>
        <w:tabs>
          <w:tab w:val="left" w:pos="840"/>
        </w:tabs>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本项目货物如涉及柴油动力移动源，柴油动力移动源应当符合低排放要求。</w:t>
      </w:r>
    </w:p>
    <w:p w14:paraId="1F44EE7E">
      <w:pPr>
        <w:keepNext w:val="0"/>
        <w:keepLines w:val="0"/>
        <w:pageBreakBefore w:val="0"/>
        <w:widowControl w:val="0"/>
        <w:numPr>
          <w:ilvl w:val="0"/>
          <w:numId w:val="18"/>
        </w:numPr>
        <w:tabs>
          <w:tab w:val="left" w:pos="840"/>
        </w:tabs>
        <w:kinsoku/>
        <w:wordWrap/>
        <w:overflowPunct/>
        <w:topLinePunct w:val="0"/>
        <w:autoSpaceDE/>
        <w:autoSpaceDN/>
        <w:bidi w:val="0"/>
        <w:adjustRightInd/>
        <w:snapToGrid/>
        <w:spacing w:line="460" w:lineRule="exact"/>
        <w:ind w:left="0" w:leftChars="0" w:firstLine="482" w:firstLineChars="200"/>
        <w:jc w:val="left"/>
        <w:textAlignment w:val="auto"/>
        <w:rPr>
          <w:rFonts w:hint="eastAsia" w:ascii="Times New Roman" w:hAnsi="Times New Roman" w:eastAsia="宋体" w:cs="Times New Roman"/>
          <w:b/>
          <w:bCs w:val="0"/>
          <w:color w:val="000000" w:themeColor="text1"/>
          <w:sz w:val="24"/>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本合同一式</w:t>
      </w:r>
      <w:r>
        <w:rPr>
          <w:rFonts w:hint="eastAsia" w:ascii="Times New Roman" w:hAnsi="Times New Roman" w:eastAsia="宋体" w:cs="Times New Roman"/>
          <w:b/>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份，</w:t>
      </w:r>
      <w:r>
        <w:rPr>
          <w:rFonts w:hint="eastAsia" w:cs="Times New Roman"/>
          <w:b/>
          <w:bCs w:val="0"/>
          <w:color w:val="000000" w:themeColor="text1"/>
          <w:sz w:val="24"/>
          <w:lang w:val="en-US" w:eastAsia="zh-CN"/>
          <w14:textFill>
            <w14:solidFill>
              <w14:schemeClr w14:val="tx1"/>
            </w14:solidFill>
          </w14:textFill>
        </w:rPr>
        <w:t>甲方</w:t>
      </w: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和</w:t>
      </w:r>
      <w:r>
        <w:rPr>
          <w:rFonts w:hint="eastAsia" w:cs="Times New Roman"/>
          <w:b/>
          <w:bCs w:val="0"/>
          <w:color w:val="000000" w:themeColor="text1"/>
          <w:sz w:val="24"/>
          <w:lang w:val="en-US" w:eastAsia="zh-CN"/>
          <w14:textFill>
            <w14:solidFill>
              <w14:schemeClr w14:val="tx1"/>
            </w14:solidFill>
          </w14:textFill>
        </w:rPr>
        <w:t>乙方</w:t>
      </w: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各执</w:t>
      </w:r>
      <w:r>
        <w:rPr>
          <w:rFonts w:hint="eastAsia" w:cs="Times New Roman"/>
          <w:b/>
          <w:bCs w:val="0"/>
          <w:color w:val="000000" w:themeColor="text1"/>
          <w:sz w:val="24"/>
          <w:lang w:val="en-US" w:eastAsia="zh-CN"/>
          <w14:textFill>
            <w14:solidFill>
              <w14:schemeClr w14:val="tx1"/>
            </w14:solidFill>
          </w14:textFill>
        </w:rPr>
        <w:t>两</w:t>
      </w: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份，并由</w:t>
      </w:r>
      <w:r>
        <w:rPr>
          <w:rFonts w:hint="eastAsia" w:cs="Times New Roman"/>
          <w:b/>
          <w:bCs w:val="0"/>
          <w:color w:val="000000" w:themeColor="text1"/>
          <w:sz w:val="24"/>
          <w:lang w:val="en-US" w:eastAsia="zh-CN"/>
          <w14:textFill>
            <w14:solidFill>
              <w14:schemeClr w14:val="tx1"/>
            </w14:solidFill>
          </w14:textFill>
        </w:rPr>
        <w:t>甲方</w:t>
      </w: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在30日内做好政采云平台网上合同创建及备案。</w:t>
      </w:r>
    </w:p>
    <w:tbl>
      <w:tblPr>
        <w:tblStyle w:val="3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428B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7A0306FD">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甲方单位</w:t>
            </w:r>
          </w:p>
        </w:tc>
        <w:tc>
          <w:tcPr>
            <w:tcW w:w="2340" w:type="dxa"/>
            <w:tcBorders>
              <w:top w:val="single" w:color="auto" w:sz="4" w:space="0"/>
              <w:left w:val="single" w:color="auto" w:sz="4" w:space="0"/>
              <w:bottom w:val="single" w:color="auto" w:sz="4" w:space="0"/>
              <w:right w:val="single" w:color="auto" w:sz="4" w:space="0"/>
            </w:tcBorders>
            <w:noWrap/>
            <w:vAlign w:val="center"/>
          </w:tcPr>
          <w:p w14:paraId="4A403943">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（盖章）</w:t>
            </w:r>
          </w:p>
        </w:tc>
        <w:tc>
          <w:tcPr>
            <w:tcW w:w="1620" w:type="dxa"/>
            <w:tcBorders>
              <w:top w:val="single" w:color="auto" w:sz="4" w:space="0"/>
              <w:left w:val="single" w:color="auto" w:sz="4" w:space="0"/>
              <w:bottom w:val="single" w:color="auto" w:sz="4" w:space="0"/>
              <w:right w:val="single" w:color="auto" w:sz="4" w:space="0"/>
            </w:tcBorders>
            <w:noWrap/>
            <w:vAlign w:val="center"/>
          </w:tcPr>
          <w:p w14:paraId="284D59F8">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乙方单位</w:t>
            </w:r>
          </w:p>
        </w:tc>
        <w:tc>
          <w:tcPr>
            <w:tcW w:w="2700" w:type="dxa"/>
            <w:tcBorders>
              <w:top w:val="single" w:color="auto" w:sz="4" w:space="0"/>
              <w:left w:val="single" w:color="auto" w:sz="4" w:space="0"/>
              <w:bottom w:val="single" w:color="auto" w:sz="4" w:space="0"/>
              <w:right w:val="single" w:color="auto" w:sz="4" w:space="0"/>
            </w:tcBorders>
            <w:noWrap/>
            <w:vAlign w:val="center"/>
          </w:tcPr>
          <w:p w14:paraId="4435DDF2">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（盖章）</w:t>
            </w:r>
          </w:p>
        </w:tc>
      </w:tr>
      <w:tr w14:paraId="536A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5CDA5AA5">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代表签名</w:t>
            </w:r>
          </w:p>
        </w:tc>
        <w:tc>
          <w:tcPr>
            <w:tcW w:w="2340" w:type="dxa"/>
            <w:tcBorders>
              <w:top w:val="single" w:color="auto" w:sz="4" w:space="0"/>
              <w:left w:val="single" w:color="auto" w:sz="4" w:space="0"/>
              <w:bottom w:val="single" w:color="auto" w:sz="4" w:space="0"/>
              <w:right w:val="single" w:color="auto" w:sz="4" w:space="0"/>
            </w:tcBorders>
            <w:noWrap/>
            <w:vAlign w:val="center"/>
          </w:tcPr>
          <w:p w14:paraId="29E5D733">
            <w:pPr>
              <w:spacing w:line="360" w:lineRule="auto"/>
              <w:jc w:val="center"/>
              <w:rPr>
                <w:rFonts w:ascii="宋体"/>
                <w:color w:val="000000" w:themeColor="text1"/>
                <w:sz w:val="24"/>
                <w:szCs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68579A37">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代表签名</w:t>
            </w:r>
          </w:p>
        </w:tc>
        <w:tc>
          <w:tcPr>
            <w:tcW w:w="2700" w:type="dxa"/>
            <w:tcBorders>
              <w:top w:val="single" w:color="auto" w:sz="4" w:space="0"/>
              <w:left w:val="single" w:color="auto" w:sz="4" w:space="0"/>
              <w:bottom w:val="single" w:color="auto" w:sz="4" w:space="0"/>
              <w:right w:val="single" w:color="auto" w:sz="4" w:space="0"/>
            </w:tcBorders>
            <w:noWrap/>
            <w:vAlign w:val="center"/>
          </w:tcPr>
          <w:p w14:paraId="4ABF8B6A">
            <w:pPr>
              <w:spacing w:line="360" w:lineRule="auto"/>
              <w:jc w:val="center"/>
              <w:rPr>
                <w:rFonts w:ascii="宋体"/>
                <w:color w:val="000000" w:themeColor="text1"/>
                <w:sz w:val="24"/>
                <w:szCs w:val="24"/>
                <w:highlight w:val="none"/>
                <w14:textFill>
                  <w14:solidFill>
                    <w14:schemeClr w14:val="tx1"/>
                  </w14:solidFill>
                </w14:textFill>
              </w:rPr>
            </w:pPr>
          </w:p>
        </w:tc>
      </w:tr>
      <w:tr w14:paraId="590A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1AED4E34">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地址</w:t>
            </w:r>
          </w:p>
        </w:tc>
        <w:tc>
          <w:tcPr>
            <w:tcW w:w="2340" w:type="dxa"/>
            <w:tcBorders>
              <w:top w:val="single" w:color="auto" w:sz="4" w:space="0"/>
              <w:left w:val="single" w:color="auto" w:sz="4" w:space="0"/>
              <w:bottom w:val="single" w:color="auto" w:sz="4" w:space="0"/>
              <w:right w:val="single" w:color="auto" w:sz="4" w:space="0"/>
            </w:tcBorders>
            <w:noWrap/>
            <w:vAlign w:val="center"/>
          </w:tcPr>
          <w:p w14:paraId="277C87FE">
            <w:pPr>
              <w:spacing w:line="360" w:lineRule="auto"/>
              <w:jc w:val="center"/>
              <w:rPr>
                <w:rFonts w:ascii="宋体"/>
                <w:color w:val="000000" w:themeColor="text1"/>
                <w:sz w:val="24"/>
                <w:szCs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3F34D0BE">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地址</w:t>
            </w:r>
          </w:p>
        </w:tc>
        <w:tc>
          <w:tcPr>
            <w:tcW w:w="2700" w:type="dxa"/>
            <w:tcBorders>
              <w:top w:val="single" w:color="auto" w:sz="4" w:space="0"/>
              <w:left w:val="single" w:color="auto" w:sz="4" w:space="0"/>
              <w:bottom w:val="single" w:color="auto" w:sz="4" w:space="0"/>
              <w:right w:val="single" w:color="auto" w:sz="4" w:space="0"/>
            </w:tcBorders>
            <w:noWrap/>
            <w:vAlign w:val="center"/>
          </w:tcPr>
          <w:p w14:paraId="3514CBB8">
            <w:pPr>
              <w:spacing w:line="360" w:lineRule="auto"/>
              <w:jc w:val="center"/>
              <w:rPr>
                <w:rFonts w:ascii="宋体"/>
                <w:color w:val="000000" w:themeColor="text1"/>
                <w:sz w:val="24"/>
                <w:szCs w:val="24"/>
                <w:highlight w:val="none"/>
                <w14:textFill>
                  <w14:solidFill>
                    <w14:schemeClr w14:val="tx1"/>
                  </w14:solidFill>
                </w14:textFill>
              </w:rPr>
            </w:pPr>
          </w:p>
        </w:tc>
      </w:tr>
      <w:tr w14:paraId="4322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0ABECD40">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电话</w:t>
            </w:r>
          </w:p>
        </w:tc>
        <w:tc>
          <w:tcPr>
            <w:tcW w:w="2340" w:type="dxa"/>
            <w:tcBorders>
              <w:top w:val="single" w:color="auto" w:sz="4" w:space="0"/>
              <w:left w:val="single" w:color="auto" w:sz="4" w:space="0"/>
              <w:bottom w:val="single" w:color="auto" w:sz="4" w:space="0"/>
              <w:right w:val="single" w:color="auto" w:sz="4" w:space="0"/>
            </w:tcBorders>
            <w:noWrap/>
            <w:vAlign w:val="center"/>
          </w:tcPr>
          <w:p w14:paraId="67564280">
            <w:pPr>
              <w:spacing w:line="360" w:lineRule="auto"/>
              <w:jc w:val="center"/>
              <w:rPr>
                <w:rFonts w:ascii="宋体"/>
                <w:color w:val="000000" w:themeColor="text1"/>
                <w:sz w:val="24"/>
                <w:szCs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7F4E324A">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电话</w:t>
            </w:r>
          </w:p>
        </w:tc>
        <w:tc>
          <w:tcPr>
            <w:tcW w:w="2700" w:type="dxa"/>
            <w:tcBorders>
              <w:top w:val="single" w:color="auto" w:sz="4" w:space="0"/>
              <w:left w:val="single" w:color="auto" w:sz="4" w:space="0"/>
              <w:bottom w:val="single" w:color="auto" w:sz="4" w:space="0"/>
              <w:right w:val="single" w:color="auto" w:sz="4" w:space="0"/>
            </w:tcBorders>
            <w:noWrap/>
            <w:vAlign w:val="center"/>
          </w:tcPr>
          <w:p w14:paraId="64E7F011">
            <w:pPr>
              <w:spacing w:line="360" w:lineRule="auto"/>
              <w:jc w:val="center"/>
              <w:rPr>
                <w:rFonts w:ascii="宋体"/>
                <w:color w:val="000000" w:themeColor="text1"/>
                <w:sz w:val="24"/>
                <w:szCs w:val="24"/>
                <w:highlight w:val="none"/>
                <w14:textFill>
                  <w14:solidFill>
                    <w14:schemeClr w14:val="tx1"/>
                  </w14:solidFill>
                </w14:textFill>
              </w:rPr>
            </w:pPr>
          </w:p>
        </w:tc>
      </w:tr>
      <w:tr w14:paraId="5170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5B920110">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开户银行</w:t>
            </w:r>
          </w:p>
        </w:tc>
        <w:tc>
          <w:tcPr>
            <w:tcW w:w="2340" w:type="dxa"/>
            <w:tcBorders>
              <w:top w:val="single" w:color="auto" w:sz="4" w:space="0"/>
              <w:left w:val="single" w:color="auto" w:sz="4" w:space="0"/>
              <w:bottom w:val="single" w:color="auto" w:sz="4" w:space="0"/>
              <w:right w:val="single" w:color="auto" w:sz="4" w:space="0"/>
            </w:tcBorders>
            <w:noWrap/>
            <w:vAlign w:val="center"/>
          </w:tcPr>
          <w:p w14:paraId="502648D7">
            <w:pPr>
              <w:spacing w:line="360" w:lineRule="auto"/>
              <w:jc w:val="center"/>
              <w:rPr>
                <w:rFonts w:ascii="宋体"/>
                <w:color w:val="000000" w:themeColor="text1"/>
                <w:sz w:val="24"/>
                <w:szCs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72EAF338">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开户银行</w:t>
            </w:r>
          </w:p>
        </w:tc>
        <w:tc>
          <w:tcPr>
            <w:tcW w:w="2700" w:type="dxa"/>
            <w:tcBorders>
              <w:top w:val="single" w:color="auto" w:sz="4" w:space="0"/>
              <w:left w:val="single" w:color="auto" w:sz="4" w:space="0"/>
              <w:bottom w:val="single" w:color="auto" w:sz="4" w:space="0"/>
              <w:right w:val="single" w:color="auto" w:sz="4" w:space="0"/>
            </w:tcBorders>
            <w:noWrap/>
            <w:vAlign w:val="center"/>
          </w:tcPr>
          <w:p w14:paraId="352E78CE">
            <w:pPr>
              <w:spacing w:line="360" w:lineRule="auto"/>
              <w:jc w:val="center"/>
              <w:rPr>
                <w:rFonts w:ascii="宋体"/>
                <w:color w:val="000000" w:themeColor="text1"/>
                <w:sz w:val="24"/>
                <w:szCs w:val="24"/>
                <w:highlight w:val="none"/>
                <w14:textFill>
                  <w14:solidFill>
                    <w14:schemeClr w14:val="tx1"/>
                  </w14:solidFill>
                </w14:textFill>
              </w:rPr>
            </w:pPr>
          </w:p>
        </w:tc>
      </w:tr>
      <w:tr w14:paraId="17E9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23BEAFCC">
            <w:pPr>
              <w:spacing w:line="360" w:lineRule="auto"/>
              <w:jc w:val="center"/>
              <w:rPr>
                <w:rFonts w:hint="eastAsia" w:ascii="宋体" w:eastAsia="宋体"/>
                <w:color w:val="000000" w:themeColor="text1"/>
                <w:sz w:val="24"/>
                <w:szCs w:val="24"/>
                <w:highlight w:val="none"/>
                <w:lang w:eastAsia="zh-CN"/>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账号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3B1A3D9C">
            <w:pPr>
              <w:pStyle w:val="6"/>
              <w:ind w:left="0" w:leftChars="0" w:firstLine="0" w:firstLineChars="0"/>
              <w:rPr>
                <w:color w:val="000000" w:themeColor="text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4D2DD154">
            <w:pPr>
              <w:spacing w:line="360" w:lineRule="auto"/>
              <w:jc w:val="center"/>
              <w:rPr>
                <w:rFonts w:hint="eastAsia" w:ascii="宋体" w:eastAsia="宋体"/>
                <w:color w:val="000000" w:themeColor="text1"/>
                <w:sz w:val="24"/>
                <w:szCs w:val="24"/>
                <w:highlight w:val="none"/>
                <w:lang w:eastAsia="zh-CN"/>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账号</w:t>
            </w:r>
          </w:p>
        </w:tc>
        <w:tc>
          <w:tcPr>
            <w:tcW w:w="2700" w:type="dxa"/>
            <w:tcBorders>
              <w:top w:val="single" w:color="auto" w:sz="4" w:space="0"/>
              <w:left w:val="single" w:color="auto" w:sz="4" w:space="0"/>
              <w:bottom w:val="single" w:color="auto" w:sz="4" w:space="0"/>
              <w:right w:val="single" w:color="auto" w:sz="4" w:space="0"/>
            </w:tcBorders>
            <w:noWrap/>
            <w:vAlign w:val="center"/>
          </w:tcPr>
          <w:p w14:paraId="2727B2D3">
            <w:pPr>
              <w:spacing w:line="360" w:lineRule="auto"/>
              <w:jc w:val="center"/>
              <w:rPr>
                <w:rFonts w:ascii="宋体"/>
                <w:color w:val="000000" w:themeColor="text1"/>
                <w:sz w:val="24"/>
                <w:szCs w:val="24"/>
                <w:highlight w:val="none"/>
                <w14:textFill>
                  <w14:solidFill>
                    <w14:schemeClr w14:val="tx1"/>
                  </w14:solidFill>
                </w14:textFill>
              </w:rPr>
            </w:pPr>
          </w:p>
        </w:tc>
      </w:tr>
    </w:tbl>
    <w:p w14:paraId="4FC49FCA">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85CD76F">
      <w:pPr>
        <w:pStyle w:val="2"/>
        <w:jc w:val="center"/>
        <w:rPr>
          <w:rFonts w:cs="Times New Roman"/>
          <w:color w:val="000000" w:themeColor="text1"/>
          <w:sz w:val="36"/>
          <w:szCs w:val="36"/>
          <w:highlight w:val="none"/>
          <w14:textFill>
            <w14:solidFill>
              <w14:schemeClr w14:val="tx1"/>
            </w14:solidFill>
          </w14:textFill>
        </w:rPr>
      </w:pPr>
      <w:bookmarkStart w:id="90" w:name="_Toc7690"/>
      <w:bookmarkStart w:id="91" w:name="_Toc28180"/>
      <w:bookmarkStart w:id="92" w:name="_Toc4669"/>
      <w:r>
        <w:rPr>
          <w:rFonts w:hint="eastAsia" w:cs="宋体"/>
          <w:color w:val="000000" w:themeColor="text1"/>
          <w:sz w:val="36"/>
          <w:szCs w:val="36"/>
          <w:highlight w:val="none"/>
          <w14:textFill>
            <w14:solidFill>
              <w14:schemeClr w14:val="tx1"/>
            </w14:solidFill>
          </w14:textFill>
        </w:rPr>
        <w:t>第六部分</w:t>
      </w:r>
      <w:r>
        <w:rPr>
          <w:color w:val="000000" w:themeColor="text1"/>
          <w:sz w:val="36"/>
          <w:szCs w:val="36"/>
          <w:highlight w:val="none"/>
          <w14:textFill>
            <w14:solidFill>
              <w14:schemeClr w14:val="tx1"/>
            </w14:solidFill>
          </w14:textFill>
        </w:rPr>
        <w:t xml:space="preserve"> </w:t>
      </w:r>
      <w:r>
        <w:rPr>
          <w:rFonts w:hint="eastAsia" w:cs="宋体"/>
          <w:color w:val="000000" w:themeColor="text1"/>
          <w:sz w:val="36"/>
          <w:szCs w:val="36"/>
          <w:highlight w:val="none"/>
          <w14:textFill>
            <w14:solidFill>
              <w14:schemeClr w14:val="tx1"/>
            </w14:solidFill>
          </w14:textFill>
        </w:rPr>
        <w:t>应提交的有关格式范例</w:t>
      </w:r>
      <w:bookmarkEnd w:id="90"/>
      <w:bookmarkEnd w:id="91"/>
      <w:bookmarkEnd w:id="92"/>
    </w:p>
    <w:p w14:paraId="6277131D">
      <w:pPr>
        <w:rPr>
          <w:color w:val="000000" w:themeColor="text1"/>
          <w:highlight w:val="none"/>
          <w14:textFill>
            <w14:solidFill>
              <w14:schemeClr w14:val="tx1"/>
            </w14:solidFill>
          </w14:textFill>
        </w:rPr>
      </w:pPr>
    </w:p>
    <w:p w14:paraId="587B6C26">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供应商按照以下格式编制响应文件，</w:t>
      </w:r>
      <w:r>
        <w:rPr>
          <w:rFonts w:hint="eastAsia" w:ascii="宋体" w:hAnsi="宋体" w:cs="宋体"/>
          <w:b/>
          <w:bCs/>
          <w:color w:val="000000" w:themeColor="text1"/>
          <w:sz w:val="24"/>
          <w:szCs w:val="24"/>
          <w:highlight w:val="none"/>
          <w14:textFill>
            <w14:solidFill>
              <w14:schemeClr w14:val="tx1"/>
            </w14:solidFill>
          </w14:textFill>
        </w:rPr>
        <w:t>“资格文件”、“商务技术文件”、“报价文件”须分</w:t>
      </w: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个</w:t>
      </w:r>
      <w:r>
        <w:rPr>
          <w:rFonts w:ascii="宋体" w:hAnsi="宋体" w:cs="宋体"/>
          <w:b/>
          <w:bCs/>
          <w:color w:val="000000" w:themeColor="text1"/>
          <w:sz w:val="24"/>
          <w:szCs w:val="24"/>
          <w:highlight w:val="none"/>
          <w14:textFill>
            <w14:solidFill>
              <w14:schemeClr w14:val="tx1"/>
            </w14:solidFill>
          </w14:textFill>
        </w:rPr>
        <w:t>PDF</w:t>
      </w:r>
      <w:r>
        <w:rPr>
          <w:rFonts w:hint="eastAsia" w:ascii="宋体" w:hAnsi="宋体" w:cs="宋体"/>
          <w:b/>
          <w:bCs/>
          <w:color w:val="000000" w:themeColor="text1"/>
          <w:sz w:val="24"/>
          <w:szCs w:val="24"/>
          <w:highlight w:val="none"/>
          <w14:textFill>
            <w14:solidFill>
              <w14:schemeClr w14:val="tx1"/>
            </w14:solidFill>
          </w14:textFill>
        </w:rPr>
        <w:t>格式分别导入。</w:t>
      </w:r>
    </w:p>
    <w:p w14:paraId="34A6361F">
      <w:pP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此格式内容仅为参考模板，具体内容供应商应根据磋商文件要求进行调整。未按以下格式编制响应文件或因格式不规范、页码不清等原因引发的一切后果由供应商自行承担。</w:t>
      </w:r>
    </w:p>
    <w:p w14:paraId="3037E730">
      <w:pPr>
        <w:spacing w:line="360" w:lineRule="auto"/>
        <w:jc w:val="center"/>
        <w:rPr>
          <w:rFonts w:ascii="宋体"/>
          <w:b/>
          <w:bCs/>
          <w:color w:val="000000" w:themeColor="text1"/>
          <w:kern w:val="0"/>
          <w:sz w:val="36"/>
          <w:szCs w:val="36"/>
          <w:highlight w:val="none"/>
          <w14:textFill>
            <w14:solidFill>
              <w14:schemeClr w14:val="tx1"/>
            </w14:solidFill>
          </w14:textFill>
        </w:rPr>
      </w:pPr>
      <w:r>
        <w:rPr>
          <w:rFonts w:ascii="宋体"/>
          <w:b/>
          <w:bCs/>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kern w:val="0"/>
          <w:sz w:val="36"/>
          <w:szCs w:val="36"/>
          <w:highlight w:val="none"/>
          <w14:textFill>
            <w14:solidFill>
              <w14:schemeClr w14:val="tx1"/>
            </w14:solidFill>
          </w14:textFill>
        </w:rPr>
        <w:t>资格文件部分</w:t>
      </w:r>
    </w:p>
    <w:p w14:paraId="19337E24">
      <w:pPr>
        <w:spacing w:line="360" w:lineRule="auto"/>
        <w:jc w:val="center"/>
        <w:rPr>
          <w:rFonts w:ascii="宋体"/>
          <w:b/>
          <w:bCs/>
          <w:color w:val="000000" w:themeColor="text1"/>
          <w:kern w:val="0"/>
          <w:sz w:val="36"/>
          <w:szCs w:val="36"/>
          <w:highlight w:val="none"/>
          <w14:textFill>
            <w14:solidFill>
              <w14:schemeClr w14:val="tx1"/>
            </w14:solidFill>
          </w14:textFill>
        </w:rPr>
      </w:pPr>
    </w:p>
    <w:p w14:paraId="682269B6">
      <w:pPr>
        <w:spacing w:line="360" w:lineRule="auto"/>
        <w:jc w:val="center"/>
        <w:rPr>
          <w:rFonts w:ascii="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目录</w:t>
      </w:r>
    </w:p>
    <w:p w14:paraId="5EB8C19A">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）法定代表人授权书；（格式见附件）</w:t>
      </w:r>
    </w:p>
    <w:p w14:paraId="52FDFB5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（2）营业执照</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或事业法人登记证或其他工商等登记证明材料</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复印件、税务登记证</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或其它缴纳证明材料</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491B28DF">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38EFE9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（3）具有履行合同所必需的产品和专业技术能力的承诺函；</w:t>
      </w:r>
    </w:p>
    <w:p w14:paraId="65F819FF">
      <w:pPr>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（4）投标人承诺函（格式见附件）</w:t>
      </w:r>
      <w:r>
        <w:rPr>
          <w:rFonts w:hint="eastAsia" w:ascii="宋体" w:hAnsi="宋体" w:cs="宋体"/>
          <w:color w:val="000000" w:themeColor="text1"/>
          <w:sz w:val="24"/>
          <w:szCs w:val="24"/>
          <w:lang w:eastAsia="zh-CN"/>
          <w14:textFill>
            <w14:solidFill>
              <w14:schemeClr w14:val="tx1"/>
            </w14:solidFill>
          </w14:textFill>
        </w:rPr>
        <w:t>；</w:t>
      </w:r>
    </w:p>
    <w:p w14:paraId="06B528D0">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）中小企业声明函（格式见附件）；</w:t>
      </w:r>
    </w:p>
    <w:p w14:paraId="46C7B197">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）残疾人福利性单位声明函(如有)（格式见附件）；</w:t>
      </w:r>
    </w:p>
    <w:p w14:paraId="606C4A5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）监狱企业证明文件(如有)（格式见附件）。</w:t>
      </w:r>
    </w:p>
    <w:p w14:paraId="5F4C3AF7">
      <w:pPr>
        <w:pStyle w:val="14"/>
        <w:ind w:firstLine="486"/>
        <w:rPr>
          <w:rFonts w:cs="Times New Roman"/>
          <w:color w:val="000000" w:themeColor="text1"/>
          <w:highlight w:val="none"/>
          <w14:textFill>
            <w14:solidFill>
              <w14:schemeClr w14:val="tx1"/>
            </w14:solidFill>
          </w14:textFill>
        </w:rPr>
      </w:pPr>
    </w:p>
    <w:p w14:paraId="74EF7EB1">
      <w:pPr>
        <w:pStyle w:val="14"/>
        <w:ind w:firstLine="486"/>
        <w:rPr>
          <w:rFonts w:cs="Times New Roman"/>
          <w:color w:val="000000" w:themeColor="text1"/>
          <w:highlight w:val="none"/>
          <w14:textFill>
            <w14:solidFill>
              <w14:schemeClr w14:val="tx1"/>
            </w14:solidFill>
          </w14:textFill>
        </w:rPr>
      </w:pPr>
    </w:p>
    <w:p w14:paraId="567D78C9">
      <w:pPr>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bookmarkStart w:id="93" w:name="_Toc24699"/>
    </w:p>
    <w:p w14:paraId="1848D5DD">
      <w:pPr>
        <w:rPr>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附件一：</w:t>
      </w:r>
    </w:p>
    <w:p w14:paraId="62825A0E">
      <w:pP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法定代表人授权书</w:t>
      </w:r>
      <w:bookmarkEnd w:id="93"/>
    </w:p>
    <w:p w14:paraId="75DCE60A">
      <w:pPr>
        <w:pStyle w:val="6"/>
        <w:spacing w:line="360" w:lineRule="auto"/>
        <w:rPr>
          <w:rFonts w:ascii="宋体"/>
          <w:color w:val="000000" w:themeColor="text1"/>
          <w:highlight w:val="none"/>
          <w14:textFill>
            <w14:solidFill>
              <w14:schemeClr w14:val="tx1"/>
            </w14:solidFill>
          </w14:textFill>
        </w:rPr>
      </w:pPr>
    </w:p>
    <w:p w14:paraId="00FD517B">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绍兴市上虞区水利局</w:t>
      </w:r>
      <w:r>
        <w:rPr>
          <w:rFonts w:hint="eastAsia" w:ascii="宋体" w:hAnsi="宋体" w:cs="宋体"/>
          <w:color w:val="000000" w:themeColor="text1"/>
          <w:sz w:val="24"/>
          <w:szCs w:val="24"/>
          <w:highlight w:val="none"/>
          <w14:textFill>
            <w14:solidFill>
              <w14:schemeClr w14:val="tx1"/>
            </w14:solidFill>
          </w14:textFill>
        </w:rPr>
        <w:t>：</w:t>
      </w:r>
    </w:p>
    <w:p w14:paraId="18BA9096">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浙江建科工程项目管理有限公司</w:t>
      </w:r>
      <w:r>
        <w:rPr>
          <w:rFonts w:hint="eastAsia" w:ascii="宋体" w:hAnsi="宋体" w:cs="宋体"/>
          <w:color w:val="000000" w:themeColor="text1"/>
          <w:sz w:val="24"/>
          <w:szCs w:val="24"/>
          <w:highlight w:val="none"/>
          <w14:textFill>
            <w14:solidFill>
              <w14:schemeClr w14:val="tx1"/>
            </w14:solidFill>
          </w14:textFill>
        </w:rPr>
        <w:t>：</w:t>
      </w:r>
    </w:p>
    <w:p w14:paraId="43D12205">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（供应商全称）</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授权</w:t>
      </w:r>
      <w:r>
        <w:rPr>
          <w:rFonts w:hint="eastAsia" w:ascii="宋体" w:hAnsi="宋体" w:cs="宋体"/>
          <w:color w:val="000000" w:themeColor="text1"/>
          <w:sz w:val="24"/>
          <w:szCs w:val="24"/>
          <w:highlight w:val="none"/>
          <w:u w:val="single"/>
          <w14:textFill>
            <w14:solidFill>
              <w14:schemeClr w14:val="tx1"/>
            </w14:solidFill>
          </w14:textFill>
        </w:rPr>
        <w:t>（授权代表名称）</w:t>
      </w:r>
      <w:r>
        <w:rPr>
          <w:rFonts w:hint="eastAsia" w:ascii="宋体" w:hAnsi="宋体" w:cs="宋体"/>
          <w:color w:val="000000" w:themeColor="text1"/>
          <w:sz w:val="24"/>
          <w:szCs w:val="24"/>
          <w:highlight w:val="none"/>
          <w14:textFill>
            <w14:solidFill>
              <w14:schemeClr w14:val="tx1"/>
            </w14:solidFill>
          </w14:textFill>
        </w:rPr>
        <w:t>为授权代表，参加贵处组织的</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w:t>
      </w:r>
      <w:r>
        <w:rPr>
          <w:rFonts w:hint="eastAsia" w:ascii="宋体" w:hAnsi="宋体" w:cs="宋体"/>
          <w:color w:val="000000" w:themeColor="text1"/>
          <w:sz w:val="24"/>
          <w:szCs w:val="24"/>
          <w:highlight w:val="none"/>
          <w:u w:val="single"/>
          <w14:textFill>
            <w14:solidFill>
              <w14:schemeClr w14:val="tx1"/>
            </w14:solidFill>
          </w14:textFill>
        </w:rPr>
        <w:t>（括号内填写招标编号）</w:t>
      </w:r>
      <w:r>
        <w:rPr>
          <w:rFonts w:hint="eastAsia" w:ascii="宋体" w:hAnsi="宋体" w:cs="宋体"/>
          <w:color w:val="000000" w:themeColor="text1"/>
          <w:sz w:val="24"/>
          <w:szCs w:val="24"/>
          <w:highlight w:val="none"/>
          <w14:textFill>
            <w14:solidFill>
              <w14:schemeClr w14:val="tx1"/>
            </w14:solidFill>
          </w14:textFill>
        </w:rPr>
        <w:t>，授权处理招投标活动中的一切事宜。</w:t>
      </w:r>
    </w:p>
    <w:p w14:paraId="4A00B0FA">
      <w:pPr>
        <w:spacing w:line="360" w:lineRule="auto"/>
        <w:ind w:firstLine="480" w:firstLineChars="200"/>
        <w:rPr>
          <w:rFonts w:ascii="宋体"/>
          <w:color w:val="000000" w:themeColor="text1"/>
          <w:sz w:val="24"/>
          <w:szCs w:val="24"/>
          <w:highlight w:val="none"/>
          <w14:textFill>
            <w14:solidFill>
              <w14:schemeClr w14:val="tx1"/>
            </w14:solidFill>
          </w14:textFill>
        </w:rPr>
      </w:pPr>
    </w:p>
    <w:p w14:paraId="11837529">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法定代表人签字：</w:t>
      </w:r>
    </w:p>
    <w:p w14:paraId="691B9F6B">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供应商全称：（盖章）</w:t>
      </w:r>
    </w:p>
    <w:p w14:paraId="55D45BD0">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14:paraId="50146B62">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w:t>
      </w:r>
    </w:p>
    <w:p w14:paraId="4DB3C624">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授权代表姓名：</w:t>
      </w:r>
    </w:p>
    <w:p w14:paraId="3E8A9E77">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p>
    <w:p w14:paraId="77AC03B3">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详细通讯地址：</w:t>
      </w:r>
    </w:p>
    <w:p w14:paraId="65F08516">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p w14:paraId="2B29188E">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p w14:paraId="72527D6B">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p w14:paraId="139467B4">
      <w:pPr>
        <w:pStyle w:val="17"/>
        <w:snapToGrid w:val="0"/>
        <w:spacing w:line="360" w:lineRule="auto"/>
        <w:rPr>
          <w:rFonts w:hAnsi="宋体" w:cs="Times New Roman"/>
          <w:color w:val="000000" w:themeColor="text1"/>
          <w:sz w:val="24"/>
          <w:szCs w:val="24"/>
          <w:highlight w:val="none"/>
          <w14:textFill>
            <w14:solidFill>
              <w14:schemeClr w14:val="tx1"/>
            </w14:solidFill>
          </w14:textFill>
        </w:rPr>
      </w:pPr>
    </w:p>
    <w:p w14:paraId="7E3D0027">
      <w:pPr>
        <w:pStyle w:val="17"/>
        <w:snapToGrid w:val="0"/>
        <w:spacing w:line="360" w:lineRule="auto"/>
        <w:rPr>
          <w:rFonts w:hAnsi="宋体" w:cs="Times New Roman"/>
          <w:color w:val="000000" w:themeColor="text1"/>
          <w:sz w:val="24"/>
          <w:szCs w:val="24"/>
          <w:highlight w:val="none"/>
          <w14:textFill>
            <w14:solidFill>
              <w14:schemeClr w14:val="tx1"/>
            </w14:solidFill>
          </w14:textFill>
        </w:rPr>
      </w:pPr>
    </w:p>
    <w:p w14:paraId="147936F3">
      <w:pPr>
        <w:pStyle w:val="17"/>
        <w:snapToGrid w:val="0"/>
        <w:spacing w:line="360" w:lineRule="auto"/>
        <w:rPr>
          <w:rFonts w:hAnsi="宋体" w:cs="Times New Roman"/>
          <w:color w:val="000000" w:themeColor="text1"/>
          <w:sz w:val="24"/>
          <w:szCs w:val="24"/>
          <w:highlight w:val="none"/>
          <w14:textFill>
            <w14:solidFill>
              <w14:schemeClr w14:val="tx1"/>
            </w14:solidFill>
          </w14:textFill>
        </w:rPr>
      </w:pPr>
    </w:p>
    <w:p w14:paraId="03F00A31">
      <w:pP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附：授权代表身份证复印件（正反面）</w:t>
      </w:r>
    </w:p>
    <w:p w14:paraId="13C2322D">
      <w:pPr>
        <w:spacing w:line="360" w:lineRule="auto"/>
        <w:rPr>
          <w:rFonts w:ascii="宋体"/>
          <w:b/>
          <w:bCs/>
          <w:color w:val="000000" w:themeColor="text1"/>
          <w:sz w:val="24"/>
          <w:szCs w:val="24"/>
          <w:highlight w:val="none"/>
          <w14:textFill>
            <w14:solidFill>
              <w14:schemeClr w14:val="tx1"/>
            </w14:solidFill>
          </w14:textFill>
        </w:rPr>
      </w:pPr>
    </w:p>
    <w:p w14:paraId="6E275865">
      <w:pPr>
        <w:pStyle w:val="14"/>
        <w:ind w:firstLine="486"/>
        <w:rPr>
          <w:rFonts w:cs="Times New Roman"/>
          <w:color w:val="000000" w:themeColor="text1"/>
          <w:highlight w:val="none"/>
          <w14:textFill>
            <w14:solidFill>
              <w14:schemeClr w14:val="tx1"/>
            </w14:solidFill>
          </w14:textFill>
        </w:rPr>
      </w:pPr>
    </w:p>
    <w:p w14:paraId="39C2F7F5">
      <w:pPr>
        <w:snapToGrid w:val="0"/>
        <w:spacing w:before="50" w:after="167" w:afterLines="50"/>
        <w:jc w:val="left"/>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pPr>
      <w:r>
        <w:rPr>
          <w:rFonts w:ascii="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附件二：</w:t>
      </w:r>
    </w:p>
    <w:p w14:paraId="01ECEE1F">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 标</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lang w:eastAsia="zh-CN"/>
          <w14:textFill>
            <w14:solidFill>
              <w14:schemeClr w14:val="tx1"/>
            </w14:solidFill>
          </w14:textFill>
        </w:rPr>
        <w:t>人</w:t>
      </w: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eastAsia="zh-CN"/>
          <w14:textFill>
            <w14:solidFill>
              <w14:schemeClr w14:val="tx1"/>
            </w14:solidFill>
          </w14:textFill>
        </w:rPr>
        <w:t>承</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eastAsia="zh-CN"/>
          <w14:textFill>
            <w14:solidFill>
              <w14:schemeClr w14:val="tx1"/>
            </w14:solidFill>
          </w14:textFill>
        </w:rPr>
        <w:t>诺</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函</w:t>
      </w:r>
    </w:p>
    <w:p w14:paraId="7F5255A2">
      <w:pPr>
        <w:pStyle w:val="25"/>
        <w:rPr>
          <w:color w:val="000000" w:themeColor="text1"/>
          <w:highlight w:val="none"/>
          <w14:textFill>
            <w14:solidFill>
              <w14:schemeClr w14:val="tx1"/>
            </w14:solidFill>
          </w14:textFill>
        </w:rPr>
      </w:pPr>
    </w:p>
    <w:p w14:paraId="5E7A0548">
      <w:pPr>
        <w:rPr>
          <w:color w:val="000000" w:themeColor="text1"/>
          <w:highlight w:val="none"/>
          <w14:textFill>
            <w14:solidFill>
              <w14:schemeClr w14:val="tx1"/>
            </w14:solidFill>
          </w14:textFill>
        </w:rPr>
      </w:pPr>
    </w:p>
    <w:p w14:paraId="486E78E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绍兴市上虞区水利局</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194267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浙江建科工程项目管理有限公司</w:t>
      </w:r>
      <w:r>
        <w:rPr>
          <w:rFonts w:hint="eastAsia" w:ascii="宋体" w:hAnsi="宋体" w:eastAsia="宋体" w:cs="宋体"/>
          <w:color w:val="000000" w:themeColor="text1"/>
          <w:sz w:val="24"/>
          <w:highlight w:val="none"/>
          <w14:textFill>
            <w14:solidFill>
              <w14:schemeClr w14:val="tx1"/>
            </w14:solidFill>
          </w14:textFill>
        </w:rPr>
        <w:t>：</w:t>
      </w:r>
    </w:p>
    <w:p w14:paraId="7B8EA30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A66806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w:t>
      </w:r>
      <w:r>
        <w:rPr>
          <w:rFonts w:hint="eastAsia" w:ascii="宋体" w:hAnsi="宋体" w:eastAsia="宋体" w:cs="宋体"/>
          <w:color w:val="000000" w:themeColor="text1"/>
          <w:sz w:val="24"/>
          <w:highlight w:val="none"/>
          <w:u w:val="single"/>
          <w14:textFill>
            <w14:solidFill>
              <w14:schemeClr w14:val="tx1"/>
            </w14:solidFill>
          </w14:textFill>
        </w:rPr>
        <w:t>（姓名）</w:t>
      </w: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的法定代表人，我方愿意参加贵方组织的</w:t>
      </w:r>
      <w:r>
        <w:rPr>
          <w:rFonts w:hint="eastAsia" w:ascii="宋体" w:hAnsi="宋体" w:eastAsia="宋体" w:cs="宋体"/>
          <w:color w:val="000000" w:themeColor="text1"/>
          <w:sz w:val="24"/>
          <w:highlight w:val="none"/>
          <w:u w:val="single"/>
          <w14:textFill>
            <w14:solidFill>
              <w14:schemeClr w14:val="tx1"/>
            </w14:solidFill>
          </w14:textFill>
        </w:rPr>
        <w:t>（招标项目名称）（编号为）</w:t>
      </w:r>
      <w:r>
        <w:rPr>
          <w:rFonts w:hint="eastAsia" w:ascii="宋体" w:hAnsi="宋体" w:eastAsia="宋体" w:cs="宋体"/>
          <w:color w:val="000000" w:themeColor="text1"/>
          <w:sz w:val="24"/>
          <w:highlight w:val="none"/>
          <w14:textFill>
            <w14:solidFill>
              <w14:schemeClr w14:val="tx1"/>
            </w14:solidFill>
          </w14:textFill>
        </w:rPr>
        <w:t>的投标，为此，我方就本次投标有关事项郑重</w:t>
      </w:r>
      <w:r>
        <w:rPr>
          <w:rFonts w:hint="eastAsia" w:ascii="宋体" w:hAnsi="宋体" w:eastAsia="宋体" w:cs="宋体"/>
          <w:color w:val="000000" w:themeColor="text1"/>
          <w:sz w:val="24"/>
          <w:highlight w:val="none"/>
          <w:lang w:eastAsia="zh-CN"/>
          <w14:textFill>
            <w14:solidFill>
              <w14:schemeClr w14:val="tx1"/>
            </w14:solidFill>
          </w14:textFill>
        </w:rPr>
        <w:t>承诺</w:t>
      </w:r>
      <w:r>
        <w:rPr>
          <w:rFonts w:hint="eastAsia" w:ascii="宋体" w:hAnsi="宋体" w:eastAsia="宋体" w:cs="宋体"/>
          <w:color w:val="000000" w:themeColor="text1"/>
          <w:sz w:val="24"/>
          <w:highlight w:val="none"/>
          <w14:textFill>
            <w14:solidFill>
              <w14:schemeClr w14:val="tx1"/>
            </w14:solidFill>
          </w14:textFill>
        </w:rPr>
        <w:t>如下：</w:t>
      </w:r>
    </w:p>
    <w:p w14:paraId="58CC52E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1、我方已详细审查全部招标文件，同意招标文件的各项要求。</w:t>
      </w:r>
    </w:p>
    <w:p w14:paraId="52FDC12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2、我方向贵方提交的所有投标文件、资料都是准确的和真实的。</w:t>
      </w:r>
    </w:p>
    <w:p w14:paraId="05DA0D8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3、若中标，我方将按招标文件规定履行合同责任和义务。</w:t>
      </w:r>
    </w:p>
    <w:p w14:paraId="172BF2F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4、我方不是采购人的附属机构；在获知本项目采购信息后，与采购人聘请的为此项目提供咨询服务的公司及其附属机构没有任何联系。</w:t>
      </w:r>
    </w:p>
    <w:p w14:paraId="1EF0182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5、投标文件自开标日起有效期为90天。</w:t>
      </w:r>
    </w:p>
    <w:p w14:paraId="64514B0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6、我方参与本项目前3年内的经营活动中没有重大违法记录；</w:t>
      </w:r>
    </w:p>
    <w:p w14:paraId="7E406F1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14:paraId="53264755">
      <w:pPr>
        <w:pStyle w:val="58"/>
        <w:numPr>
          <w:ilvl w:val="0"/>
          <w:numId w:val="0"/>
        </w:numPr>
        <w:spacing w:before="0"/>
        <w:ind w:firstLine="480" w:firstLineChars="200"/>
        <w:jc w:val="left"/>
        <w:rPr>
          <w:rFonts w:hint="eastAsia" w:ascii="宋体" w:hAnsi="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cs="宋体"/>
          <w:color w:val="000000" w:themeColor="text1"/>
          <w:szCs w:val="24"/>
          <w:highlight w:val="none"/>
          <w:lang w:val="en-US" w:eastAsia="zh-CN"/>
          <w14:textFill>
            <w14:solidFill>
              <w14:schemeClr w14:val="tx1"/>
            </w14:solidFill>
          </w14:textFill>
        </w:rPr>
        <w:t>具有良好的商业信誉和健全的财务会计制度；</w:t>
      </w:r>
    </w:p>
    <w:p w14:paraId="317EE1F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9、具有依法缴纳税收和社会保障资金的良好记录</w:t>
      </w:r>
      <w:r>
        <w:rPr>
          <w:rFonts w:hint="eastAsia" w:ascii="宋体" w:hAnsi="宋体" w:eastAsia="宋体" w:cs="宋体"/>
          <w:color w:val="000000" w:themeColor="text1"/>
          <w:sz w:val="24"/>
          <w:highlight w:val="none"/>
          <w14:textFill>
            <w14:solidFill>
              <w14:schemeClr w14:val="tx1"/>
            </w14:solidFill>
          </w14:textFill>
        </w:rPr>
        <w:t>；</w:t>
      </w:r>
    </w:p>
    <w:p w14:paraId="78F7BF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以上事项如有虚假或隐瞒，我方愿意承担一切后果，并不再寻求任何旨在减轻或免除法律责任的辩解。</w:t>
      </w:r>
    </w:p>
    <w:p w14:paraId="3A0FEFE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5B3CE3D">
      <w:pPr>
        <w:pStyle w:val="14"/>
        <w:rPr>
          <w:rFonts w:hint="eastAsia" w:ascii="宋体" w:hAnsi="宋体" w:eastAsia="宋体" w:cs="宋体"/>
          <w:color w:val="000000" w:themeColor="text1"/>
          <w:highlight w:val="none"/>
          <w14:textFill>
            <w14:solidFill>
              <w14:schemeClr w14:val="tx1"/>
            </w14:solidFill>
          </w14:textFill>
        </w:rPr>
      </w:pPr>
    </w:p>
    <w:p w14:paraId="4FDB4780">
      <w:pPr>
        <w:spacing w:line="360" w:lineRule="auto"/>
        <w:ind w:leftChars="18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法定代表人签名（或签名章）：                       </w:t>
      </w:r>
    </w:p>
    <w:p w14:paraId="7B1C8653">
      <w:pPr>
        <w:spacing w:line="360" w:lineRule="auto"/>
        <w:ind w:leftChars="18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6A666C8C">
      <w:pPr>
        <w:spacing w:line="360" w:lineRule="auto"/>
        <w:ind w:leftChars="18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投标人全称（公章）：</w:t>
      </w:r>
    </w:p>
    <w:p w14:paraId="69DA69CF">
      <w:pPr>
        <w:spacing w:line="360" w:lineRule="auto"/>
        <w:jc w:val="left"/>
        <w:rPr>
          <w:rFonts w:hint="eastAsia" w:ascii="宋体" w:hAnsi="宋体" w:cs="宋体"/>
          <w:b/>
          <w:bCs/>
          <w:color w:val="000000" w:themeColor="text1"/>
          <w:sz w:val="24"/>
          <w:szCs w:val="24"/>
          <w:highlight w:val="none"/>
          <w:lang w:val="zh-CN"/>
          <w14:textFill>
            <w14:solidFill>
              <w14:schemeClr w14:val="tx1"/>
            </w14:solidFill>
          </w14:textFill>
        </w:rPr>
      </w:pPr>
    </w:p>
    <w:p w14:paraId="277D1351">
      <w:pPr>
        <w:spacing w:line="360" w:lineRule="auto"/>
        <w:jc w:val="left"/>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附件</w:t>
      </w:r>
      <w:r>
        <w:rPr>
          <w:rFonts w:hint="eastAsia" w:ascii="宋体" w:hAnsi="宋体" w:cs="宋体"/>
          <w:b/>
          <w:bCs/>
          <w:color w:val="000000" w:themeColor="text1"/>
          <w:sz w:val="24"/>
          <w:szCs w:val="24"/>
          <w:highlight w:val="none"/>
          <w:lang w:val="en-US" w:eastAsia="zh-CN"/>
          <w14:textFill>
            <w14:solidFill>
              <w14:schemeClr w14:val="tx1"/>
            </w14:solidFill>
          </w14:textFill>
        </w:rPr>
        <w:t>三</w:t>
      </w:r>
      <w:r>
        <w:rPr>
          <w:rFonts w:hint="eastAsia" w:ascii="宋体" w:hAnsi="宋体" w:cs="宋体"/>
          <w:b/>
          <w:bCs/>
          <w:color w:val="000000" w:themeColor="text1"/>
          <w:sz w:val="24"/>
          <w:szCs w:val="24"/>
          <w:highlight w:val="none"/>
          <w:lang w:val="zh-CN"/>
          <w14:textFill>
            <w14:solidFill>
              <w14:schemeClr w14:val="tx1"/>
            </w14:solidFill>
          </w14:textFill>
        </w:rPr>
        <w:t>：</w:t>
      </w:r>
    </w:p>
    <w:p w14:paraId="6BFBE493">
      <w:pP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中小企业声明函</w:t>
      </w:r>
    </w:p>
    <w:p w14:paraId="44DFF8C9">
      <w:pPr>
        <w:spacing w:line="288"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p>
    <w:p w14:paraId="4BEC5EB6">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本公司（联合体）郑重声明，根据《政府采购促进中小企业发展管理办法》 （财库﹝2020﹞46 号）的规定，本公司（联合体）参加</w:t>
      </w:r>
      <w:r>
        <w:rPr>
          <w:rFonts w:hint="eastAsia" w:ascii="宋体" w:hAnsi="宋体" w:cs="宋体"/>
          <w:color w:val="000000" w:themeColor="text1"/>
          <w:sz w:val="24"/>
          <w:szCs w:val="24"/>
          <w:highlight w:val="none"/>
          <w:u w:val="single"/>
          <w14:textFill>
            <w14:solidFill>
              <w14:schemeClr w14:val="tx1"/>
            </w14:solidFill>
          </w14:textFill>
        </w:rPr>
        <w:t xml:space="preserve"> （采购人名称） </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 xml:space="preserve"> （项目名称）     </w:t>
      </w:r>
      <w:r>
        <w:rPr>
          <w:rFonts w:hint="eastAsia" w:ascii="宋体" w:hAnsi="宋体" w:cs="宋体"/>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132D689B">
      <w:pPr>
        <w:spacing w:line="288"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（项目名称）</w:t>
      </w:r>
      <w:r>
        <w:rPr>
          <w:rFonts w:hint="eastAsia" w:ascii="宋体" w:hAnsi="宋体" w:cs="宋体"/>
          <w:color w:val="000000" w:themeColor="text1"/>
          <w:sz w:val="24"/>
          <w:szCs w:val="24"/>
          <w:highlight w:val="none"/>
          <w14:textFill>
            <w14:solidFill>
              <w14:schemeClr w14:val="tx1"/>
            </w14:solidFill>
          </w14:textFill>
        </w:rPr>
        <w:t>，属于</w:t>
      </w:r>
      <w:r>
        <w:rPr>
          <w:rFonts w:hint="eastAsia" w:ascii="宋体" w:hAnsi="宋体" w:cs="宋体"/>
          <w:color w:val="000000" w:themeColor="text1"/>
          <w:sz w:val="24"/>
          <w:szCs w:val="24"/>
          <w:highlight w:val="none"/>
          <w:u w:val="none"/>
          <w14:textFill>
            <w14:solidFill>
              <w14:schemeClr w14:val="tx1"/>
            </w14:solidFill>
          </w14:textFill>
        </w:rPr>
        <w:t>其他未列明行业</w:t>
      </w:r>
      <w:r>
        <w:rPr>
          <w:rFonts w:hint="eastAsia" w:ascii="宋体" w:hAnsi="宋体" w:cs="宋体"/>
          <w:color w:val="000000" w:themeColor="text1"/>
          <w:sz w:val="24"/>
          <w:szCs w:val="24"/>
          <w:highlight w:val="none"/>
          <w14:textFill>
            <w14:solidFill>
              <w14:schemeClr w14:val="tx1"/>
            </w14:solidFill>
          </w14:textFill>
        </w:rPr>
        <w:t>；承接企业为</w:t>
      </w:r>
      <w:r>
        <w:rPr>
          <w:rFonts w:hint="eastAsia" w:ascii="宋体" w:hAnsi="宋体" w:cs="宋体"/>
          <w:color w:val="000000" w:themeColor="text1"/>
          <w:sz w:val="24"/>
          <w:szCs w:val="24"/>
          <w:highlight w:val="none"/>
          <w:u w:val="single"/>
          <w14:textFill>
            <w14:solidFill>
              <w14:schemeClr w14:val="tx1"/>
            </w14:solidFill>
          </w14:textFill>
        </w:rPr>
        <w:t xml:space="preserve">           （企业名称） </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 ，属于</w:t>
      </w:r>
      <w:r>
        <w:rPr>
          <w:rFonts w:hint="eastAsia" w:ascii="宋体" w:hAnsi="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szCs w:val="24"/>
          <w:highlight w:val="none"/>
          <w14:textFill>
            <w14:solidFill>
              <w14:schemeClr w14:val="tx1"/>
            </w14:solidFill>
          </w14:textFill>
        </w:rPr>
        <w:t xml:space="preserve"> ；</w:t>
      </w:r>
    </w:p>
    <w:p w14:paraId="11ECF117">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p w14:paraId="318A2317">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5900FDB">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6262D519">
      <w:pPr>
        <w:spacing w:line="288" w:lineRule="auto"/>
        <w:ind w:right="420" w:firstLine="4320" w:firstLineChars="1800"/>
        <w:rPr>
          <w:rFonts w:ascii="宋体" w:hAnsi="宋体" w:cs="宋体"/>
          <w:color w:val="000000" w:themeColor="text1"/>
          <w:sz w:val="24"/>
          <w:szCs w:val="24"/>
          <w:highlight w:val="none"/>
          <w14:textFill>
            <w14:solidFill>
              <w14:schemeClr w14:val="tx1"/>
            </w14:solidFill>
          </w14:textFill>
        </w:rPr>
      </w:pPr>
    </w:p>
    <w:p w14:paraId="21BE1B89">
      <w:pPr>
        <w:spacing w:line="288" w:lineRule="auto"/>
        <w:ind w:right="420" w:firstLine="4320" w:firstLineChars="1800"/>
        <w:rPr>
          <w:rFonts w:ascii="宋体" w:hAnsi="宋体" w:cs="宋体"/>
          <w:color w:val="000000" w:themeColor="text1"/>
          <w:sz w:val="24"/>
          <w:szCs w:val="24"/>
          <w:highlight w:val="none"/>
          <w14:textFill>
            <w14:solidFill>
              <w14:schemeClr w14:val="tx1"/>
            </w14:solidFill>
          </w14:textFill>
        </w:rPr>
      </w:pPr>
    </w:p>
    <w:p w14:paraId="704F0CAF">
      <w:pPr>
        <w:spacing w:line="288" w:lineRule="auto"/>
        <w:ind w:right="420" w:firstLine="4800" w:firstLineChars="20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企业名称（盖章）： </w:t>
      </w:r>
    </w:p>
    <w:p w14:paraId="50C9D0E8">
      <w:pPr>
        <w:spacing w:line="288" w:lineRule="auto"/>
        <w:ind w:left="3780" w:leftChars="1800" w:firstLine="960" w:firstLineChars="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14:paraId="53AD3C32">
      <w:pPr>
        <w:spacing w:line="288"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p>
    <w:p w14:paraId="70AA6FE7">
      <w:pPr>
        <w:spacing w:line="288"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p>
    <w:p w14:paraId="36E4D00D">
      <w:pPr>
        <w:spacing w:line="288"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p>
    <w:p w14:paraId="382682DE">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注：从业人员、营业收入、资产总额填报上一年度数据，无上一年度数据的新成立企业可不填报。</w:t>
      </w:r>
    </w:p>
    <w:p w14:paraId="60122DE8">
      <w:pPr>
        <w:widowControl/>
        <w:snapToGrid w:val="0"/>
        <w:spacing w:line="324" w:lineRule="auto"/>
        <w:ind w:firstLine="480" w:firstLineChars="200"/>
        <w:jc w:val="left"/>
        <w:rPr>
          <w:rFonts w:ascii="宋体"/>
          <w:color w:val="000000" w:themeColor="text1"/>
          <w:sz w:val="24"/>
          <w:szCs w:val="24"/>
          <w:highlight w:val="none"/>
          <w14:textFill>
            <w14:solidFill>
              <w14:schemeClr w14:val="tx1"/>
            </w14:solidFill>
          </w14:textFill>
        </w:rPr>
      </w:pPr>
    </w:p>
    <w:p w14:paraId="188591CD">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14:paraId="14DF66C2">
      <w:pPr>
        <w:jc w:val="both"/>
        <w:rPr>
          <w:color w:val="000000" w:themeColor="text1"/>
          <w:highlight w:val="none"/>
          <w:lang w:val="zh-CN"/>
          <w14:textFill>
            <w14:solidFill>
              <w14:schemeClr w14:val="tx1"/>
            </w14:solidFill>
          </w14:textFill>
        </w:rPr>
      </w:pPr>
      <w:r>
        <w:rPr>
          <w:rFonts w:hAnsi="宋体"/>
          <w:color w:val="000000" w:themeColor="text1"/>
          <w:highlight w:val="none"/>
          <w14:textFill>
            <w14:solidFill>
              <w14:schemeClr w14:val="tx1"/>
            </w14:solidFill>
          </w14:textFill>
        </w:rPr>
        <w:br w:type="page"/>
      </w:r>
    </w:p>
    <w:p w14:paraId="7D5479E5">
      <w:pPr>
        <w:rPr>
          <w:b/>
          <w:bCs/>
          <w:color w:val="000000" w:themeColor="text1"/>
          <w:sz w:val="24"/>
          <w:szCs w:val="24"/>
          <w:highlight w:val="none"/>
          <w:lang w:val="zh-CN"/>
          <w14:textFill>
            <w14:solidFill>
              <w14:schemeClr w14:val="tx1"/>
            </w14:solidFill>
          </w14:textFill>
        </w:rPr>
      </w:pPr>
      <w:r>
        <w:rPr>
          <w:rFonts w:hint="eastAsia" w:cs="宋体"/>
          <w:b/>
          <w:bCs/>
          <w:color w:val="000000" w:themeColor="text1"/>
          <w:sz w:val="24"/>
          <w:szCs w:val="24"/>
          <w:highlight w:val="none"/>
          <w:lang w:val="zh-CN"/>
          <w14:textFill>
            <w14:solidFill>
              <w14:schemeClr w14:val="tx1"/>
            </w14:solidFill>
          </w14:textFill>
        </w:rPr>
        <w:t>附件</w:t>
      </w:r>
      <w:r>
        <w:rPr>
          <w:rFonts w:hint="eastAsia" w:cs="宋体"/>
          <w:b/>
          <w:bCs/>
          <w:color w:val="000000" w:themeColor="text1"/>
          <w:sz w:val="24"/>
          <w:szCs w:val="24"/>
          <w:highlight w:val="none"/>
          <w:lang w:val="en-US" w:eastAsia="zh-CN"/>
          <w14:textFill>
            <w14:solidFill>
              <w14:schemeClr w14:val="tx1"/>
            </w14:solidFill>
          </w14:textFill>
        </w:rPr>
        <w:t>四</w:t>
      </w:r>
      <w:r>
        <w:rPr>
          <w:rFonts w:hint="eastAsia" w:cs="宋体"/>
          <w:b/>
          <w:bCs/>
          <w:color w:val="000000" w:themeColor="text1"/>
          <w:sz w:val="24"/>
          <w:szCs w:val="24"/>
          <w:highlight w:val="none"/>
          <w14:textFill>
            <w14:solidFill>
              <w14:schemeClr w14:val="tx1"/>
            </w14:solidFill>
          </w14:textFill>
        </w:rPr>
        <w:t>：</w:t>
      </w:r>
    </w:p>
    <w:p w14:paraId="0D6CB3DB">
      <w:pP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残疾人福利性单位声明函</w:t>
      </w:r>
    </w:p>
    <w:p w14:paraId="1E9113A3">
      <w:pPr>
        <w:widowControl/>
        <w:snapToGrid w:val="0"/>
        <w:spacing w:line="324" w:lineRule="auto"/>
        <w:ind w:firstLine="480" w:firstLineChars="200"/>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【不属于残疾人福利性单位的无需填写、递交】</w:t>
      </w:r>
    </w:p>
    <w:p w14:paraId="0908EFF5">
      <w:pPr>
        <w:spacing w:line="588" w:lineRule="exact"/>
        <w:rPr>
          <w:rFonts w:ascii="宋体"/>
          <w:b/>
          <w:bCs/>
          <w:color w:val="000000" w:themeColor="text1"/>
          <w:spacing w:val="6"/>
          <w:sz w:val="30"/>
          <w:szCs w:val="30"/>
          <w:highlight w:val="none"/>
          <w14:textFill>
            <w14:solidFill>
              <w14:schemeClr w14:val="tx1"/>
            </w14:solidFill>
          </w14:textFill>
        </w:rPr>
      </w:pPr>
    </w:p>
    <w:p w14:paraId="155CBD5B">
      <w:pPr>
        <w:spacing w:line="588"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本单位郑重声明，根据《财政部</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民政部</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中国残疾人联合会关于促进残疾人就业政府采购政策的通知》（财库〔</w:t>
      </w:r>
      <w:r>
        <w:rPr>
          <w:rFonts w:ascii="宋体" w:hAnsi="宋体" w:cs="宋体"/>
          <w:color w:val="000000" w:themeColor="text1"/>
          <w:sz w:val="24"/>
          <w:szCs w:val="24"/>
          <w:highlight w:val="none"/>
          <w14:textFill>
            <w14:solidFill>
              <w14:schemeClr w14:val="tx1"/>
            </w14:solidFill>
          </w14:textFill>
        </w:rPr>
        <w:t>2017</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 141</w:t>
      </w:r>
      <w:r>
        <w:rPr>
          <w:rFonts w:hint="eastAsia" w:ascii="宋体" w:hAnsi="宋体" w:cs="宋体"/>
          <w:color w:val="000000" w:themeColor="text1"/>
          <w:sz w:val="24"/>
          <w:szCs w:val="24"/>
          <w:highlight w:val="none"/>
          <w14:textFill>
            <w14:solidFill>
              <w14:schemeClr w14:val="tx1"/>
            </w14:solidFill>
          </w14:textFill>
        </w:rPr>
        <w:t>号）的规定，本单位为符合条件的残疾人福利性单位，且本单位参加</w:t>
      </w:r>
      <w:r>
        <w:rPr>
          <w:rFonts w:ascii="宋体" w:hAnsi="宋体" w:cs="宋体"/>
          <w:color w:val="000000" w:themeColor="text1"/>
          <w:sz w:val="24"/>
          <w:szCs w:val="24"/>
          <w:highlight w:val="none"/>
          <w14:textFill>
            <w14:solidFill>
              <w14:schemeClr w14:val="tx1"/>
            </w14:solidFill>
          </w14:textFill>
        </w:rPr>
        <w:t>______</w:t>
      </w:r>
      <w:r>
        <w:rPr>
          <w:rFonts w:hint="eastAsia" w:ascii="宋体" w:hAnsi="宋体" w:cs="宋体"/>
          <w:color w:val="000000" w:themeColor="text1"/>
          <w:sz w:val="24"/>
          <w:szCs w:val="24"/>
          <w:highlight w:val="none"/>
          <w14:textFill>
            <w14:solidFill>
              <w14:schemeClr w14:val="tx1"/>
            </w14:solidFill>
          </w14:textFill>
        </w:rPr>
        <w:t>单位的</w:t>
      </w:r>
      <w:r>
        <w:rPr>
          <w:rFonts w:ascii="宋体" w:hAnsi="宋体" w:cs="宋体"/>
          <w:color w:val="000000" w:themeColor="text1"/>
          <w:sz w:val="24"/>
          <w:szCs w:val="24"/>
          <w:highlight w:val="none"/>
          <w14:textFill>
            <w14:solidFill>
              <w14:schemeClr w14:val="tx1"/>
            </w14:solidFill>
          </w14:textFill>
        </w:rPr>
        <w:t>______</w:t>
      </w:r>
      <w:r>
        <w:rPr>
          <w:rFonts w:hint="eastAsia" w:ascii="宋体" w:hAnsi="宋体" w:cs="宋体"/>
          <w:color w:val="000000" w:themeColor="text1"/>
          <w:sz w:val="24"/>
          <w:szCs w:val="24"/>
          <w:highlight w:val="none"/>
          <w14:textFill>
            <w14:solidFill>
              <w14:schemeClr w14:val="tx1"/>
            </w14:solidFill>
          </w14:textFill>
        </w:rPr>
        <w:t>项目采购活动提供本单位服务，或者提供其他残疾人福利性单位提供的服务。本单位对上述声明的真实性负责。如有虚假，将依法承担相应责任。</w:t>
      </w:r>
    </w:p>
    <w:p w14:paraId="587DEC5F">
      <w:pPr>
        <w:pStyle w:val="3"/>
        <w:rPr>
          <w:rFonts w:cs="Times New Roman"/>
          <w:color w:val="000000" w:themeColor="text1"/>
          <w:highlight w:val="none"/>
          <w14:textFill>
            <w14:solidFill>
              <w14:schemeClr w14:val="tx1"/>
            </w14:solidFill>
          </w14:textFill>
        </w:rPr>
      </w:pPr>
    </w:p>
    <w:p w14:paraId="79378F7D">
      <w:pPr>
        <w:pStyle w:val="6"/>
        <w:rPr>
          <w:color w:val="000000" w:themeColor="text1"/>
          <w:highlight w:val="none"/>
          <w14:textFill>
            <w14:solidFill>
              <w14:schemeClr w14:val="tx1"/>
            </w14:solidFill>
          </w14:textFill>
        </w:rPr>
      </w:pPr>
    </w:p>
    <w:p w14:paraId="0B8395C8">
      <w:pPr>
        <w:spacing w:line="588" w:lineRule="exact"/>
        <w:rPr>
          <w:rFonts w:ascii="宋体"/>
          <w:color w:val="000000" w:themeColor="text1"/>
          <w:sz w:val="24"/>
          <w:szCs w:val="24"/>
          <w:highlight w:val="none"/>
          <w14:textFill>
            <w14:solidFill>
              <w14:schemeClr w14:val="tx1"/>
            </w14:solidFill>
          </w14:textFill>
        </w:rPr>
      </w:pPr>
    </w:p>
    <w:p w14:paraId="7C4844AB">
      <w:pPr>
        <w:spacing w:line="360" w:lineRule="auto"/>
        <w:ind w:left="3780" w:leftChars="180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法定代表人签名（或签名章）：</w:t>
      </w:r>
      <w:r>
        <w:rPr>
          <w:rFonts w:ascii="宋体" w:hAnsi="宋体" w:cs="宋体"/>
          <w:color w:val="000000" w:themeColor="text1"/>
          <w:sz w:val="24"/>
          <w:szCs w:val="24"/>
          <w:highlight w:val="none"/>
          <w14:textFill>
            <w14:solidFill>
              <w14:schemeClr w14:val="tx1"/>
            </w14:solidFill>
          </w14:textFill>
        </w:rPr>
        <w:t xml:space="preserve">                       </w:t>
      </w:r>
    </w:p>
    <w:p w14:paraId="12DF0D80">
      <w:pPr>
        <w:spacing w:line="360" w:lineRule="auto"/>
        <w:ind w:left="3780" w:leftChars="180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p>
    <w:p w14:paraId="69BB9EA8">
      <w:pPr>
        <w:spacing w:line="360" w:lineRule="auto"/>
        <w:ind w:left="3780" w:leftChars="180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供应商全称（公章）：</w:t>
      </w:r>
    </w:p>
    <w:p w14:paraId="55E4F151">
      <w:pPr>
        <w:rPr>
          <w:b/>
          <w:bCs/>
          <w:color w:val="000000" w:themeColor="text1"/>
          <w:sz w:val="24"/>
          <w:szCs w:val="24"/>
          <w:highlight w:val="none"/>
          <w:lang w:val="zh-CN"/>
          <w14:textFill>
            <w14:solidFill>
              <w14:schemeClr w14:val="tx1"/>
            </w14:solidFill>
          </w14:textFill>
        </w:rPr>
      </w:pPr>
      <w:r>
        <w:rPr>
          <w:color w:val="000000" w:themeColor="text1"/>
          <w:sz w:val="24"/>
          <w:szCs w:val="24"/>
          <w:highlight w:val="none"/>
          <w:lang w:val="zh-CN"/>
          <w14:textFill>
            <w14:solidFill>
              <w14:schemeClr w14:val="tx1"/>
            </w14:solidFill>
          </w14:textFill>
        </w:rPr>
        <w:br w:type="page"/>
      </w:r>
      <w:r>
        <w:rPr>
          <w:rFonts w:hint="eastAsia" w:cs="宋体"/>
          <w:b/>
          <w:bCs/>
          <w:color w:val="000000" w:themeColor="text1"/>
          <w:sz w:val="24"/>
          <w:szCs w:val="24"/>
          <w:highlight w:val="none"/>
          <w:lang w:val="zh-CN"/>
          <w14:textFill>
            <w14:solidFill>
              <w14:schemeClr w14:val="tx1"/>
            </w14:solidFill>
          </w14:textFill>
        </w:rPr>
        <w:t>附件</w:t>
      </w:r>
      <w:r>
        <w:rPr>
          <w:rFonts w:hint="eastAsia" w:cs="宋体"/>
          <w:b/>
          <w:bCs/>
          <w:color w:val="000000" w:themeColor="text1"/>
          <w:sz w:val="24"/>
          <w:szCs w:val="24"/>
          <w:highlight w:val="none"/>
          <w:lang w:val="en-US" w:eastAsia="zh-CN"/>
          <w14:textFill>
            <w14:solidFill>
              <w14:schemeClr w14:val="tx1"/>
            </w14:solidFill>
          </w14:textFill>
        </w:rPr>
        <w:t>五</w:t>
      </w:r>
      <w:r>
        <w:rPr>
          <w:rFonts w:hint="eastAsia" w:cs="宋体"/>
          <w:b/>
          <w:bCs/>
          <w:color w:val="000000" w:themeColor="text1"/>
          <w:sz w:val="24"/>
          <w:szCs w:val="24"/>
          <w:highlight w:val="none"/>
          <w14:textFill>
            <w14:solidFill>
              <w14:schemeClr w14:val="tx1"/>
            </w14:solidFill>
          </w14:textFill>
        </w:rPr>
        <w:t>：</w:t>
      </w:r>
    </w:p>
    <w:p w14:paraId="132E4411">
      <w:pP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监狱企业证明文件</w:t>
      </w:r>
    </w:p>
    <w:p w14:paraId="19153BF5">
      <w:pPr>
        <w:widowControl/>
        <w:snapToGrid w:val="0"/>
        <w:spacing w:line="360" w:lineRule="auto"/>
        <w:jc w:val="center"/>
        <w:rPr>
          <w:rFonts w:ascii="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【不属于监狱企业的无需填写、递交】</w:t>
      </w:r>
    </w:p>
    <w:p w14:paraId="649D4917">
      <w:pPr>
        <w:widowControl/>
        <w:snapToGrid w:val="0"/>
        <w:spacing w:line="324" w:lineRule="auto"/>
        <w:jc w:val="center"/>
        <w:rPr>
          <w:rFonts w:ascii="宋体"/>
          <w:color w:val="000000" w:themeColor="text1"/>
          <w:kern w:val="0"/>
          <w:sz w:val="24"/>
          <w:szCs w:val="24"/>
          <w:highlight w:val="none"/>
          <w14:textFill>
            <w14:solidFill>
              <w14:schemeClr w14:val="tx1"/>
            </w14:solidFill>
          </w14:textFill>
        </w:rPr>
      </w:pPr>
    </w:p>
    <w:p w14:paraId="36393467">
      <w:pPr>
        <w:spacing w:line="588" w:lineRule="exact"/>
        <w:ind w:firstLine="480" w:firstLineChars="200"/>
        <w:rPr>
          <w:rFonts w:ascii="宋体"/>
          <w:color w:val="000000" w:themeColor="text1"/>
          <w:sz w:val="24"/>
          <w:szCs w:val="24"/>
          <w:highlight w:val="none"/>
          <w14:textFill>
            <w14:solidFill>
              <w14:schemeClr w14:val="tx1"/>
            </w14:solidFill>
          </w14:textFill>
        </w:rPr>
      </w:pPr>
    </w:p>
    <w:p w14:paraId="038F9DCE">
      <w:pPr>
        <w:adjustRightInd w:val="0"/>
        <w:snapToGrid w:val="0"/>
        <w:spacing w:before="156" w:beforeLines="5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监狱企业需提供省级以上的监狱管理局、戒毒管理局（含新疆生产建设兵团）出具的属于监狱企业的证明文件。</w:t>
      </w:r>
      <w:r>
        <w:rPr>
          <w:rFonts w:ascii="宋体" w:hAnsi="宋体" w:cs="宋体"/>
          <w:color w:val="000000" w:themeColor="text1"/>
          <w:sz w:val="24"/>
          <w:szCs w:val="24"/>
          <w:highlight w:val="none"/>
          <w14:textFill>
            <w14:solidFill>
              <w14:schemeClr w14:val="tx1"/>
            </w14:solidFill>
          </w14:textFill>
        </w:rPr>
        <w:t xml:space="preserve">  </w:t>
      </w:r>
    </w:p>
    <w:p w14:paraId="3F220CA6">
      <w:pPr>
        <w:pStyle w:val="3"/>
        <w:rPr>
          <w:rFonts w:cs="Times New Roman"/>
          <w:color w:val="000000" w:themeColor="text1"/>
          <w:highlight w:val="none"/>
          <w14:textFill>
            <w14:solidFill>
              <w14:schemeClr w14:val="tx1"/>
            </w14:solidFill>
          </w14:textFill>
        </w:rPr>
      </w:pPr>
    </w:p>
    <w:p w14:paraId="1CA32CAC">
      <w:pPr>
        <w:pStyle w:val="6"/>
        <w:rPr>
          <w:color w:val="000000" w:themeColor="text1"/>
          <w:highlight w:val="none"/>
          <w14:textFill>
            <w14:solidFill>
              <w14:schemeClr w14:val="tx1"/>
            </w14:solidFill>
          </w14:textFill>
        </w:rPr>
      </w:pPr>
    </w:p>
    <w:p w14:paraId="74B816F2">
      <w:pPr>
        <w:spacing w:line="360" w:lineRule="auto"/>
        <w:ind w:left="3780" w:leftChars="180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法定代表人签名（或签名章）：</w:t>
      </w:r>
      <w:r>
        <w:rPr>
          <w:rFonts w:ascii="宋体" w:hAnsi="宋体" w:cs="宋体"/>
          <w:color w:val="000000" w:themeColor="text1"/>
          <w:sz w:val="24"/>
          <w:szCs w:val="24"/>
          <w:highlight w:val="none"/>
          <w14:textFill>
            <w14:solidFill>
              <w14:schemeClr w14:val="tx1"/>
            </w14:solidFill>
          </w14:textFill>
        </w:rPr>
        <w:t xml:space="preserve">                       </w:t>
      </w:r>
    </w:p>
    <w:p w14:paraId="70AC18CB">
      <w:pPr>
        <w:spacing w:line="360" w:lineRule="auto"/>
        <w:ind w:left="3780" w:leftChars="180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p>
    <w:p w14:paraId="609B3754">
      <w:pPr>
        <w:spacing w:line="360" w:lineRule="auto"/>
        <w:ind w:left="3780" w:leftChars="1800"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供应商全称（公章）：</w:t>
      </w:r>
    </w:p>
    <w:p w14:paraId="096C325B">
      <w:pPr>
        <w:rPr>
          <w:color w:val="000000" w:themeColor="text1"/>
          <w:highlight w:val="none"/>
          <w14:textFill>
            <w14:solidFill>
              <w14:schemeClr w14:val="tx1"/>
            </w14:solidFill>
          </w14:textFill>
        </w:rPr>
      </w:pPr>
    </w:p>
    <w:p w14:paraId="41437D02">
      <w:pP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br w:type="page"/>
      </w:r>
    </w:p>
    <w:p w14:paraId="6A5D3171">
      <w:pPr>
        <w:spacing w:line="360" w:lineRule="auto"/>
        <w:jc w:val="center"/>
        <w:rPr>
          <w:rFonts w:ascii="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商务技术文件</w:t>
      </w:r>
    </w:p>
    <w:p w14:paraId="1583C1E5">
      <w:pPr>
        <w:spacing w:line="360" w:lineRule="auto"/>
        <w:jc w:val="center"/>
        <w:rPr>
          <w:rFonts w:ascii="宋体"/>
          <w:b/>
          <w:bCs/>
          <w:color w:val="000000" w:themeColor="text1"/>
          <w:kern w:val="0"/>
          <w:sz w:val="36"/>
          <w:szCs w:val="36"/>
          <w:highlight w:val="none"/>
          <w14:textFill>
            <w14:solidFill>
              <w14:schemeClr w14:val="tx1"/>
            </w14:solidFill>
          </w14:textFill>
        </w:rPr>
      </w:pPr>
    </w:p>
    <w:p w14:paraId="547D73E7">
      <w:pPr>
        <w:spacing w:line="360" w:lineRule="auto"/>
        <w:jc w:val="center"/>
        <w:rPr>
          <w:rFonts w:ascii="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目录</w:t>
      </w:r>
    </w:p>
    <w:p w14:paraId="6012966E">
      <w:pPr>
        <w:pStyle w:val="14"/>
        <w:ind w:left="426" w:firstLine="486"/>
        <w:rPr>
          <w:rFonts w:cs="Times New Roman"/>
          <w:color w:val="000000" w:themeColor="text1"/>
          <w:highlight w:val="none"/>
          <w14:textFill>
            <w14:solidFill>
              <w14:schemeClr w14:val="tx1"/>
            </w14:solidFill>
          </w14:textFill>
        </w:rPr>
      </w:pPr>
    </w:p>
    <w:p w14:paraId="487C300F">
      <w:pPr>
        <w:pStyle w:val="58"/>
        <w:numPr>
          <w:ilvl w:val="0"/>
          <w:numId w:val="19"/>
        </w:numPr>
        <w:spacing w:before="0" w:line="336" w:lineRule="auto"/>
        <w:ind w:left="425" w:leftChars="0" w:hanging="425" w:firstLineChars="0"/>
        <w:rPr>
          <w:rFonts w:ascii="宋体"/>
          <w:color w:val="000000" w:themeColor="text1"/>
          <w:highlight w:val="none"/>
          <w14:textFill>
            <w14:solidFill>
              <w14:schemeClr w14:val="tx1"/>
            </w14:solidFill>
          </w14:textFill>
        </w:rPr>
      </w:pPr>
      <w:bookmarkStart w:id="94" w:name="_Toc10131"/>
      <w:r>
        <w:rPr>
          <w:rFonts w:hint="eastAsia" w:ascii="宋体" w:hAnsi="宋体" w:cs="宋体"/>
          <w:color w:val="000000" w:themeColor="text1"/>
          <w:highlight w:val="none"/>
          <w14:textFill>
            <w14:solidFill>
              <w14:schemeClr w14:val="tx1"/>
            </w14:solidFill>
          </w14:textFill>
        </w:rPr>
        <w:t>评分对应表（格式见附件</w:t>
      </w:r>
      <w:r>
        <w:rPr>
          <w:rFonts w:hint="eastAsia" w:ascii="宋体" w:hAnsi="宋体" w:cs="宋体"/>
          <w:color w:val="000000" w:themeColor="text1"/>
          <w:highlight w:val="none"/>
          <w:lang w:eastAsia="zh-CN"/>
          <w14:textFill>
            <w14:solidFill>
              <w14:schemeClr w14:val="tx1"/>
            </w14:solidFill>
          </w14:textFill>
        </w:rPr>
        <w:t>，主要用于评委对应评分内容</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w:t>
      </w:r>
    </w:p>
    <w:p w14:paraId="7BE215BB">
      <w:pPr>
        <w:pStyle w:val="58"/>
        <w:numPr>
          <w:ilvl w:val="0"/>
          <w:numId w:val="19"/>
        </w:numPr>
        <w:spacing w:before="0" w:line="336" w:lineRule="auto"/>
        <w:ind w:left="425" w:leftChars="0" w:hanging="425" w:firstLineChars="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供应商商务技术文件中资信分自评表（格式见附件）；</w:t>
      </w:r>
    </w:p>
    <w:p w14:paraId="2D175DAF">
      <w:pPr>
        <w:pStyle w:val="58"/>
        <w:numPr>
          <w:ilvl w:val="0"/>
          <w:numId w:val="19"/>
        </w:numPr>
        <w:spacing w:before="0" w:line="336" w:lineRule="auto"/>
        <w:ind w:left="425" w:leftChars="0" w:hanging="425" w:firstLineChars="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磋商项目明细清单（格式见附件）；</w:t>
      </w:r>
    </w:p>
    <w:p w14:paraId="64B99DFA">
      <w:pPr>
        <w:pStyle w:val="58"/>
        <w:numPr>
          <w:ilvl w:val="0"/>
          <w:numId w:val="19"/>
        </w:numPr>
        <w:spacing w:before="0" w:line="336" w:lineRule="auto"/>
        <w:ind w:left="425" w:leftChars="0" w:hanging="425" w:firstLineChars="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技术响应及建议表（格式见附件）；</w:t>
      </w:r>
    </w:p>
    <w:p w14:paraId="52725473">
      <w:pPr>
        <w:pStyle w:val="58"/>
        <w:numPr>
          <w:ilvl w:val="0"/>
          <w:numId w:val="19"/>
        </w:numPr>
        <w:spacing w:before="0" w:line="336" w:lineRule="auto"/>
        <w:ind w:left="425" w:leftChars="0" w:hanging="425"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商务响应表（格式见附件）；</w:t>
      </w:r>
    </w:p>
    <w:p w14:paraId="133B6ED1">
      <w:pPr>
        <w:pStyle w:val="58"/>
        <w:numPr>
          <w:ilvl w:val="0"/>
          <w:numId w:val="19"/>
        </w:numPr>
        <w:spacing w:before="0" w:line="336" w:lineRule="auto"/>
        <w:ind w:left="425" w:leftChars="0" w:hanging="425"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项目理解；</w:t>
      </w:r>
    </w:p>
    <w:p w14:paraId="2F00E334">
      <w:pPr>
        <w:pStyle w:val="58"/>
        <w:numPr>
          <w:ilvl w:val="0"/>
          <w:numId w:val="19"/>
        </w:numPr>
        <w:spacing w:before="0" w:line="336" w:lineRule="auto"/>
        <w:ind w:left="425" w:leftChars="0" w:hanging="425" w:firstLineChars="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项目实施方案</w:t>
      </w:r>
      <w:r>
        <w:rPr>
          <w:rFonts w:hint="eastAsia" w:ascii="宋体" w:hAnsi="宋体" w:cs="宋体"/>
          <w:color w:val="auto"/>
          <w:highlight w:val="none"/>
          <w:lang w:val="en-US" w:eastAsia="zh-CN"/>
        </w:rPr>
        <w:t>；</w:t>
      </w:r>
    </w:p>
    <w:p w14:paraId="3C2D968E">
      <w:pPr>
        <w:pStyle w:val="58"/>
        <w:numPr>
          <w:ilvl w:val="0"/>
          <w:numId w:val="19"/>
        </w:numPr>
        <w:spacing w:before="0" w:line="336" w:lineRule="auto"/>
        <w:ind w:left="425" w:leftChars="0" w:hanging="425" w:firstLineChars="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质量保证措施</w:t>
      </w:r>
      <w:r>
        <w:rPr>
          <w:rFonts w:hint="eastAsia" w:ascii="宋体" w:hAnsi="宋体" w:cs="宋体"/>
          <w:color w:val="auto"/>
          <w:highlight w:val="none"/>
          <w:lang w:val="en-US" w:eastAsia="zh-CN"/>
        </w:rPr>
        <w:t>；</w:t>
      </w:r>
    </w:p>
    <w:p w14:paraId="5D412A99">
      <w:pPr>
        <w:pStyle w:val="58"/>
        <w:numPr>
          <w:ilvl w:val="0"/>
          <w:numId w:val="19"/>
        </w:numPr>
        <w:spacing w:before="0" w:line="336" w:lineRule="auto"/>
        <w:ind w:left="425" w:leftChars="0" w:hanging="425" w:firstLineChars="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服务保障能力</w:t>
      </w:r>
      <w:r>
        <w:rPr>
          <w:rFonts w:hint="eastAsia" w:ascii="宋体" w:hAnsi="宋体" w:cs="宋体"/>
          <w:color w:val="auto"/>
          <w:highlight w:val="none"/>
          <w:lang w:val="en-US" w:eastAsia="zh-CN"/>
        </w:rPr>
        <w:t>；</w:t>
      </w:r>
    </w:p>
    <w:p w14:paraId="04615112">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数据资料安全保密制度措施及管理制度</w:t>
      </w:r>
      <w:r>
        <w:rPr>
          <w:rFonts w:hint="eastAsia" w:ascii="宋体" w:hAnsi="宋体" w:eastAsia="宋体" w:cs="宋体"/>
          <w:color w:val="000000" w:themeColor="text1"/>
          <w:highlight w:val="none"/>
          <w:lang w:val="en-US" w:eastAsia="zh-CN"/>
          <w14:textFill>
            <w14:solidFill>
              <w14:schemeClr w14:val="tx1"/>
            </w14:solidFill>
          </w14:textFill>
        </w:rPr>
        <w:t>；</w:t>
      </w:r>
    </w:p>
    <w:p w14:paraId="557E247A">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合理化建议</w:t>
      </w:r>
      <w:r>
        <w:rPr>
          <w:rFonts w:hint="eastAsia" w:ascii="宋体" w:hAnsi="宋体" w:eastAsia="宋体" w:cs="宋体"/>
          <w:color w:val="000000" w:themeColor="text1"/>
          <w:highlight w:val="none"/>
          <w:lang w:val="en-US" w:eastAsia="zh-CN"/>
          <w14:textFill>
            <w14:solidFill>
              <w14:schemeClr w14:val="tx1"/>
            </w14:solidFill>
          </w14:textFill>
        </w:rPr>
        <w:t>；</w:t>
      </w:r>
    </w:p>
    <w:p w14:paraId="4E14ECB3">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设备设施配备情况</w:t>
      </w:r>
      <w:r>
        <w:rPr>
          <w:rFonts w:hint="eastAsia" w:ascii="宋体" w:hAnsi="宋体" w:eastAsia="宋体" w:cs="宋体"/>
          <w:color w:val="000000" w:themeColor="text1"/>
          <w:highlight w:val="none"/>
          <w:lang w:val="en-US" w:eastAsia="zh-CN"/>
          <w14:textFill>
            <w14:solidFill>
              <w14:schemeClr w14:val="tx1"/>
            </w14:solidFill>
          </w14:textFill>
        </w:rPr>
        <w:t>；</w:t>
      </w:r>
    </w:p>
    <w:p w14:paraId="6059F42F">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应急预案</w:t>
      </w:r>
      <w:r>
        <w:rPr>
          <w:rFonts w:hint="eastAsia" w:ascii="宋体" w:hAnsi="宋体" w:eastAsia="宋体" w:cs="宋体"/>
          <w:color w:val="000000" w:themeColor="text1"/>
          <w:highlight w:val="none"/>
          <w:lang w:val="en-US" w:eastAsia="zh-CN"/>
          <w14:textFill>
            <w14:solidFill>
              <w14:schemeClr w14:val="tx1"/>
            </w14:solidFill>
          </w14:textFill>
        </w:rPr>
        <w:t>；</w:t>
      </w:r>
    </w:p>
    <w:p w14:paraId="4894B018">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重难点分析</w:t>
      </w:r>
      <w:r>
        <w:rPr>
          <w:rFonts w:hint="eastAsia" w:ascii="宋体" w:hAnsi="宋体" w:eastAsia="宋体" w:cs="宋体"/>
          <w:color w:val="000000" w:themeColor="text1"/>
          <w:highlight w:val="none"/>
          <w:lang w:val="en-US" w:eastAsia="zh-CN"/>
          <w14:textFill>
            <w14:solidFill>
              <w14:schemeClr w14:val="tx1"/>
            </w14:solidFill>
          </w14:textFill>
        </w:rPr>
        <w:t>；</w:t>
      </w:r>
    </w:p>
    <w:p w14:paraId="67D814D8">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售后服务</w:t>
      </w:r>
      <w:r>
        <w:rPr>
          <w:rFonts w:hint="eastAsia" w:ascii="宋体" w:hAnsi="宋体" w:eastAsia="宋体" w:cs="宋体"/>
          <w:color w:val="000000" w:themeColor="text1"/>
          <w:highlight w:val="none"/>
          <w:lang w:val="en-US" w:eastAsia="zh-CN"/>
          <w14:textFill>
            <w14:solidFill>
              <w14:schemeClr w14:val="tx1"/>
            </w14:solidFill>
          </w14:textFill>
        </w:rPr>
        <w:t>；</w:t>
      </w:r>
    </w:p>
    <w:p w14:paraId="02BBAA5F">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认证情况</w:t>
      </w:r>
      <w:r>
        <w:rPr>
          <w:rFonts w:hint="eastAsia" w:ascii="宋体" w:hAnsi="宋体" w:eastAsia="宋体" w:cs="宋体"/>
          <w:color w:val="000000" w:themeColor="text1"/>
          <w:highlight w:val="none"/>
          <w:lang w:val="en-US" w:eastAsia="zh-CN"/>
          <w14:textFill>
            <w14:solidFill>
              <w14:schemeClr w14:val="tx1"/>
            </w14:solidFill>
          </w14:textFill>
        </w:rPr>
        <w:t>；</w:t>
      </w:r>
    </w:p>
    <w:p w14:paraId="1176A666">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项目负责人</w:t>
      </w:r>
      <w:r>
        <w:rPr>
          <w:rFonts w:hint="eastAsia" w:ascii="宋体" w:hAnsi="宋体" w:eastAsia="宋体" w:cs="宋体"/>
          <w:color w:val="000000" w:themeColor="text1"/>
          <w:highlight w:val="none"/>
          <w:lang w:val="en-US" w:eastAsia="zh-CN"/>
          <w14:textFill>
            <w14:solidFill>
              <w14:schemeClr w14:val="tx1"/>
            </w14:solidFill>
          </w14:textFill>
        </w:rPr>
        <w:t>；</w:t>
      </w:r>
    </w:p>
    <w:p w14:paraId="7446E44D">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项目组成员</w:t>
      </w:r>
      <w:r>
        <w:rPr>
          <w:rFonts w:hint="eastAsia" w:ascii="宋体" w:hAnsi="宋体" w:eastAsia="宋体" w:cs="宋体"/>
          <w:color w:val="000000" w:themeColor="text1"/>
          <w:highlight w:val="none"/>
          <w:lang w:val="en-US" w:eastAsia="zh-CN"/>
          <w14:textFill>
            <w14:solidFill>
              <w14:schemeClr w14:val="tx1"/>
            </w14:solidFill>
          </w14:textFill>
        </w:rPr>
        <w:t>；</w:t>
      </w:r>
    </w:p>
    <w:p w14:paraId="03552A7E">
      <w:pPr>
        <w:snapToGrid w:val="0"/>
        <w:spacing w:before="50" w:after="50"/>
        <w:jc w:val="left"/>
        <w:rPr>
          <w:rFonts w:hint="eastAsia" w:ascii="宋体" w:hAnsi="宋体" w:eastAsia="宋体" w:cs="Times New Roman"/>
          <w:color w:val="000000" w:themeColor="text1"/>
          <w:kern w:val="2"/>
          <w:sz w:val="24"/>
          <w:szCs w:val="21"/>
          <w:highlight w:val="none"/>
          <w:lang w:val="zh-CN" w:eastAsia="zh-CN" w:bidi="ar-SA"/>
          <w14:textFill>
            <w14:solidFill>
              <w14:schemeClr w14:val="tx1"/>
            </w14:solidFill>
          </w14:textFill>
        </w:rPr>
      </w:pP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供应商认为需要的其他文件资料。</w:t>
      </w:r>
    </w:p>
    <w:p w14:paraId="0750754E">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2649292A">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147B8E81">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4C2D648E">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18B523D3">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2F15C973">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66D476D1">
      <w:pP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br w:type="page"/>
      </w:r>
    </w:p>
    <w:p w14:paraId="1F3762CA">
      <w:pPr>
        <w:snapToGrid w:val="0"/>
        <w:spacing w:before="50" w:after="50"/>
        <w:jc w:val="left"/>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附件</w:t>
      </w:r>
      <w:r>
        <w:rPr>
          <w:rFonts w:hint="eastAsia" w:ascii="宋体"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cs="宋体"/>
          <w:b/>
          <w:bCs/>
          <w:color w:val="000000" w:themeColor="text1"/>
          <w:sz w:val="24"/>
          <w:szCs w:val="24"/>
          <w:highlight w:val="none"/>
          <w:lang w:val="zh-CN"/>
          <w14:textFill>
            <w14:solidFill>
              <w14:schemeClr w14:val="tx1"/>
            </w14:solidFill>
          </w14:textFill>
        </w:rPr>
        <w:t>：</w:t>
      </w:r>
    </w:p>
    <w:p w14:paraId="19E84BEE">
      <w:pP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评分对应表</w:t>
      </w:r>
    </w:p>
    <w:p w14:paraId="0FECE3B9">
      <w:pPr>
        <w:snapToGrid w:val="0"/>
        <w:spacing w:before="50"/>
        <w:jc w:val="center"/>
        <w:rPr>
          <w:rFonts w:ascii="宋体"/>
          <w:b/>
          <w:bCs/>
          <w:color w:val="000000" w:themeColor="text1"/>
          <w:sz w:val="32"/>
          <w:szCs w:val="32"/>
          <w:highlight w:val="none"/>
          <w14:textFill>
            <w14:solidFill>
              <w14:schemeClr w14:val="tx1"/>
            </w14:solidFill>
          </w14:textFill>
        </w:rPr>
      </w:pPr>
    </w:p>
    <w:p w14:paraId="301E3249">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p w14:paraId="1321CAA1">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采购编号：</w:t>
      </w:r>
    </w:p>
    <w:tbl>
      <w:tblPr>
        <w:tblStyle w:val="31"/>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5417D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B2600BB">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0C40AB7">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响应文件对应资料</w:t>
            </w:r>
          </w:p>
        </w:tc>
        <w:tc>
          <w:tcPr>
            <w:tcW w:w="1977" w:type="dxa"/>
            <w:tcBorders>
              <w:top w:val="single" w:color="auto" w:sz="4" w:space="0"/>
              <w:left w:val="single" w:color="auto" w:sz="4" w:space="0"/>
              <w:bottom w:val="single" w:color="auto" w:sz="4" w:space="0"/>
            </w:tcBorders>
            <w:vAlign w:val="center"/>
          </w:tcPr>
          <w:p w14:paraId="2740A307">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响应文件页码</w:t>
            </w:r>
          </w:p>
        </w:tc>
      </w:tr>
      <w:tr w14:paraId="48B3A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0A1438B">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对应评分办法及评分标准</w:t>
            </w:r>
          </w:p>
          <w:p w14:paraId="69C91CAC">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2082F99A">
            <w:pPr>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50B8F0E0">
            <w:pPr>
              <w:jc w:val="center"/>
              <w:rPr>
                <w:rFonts w:ascii="宋体"/>
                <w:color w:val="000000" w:themeColor="text1"/>
                <w:sz w:val="24"/>
                <w:szCs w:val="24"/>
                <w:highlight w:val="none"/>
                <w14:textFill>
                  <w14:solidFill>
                    <w14:schemeClr w14:val="tx1"/>
                  </w14:solidFill>
                </w14:textFill>
              </w:rPr>
            </w:pPr>
          </w:p>
        </w:tc>
      </w:tr>
      <w:tr w14:paraId="5A201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84C2314">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vAlign w:val="center"/>
          </w:tcPr>
          <w:p w14:paraId="3319BC47">
            <w:pPr>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60A53C20">
            <w:pPr>
              <w:jc w:val="center"/>
              <w:rPr>
                <w:rFonts w:ascii="宋体"/>
                <w:color w:val="000000" w:themeColor="text1"/>
                <w:sz w:val="24"/>
                <w:szCs w:val="24"/>
                <w:highlight w:val="none"/>
                <w14:textFill>
                  <w14:solidFill>
                    <w14:schemeClr w14:val="tx1"/>
                  </w14:solidFill>
                </w14:textFill>
              </w:rPr>
            </w:pPr>
          </w:p>
        </w:tc>
      </w:tr>
      <w:tr w14:paraId="5F6D0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308B7CE">
            <w:pPr>
              <w:jc w:val="center"/>
              <w:rPr>
                <w:rFonts w:ascii="宋体"/>
                <w:color w:val="000000" w:themeColor="text1"/>
                <w:sz w:val="24"/>
                <w:szCs w:val="24"/>
                <w:highlight w:val="none"/>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vAlign w:val="center"/>
          </w:tcPr>
          <w:p w14:paraId="0E03FDE1">
            <w:pPr>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0D9A88D0">
            <w:pPr>
              <w:jc w:val="center"/>
              <w:rPr>
                <w:rFonts w:ascii="宋体"/>
                <w:color w:val="000000" w:themeColor="text1"/>
                <w:sz w:val="24"/>
                <w:szCs w:val="24"/>
                <w:highlight w:val="none"/>
                <w14:textFill>
                  <w14:solidFill>
                    <w14:schemeClr w14:val="tx1"/>
                  </w14:solidFill>
                </w14:textFill>
              </w:rPr>
            </w:pPr>
          </w:p>
        </w:tc>
      </w:tr>
      <w:tr w14:paraId="61F04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701D212">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vAlign w:val="center"/>
          </w:tcPr>
          <w:p w14:paraId="2531D435">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3BFFDA5A">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r>
      <w:tr w14:paraId="47F69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24CD3AA">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vAlign w:val="center"/>
          </w:tcPr>
          <w:p w14:paraId="13B2C428">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1CCA07BF">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r>
      <w:tr w14:paraId="5FE53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38FB981">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vAlign w:val="center"/>
          </w:tcPr>
          <w:p w14:paraId="34289B4D">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75F6C99B">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r>
      <w:tr w14:paraId="23389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BDF6DC3">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D09FB78">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D1307E4">
            <w:pPr>
              <w:spacing w:line="360" w:lineRule="auto"/>
              <w:ind w:firstLine="480" w:firstLineChars="200"/>
              <w:jc w:val="center"/>
              <w:rPr>
                <w:rFonts w:ascii="宋体"/>
                <w:color w:val="auto"/>
                <w:sz w:val="24"/>
                <w:szCs w:val="24"/>
                <w:highlight w:val="none"/>
              </w:rPr>
            </w:pPr>
          </w:p>
        </w:tc>
      </w:tr>
      <w:tr w14:paraId="162EE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214022E">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D517909">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1DFFD9A">
            <w:pPr>
              <w:spacing w:line="360" w:lineRule="auto"/>
              <w:ind w:firstLine="480" w:firstLineChars="200"/>
              <w:jc w:val="center"/>
              <w:rPr>
                <w:rFonts w:ascii="宋体"/>
                <w:color w:val="auto"/>
                <w:sz w:val="24"/>
                <w:szCs w:val="24"/>
                <w:highlight w:val="none"/>
              </w:rPr>
            </w:pPr>
          </w:p>
        </w:tc>
      </w:tr>
      <w:tr w14:paraId="75676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BEC8F71">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2BCD2B4">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4172D97">
            <w:pPr>
              <w:spacing w:line="360" w:lineRule="auto"/>
              <w:ind w:firstLine="480" w:firstLineChars="200"/>
              <w:jc w:val="center"/>
              <w:rPr>
                <w:rFonts w:ascii="宋体"/>
                <w:color w:val="auto"/>
                <w:sz w:val="24"/>
                <w:szCs w:val="24"/>
                <w:highlight w:val="none"/>
              </w:rPr>
            </w:pPr>
          </w:p>
        </w:tc>
      </w:tr>
    </w:tbl>
    <w:p w14:paraId="73FA40F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7D38A1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CDCE37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34EAE01A">
      <w:pPr>
        <w:rPr>
          <w:color w:val="auto"/>
          <w:highlight w:val="none"/>
          <w:lang w:val="zh-CN"/>
        </w:rPr>
      </w:pPr>
    </w:p>
    <w:p w14:paraId="394A0E2C">
      <w:pPr>
        <w:rPr>
          <w:rFonts w:hint="eastAsia" w:cs="宋体"/>
          <w:b/>
          <w:bCs/>
          <w:color w:val="auto"/>
          <w:sz w:val="24"/>
          <w:szCs w:val="24"/>
          <w:highlight w:val="none"/>
          <w:lang w:val="zh-CN"/>
        </w:rPr>
      </w:pPr>
    </w:p>
    <w:p w14:paraId="6B4F737D">
      <w:pPr>
        <w:rPr>
          <w:rFonts w:hint="eastAsia" w:cs="宋体"/>
          <w:b/>
          <w:bCs/>
          <w:color w:val="auto"/>
          <w:sz w:val="24"/>
          <w:szCs w:val="24"/>
          <w:highlight w:val="none"/>
          <w:lang w:val="zh-CN"/>
        </w:rPr>
      </w:pPr>
    </w:p>
    <w:p w14:paraId="4993A355">
      <w:pPr>
        <w:rPr>
          <w:rFonts w:hint="eastAsia" w:cs="宋体"/>
          <w:b/>
          <w:bCs/>
          <w:color w:val="auto"/>
          <w:sz w:val="24"/>
          <w:szCs w:val="24"/>
          <w:highlight w:val="none"/>
          <w:lang w:val="zh-CN"/>
        </w:rPr>
      </w:pPr>
    </w:p>
    <w:p w14:paraId="0419A175">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7779A0D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94"/>
    </w:p>
    <w:p w14:paraId="609A242C">
      <w:pPr>
        <w:snapToGrid w:val="0"/>
        <w:spacing w:before="50"/>
        <w:jc w:val="center"/>
        <w:rPr>
          <w:rFonts w:ascii="宋体"/>
          <w:b/>
          <w:bCs/>
          <w:color w:val="auto"/>
          <w:sz w:val="32"/>
          <w:szCs w:val="32"/>
          <w:highlight w:val="none"/>
        </w:rPr>
      </w:pPr>
    </w:p>
    <w:p w14:paraId="5FE8351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9AA7B8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140A1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4C42174">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0781AE63">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60066675">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74E7675E">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1191CCF6">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7D92A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2A0B8E8">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0F6ACC81">
            <w:pPr>
              <w:jc w:val="center"/>
              <w:rPr>
                <w:rFonts w:ascii="宋体"/>
                <w:color w:val="auto"/>
                <w:sz w:val="24"/>
                <w:szCs w:val="24"/>
                <w:highlight w:val="none"/>
              </w:rPr>
            </w:pPr>
          </w:p>
        </w:tc>
        <w:tc>
          <w:tcPr>
            <w:tcW w:w="1462" w:type="dxa"/>
          </w:tcPr>
          <w:p w14:paraId="66BB68C3">
            <w:pPr>
              <w:jc w:val="center"/>
              <w:rPr>
                <w:rFonts w:ascii="宋体"/>
                <w:color w:val="auto"/>
                <w:sz w:val="24"/>
                <w:szCs w:val="24"/>
                <w:highlight w:val="none"/>
              </w:rPr>
            </w:pPr>
          </w:p>
        </w:tc>
        <w:tc>
          <w:tcPr>
            <w:tcW w:w="2415" w:type="dxa"/>
            <w:tcBorders>
              <w:right w:val="single" w:color="auto" w:sz="4" w:space="0"/>
            </w:tcBorders>
          </w:tcPr>
          <w:p w14:paraId="081FC0AE">
            <w:pPr>
              <w:jc w:val="center"/>
              <w:rPr>
                <w:rFonts w:ascii="宋体"/>
                <w:color w:val="auto"/>
                <w:sz w:val="24"/>
                <w:szCs w:val="24"/>
                <w:highlight w:val="none"/>
              </w:rPr>
            </w:pPr>
          </w:p>
        </w:tc>
        <w:tc>
          <w:tcPr>
            <w:tcW w:w="1746" w:type="dxa"/>
            <w:tcBorders>
              <w:left w:val="single" w:color="auto" w:sz="4" w:space="0"/>
            </w:tcBorders>
          </w:tcPr>
          <w:p w14:paraId="4E8B9521">
            <w:pPr>
              <w:jc w:val="center"/>
              <w:rPr>
                <w:rFonts w:ascii="宋体"/>
                <w:color w:val="auto"/>
                <w:sz w:val="24"/>
                <w:szCs w:val="24"/>
                <w:highlight w:val="none"/>
              </w:rPr>
            </w:pPr>
          </w:p>
        </w:tc>
      </w:tr>
      <w:tr w14:paraId="43A97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8B3779D">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56F136B7">
            <w:pPr>
              <w:jc w:val="center"/>
              <w:rPr>
                <w:rFonts w:ascii="宋体"/>
                <w:color w:val="auto"/>
                <w:sz w:val="24"/>
                <w:szCs w:val="24"/>
                <w:highlight w:val="none"/>
              </w:rPr>
            </w:pPr>
          </w:p>
        </w:tc>
        <w:tc>
          <w:tcPr>
            <w:tcW w:w="1462" w:type="dxa"/>
          </w:tcPr>
          <w:p w14:paraId="739E3BE2">
            <w:pPr>
              <w:jc w:val="center"/>
              <w:rPr>
                <w:rFonts w:ascii="宋体"/>
                <w:color w:val="auto"/>
                <w:sz w:val="24"/>
                <w:szCs w:val="24"/>
                <w:highlight w:val="none"/>
              </w:rPr>
            </w:pPr>
          </w:p>
        </w:tc>
        <w:tc>
          <w:tcPr>
            <w:tcW w:w="2415" w:type="dxa"/>
            <w:tcBorders>
              <w:right w:val="single" w:color="auto" w:sz="4" w:space="0"/>
            </w:tcBorders>
          </w:tcPr>
          <w:p w14:paraId="137BB51C">
            <w:pPr>
              <w:jc w:val="center"/>
              <w:rPr>
                <w:rFonts w:ascii="宋体"/>
                <w:color w:val="auto"/>
                <w:sz w:val="24"/>
                <w:szCs w:val="24"/>
                <w:highlight w:val="none"/>
              </w:rPr>
            </w:pPr>
          </w:p>
        </w:tc>
        <w:tc>
          <w:tcPr>
            <w:tcW w:w="1746" w:type="dxa"/>
            <w:tcBorders>
              <w:left w:val="single" w:color="auto" w:sz="4" w:space="0"/>
            </w:tcBorders>
          </w:tcPr>
          <w:p w14:paraId="3BEA87AA">
            <w:pPr>
              <w:jc w:val="center"/>
              <w:rPr>
                <w:rFonts w:ascii="宋体"/>
                <w:color w:val="auto"/>
                <w:sz w:val="24"/>
                <w:szCs w:val="24"/>
                <w:highlight w:val="none"/>
              </w:rPr>
            </w:pPr>
          </w:p>
        </w:tc>
      </w:tr>
      <w:tr w14:paraId="4D18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83EE6CB">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2AB63165">
            <w:pPr>
              <w:jc w:val="center"/>
              <w:rPr>
                <w:rFonts w:ascii="宋体"/>
                <w:color w:val="auto"/>
                <w:sz w:val="24"/>
                <w:szCs w:val="24"/>
                <w:highlight w:val="none"/>
              </w:rPr>
            </w:pPr>
          </w:p>
        </w:tc>
        <w:tc>
          <w:tcPr>
            <w:tcW w:w="1462" w:type="dxa"/>
          </w:tcPr>
          <w:p w14:paraId="7D43D29E">
            <w:pPr>
              <w:jc w:val="center"/>
              <w:rPr>
                <w:rFonts w:ascii="宋体"/>
                <w:color w:val="auto"/>
                <w:sz w:val="24"/>
                <w:szCs w:val="24"/>
                <w:highlight w:val="none"/>
              </w:rPr>
            </w:pPr>
          </w:p>
        </w:tc>
        <w:tc>
          <w:tcPr>
            <w:tcW w:w="2415" w:type="dxa"/>
            <w:tcBorders>
              <w:right w:val="single" w:color="auto" w:sz="4" w:space="0"/>
            </w:tcBorders>
          </w:tcPr>
          <w:p w14:paraId="69F20676">
            <w:pPr>
              <w:jc w:val="center"/>
              <w:rPr>
                <w:rFonts w:ascii="宋体"/>
                <w:color w:val="auto"/>
                <w:sz w:val="24"/>
                <w:szCs w:val="24"/>
                <w:highlight w:val="none"/>
              </w:rPr>
            </w:pPr>
          </w:p>
        </w:tc>
        <w:tc>
          <w:tcPr>
            <w:tcW w:w="1746" w:type="dxa"/>
            <w:tcBorders>
              <w:left w:val="single" w:color="auto" w:sz="4" w:space="0"/>
            </w:tcBorders>
          </w:tcPr>
          <w:p w14:paraId="195C5AEE">
            <w:pPr>
              <w:jc w:val="center"/>
              <w:rPr>
                <w:rFonts w:ascii="宋体"/>
                <w:color w:val="auto"/>
                <w:sz w:val="24"/>
                <w:szCs w:val="24"/>
                <w:highlight w:val="none"/>
              </w:rPr>
            </w:pPr>
          </w:p>
        </w:tc>
      </w:tr>
      <w:tr w14:paraId="5881C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A172502">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05F509A9">
            <w:pPr>
              <w:jc w:val="center"/>
              <w:rPr>
                <w:rFonts w:ascii="宋体"/>
                <w:color w:val="auto"/>
                <w:sz w:val="24"/>
                <w:szCs w:val="24"/>
                <w:highlight w:val="none"/>
              </w:rPr>
            </w:pPr>
          </w:p>
        </w:tc>
        <w:tc>
          <w:tcPr>
            <w:tcW w:w="1462" w:type="dxa"/>
          </w:tcPr>
          <w:p w14:paraId="688E74D6">
            <w:pPr>
              <w:jc w:val="center"/>
              <w:rPr>
                <w:rFonts w:ascii="宋体"/>
                <w:color w:val="auto"/>
                <w:sz w:val="24"/>
                <w:szCs w:val="24"/>
                <w:highlight w:val="none"/>
              </w:rPr>
            </w:pPr>
          </w:p>
        </w:tc>
        <w:tc>
          <w:tcPr>
            <w:tcW w:w="2415" w:type="dxa"/>
            <w:tcBorders>
              <w:right w:val="single" w:color="auto" w:sz="4" w:space="0"/>
            </w:tcBorders>
          </w:tcPr>
          <w:p w14:paraId="0C752A81">
            <w:pPr>
              <w:jc w:val="center"/>
              <w:rPr>
                <w:rFonts w:ascii="宋体"/>
                <w:color w:val="auto"/>
                <w:sz w:val="24"/>
                <w:szCs w:val="24"/>
                <w:highlight w:val="none"/>
              </w:rPr>
            </w:pPr>
          </w:p>
        </w:tc>
        <w:tc>
          <w:tcPr>
            <w:tcW w:w="1746" w:type="dxa"/>
            <w:tcBorders>
              <w:left w:val="single" w:color="auto" w:sz="4" w:space="0"/>
            </w:tcBorders>
          </w:tcPr>
          <w:p w14:paraId="556131D0">
            <w:pPr>
              <w:jc w:val="center"/>
              <w:rPr>
                <w:rFonts w:ascii="宋体"/>
                <w:color w:val="auto"/>
                <w:sz w:val="24"/>
                <w:szCs w:val="24"/>
                <w:highlight w:val="none"/>
              </w:rPr>
            </w:pPr>
          </w:p>
        </w:tc>
      </w:tr>
      <w:tr w14:paraId="0D196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EE9F371">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2158F65C">
            <w:pPr>
              <w:jc w:val="center"/>
              <w:rPr>
                <w:rFonts w:ascii="宋体"/>
                <w:color w:val="auto"/>
                <w:sz w:val="24"/>
                <w:szCs w:val="24"/>
                <w:highlight w:val="none"/>
              </w:rPr>
            </w:pPr>
          </w:p>
        </w:tc>
        <w:tc>
          <w:tcPr>
            <w:tcW w:w="1462" w:type="dxa"/>
          </w:tcPr>
          <w:p w14:paraId="4B7E6513">
            <w:pPr>
              <w:jc w:val="center"/>
              <w:rPr>
                <w:rFonts w:ascii="宋体"/>
                <w:color w:val="auto"/>
                <w:sz w:val="24"/>
                <w:szCs w:val="24"/>
                <w:highlight w:val="none"/>
              </w:rPr>
            </w:pPr>
          </w:p>
        </w:tc>
        <w:tc>
          <w:tcPr>
            <w:tcW w:w="2415" w:type="dxa"/>
            <w:tcBorders>
              <w:right w:val="single" w:color="auto" w:sz="4" w:space="0"/>
            </w:tcBorders>
          </w:tcPr>
          <w:p w14:paraId="56A687DD">
            <w:pPr>
              <w:jc w:val="center"/>
              <w:rPr>
                <w:rFonts w:ascii="宋体"/>
                <w:color w:val="auto"/>
                <w:sz w:val="24"/>
                <w:szCs w:val="24"/>
                <w:highlight w:val="none"/>
              </w:rPr>
            </w:pPr>
          </w:p>
        </w:tc>
        <w:tc>
          <w:tcPr>
            <w:tcW w:w="1746" w:type="dxa"/>
            <w:tcBorders>
              <w:left w:val="single" w:color="auto" w:sz="4" w:space="0"/>
            </w:tcBorders>
          </w:tcPr>
          <w:p w14:paraId="0FC91C3E">
            <w:pPr>
              <w:jc w:val="center"/>
              <w:rPr>
                <w:rFonts w:ascii="宋体"/>
                <w:color w:val="auto"/>
                <w:sz w:val="24"/>
                <w:szCs w:val="24"/>
                <w:highlight w:val="none"/>
              </w:rPr>
            </w:pPr>
          </w:p>
        </w:tc>
      </w:tr>
      <w:tr w14:paraId="45DAA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6E5FACB">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34D42C05">
            <w:pPr>
              <w:jc w:val="center"/>
              <w:rPr>
                <w:rFonts w:ascii="宋体"/>
                <w:color w:val="auto"/>
                <w:sz w:val="24"/>
                <w:szCs w:val="24"/>
                <w:highlight w:val="none"/>
              </w:rPr>
            </w:pPr>
          </w:p>
        </w:tc>
        <w:tc>
          <w:tcPr>
            <w:tcW w:w="1462" w:type="dxa"/>
          </w:tcPr>
          <w:p w14:paraId="4A667E8B">
            <w:pPr>
              <w:jc w:val="center"/>
              <w:rPr>
                <w:rFonts w:ascii="宋体"/>
                <w:color w:val="auto"/>
                <w:sz w:val="24"/>
                <w:szCs w:val="24"/>
                <w:highlight w:val="none"/>
              </w:rPr>
            </w:pPr>
          </w:p>
        </w:tc>
        <w:tc>
          <w:tcPr>
            <w:tcW w:w="2415" w:type="dxa"/>
            <w:tcBorders>
              <w:right w:val="single" w:color="auto" w:sz="4" w:space="0"/>
            </w:tcBorders>
          </w:tcPr>
          <w:p w14:paraId="1A7BF60D">
            <w:pPr>
              <w:jc w:val="center"/>
              <w:rPr>
                <w:rFonts w:ascii="宋体"/>
                <w:color w:val="auto"/>
                <w:sz w:val="24"/>
                <w:szCs w:val="24"/>
                <w:highlight w:val="none"/>
              </w:rPr>
            </w:pPr>
          </w:p>
        </w:tc>
        <w:tc>
          <w:tcPr>
            <w:tcW w:w="1746" w:type="dxa"/>
            <w:tcBorders>
              <w:left w:val="single" w:color="auto" w:sz="4" w:space="0"/>
            </w:tcBorders>
          </w:tcPr>
          <w:p w14:paraId="628C35C2">
            <w:pPr>
              <w:jc w:val="center"/>
              <w:rPr>
                <w:rFonts w:ascii="宋体"/>
                <w:color w:val="auto"/>
                <w:sz w:val="24"/>
                <w:szCs w:val="24"/>
                <w:highlight w:val="none"/>
              </w:rPr>
            </w:pPr>
          </w:p>
        </w:tc>
      </w:tr>
      <w:tr w14:paraId="491E8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6F9987D">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24E6F2F1">
            <w:pPr>
              <w:jc w:val="center"/>
              <w:rPr>
                <w:rFonts w:ascii="宋体"/>
                <w:color w:val="auto"/>
                <w:sz w:val="24"/>
                <w:szCs w:val="24"/>
                <w:highlight w:val="none"/>
              </w:rPr>
            </w:pPr>
          </w:p>
        </w:tc>
        <w:tc>
          <w:tcPr>
            <w:tcW w:w="1462" w:type="dxa"/>
          </w:tcPr>
          <w:p w14:paraId="2D9D5CCF">
            <w:pPr>
              <w:jc w:val="center"/>
              <w:rPr>
                <w:rFonts w:ascii="宋体"/>
                <w:color w:val="auto"/>
                <w:sz w:val="24"/>
                <w:szCs w:val="24"/>
                <w:highlight w:val="none"/>
              </w:rPr>
            </w:pPr>
          </w:p>
        </w:tc>
        <w:tc>
          <w:tcPr>
            <w:tcW w:w="2415" w:type="dxa"/>
            <w:tcBorders>
              <w:right w:val="single" w:color="auto" w:sz="4" w:space="0"/>
            </w:tcBorders>
          </w:tcPr>
          <w:p w14:paraId="0D8BD2D1">
            <w:pPr>
              <w:jc w:val="center"/>
              <w:rPr>
                <w:rFonts w:ascii="宋体"/>
                <w:color w:val="auto"/>
                <w:sz w:val="24"/>
                <w:szCs w:val="24"/>
                <w:highlight w:val="none"/>
              </w:rPr>
            </w:pPr>
          </w:p>
        </w:tc>
        <w:tc>
          <w:tcPr>
            <w:tcW w:w="1746" w:type="dxa"/>
            <w:tcBorders>
              <w:left w:val="single" w:color="auto" w:sz="4" w:space="0"/>
            </w:tcBorders>
          </w:tcPr>
          <w:p w14:paraId="30A4B384">
            <w:pPr>
              <w:jc w:val="center"/>
              <w:rPr>
                <w:rFonts w:ascii="宋体"/>
                <w:color w:val="auto"/>
                <w:sz w:val="24"/>
                <w:szCs w:val="24"/>
                <w:highlight w:val="none"/>
              </w:rPr>
            </w:pPr>
          </w:p>
        </w:tc>
      </w:tr>
      <w:tr w14:paraId="6F5D2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FB65B9F">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4D2E7704">
            <w:pPr>
              <w:jc w:val="center"/>
              <w:rPr>
                <w:rFonts w:ascii="宋体"/>
                <w:color w:val="auto"/>
                <w:sz w:val="24"/>
                <w:szCs w:val="24"/>
                <w:highlight w:val="none"/>
              </w:rPr>
            </w:pPr>
          </w:p>
        </w:tc>
        <w:tc>
          <w:tcPr>
            <w:tcW w:w="1462" w:type="dxa"/>
          </w:tcPr>
          <w:p w14:paraId="53410ADE">
            <w:pPr>
              <w:jc w:val="center"/>
              <w:rPr>
                <w:rFonts w:ascii="宋体"/>
                <w:color w:val="auto"/>
                <w:sz w:val="24"/>
                <w:szCs w:val="24"/>
                <w:highlight w:val="none"/>
              </w:rPr>
            </w:pPr>
          </w:p>
        </w:tc>
        <w:tc>
          <w:tcPr>
            <w:tcW w:w="2415" w:type="dxa"/>
            <w:tcBorders>
              <w:right w:val="single" w:color="auto" w:sz="4" w:space="0"/>
            </w:tcBorders>
          </w:tcPr>
          <w:p w14:paraId="024ED786">
            <w:pPr>
              <w:jc w:val="center"/>
              <w:rPr>
                <w:rFonts w:ascii="宋体"/>
                <w:color w:val="auto"/>
                <w:sz w:val="24"/>
                <w:szCs w:val="24"/>
                <w:highlight w:val="none"/>
              </w:rPr>
            </w:pPr>
          </w:p>
        </w:tc>
        <w:tc>
          <w:tcPr>
            <w:tcW w:w="1746" w:type="dxa"/>
            <w:tcBorders>
              <w:left w:val="single" w:color="auto" w:sz="4" w:space="0"/>
            </w:tcBorders>
          </w:tcPr>
          <w:p w14:paraId="5B380852">
            <w:pPr>
              <w:jc w:val="center"/>
              <w:rPr>
                <w:rFonts w:ascii="宋体"/>
                <w:color w:val="auto"/>
                <w:sz w:val="24"/>
                <w:szCs w:val="24"/>
                <w:highlight w:val="none"/>
              </w:rPr>
            </w:pPr>
          </w:p>
        </w:tc>
      </w:tr>
      <w:tr w14:paraId="3EDE6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7654627">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74902F30">
            <w:pPr>
              <w:jc w:val="center"/>
              <w:rPr>
                <w:rFonts w:ascii="宋体"/>
                <w:color w:val="auto"/>
                <w:sz w:val="24"/>
                <w:szCs w:val="24"/>
                <w:highlight w:val="none"/>
              </w:rPr>
            </w:pPr>
          </w:p>
        </w:tc>
        <w:tc>
          <w:tcPr>
            <w:tcW w:w="1462" w:type="dxa"/>
          </w:tcPr>
          <w:p w14:paraId="608723F1">
            <w:pPr>
              <w:jc w:val="center"/>
              <w:rPr>
                <w:rFonts w:ascii="宋体"/>
                <w:color w:val="auto"/>
                <w:sz w:val="24"/>
                <w:szCs w:val="24"/>
                <w:highlight w:val="none"/>
              </w:rPr>
            </w:pPr>
          </w:p>
        </w:tc>
        <w:tc>
          <w:tcPr>
            <w:tcW w:w="2415" w:type="dxa"/>
            <w:tcBorders>
              <w:right w:val="single" w:color="auto" w:sz="4" w:space="0"/>
            </w:tcBorders>
          </w:tcPr>
          <w:p w14:paraId="67560A41">
            <w:pPr>
              <w:jc w:val="center"/>
              <w:rPr>
                <w:rFonts w:ascii="宋体"/>
                <w:color w:val="auto"/>
                <w:sz w:val="24"/>
                <w:szCs w:val="24"/>
                <w:highlight w:val="none"/>
              </w:rPr>
            </w:pPr>
          </w:p>
        </w:tc>
        <w:tc>
          <w:tcPr>
            <w:tcW w:w="1746" w:type="dxa"/>
            <w:tcBorders>
              <w:left w:val="single" w:color="auto" w:sz="4" w:space="0"/>
            </w:tcBorders>
          </w:tcPr>
          <w:p w14:paraId="5DB3D5C0">
            <w:pPr>
              <w:jc w:val="center"/>
              <w:rPr>
                <w:rFonts w:ascii="宋体"/>
                <w:color w:val="auto"/>
                <w:sz w:val="24"/>
                <w:szCs w:val="24"/>
                <w:highlight w:val="none"/>
              </w:rPr>
            </w:pPr>
          </w:p>
        </w:tc>
      </w:tr>
    </w:tbl>
    <w:p w14:paraId="5840DA6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46BC24C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B2EE0B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DCDEA26">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7CA9F8B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lang w:val="en-US" w:eastAsia="zh-CN"/>
        </w:rPr>
        <w:t>磋商</w:t>
      </w:r>
      <w:r>
        <w:rPr>
          <w:rFonts w:hint="eastAsia" w:ascii="宋体" w:hAnsi="宋体" w:cs="宋体"/>
          <w:b/>
          <w:bCs/>
          <w:color w:val="auto"/>
          <w:sz w:val="32"/>
          <w:szCs w:val="32"/>
          <w:highlight w:val="none"/>
        </w:rPr>
        <w:t>项目明细清单</w:t>
      </w:r>
    </w:p>
    <w:p w14:paraId="4438AC74">
      <w:pPr>
        <w:spacing w:line="360" w:lineRule="auto"/>
        <w:ind w:firstLine="480" w:firstLineChars="200"/>
        <w:rPr>
          <w:rFonts w:ascii="宋体"/>
          <w:color w:val="auto"/>
          <w:sz w:val="24"/>
          <w:szCs w:val="24"/>
          <w:highlight w:val="none"/>
        </w:rPr>
      </w:pPr>
    </w:p>
    <w:p w14:paraId="0E00F05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F3B137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066C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CA43DC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3C347C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AB6D0C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44ADA06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03D43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E647204">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C5BE3BA">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A096442">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4ED5112F">
            <w:pPr>
              <w:snapToGrid w:val="0"/>
              <w:spacing w:before="50" w:after="50"/>
              <w:jc w:val="center"/>
              <w:rPr>
                <w:rFonts w:ascii="宋体"/>
                <w:color w:val="auto"/>
                <w:sz w:val="24"/>
                <w:szCs w:val="24"/>
                <w:highlight w:val="none"/>
              </w:rPr>
            </w:pPr>
          </w:p>
        </w:tc>
      </w:tr>
      <w:tr w14:paraId="036A4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7A267FB">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F7750EE">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92D7F17">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575BDA26">
            <w:pPr>
              <w:snapToGrid w:val="0"/>
              <w:spacing w:before="50" w:after="50"/>
              <w:jc w:val="center"/>
              <w:rPr>
                <w:rFonts w:ascii="宋体"/>
                <w:color w:val="auto"/>
                <w:sz w:val="24"/>
                <w:szCs w:val="24"/>
                <w:highlight w:val="none"/>
              </w:rPr>
            </w:pPr>
          </w:p>
        </w:tc>
      </w:tr>
    </w:tbl>
    <w:p w14:paraId="2F71060D">
      <w:pPr>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70E663B5">
      <w:pPr>
        <w:pStyle w:val="14"/>
        <w:rPr>
          <w:rFonts w:cs="Times New Roman"/>
          <w:color w:val="auto"/>
          <w:highlight w:val="none"/>
        </w:rPr>
      </w:pPr>
    </w:p>
    <w:p w14:paraId="14D37B8D">
      <w:pPr>
        <w:pStyle w:val="14"/>
        <w:rPr>
          <w:rFonts w:cs="Times New Roman"/>
          <w:color w:val="auto"/>
          <w:highlight w:val="none"/>
        </w:rPr>
      </w:pPr>
    </w:p>
    <w:p w14:paraId="734FA9A2">
      <w:pPr>
        <w:pStyle w:val="14"/>
        <w:rPr>
          <w:rFonts w:cs="Times New Roman"/>
          <w:color w:val="auto"/>
          <w:highlight w:val="none"/>
        </w:rPr>
      </w:pPr>
    </w:p>
    <w:p w14:paraId="3CB60393">
      <w:pPr>
        <w:snapToGrid w:val="0"/>
        <w:spacing w:beforeLines="50"/>
        <w:rPr>
          <w:rFonts w:ascii="宋体"/>
          <w:color w:val="auto"/>
          <w:sz w:val="24"/>
          <w:szCs w:val="24"/>
          <w:highlight w:val="none"/>
        </w:rPr>
      </w:pPr>
    </w:p>
    <w:p w14:paraId="7E95B83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CE40CB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91F6CF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B45A739">
      <w:pPr>
        <w:snapToGrid w:val="0"/>
        <w:spacing w:before="50" w:after="50"/>
        <w:rPr>
          <w:rFonts w:ascii="宋体"/>
          <w:color w:val="auto"/>
          <w:spacing w:val="20"/>
          <w:sz w:val="24"/>
          <w:szCs w:val="24"/>
          <w:highlight w:val="none"/>
        </w:rPr>
      </w:pPr>
    </w:p>
    <w:p w14:paraId="4086B05C">
      <w:pPr>
        <w:snapToGrid w:val="0"/>
        <w:spacing w:before="50" w:after="50"/>
        <w:rPr>
          <w:rFonts w:ascii="宋体"/>
          <w:color w:val="auto"/>
          <w:spacing w:val="20"/>
          <w:sz w:val="30"/>
          <w:szCs w:val="30"/>
          <w:highlight w:val="none"/>
        </w:rPr>
      </w:pPr>
    </w:p>
    <w:p w14:paraId="571E01A9">
      <w:pPr>
        <w:pStyle w:val="14"/>
        <w:ind w:firstLine="686"/>
        <w:rPr>
          <w:rFonts w:cs="Times New Roman"/>
          <w:color w:val="auto"/>
          <w:spacing w:val="20"/>
          <w:sz w:val="30"/>
          <w:szCs w:val="30"/>
          <w:highlight w:val="none"/>
        </w:rPr>
      </w:pPr>
    </w:p>
    <w:p w14:paraId="652175B8">
      <w:pPr>
        <w:pStyle w:val="14"/>
        <w:ind w:firstLine="686"/>
        <w:rPr>
          <w:rFonts w:cs="Times New Roman"/>
          <w:color w:val="auto"/>
          <w:spacing w:val="20"/>
          <w:sz w:val="30"/>
          <w:szCs w:val="30"/>
          <w:highlight w:val="none"/>
        </w:rPr>
        <w:sectPr>
          <w:footerReference r:id="rId6" w:type="default"/>
          <w:pgSz w:w="11906" w:h="16838"/>
          <w:pgMar w:top="1440" w:right="1800" w:bottom="1440" w:left="1800" w:header="851" w:footer="992" w:gutter="0"/>
          <w:cols w:space="425" w:num="1"/>
          <w:docGrid w:type="lines" w:linePitch="312" w:charSpace="0"/>
        </w:sectPr>
      </w:pPr>
    </w:p>
    <w:p w14:paraId="3CF44AE6">
      <w:pPr>
        <w:rPr>
          <w:b/>
          <w:bCs/>
          <w:color w:val="auto"/>
          <w:sz w:val="24"/>
          <w:szCs w:val="24"/>
          <w:highlight w:val="none"/>
        </w:rPr>
      </w:pPr>
      <w:bookmarkStart w:id="95"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4AFC5D49">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95"/>
    </w:p>
    <w:p w14:paraId="2F4BC04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5756FBD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ED5254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25FF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94EC0E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00C2447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6F602AA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19A9613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1F6674B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58BC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3F93C85">
            <w:pPr>
              <w:snapToGrid w:val="0"/>
              <w:spacing w:before="50" w:after="50"/>
              <w:jc w:val="center"/>
              <w:rPr>
                <w:rFonts w:ascii="宋体"/>
                <w:color w:val="auto"/>
                <w:sz w:val="24"/>
                <w:szCs w:val="24"/>
                <w:highlight w:val="none"/>
              </w:rPr>
            </w:pPr>
          </w:p>
        </w:tc>
        <w:tc>
          <w:tcPr>
            <w:tcW w:w="1440" w:type="dxa"/>
            <w:vAlign w:val="center"/>
          </w:tcPr>
          <w:p w14:paraId="20ED50D1">
            <w:pPr>
              <w:snapToGrid w:val="0"/>
              <w:spacing w:before="50" w:after="50"/>
              <w:jc w:val="center"/>
              <w:rPr>
                <w:rFonts w:ascii="宋体"/>
                <w:color w:val="auto"/>
                <w:sz w:val="24"/>
                <w:szCs w:val="24"/>
                <w:highlight w:val="none"/>
              </w:rPr>
            </w:pPr>
          </w:p>
        </w:tc>
        <w:tc>
          <w:tcPr>
            <w:tcW w:w="1980" w:type="dxa"/>
            <w:vAlign w:val="center"/>
          </w:tcPr>
          <w:p w14:paraId="41CDF1D4">
            <w:pPr>
              <w:snapToGrid w:val="0"/>
              <w:spacing w:before="50" w:after="50"/>
              <w:jc w:val="center"/>
              <w:rPr>
                <w:rFonts w:ascii="宋体"/>
                <w:color w:val="auto"/>
                <w:sz w:val="24"/>
                <w:szCs w:val="24"/>
                <w:highlight w:val="none"/>
              </w:rPr>
            </w:pPr>
          </w:p>
        </w:tc>
        <w:tc>
          <w:tcPr>
            <w:tcW w:w="2520" w:type="dxa"/>
            <w:vAlign w:val="center"/>
          </w:tcPr>
          <w:p w14:paraId="14937001">
            <w:pPr>
              <w:snapToGrid w:val="0"/>
              <w:spacing w:before="50" w:after="50"/>
              <w:jc w:val="center"/>
              <w:rPr>
                <w:rFonts w:ascii="宋体"/>
                <w:color w:val="auto"/>
                <w:sz w:val="24"/>
                <w:szCs w:val="24"/>
                <w:highlight w:val="none"/>
              </w:rPr>
            </w:pPr>
          </w:p>
        </w:tc>
        <w:tc>
          <w:tcPr>
            <w:tcW w:w="1953" w:type="dxa"/>
            <w:vAlign w:val="center"/>
          </w:tcPr>
          <w:p w14:paraId="60D0F7C7">
            <w:pPr>
              <w:snapToGrid w:val="0"/>
              <w:spacing w:before="50" w:after="50"/>
              <w:jc w:val="center"/>
              <w:rPr>
                <w:rFonts w:ascii="宋体"/>
                <w:color w:val="auto"/>
                <w:sz w:val="24"/>
                <w:szCs w:val="24"/>
                <w:highlight w:val="none"/>
              </w:rPr>
            </w:pPr>
          </w:p>
        </w:tc>
      </w:tr>
      <w:tr w14:paraId="15BD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9E990C8">
            <w:pPr>
              <w:snapToGrid w:val="0"/>
              <w:spacing w:before="50" w:after="50"/>
              <w:jc w:val="center"/>
              <w:rPr>
                <w:rFonts w:ascii="宋体"/>
                <w:color w:val="auto"/>
                <w:sz w:val="24"/>
                <w:szCs w:val="24"/>
                <w:highlight w:val="none"/>
              </w:rPr>
            </w:pPr>
          </w:p>
        </w:tc>
        <w:tc>
          <w:tcPr>
            <w:tcW w:w="1440" w:type="dxa"/>
            <w:vAlign w:val="center"/>
          </w:tcPr>
          <w:p w14:paraId="2A7D96CC">
            <w:pPr>
              <w:snapToGrid w:val="0"/>
              <w:spacing w:before="50" w:after="50"/>
              <w:jc w:val="center"/>
              <w:rPr>
                <w:rFonts w:ascii="宋体"/>
                <w:color w:val="auto"/>
                <w:sz w:val="24"/>
                <w:szCs w:val="24"/>
                <w:highlight w:val="none"/>
              </w:rPr>
            </w:pPr>
          </w:p>
        </w:tc>
        <w:tc>
          <w:tcPr>
            <w:tcW w:w="1980" w:type="dxa"/>
            <w:vAlign w:val="center"/>
          </w:tcPr>
          <w:p w14:paraId="587C9770">
            <w:pPr>
              <w:snapToGrid w:val="0"/>
              <w:spacing w:before="50" w:after="50"/>
              <w:jc w:val="center"/>
              <w:rPr>
                <w:rFonts w:ascii="宋体"/>
                <w:color w:val="auto"/>
                <w:sz w:val="24"/>
                <w:szCs w:val="24"/>
                <w:highlight w:val="none"/>
              </w:rPr>
            </w:pPr>
          </w:p>
        </w:tc>
        <w:tc>
          <w:tcPr>
            <w:tcW w:w="2520" w:type="dxa"/>
            <w:vAlign w:val="center"/>
          </w:tcPr>
          <w:p w14:paraId="6E6F76C1">
            <w:pPr>
              <w:snapToGrid w:val="0"/>
              <w:spacing w:before="50" w:after="50"/>
              <w:jc w:val="center"/>
              <w:rPr>
                <w:rFonts w:ascii="宋体"/>
                <w:color w:val="auto"/>
                <w:sz w:val="24"/>
                <w:szCs w:val="24"/>
                <w:highlight w:val="none"/>
              </w:rPr>
            </w:pPr>
          </w:p>
        </w:tc>
        <w:tc>
          <w:tcPr>
            <w:tcW w:w="1953" w:type="dxa"/>
            <w:vAlign w:val="center"/>
          </w:tcPr>
          <w:p w14:paraId="6F3ABDDC">
            <w:pPr>
              <w:snapToGrid w:val="0"/>
              <w:spacing w:before="50" w:after="50"/>
              <w:jc w:val="center"/>
              <w:rPr>
                <w:rFonts w:ascii="宋体"/>
                <w:color w:val="auto"/>
                <w:sz w:val="24"/>
                <w:szCs w:val="24"/>
                <w:highlight w:val="none"/>
              </w:rPr>
            </w:pPr>
          </w:p>
        </w:tc>
      </w:tr>
      <w:tr w14:paraId="5F3C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BC5D403">
            <w:pPr>
              <w:snapToGrid w:val="0"/>
              <w:spacing w:before="50" w:after="50"/>
              <w:jc w:val="center"/>
              <w:rPr>
                <w:rFonts w:ascii="宋体"/>
                <w:color w:val="auto"/>
                <w:sz w:val="24"/>
                <w:szCs w:val="24"/>
                <w:highlight w:val="none"/>
              </w:rPr>
            </w:pPr>
          </w:p>
        </w:tc>
        <w:tc>
          <w:tcPr>
            <w:tcW w:w="1440" w:type="dxa"/>
            <w:vAlign w:val="center"/>
          </w:tcPr>
          <w:p w14:paraId="726B853E">
            <w:pPr>
              <w:snapToGrid w:val="0"/>
              <w:spacing w:before="50" w:after="50"/>
              <w:jc w:val="center"/>
              <w:rPr>
                <w:rFonts w:ascii="宋体"/>
                <w:color w:val="auto"/>
                <w:sz w:val="24"/>
                <w:szCs w:val="24"/>
                <w:highlight w:val="none"/>
              </w:rPr>
            </w:pPr>
          </w:p>
        </w:tc>
        <w:tc>
          <w:tcPr>
            <w:tcW w:w="1980" w:type="dxa"/>
            <w:vAlign w:val="center"/>
          </w:tcPr>
          <w:p w14:paraId="7577443C">
            <w:pPr>
              <w:snapToGrid w:val="0"/>
              <w:spacing w:before="50" w:after="50"/>
              <w:jc w:val="center"/>
              <w:rPr>
                <w:rFonts w:ascii="宋体"/>
                <w:color w:val="auto"/>
                <w:sz w:val="24"/>
                <w:szCs w:val="24"/>
                <w:highlight w:val="none"/>
              </w:rPr>
            </w:pPr>
          </w:p>
        </w:tc>
        <w:tc>
          <w:tcPr>
            <w:tcW w:w="2520" w:type="dxa"/>
            <w:vAlign w:val="center"/>
          </w:tcPr>
          <w:p w14:paraId="3D40AE1D">
            <w:pPr>
              <w:snapToGrid w:val="0"/>
              <w:spacing w:before="50" w:after="50"/>
              <w:jc w:val="center"/>
              <w:rPr>
                <w:rFonts w:ascii="宋体"/>
                <w:color w:val="auto"/>
                <w:sz w:val="24"/>
                <w:szCs w:val="24"/>
                <w:highlight w:val="none"/>
              </w:rPr>
            </w:pPr>
          </w:p>
        </w:tc>
        <w:tc>
          <w:tcPr>
            <w:tcW w:w="1953" w:type="dxa"/>
            <w:vAlign w:val="center"/>
          </w:tcPr>
          <w:p w14:paraId="30C521E9">
            <w:pPr>
              <w:snapToGrid w:val="0"/>
              <w:spacing w:before="50" w:after="50"/>
              <w:jc w:val="center"/>
              <w:rPr>
                <w:rFonts w:ascii="宋体"/>
                <w:color w:val="auto"/>
                <w:sz w:val="24"/>
                <w:szCs w:val="24"/>
                <w:highlight w:val="none"/>
              </w:rPr>
            </w:pPr>
          </w:p>
        </w:tc>
      </w:tr>
      <w:tr w14:paraId="37F9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3D7EC41">
            <w:pPr>
              <w:snapToGrid w:val="0"/>
              <w:spacing w:before="50" w:after="50"/>
              <w:jc w:val="center"/>
              <w:rPr>
                <w:rFonts w:ascii="宋体"/>
                <w:color w:val="auto"/>
                <w:sz w:val="24"/>
                <w:szCs w:val="24"/>
                <w:highlight w:val="none"/>
              </w:rPr>
            </w:pPr>
          </w:p>
        </w:tc>
        <w:tc>
          <w:tcPr>
            <w:tcW w:w="1440" w:type="dxa"/>
            <w:vAlign w:val="center"/>
          </w:tcPr>
          <w:p w14:paraId="477EDA2F">
            <w:pPr>
              <w:snapToGrid w:val="0"/>
              <w:spacing w:before="50" w:after="50"/>
              <w:jc w:val="center"/>
              <w:rPr>
                <w:rFonts w:ascii="宋体"/>
                <w:color w:val="auto"/>
                <w:sz w:val="24"/>
                <w:szCs w:val="24"/>
                <w:highlight w:val="none"/>
              </w:rPr>
            </w:pPr>
          </w:p>
        </w:tc>
        <w:tc>
          <w:tcPr>
            <w:tcW w:w="1980" w:type="dxa"/>
            <w:vAlign w:val="center"/>
          </w:tcPr>
          <w:p w14:paraId="69909E2A">
            <w:pPr>
              <w:snapToGrid w:val="0"/>
              <w:spacing w:before="50" w:after="50"/>
              <w:jc w:val="center"/>
              <w:rPr>
                <w:rFonts w:ascii="宋体"/>
                <w:color w:val="auto"/>
                <w:sz w:val="24"/>
                <w:szCs w:val="24"/>
                <w:highlight w:val="none"/>
              </w:rPr>
            </w:pPr>
          </w:p>
        </w:tc>
        <w:tc>
          <w:tcPr>
            <w:tcW w:w="2520" w:type="dxa"/>
            <w:vAlign w:val="center"/>
          </w:tcPr>
          <w:p w14:paraId="5B011D24">
            <w:pPr>
              <w:snapToGrid w:val="0"/>
              <w:spacing w:before="50" w:after="50"/>
              <w:jc w:val="center"/>
              <w:rPr>
                <w:rFonts w:ascii="宋体"/>
                <w:color w:val="auto"/>
                <w:sz w:val="24"/>
                <w:szCs w:val="24"/>
                <w:highlight w:val="none"/>
              </w:rPr>
            </w:pPr>
          </w:p>
        </w:tc>
        <w:tc>
          <w:tcPr>
            <w:tcW w:w="1953" w:type="dxa"/>
            <w:vAlign w:val="center"/>
          </w:tcPr>
          <w:p w14:paraId="64B3527D">
            <w:pPr>
              <w:snapToGrid w:val="0"/>
              <w:spacing w:before="50" w:after="50"/>
              <w:jc w:val="center"/>
              <w:rPr>
                <w:rFonts w:ascii="宋体"/>
                <w:color w:val="auto"/>
                <w:sz w:val="24"/>
                <w:szCs w:val="24"/>
                <w:highlight w:val="none"/>
              </w:rPr>
            </w:pPr>
          </w:p>
        </w:tc>
      </w:tr>
      <w:tr w14:paraId="1283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5164F7F">
            <w:pPr>
              <w:snapToGrid w:val="0"/>
              <w:spacing w:before="50" w:after="50"/>
              <w:jc w:val="center"/>
              <w:rPr>
                <w:rFonts w:ascii="宋体"/>
                <w:color w:val="auto"/>
                <w:sz w:val="24"/>
                <w:szCs w:val="24"/>
                <w:highlight w:val="none"/>
              </w:rPr>
            </w:pPr>
          </w:p>
        </w:tc>
        <w:tc>
          <w:tcPr>
            <w:tcW w:w="1440" w:type="dxa"/>
            <w:vAlign w:val="center"/>
          </w:tcPr>
          <w:p w14:paraId="0B31F7C2">
            <w:pPr>
              <w:snapToGrid w:val="0"/>
              <w:spacing w:before="50" w:after="50"/>
              <w:jc w:val="center"/>
              <w:rPr>
                <w:rFonts w:ascii="宋体"/>
                <w:color w:val="auto"/>
                <w:sz w:val="24"/>
                <w:szCs w:val="24"/>
                <w:highlight w:val="none"/>
              </w:rPr>
            </w:pPr>
          </w:p>
        </w:tc>
        <w:tc>
          <w:tcPr>
            <w:tcW w:w="1980" w:type="dxa"/>
            <w:vAlign w:val="center"/>
          </w:tcPr>
          <w:p w14:paraId="1C8BC696">
            <w:pPr>
              <w:snapToGrid w:val="0"/>
              <w:spacing w:before="50" w:after="50"/>
              <w:jc w:val="center"/>
              <w:rPr>
                <w:rFonts w:ascii="宋体"/>
                <w:color w:val="auto"/>
                <w:sz w:val="24"/>
                <w:szCs w:val="24"/>
                <w:highlight w:val="none"/>
              </w:rPr>
            </w:pPr>
          </w:p>
        </w:tc>
        <w:tc>
          <w:tcPr>
            <w:tcW w:w="2520" w:type="dxa"/>
            <w:vAlign w:val="center"/>
          </w:tcPr>
          <w:p w14:paraId="23FD0C83">
            <w:pPr>
              <w:snapToGrid w:val="0"/>
              <w:spacing w:before="50" w:after="50"/>
              <w:jc w:val="center"/>
              <w:rPr>
                <w:rFonts w:ascii="宋体"/>
                <w:color w:val="auto"/>
                <w:sz w:val="24"/>
                <w:szCs w:val="24"/>
                <w:highlight w:val="none"/>
              </w:rPr>
            </w:pPr>
          </w:p>
        </w:tc>
        <w:tc>
          <w:tcPr>
            <w:tcW w:w="1953" w:type="dxa"/>
            <w:vAlign w:val="center"/>
          </w:tcPr>
          <w:p w14:paraId="46C99E41">
            <w:pPr>
              <w:snapToGrid w:val="0"/>
              <w:spacing w:before="50" w:after="50"/>
              <w:jc w:val="center"/>
              <w:rPr>
                <w:rFonts w:ascii="宋体"/>
                <w:color w:val="auto"/>
                <w:sz w:val="24"/>
                <w:szCs w:val="24"/>
                <w:highlight w:val="none"/>
              </w:rPr>
            </w:pPr>
          </w:p>
        </w:tc>
      </w:tr>
      <w:tr w14:paraId="4C46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5A40084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301B3858">
            <w:pPr>
              <w:spacing w:line="360" w:lineRule="auto"/>
              <w:jc w:val="center"/>
              <w:rPr>
                <w:rFonts w:ascii="宋体"/>
                <w:color w:val="auto"/>
                <w:sz w:val="24"/>
                <w:szCs w:val="24"/>
                <w:highlight w:val="none"/>
              </w:rPr>
            </w:pPr>
          </w:p>
        </w:tc>
      </w:tr>
    </w:tbl>
    <w:p w14:paraId="13611E4A">
      <w:pPr>
        <w:snapToGrid w:val="0"/>
        <w:spacing w:line="360" w:lineRule="auto"/>
        <w:rPr>
          <w:rFonts w:ascii="宋体"/>
          <w:color w:val="auto"/>
          <w:sz w:val="24"/>
          <w:szCs w:val="24"/>
          <w:highlight w:val="none"/>
        </w:rPr>
      </w:pPr>
    </w:p>
    <w:p w14:paraId="4D68463C">
      <w:pPr>
        <w:pStyle w:val="17"/>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4F63E772">
      <w:pPr>
        <w:rPr>
          <w:rFonts w:ascii="宋体"/>
          <w:color w:val="auto"/>
          <w:sz w:val="24"/>
          <w:szCs w:val="24"/>
          <w:highlight w:val="none"/>
        </w:rPr>
      </w:pPr>
    </w:p>
    <w:p w14:paraId="3AFB4953">
      <w:pPr>
        <w:pStyle w:val="14"/>
        <w:rPr>
          <w:rFonts w:cs="Times New Roman"/>
          <w:color w:val="auto"/>
          <w:highlight w:val="none"/>
        </w:rPr>
      </w:pPr>
    </w:p>
    <w:p w14:paraId="321B8B6B">
      <w:pPr>
        <w:snapToGrid w:val="0"/>
        <w:spacing w:line="360" w:lineRule="auto"/>
        <w:rPr>
          <w:rFonts w:ascii="宋体"/>
          <w:color w:val="auto"/>
          <w:sz w:val="24"/>
          <w:szCs w:val="24"/>
          <w:highlight w:val="none"/>
        </w:rPr>
      </w:pPr>
    </w:p>
    <w:p w14:paraId="3F3BB28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6A51E3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FC192D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8B8A513">
      <w:pPr>
        <w:rPr>
          <w:color w:val="auto"/>
          <w:sz w:val="24"/>
          <w:szCs w:val="24"/>
          <w:highlight w:val="none"/>
        </w:rPr>
      </w:pPr>
      <w:r>
        <w:rPr>
          <w:color w:val="auto"/>
          <w:sz w:val="24"/>
          <w:szCs w:val="24"/>
          <w:highlight w:val="none"/>
        </w:rPr>
        <w:br w:type="page"/>
      </w:r>
    </w:p>
    <w:p w14:paraId="0D6B9CDA">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w:t>
      </w:r>
      <w:r>
        <w:rPr>
          <w:rFonts w:hint="eastAsia" w:cs="宋体"/>
          <w:b/>
          <w:bCs/>
          <w:color w:val="auto"/>
          <w:sz w:val="24"/>
          <w:szCs w:val="24"/>
          <w:highlight w:val="none"/>
        </w:rPr>
        <w:t>：</w:t>
      </w:r>
    </w:p>
    <w:p w14:paraId="5201487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5AAD733C">
      <w:pPr>
        <w:snapToGrid w:val="0"/>
        <w:spacing w:before="50"/>
        <w:jc w:val="center"/>
        <w:rPr>
          <w:rFonts w:ascii="宋体"/>
          <w:b/>
          <w:bCs/>
          <w:color w:val="auto"/>
          <w:sz w:val="32"/>
          <w:szCs w:val="32"/>
          <w:highlight w:val="none"/>
        </w:rPr>
      </w:pPr>
    </w:p>
    <w:p w14:paraId="5799974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373C24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30E89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4E8A717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5DD66B4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5A29613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2C5EDC3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672C4D1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1DEDE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C54B31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644" w:type="dxa"/>
            <w:tcBorders>
              <w:top w:val="single" w:color="auto" w:sz="4" w:space="0"/>
              <w:left w:val="single" w:color="auto" w:sz="4" w:space="0"/>
              <w:bottom w:val="single" w:color="auto" w:sz="4" w:space="0"/>
              <w:right w:val="single" w:color="auto" w:sz="4" w:space="0"/>
            </w:tcBorders>
            <w:vAlign w:val="center"/>
          </w:tcPr>
          <w:p w14:paraId="330D7E8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1B90C96">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B078AB7">
            <w:pPr>
              <w:snapToGrid w:val="0"/>
              <w:spacing w:before="50" w:after="50"/>
              <w:jc w:val="center"/>
              <w:rPr>
                <w:rFonts w:ascii="宋体"/>
                <w:color w:val="auto"/>
                <w:sz w:val="24"/>
                <w:szCs w:val="24"/>
                <w:highlight w:val="none"/>
              </w:rPr>
            </w:pPr>
          </w:p>
        </w:tc>
      </w:tr>
      <w:tr w14:paraId="5B4C2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E725F7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644" w:type="dxa"/>
            <w:tcBorders>
              <w:top w:val="single" w:color="auto" w:sz="4" w:space="0"/>
              <w:left w:val="single" w:color="auto" w:sz="4" w:space="0"/>
              <w:bottom w:val="single" w:color="auto" w:sz="4" w:space="0"/>
              <w:right w:val="single" w:color="auto" w:sz="4" w:space="0"/>
            </w:tcBorders>
            <w:vAlign w:val="center"/>
          </w:tcPr>
          <w:p w14:paraId="7382576E">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C62DDC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48A82B6">
            <w:pPr>
              <w:snapToGrid w:val="0"/>
              <w:spacing w:before="50" w:after="50"/>
              <w:jc w:val="center"/>
              <w:rPr>
                <w:rFonts w:ascii="宋体"/>
                <w:color w:val="auto"/>
                <w:sz w:val="24"/>
                <w:szCs w:val="24"/>
                <w:highlight w:val="none"/>
              </w:rPr>
            </w:pPr>
          </w:p>
        </w:tc>
      </w:tr>
      <w:tr w14:paraId="300B3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3567FBB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644" w:type="dxa"/>
            <w:tcBorders>
              <w:top w:val="single" w:color="auto" w:sz="4" w:space="0"/>
              <w:left w:val="single" w:color="auto" w:sz="4" w:space="0"/>
              <w:bottom w:val="single" w:color="auto" w:sz="4" w:space="0"/>
              <w:right w:val="single" w:color="auto" w:sz="4" w:space="0"/>
            </w:tcBorders>
            <w:vAlign w:val="center"/>
          </w:tcPr>
          <w:p w14:paraId="2D45962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817FC15">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B7AC3F3">
            <w:pPr>
              <w:snapToGrid w:val="0"/>
              <w:spacing w:before="50" w:after="50"/>
              <w:jc w:val="center"/>
              <w:rPr>
                <w:rFonts w:ascii="宋体"/>
                <w:color w:val="auto"/>
                <w:sz w:val="24"/>
                <w:szCs w:val="24"/>
                <w:highlight w:val="none"/>
              </w:rPr>
            </w:pPr>
          </w:p>
        </w:tc>
      </w:tr>
      <w:tr w14:paraId="782B6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F9B238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644" w:type="dxa"/>
            <w:tcBorders>
              <w:top w:val="single" w:color="auto" w:sz="4" w:space="0"/>
              <w:left w:val="single" w:color="auto" w:sz="4" w:space="0"/>
              <w:bottom w:val="single" w:color="auto" w:sz="4" w:space="0"/>
              <w:right w:val="single" w:color="auto" w:sz="4" w:space="0"/>
            </w:tcBorders>
            <w:vAlign w:val="center"/>
          </w:tcPr>
          <w:p w14:paraId="13082AE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BDB76BD">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D03AC04">
            <w:pPr>
              <w:snapToGrid w:val="0"/>
              <w:spacing w:before="50" w:after="50"/>
              <w:jc w:val="center"/>
              <w:rPr>
                <w:rFonts w:ascii="宋体"/>
                <w:color w:val="auto"/>
                <w:sz w:val="24"/>
                <w:szCs w:val="24"/>
                <w:highlight w:val="none"/>
              </w:rPr>
            </w:pPr>
          </w:p>
        </w:tc>
      </w:tr>
      <w:tr w14:paraId="17ECD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0A247B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644" w:type="dxa"/>
            <w:tcBorders>
              <w:top w:val="single" w:color="auto" w:sz="4" w:space="0"/>
              <w:left w:val="single" w:color="auto" w:sz="4" w:space="0"/>
              <w:bottom w:val="single" w:color="auto" w:sz="4" w:space="0"/>
              <w:right w:val="single" w:color="auto" w:sz="4" w:space="0"/>
            </w:tcBorders>
            <w:vAlign w:val="center"/>
          </w:tcPr>
          <w:p w14:paraId="18624FA4">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FB5E675">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A1158D1">
            <w:pPr>
              <w:snapToGrid w:val="0"/>
              <w:spacing w:before="50" w:after="50"/>
              <w:jc w:val="center"/>
              <w:rPr>
                <w:rFonts w:ascii="宋体"/>
                <w:color w:val="auto"/>
                <w:sz w:val="24"/>
                <w:szCs w:val="24"/>
                <w:highlight w:val="none"/>
              </w:rPr>
            </w:pPr>
          </w:p>
        </w:tc>
      </w:tr>
      <w:tr w14:paraId="62F68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8990B2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644" w:type="dxa"/>
            <w:tcBorders>
              <w:top w:val="single" w:color="auto" w:sz="4" w:space="0"/>
              <w:left w:val="single" w:color="auto" w:sz="4" w:space="0"/>
              <w:bottom w:val="single" w:color="auto" w:sz="4" w:space="0"/>
              <w:right w:val="single" w:color="auto" w:sz="4" w:space="0"/>
            </w:tcBorders>
            <w:vAlign w:val="center"/>
          </w:tcPr>
          <w:p w14:paraId="68F542FE">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100DB4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B39A1A0">
            <w:pPr>
              <w:snapToGrid w:val="0"/>
              <w:spacing w:before="50" w:after="50"/>
              <w:jc w:val="center"/>
              <w:rPr>
                <w:rFonts w:ascii="宋体"/>
                <w:color w:val="auto"/>
                <w:sz w:val="24"/>
                <w:szCs w:val="24"/>
                <w:highlight w:val="none"/>
              </w:rPr>
            </w:pPr>
          </w:p>
        </w:tc>
      </w:tr>
      <w:tr w14:paraId="47923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9D47DF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644" w:type="dxa"/>
            <w:tcBorders>
              <w:top w:val="single" w:color="auto" w:sz="4" w:space="0"/>
              <w:left w:val="single" w:color="auto" w:sz="4" w:space="0"/>
              <w:bottom w:val="single" w:color="auto" w:sz="4" w:space="0"/>
              <w:right w:val="single" w:color="auto" w:sz="4" w:space="0"/>
            </w:tcBorders>
            <w:vAlign w:val="center"/>
          </w:tcPr>
          <w:p w14:paraId="749691E8">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8E0E5F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D89C103">
            <w:pPr>
              <w:snapToGrid w:val="0"/>
              <w:spacing w:before="50" w:after="50"/>
              <w:jc w:val="center"/>
              <w:rPr>
                <w:rFonts w:ascii="宋体"/>
                <w:color w:val="auto"/>
                <w:sz w:val="24"/>
                <w:szCs w:val="24"/>
                <w:highlight w:val="none"/>
              </w:rPr>
            </w:pPr>
          </w:p>
        </w:tc>
      </w:tr>
      <w:tr w14:paraId="45BBA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7A6539F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644" w:type="dxa"/>
            <w:tcBorders>
              <w:top w:val="single" w:color="auto" w:sz="4" w:space="0"/>
              <w:left w:val="single" w:color="auto" w:sz="4" w:space="0"/>
              <w:bottom w:val="single" w:color="auto" w:sz="4" w:space="0"/>
              <w:right w:val="single" w:color="auto" w:sz="4" w:space="0"/>
            </w:tcBorders>
            <w:vAlign w:val="center"/>
          </w:tcPr>
          <w:p w14:paraId="64CD61B9">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6D3334A">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C4EC6B6">
            <w:pPr>
              <w:snapToGrid w:val="0"/>
              <w:spacing w:before="50" w:after="50"/>
              <w:jc w:val="center"/>
              <w:rPr>
                <w:rFonts w:ascii="宋体"/>
                <w:color w:val="auto"/>
                <w:sz w:val="24"/>
                <w:szCs w:val="24"/>
                <w:highlight w:val="none"/>
              </w:rPr>
            </w:pPr>
          </w:p>
        </w:tc>
      </w:tr>
      <w:tr w14:paraId="275D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E72BB8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644" w:type="dxa"/>
            <w:tcBorders>
              <w:top w:val="single" w:color="auto" w:sz="4" w:space="0"/>
              <w:left w:val="single" w:color="auto" w:sz="4" w:space="0"/>
              <w:bottom w:val="single" w:color="auto" w:sz="4" w:space="0"/>
              <w:right w:val="single" w:color="auto" w:sz="4" w:space="0"/>
            </w:tcBorders>
            <w:vAlign w:val="center"/>
          </w:tcPr>
          <w:p w14:paraId="4197F896">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BA0BBD6">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81A3551">
            <w:pPr>
              <w:snapToGrid w:val="0"/>
              <w:spacing w:before="50" w:after="50"/>
              <w:jc w:val="center"/>
              <w:rPr>
                <w:rFonts w:ascii="宋体"/>
                <w:color w:val="auto"/>
                <w:sz w:val="24"/>
                <w:szCs w:val="24"/>
                <w:highlight w:val="none"/>
              </w:rPr>
            </w:pPr>
          </w:p>
        </w:tc>
      </w:tr>
      <w:tr w14:paraId="01F7A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D7DBB0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644" w:type="dxa"/>
            <w:tcBorders>
              <w:top w:val="single" w:color="auto" w:sz="4" w:space="0"/>
              <w:left w:val="single" w:color="auto" w:sz="4" w:space="0"/>
              <w:bottom w:val="single" w:color="auto" w:sz="4" w:space="0"/>
              <w:right w:val="single" w:color="auto" w:sz="4" w:space="0"/>
            </w:tcBorders>
            <w:vAlign w:val="center"/>
          </w:tcPr>
          <w:p w14:paraId="65EAE91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E6384AD">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B9FDA7F">
            <w:pPr>
              <w:snapToGrid w:val="0"/>
              <w:spacing w:before="50" w:after="50"/>
              <w:jc w:val="center"/>
              <w:rPr>
                <w:rFonts w:ascii="宋体"/>
                <w:color w:val="auto"/>
                <w:sz w:val="24"/>
                <w:szCs w:val="24"/>
                <w:highlight w:val="none"/>
              </w:rPr>
            </w:pPr>
          </w:p>
        </w:tc>
      </w:tr>
      <w:tr w14:paraId="40FEB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4B68365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644" w:type="dxa"/>
            <w:tcBorders>
              <w:top w:val="single" w:color="auto" w:sz="4" w:space="0"/>
              <w:left w:val="single" w:color="auto" w:sz="4" w:space="0"/>
              <w:bottom w:val="single" w:color="auto" w:sz="4" w:space="0"/>
              <w:right w:val="single" w:color="auto" w:sz="4" w:space="0"/>
            </w:tcBorders>
            <w:vAlign w:val="center"/>
          </w:tcPr>
          <w:p w14:paraId="37898A1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B9F2D70">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18AB5E7">
            <w:pPr>
              <w:snapToGrid w:val="0"/>
              <w:spacing w:before="50" w:after="50"/>
              <w:jc w:val="center"/>
              <w:rPr>
                <w:rFonts w:ascii="宋体"/>
                <w:color w:val="auto"/>
                <w:sz w:val="24"/>
                <w:szCs w:val="24"/>
                <w:highlight w:val="none"/>
              </w:rPr>
            </w:pPr>
          </w:p>
        </w:tc>
      </w:tr>
    </w:tbl>
    <w:p w14:paraId="739FE41E">
      <w:pPr>
        <w:spacing w:line="360" w:lineRule="auto"/>
        <w:ind w:left="3780" w:leftChars="1800" w:firstLine="480" w:firstLineChars="200"/>
        <w:rPr>
          <w:rFonts w:ascii="宋体"/>
          <w:color w:val="auto"/>
          <w:sz w:val="24"/>
          <w:szCs w:val="24"/>
          <w:highlight w:val="none"/>
        </w:rPr>
      </w:pPr>
    </w:p>
    <w:p w14:paraId="093C7786">
      <w:pPr>
        <w:spacing w:line="360" w:lineRule="auto"/>
        <w:ind w:left="3780" w:leftChars="1800" w:firstLine="480" w:firstLineChars="200"/>
        <w:rPr>
          <w:rFonts w:ascii="宋体"/>
          <w:color w:val="auto"/>
          <w:sz w:val="24"/>
          <w:szCs w:val="24"/>
          <w:highlight w:val="none"/>
        </w:rPr>
      </w:pPr>
    </w:p>
    <w:p w14:paraId="13B15FB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C75298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4384F0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437F3A5">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lang w:val="zh-CN"/>
        </w:rPr>
        <w:t>：</w:t>
      </w:r>
    </w:p>
    <w:p w14:paraId="4748139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70202662">
      <w:pPr>
        <w:snapToGrid w:val="0"/>
        <w:spacing w:beforeLines="50" w:after="50"/>
        <w:jc w:val="center"/>
        <w:rPr>
          <w:rFonts w:ascii="宋体"/>
          <w:b/>
          <w:bCs/>
          <w:color w:val="auto"/>
          <w:sz w:val="30"/>
          <w:szCs w:val="30"/>
          <w:highlight w:val="none"/>
        </w:rPr>
      </w:pPr>
    </w:p>
    <w:p w14:paraId="6FA4230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B6BF75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7BE71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7A7119E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5A7DC5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1D1964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45BC60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722E948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0B8E60F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47C6D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CB7311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C4F1C28">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5806E5F">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B1B507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3624BD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72007DD">
            <w:pPr>
              <w:snapToGrid w:val="0"/>
              <w:spacing w:before="156" w:beforeLines="50" w:after="50" w:line="460" w:lineRule="exact"/>
              <w:rPr>
                <w:rFonts w:ascii="宋体"/>
                <w:color w:val="auto"/>
                <w:sz w:val="24"/>
                <w:szCs w:val="24"/>
                <w:highlight w:val="none"/>
              </w:rPr>
            </w:pPr>
          </w:p>
        </w:tc>
      </w:tr>
      <w:tr w14:paraId="54D89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658D9C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93CEFE0">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31F36A0">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9D6F6F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F43744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43E0E91">
            <w:pPr>
              <w:snapToGrid w:val="0"/>
              <w:spacing w:before="156" w:beforeLines="50" w:after="50" w:line="460" w:lineRule="exact"/>
              <w:rPr>
                <w:rFonts w:ascii="宋体"/>
                <w:color w:val="auto"/>
                <w:sz w:val="24"/>
                <w:szCs w:val="24"/>
                <w:highlight w:val="none"/>
              </w:rPr>
            </w:pPr>
          </w:p>
        </w:tc>
      </w:tr>
      <w:tr w14:paraId="234BB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420A4E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94AACE2">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C2A75BF">
            <w:pPr>
              <w:pStyle w:val="18"/>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CC83A5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38D56C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FE7373D">
            <w:pPr>
              <w:snapToGrid w:val="0"/>
              <w:spacing w:before="156" w:beforeLines="50" w:after="50" w:line="460" w:lineRule="exact"/>
              <w:rPr>
                <w:rFonts w:ascii="宋体"/>
                <w:color w:val="auto"/>
                <w:sz w:val="24"/>
                <w:szCs w:val="24"/>
                <w:highlight w:val="none"/>
              </w:rPr>
            </w:pPr>
          </w:p>
        </w:tc>
      </w:tr>
      <w:tr w14:paraId="38243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4B0790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D95981E">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162ADA9">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726575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B1D7CC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059E66C">
            <w:pPr>
              <w:snapToGrid w:val="0"/>
              <w:spacing w:before="156" w:beforeLines="50" w:after="50" w:line="460" w:lineRule="exact"/>
              <w:rPr>
                <w:rFonts w:ascii="宋体"/>
                <w:color w:val="auto"/>
                <w:sz w:val="24"/>
                <w:szCs w:val="24"/>
                <w:highlight w:val="none"/>
              </w:rPr>
            </w:pPr>
          </w:p>
        </w:tc>
      </w:tr>
      <w:tr w14:paraId="43027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911645B">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8FEAB97">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59ABC4C">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5ECF24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6087D4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BA355BD">
            <w:pPr>
              <w:snapToGrid w:val="0"/>
              <w:spacing w:before="156" w:beforeLines="50" w:after="50" w:line="460" w:lineRule="exact"/>
              <w:rPr>
                <w:rFonts w:ascii="宋体"/>
                <w:color w:val="auto"/>
                <w:sz w:val="24"/>
                <w:szCs w:val="24"/>
                <w:highlight w:val="none"/>
              </w:rPr>
            </w:pPr>
          </w:p>
        </w:tc>
      </w:tr>
      <w:tr w14:paraId="1C1BB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93838FA">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02B261B">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CAFC52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5B9FDC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9BDCB2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A5AB649">
            <w:pPr>
              <w:snapToGrid w:val="0"/>
              <w:spacing w:before="156" w:beforeLines="50" w:after="50" w:line="460" w:lineRule="exact"/>
              <w:rPr>
                <w:rFonts w:ascii="宋体"/>
                <w:color w:val="auto"/>
                <w:sz w:val="24"/>
                <w:szCs w:val="24"/>
                <w:highlight w:val="none"/>
              </w:rPr>
            </w:pPr>
          </w:p>
        </w:tc>
      </w:tr>
      <w:tr w14:paraId="78006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FABD1C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3FEDFC4">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9EAF5A1">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ABDE5E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F4120C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735B381">
            <w:pPr>
              <w:snapToGrid w:val="0"/>
              <w:spacing w:before="156" w:beforeLines="50" w:after="50" w:line="460" w:lineRule="exact"/>
              <w:rPr>
                <w:rFonts w:ascii="宋体"/>
                <w:color w:val="auto"/>
                <w:sz w:val="24"/>
                <w:szCs w:val="24"/>
                <w:highlight w:val="none"/>
              </w:rPr>
            </w:pPr>
          </w:p>
        </w:tc>
      </w:tr>
      <w:tr w14:paraId="69C7D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2BB517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FE50629">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118D1CA">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6C117A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A58C7A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3D998B8">
            <w:pPr>
              <w:snapToGrid w:val="0"/>
              <w:spacing w:before="156" w:beforeLines="50" w:after="50" w:line="460" w:lineRule="exact"/>
              <w:rPr>
                <w:rFonts w:ascii="宋体"/>
                <w:color w:val="auto"/>
                <w:sz w:val="24"/>
                <w:szCs w:val="24"/>
                <w:highlight w:val="none"/>
              </w:rPr>
            </w:pPr>
          </w:p>
        </w:tc>
      </w:tr>
      <w:tr w14:paraId="141BB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493F643">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A9478B3">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B0428B6">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982F69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DEAD27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80DBB68">
            <w:pPr>
              <w:snapToGrid w:val="0"/>
              <w:spacing w:before="156" w:beforeLines="50" w:after="50" w:line="460" w:lineRule="exact"/>
              <w:rPr>
                <w:rFonts w:ascii="宋体"/>
                <w:color w:val="auto"/>
                <w:sz w:val="24"/>
                <w:szCs w:val="24"/>
                <w:highlight w:val="none"/>
              </w:rPr>
            </w:pPr>
          </w:p>
        </w:tc>
      </w:tr>
    </w:tbl>
    <w:p w14:paraId="6795B0AD">
      <w:pPr>
        <w:spacing w:line="360" w:lineRule="auto"/>
        <w:ind w:firstLine="480" w:firstLineChars="200"/>
        <w:rPr>
          <w:rFonts w:ascii="宋体"/>
          <w:color w:val="auto"/>
          <w:sz w:val="24"/>
          <w:szCs w:val="24"/>
          <w:highlight w:val="none"/>
        </w:rPr>
      </w:pPr>
    </w:p>
    <w:p w14:paraId="5724E16E">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66EC6B65">
      <w:pPr>
        <w:pStyle w:val="14"/>
        <w:rPr>
          <w:rFonts w:cs="Times New Roman"/>
          <w:color w:val="auto"/>
          <w:highlight w:val="none"/>
        </w:rPr>
      </w:pPr>
    </w:p>
    <w:p w14:paraId="3E340D4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AA43E4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7E5A81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53C411AD">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4F94EE6A">
      <w:pPr>
        <w:spacing w:line="360" w:lineRule="auto"/>
        <w:jc w:val="center"/>
        <w:rPr>
          <w:rFonts w:ascii="宋体"/>
          <w:b/>
          <w:bCs/>
          <w:color w:val="auto"/>
          <w:kern w:val="0"/>
          <w:sz w:val="36"/>
          <w:szCs w:val="36"/>
          <w:highlight w:val="none"/>
        </w:rPr>
      </w:pPr>
    </w:p>
    <w:p w14:paraId="098C8DE6">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5C37E8F6">
      <w:pPr>
        <w:pStyle w:val="14"/>
        <w:ind w:firstLine="723"/>
        <w:rPr>
          <w:rFonts w:cs="Times New Roman"/>
          <w:b/>
          <w:bCs/>
          <w:color w:val="auto"/>
          <w:kern w:val="0"/>
          <w:sz w:val="36"/>
          <w:szCs w:val="36"/>
          <w:highlight w:val="none"/>
        </w:rPr>
      </w:pPr>
    </w:p>
    <w:p w14:paraId="607F153B">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19A0AC70">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574A748F">
      <w:pPr>
        <w:spacing w:line="360" w:lineRule="auto"/>
        <w:rPr>
          <w:rFonts w:ascii="宋体"/>
          <w:color w:val="auto"/>
          <w:sz w:val="24"/>
          <w:szCs w:val="24"/>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r>
        <w:rPr>
          <w:rFonts w:hint="eastAsia" w:ascii="宋体" w:hAnsi="宋体" w:cs="宋体"/>
          <w:color w:val="auto"/>
          <w:sz w:val="24"/>
          <w:szCs w:val="24"/>
        </w:rPr>
        <w:t>。</w:t>
      </w:r>
    </w:p>
    <w:p w14:paraId="180CB12A">
      <w:pPr>
        <w:rPr>
          <w:rFonts w:ascii="宋体"/>
          <w:color w:val="auto"/>
          <w:highlight w:val="none"/>
        </w:rPr>
      </w:pPr>
    </w:p>
    <w:p w14:paraId="23C7A4DD">
      <w:pPr>
        <w:rPr>
          <w:rFonts w:ascii="宋体"/>
          <w:color w:val="auto"/>
          <w:highlight w:val="none"/>
        </w:rPr>
      </w:pPr>
      <w:r>
        <w:rPr>
          <w:rFonts w:ascii="宋体"/>
          <w:color w:val="auto"/>
          <w:highlight w:val="none"/>
        </w:rPr>
        <w:br w:type="page"/>
      </w:r>
    </w:p>
    <w:p w14:paraId="2D7DA849">
      <w:pPr>
        <w:rPr>
          <w:rFonts w:ascii="宋体"/>
          <w:b/>
          <w:bCs/>
          <w:color w:val="auto"/>
          <w:highlight w:val="none"/>
          <w:lang w:val="zh-CN"/>
        </w:rPr>
      </w:pPr>
      <w:bookmarkStart w:id="96" w:name="_Toc3094"/>
      <w:r>
        <w:rPr>
          <w:rFonts w:hint="eastAsia" w:cs="宋体"/>
          <w:b/>
          <w:bCs/>
          <w:color w:val="auto"/>
          <w:sz w:val="24"/>
          <w:szCs w:val="24"/>
          <w:highlight w:val="none"/>
          <w:lang w:val="zh-CN"/>
        </w:rPr>
        <w:t>附件</w:t>
      </w:r>
      <w:bookmarkStart w:id="97" w:name="_Toc98731770"/>
      <w:bookmarkStart w:id="98" w:name="_Toc130094924"/>
      <w:r>
        <w:rPr>
          <w:rFonts w:hint="eastAsia" w:cs="宋体"/>
          <w:b/>
          <w:bCs/>
          <w:color w:val="auto"/>
          <w:sz w:val="24"/>
          <w:szCs w:val="24"/>
          <w:highlight w:val="none"/>
          <w:lang w:val="en-US" w:eastAsia="zh-CN"/>
        </w:rPr>
        <w:t>十二</w:t>
      </w:r>
      <w:r>
        <w:rPr>
          <w:rFonts w:hint="eastAsia" w:cs="宋体"/>
          <w:b/>
          <w:bCs/>
          <w:color w:val="auto"/>
          <w:sz w:val="24"/>
          <w:szCs w:val="24"/>
          <w:highlight w:val="none"/>
        </w:rPr>
        <w:t>：</w:t>
      </w:r>
    </w:p>
    <w:p w14:paraId="76EEFCA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96"/>
      <w:bookmarkEnd w:id="97"/>
      <w:bookmarkEnd w:id="98"/>
    </w:p>
    <w:p w14:paraId="56B0D013">
      <w:pPr>
        <w:spacing w:line="360" w:lineRule="auto"/>
        <w:ind w:firstLine="480" w:firstLineChars="200"/>
        <w:rPr>
          <w:rFonts w:ascii="宋体"/>
          <w:color w:val="auto"/>
          <w:sz w:val="24"/>
          <w:szCs w:val="24"/>
          <w:highlight w:val="none"/>
          <w:u w:val="single"/>
        </w:rPr>
      </w:pPr>
    </w:p>
    <w:p w14:paraId="4215FD5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绍兴市上虞区水利局</w:t>
      </w:r>
      <w:r>
        <w:rPr>
          <w:rFonts w:hint="eastAsia" w:ascii="宋体" w:hAnsi="宋体" w:cs="宋体"/>
          <w:color w:val="auto"/>
          <w:sz w:val="24"/>
          <w:szCs w:val="24"/>
          <w:highlight w:val="none"/>
        </w:rPr>
        <w:t>：</w:t>
      </w:r>
    </w:p>
    <w:p w14:paraId="3A4F904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浙江建科工程项目管理有限公司</w:t>
      </w:r>
      <w:r>
        <w:rPr>
          <w:rFonts w:hint="eastAsia" w:ascii="宋体" w:hAnsi="宋体" w:cs="宋体"/>
          <w:color w:val="auto"/>
          <w:sz w:val="24"/>
          <w:szCs w:val="24"/>
          <w:highlight w:val="none"/>
        </w:rPr>
        <w:t>：</w:t>
      </w:r>
    </w:p>
    <w:p w14:paraId="1558AA4B">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6969D10D">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5F4D5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32FECC9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7130AE9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17BC41C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11E6D4E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583FD26A">
      <w:pPr>
        <w:pStyle w:val="17"/>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3E5B3DE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77FF9ABD">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009EB98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4C5C1E8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2D5B865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5C627A5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26957E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2C8D736">
      <w:pPr>
        <w:spacing w:line="360" w:lineRule="auto"/>
        <w:ind w:firstLine="5280" w:firstLineChars="2200"/>
        <w:rPr>
          <w:rFonts w:ascii="宋体"/>
          <w:color w:val="auto"/>
          <w:sz w:val="24"/>
          <w:szCs w:val="24"/>
          <w:highlight w:val="none"/>
        </w:rPr>
      </w:pPr>
    </w:p>
    <w:p w14:paraId="38523B7B">
      <w:pPr>
        <w:rPr>
          <w:color w:val="auto"/>
          <w:sz w:val="24"/>
          <w:szCs w:val="24"/>
          <w:highlight w:val="none"/>
          <w:lang w:val="zh-CN"/>
        </w:rPr>
      </w:pPr>
      <w:bookmarkStart w:id="99" w:name="_Toc12011"/>
      <w:r>
        <w:rPr>
          <w:color w:val="auto"/>
          <w:sz w:val="24"/>
          <w:szCs w:val="24"/>
          <w:highlight w:val="none"/>
          <w:lang w:val="zh-CN"/>
        </w:rPr>
        <w:br w:type="page"/>
      </w:r>
    </w:p>
    <w:p w14:paraId="05C0801E">
      <w:pPr>
        <w:rPr>
          <w:b/>
          <w:bCs/>
          <w:color w:val="auto"/>
          <w:sz w:val="24"/>
          <w:szCs w:val="24"/>
          <w:highlight w:val="none"/>
          <w:lang w:val="zh-CN"/>
        </w:rPr>
      </w:pPr>
      <w:r>
        <w:rPr>
          <w:rFonts w:hint="eastAsia" w:cs="宋体"/>
          <w:b/>
          <w:bCs/>
          <w:color w:val="auto"/>
          <w:sz w:val="24"/>
          <w:szCs w:val="24"/>
          <w:highlight w:val="none"/>
          <w:lang w:val="zh-CN"/>
        </w:rPr>
        <w:t>附件</w:t>
      </w:r>
      <w:bookmarkStart w:id="100" w:name="_Toc98731771"/>
      <w:bookmarkStart w:id="101" w:name="_Toc130094925"/>
      <w:r>
        <w:rPr>
          <w:rFonts w:hint="eastAsia" w:cs="宋体"/>
          <w:b/>
          <w:bCs/>
          <w:color w:val="auto"/>
          <w:sz w:val="24"/>
          <w:szCs w:val="24"/>
          <w:highlight w:val="none"/>
        </w:rPr>
        <w:t>十</w:t>
      </w:r>
      <w:r>
        <w:rPr>
          <w:rFonts w:hint="eastAsia" w:cs="宋体"/>
          <w:b/>
          <w:bCs/>
          <w:color w:val="auto"/>
          <w:sz w:val="24"/>
          <w:szCs w:val="24"/>
          <w:highlight w:val="none"/>
          <w:lang w:val="en-US" w:eastAsia="zh-CN"/>
        </w:rPr>
        <w:t>三</w:t>
      </w:r>
      <w:r>
        <w:rPr>
          <w:rFonts w:hint="eastAsia" w:cs="宋体"/>
          <w:b/>
          <w:bCs/>
          <w:color w:val="auto"/>
          <w:sz w:val="24"/>
          <w:szCs w:val="24"/>
          <w:highlight w:val="none"/>
        </w:rPr>
        <w:t>：</w:t>
      </w:r>
    </w:p>
    <w:p w14:paraId="4832660B">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99"/>
      <w:bookmarkEnd w:id="100"/>
      <w:bookmarkEnd w:id="101"/>
    </w:p>
    <w:p w14:paraId="1900B83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708C55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31"/>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6878"/>
      </w:tblGrid>
      <w:tr w14:paraId="3186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jc w:val="center"/>
        </w:trPr>
        <w:tc>
          <w:tcPr>
            <w:tcW w:w="2141" w:type="dxa"/>
            <w:noWrap w:val="0"/>
            <w:vAlign w:val="center"/>
          </w:tcPr>
          <w:p w14:paraId="15C6514B">
            <w:pPr>
              <w:pStyle w:val="17"/>
              <w:spacing w:line="360" w:lineRule="auto"/>
              <w:jc w:val="center"/>
              <w:rPr>
                <w:rFonts w:hint="eastAsia" w:hAnsi="宋体" w:cs="宋体"/>
                <w:b/>
                <w:bCs/>
                <w:color w:val="auto"/>
                <w:sz w:val="24"/>
              </w:rPr>
            </w:pPr>
            <w:r>
              <w:rPr>
                <w:rFonts w:hint="eastAsia" w:hAnsi="宋体" w:cs="宋体"/>
                <w:b/>
                <w:bCs/>
                <w:color w:val="auto"/>
                <w:sz w:val="24"/>
              </w:rPr>
              <w:t>投标总价</w:t>
            </w:r>
          </w:p>
        </w:tc>
        <w:tc>
          <w:tcPr>
            <w:tcW w:w="6878" w:type="dxa"/>
            <w:noWrap w:val="0"/>
            <w:vAlign w:val="center"/>
          </w:tcPr>
          <w:p w14:paraId="417C42C4">
            <w:pPr>
              <w:pStyle w:val="17"/>
              <w:spacing w:line="360" w:lineRule="auto"/>
              <w:jc w:val="center"/>
              <w:rPr>
                <w:rFonts w:hint="eastAsia" w:hAnsi="宋体" w:cs="宋体"/>
                <w:b/>
                <w:bCs/>
                <w:color w:val="auto"/>
                <w:sz w:val="24"/>
              </w:rPr>
            </w:pPr>
            <w:r>
              <w:rPr>
                <w:rFonts w:hint="eastAsia" w:hAnsi="宋体" w:cs="宋体"/>
                <w:b/>
                <w:bCs/>
                <w:color w:val="auto"/>
                <w:sz w:val="24"/>
              </w:rPr>
              <w:t>大写：</w:t>
            </w:r>
            <w:r>
              <w:rPr>
                <w:rFonts w:hint="eastAsia" w:hAnsi="宋体" w:cs="宋体"/>
                <w:b/>
                <w:bCs/>
                <w:color w:val="auto"/>
                <w:sz w:val="24"/>
                <w:u w:val="single"/>
              </w:rPr>
              <w:t xml:space="preserve">　　　　            </w:t>
            </w:r>
            <w:r>
              <w:rPr>
                <w:rFonts w:hint="eastAsia" w:hAnsi="宋体" w:cs="宋体"/>
                <w:b/>
                <w:bCs/>
                <w:color w:val="auto"/>
                <w:sz w:val="24"/>
              </w:rPr>
              <w:t>元（小写：</w:t>
            </w:r>
            <w:r>
              <w:rPr>
                <w:rFonts w:hint="eastAsia" w:hAnsi="宋体" w:cs="宋体"/>
                <w:b/>
                <w:bCs/>
                <w:color w:val="auto"/>
                <w:sz w:val="24"/>
                <w:u w:val="single"/>
              </w:rPr>
              <w:t xml:space="preserve">　　　　 </w:t>
            </w:r>
            <w:r>
              <w:rPr>
                <w:rFonts w:hint="eastAsia" w:hAnsi="宋体" w:cs="宋体"/>
                <w:b/>
                <w:bCs/>
                <w:color w:val="auto"/>
                <w:sz w:val="24"/>
              </w:rPr>
              <w:t>）</w:t>
            </w:r>
          </w:p>
        </w:tc>
      </w:tr>
      <w:tr w14:paraId="68FD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jc w:val="center"/>
        </w:trPr>
        <w:tc>
          <w:tcPr>
            <w:tcW w:w="9019" w:type="dxa"/>
            <w:gridSpan w:val="2"/>
            <w:noWrap w:val="0"/>
            <w:vAlign w:val="center"/>
          </w:tcPr>
          <w:p w14:paraId="4980DBB3">
            <w:pPr>
              <w:pStyle w:val="17"/>
              <w:spacing w:line="360" w:lineRule="auto"/>
              <w:ind w:firstLine="480" w:firstLineChars="200"/>
              <w:rPr>
                <w:rFonts w:hint="eastAsia" w:hAnsi="宋体" w:cs="宋体"/>
                <w:b/>
                <w:bCs/>
                <w:color w:val="auto"/>
                <w:sz w:val="24"/>
              </w:rPr>
            </w:pPr>
            <w:r>
              <w:rPr>
                <w:rFonts w:hint="eastAsia" w:hAnsi="宋体"/>
                <w:color w:val="auto"/>
                <w:sz w:val="24"/>
                <w:szCs w:val="24"/>
                <w:highlight w:val="none"/>
              </w:rPr>
              <w:t>本次报价应包含项目所需全部服务</w:t>
            </w:r>
            <w:r>
              <w:rPr>
                <w:rFonts w:hint="eastAsia" w:hAnsi="宋体"/>
                <w:color w:val="auto"/>
                <w:sz w:val="24"/>
                <w:szCs w:val="24"/>
                <w:highlight w:val="none"/>
                <w:lang w:val="en-US" w:eastAsia="zh-CN"/>
              </w:rPr>
              <w:t>和</w:t>
            </w:r>
            <w:r>
              <w:rPr>
                <w:rFonts w:hint="eastAsia" w:hAnsi="宋体"/>
                <w:color w:val="auto"/>
                <w:sz w:val="24"/>
                <w:szCs w:val="24"/>
                <w:highlight w:val="none"/>
                <w:lang w:eastAsia="zh-CN"/>
              </w:rPr>
              <w:t>货物</w:t>
            </w:r>
            <w:r>
              <w:rPr>
                <w:rFonts w:hint="eastAsia" w:hAnsi="宋体"/>
                <w:color w:val="auto"/>
                <w:sz w:val="24"/>
                <w:szCs w:val="24"/>
                <w:highlight w:val="none"/>
              </w:rPr>
              <w:t>，不得缺漏，是履行合同的最终价格（人员的工资福利、员工五险费（养老保险、医疗保险、失业保险、工伤保险、生育保险）、</w:t>
            </w:r>
            <w:r>
              <w:rPr>
                <w:rFonts w:hint="eastAsia" w:ascii="宋体" w:hAnsi="宋体" w:eastAsia="宋体" w:cs="宋体"/>
                <w:b w:val="0"/>
                <w:bCs w:val="0"/>
                <w:color w:val="auto"/>
                <w:sz w:val="24"/>
                <w:szCs w:val="24"/>
                <w:highlight w:val="none"/>
                <w:lang w:val="en-US" w:eastAsia="zh-CN"/>
              </w:rPr>
              <w:t>搜集资料</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评估</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指导费</w:t>
            </w:r>
            <w:r>
              <w:rPr>
                <w:rFonts w:hint="eastAsia" w:hAnsi="宋体"/>
                <w:color w:val="auto"/>
                <w:sz w:val="24"/>
                <w:szCs w:val="24"/>
                <w:highlight w:val="none"/>
              </w:rPr>
              <w:t>、</w:t>
            </w:r>
            <w:r>
              <w:rPr>
                <w:rFonts w:hint="eastAsia" w:ascii="宋体" w:hAnsi="宋体" w:eastAsia="宋体" w:cs="宋体"/>
                <w:b w:val="0"/>
                <w:bCs w:val="0"/>
                <w:color w:val="auto"/>
                <w:sz w:val="24"/>
                <w:szCs w:val="24"/>
                <w:highlight w:val="none"/>
                <w:lang w:val="en-US" w:eastAsia="zh-CN"/>
              </w:rPr>
              <w:t>标志标牌制造及安装费、</w:t>
            </w:r>
            <w:r>
              <w:rPr>
                <w:rFonts w:hint="eastAsia" w:hAnsi="宋体"/>
                <w:color w:val="auto"/>
                <w:sz w:val="24"/>
                <w:szCs w:val="24"/>
                <w:highlight w:val="none"/>
              </w:rPr>
              <w:t>办公用品、耗材、管理费、招标代理费、税费等一切费用）。投标报价为供应商所能承受的最低、最终报价，供应商不得再要求追加任何费用。</w:t>
            </w:r>
          </w:p>
        </w:tc>
      </w:tr>
    </w:tbl>
    <w:p w14:paraId="35C242D9">
      <w:pPr>
        <w:spacing w:line="360" w:lineRule="auto"/>
        <w:ind w:firstLine="480" w:firstLineChars="200"/>
        <w:jc w:val="left"/>
        <w:rPr>
          <w:rFonts w:hint="eastAsia" w:ascii="宋体" w:hAnsi="宋体" w:cs="宋体"/>
          <w:sz w:val="24"/>
        </w:rPr>
      </w:pPr>
      <w:r>
        <w:rPr>
          <w:rFonts w:hint="eastAsia" w:ascii="宋体" w:hAnsi="宋体" w:cs="宋体"/>
          <w:sz w:val="24"/>
        </w:rPr>
        <w:t>注:报价一经涂改，应在涂改处加盖单位公章或者由法定代表人或授权委托人签字或盖章，否则其投标作无效标处理。</w:t>
      </w:r>
    </w:p>
    <w:p w14:paraId="7619161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53934AF1">
      <w:pPr>
        <w:pStyle w:val="17"/>
        <w:spacing w:line="360" w:lineRule="auto"/>
        <w:rPr>
          <w:rFonts w:hAnsi="宋体" w:cs="Times New Roman"/>
          <w:color w:val="auto"/>
          <w:sz w:val="24"/>
          <w:szCs w:val="24"/>
          <w:highlight w:val="none"/>
        </w:rPr>
      </w:pPr>
    </w:p>
    <w:p w14:paraId="6F81C7C1">
      <w:pPr>
        <w:pStyle w:val="17"/>
        <w:spacing w:line="360" w:lineRule="auto"/>
        <w:rPr>
          <w:rFonts w:hAnsi="宋体" w:cs="Times New Roman"/>
          <w:color w:val="auto"/>
          <w:sz w:val="24"/>
          <w:szCs w:val="24"/>
          <w:highlight w:val="none"/>
        </w:rPr>
      </w:pPr>
    </w:p>
    <w:p w14:paraId="1DD5722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61175B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17BC59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6A8FED6">
      <w:pPr>
        <w:snapToGrid w:val="0"/>
        <w:spacing w:line="360" w:lineRule="auto"/>
        <w:ind w:firstLine="435"/>
        <w:rPr>
          <w:rFonts w:ascii="宋体"/>
          <w:color w:val="auto"/>
          <w:highlight w:val="none"/>
        </w:rPr>
      </w:pPr>
    </w:p>
    <w:p w14:paraId="3F009685">
      <w:pPr>
        <w:spacing w:line="360" w:lineRule="auto"/>
        <w:jc w:val="left"/>
        <w:rPr>
          <w:rFonts w:hint="eastAsia" w:ascii="宋体" w:hAnsi="宋体" w:cs="宋体"/>
          <w:b/>
          <w:bCs/>
          <w:color w:val="auto"/>
          <w:sz w:val="24"/>
          <w:szCs w:val="24"/>
          <w:highlight w:val="none"/>
          <w:lang w:val="zh-CN"/>
        </w:rPr>
      </w:pPr>
      <w:bookmarkStart w:id="102" w:name="_Toc7196"/>
    </w:p>
    <w:p w14:paraId="08AA1C01">
      <w:pPr>
        <w:spacing w:line="360" w:lineRule="auto"/>
        <w:jc w:val="left"/>
        <w:rPr>
          <w:rFonts w:hint="eastAsia" w:ascii="宋体" w:hAnsi="宋体" w:cs="宋体"/>
          <w:b/>
          <w:bCs/>
          <w:color w:val="auto"/>
          <w:sz w:val="24"/>
          <w:szCs w:val="24"/>
          <w:highlight w:val="none"/>
          <w:lang w:val="zh-CN"/>
        </w:rPr>
      </w:pPr>
    </w:p>
    <w:p w14:paraId="791D85A9">
      <w:pPr>
        <w:spacing w:line="360" w:lineRule="auto"/>
        <w:jc w:val="left"/>
        <w:rPr>
          <w:rFonts w:hint="eastAsia" w:ascii="宋体" w:hAnsi="宋体" w:cs="宋体"/>
          <w:b/>
          <w:bCs/>
          <w:color w:val="auto"/>
          <w:sz w:val="24"/>
          <w:szCs w:val="24"/>
          <w:highlight w:val="none"/>
          <w:lang w:val="zh-CN"/>
        </w:rPr>
      </w:pPr>
    </w:p>
    <w:p w14:paraId="07A76419">
      <w:pPr>
        <w:spacing w:line="360" w:lineRule="auto"/>
        <w:jc w:val="left"/>
        <w:rPr>
          <w:rFonts w:hint="eastAsia" w:ascii="宋体" w:hAnsi="宋体" w:cs="宋体"/>
          <w:b/>
          <w:bCs/>
          <w:color w:val="auto"/>
          <w:sz w:val="24"/>
          <w:szCs w:val="24"/>
          <w:highlight w:val="none"/>
          <w:lang w:val="zh-CN"/>
        </w:rPr>
      </w:pPr>
    </w:p>
    <w:p w14:paraId="64912593">
      <w:pPr>
        <w:spacing w:line="360" w:lineRule="auto"/>
        <w:jc w:val="left"/>
        <w:rPr>
          <w:rFonts w:hint="eastAsia" w:ascii="宋体" w:hAnsi="宋体" w:cs="宋体"/>
          <w:b/>
          <w:bCs/>
          <w:color w:val="auto"/>
          <w:sz w:val="24"/>
          <w:szCs w:val="24"/>
          <w:highlight w:val="none"/>
          <w:lang w:val="zh-CN"/>
        </w:rPr>
      </w:pPr>
    </w:p>
    <w:p w14:paraId="08CA2118">
      <w:pPr>
        <w:spacing w:line="360" w:lineRule="auto"/>
        <w:jc w:val="left"/>
        <w:rPr>
          <w:rFonts w:hint="eastAsia" w:ascii="宋体" w:hAnsi="宋体" w:cs="宋体"/>
          <w:b/>
          <w:bCs/>
          <w:color w:val="auto"/>
          <w:sz w:val="24"/>
          <w:szCs w:val="24"/>
          <w:highlight w:val="none"/>
          <w:lang w:val="zh-CN"/>
        </w:rPr>
      </w:pPr>
    </w:p>
    <w:p w14:paraId="09F0A6A1">
      <w:pPr>
        <w:spacing w:line="360" w:lineRule="auto"/>
        <w:jc w:val="left"/>
        <w:rPr>
          <w:rFonts w:ascii="宋体"/>
          <w:b/>
          <w:bCs/>
          <w:color w:val="auto"/>
          <w:sz w:val="24"/>
          <w:szCs w:val="24"/>
          <w:highlight w:val="none"/>
          <w:lang w:val="zh-CN"/>
        </w:rPr>
      </w:pPr>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3F1F5FC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1B6374F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9EF268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31"/>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2E56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176D108E">
            <w:pPr>
              <w:pStyle w:val="17"/>
              <w:spacing w:line="360" w:lineRule="auto"/>
              <w:jc w:val="center"/>
              <w:rPr>
                <w:rFonts w:hAnsi="宋体"/>
                <w:color w:val="auto"/>
                <w:sz w:val="22"/>
                <w:szCs w:val="22"/>
                <w:highlight w:val="none"/>
              </w:rPr>
            </w:pPr>
            <w:r>
              <w:rPr>
                <w:rFonts w:hint="eastAsia" w:hAnsi="宋体"/>
                <w:color w:val="auto"/>
                <w:sz w:val="22"/>
                <w:szCs w:val="22"/>
                <w:highlight w:val="none"/>
              </w:rPr>
              <w:t>序</w:t>
            </w:r>
          </w:p>
          <w:p w14:paraId="3F70FF7F">
            <w:pPr>
              <w:pStyle w:val="17"/>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1927" w:type="dxa"/>
            <w:vMerge w:val="restart"/>
            <w:vAlign w:val="center"/>
          </w:tcPr>
          <w:p w14:paraId="3FBBCA2B">
            <w:pPr>
              <w:pStyle w:val="17"/>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1065" w:type="dxa"/>
            <w:vMerge w:val="restart"/>
            <w:vAlign w:val="center"/>
          </w:tcPr>
          <w:p w14:paraId="2EE4F7BA">
            <w:pPr>
              <w:pStyle w:val="17"/>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755" w:type="dxa"/>
            <w:vMerge w:val="restart"/>
            <w:vAlign w:val="center"/>
          </w:tcPr>
          <w:p w14:paraId="529C9398">
            <w:pPr>
              <w:pStyle w:val="17"/>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80" w:type="dxa"/>
            <w:vMerge w:val="restart"/>
            <w:vAlign w:val="center"/>
          </w:tcPr>
          <w:p w14:paraId="2B4A30C6">
            <w:pPr>
              <w:pStyle w:val="17"/>
              <w:spacing w:line="360" w:lineRule="auto"/>
              <w:jc w:val="center"/>
              <w:rPr>
                <w:rFonts w:hAnsi="宋体"/>
                <w:color w:val="auto"/>
                <w:sz w:val="22"/>
                <w:szCs w:val="22"/>
                <w:highlight w:val="none"/>
              </w:rPr>
            </w:pPr>
            <w:r>
              <w:rPr>
                <w:rFonts w:hint="eastAsia" w:hAnsi="宋体"/>
                <w:color w:val="auto"/>
                <w:sz w:val="22"/>
                <w:szCs w:val="22"/>
                <w:highlight w:val="none"/>
              </w:rPr>
              <w:t>单</w:t>
            </w:r>
          </w:p>
          <w:p w14:paraId="5136D340">
            <w:pPr>
              <w:pStyle w:val="17"/>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1049" w:type="dxa"/>
            <w:vMerge w:val="restart"/>
            <w:vAlign w:val="center"/>
          </w:tcPr>
          <w:p w14:paraId="154374F9">
            <w:pPr>
              <w:pStyle w:val="17"/>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14:paraId="380AB4D9">
            <w:pPr>
              <w:pStyle w:val="17"/>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6BC1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0343E061">
            <w:pPr>
              <w:pStyle w:val="17"/>
              <w:spacing w:line="360" w:lineRule="auto"/>
              <w:jc w:val="center"/>
              <w:rPr>
                <w:rFonts w:hAnsi="宋体"/>
                <w:color w:val="auto"/>
                <w:sz w:val="22"/>
                <w:szCs w:val="22"/>
                <w:highlight w:val="none"/>
              </w:rPr>
            </w:pPr>
          </w:p>
        </w:tc>
        <w:tc>
          <w:tcPr>
            <w:tcW w:w="1927" w:type="dxa"/>
            <w:vMerge w:val="continue"/>
            <w:vAlign w:val="center"/>
          </w:tcPr>
          <w:p w14:paraId="62F4D451">
            <w:pPr>
              <w:pStyle w:val="17"/>
              <w:spacing w:line="360" w:lineRule="auto"/>
              <w:jc w:val="center"/>
              <w:rPr>
                <w:rFonts w:hAnsi="宋体"/>
                <w:color w:val="auto"/>
                <w:sz w:val="22"/>
                <w:szCs w:val="22"/>
                <w:highlight w:val="none"/>
              </w:rPr>
            </w:pPr>
          </w:p>
        </w:tc>
        <w:tc>
          <w:tcPr>
            <w:tcW w:w="1065" w:type="dxa"/>
            <w:vMerge w:val="continue"/>
            <w:vAlign w:val="center"/>
          </w:tcPr>
          <w:p w14:paraId="3B62855A">
            <w:pPr>
              <w:pStyle w:val="17"/>
              <w:spacing w:line="360" w:lineRule="auto"/>
              <w:jc w:val="center"/>
              <w:rPr>
                <w:rFonts w:hAnsi="宋体"/>
                <w:color w:val="auto"/>
                <w:sz w:val="22"/>
                <w:szCs w:val="22"/>
                <w:highlight w:val="none"/>
              </w:rPr>
            </w:pPr>
          </w:p>
        </w:tc>
        <w:tc>
          <w:tcPr>
            <w:tcW w:w="1755" w:type="dxa"/>
            <w:vMerge w:val="continue"/>
            <w:vAlign w:val="center"/>
          </w:tcPr>
          <w:p w14:paraId="1F7F5427">
            <w:pPr>
              <w:pStyle w:val="17"/>
              <w:spacing w:line="360" w:lineRule="auto"/>
              <w:jc w:val="center"/>
              <w:rPr>
                <w:rFonts w:hAnsi="宋体"/>
                <w:color w:val="auto"/>
                <w:sz w:val="22"/>
                <w:szCs w:val="22"/>
                <w:highlight w:val="none"/>
              </w:rPr>
            </w:pPr>
          </w:p>
        </w:tc>
        <w:tc>
          <w:tcPr>
            <w:tcW w:w="480" w:type="dxa"/>
            <w:vMerge w:val="continue"/>
            <w:vAlign w:val="center"/>
          </w:tcPr>
          <w:p w14:paraId="66DDF9B1">
            <w:pPr>
              <w:pStyle w:val="17"/>
              <w:spacing w:line="360" w:lineRule="auto"/>
              <w:jc w:val="center"/>
              <w:rPr>
                <w:rFonts w:hAnsi="宋体"/>
                <w:color w:val="auto"/>
                <w:sz w:val="22"/>
                <w:szCs w:val="22"/>
                <w:highlight w:val="none"/>
              </w:rPr>
            </w:pPr>
          </w:p>
        </w:tc>
        <w:tc>
          <w:tcPr>
            <w:tcW w:w="1049" w:type="dxa"/>
            <w:vMerge w:val="continue"/>
            <w:vAlign w:val="center"/>
          </w:tcPr>
          <w:p w14:paraId="6CCFAA49">
            <w:pPr>
              <w:pStyle w:val="17"/>
              <w:spacing w:line="360" w:lineRule="auto"/>
              <w:jc w:val="center"/>
              <w:rPr>
                <w:rFonts w:hAnsi="宋体"/>
                <w:color w:val="auto"/>
                <w:sz w:val="22"/>
                <w:szCs w:val="22"/>
                <w:highlight w:val="none"/>
              </w:rPr>
            </w:pPr>
          </w:p>
        </w:tc>
        <w:tc>
          <w:tcPr>
            <w:tcW w:w="1148" w:type="dxa"/>
            <w:vAlign w:val="center"/>
          </w:tcPr>
          <w:p w14:paraId="0A1C07A6">
            <w:pPr>
              <w:pStyle w:val="17"/>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14:paraId="1C465CCC">
            <w:pPr>
              <w:pStyle w:val="17"/>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76EE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EB143E6">
            <w:pPr>
              <w:pStyle w:val="17"/>
              <w:jc w:val="center"/>
              <w:rPr>
                <w:rFonts w:hAnsi="宋体"/>
                <w:color w:val="auto"/>
                <w:sz w:val="22"/>
                <w:szCs w:val="22"/>
                <w:highlight w:val="none"/>
              </w:rPr>
            </w:pPr>
            <w:r>
              <w:rPr>
                <w:rFonts w:hint="eastAsia" w:hAnsi="宋体"/>
                <w:color w:val="auto"/>
                <w:sz w:val="22"/>
                <w:szCs w:val="22"/>
                <w:highlight w:val="none"/>
              </w:rPr>
              <w:t>1</w:t>
            </w:r>
          </w:p>
        </w:tc>
        <w:tc>
          <w:tcPr>
            <w:tcW w:w="1927" w:type="dxa"/>
            <w:vAlign w:val="center"/>
          </w:tcPr>
          <w:p w14:paraId="7A14B5D7">
            <w:pPr>
              <w:pStyle w:val="17"/>
              <w:rPr>
                <w:rFonts w:hAnsi="宋体"/>
                <w:color w:val="auto"/>
                <w:sz w:val="22"/>
                <w:szCs w:val="22"/>
                <w:highlight w:val="none"/>
              </w:rPr>
            </w:pPr>
          </w:p>
        </w:tc>
        <w:tc>
          <w:tcPr>
            <w:tcW w:w="1065" w:type="dxa"/>
            <w:vAlign w:val="center"/>
          </w:tcPr>
          <w:p w14:paraId="5749A37B">
            <w:pPr>
              <w:pStyle w:val="17"/>
              <w:spacing w:line="360" w:lineRule="auto"/>
              <w:rPr>
                <w:rFonts w:hAnsi="宋体"/>
                <w:b/>
                <w:bCs/>
                <w:color w:val="auto"/>
                <w:sz w:val="22"/>
                <w:szCs w:val="22"/>
                <w:highlight w:val="none"/>
              </w:rPr>
            </w:pPr>
          </w:p>
        </w:tc>
        <w:tc>
          <w:tcPr>
            <w:tcW w:w="1755" w:type="dxa"/>
            <w:vAlign w:val="center"/>
          </w:tcPr>
          <w:p w14:paraId="03B1E367">
            <w:pPr>
              <w:pStyle w:val="17"/>
              <w:spacing w:line="360" w:lineRule="auto"/>
              <w:rPr>
                <w:rFonts w:hAnsi="宋体"/>
                <w:b/>
                <w:bCs/>
                <w:color w:val="auto"/>
                <w:sz w:val="22"/>
                <w:szCs w:val="22"/>
                <w:highlight w:val="none"/>
              </w:rPr>
            </w:pPr>
          </w:p>
        </w:tc>
        <w:tc>
          <w:tcPr>
            <w:tcW w:w="480" w:type="dxa"/>
            <w:vAlign w:val="center"/>
          </w:tcPr>
          <w:p w14:paraId="79971F36">
            <w:pPr>
              <w:pStyle w:val="17"/>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1E97BBB7">
            <w:pPr>
              <w:pStyle w:val="17"/>
              <w:spacing w:line="360" w:lineRule="auto"/>
              <w:rPr>
                <w:rFonts w:hint="default" w:hAnsi="宋体" w:eastAsia="宋体"/>
                <w:b w:val="0"/>
                <w:bCs w:val="0"/>
                <w:color w:val="auto"/>
                <w:sz w:val="22"/>
                <w:szCs w:val="22"/>
                <w:highlight w:val="none"/>
                <w:lang w:val="en-US" w:eastAsia="zh-CN"/>
              </w:rPr>
            </w:pPr>
          </w:p>
        </w:tc>
        <w:tc>
          <w:tcPr>
            <w:tcW w:w="1148" w:type="dxa"/>
          </w:tcPr>
          <w:p w14:paraId="086C8226">
            <w:pPr>
              <w:pStyle w:val="17"/>
              <w:spacing w:line="360" w:lineRule="auto"/>
              <w:rPr>
                <w:rFonts w:hAnsi="宋体"/>
                <w:color w:val="auto"/>
                <w:sz w:val="22"/>
                <w:szCs w:val="22"/>
                <w:highlight w:val="none"/>
              </w:rPr>
            </w:pPr>
          </w:p>
        </w:tc>
        <w:tc>
          <w:tcPr>
            <w:tcW w:w="1124" w:type="dxa"/>
          </w:tcPr>
          <w:p w14:paraId="06CFC15D">
            <w:pPr>
              <w:pStyle w:val="17"/>
              <w:spacing w:line="360" w:lineRule="auto"/>
              <w:rPr>
                <w:rFonts w:hAnsi="宋体"/>
                <w:color w:val="auto"/>
                <w:sz w:val="22"/>
                <w:szCs w:val="22"/>
                <w:highlight w:val="none"/>
              </w:rPr>
            </w:pPr>
          </w:p>
        </w:tc>
      </w:tr>
      <w:tr w14:paraId="1292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F936C95">
            <w:pPr>
              <w:pStyle w:val="17"/>
              <w:jc w:val="center"/>
              <w:rPr>
                <w:rFonts w:hAnsi="宋体"/>
                <w:color w:val="auto"/>
                <w:sz w:val="22"/>
                <w:szCs w:val="22"/>
                <w:highlight w:val="none"/>
              </w:rPr>
            </w:pPr>
            <w:r>
              <w:rPr>
                <w:rFonts w:hint="eastAsia" w:hAnsi="宋体"/>
                <w:color w:val="auto"/>
                <w:sz w:val="22"/>
                <w:szCs w:val="22"/>
                <w:highlight w:val="none"/>
              </w:rPr>
              <w:t>2</w:t>
            </w:r>
          </w:p>
        </w:tc>
        <w:tc>
          <w:tcPr>
            <w:tcW w:w="1927" w:type="dxa"/>
            <w:vAlign w:val="center"/>
          </w:tcPr>
          <w:p w14:paraId="1460BD87">
            <w:pPr>
              <w:pStyle w:val="17"/>
              <w:rPr>
                <w:rFonts w:hAnsi="宋体"/>
                <w:color w:val="auto"/>
                <w:sz w:val="22"/>
                <w:szCs w:val="22"/>
                <w:highlight w:val="none"/>
              </w:rPr>
            </w:pPr>
          </w:p>
        </w:tc>
        <w:tc>
          <w:tcPr>
            <w:tcW w:w="1065" w:type="dxa"/>
            <w:vAlign w:val="center"/>
          </w:tcPr>
          <w:p w14:paraId="0D48AA36">
            <w:pPr>
              <w:pStyle w:val="17"/>
              <w:spacing w:line="360" w:lineRule="auto"/>
              <w:rPr>
                <w:rFonts w:hAnsi="宋体"/>
                <w:b/>
                <w:bCs/>
                <w:color w:val="auto"/>
                <w:sz w:val="22"/>
                <w:szCs w:val="22"/>
                <w:highlight w:val="none"/>
              </w:rPr>
            </w:pPr>
          </w:p>
        </w:tc>
        <w:tc>
          <w:tcPr>
            <w:tcW w:w="1755" w:type="dxa"/>
            <w:vAlign w:val="center"/>
          </w:tcPr>
          <w:p w14:paraId="261E293A">
            <w:pPr>
              <w:pStyle w:val="17"/>
              <w:spacing w:line="360" w:lineRule="auto"/>
              <w:rPr>
                <w:rFonts w:hAnsi="宋体"/>
                <w:b/>
                <w:bCs/>
                <w:color w:val="auto"/>
                <w:sz w:val="22"/>
                <w:szCs w:val="22"/>
                <w:highlight w:val="none"/>
              </w:rPr>
            </w:pPr>
          </w:p>
        </w:tc>
        <w:tc>
          <w:tcPr>
            <w:tcW w:w="480" w:type="dxa"/>
            <w:vAlign w:val="center"/>
          </w:tcPr>
          <w:p w14:paraId="0930422E">
            <w:pPr>
              <w:pStyle w:val="17"/>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3C95BF1B">
            <w:pPr>
              <w:pStyle w:val="17"/>
              <w:spacing w:line="360" w:lineRule="auto"/>
              <w:rPr>
                <w:rFonts w:hint="default" w:hAnsi="宋体" w:eastAsia="宋体"/>
                <w:b w:val="0"/>
                <w:bCs w:val="0"/>
                <w:color w:val="auto"/>
                <w:sz w:val="22"/>
                <w:szCs w:val="22"/>
                <w:highlight w:val="none"/>
                <w:lang w:val="en-US" w:eastAsia="zh-CN"/>
              </w:rPr>
            </w:pPr>
          </w:p>
        </w:tc>
        <w:tc>
          <w:tcPr>
            <w:tcW w:w="1148" w:type="dxa"/>
          </w:tcPr>
          <w:p w14:paraId="211C3A88">
            <w:pPr>
              <w:pStyle w:val="17"/>
              <w:spacing w:line="360" w:lineRule="auto"/>
              <w:rPr>
                <w:rFonts w:hAnsi="宋体"/>
                <w:color w:val="auto"/>
                <w:sz w:val="22"/>
                <w:szCs w:val="22"/>
                <w:highlight w:val="none"/>
              </w:rPr>
            </w:pPr>
          </w:p>
        </w:tc>
        <w:tc>
          <w:tcPr>
            <w:tcW w:w="1124" w:type="dxa"/>
          </w:tcPr>
          <w:p w14:paraId="70E57577">
            <w:pPr>
              <w:pStyle w:val="17"/>
              <w:spacing w:line="360" w:lineRule="auto"/>
              <w:rPr>
                <w:rFonts w:hAnsi="宋体"/>
                <w:color w:val="auto"/>
                <w:sz w:val="22"/>
                <w:szCs w:val="22"/>
                <w:highlight w:val="none"/>
              </w:rPr>
            </w:pPr>
          </w:p>
        </w:tc>
      </w:tr>
      <w:tr w14:paraId="6115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6829686">
            <w:pPr>
              <w:pStyle w:val="17"/>
              <w:jc w:val="center"/>
              <w:rPr>
                <w:rFonts w:hAnsi="宋体"/>
                <w:color w:val="auto"/>
                <w:sz w:val="22"/>
                <w:szCs w:val="22"/>
                <w:highlight w:val="none"/>
              </w:rPr>
            </w:pPr>
            <w:r>
              <w:rPr>
                <w:rFonts w:hint="eastAsia" w:hAnsi="宋体"/>
                <w:color w:val="auto"/>
                <w:sz w:val="22"/>
                <w:szCs w:val="22"/>
                <w:highlight w:val="none"/>
              </w:rPr>
              <w:t>3</w:t>
            </w:r>
          </w:p>
        </w:tc>
        <w:tc>
          <w:tcPr>
            <w:tcW w:w="1927" w:type="dxa"/>
            <w:vAlign w:val="center"/>
          </w:tcPr>
          <w:p w14:paraId="0F62F071">
            <w:pPr>
              <w:pStyle w:val="17"/>
              <w:rPr>
                <w:rFonts w:hAnsi="宋体"/>
                <w:color w:val="auto"/>
                <w:sz w:val="22"/>
                <w:szCs w:val="22"/>
                <w:highlight w:val="none"/>
              </w:rPr>
            </w:pPr>
          </w:p>
        </w:tc>
        <w:tc>
          <w:tcPr>
            <w:tcW w:w="1065" w:type="dxa"/>
            <w:vAlign w:val="center"/>
          </w:tcPr>
          <w:p w14:paraId="19956814">
            <w:pPr>
              <w:pStyle w:val="17"/>
              <w:spacing w:line="360" w:lineRule="auto"/>
              <w:rPr>
                <w:rFonts w:hAnsi="宋体"/>
                <w:b/>
                <w:bCs/>
                <w:color w:val="auto"/>
                <w:sz w:val="22"/>
                <w:szCs w:val="22"/>
                <w:highlight w:val="none"/>
              </w:rPr>
            </w:pPr>
          </w:p>
        </w:tc>
        <w:tc>
          <w:tcPr>
            <w:tcW w:w="1755" w:type="dxa"/>
            <w:vAlign w:val="center"/>
          </w:tcPr>
          <w:p w14:paraId="08987AA5">
            <w:pPr>
              <w:pStyle w:val="17"/>
              <w:spacing w:line="360" w:lineRule="auto"/>
              <w:rPr>
                <w:rFonts w:hAnsi="宋体"/>
                <w:b/>
                <w:bCs/>
                <w:color w:val="auto"/>
                <w:sz w:val="22"/>
                <w:szCs w:val="22"/>
                <w:highlight w:val="none"/>
              </w:rPr>
            </w:pPr>
          </w:p>
        </w:tc>
        <w:tc>
          <w:tcPr>
            <w:tcW w:w="480" w:type="dxa"/>
            <w:vAlign w:val="center"/>
          </w:tcPr>
          <w:p w14:paraId="4599E1C0">
            <w:pPr>
              <w:pStyle w:val="17"/>
              <w:spacing w:line="360" w:lineRule="auto"/>
              <w:rPr>
                <w:rFonts w:hAnsi="宋体"/>
                <w:b/>
                <w:bCs/>
                <w:color w:val="auto"/>
                <w:sz w:val="22"/>
                <w:szCs w:val="22"/>
                <w:highlight w:val="none"/>
              </w:rPr>
            </w:pPr>
          </w:p>
        </w:tc>
        <w:tc>
          <w:tcPr>
            <w:tcW w:w="1049" w:type="dxa"/>
            <w:vAlign w:val="center"/>
          </w:tcPr>
          <w:p w14:paraId="4EBB74E2">
            <w:pPr>
              <w:pStyle w:val="17"/>
              <w:spacing w:line="360" w:lineRule="auto"/>
              <w:rPr>
                <w:rFonts w:hAnsi="宋体"/>
                <w:b/>
                <w:bCs/>
                <w:color w:val="auto"/>
                <w:sz w:val="22"/>
                <w:szCs w:val="22"/>
                <w:highlight w:val="none"/>
              </w:rPr>
            </w:pPr>
          </w:p>
        </w:tc>
        <w:tc>
          <w:tcPr>
            <w:tcW w:w="1148" w:type="dxa"/>
          </w:tcPr>
          <w:p w14:paraId="1923459A">
            <w:pPr>
              <w:pStyle w:val="17"/>
              <w:spacing w:line="360" w:lineRule="auto"/>
              <w:rPr>
                <w:rFonts w:hAnsi="宋体"/>
                <w:color w:val="auto"/>
                <w:sz w:val="22"/>
                <w:szCs w:val="22"/>
                <w:highlight w:val="none"/>
              </w:rPr>
            </w:pPr>
          </w:p>
        </w:tc>
        <w:tc>
          <w:tcPr>
            <w:tcW w:w="1124" w:type="dxa"/>
          </w:tcPr>
          <w:p w14:paraId="588631D3">
            <w:pPr>
              <w:pStyle w:val="17"/>
              <w:spacing w:line="360" w:lineRule="auto"/>
              <w:rPr>
                <w:rFonts w:hAnsi="宋体"/>
                <w:color w:val="auto"/>
                <w:sz w:val="22"/>
                <w:szCs w:val="22"/>
                <w:highlight w:val="none"/>
              </w:rPr>
            </w:pPr>
          </w:p>
        </w:tc>
      </w:tr>
      <w:tr w14:paraId="2F97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7D0F0D6B">
            <w:pPr>
              <w:pStyle w:val="17"/>
              <w:jc w:val="center"/>
              <w:rPr>
                <w:rFonts w:hAnsi="宋体"/>
                <w:color w:val="auto"/>
                <w:sz w:val="22"/>
                <w:szCs w:val="22"/>
                <w:highlight w:val="none"/>
              </w:rPr>
            </w:pPr>
            <w:r>
              <w:rPr>
                <w:rFonts w:hint="eastAsia" w:hAnsi="宋体"/>
                <w:color w:val="auto"/>
                <w:sz w:val="22"/>
                <w:szCs w:val="22"/>
                <w:highlight w:val="none"/>
              </w:rPr>
              <w:t>4</w:t>
            </w:r>
          </w:p>
        </w:tc>
        <w:tc>
          <w:tcPr>
            <w:tcW w:w="1927" w:type="dxa"/>
            <w:vAlign w:val="center"/>
          </w:tcPr>
          <w:p w14:paraId="34FC744E">
            <w:pPr>
              <w:pStyle w:val="17"/>
              <w:rPr>
                <w:rFonts w:hAnsi="宋体"/>
                <w:color w:val="auto"/>
                <w:sz w:val="22"/>
                <w:szCs w:val="22"/>
                <w:highlight w:val="none"/>
              </w:rPr>
            </w:pPr>
          </w:p>
        </w:tc>
        <w:tc>
          <w:tcPr>
            <w:tcW w:w="1065" w:type="dxa"/>
            <w:vAlign w:val="center"/>
          </w:tcPr>
          <w:p w14:paraId="6C357528">
            <w:pPr>
              <w:pStyle w:val="17"/>
              <w:spacing w:line="360" w:lineRule="auto"/>
              <w:jc w:val="center"/>
              <w:rPr>
                <w:rFonts w:hAnsi="宋体"/>
                <w:color w:val="auto"/>
                <w:sz w:val="22"/>
                <w:szCs w:val="22"/>
                <w:highlight w:val="none"/>
              </w:rPr>
            </w:pPr>
          </w:p>
        </w:tc>
        <w:tc>
          <w:tcPr>
            <w:tcW w:w="1755" w:type="dxa"/>
            <w:vAlign w:val="center"/>
          </w:tcPr>
          <w:p w14:paraId="5B7EDDEA">
            <w:pPr>
              <w:pStyle w:val="17"/>
              <w:spacing w:line="360" w:lineRule="auto"/>
              <w:jc w:val="center"/>
              <w:rPr>
                <w:rFonts w:hAnsi="宋体"/>
                <w:color w:val="auto"/>
                <w:sz w:val="22"/>
                <w:szCs w:val="22"/>
                <w:highlight w:val="none"/>
              </w:rPr>
            </w:pPr>
          </w:p>
        </w:tc>
        <w:tc>
          <w:tcPr>
            <w:tcW w:w="480" w:type="dxa"/>
            <w:vAlign w:val="center"/>
          </w:tcPr>
          <w:p w14:paraId="38FB261F">
            <w:pPr>
              <w:pStyle w:val="17"/>
              <w:spacing w:line="360" w:lineRule="auto"/>
              <w:jc w:val="center"/>
              <w:rPr>
                <w:rFonts w:hAnsi="宋体"/>
                <w:color w:val="auto"/>
                <w:sz w:val="22"/>
                <w:szCs w:val="22"/>
                <w:highlight w:val="none"/>
              </w:rPr>
            </w:pPr>
          </w:p>
        </w:tc>
        <w:tc>
          <w:tcPr>
            <w:tcW w:w="1049" w:type="dxa"/>
            <w:vAlign w:val="center"/>
          </w:tcPr>
          <w:p w14:paraId="0F33DC8A">
            <w:pPr>
              <w:pStyle w:val="17"/>
              <w:spacing w:line="360" w:lineRule="auto"/>
              <w:jc w:val="center"/>
              <w:rPr>
                <w:rFonts w:hAnsi="宋体"/>
                <w:color w:val="auto"/>
                <w:sz w:val="22"/>
                <w:szCs w:val="22"/>
                <w:highlight w:val="none"/>
              </w:rPr>
            </w:pPr>
          </w:p>
        </w:tc>
        <w:tc>
          <w:tcPr>
            <w:tcW w:w="1148" w:type="dxa"/>
          </w:tcPr>
          <w:p w14:paraId="35BB7B3E">
            <w:pPr>
              <w:pStyle w:val="17"/>
              <w:spacing w:line="360" w:lineRule="auto"/>
              <w:rPr>
                <w:rFonts w:hAnsi="宋体"/>
                <w:color w:val="auto"/>
                <w:sz w:val="22"/>
                <w:szCs w:val="22"/>
                <w:highlight w:val="none"/>
              </w:rPr>
            </w:pPr>
          </w:p>
        </w:tc>
        <w:tc>
          <w:tcPr>
            <w:tcW w:w="1124" w:type="dxa"/>
          </w:tcPr>
          <w:p w14:paraId="2878C496">
            <w:pPr>
              <w:pStyle w:val="17"/>
              <w:spacing w:line="360" w:lineRule="auto"/>
              <w:rPr>
                <w:rFonts w:hAnsi="宋体"/>
                <w:color w:val="auto"/>
                <w:sz w:val="22"/>
                <w:szCs w:val="22"/>
                <w:highlight w:val="none"/>
              </w:rPr>
            </w:pPr>
          </w:p>
        </w:tc>
      </w:tr>
      <w:tr w14:paraId="09BD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436D9411">
            <w:pPr>
              <w:pStyle w:val="17"/>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1927" w:type="dxa"/>
            <w:vAlign w:val="center"/>
          </w:tcPr>
          <w:p w14:paraId="1BA36791">
            <w:pPr>
              <w:pStyle w:val="17"/>
              <w:spacing w:line="360" w:lineRule="auto"/>
              <w:jc w:val="center"/>
              <w:rPr>
                <w:rFonts w:hAnsi="宋体"/>
                <w:color w:val="auto"/>
                <w:sz w:val="22"/>
                <w:szCs w:val="22"/>
                <w:highlight w:val="none"/>
              </w:rPr>
            </w:pPr>
          </w:p>
        </w:tc>
        <w:tc>
          <w:tcPr>
            <w:tcW w:w="1065" w:type="dxa"/>
            <w:vAlign w:val="center"/>
          </w:tcPr>
          <w:p w14:paraId="038F13B7">
            <w:pPr>
              <w:jc w:val="center"/>
              <w:rPr>
                <w:rFonts w:ascii="宋体" w:hAnsi="宋体" w:cs="宋体"/>
                <w:b/>
                <w:bCs/>
                <w:color w:val="auto"/>
                <w:sz w:val="22"/>
                <w:szCs w:val="22"/>
                <w:highlight w:val="none"/>
              </w:rPr>
            </w:pPr>
          </w:p>
        </w:tc>
        <w:tc>
          <w:tcPr>
            <w:tcW w:w="1755" w:type="dxa"/>
            <w:vAlign w:val="center"/>
          </w:tcPr>
          <w:p w14:paraId="0C09C02C">
            <w:pPr>
              <w:jc w:val="center"/>
              <w:rPr>
                <w:rFonts w:ascii="宋体" w:hAnsi="宋体" w:cs="宋体"/>
                <w:b/>
                <w:bCs/>
                <w:color w:val="auto"/>
                <w:sz w:val="22"/>
                <w:szCs w:val="22"/>
                <w:highlight w:val="none"/>
              </w:rPr>
            </w:pPr>
          </w:p>
        </w:tc>
        <w:tc>
          <w:tcPr>
            <w:tcW w:w="480" w:type="dxa"/>
            <w:vAlign w:val="center"/>
          </w:tcPr>
          <w:p w14:paraId="0D7E78C7">
            <w:pPr>
              <w:pStyle w:val="17"/>
              <w:spacing w:line="360" w:lineRule="auto"/>
              <w:jc w:val="center"/>
              <w:rPr>
                <w:rFonts w:hAnsi="宋体"/>
                <w:b/>
                <w:bCs/>
                <w:color w:val="auto"/>
                <w:sz w:val="22"/>
                <w:szCs w:val="22"/>
                <w:highlight w:val="none"/>
              </w:rPr>
            </w:pPr>
          </w:p>
        </w:tc>
        <w:tc>
          <w:tcPr>
            <w:tcW w:w="1049" w:type="dxa"/>
            <w:vAlign w:val="center"/>
          </w:tcPr>
          <w:p w14:paraId="7C9399C2">
            <w:pPr>
              <w:pStyle w:val="17"/>
              <w:spacing w:line="360" w:lineRule="auto"/>
              <w:jc w:val="center"/>
              <w:rPr>
                <w:rFonts w:hAnsi="宋体"/>
                <w:b/>
                <w:bCs/>
                <w:color w:val="auto"/>
                <w:sz w:val="22"/>
                <w:szCs w:val="22"/>
                <w:highlight w:val="none"/>
              </w:rPr>
            </w:pPr>
          </w:p>
        </w:tc>
        <w:tc>
          <w:tcPr>
            <w:tcW w:w="1148" w:type="dxa"/>
            <w:vAlign w:val="center"/>
          </w:tcPr>
          <w:p w14:paraId="5305EA27">
            <w:pPr>
              <w:pStyle w:val="17"/>
              <w:spacing w:line="360" w:lineRule="auto"/>
              <w:jc w:val="center"/>
              <w:rPr>
                <w:rFonts w:hAnsi="宋体"/>
                <w:b/>
                <w:bCs/>
                <w:color w:val="auto"/>
                <w:sz w:val="22"/>
                <w:szCs w:val="22"/>
                <w:highlight w:val="none"/>
              </w:rPr>
            </w:pPr>
          </w:p>
        </w:tc>
        <w:tc>
          <w:tcPr>
            <w:tcW w:w="1124" w:type="dxa"/>
            <w:vAlign w:val="center"/>
          </w:tcPr>
          <w:p w14:paraId="3AFF0856">
            <w:pPr>
              <w:pStyle w:val="17"/>
              <w:spacing w:line="360" w:lineRule="auto"/>
              <w:jc w:val="center"/>
              <w:rPr>
                <w:rFonts w:hAnsi="宋体"/>
                <w:b/>
                <w:bCs/>
                <w:color w:val="auto"/>
                <w:sz w:val="22"/>
                <w:szCs w:val="22"/>
                <w:highlight w:val="none"/>
              </w:rPr>
            </w:pPr>
          </w:p>
        </w:tc>
      </w:tr>
      <w:tr w14:paraId="47AE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53D86026">
            <w:pPr>
              <w:pStyle w:val="17"/>
              <w:spacing w:line="360" w:lineRule="auto"/>
              <w:rPr>
                <w:rFonts w:hAnsi="宋体"/>
                <w:color w:val="auto"/>
                <w:sz w:val="22"/>
                <w:szCs w:val="22"/>
                <w:highlight w:val="none"/>
              </w:rPr>
            </w:pPr>
            <w:r>
              <w:rPr>
                <w:rFonts w:hint="eastAsia" w:hAnsi="宋体"/>
                <w:color w:val="auto"/>
                <w:sz w:val="22"/>
                <w:szCs w:val="22"/>
                <w:highlight w:val="none"/>
              </w:rPr>
              <w:t>…</w:t>
            </w:r>
          </w:p>
        </w:tc>
        <w:tc>
          <w:tcPr>
            <w:tcW w:w="1927" w:type="dxa"/>
            <w:vAlign w:val="center"/>
          </w:tcPr>
          <w:p w14:paraId="05172514">
            <w:pPr>
              <w:pStyle w:val="17"/>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1065" w:type="dxa"/>
            <w:vAlign w:val="center"/>
          </w:tcPr>
          <w:p w14:paraId="0123749A">
            <w:pPr>
              <w:jc w:val="center"/>
              <w:rPr>
                <w:rFonts w:ascii="宋体" w:hAnsi="宋体" w:cs="宋体"/>
                <w:color w:val="auto"/>
                <w:sz w:val="22"/>
                <w:szCs w:val="22"/>
                <w:highlight w:val="none"/>
              </w:rPr>
            </w:pPr>
          </w:p>
        </w:tc>
        <w:tc>
          <w:tcPr>
            <w:tcW w:w="1755" w:type="dxa"/>
            <w:vAlign w:val="center"/>
          </w:tcPr>
          <w:p w14:paraId="4C5F2618">
            <w:pPr>
              <w:jc w:val="center"/>
              <w:rPr>
                <w:rFonts w:ascii="宋体" w:hAnsi="宋体" w:cs="宋体"/>
                <w:color w:val="auto"/>
                <w:sz w:val="22"/>
                <w:szCs w:val="22"/>
                <w:highlight w:val="none"/>
              </w:rPr>
            </w:pPr>
          </w:p>
        </w:tc>
        <w:tc>
          <w:tcPr>
            <w:tcW w:w="480" w:type="dxa"/>
            <w:vAlign w:val="center"/>
          </w:tcPr>
          <w:p w14:paraId="524F4B9A">
            <w:pPr>
              <w:pStyle w:val="17"/>
              <w:spacing w:line="360" w:lineRule="auto"/>
              <w:jc w:val="center"/>
              <w:rPr>
                <w:rFonts w:hAnsi="宋体"/>
                <w:color w:val="auto"/>
                <w:sz w:val="22"/>
                <w:szCs w:val="22"/>
                <w:highlight w:val="none"/>
              </w:rPr>
            </w:pPr>
          </w:p>
        </w:tc>
        <w:tc>
          <w:tcPr>
            <w:tcW w:w="1049" w:type="dxa"/>
            <w:vAlign w:val="center"/>
          </w:tcPr>
          <w:p w14:paraId="2636A7BC">
            <w:pPr>
              <w:pStyle w:val="17"/>
              <w:spacing w:line="360" w:lineRule="auto"/>
              <w:jc w:val="center"/>
              <w:rPr>
                <w:rFonts w:hAnsi="宋体"/>
                <w:color w:val="auto"/>
                <w:sz w:val="22"/>
                <w:szCs w:val="22"/>
                <w:highlight w:val="none"/>
              </w:rPr>
            </w:pPr>
          </w:p>
        </w:tc>
        <w:tc>
          <w:tcPr>
            <w:tcW w:w="1148" w:type="dxa"/>
          </w:tcPr>
          <w:p w14:paraId="42803431">
            <w:pPr>
              <w:pStyle w:val="17"/>
              <w:spacing w:line="360" w:lineRule="auto"/>
              <w:rPr>
                <w:rFonts w:hAnsi="宋体"/>
                <w:color w:val="auto"/>
                <w:sz w:val="22"/>
                <w:szCs w:val="22"/>
                <w:highlight w:val="none"/>
              </w:rPr>
            </w:pPr>
          </w:p>
        </w:tc>
        <w:tc>
          <w:tcPr>
            <w:tcW w:w="1124" w:type="dxa"/>
          </w:tcPr>
          <w:p w14:paraId="10F0845F">
            <w:pPr>
              <w:pStyle w:val="17"/>
              <w:spacing w:line="360" w:lineRule="auto"/>
              <w:rPr>
                <w:rFonts w:hAnsi="宋体"/>
                <w:color w:val="auto"/>
                <w:sz w:val="22"/>
                <w:szCs w:val="22"/>
                <w:highlight w:val="none"/>
              </w:rPr>
            </w:pPr>
          </w:p>
        </w:tc>
      </w:tr>
      <w:tr w14:paraId="115B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76C7600C">
            <w:pPr>
              <w:pStyle w:val="17"/>
              <w:spacing w:line="360" w:lineRule="auto"/>
              <w:jc w:val="center"/>
              <w:rPr>
                <w:rFonts w:hAnsi="宋体"/>
                <w:color w:val="auto"/>
                <w:sz w:val="24"/>
                <w:szCs w:val="24"/>
                <w:highlight w:val="none"/>
              </w:rPr>
            </w:pPr>
            <w:r>
              <w:rPr>
                <w:rFonts w:hint="eastAsia" w:hAnsi="宋体"/>
                <w:color w:val="auto"/>
                <w:sz w:val="24"/>
                <w:szCs w:val="24"/>
                <w:highlight w:val="none"/>
              </w:rPr>
              <w:t>投标总价</w:t>
            </w:r>
          </w:p>
        </w:tc>
        <w:tc>
          <w:tcPr>
            <w:tcW w:w="6621" w:type="dxa"/>
            <w:gridSpan w:val="6"/>
            <w:vAlign w:val="center"/>
          </w:tcPr>
          <w:p w14:paraId="5B831F96">
            <w:pPr>
              <w:pStyle w:val="17"/>
              <w:spacing w:line="360" w:lineRule="auto"/>
              <w:jc w:val="center"/>
              <w:rPr>
                <w:rFonts w:hAnsi="宋体"/>
                <w:color w:val="auto"/>
                <w:sz w:val="24"/>
                <w:szCs w:val="24"/>
                <w:highlight w:val="none"/>
              </w:rPr>
            </w:pPr>
            <w:r>
              <w:rPr>
                <w:rFonts w:hint="eastAsia" w:hAnsi="宋体"/>
                <w:color w:val="auto"/>
                <w:sz w:val="24"/>
                <w:szCs w:val="24"/>
                <w:highlight w:val="none"/>
              </w:rPr>
              <w:t>大写：　　　　                元（小写：　　　　　）</w:t>
            </w:r>
          </w:p>
        </w:tc>
      </w:tr>
      <w:tr w14:paraId="0E1F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13A336D8">
            <w:pPr>
              <w:pStyle w:val="17"/>
              <w:spacing w:line="360" w:lineRule="auto"/>
              <w:ind w:firstLine="480" w:firstLineChars="200"/>
              <w:jc w:val="left"/>
              <w:rPr>
                <w:rFonts w:hAnsi="宋体"/>
                <w:color w:val="auto"/>
                <w:sz w:val="22"/>
                <w:szCs w:val="22"/>
                <w:highlight w:val="none"/>
              </w:rPr>
            </w:pPr>
            <w:r>
              <w:rPr>
                <w:rFonts w:hint="eastAsia" w:hAnsi="宋体"/>
                <w:color w:val="auto"/>
                <w:sz w:val="24"/>
                <w:szCs w:val="24"/>
                <w:highlight w:val="none"/>
              </w:rPr>
              <w:t>本次报价应包含项目所需全部服务</w:t>
            </w:r>
            <w:r>
              <w:rPr>
                <w:rFonts w:hint="eastAsia" w:hAnsi="宋体"/>
                <w:color w:val="auto"/>
                <w:sz w:val="24"/>
                <w:szCs w:val="24"/>
                <w:highlight w:val="none"/>
                <w:lang w:val="en-US" w:eastAsia="zh-CN"/>
              </w:rPr>
              <w:t>和</w:t>
            </w:r>
            <w:r>
              <w:rPr>
                <w:rFonts w:hint="eastAsia" w:hAnsi="宋体"/>
                <w:color w:val="auto"/>
                <w:sz w:val="24"/>
                <w:szCs w:val="24"/>
                <w:highlight w:val="none"/>
                <w:lang w:eastAsia="zh-CN"/>
              </w:rPr>
              <w:t>货物</w:t>
            </w:r>
            <w:r>
              <w:rPr>
                <w:rFonts w:hint="eastAsia" w:hAnsi="宋体"/>
                <w:color w:val="auto"/>
                <w:sz w:val="24"/>
                <w:szCs w:val="24"/>
                <w:highlight w:val="none"/>
              </w:rPr>
              <w:t>，不得缺漏，是履行合同的最终价格（人员的工资福利、员工五险费（养老保险、医疗保险、失业保险、工伤保险、生育保险）、</w:t>
            </w:r>
            <w:r>
              <w:rPr>
                <w:rFonts w:hint="eastAsia" w:ascii="宋体" w:hAnsi="宋体" w:eastAsia="宋体" w:cs="宋体"/>
                <w:b w:val="0"/>
                <w:bCs w:val="0"/>
                <w:color w:val="auto"/>
                <w:sz w:val="24"/>
                <w:szCs w:val="24"/>
                <w:highlight w:val="none"/>
                <w:lang w:val="en-US" w:eastAsia="zh-CN"/>
              </w:rPr>
              <w:t>搜集资料</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评估</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指导费</w:t>
            </w:r>
            <w:r>
              <w:rPr>
                <w:rFonts w:hint="eastAsia" w:hAnsi="宋体"/>
                <w:color w:val="auto"/>
                <w:sz w:val="24"/>
                <w:szCs w:val="24"/>
                <w:highlight w:val="none"/>
              </w:rPr>
              <w:t>、</w:t>
            </w:r>
            <w:r>
              <w:rPr>
                <w:rFonts w:hint="eastAsia" w:ascii="宋体" w:hAnsi="宋体" w:eastAsia="宋体" w:cs="宋体"/>
                <w:b w:val="0"/>
                <w:bCs w:val="0"/>
                <w:color w:val="auto"/>
                <w:sz w:val="24"/>
                <w:szCs w:val="24"/>
                <w:highlight w:val="none"/>
                <w:lang w:val="en-US" w:eastAsia="zh-CN"/>
              </w:rPr>
              <w:t>标志标牌制造及安装费、</w:t>
            </w:r>
            <w:r>
              <w:rPr>
                <w:rFonts w:hint="eastAsia" w:hAnsi="宋体"/>
                <w:color w:val="auto"/>
                <w:sz w:val="24"/>
                <w:szCs w:val="24"/>
                <w:highlight w:val="none"/>
              </w:rPr>
              <w:t>办公用品、耗材、管理费、招标代理费、税费等一切费用）。投标报价为供应商所能承受的最低、最终报价，供应商不得再要求追加任何费用。</w:t>
            </w:r>
          </w:p>
        </w:tc>
      </w:tr>
    </w:tbl>
    <w:p w14:paraId="758D39C9">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注：内容可根据供应商实际情况自行调整。</w:t>
      </w:r>
    </w:p>
    <w:p w14:paraId="5B7F2E51">
      <w:pPr>
        <w:rPr>
          <w:rFonts w:hint="eastAsia" w:hAnsi="宋体"/>
          <w:color w:val="auto"/>
          <w:sz w:val="24"/>
          <w:szCs w:val="24"/>
          <w:highlight w:val="none"/>
        </w:rPr>
      </w:pPr>
    </w:p>
    <w:p w14:paraId="4BABAFC6">
      <w:pPr>
        <w:pStyle w:val="14"/>
        <w:rPr>
          <w:color w:val="auto"/>
        </w:rPr>
      </w:pPr>
    </w:p>
    <w:p w14:paraId="78523C2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D8BD1A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3E2876D">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02"/>
    <w:p w14:paraId="05B5BAFA">
      <w:pPr>
        <w:spacing w:line="360" w:lineRule="auto"/>
        <w:jc w:val="left"/>
        <w:rPr>
          <w:rFonts w:hint="eastAsia" w:ascii="宋体" w:hAnsi="宋体" w:cs="宋体"/>
          <w:b/>
          <w:bCs/>
          <w:color w:val="auto"/>
          <w:sz w:val="24"/>
          <w:szCs w:val="24"/>
          <w:highlight w:val="none"/>
          <w:lang w:val="zh-CN"/>
        </w:rPr>
      </w:pPr>
    </w:p>
    <w:p w14:paraId="4426387E">
      <w:pPr>
        <w:spacing w:line="360" w:lineRule="auto"/>
        <w:jc w:val="left"/>
        <w:rPr>
          <w:rFonts w:hint="eastAsia" w:ascii="宋体" w:hAnsi="宋体" w:cs="宋体"/>
          <w:b/>
          <w:bCs/>
          <w:color w:val="auto"/>
          <w:sz w:val="24"/>
          <w:szCs w:val="24"/>
          <w:highlight w:val="none"/>
          <w:lang w:val="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311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60BBD">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1A13A7">
                          <w:pPr>
                            <w:pStyle w:val="2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1E1A13A7">
                    <w:pPr>
                      <w:pStyle w:val="2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BD2B">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1212B">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3A21212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68C55">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8A9E6D">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C8A9E6D">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5545">
    <w:pPr>
      <w:pStyle w:val="20"/>
      <w:rPr>
        <w:rStyle w:val="35"/>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46BEE081">
                          <w:pPr>
                            <w:pStyle w:val="20"/>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46BEE081">
                    <w:pPr>
                      <w:pStyle w:val="20"/>
                    </w:pPr>
                    <w:r>
                      <w:fldChar w:fldCharType="begin"/>
                    </w:r>
                    <w:r>
                      <w:instrText xml:space="preserve"> PAGE  \* MERGEFORMAT </w:instrText>
                    </w:r>
                    <w:r>
                      <w:fldChar w:fldCharType="separate"/>
                    </w:r>
                    <w:r>
                      <w:t>59</w:t>
                    </w:r>
                    <w:r>
                      <w:fldChar w:fldCharType="end"/>
                    </w:r>
                  </w:p>
                </w:txbxContent>
              </v:textbox>
            </v:shape>
          </w:pict>
        </mc:Fallback>
      </mc:AlternateContent>
    </w:r>
  </w:p>
  <w:p w14:paraId="3FB00C22">
    <w:pPr>
      <w:pStyle w:val="20"/>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B057">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9E7D436F"/>
    <w:multiLevelType w:val="singleLevel"/>
    <w:tmpl w:val="9E7D436F"/>
    <w:lvl w:ilvl="0" w:tentative="0">
      <w:start w:val="1"/>
      <w:numFmt w:val="chineseCounting"/>
      <w:suff w:val="nothing"/>
      <w:lvlText w:val="%1、"/>
      <w:lvlJc w:val="left"/>
      <w:rPr>
        <w:rFonts w:hint="eastAsia"/>
      </w:rPr>
    </w:lvl>
  </w:abstractNum>
  <w:abstractNum w:abstractNumId="2">
    <w:nsid w:val="C607EDA2"/>
    <w:multiLevelType w:val="singleLevel"/>
    <w:tmpl w:val="C607EDA2"/>
    <w:lvl w:ilvl="0" w:tentative="0">
      <w:start w:val="1"/>
      <w:numFmt w:val="decimal"/>
      <w:suff w:val="nothing"/>
      <w:lvlText w:val="%1、"/>
      <w:lvlJc w:val="left"/>
    </w:lvl>
  </w:abstractNum>
  <w:abstractNum w:abstractNumId="3">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4">
    <w:nsid w:val="F13E1975"/>
    <w:multiLevelType w:val="singleLevel"/>
    <w:tmpl w:val="F13E1975"/>
    <w:lvl w:ilvl="0" w:tentative="0">
      <w:start w:val="1"/>
      <w:numFmt w:val="decimal"/>
      <w:suff w:val="nothing"/>
      <w:lvlText w:val="%1．"/>
      <w:lvlJc w:val="left"/>
      <w:pPr>
        <w:ind w:left="0" w:firstLine="400"/>
      </w:pPr>
      <w:rPr>
        <w:rFonts w:hint="default"/>
      </w:rPr>
    </w:lvl>
  </w:abstractNum>
  <w:abstractNum w:abstractNumId="5">
    <w:nsid w:val="F4396F3A"/>
    <w:multiLevelType w:val="singleLevel"/>
    <w:tmpl w:val="F4396F3A"/>
    <w:lvl w:ilvl="0" w:tentative="0">
      <w:start w:val="2"/>
      <w:numFmt w:val="chineseCounting"/>
      <w:suff w:val="nothing"/>
      <w:lvlText w:val="%1、"/>
      <w:lvlJc w:val="left"/>
      <w:rPr>
        <w:rFonts w:hint="eastAsia"/>
      </w:rPr>
    </w:lvl>
  </w:abstractNum>
  <w:abstractNum w:abstractNumId="6">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7">
    <w:nsid w:val="12F353C5"/>
    <w:multiLevelType w:val="singleLevel"/>
    <w:tmpl w:val="12F353C5"/>
    <w:lvl w:ilvl="0" w:tentative="0">
      <w:start w:val="1"/>
      <w:numFmt w:val="chineseCounting"/>
      <w:suff w:val="nothing"/>
      <w:lvlText w:val="%1、"/>
      <w:lvlJc w:val="left"/>
      <w:rPr>
        <w:rFonts w:hint="eastAsia"/>
      </w:rPr>
    </w:lvl>
  </w:abstractNum>
  <w:abstractNum w:abstractNumId="8">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9">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0">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1">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2">
    <w:nsid w:val="31213A5A"/>
    <w:multiLevelType w:val="singleLevel"/>
    <w:tmpl w:val="31213A5A"/>
    <w:lvl w:ilvl="0" w:tentative="0">
      <w:start w:val="4"/>
      <w:numFmt w:val="chineseCounting"/>
      <w:suff w:val="nothing"/>
      <w:lvlText w:val="%1、"/>
      <w:lvlJc w:val="left"/>
      <w:rPr>
        <w:rFonts w:hint="eastAsia"/>
      </w:rPr>
    </w:lvl>
  </w:abstractNum>
  <w:abstractNum w:abstractNumId="13">
    <w:nsid w:val="3B524921"/>
    <w:multiLevelType w:val="singleLevel"/>
    <w:tmpl w:val="3B524921"/>
    <w:lvl w:ilvl="0" w:tentative="0">
      <w:start w:val="1"/>
      <w:numFmt w:val="decimal"/>
      <w:suff w:val="nothing"/>
      <w:lvlText w:val="(%1)"/>
      <w:lvlJc w:val="left"/>
      <w:pPr>
        <w:ind w:left="425" w:hanging="425"/>
      </w:pPr>
      <w:rPr>
        <w:rFonts w:hint="default"/>
      </w:rPr>
    </w:lvl>
  </w:abstractNum>
  <w:abstractNum w:abstractNumId="14">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5">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7">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num w:numId="1">
    <w:abstractNumId w:val="15"/>
  </w:num>
  <w:num w:numId="2">
    <w:abstractNumId w:val="6"/>
  </w:num>
  <w:num w:numId="3">
    <w:abstractNumId w:val="17"/>
  </w:num>
  <w:num w:numId="4">
    <w:abstractNumId w:val="9"/>
  </w:num>
  <w:num w:numId="5">
    <w:abstractNumId w:val="10"/>
  </w:num>
  <w:num w:numId="6">
    <w:abstractNumId w:val="18"/>
  </w:num>
  <w:num w:numId="7">
    <w:abstractNumId w:val="7"/>
  </w:num>
  <w:num w:numId="8">
    <w:abstractNumId w:val="8"/>
  </w:num>
  <w:num w:numId="9">
    <w:abstractNumId w:val="16"/>
  </w:num>
  <w:num w:numId="10">
    <w:abstractNumId w:val="14"/>
  </w:num>
  <w:num w:numId="11">
    <w:abstractNumId w:val="3"/>
  </w:num>
  <w:num w:numId="12">
    <w:abstractNumId w:val="0"/>
  </w:num>
  <w:num w:numId="13">
    <w:abstractNumId w:val="11"/>
  </w:num>
  <w:num w:numId="14">
    <w:abstractNumId w:val="1"/>
  </w:num>
  <w:num w:numId="15">
    <w:abstractNumId w:val="12"/>
  </w:num>
  <w:num w:numId="16">
    <w:abstractNumId w:val="5"/>
  </w:num>
  <w:num w:numId="17">
    <w:abstractNumId w:val="2"/>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YWU2ZTk2MGU1NDNlZGY5MzE0NzM2ODJlNDA4NTk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875D6"/>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DF4014"/>
    <w:rsid w:val="00E109DA"/>
    <w:rsid w:val="00E30080"/>
    <w:rsid w:val="00E53562"/>
    <w:rsid w:val="00E666D2"/>
    <w:rsid w:val="00F47432"/>
    <w:rsid w:val="00F673E5"/>
    <w:rsid w:val="00FD3C5B"/>
    <w:rsid w:val="00FD77B5"/>
    <w:rsid w:val="01044A81"/>
    <w:rsid w:val="011B03F4"/>
    <w:rsid w:val="0149271B"/>
    <w:rsid w:val="01A77E95"/>
    <w:rsid w:val="02710CE9"/>
    <w:rsid w:val="02F834C3"/>
    <w:rsid w:val="02FB0AA9"/>
    <w:rsid w:val="02FB1EF4"/>
    <w:rsid w:val="03442FCE"/>
    <w:rsid w:val="03A870EA"/>
    <w:rsid w:val="03E70B83"/>
    <w:rsid w:val="04097B1A"/>
    <w:rsid w:val="044134E4"/>
    <w:rsid w:val="0468382F"/>
    <w:rsid w:val="04A11525"/>
    <w:rsid w:val="052D21DD"/>
    <w:rsid w:val="05453D06"/>
    <w:rsid w:val="06082700"/>
    <w:rsid w:val="07010B40"/>
    <w:rsid w:val="072B29B4"/>
    <w:rsid w:val="07401E45"/>
    <w:rsid w:val="074C3C28"/>
    <w:rsid w:val="07D64F6C"/>
    <w:rsid w:val="090B4CBB"/>
    <w:rsid w:val="09A27D61"/>
    <w:rsid w:val="0ABC596C"/>
    <w:rsid w:val="0B065E39"/>
    <w:rsid w:val="0BA047BA"/>
    <w:rsid w:val="0C387BBC"/>
    <w:rsid w:val="0C7A6A78"/>
    <w:rsid w:val="0CD76BCF"/>
    <w:rsid w:val="0D094597"/>
    <w:rsid w:val="0D6E3DD0"/>
    <w:rsid w:val="0E090AFD"/>
    <w:rsid w:val="0E22642F"/>
    <w:rsid w:val="0E2D1637"/>
    <w:rsid w:val="0EA5368B"/>
    <w:rsid w:val="0EEA1524"/>
    <w:rsid w:val="0F9E5390"/>
    <w:rsid w:val="0FD146C5"/>
    <w:rsid w:val="101203B9"/>
    <w:rsid w:val="104145F9"/>
    <w:rsid w:val="10B64C1C"/>
    <w:rsid w:val="10BA6CED"/>
    <w:rsid w:val="10C9129C"/>
    <w:rsid w:val="112014D4"/>
    <w:rsid w:val="113C27FB"/>
    <w:rsid w:val="11AF1066"/>
    <w:rsid w:val="11B2653F"/>
    <w:rsid w:val="11CF6577"/>
    <w:rsid w:val="12313422"/>
    <w:rsid w:val="12792BFB"/>
    <w:rsid w:val="129F37E3"/>
    <w:rsid w:val="12E30368"/>
    <w:rsid w:val="12FC45DD"/>
    <w:rsid w:val="13495BED"/>
    <w:rsid w:val="14897D41"/>
    <w:rsid w:val="15435254"/>
    <w:rsid w:val="15576C06"/>
    <w:rsid w:val="155D552F"/>
    <w:rsid w:val="15703332"/>
    <w:rsid w:val="157D7686"/>
    <w:rsid w:val="15830AE2"/>
    <w:rsid w:val="15A07E8D"/>
    <w:rsid w:val="15BC6282"/>
    <w:rsid w:val="1648774C"/>
    <w:rsid w:val="1697322A"/>
    <w:rsid w:val="16B952CB"/>
    <w:rsid w:val="16EB43B2"/>
    <w:rsid w:val="17094D53"/>
    <w:rsid w:val="172D2B29"/>
    <w:rsid w:val="174437E2"/>
    <w:rsid w:val="17463BEB"/>
    <w:rsid w:val="17D3547E"/>
    <w:rsid w:val="17F0221E"/>
    <w:rsid w:val="19061AA7"/>
    <w:rsid w:val="190D09AE"/>
    <w:rsid w:val="194A559B"/>
    <w:rsid w:val="19B03AD9"/>
    <w:rsid w:val="1A00750A"/>
    <w:rsid w:val="1A1428EC"/>
    <w:rsid w:val="1A156465"/>
    <w:rsid w:val="1A5C2DEA"/>
    <w:rsid w:val="1A686CC5"/>
    <w:rsid w:val="1ADE798E"/>
    <w:rsid w:val="1AF75928"/>
    <w:rsid w:val="1AFB0A1E"/>
    <w:rsid w:val="1B155261"/>
    <w:rsid w:val="1B4A7538"/>
    <w:rsid w:val="1B4F1500"/>
    <w:rsid w:val="1B6755DD"/>
    <w:rsid w:val="1BC45F57"/>
    <w:rsid w:val="1BDB27A5"/>
    <w:rsid w:val="1C177D71"/>
    <w:rsid w:val="1CC874BD"/>
    <w:rsid w:val="1CE81F3E"/>
    <w:rsid w:val="1CFF0A9F"/>
    <w:rsid w:val="1D2A2A3C"/>
    <w:rsid w:val="1D514025"/>
    <w:rsid w:val="1DC74A1D"/>
    <w:rsid w:val="1E157011"/>
    <w:rsid w:val="1E8C459E"/>
    <w:rsid w:val="1E934307"/>
    <w:rsid w:val="1EDA1EFB"/>
    <w:rsid w:val="1F2B0346"/>
    <w:rsid w:val="1F3A17F4"/>
    <w:rsid w:val="1F431821"/>
    <w:rsid w:val="1F890C4B"/>
    <w:rsid w:val="1FD10B66"/>
    <w:rsid w:val="1FDA3069"/>
    <w:rsid w:val="1FDF3A38"/>
    <w:rsid w:val="20005C4C"/>
    <w:rsid w:val="20325FB5"/>
    <w:rsid w:val="205B73C3"/>
    <w:rsid w:val="20626028"/>
    <w:rsid w:val="20B44398"/>
    <w:rsid w:val="20D34487"/>
    <w:rsid w:val="20EB4820"/>
    <w:rsid w:val="215A3622"/>
    <w:rsid w:val="219416B8"/>
    <w:rsid w:val="219A142F"/>
    <w:rsid w:val="219E4D4F"/>
    <w:rsid w:val="21FF3D3B"/>
    <w:rsid w:val="220A1EFE"/>
    <w:rsid w:val="2231339B"/>
    <w:rsid w:val="22514430"/>
    <w:rsid w:val="226704C8"/>
    <w:rsid w:val="22B61C24"/>
    <w:rsid w:val="22D7095E"/>
    <w:rsid w:val="230B0266"/>
    <w:rsid w:val="2313099B"/>
    <w:rsid w:val="234B0952"/>
    <w:rsid w:val="23720885"/>
    <w:rsid w:val="239F10A8"/>
    <w:rsid w:val="24054003"/>
    <w:rsid w:val="241C1BE2"/>
    <w:rsid w:val="24534FAF"/>
    <w:rsid w:val="248E2E3A"/>
    <w:rsid w:val="255F5E88"/>
    <w:rsid w:val="26451EEA"/>
    <w:rsid w:val="26704F2E"/>
    <w:rsid w:val="269A56FB"/>
    <w:rsid w:val="27797224"/>
    <w:rsid w:val="27DC3878"/>
    <w:rsid w:val="284B4763"/>
    <w:rsid w:val="28AF339E"/>
    <w:rsid w:val="28C62F56"/>
    <w:rsid w:val="28D55F18"/>
    <w:rsid w:val="28DA203A"/>
    <w:rsid w:val="28E84A2F"/>
    <w:rsid w:val="28F0407A"/>
    <w:rsid w:val="29152822"/>
    <w:rsid w:val="29193189"/>
    <w:rsid w:val="291A7D32"/>
    <w:rsid w:val="29320499"/>
    <w:rsid w:val="29581BEB"/>
    <w:rsid w:val="29655706"/>
    <w:rsid w:val="29837904"/>
    <w:rsid w:val="29AC284E"/>
    <w:rsid w:val="29F976EE"/>
    <w:rsid w:val="2A705AA2"/>
    <w:rsid w:val="2AB06233"/>
    <w:rsid w:val="2ABF259D"/>
    <w:rsid w:val="2AD11B33"/>
    <w:rsid w:val="2B351DEA"/>
    <w:rsid w:val="2B6C01DB"/>
    <w:rsid w:val="2BF7A349"/>
    <w:rsid w:val="2C0E641B"/>
    <w:rsid w:val="2C263A29"/>
    <w:rsid w:val="2C3500AF"/>
    <w:rsid w:val="2C3D7B4A"/>
    <w:rsid w:val="2CAE51CD"/>
    <w:rsid w:val="2CFB251F"/>
    <w:rsid w:val="2D21419E"/>
    <w:rsid w:val="2D346E5C"/>
    <w:rsid w:val="2D693995"/>
    <w:rsid w:val="2D940DB4"/>
    <w:rsid w:val="2DAE5AF6"/>
    <w:rsid w:val="2E195CAE"/>
    <w:rsid w:val="2E664953"/>
    <w:rsid w:val="2EB5699C"/>
    <w:rsid w:val="2EDC3B4E"/>
    <w:rsid w:val="2F273A1E"/>
    <w:rsid w:val="2F602619"/>
    <w:rsid w:val="2F6E3D48"/>
    <w:rsid w:val="2FCA4F61"/>
    <w:rsid w:val="2FCD03CD"/>
    <w:rsid w:val="300C0145"/>
    <w:rsid w:val="30474804"/>
    <w:rsid w:val="30955632"/>
    <w:rsid w:val="30FB7A19"/>
    <w:rsid w:val="310261A7"/>
    <w:rsid w:val="318D0B53"/>
    <w:rsid w:val="318D3619"/>
    <w:rsid w:val="32A75185"/>
    <w:rsid w:val="33340B4D"/>
    <w:rsid w:val="33414225"/>
    <w:rsid w:val="335F41BA"/>
    <w:rsid w:val="33BA34B0"/>
    <w:rsid w:val="34367DA9"/>
    <w:rsid w:val="3477488D"/>
    <w:rsid w:val="349413EA"/>
    <w:rsid w:val="34C54BE3"/>
    <w:rsid w:val="34C574CF"/>
    <w:rsid w:val="350D6182"/>
    <w:rsid w:val="351647A5"/>
    <w:rsid w:val="35F91DFF"/>
    <w:rsid w:val="367C4935"/>
    <w:rsid w:val="36CE34E8"/>
    <w:rsid w:val="37020770"/>
    <w:rsid w:val="37A32946"/>
    <w:rsid w:val="37B838EA"/>
    <w:rsid w:val="38641F42"/>
    <w:rsid w:val="38B779EE"/>
    <w:rsid w:val="3904514B"/>
    <w:rsid w:val="392F158D"/>
    <w:rsid w:val="39352153"/>
    <w:rsid w:val="39606472"/>
    <w:rsid w:val="39BF365D"/>
    <w:rsid w:val="39FB6A6E"/>
    <w:rsid w:val="39FC282B"/>
    <w:rsid w:val="3A164E28"/>
    <w:rsid w:val="3A9C1064"/>
    <w:rsid w:val="3ACF16E5"/>
    <w:rsid w:val="3ADF429B"/>
    <w:rsid w:val="3B0E1F66"/>
    <w:rsid w:val="3B1064BD"/>
    <w:rsid w:val="3B2C33D8"/>
    <w:rsid w:val="3B2C358C"/>
    <w:rsid w:val="3BE04637"/>
    <w:rsid w:val="3BF15362"/>
    <w:rsid w:val="3BFE2701"/>
    <w:rsid w:val="3C6D4B9E"/>
    <w:rsid w:val="3CCD6004"/>
    <w:rsid w:val="3CD27730"/>
    <w:rsid w:val="3D390470"/>
    <w:rsid w:val="3D4D11D6"/>
    <w:rsid w:val="3D593B6E"/>
    <w:rsid w:val="3DB77087"/>
    <w:rsid w:val="3DC76F84"/>
    <w:rsid w:val="3DCE50EF"/>
    <w:rsid w:val="3DDF7E2A"/>
    <w:rsid w:val="3E1918E3"/>
    <w:rsid w:val="3E3759DF"/>
    <w:rsid w:val="3E611B0E"/>
    <w:rsid w:val="3E96513D"/>
    <w:rsid w:val="3E98229E"/>
    <w:rsid w:val="3EA64B1B"/>
    <w:rsid w:val="3EE902D6"/>
    <w:rsid w:val="3F010273"/>
    <w:rsid w:val="3F894898"/>
    <w:rsid w:val="40015F11"/>
    <w:rsid w:val="4009784F"/>
    <w:rsid w:val="403D430B"/>
    <w:rsid w:val="40D1561A"/>
    <w:rsid w:val="40E80A95"/>
    <w:rsid w:val="41131941"/>
    <w:rsid w:val="411E7DFD"/>
    <w:rsid w:val="41766CF7"/>
    <w:rsid w:val="41A00013"/>
    <w:rsid w:val="41C50CBF"/>
    <w:rsid w:val="420270E5"/>
    <w:rsid w:val="42234900"/>
    <w:rsid w:val="42310D45"/>
    <w:rsid w:val="42316547"/>
    <w:rsid w:val="42776FEA"/>
    <w:rsid w:val="42914373"/>
    <w:rsid w:val="4297507F"/>
    <w:rsid w:val="42A44E8B"/>
    <w:rsid w:val="4305001C"/>
    <w:rsid w:val="43393B20"/>
    <w:rsid w:val="43495ACF"/>
    <w:rsid w:val="436C497E"/>
    <w:rsid w:val="43AB57FF"/>
    <w:rsid w:val="43F54CF5"/>
    <w:rsid w:val="444630BD"/>
    <w:rsid w:val="444B5A71"/>
    <w:rsid w:val="448D6A38"/>
    <w:rsid w:val="454D3269"/>
    <w:rsid w:val="45731779"/>
    <w:rsid w:val="45D17C73"/>
    <w:rsid w:val="46562959"/>
    <w:rsid w:val="467F690A"/>
    <w:rsid w:val="46B85F59"/>
    <w:rsid w:val="46C644C3"/>
    <w:rsid w:val="46E961D3"/>
    <w:rsid w:val="47AF4D11"/>
    <w:rsid w:val="47EF50CB"/>
    <w:rsid w:val="481D2540"/>
    <w:rsid w:val="48621071"/>
    <w:rsid w:val="486D24D6"/>
    <w:rsid w:val="487E0030"/>
    <w:rsid w:val="48AA54D8"/>
    <w:rsid w:val="48CF688B"/>
    <w:rsid w:val="492D7C31"/>
    <w:rsid w:val="495C25B9"/>
    <w:rsid w:val="498B48F2"/>
    <w:rsid w:val="499D0869"/>
    <w:rsid w:val="49A50688"/>
    <w:rsid w:val="49C134CC"/>
    <w:rsid w:val="4A396CAF"/>
    <w:rsid w:val="4A3E14BB"/>
    <w:rsid w:val="4ACC4412"/>
    <w:rsid w:val="4AD245F0"/>
    <w:rsid w:val="4B0C6773"/>
    <w:rsid w:val="4B5C045F"/>
    <w:rsid w:val="4BC33989"/>
    <w:rsid w:val="4BE44EED"/>
    <w:rsid w:val="4C347AA3"/>
    <w:rsid w:val="4D0553D3"/>
    <w:rsid w:val="4D782815"/>
    <w:rsid w:val="4D8D2223"/>
    <w:rsid w:val="4DA035B2"/>
    <w:rsid w:val="4DBE4790"/>
    <w:rsid w:val="4DD202EA"/>
    <w:rsid w:val="4E51422D"/>
    <w:rsid w:val="4E705563"/>
    <w:rsid w:val="4EEF6B88"/>
    <w:rsid w:val="4EF549D4"/>
    <w:rsid w:val="4F856AFC"/>
    <w:rsid w:val="4FA72F38"/>
    <w:rsid w:val="4FFC17B4"/>
    <w:rsid w:val="501E4593"/>
    <w:rsid w:val="509E5922"/>
    <w:rsid w:val="51F03A65"/>
    <w:rsid w:val="51F574E8"/>
    <w:rsid w:val="5240178A"/>
    <w:rsid w:val="525C5D72"/>
    <w:rsid w:val="52A03EC3"/>
    <w:rsid w:val="52BF4BDF"/>
    <w:rsid w:val="52F364AB"/>
    <w:rsid w:val="52FE55DB"/>
    <w:rsid w:val="53033D41"/>
    <w:rsid w:val="53DFE4D8"/>
    <w:rsid w:val="53E87428"/>
    <w:rsid w:val="53FA1456"/>
    <w:rsid w:val="5447281C"/>
    <w:rsid w:val="548C054F"/>
    <w:rsid w:val="54926736"/>
    <w:rsid w:val="54A90D98"/>
    <w:rsid w:val="54E44556"/>
    <w:rsid w:val="54F65EBA"/>
    <w:rsid w:val="550B3203"/>
    <w:rsid w:val="5534422B"/>
    <w:rsid w:val="55AF412E"/>
    <w:rsid w:val="55D27624"/>
    <w:rsid w:val="56324628"/>
    <w:rsid w:val="56336B0D"/>
    <w:rsid w:val="567A6E51"/>
    <w:rsid w:val="56931C75"/>
    <w:rsid w:val="56E44DA9"/>
    <w:rsid w:val="56F203B4"/>
    <w:rsid w:val="57472D83"/>
    <w:rsid w:val="57974932"/>
    <w:rsid w:val="579A11F6"/>
    <w:rsid w:val="57FC55AA"/>
    <w:rsid w:val="580928E7"/>
    <w:rsid w:val="583E1CF5"/>
    <w:rsid w:val="58551F7D"/>
    <w:rsid w:val="595C5ED3"/>
    <w:rsid w:val="5AA412FE"/>
    <w:rsid w:val="5ABA7A19"/>
    <w:rsid w:val="5AC72F10"/>
    <w:rsid w:val="5B136F0D"/>
    <w:rsid w:val="5B450FE1"/>
    <w:rsid w:val="5B56778E"/>
    <w:rsid w:val="5B63631B"/>
    <w:rsid w:val="5B840C5F"/>
    <w:rsid w:val="5B964D28"/>
    <w:rsid w:val="5BC44F00"/>
    <w:rsid w:val="5C6E3CC0"/>
    <w:rsid w:val="5CAB5DDC"/>
    <w:rsid w:val="5D002209"/>
    <w:rsid w:val="5D217374"/>
    <w:rsid w:val="5DE81AA6"/>
    <w:rsid w:val="5DE943DE"/>
    <w:rsid w:val="5E2B51A2"/>
    <w:rsid w:val="5EB62375"/>
    <w:rsid w:val="5EF724E5"/>
    <w:rsid w:val="5F027C2C"/>
    <w:rsid w:val="5F436DCC"/>
    <w:rsid w:val="5F5B667A"/>
    <w:rsid w:val="5F6067D6"/>
    <w:rsid w:val="5F7B3B12"/>
    <w:rsid w:val="5FD125EC"/>
    <w:rsid w:val="602B7828"/>
    <w:rsid w:val="603D2D4A"/>
    <w:rsid w:val="60D51B08"/>
    <w:rsid w:val="610552EA"/>
    <w:rsid w:val="61162C50"/>
    <w:rsid w:val="61183586"/>
    <w:rsid w:val="61357CC0"/>
    <w:rsid w:val="61490A69"/>
    <w:rsid w:val="615A455A"/>
    <w:rsid w:val="617203D0"/>
    <w:rsid w:val="61EC0543"/>
    <w:rsid w:val="622320AD"/>
    <w:rsid w:val="62460B06"/>
    <w:rsid w:val="626C41FD"/>
    <w:rsid w:val="62F7205C"/>
    <w:rsid w:val="6302294D"/>
    <w:rsid w:val="631840FD"/>
    <w:rsid w:val="634B16C2"/>
    <w:rsid w:val="638717D9"/>
    <w:rsid w:val="63DD630A"/>
    <w:rsid w:val="641D7240"/>
    <w:rsid w:val="64981C38"/>
    <w:rsid w:val="64A14715"/>
    <w:rsid w:val="64AE2EEE"/>
    <w:rsid w:val="64E71BB9"/>
    <w:rsid w:val="64EF0B80"/>
    <w:rsid w:val="64F70EA9"/>
    <w:rsid w:val="654F1A47"/>
    <w:rsid w:val="6559389C"/>
    <w:rsid w:val="65712669"/>
    <w:rsid w:val="65C03700"/>
    <w:rsid w:val="65EC15AB"/>
    <w:rsid w:val="666B40A1"/>
    <w:rsid w:val="66E15F37"/>
    <w:rsid w:val="671B6AB8"/>
    <w:rsid w:val="67996221"/>
    <w:rsid w:val="681E7F53"/>
    <w:rsid w:val="688438B7"/>
    <w:rsid w:val="68C46127"/>
    <w:rsid w:val="69610B03"/>
    <w:rsid w:val="69A14E77"/>
    <w:rsid w:val="69A714AC"/>
    <w:rsid w:val="69B373AB"/>
    <w:rsid w:val="6A1671DC"/>
    <w:rsid w:val="6B584AFC"/>
    <w:rsid w:val="6B59453E"/>
    <w:rsid w:val="6BE66EA4"/>
    <w:rsid w:val="6CB308AC"/>
    <w:rsid w:val="6CFE0B4A"/>
    <w:rsid w:val="6D137960"/>
    <w:rsid w:val="6D88336F"/>
    <w:rsid w:val="6E3C2D80"/>
    <w:rsid w:val="6E627A21"/>
    <w:rsid w:val="6E957640"/>
    <w:rsid w:val="6EE33674"/>
    <w:rsid w:val="6EE442D1"/>
    <w:rsid w:val="6F4C3024"/>
    <w:rsid w:val="6F7791ED"/>
    <w:rsid w:val="6F9211E6"/>
    <w:rsid w:val="701337DF"/>
    <w:rsid w:val="704F0BC4"/>
    <w:rsid w:val="70BA3726"/>
    <w:rsid w:val="71A224E9"/>
    <w:rsid w:val="71D074AE"/>
    <w:rsid w:val="72310D3B"/>
    <w:rsid w:val="72741EBA"/>
    <w:rsid w:val="72CD2538"/>
    <w:rsid w:val="72EA0AEA"/>
    <w:rsid w:val="73253CFE"/>
    <w:rsid w:val="734A6100"/>
    <w:rsid w:val="73767D80"/>
    <w:rsid w:val="738854C1"/>
    <w:rsid w:val="73EB3D22"/>
    <w:rsid w:val="74064BED"/>
    <w:rsid w:val="742C1F3D"/>
    <w:rsid w:val="74533BD1"/>
    <w:rsid w:val="747948CE"/>
    <w:rsid w:val="748F5DA9"/>
    <w:rsid w:val="75126D7A"/>
    <w:rsid w:val="75A65E27"/>
    <w:rsid w:val="75BA5477"/>
    <w:rsid w:val="760F280F"/>
    <w:rsid w:val="769918E2"/>
    <w:rsid w:val="76BFAF13"/>
    <w:rsid w:val="77004391"/>
    <w:rsid w:val="773515AC"/>
    <w:rsid w:val="77537603"/>
    <w:rsid w:val="7772791E"/>
    <w:rsid w:val="77F76977"/>
    <w:rsid w:val="780A2324"/>
    <w:rsid w:val="785513ED"/>
    <w:rsid w:val="786B1CDE"/>
    <w:rsid w:val="78874D6A"/>
    <w:rsid w:val="78937CF7"/>
    <w:rsid w:val="78CF3C41"/>
    <w:rsid w:val="78FBF684"/>
    <w:rsid w:val="799C2E68"/>
    <w:rsid w:val="79ED6971"/>
    <w:rsid w:val="79FE2D83"/>
    <w:rsid w:val="7A057571"/>
    <w:rsid w:val="7A263419"/>
    <w:rsid w:val="7A410003"/>
    <w:rsid w:val="7A4B711F"/>
    <w:rsid w:val="7A5A52BF"/>
    <w:rsid w:val="7AA33536"/>
    <w:rsid w:val="7AE8472F"/>
    <w:rsid w:val="7B1A3000"/>
    <w:rsid w:val="7B4D35F3"/>
    <w:rsid w:val="7B7D91F1"/>
    <w:rsid w:val="7BCD5242"/>
    <w:rsid w:val="7BED0CD8"/>
    <w:rsid w:val="7BF369A8"/>
    <w:rsid w:val="7BF88BF8"/>
    <w:rsid w:val="7BFE1E83"/>
    <w:rsid w:val="7C17413B"/>
    <w:rsid w:val="7C4C279A"/>
    <w:rsid w:val="7C91033B"/>
    <w:rsid w:val="7CB7F70C"/>
    <w:rsid w:val="7CF32A66"/>
    <w:rsid w:val="7D673C72"/>
    <w:rsid w:val="7D6FFF83"/>
    <w:rsid w:val="7D71438E"/>
    <w:rsid w:val="7D934365"/>
    <w:rsid w:val="7D9D7F66"/>
    <w:rsid w:val="7DBF21A5"/>
    <w:rsid w:val="7DCD477D"/>
    <w:rsid w:val="7DDB02C4"/>
    <w:rsid w:val="7DE93C59"/>
    <w:rsid w:val="7DF60804"/>
    <w:rsid w:val="7DFBF8B8"/>
    <w:rsid w:val="7E053725"/>
    <w:rsid w:val="7E682F48"/>
    <w:rsid w:val="7E6D67B0"/>
    <w:rsid w:val="7E72183B"/>
    <w:rsid w:val="7ED71E7C"/>
    <w:rsid w:val="7EFF7F74"/>
    <w:rsid w:val="7F3F6140"/>
    <w:rsid w:val="7F516B1D"/>
    <w:rsid w:val="7FB33084"/>
    <w:rsid w:val="7FFEB29D"/>
    <w:rsid w:val="7FFFD480"/>
    <w:rsid w:val="B69FF366"/>
    <w:rsid w:val="B7BE0BB5"/>
    <w:rsid w:val="D15D4F91"/>
    <w:rsid w:val="D1D7919C"/>
    <w:rsid w:val="DE7FF3CC"/>
    <w:rsid w:val="E7CDFB6D"/>
    <w:rsid w:val="F1DB8BD6"/>
    <w:rsid w:val="F3FBBAEA"/>
    <w:rsid w:val="F9F5CFF4"/>
    <w:rsid w:val="FBABB74A"/>
    <w:rsid w:val="FCF30DAE"/>
    <w:rsid w:val="FEF185FD"/>
    <w:rsid w:val="FEFB5F71"/>
    <w:rsid w:val="FF9FEFB3"/>
    <w:rsid w:val="FFAC0321"/>
    <w:rsid w:val="FFBD4E78"/>
    <w:rsid w:val="FFCFBC05"/>
    <w:rsid w:val="FFEFFAA3"/>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autoRedefine/>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1"/>
    <w:link w:val="48"/>
    <w:qFormat/>
    <w:uiPriority w:val="99"/>
    <w:pPr>
      <w:keepNext/>
      <w:spacing w:line="216" w:lineRule="auto"/>
      <w:outlineLvl w:val="1"/>
    </w:pPr>
    <w:rPr>
      <w:rFonts w:ascii="宋体" w:hAnsi="Calibri" w:cs="宋体"/>
      <w:b/>
      <w:bCs/>
      <w:sz w:val="28"/>
      <w:szCs w:val="28"/>
    </w:rPr>
  </w:style>
  <w:style w:type="paragraph" w:styleId="4">
    <w:name w:val="heading 3"/>
    <w:basedOn w:val="1"/>
    <w:next w:val="1"/>
    <w:link w:val="49"/>
    <w:qFormat/>
    <w:uiPriority w:val="99"/>
    <w:pPr>
      <w:keepNext/>
      <w:numPr>
        <w:ilvl w:val="0"/>
        <w:numId w:val="1"/>
      </w:numPr>
      <w:spacing w:line="216" w:lineRule="auto"/>
      <w:outlineLvl w:val="2"/>
    </w:pPr>
    <w:rPr>
      <w:rFonts w:ascii="宋体" w:hAnsi="Calibri" w:cs="宋体"/>
      <w:b/>
      <w:bCs/>
      <w:sz w:val="28"/>
      <w:szCs w:val="28"/>
    </w:rPr>
  </w:style>
  <w:style w:type="paragraph" w:styleId="5">
    <w:name w:val="heading 4"/>
    <w:basedOn w:val="1"/>
    <w:next w:val="1"/>
    <w:autoRedefine/>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33">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annotation text"/>
    <w:basedOn w:val="1"/>
    <w:autoRedefine/>
    <w:semiHidden/>
    <w:unhideWhenUsed/>
    <w:qFormat/>
    <w:uiPriority w:val="99"/>
    <w:pPr>
      <w:jc w:val="left"/>
    </w:pPr>
  </w:style>
  <w:style w:type="paragraph" w:styleId="8">
    <w:name w:val="Body Text"/>
    <w:basedOn w:val="1"/>
    <w:next w:val="9"/>
    <w:link w:val="50"/>
    <w:autoRedefine/>
    <w:qFormat/>
    <w:uiPriority w:val="99"/>
  </w:style>
  <w:style w:type="paragraph" w:customStyle="1" w:styleId="9">
    <w:name w:val="样式 表格正文 + 两端对齐"/>
    <w:basedOn w:val="1"/>
    <w:next w:val="10"/>
    <w:qFormat/>
    <w:uiPriority w:val="99"/>
    <w:pPr>
      <w:spacing w:line="300" w:lineRule="auto"/>
    </w:pPr>
    <w:rPr>
      <w:sz w:val="24"/>
      <w:szCs w:val="24"/>
    </w:rPr>
  </w:style>
  <w:style w:type="paragraph" w:customStyle="1" w:styleId="10">
    <w:name w:val="正文1"/>
    <w:basedOn w:val="1"/>
    <w:next w:val="11"/>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11">
    <w:name w:val="自动更正"/>
    <w:next w:val="1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
    <w:name w:val="xl39"/>
    <w:basedOn w:val="1"/>
    <w:next w:val="13"/>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13">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styleId="14">
    <w:name w:val="Body Text Indent"/>
    <w:basedOn w:val="1"/>
    <w:link w:val="51"/>
    <w:autoRedefine/>
    <w:qFormat/>
    <w:uiPriority w:val="99"/>
    <w:pPr>
      <w:adjustRightInd w:val="0"/>
      <w:spacing w:line="360" w:lineRule="auto"/>
      <w:ind w:firstLine="490"/>
      <w:jc w:val="left"/>
    </w:pPr>
    <w:rPr>
      <w:rFonts w:ascii="宋体" w:hAnsi="宋体" w:cs="宋体"/>
      <w:sz w:val="24"/>
      <w:szCs w:val="24"/>
    </w:rPr>
  </w:style>
  <w:style w:type="paragraph" w:styleId="15">
    <w:name w:val="Block Text"/>
    <w:basedOn w:val="1"/>
    <w:qFormat/>
    <w:uiPriority w:val="0"/>
    <w:pPr>
      <w:spacing w:before="120" w:line="360" w:lineRule="auto"/>
      <w:ind w:left="824" w:right="202"/>
    </w:pPr>
    <w:rPr>
      <w:rFonts w:ascii="宋体" w:hAnsi="宋体"/>
      <w:sz w:val="24"/>
      <w:szCs w:val="21"/>
    </w:rPr>
  </w:style>
  <w:style w:type="paragraph" w:styleId="16">
    <w:name w:val="toc 3"/>
    <w:basedOn w:val="1"/>
    <w:next w:val="1"/>
    <w:autoRedefine/>
    <w:semiHidden/>
    <w:qFormat/>
    <w:uiPriority w:val="99"/>
    <w:pPr>
      <w:ind w:left="840" w:leftChars="400"/>
    </w:pPr>
  </w:style>
  <w:style w:type="paragraph" w:styleId="17">
    <w:name w:val="Plain Text"/>
    <w:basedOn w:val="1"/>
    <w:next w:val="1"/>
    <w:link w:val="52"/>
    <w:autoRedefine/>
    <w:qFormat/>
    <w:uiPriority w:val="99"/>
    <w:rPr>
      <w:rFonts w:ascii="宋体" w:hAnsi="Courier New" w:cs="宋体"/>
    </w:rPr>
  </w:style>
  <w:style w:type="paragraph" w:styleId="18">
    <w:name w:val="Date"/>
    <w:basedOn w:val="1"/>
    <w:next w:val="1"/>
    <w:link w:val="53"/>
    <w:autoRedefine/>
    <w:qFormat/>
    <w:uiPriority w:val="99"/>
    <w:pPr>
      <w:ind w:left="100" w:leftChars="2500"/>
    </w:pPr>
    <w:rPr>
      <w:rFonts w:ascii="宋体" w:hAnsi="宋体" w:cs="宋体"/>
      <w:color w:val="000000"/>
      <w:sz w:val="24"/>
      <w:szCs w:val="24"/>
    </w:rPr>
  </w:style>
  <w:style w:type="paragraph" w:styleId="19">
    <w:name w:val="Balloon Text"/>
    <w:basedOn w:val="1"/>
    <w:link w:val="54"/>
    <w:autoRedefine/>
    <w:semiHidden/>
    <w:qFormat/>
    <w:uiPriority w:val="99"/>
    <w:rPr>
      <w:sz w:val="18"/>
      <w:szCs w:val="18"/>
    </w:rPr>
  </w:style>
  <w:style w:type="paragraph" w:styleId="20">
    <w:name w:val="footer"/>
    <w:basedOn w:val="1"/>
    <w:link w:val="55"/>
    <w:autoRedefine/>
    <w:qFormat/>
    <w:uiPriority w:val="99"/>
    <w:pPr>
      <w:tabs>
        <w:tab w:val="center" w:pos="4153"/>
        <w:tab w:val="right" w:pos="8306"/>
      </w:tabs>
      <w:snapToGrid w:val="0"/>
      <w:jc w:val="left"/>
    </w:pPr>
    <w:rPr>
      <w:sz w:val="18"/>
      <w:szCs w:val="18"/>
    </w:rPr>
  </w:style>
  <w:style w:type="paragraph" w:styleId="21">
    <w:name w:val="envelope return"/>
    <w:basedOn w:val="1"/>
    <w:autoRedefine/>
    <w:qFormat/>
    <w:uiPriority w:val="0"/>
    <w:pPr>
      <w:snapToGrid w:val="0"/>
    </w:pPr>
    <w:rPr>
      <w:rFonts w:ascii="Arial" w:hAnsi="Arial"/>
    </w:rPr>
  </w:style>
  <w:style w:type="paragraph" w:styleId="22">
    <w:name w:val="header"/>
    <w:basedOn w:val="1"/>
    <w:link w:val="56"/>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3">
    <w:name w:val="toc 1"/>
    <w:basedOn w:val="1"/>
    <w:next w:val="1"/>
    <w:autoRedefine/>
    <w:semiHidden/>
    <w:qFormat/>
    <w:uiPriority w:val="99"/>
  </w:style>
  <w:style w:type="paragraph" w:styleId="24">
    <w:name w:val="toc 4"/>
    <w:basedOn w:val="1"/>
    <w:next w:val="1"/>
    <w:autoRedefine/>
    <w:qFormat/>
    <w:uiPriority w:val="39"/>
    <w:pPr>
      <w:ind w:left="1260" w:leftChars="600"/>
    </w:pPr>
    <w:rPr>
      <w:szCs w:val="24"/>
    </w:rPr>
  </w:style>
  <w:style w:type="paragraph" w:styleId="25">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6">
    <w:name w:val="toc 2"/>
    <w:basedOn w:val="1"/>
    <w:next w:val="1"/>
    <w:autoRedefine/>
    <w:semiHidden/>
    <w:qFormat/>
    <w:uiPriority w:val="99"/>
    <w:pPr>
      <w:ind w:left="420" w:leftChars="200"/>
    </w:pPr>
  </w:style>
  <w:style w:type="paragraph" w:styleId="2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paragraph" w:styleId="29">
    <w:name w:val="Body Text First Indent"/>
    <w:basedOn w:val="8"/>
    <w:link w:val="57"/>
    <w:autoRedefine/>
    <w:qFormat/>
    <w:uiPriority w:val="99"/>
    <w:pPr>
      <w:ind w:firstLine="420" w:firstLineChars="100"/>
    </w:pPr>
  </w:style>
  <w:style w:type="paragraph" w:styleId="30">
    <w:name w:val="Body Text First Indent 2"/>
    <w:basedOn w:val="14"/>
    <w:qFormat/>
    <w:uiPriority w:val="0"/>
    <w:pPr>
      <w:ind w:firstLine="420"/>
    </w:pPr>
  </w:style>
  <w:style w:type="table" w:styleId="32">
    <w:name w:val="Table Grid"/>
    <w:basedOn w:val="31"/>
    <w:autoRedefine/>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99"/>
    <w:rPr>
      <w:b/>
      <w:bCs/>
    </w:rPr>
  </w:style>
  <w:style w:type="character" w:styleId="35">
    <w:name w:val="page number"/>
    <w:basedOn w:val="33"/>
    <w:autoRedefine/>
    <w:qFormat/>
    <w:uiPriority w:val="99"/>
  </w:style>
  <w:style w:type="character" w:styleId="36">
    <w:name w:val="Hyperlink"/>
    <w:basedOn w:val="33"/>
    <w:autoRedefine/>
    <w:qFormat/>
    <w:uiPriority w:val="99"/>
    <w:rPr>
      <w:color w:val="0000FF"/>
      <w:u w:val="single"/>
    </w:rPr>
  </w:style>
  <w:style w:type="paragraph" w:customStyle="1" w:styleId="37">
    <w:name w:val="正文首行缩进 21"/>
    <w:basedOn w:val="38"/>
    <w:autoRedefine/>
    <w:qFormat/>
    <w:uiPriority w:val="0"/>
    <w:pPr>
      <w:ind w:firstLine="420"/>
    </w:pPr>
    <w:rPr>
      <w:rFonts w:cs="宋体"/>
    </w:rPr>
  </w:style>
  <w:style w:type="paragraph" w:customStyle="1" w:styleId="38">
    <w:name w:val="正文文本缩进1"/>
    <w:basedOn w:val="1"/>
    <w:next w:val="1"/>
    <w:qFormat/>
    <w:uiPriority w:val="0"/>
    <w:pPr>
      <w:spacing w:after="120"/>
      <w:ind w:left="420" w:leftChars="200"/>
    </w:pPr>
    <w:rPr>
      <w:color w:val="000000"/>
      <w:szCs w:val="21"/>
    </w:rPr>
  </w:style>
  <w:style w:type="paragraph" w:customStyle="1" w:styleId="39">
    <w:name w:val="BodyText1I2"/>
    <w:basedOn w:val="40"/>
    <w:qFormat/>
    <w:uiPriority w:val="0"/>
    <w:pPr>
      <w:ind w:firstLine="420"/>
    </w:pPr>
    <w:rPr>
      <w:sz w:val="21"/>
    </w:rPr>
  </w:style>
  <w:style w:type="paragraph" w:customStyle="1" w:styleId="40">
    <w:name w:val="BodyTextIndent"/>
    <w:basedOn w:val="1"/>
    <w:next w:val="39"/>
    <w:qFormat/>
    <w:uiPriority w:val="0"/>
    <w:pPr>
      <w:spacing w:line="360" w:lineRule="auto"/>
      <w:ind w:firstLine="490"/>
      <w:jc w:val="left"/>
    </w:pPr>
    <w:rPr>
      <w:rFonts w:ascii="宋体" w:hAnsi="宋体"/>
      <w:sz w:val="24"/>
    </w:rPr>
  </w:style>
  <w:style w:type="paragraph" w:styleId="41">
    <w:name w:val="Quote"/>
    <w:basedOn w:val="1"/>
    <w:next w:val="1"/>
    <w:qFormat/>
    <w:uiPriority w:val="0"/>
    <w:pPr>
      <w:wordWrap w:val="0"/>
      <w:spacing w:before="200" w:after="160"/>
      <w:ind w:left="864" w:right="864"/>
      <w:jc w:val="center"/>
    </w:pPr>
    <w:rPr>
      <w:i/>
    </w:rPr>
  </w:style>
  <w:style w:type="paragraph" w:customStyle="1" w:styleId="42">
    <w:name w:val="Body Text First Indent1"/>
    <w:basedOn w:val="8"/>
    <w:qFormat/>
    <w:uiPriority w:val="0"/>
    <w:pPr>
      <w:tabs>
        <w:tab w:val="left" w:pos="1275"/>
      </w:tabs>
      <w:ind w:firstLine="420" w:firstLineChars="100"/>
    </w:pPr>
  </w:style>
  <w:style w:type="paragraph" w:customStyle="1" w:styleId="43">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44">
    <w:name w:val="表格文字"/>
    <w:basedOn w:val="1"/>
    <w:next w:val="8"/>
    <w:autoRedefine/>
    <w:qFormat/>
    <w:uiPriority w:val="0"/>
    <w:pPr>
      <w:adjustRightInd w:val="0"/>
      <w:spacing w:line="420" w:lineRule="atLeast"/>
      <w:textAlignment w:val="baseline"/>
    </w:pPr>
  </w:style>
  <w:style w:type="paragraph" w:customStyle="1" w:styleId="45">
    <w:name w:val="正文缩进1"/>
    <w:basedOn w:val="1"/>
    <w:qFormat/>
    <w:uiPriority w:val="0"/>
    <w:pPr>
      <w:ind w:firstLine="420" w:firstLineChars="200"/>
    </w:pPr>
  </w:style>
  <w:style w:type="paragraph" w:customStyle="1" w:styleId="46">
    <w:name w:val="正文（首行缩进2字符）"/>
    <w:basedOn w:val="1"/>
    <w:qFormat/>
    <w:uiPriority w:val="0"/>
    <w:pPr>
      <w:spacing w:line="360" w:lineRule="auto"/>
      <w:ind w:firstLine="480" w:firstLineChars="200"/>
    </w:pPr>
    <w:rPr>
      <w:sz w:val="24"/>
      <w:szCs w:val="20"/>
    </w:rPr>
  </w:style>
  <w:style w:type="character" w:customStyle="1" w:styleId="47">
    <w:name w:val="标题 1 Char"/>
    <w:basedOn w:val="33"/>
    <w:link w:val="2"/>
    <w:qFormat/>
    <w:locked/>
    <w:uiPriority w:val="99"/>
    <w:rPr>
      <w:b/>
      <w:bCs/>
      <w:kern w:val="44"/>
      <w:sz w:val="44"/>
      <w:szCs w:val="44"/>
    </w:rPr>
  </w:style>
  <w:style w:type="character" w:customStyle="1" w:styleId="48">
    <w:name w:val="标题 2 Char"/>
    <w:basedOn w:val="33"/>
    <w:link w:val="3"/>
    <w:qFormat/>
    <w:locked/>
    <w:uiPriority w:val="99"/>
    <w:rPr>
      <w:rFonts w:ascii="宋体" w:cs="宋体"/>
      <w:b/>
      <w:bCs/>
      <w:kern w:val="2"/>
      <w:sz w:val="28"/>
      <w:szCs w:val="28"/>
    </w:rPr>
  </w:style>
  <w:style w:type="character" w:customStyle="1" w:styleId="49">
    <w:name w:val="标题 3 Char"/>
    <w:basedOn w:val="33"/>
    <w:link w:val="4"/>
    <w:qFormat/>
    <w:locked/>
    <w:uiPriority w:val="99"/>
    <w:rPr>
      <w:rFonts w:ascii="宋体" w:cs="宋体"/>
      <w:b/>
      <w:bCs/>
      <w:kern w:val="2"/>
      <w:sz w:val="28"/>
      <w:szCs w:val="28"/>
    </w:rPr>
  </w:style>
  <w:style w:type="character" w:customStyle="1" w:styleId="50">
    <w:name w:val="正文文本 Char"/>
    <w:basedOn w:val="33"/>
    <w:link w:val="8"/>
    <w:semiHidden/>
    <w:qFormat/>
    <w:uiPriority w:val="99"/>
    <w:rPr>
      <w:rFonts w:ascii="Times New Roman" w:hAnsi="Times New Roman"/>
      <w:szCs w:val="21"/>
    </w:rPr>
  </w:style>
  <w:style w:type="character" w:customStyle="1" w:styleId="51">
    <w:name w:val="正文文本缩进 Char"/>
    <w:basedOn w:val="33"/>
    <w:link w:val="14"/>
    <w:semiHidden/>
    <w:qFormat/>
    <w:uiPriority w:val="99"/>
    <w:rPr>
      <w:rFonts w:ascii="Times New Roman" w:hAnsi="Times New Roman"/>
      <w:szCs w:val="21"/>
    </w:rPr>
  </w:style>
  <w:style w:type="character" w:customStyle="1" w:styleId="52">
    <w:name w:val="纯文本 Char"/>
    <w:basedOn w:val="33"/>
    <w:link w:val="17"/>
    <w:semiHidden/>
    <w:qFormat/>
    <w:uiPriority w:val="99"/>
    <w:rPr>
      <w:rFonts w:ascii="宋体" w:hAnsi="Courier New" w:cs="Courier New"/>
      <w:szCs w:val="21"/>
    </w:rPr>
  </w:style>
  <w:style w:type="character" w:customStyle="1" w:styleId="53">
    <w:name w:val="日期 Char"/>
    <w:basedOn w:val="33"/>
    <w:link w:val="18"/>
    <w:semiHidden/>
    <w:qFormat/>
    <w:uiPriority w:val="99"/>
    <w:rPr>
      <w:rFonts w:ascii="Times New Roman" w:hAnsi="Times New Roman"/>
      <w:szCs w:val="21"/>
    </w:rPr>
  </w:style>
  <w:style w:type="character" w:customStyle="1" w:styleId="54">
    <w:name w:val="批注框文本 Char"/>
    <w:basedOn w:val="33"/>
    <w:link w:val="19"/>
    <w:qFormat/>
    <w:locked/>
    <w:uiPriority w:val="99"/>
    <w:rPr>
      <w:kern w:val="2"/>
      <w:sz w:val="18"/>
      <w:szCs w:val="18"/>
    </w:rPr>
  </w:style>
  <w:style w:type="character" w:customStyle="1" w:styleId="55">
    <w:name w:val="页脚 Char"/>
    <w:basedOn w:val="33"/>
    <w:link w:val="20"/>
    <w:semiHidden/>
    <w:qFormat/>
    <w:uiPriority w:val="99"/>
    <w:rPr>
      <w:rFonts w:ascii="Times New Roman" w:hAnsi="Times New Roman"/>
      <w:sz w:val="18"/>
      <w:szCs w:val="18"/>
    </w:rPr>
  </w:style>
  <w:style w:type="character" w:customStyle="1" w:styleId="56">
    <w:name w:val="页眉 Char"/>
    <w:basedOn w:val="33"/>
    <w:link w:val="22"/>
    <w:autoRedefine/>
    <w:semiHidden/>
    <w:qFormat/>
    <w:uiPriority w:val="99"/>
    <w:rPr>
      <w:rFonts w:ascii="Times New Roman" w:hAnsi="Times New Roman"/>
      <w:sz w:val="18"/>
      <w:szCs w:val="18"/>
    </w:rPr>
  </w:style>
  <w:style w:type="character" w:customStyle="1" w:styleId="57">
    <w:name w:val="正文首行缩进 Char"/>
    <w:basedOn w:val="50"/>
    <w:link w:val="29"/>
    <w:semiHidden/>
    <w:qFormat/>
    <w:uiPriority w:val="99"/>
    <w:rPr>
      <w:rFonts w:ascii="Times New Roman" w:hAnsi="Times New Roman"/>
      <w:szCs w:val="21"/>
    </w:rPr>
  </w:style>
  <w:style w:type="paragraph" w:customStyle="1" w:styleId="58">
    <w:name w:val="正文2"/>
    <w:basedOn w:val="1"/>
    <w:autoRedefine/>
    <w:qFormat/>
    <w:uiPriority w:val="99"/>
    <w:pPr>
      <w:adjustRightInd w:val="0"/>
      <w:spacing w:before="156" w:line="360" w:lineRule="auto"/>
      <w:ind w:firstLine="510" w:firstLineChars="200"/>
    </w:pPr>
    <w:rPr>
      <w:sz w:val="24"/>
      <w:szCs w:val="24"/>
    </w:rPr>
  </w:style>
  <w:style w:type="paragraph" w:customStyle="1" w:styleId="59">
    <w:name w:val="List Paragraph1"/>
    <w:basedOn w:val="1"/>
    <w:qFormat/>
    <w:uiPriority w:val="99"/>
    <w:pPr>
      <w:widowControl/>
      <w:ind w:firstLine="420" w:firstLineChars="200"/>
      <w:jc w:val="left"/>
    </w:pPr>
    <w:rPr>
      <w:rFonts w:ascii="Calibri" w:hAnsi="Calibri" w:cs="Calibri"/>
    </w:rPr>
  </w:style>
  <w:style w:type="character" w:customStyle="1" w:styleId="60">
    <w:name w:val="style81"/>
    <w:qFormat/>
    <w:uiPriority w:val="99"/>
    <w:rPr>
      <w:sz w:val="20"/>
      <w:szCs w:val="20"/>
    </w:rPr>
  </w:style>
  <w:style w:type="paragraph" w:customStyle="1" w:styleId="61">
    <w:name w:val="列出段落1"/>
    <w:basedOn w:val="1"/>
    <w:qFormat/>
    <w:uiPriority w:val="99"/>
    <w:pPr>
      <w:ind w:firstLine="420"/>
      <w:jc w:val="left"/>
    </w:pPr>
  </w:style>
  <w:style w:type="paragraph" w:customStyle="1" w:styleId="62">
    <w:name w:val="表格"/>
    <w:basedOn w:val="1"/>
    <w:qFormat/>
    <w:uiPriority w:val="99"/>
    <w:pPr>
      <w:autoSpaceDE w:val="0"/>
      <w:autoSpaceDN w:val="0"/>
      <w:jc w:val="center"/>
      <w:textAlignment w:val="baseline"/>
    </w:pPr>
    <w:rPr>
      <w:color w:val="000000"/>
      <w:kern w:val="0"/>
    </w:rPr>
  </w:style>
  <w:style w:type="character" w:customStyle="1" w:styleId="63">
    <w:name w:val="02 Char"/>
    <w:link w:val="64"/>
    <w:autoRedefine/>
    <w:qFormat/>
    <w:locked/>
    <w:uiPriority w:val="99"/>
    <w:rPr>
      <w:rFonts w:ascii="宋体" w:cs="宋体"/>
      <w:b/>
      <w:bCs/>
      <w:color w:val="FF0000"/>
      <w:kern w:val="2"/>
      <w:sz w:val="28"/>
      <w:szCs w:val="28"/>
    </w:rPr>
  </w:style>
  <w:style w:type="paragraph" w:customStyle="1" w:styleId="64">
    <w:name w:val="02"/>
    <w:basedOn w:val="3"/>
    <w:link w:val="63"/>
    <w:qFormat/>
    <w:uiPriority w:val="99"/>
    <w:pPr>
      <w:jc w:val="center"/>
    </w:pPr>
    <w:rPr>
      <w:color w:val="FF0000"/>
    </w:rPr>
  </w:style>
  <w:style w:type="character" w:customStyle="1" w:styleId="65">
    <w:name w:val="03 Char"/>
    <w:link w:val="66"/>
    <w:qFormat/>
    <w:locked/>
    <w:uiPriority w:val="99"/>
    <w:rPr>
      <w:rFonts w:ascii="宋体" w:cs="宋体"/>
      <w:b/>
      <w:bCs/>
      <w:kern w:val="2"/>
      <w:sz w:val="28"/>
      <w:szCs w:val="28"/>
    </w:rPr>
  </w:style>
  <w:style w:type="paragraph" w:customStyle="1" w:styleId="66">
    <w:name w:val="03"/>
    <w:basedOn w:val="4"/>
    <w:link w:val="65"/>
    <w:qFormat/>
    <w:uiPriority w:val="99"/>
    <w:pPr>
      <w:numPr>
        <w:ilvl w:val="0"/>
        <w:numId w:val="0"/>
      </w:numPr>
    </w:pPr>
  </w:style>
  <w:style w:type="character" w:customStyle="1" w:styleId="67">
    <w:name w:val="宋体小四 Char"/>
    <w:link w:val="68"/>
    <w:autoRedefine/>
    <w:qFormat/>
    <w:locked/>
    <w:uiPriority w:val="99"/>
    <w:rPr>
      <w:rFonts w:ascii="宋体" w:eastAsia="宋体" w:cs="宋体"/>
      <w:kern w:val="2"/>
      <w:sz w:val="24"/>
      <w:szCs w:val="24"/>
    </w:rPr>
  </w:style>
  <w:style w:type="paragraph" w:customStyle="1" w:styleId="68">
    <w:name w:val="宋体小四"/>
    <w:basedOn w:val="1"/>
    <w:link w:val="67"/>
    <w:qFormat/>
    <w:uiPriority w:val="99"/>
    <w:pPr>
      <w:spacing w:line="360" w:lineRule="auto"/>
      <w:ind w:firstLine="480" w:firstLineChars="200"/>
    </w:pPr>
    <w:rPr>
      <w:rFonts w:ascii="宋体" w:hAnsi="宋体" w:cs="宋体"/>
      <w:sz w:val="24"/>
      <w:szCs w:val="24"/>
    </w:rPr>
  </w:style>
  <w:style w:type="character" w:customStyle="1" w:styleId="69">
    <w:name w:val="fontstyle01"/>
    <w:basedOn w:val="33"/>
    <w:qFormat/>
    <w:uiPriority w:val="99"/>
    <w:rPr>
      <w:rFonts w:ascii="宋体" w:eastAsia="宋体" w:cs="宋体"/>
      <w:color w:val="000000"/>
      <w:sz w:val="22"/>
      <w:szCs w:val="22"/>
    </w:rPr>
  </w:style>
  <w:style w:type="paragraph" w:customStyle="1" w:styleId="70">
    <w:name w:val="正文首行缩进2字符"/>
    <w:basedOn w:val="1"/>
    <w:qFormat/>
    <w:uiPriority w:val="99"/>
    <w:pPr>
      <w:spacing w:line="360" w:lineRule="auto"/>
      <w:ind w:firstLine="200" w:firstLineChars="200"/>
    </w:pPr>
  </w:style>
  <w:style w:type="paragraph" w:customStyle="1" w:styleId="71">
    <w:name w:val="居中表格内容标题"/>
    <w:basedOn w:val="72"/>
    <w:qFormat/>
    <w:uiPriority w:val="0"/>
    <w:pPr>
      <w:jc w:val="center"/>
    </w:pPr>
    <w:rPr>
      <w:b/>
    </w:rPr>
  </w:style>
  <w:style w:type="paragraph" w:customStyle="1" w:styleId="72">
    <w:name w:val="居中表格内容"/>
    <w:basedOn w:val="1"/>
    <w:next w:val="1"/>
    <w:autoRedefine/>
    <w:qFormat/>
    <w:uiPriority w:val="0"/>
    <w:pPr>
      <w:jc w:val="left"/>
    </w:pPr>
    <w:rPr>
      <w:szCs w:val="28"/>
    </w:rPr>
  </w:style>
  <w:style w:type="paragraph" w:customStyle="1" w:styleId="73">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4">
    <w:name w:val="Body text|2"/>
    <w:basedOn w:val="1"/>
    <w:qFormat/>
    <w:uiPriority w:val="0"/>
    <w:pPr>
      <w:spacing w:line="360" w:lineRule="auto"/>
      <w:ind w:firstLine="660"/>
    </w:pPr>
    <w:rPr>
      <w:sz w:val="32"/>
      <w:szCs w:val="32"/>
      <w:lang w:val="zh-TW" w:eastAsia="zh-TW" w:bidi="zh-TW"/>
    </w:rPr>
  </w:style>
  <w:style w:type="character" w:customStyle="1" w:styleId="75">
    <w:name w:val="NormalCharacter"/>
    <w:semiHidden/>
    <w:qFormat/>
    <w:uiPriority w:val="0"/>
  </w:style>
  <w:style w:type="paragraph" w:customStyle="1" w:styleId="76">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customStyle="1" w:styleId="77">
    <w:name w:val="xc正文"/>
    <w:basedOn w:val="1"/>
    <w:qFormat/>
    <w:uiPriority w:val="0"/>
    <w:pPr>
      <w:ind w:firstLine="200" w:firstLineChars="200"/>
    </w:pPr>
    <w:rPr>
      <w:szCs w:val="24"/>
    </w:rPr>
  </w:style>
  <w:style w:type="paragraph" w:styleId="78">
    <w:name w:val="List Paragraph"/>
    <w:basedOn w:val="1"/>
    <w:qFormat/>
    <w:uiPriority w:val="1"/>
    <w:pPr>
      <w:ind w:firstLine="420" w:firstLineChars="200"/>
    </w:pPr>
    <w:rPr>
      <w:szCs w:val="24"/>
    </w:rPr>
  </w:style>
  <w:style w:type="character" w:customStyle="1" w:styleId="79">
    <w:name w:val="fontstyle21"/>
    <w:qFormat/>
    <w:uiPriority w:val="0"/>
    <w:rPr>
      <w:rFonts w:hint="default" w:ascii="TimesNewRomanPSMT" w:hAnsi="TimesNewRomanPSMT"/>
      <w:color w:val="000000"/>
      <w:sz w:val="32"/>
      <w:szCs w:val="32"/>
    </w:rPr>
  </w:style>
  <w:style w:type="paragraph" w:customStyle="1" w:styleId="80">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1">
    <w:name w:val="_Style 76"/>
    <w:basedOn w:val="1"/>
    <w:next w:val="78"/>
    <w:qFormat/>
    <w:uiPriority w:val="34"/>
    <w:pPr>
      <w:ind w:firstLine="420" w:firstLineChars="200"/>
    </w:pPr>
    <w:rPr>
      <w:szCs w:val="24"/>
    </w:rPr>
  </w:style>
  <w:style w:type="paragraph" w:customStyle="1" w:styleId="82">
    <w:name w:val="纯文本1"/>
    <w:basedOn w:val="1"/>
    <w:qFormat/>
    <w:uiPriority w:val="0"/>
    <w:pPr>
      <w:ind w:firstLine="280" w:firstLineChars="100"/>
    </w:pPr>
    <w:rPr>
      <w:rFonts w:hAnsi="宋体" w:cs="Courier New"/>
    </w:rPr>
  </w:style>
  <w:style w:type="paragraph" w:customStyle="1" w:styleId="83">
    <w:name w:val="居中表名"/>
    <w:basedOn w:val="1"/>
    <w:next w:val="1"/>
    <w:qFormat/>
    <w:uiPriority w:val="0"/>
    <w:pPr>
      <w:jc w:val="center"/>
    </w:pPr>
    <w:rPr>
      <w:rFonts w:eastAsia="黑体"/>
      <w:b/>
      <w:szCs w:val="28"/>
    </w:rPr>
  </w:style>
  <w:style w:type="paragraph" w:customStyle="1" w:styleId="84">
    <w:name w:val="列表段落1"/>
    <w:basedOn w:val="1"/>
    <w:autoRedefine/>
    <w:qFormat/>
    <w:uiPriority w:val="0"/>
    <w:pPr>
      <w:ind w:firstLine="420"/>
    </w:pPr>
  </w:style>
  <w:style w:type="paragraph" w:customStyle="1" w:styleId="85">
    <w:name w:val="[Normal]"/>
    <w:autoRedefine/>
    <w:qFormat/>
    <w:uiPriority w:val="0"/>
    <w:rPr>
      <w:rFonts w:ascii="宋体" w:hAnsi="宋体" w:eastAsia="宋体" w:cs="Times New Roman"/>
      <w:sz w:val="24"/>
      <w:szCs w:val="22"/>
      <w:lang w:val="zh-CN" w:eastAsia="zh-CN" w:bidi="ar-SA"/>
    </w:rPr>
  </w:style>
  <w:style w:type="paragraph" w:customStyle="1" w:styleId="86">
    <w:name w:val="列出段落2"/>
    <w:basedOn w:val="1"/>
    <w:qFormat/>
    <w:uiPriority w:val="1"/>
    <w:pPr>
      <w:ind w:firstLine="420" w:firstLineChars="200"/>
    </w:pPr>
    <w:rPr>
      <w:szCs w:val="24"/>
    </w:rPr>
  </w:style>
  <w:style w:type="character" w:customStyle="1" w:styleId="87">
    <w:name w:val="font21"/>
    <w:autoRedefine/>
    <w:qFormat/>
    <w:uiPriority w:val="0"/>
    <w:rPr>
      <w:rFonts w:hint="eastAsia" w:ascii="宋体" w:hAnsi="宋体" w:eastAsia="宋体" w:cs="宋体"/>
      <w:b/>
      <w:color w:val="FF0000"/>
      <w:sz w:val="24"/>
      <w:szCs w:val="24"/>
      <w:u w:val="none"/>
    </w:rPr>
  </w:style>
  <w:style w:type="paragraph" w:customStyle="1" w:styleId="88">
    <w:name w:val="样式6"/>
    <w:basedOn w:val="17"/>
    <w:autoRedefine/>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9">
    <w:name w:val="Plain Text"/>
    <w:basedOn w:val="1"/>
    <w:autoRedefine/>
    <w:qFormat/>
    <w:uiPriority w:val="0"/>
    <w:rPr>
      <w:rFonts w:hint="eastAsia" w:ascii="宋体" w:hAnsi="Courier New"/>
      <w:szCs w:val="20"/>
    </w:rPr>
  </w:style>
  <w:style w:type="paragraph" w:customStyle="1" w:styleId="90">
    <w:name w:val="p0"/>
    <w:basedOn w:val="1"/>
    <w:qFormat/>
    <w:uiPriority w:val="99"/>
    <w:pPr>
      <w:widowControl/>
    </w:pPr>
    <w:rPr>
      <w:kern w:val="0"/>
      <w:szCs w:val="21"/>
    </w:rPr>
  </w:style>
  <w:style w:type="paragraph" w:customStyle="1" w:styleId="91">
    <w:name w:val="正文首行缩进2个字"/>
    <w:basedOn w:val="1"/>
    <w:qFormat/>
    <w:uiPriority w:val="0"/>
    <w:pPr>
      <w:spacing w:line="540" w:lineRule="exact"/>
      <w:ind w:firstLine="200" w:firstLineChars="200"/>
    </w:pPr>
    <w:rPr>
      <w:rFonts w:eastAsia="仿宋_GB2312"/>
      <w:kern w:val="0"/>
      <w:sz w:val="32"/>
      <w:szCs w:val="32"/>
    </w:rPr>
  </w:style>
  <w:style w:type="paragraph" w:customStyle="1" w:styleId="92">
    <w:name w:val="2级（节）标题"/>
    <w:basedOn w:val="1"/>
    <w:qFormat/>
    <w:uiPriority w:val="0"/>
    <w:pPr>
      <w:spacing w:line="540" w:lineRule="exact"/>
      <w:ind w:firstLine="200" w:firstLineChars="200"/>
      <w:outlineLvl w:val="1"/>
    </w:pPr>
    <w:rPr>
      <w:rFonts w:eastAsia="黑体"/>
      <w:kern w:val="0"/>
      <w:sz w:val="32"/>
      <w:szCs w:val="20"/>
    </w:rPr>
  </w:style>
  <w:style w:type="paragraph" w:customStyle="1" w:styleId="93">
    <w:name w:val="样式3"/>
    <w:basedOn w:val="17"/>
    <w:next w:val="1"/>
    <w:qFormat/>
    <w:uiPriority w:val="0"/>
    <w:pPr>
      <w:adjustRightInd/>
      <w:textAlignment w:val="auto"/>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54</Pages>
  <Words>4635</Words>
  <Characters>5229</Characters>
  <Lines>267</Lines>
  <Paragraphs>75</Paragraphs>
  <TotalTime>168</TotalTime>
  <ScaleCrop>false</ScaleCrop>
  <LinksUpToDate>false</LinksUpToDate>
  <CharactersWithSpaces>5474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2021-12-09T19:03:00Z</dcterms:created>
  <dc:creator>陈圣楠</dc:creator>
  <cp:lastModifiedBy>Z</cp:lastModifiedBy>
  <cp:lastPrinted>2025-06-19T08:10:00Z</cp:lastPrinted>
  <dcterms:modified xsi:type="dcterms:W3CDTF">2025-07-10T13:34:03Z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8F199BCF574A4181AE6134FBAD344ED6</vt:lpwstr>
  </property>
  <property fmtid="{D5CDD505-2E9C-101B-9397-08002B2CF9AE}" pid="4" name="commondata">
    <vt:lpwstr>eyJoZGlkIjoiNjY1YWU2ZTk2MGU1NDNlZGY5MzE0NzM2ODJlNDA4NTkifQ==</vt:lpwstr>
  </property>
  <property fmtid="{D5CDD505-2E9C-101B-9397-08002B2CF9AE}" pid="5" name="KSOTemplateDocerSaveRecord">
    <vt:lpwstr>eyJoZGlkIjoiZjhkZmFmMmRlNTY4YWEwMDhiYTRiMjViNDA2MDJhMGIiLCJ1c2VySWQiOiIxMjMyMjQ4ODM5In0=</vt:lpwstr>
  </property>
</Properties>
</file>