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FBC9D">
      <w:pPr>
        <w:spacing w:line="440" w:lineRule="exact"/>
        <w:ind w:firstLine="420"/>
        <w:jc w:val="center"/>
        <w:rPr>
          <w:rFonts w:ascii="宋体" w:hAnsi="宋体" w:cs="宋体"/>
          <w:b/>
          <w:bCs/>
          <w:color w:val="auto"/>
          <w:sz w:val="72"/>
          <w:szCs w:val="72"/>
          <w:highlight w:val="none"/>
        </w:rPr>
      </w:pPr>
    </w:p>
    <w:p w14:paraId="64D3A468">
      <w:pPr>
        <w:ind w:firstLine="2357" w:firstLineChars="235"/>
        <w:rPr>
          <w:rFonts w:ascii="宋体" w:hAnsi="宋体" w:cs="宋体"/>
          <w:b/>
          <w:color w:val="auto"/>
          <w:spacing w:val="140"/>
          <w:sz w:val="72"/>
          <w:highlight w:val="none"/>
        </w:rPr>
      </w:pPr>
    </w:p>
    <w:p w14:paraId="26570DAA">
      <w:pPr>
        <w:ind w:firstLine="2357" w:firstLineChars="235"/>
        <w:rPr>
          <w:rFonts w:ascii="宋体" w:hAnsi="宋体" w:cs="宋体"/>
          <w:b/>
          <w:color w:val="auto"/>
          <w:spacing w:val="140"/>
          <w:sz w:val="72"/>
          <w:highlight w:val="none"/>
        </w:rPr>
      </w:pPr>
    </w:p>
    <w:p w14:paraId="74B3EB1A">
      <w:pPr>
        <w:spacing w:line="360" w:lineRule="exact"/>
        <w:jc w:val="center"/>
        <w:rPr>
          <w:rFonts w:ascii="宋体" w:hAnsi="宋体" w:cs="宋体"/>
          <w:b/>
          <w:color w:val="auto"/>
          <w:spacing w:val="140"/>
          <w:sz w:val="72"/>
          <w:highlight w:val="none"/>
        </w:rPr>
      </w:pPr>
    </w:p>
    <w:p w14:paraId="354F3510">
      <w:pPr>
        <w:spacing w:line="360" w:lineRule="exact"/>
        <w:jc w:val="center"/>
        <w:rPr>
          <w:rFonts w:ascii="宋体" w:hAnsi="宋体" w:cs="宋体"/>
          <w:b/>
          <w:color w:val="auto"/>
          <w:spacing w:val="140"/>
          <w:sz w:val="72"/>
          <w:highlight w:val="none"/>
        </w:rPr>
      </w:pPr>
    </w:p>
    <w:p w14:paraId="3AB380F4">
      <w:pPr>
        <w:spacing w:after="120" w:line="900" w:lineRule="exact"/>
        <w:jc w:val="center"/>
        <w:rPr>
          <w:rFonts w:ascii="宋体" w:hAnsi="宋体" w:cs="宋体"/>
          <w:b/>
          <w:color w:val="auto"/>
          <w:spacing w:val="140"/>
          <w:sz w:val="84"/>
          <w:szCs w:val="84"/>
          <w:highlight w:val="none"/>
        </w:rPr>
      </w:pPr>
      <w:r>
        <w:rPr>
          <w:rFonts w:hint="eastAsia" w:ascii="宋体" w:hAnsi="宋体" w:cs="宋体"/>
          <w:b/>
          <w:color w:val="auto"/>
          <w:spacing w:val="140"/>
          <w:sz w:val="84"/>
          <w:szCs w:val="84"/>
          <w:highlight w:val="none"/>
        </w:rPr>
        <w:t>采 购 文 件</w:t>
      </w:r>
    </w:p>
    <w:p w14:paraId="1366D7D3">
      <w:pPr>
        <w:pStyle w:val="22"/>
        <w:spacing w:before="120"/>
        <w:jc w:val="center"/>
        <w:rPr>
          <w:rFonts w:hAnsi="宋体" w:cs="宋体"/>
          <w:color w:val="auto"/>
          <w:sz w:val="52"/>
          <w:szCs w:val="52"/>
          <w:highlight w:val="none"/>
        </w:rPr>
      </w:pPr>
      <w:r>
        <w:rPr>
          <w:rFonts w:hint="eastAsia" w:hAnsi="宋体" w:cs="宋体"/>
          <w:b/>
          <w:color w:val="auto"/>
          <w:spacing w:val="140"/>
          <w:sz w:val="52"/>
          <w:szCs w:val="52"/>
          <w:highlight w:val="none"/>
        </w:rPr>
        <w:t>（线上电子招投标）</w:t>
      </w:r>
    </w:p>
    <w:p w14:paraId="6B72828E">
      <w:pPr>
        <w:spacing w:line="400" w:lineRule="exact"/>
        <w:jc w:val="center"/>
        <w:rPr>
          <w:rFonts w:ascii="宋体" w:hAnsi="宋体" w:cs="宋体"/>
          <w:b/>
          <w:color w:val="auto"/>
          <w:sz w:val="32"/>
          <w:highlight w:val="none"/>
        </w:rPr>
      </w:pPr>
    </w:p>
    <w:p w14:paraId="230777AD">
      <w:pPr>
        <w:spacing w:line="400" w:lineRule="exact"/>
        <w:jc w:val="center"/>
        <w:rPr>
          <w:rFonts w:ascii="宋体" w:hAnsi="宋体" w:cs="宋体"/>
          <w:b/>
          <w:color w:val="auto"/>
          <w:sz w:val="32"/>
          <w:highlight w:val="none"/>
        </w:rPr>
      </w:pPr>
    </w:p>
    <w:p w14:paraId="7086E583">
      <w:pPr>
        <w:rPr>
          <w:rFonts w:ascii="宋体" w:hAnsi="宋体" w:cs="宋体"/>
          <w:b/>
          <w:color w:val="auto"/>
          <w:sz w:val="24"/>
          <w:highlight w:val="none"/>
        </w:rPr>
      </w:pPr>
    </w:p>
    <w:p w14:paraId="021FBF3D">
      <w:pPr>
        <w:rPr>
          <w:rFonts w:ascii="宋体" w:hAnsi="宋体" w:cs="宋体"/>
          <w:b/>
          <w:color w:val="auto"/>
          <w:sz w:val="24"/>
          <w:highlight w:val="none"/>
        </w:rPr>
      </w:pPr>
    </w:p>
    <w:p w14:paraId="16F84953">
      <w:pPr>
        <w:rPr>
          <w:rFonts w:ascii="宋体" w:hAnsi="宋体" w:cs="宋体"/>
          <w:b/>
          <w:color w:val="auto"/>
          <w:sz w:val="24"/>
          <w:highlight w:val="none"/>
        </w:rPr>
      </w:pPr>
    </w:p>
    <w:p w14:paraId="4E21B78A">
      <w:pPr>
        <w:spacing w:line="600" w:lineRule="exact"/>
        <w:ind w:left="2312" w:leftChars="1101" w:firstLine="6"/>
        <w:rPr>
          <w:rFonts w:ascii="宋体" w:hAnsi="宋体" w:cs="宋体"/>
          <w:color w:val="auto"/>
          <w:spacing w:val="30"/>
          <w:sz w:val="30"/>
          <w:highlight w:val="none"/>
        </w:rPr>
      </w:pPr>
      <w:r>
        <w:rPr>
          <w:rFonts w:hint="eastAsia" w:ascii="宋体" w:hAnsi="宋体" w:cs="宋体"/>
          <w:color w:val="auto"/>
          <w:spacing w:val="30"/>
          <w:sz w:val="30"/>
          <w:highlight w:val="none"/>
        </w:rPr>
        <w:t>项 目 编 号：WZSLZB-YW-20250503</w:t>
      </w:r>
    </w:p>
    <w:p w14:paraId="7E8B176C">
      <w:pPr>
        <w:spacing w:line="600" w:lineRule="exact"/>
        <w:ind w:left="4618" w:leftChars="1104" w:hanging="2300"/>
        <w:rPr>
          <w:rFonts w:ascii="宋体" w:hAnsi="宋体" w:cs="宋体"/>
          <w:color w:val="auto"/>
          <w:spacing w:val="30"/>
          <w:sz w:val="30"/>
          <w:highlight w:val="none"/>
        </w:rPr>
      </w:pPr>
      <w:r>
        <w:rPr>
          <w:rFonts w:hint="eastAsia" w:ascii="宋体" w:hAnsi="宋体" w:cs="宋体"/>
          <w:color w:val="auto"/>
          <w:spacing w:val="30"/>
          <w:sz w:val="30"/>
          <w:highlight w:val="none"/>
        </w:rPr>
        <w:t>项 目 名 称：温州肯恩大学动物房运营管理及相关设备维保服务采购项目</w:t>
      </w:r>
    </w:p>
    <w:p w14:paraId="390E98D3">
      <w:pPr>
        <w:spacing w:line="600" w:lineRule="exact"/>
        <w:ind w:left="2312" w:leftChars="1101" w:firstLine="6"/>
        <w:rPr>
          <w:rFonts w:ascii="宋体" w:hAnsi="宋体" w:cs="宋体"/>
          <w:color w:val="auto"/>
          <w:spacing w:val="40"/>
          <w:sz w:val="30"/>
          <w:highlight w:val="none"/>
        </w:rPr>
      </w:pPr>
      <w:r>
        <w:rPr>
          <w:rFonts w:hint="eastAsia" w:ascii="宋体" w:hAnsi="宋体" w:cs="宋体"/>
          <w:color w:val="auto"/>
          <w:spacing w:val="30"/>
          <w:sz w:val="30"/>
          <w:highlight w:val="none"/>
        </w:rPr>
        <w:t>采 购 方 式：校内招标</w:t>
      </w:r>
    </w:p>
    <w:p w14:paraId="0009A39C">
      <w:pPr>
        <w:spacing w:line="600" w:lineRule="exact"/>
        <w:ind w:firstLine="1140" w:firstLineChars="300"/>
        <w:rPr>
          <w:rFonts w:ascii="宋体" w:hAnsi="宋体" w:cs="宋体"/>
          <w:color w:val="auto"/>
          <w:spacing w:val="40"/>
          <w:sz w:val="30"/>
          <w:highlight w:val="none"/>
        </w:rPr>
      </w:pPr>
    </w:p>
    <w:p w14:paraId="0CD639B1">
      <w:pPr>
        <w:spacing w:line="600" w:lineRule="exact"/>
        <w:rPr>
          <w:rFonts w:ascii="宋体" w:hAnsi="宋体" w:cs="宋体"/>
          <w:color w:val="auto"/>
          <w:spacing w:val="40"/>
          <w:sz w:val="30"/>
          <w:highlight w:val="none"/>
        </w:rPr>
      </w:pPr>
    </w:p>
    <w:p w14:paraId="1170009D">
      <w:pPr>
        <w:spacing w:line="600" w:lineRule="exact"/>
        <w:rPr>
          <w:rFonts w:ascii="宋体" w:hAnsi="宋体" w:cs="宋体"/>
          <w:color w:val="auto"/>
          <w:spacing w:val="40"/>
          <w:sz w:val="30"/>
          <w:highlight w:val="none"/>
        </w:rPr>
      </w:pPr>
    </w:p>
    <w:p w14:paraId="10D448D8">
      <w:pPr>
        <w:spacing w:line="600" w:lineRule="exact"/>
        <w:jc w:val="center"/>
        <w:rPr>
          <w:rFonts w:ascii="宋体" w:hAnsi="宋体" w:cs="宋体"/>
          <w:b/>
          <w:color w:val="auto"/>
          <w:kern w:val="11"/>
          <w:sz w:val="30"/>
          <w:highlight w:val="none"/>
        </w:rPr>
      </w:pPr>
      <w:r>
        <w:rPr>
          <w:rFonts w:hint="eastAsia" w:ascii="宋体" w:hAnsi="宋体" w:cs="宋体"/>
          <w:b/>
          <w:color w:val="auto"/>
          <w:kern w:val="11"/>
          <w:sz w:val="30"/>
          <w:highlight w:val="none"/>
        </w:rPr>
        <w:t>采购人：温州肯恩大学</w:t>
      </w:r>
    </w:p>
    <w:p w14:paraId="3AFB4487">
      <w:pPr>
        <w:spacing w:line="600" w:lineRule="exact"/>
        <w:jc w:val="center"/>
        <w:rPr>
          <w:rFonts w:ascii="宋体" w:hAnsi="宋体" w:cs="宋体"/>
          <w:b/>
          <w:color w:val="auto"/>
          <w:kern w:val="11"/>
          <w:sz w:val="30"/>
          <w:highlight w:val="none"/>
        </w:rPr>
      </w:pPr>
      <w:r>
        <w:rPr>
          <w:rFonts w:hint="eastAsia" w:ascii="宋体" w:hAnsi="宋体" w:cs="宋体"/>
          <w:b/>
          <w:color w:val="auto"/>
          <w:kern w:val="11"/>
          <w:sz w:val="30"/>
          <w:highlight w:val="none"/>
        </w:rPr>
        <w:t>采购代理机构：温州市圣励招标代理有限公司</w:t>
      </w:r>
    </w:p>
    <w:p w14:paraId="5480D051">
      <w:pPr>
        <w:rPr>
          <w:rFonts w:ascii="宋体" w:hAnsi="宋体" w:cs="宋体"/>
          <w:b/>
          <w:color w:val="auto"/>
          <w:spacing w:val="40"/>
          <w:sz w:val="28"/>
          <w:highlight w:val="none"/>
        </w:rPr>
      </w:pPr>
    </w:p>
    <w:p w14:paraId="6CC4A2EB">
      <w:pPr>
        <w:ind w:firstLine="3611" w:firstLineChars="1000"/>
        <w:rPr>
          <w:rFonts w:ascii="宋体" w:hAnsi="宋体" w:cs="宋体"/>
          <w:color w:val="auto"/>
          <w:spacing w:val="40"/>
          <w:sz w:val="28"/>
          <w:highlight w:val="none"/>
        </w:rPr>
      </w:pPr>
      <w:r>
        <w:rPr>
          <w:rFonts w:hint="eastAsia" w:ascii="宋体" w:hAnsi="宋体" w:cs="宋体"/>
          <w:b/>
          <w:color w:val="auto"/>
          <w:spacing w:val="40"/>
          <w:sz w:val="28"/>
          <w:highlight w:val="none"/>
        </w:rPr>
        <w:t>二〇二五年六月</w:t>
      </w:r>
    </w:p>
    <w:p w14:paraId="4EAAF600">
      <w:pPr>
        <w:spacing w:line="600" w:lineRule="exact"/>
        <w:jc w:val="center"/>
        <w:rPr>
          <w:rFonts w:ascii="宋体" w:hAnsi="宋体" w:cs="宋体"/>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p w14:paraId="0FAC35BF">
      <w:pPr>
        <w:spacing w:line="600" w:lineRule="exact"/>
        <w:jc w:val="center"/>
        <w:outlineLvl w:val="0"/>
        <w:rPr>
          <w:rFonts w:ascii="宋体" w:hAnsi="宋体" w:cs="宋体"/>
          <w:color w:val="auto"/>
          <w:highlight w:val="none"/>
        </w:rPr>
      </w:pPr>
      <w:bookmarkStart w:id="0" w:name="_Toc29819"/>
      <w:r>
        <w:rPr>
          <w:rFonts w:hint="eastAsia" w:ascii="宋体" w:hAnsi="宋体" w:cs="宋体"/>
          <w:color w:val="auto"/>
          <w:sz w:val="36"/>
          <w:szCs w:val="36"/>
          <w:highlight w:val="none"/>
        </w:rPr>
        <w:t>目   录</w:t>
      </w:r>
      <w:bookmarkEnd w:id="0"/>
    </w:p>
    <w:p w14:paraId="5C968866">
      <w:pPr>
        <w:pStyle w:val="29"/>
        <w:tabs>
          <w:tab w:val="right" w:leader="dot" w:pos="9354"/>
        </w:tabs>
        <w:spacing w:line="440" w:lineRule="exact"/>
        <w:rPr>
          <w:rFonts w:ascii="宋体" w:hAnsi="宋体" w:cs="宋体"/>
          <w:b w:val="0"/>
          <w:color w:val="auto"/>
          <w:sz w:val="24"/>
          <w:szCs w:val="24"/>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TOC \o "1-3" \h \z \u </w:instrText>
      </w:r>
      <w:r>
        <w:rPr>
          <w:rFonts w:hint="eastAsia" w:ascii="宋体" w:hAnsi="宋体" w:cs="宋体"/>
          <w:b w:val="0"/>
          <w:bCs w:val="0"/>
          <w:smallCaps/>
          <w:color w:val="auto"/>
          <w:spacing w:val="40"/>
          <w:sz w:val="22"/>
          <w:szCs w:val="22"/>
          <w:highlight w:val="none"/>
        </w:rPr>
        <w:fldChar w:fldCharType="separate"/>
      </w:r>
      <w:r>
        <w:rPr>
          <w:color w:val="auto"/>
          <w:highlight w:val="none"/>
        </w:rPr>
        <w:fldChar w:fldCharType="begin"/>
      </w:r>
      <w:r>
        <w:rPr>
          <w:color w:val="auto"/>
          <w:highlight w:val="none"/>
        </w:rPr>
        <w:instrText xml:space="preserve"> HYPERLINK \l "_Toc29819" </w:instrText>
      </w:r>
      <w:r>
        <w:rPr>
          <w:color w:val="auto"/>
          <w:highlight w:val="none"/>
        </w:rPr>
        <w:fldChar w:fldCharType="separate"/>
      </w:r>
      <w:r>
        <w:rPr>
          <w:rFonts w:hint="eastAsia" w:ascii="宋体" w:hAnsi="宋体" w:cs="宋体"/>
          <w:b w:val="0"/>
          <w:color w:val="auto"/>
          <w:sz w:val="24"/>
          <w:szCs w:val="24"/>
          <w:highlight w:val="none"/>
        </w:rPr>
        <w:t>目   录</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_Toc29819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1</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15FB8ABF">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"_Toc19988" </w:instrText>
      </w:r>
      <w:r>
        <w:rPr>
          <w:color w:val="auto"/>
          <w:highlight w:val="none"/>
        </w:rPr>
        <w:fldChar w:fldCharType="separate"/>
      </w:r>
      <w:r>
        <w:rPr>
          <w:rFonts w:hint="eastAsia" w:ascii="宋体" w:hAnsi="宋体" w:cs="宋体"/>
          <w:b w:val="0"/>
          <w:color w:val="auto"/>
          <w:sz w:val="24"/>
          <w:szCs w:val="24"/>
          <w:highlight w:val="none"/>
        </w:rPr>
        <w:t>第一部分  招标公告</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_Toc19988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2</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6E06851F">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"_Toc19536" </w:instrText>
      </w:r>
      <w:r>
        <w:rPr>
          <w:color w:val="auto"/>
          <w:highlight w:val="none"/>
        </w:rPr>
        <w:fldChar w:fldCharType="separate"/>
      </w:r>
      <w:r>
        <w:rPr>
          <w:rFonts w:hint="eastAsia" w:ascii="宋体" w:hAnsi="宋体" w:cs="宋体"/>
          <w:b w:val="0"/>
          <w:color w:val="auto"/>
          <w:sz w:val="24"/>
          <w:szCs w:val="24"/>
          <w:highlight w:val="none"/>
        </w:rPr>
        <w:t>第二部分   供应商须知</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_Toc19536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5</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0B2DD7E6">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"_Toc29301" </w:instrText>
      </w:r>
      <w:r>
        <w:rPr>
          <w:color w:val="auto"/>
          <w:highlight w:val="none"/>
        </w:rPr>
        <w:fldChar w:fldCharType="separate"/>
      </w:r>
      <w:r>
        <w:rPr>
          <w:rFonts w:hint="eastAsia" w:ascii="宋体" w:hAnsi="宋体" w:cs="宋体"/>
          <w:bCs/>
          <w:color w:val="auto"/>
          <w:sz w:val="24"/>
          <w:szCs w:val="24"/>
          <w:highlight w:val="none"/>
        </w:rPr>
        <w:t>供应商须知前附表</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_Toc29301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5</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78C039BD">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"_Toc6059" </w:instrText>
      </w:r>
      <w:r>
        <w:rPr>
          <w:color w:val="auto"/>
          <w:highlight w:val="none"/>
        </w:rPr>
        <w:fldChar w:fldCharType="separate"/>
      </w:r>
      <w:r>
        <w:rPr>
          <w:rFonts w:hint="eastAsia" w:ascii="宋体" w:hAnsi="宋体" w:cs="宋体"/>
          <w:bCs/>
          <w:color w:val="auto"/>
          <w:sz w:val="24"/>
          <w:szCs w:val="24"/>
          <w:highlight w:val="none"/>
        </w:rPr>
        <w:t>一、说    明</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_Toc6059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8</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017407CB">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"_Toc12935" </w:instrText>
      </w:r>
      <w:r>
        <w:rPr>
          <w:color w:val="auto"/>
          <w:highlight w:val="none"/>
        </w:rPr>
        <w:fldChar w:fldCharType="separate"/>
      </w:r>
      <w:r>
        <w:rPr>
          <w:rFonts w:hint="eastAsia" w:ascii="宋体" w:hAnsi="宋体" w:cs="宋体"/>
          <w:bCs/>
          <w:color w:val="auto"/>
          <w:sz w:val="24"/>
          <w:szCs w:val="24"/>
          <w:highlight w:val="none"/>
        </w:rPr>
        <w:t>二、采购文件</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_Toc12935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5B5B9B3C">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"_Toc3622" </w:instrText>
      </w:r>
      <w:r>
        <w:rPr>
          <w:color w:val="auto"/>
          <w:highlight w:val="none"/>
        </w:rPr>
        <w:fldChar w:fldCharType="separate"/>
      </w:r>
      <w:r>
        <w:rPr>
          <w:rFonts w:hint="eastAsia" w:ascii="宋体" w:hAnsi="宋体" w:cs="宋体"/>
          <w:bCs/>
          <w:color w:val="auto"/>
          <w:sz w:val="24"/>
          <w:szCs w:val="24"/>
          <w:highlight w:val="none"/>
        </w:rPr>
        <w:t>三、投标文件的编制</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_Toc3622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645F383E">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"_Toc21411" </w:instrText>
      </w:r>
      <w:r>
        <w:rPr>
          <w:color w:val="auto"/>
          <w:highlight w:val="none"/>
        </w:rPr>
        <w:fldChar w:fldCharType="separate"/>
      </w:r>
      <w:r>
        <w:rPr>
          <w:rFonts w:hint="eastAsia" w:ascii="宋体" w:hAnsi="宋体" w:cs="宋体"/>
          <w:bCs/>
          <w:color w:val="auto"/>
          <w:sz w:val="24"/>
          <w:szCs w:val="24"/>
          <w:highlight w:val="none"/>
        </w:rPr>
        <w:t>四、投标文件的递交</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_Toc21411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33FD99F6">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"_Toc9040" </w:instrText>
      </w:r>
      <w:r>
        <w:rPr>
          <w:color w:val="auto"/>
          <w:highlight w:val="none"/>
        </w:rPr>
        <w:fldChar w:fldCharType="separate"/>
      </w:r>
      <w:r>
        <w:rPr>
          <w:rFonts w:hint="eastAsia" w:ascii="宋体" w:hAnsi="宋体" w:cs="宋体"/>
          <w:bCs/>
          <w:color w:val="auto"/>
          <w:sz w:val="24"/>
          <w:szCs w:val="24"/>
          <w:highlight w:val="none"/>
        </w:rPr>
        <w:t>五、开标和评标</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_Toc9040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23083A60">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"_Toc6214" </w:instrText>
      </w:r>
      <w:r>
        <w:rPr>
          <w:color w:val="auto"/>
          <w:highlight w:val="none"/>
        </w:rPr>
        <w:fldChar w:fldCharType="separate"/>
      </w:r>
      <w:r>
        <w:rPr>
          <w:rFonts w:hint="eastAsia" w:ascii="宋体" w:hAnsi="宋体" w:cs="宋体"/>
          <w:bCs/>
          <w:color w:val="auto"/>
          <w:sz w:val="24"/>
          <w:szCs w:val="24"/>
          <w:highlight w:val="none"/>
        </w:rPr>
        <w:t>六、授予合同</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_Toc6214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15</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0DB43DB5">
      <w:pPr>
        <w:pStyle w:val="33"/>
        <w:tabs>
          <w:tab w:val="right" w:leader="dot" w:pos="9354"/>
        </w:tabs>
        <w:spacing w:line="440" w:lineRule="exact"/>
        <w:ind w:firstLine="392" w:firstLineChars="196"/>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\l "_Toc31" </w:instrText>
      </w:r>
      <w:r>
        <w:rPr>
          <w:color w:val="auto"/>
          <w:highlight w:val="none"/>
        </w:rPr>
        <w:fldChar w:fldCharType="separate"/>
      </w:r>
      <w:r>
        <w:rPr>
          <w:rFonts w:hint="eastAsia" w:ascii="宋体" w:hAnsi="宋体" w:cs="宋体"/>
          <w:bCs/>
          <w:color w:val="auto"/>
          <w:sz w:val="24"/>
          <w:szCs w:val="24"/>
          <w:highlight w:val="none"/>
        </w:rPr>
        <w:t>七、可中止电子交易活动的情形</w:t>
      </w:r>
      <w:r>
        <w:rPr>
          <w:rFonts w:hint="eastAsia" w:ascii="宋体" w:hAnsi="宋体" w:cs="宋体"/>
          <w:bCs/>
          <w:color w:val="auto"/>
          <w:sz w:val="24"/>
          <w:szCs w:val="24"/>
          <w:highlight w:val="none"/>
        </w:rPr>
        <w:tab/>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PAGEREF _Toc31 \h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16</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fldChar w:fldCharType="end"/>
      </w:r>
    </w:p>
    <w:p w14:paraId="56B01182">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"_Toc23641" </w:instrText>
      </w:r>
      <w:r>
        <w:rPr>
          <w:color w:val="auto"/>
          <w:highlight w:val="none"/>
        </w:rPr>
        <w:fldChar w:fldCharType="separate"/>
      </w:r>
      <w:r>
        <w:rPr>
          <w:rFonts w:hint="eastAsia" w:ascii="宋体" w:hAnsi="宋体" w:cs="宋体"/>
          <w:b w:val="0"/>
          <w:color w:val="auto"/>
          <w:sz w:val="24"/>
          <w:szCs w:val="24"/>
          <w:highlight w:val="none"/>
        </w:rPr>
        <w:t>第三部分   拟签订的合同文本</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_Toc23641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17</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3B9C9061">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"_Toc11447" </w:instrText>
      </w:r>
      <w:r>
        <w:rPr>
          <w:color w:val="auto"/>
          <w:highlight w:val="none"/>
        </w:rPr>
        <w:fldChar w:fldCharType="separate"/>
      </w:r>
      <w:r>
        <w:rPr>
          <w:rFonts w:hint="eastAsia" w:ascii="宋体" w:hAnsi="宋体" w:cs="宋体"/>
          <w:b w:val="0"/>
          <w:color w:val="auto"/>
          <w:sz w:val="24"/>
          <w:szCs w:val="24"/>
          <w:highlight w:val="none"/>
        </w:rPr>
        <w:t>第四部分   附件</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_Toc11447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22</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005B9F27">
      <w:pPr>
        <w:pStyle w:val="29"/>
        <w:tabs>
          <w:tab w:val="right" w:leader="dot" w:pos="9354"/>
        </w:tabs>
        <w:spacing w:line="440" w:lineRule="exact"/>
        <w:rPr>
          <w:rFonts w:ascii="宋体" w:hAnsi="宋体" w:cs="宋体"/>
          <w:b w:val="0"/>
          <w:color w:val="auto"/>
          <w:sz w:val="24"/>
          <w:szCs w:val="24"/>
          <w:highlight w:val="none"/>
        </w:rPr>
      </w:pPr>
      <w:r>
        <w:rPr>
          <w:color w:val="auto"/>
          <w:highlight w:val="none"/>
        </w:rPr>
        <w:fldChar w:fldCharType="begin"/>
      </w:r>
      <w:r>
        <w:rPr>
          <w:color w:val="auto"/>
          <w:highlight w:val="none"/>
        </w:rPr>
        <w:instrText xml:space="preserve"> HYPERLINK \l "_Toc30582" </w:instrText>
      </w:r>
      <w:r>
        <w:rPr>
          <w:color w:val="auto"/>
          <w:highlight w:val="none"/>
        </w:rPr>
        <w:fldChar w:fldCharType="separate"/>
      </w:r>
      <w:r>
        <w:rPr>
          <w:rFonts w:hint="eastAsia" w:ascii="宋体" w:hAnsi="宋体" w:cs="宋体"/>
          <w:b w:val="0"/>
          <w:color w:val="auto"/>
          <w:sz w:val="24"/>
          <w:szCs w:val="24"/>
          <w:highlight w:val="none"/>
        </w:rPr>
        <w:t>第五部分  采购需求</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_Toc30582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35</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55F53A56">
      <w:pPr>
        <w:pStyle w:val="29"/>
        <w:tabs>
          <w:tab w:val="right" w:leader="dot" w:pos="9354"/>
        </w:tabs>
        <w:spacing w:line="44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"_Toc22538" </w:instrText>
      </w:r>
      <w:r>
        <w:rPr>
          <w:color w:val="auto"/>
          <w:highlight w:val="none"/>
        </w:rPr>
        <w:fldChar w:fldCharType="separate"/>
      </w:r>
      <w:r>
        <w:rPr>
          <w:rFonts w:hint="eastAsia" w:ascii="宋体" w:hAnsi="宋体" w:cs="宋体"/>
          <w:b w:val="0"/>
          <w:color w:val="auto"/>
          <w:kern w:val="36"/>
          <w:sz w:val="24"/>
          <w:szCs w:val="24"/>
          <w:highlight w:val="none"/>
        </w:rPr>
        <w:t>第六部分  评标原则及方法</w:t>
      </w:r>
      <w:r>
        <w:rPr>
          <w:rFonts w:hint="eastAsia" w:ascii="宋体" w:hAnsi="宋体" w:cs="宋体"/>
          <w:b w:val="0"/>
          <w:color w:val="auto"/>
          <w:sz w:val="24"/>
          <w:szCs w:val="24"/>
          <w:highlight w:val="none"/>
        </w:rPr>
        <w:tab/>
      </w: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 PAGEREF _Toc22538 \h </w:instrText>
      </w:r>
      <w:r>
        <w:rPr>
          <w:rFonts w:hint="eastAsia" w:ascii="宋体" w:hAnsi="宋体" w:cs="宋体"/>
          <w:b w:val="0"/>
          <w:color w:val="auto"/>
          <w:sz w:val="24"/>
          <w:szCs w:val="24"/>
          <w:highlight w:val="none"/>
        </w:rPr>
        <w:fldChar w:fldCharType="separate"/>
      </w:r>
      <w:r>
        <w:rPr>
          <w:rFonts w:hint="eastAsia" w:ascii="宋体" w:hAnsi="宋体" w:cs="宋体"/>
          <w:b w:val="0"/>
          <w:color w:val="auto"/>
          <w:sz w:val="24"/>
          <w:szCs w:val="24"/>
          <w:highlight w:val="none"/>
        </w:rPr>
        <w:t>40</w:t>
      </w:r>
      <w:r>
        <w:rPr>
          <w:rFonts w:hint="eastAsia" w:ascii="宋体" w:hAnsi="宋体" w:cs="宋体"/>
          <w:b w:val="0"/>
          <w:color w:val="auto"/>
          <w:sz w:val="24"/>
          <w:szCs w:val="24"/>
          <w:highlight w:val="none"/>
        </w:rPr>
        <w:fldChar w:fldCharType="end"/>
      </w:r>
      <w:r>
        <w:rPr>
          <w:rFonts w:hint="eastAsia" w:ascii="宋体" w:hAnsi="宋体" w:cs="宋体"/>
          <w:b w:val="0"/>
          <w:color w:val="auto"/>
          <w:sz w:val="24"/>
          <w:szCs w:val="24"/>
          <w:highlight w:val="none"/>
        </w:rPr>
        <w:fldChar w:fldCharType="end"/>
      </w:r>
    </w:p>
    <w:p w14:paraId="3BCBE4AA">
      <w:pPr>
        <w:spacing w:line="400" w:lineRule="exact"/>
        <w:rPr>
          <w:rFonts w:ascii="宋体" w:hAnsi="宋体" w:cs="宋体"/>
          <w:smallCaps/>
          <w:color w:val="auto"/>
          <w:spacing w:val="40"/>
          <w:sz w:val="22"/>
          <w:szCs w:val="22"/>
          <w:highlight w:val="none"/>
        </w:rPr>
      </w:pPr>
      <w:r>
        <w:rPr>
          <w:rFonts w:hint="eastAsia" w:ascii="宋体" w:hAnsi="宋体" w:cs="宋体"/>
          <w:smallCaps/>
          <w:color w:val="auto"/>
          <w:spacing w:val="40"/>
          <w:szCs w:val="22"/>
          <w:highlight w:val="none"/>
        </w:rPr>
        <w:fldChar w:fldCharType="end"/>
      </w:r>
      <w:bookmarkStart w:id="1" w:name="_Toc4245"/>
      <w:bookmarkStart w:id="2" w:name="_Toc12549"/>
      <w:bookmarkStart w:id="3" w:name="_Toc6791"/>
      <w:bookmarkStart w:id="4" w:name="_Toc195502486"/>
      <w:bookmarkStart w:id="5" w:name="_Toc202085286"/>
      <w:bookmarkStart w:id="6" w:name="_Toc29406"/>
      <w:bookmarkStart w:id="7" w:name="_Toc549"/>
      <w:bookmarkStart w:id="8" w:name="_Toc25286"/>
      <w:bookmarkStart w:id="9" w:name="_Toc195502576"/>
      <w:bookmarkStart w:id="10" w:name="_Toc23021"/>
    </w:p>
    <w:p w14:paraId="18101372">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供应商注意。各供应商必须认真阅读和理解采购文件中的每一个条款及要求，因误读采购文件而造成的后果，采购人和采购代理机构概不负责。</w:t>
      </w:r>
    </w:p>
    <w:p w14:paraId="3BC6AD0B">
      <w:pPr>
        <w:jc w:val="center"/>
        <w:outlineLvl w:val="0"/>
        <w:rPr>
          <w:rFonts w:ascii="宋体" w:hAnsi="宋体" w:cs="宋体"/>
          <w:b/>
          <w:bCs/>
          <w:color w:val="auto"/>
          <w:sz w:val="28"/>
          <w:szCs w:val="28"/>
          <w:highlight w:val="none"/>
        </w:rPr>
        <w:sectPr>
          <w:footerReference r:id="rId7" w:type="default"/>
          <w:pgSz w:w="11906" w:h="16838"/>
          <w:pgMar w:top="1134" w:right="915" w:bottom="1134" w:left="1111" w:header="851" w:footer="992" w:gutter="0"/>
          <w:pgNumType w:start="1"/>
          <w:cols w:space="720" w:num="1"/>
          <w:docGrid w:linePitch="312" w:charSpace="0"/>
        </w:sectPr>
      </w:pPr>
      <w:bookmarkStart w:id="11" w:name="_Toc19988"/>
    </w:p>
    <w:p w14:paraId="4FE9546A">
      <w:pPr>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第一部分  </w:t>
      </w:r>
      <w:bookmarkEnd w:id="11"/>
      <w:r>
        <w:rPr>
          <w:rFonts w:hint="eastAsia" w:ascii="宋体" w:hAnsi="宋体" w:cs="宋体"/>
          <w:b/>
          <w:bCs/>
          <w:color w:val="auto"/>
          <w:sz w:val="28"/>
          <w:szCs w:val="28"/>
          <w:highlight w:val="none"/>
        </w:rPr>
        <w:t>招标公告</w:t>
      </w:r>
    </w:p>
    <w:p w14:paraId="4558430B">
      <w:pPr>
        <w:pStyle w:val="33"/>
        <w:rPr>
          <w:rFonts w:ascii="宋体" w:hAnsi="宋体" w:cs="宋体"/>
          <w:color w:val="auto"/>
          <w:highlight w:val="none"/>
        </w:rPr>
      </w:pPr>
    </w:p>
    <w:p w14:paraId="6610E35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30EEABD1">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温州肯恩大学动物房运营管理及相关设备维保服务采购项目的潜在供应商应在政采云平台（https://www.zcygov.cn）获取（下载）采购文件，并于2025年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01</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:30（北京时间）前递交（上传）投标文件。</w:t>
      </w:r>
    </w:p>
    <w:bookmarkEnd w:id="1"/>
    <w:bookmarkEnd w:id="2"/>
    <w:bookmarkEnd w:id="3"/>
    <w:bookmarkEnd w:id="4"/>
    <w:bookmarkEnd w:id="5"/>
    <w:bookmarkEnd w:id="6"/>
    <w:bookmarkEnd w:id="7"/>
    <w:bookmarkEnd w:id="8"/>
    <w:bookmarkEnd w:id="9"/>
    <w:bookmarkEnd w:id="10"/>
    <w:p w14:paraId="4F424CA3">
      <w:pPr>
        <w:numPr>
          <w:ilvl w:val="0"/>
          <w:numId w:val="1"/>
        </w:num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项目基本情况</w:t>
      </w:r>
    </w:p>
    <w:p w14:paraId="3D82EFA4">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项目编号：WZSLZB-YW-20250503</w:t>
      </w:r>
    </w:p>
    <w:p w14:paraId="63304C07">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项目名称：温州肯恩大学动物房运营管理及相关设备维保服务采购项目</w:t>
      </w:r>
    </w:p>
    <w:p w14:paraId="4EE1A67F">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预算金额（元）：443000 </w:t>
      </w:r>
    </w:p>
    <w:p w14:paraId="41BD3CF0">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最高限价（元）：443000  </w:t>
      </w:r>
    </w:p>
    <w:p w14:paraId="13D7A51F">
      <w:pPr>
        <w:adjustRightInd w:val="0"/>
        <w:snapToGrid w:val="0"/>
        <w:spacing w:line="440" w:lineRule="exact"/>
        <w:ind w:firstLine="440" w:firstLineChars="200"/>
        <w:rPr>
          <w:rFonts w:ascii="宋体" w:hAnsi="宋体" w:cs="宋体"/>
          <w:color w:val="auto"/>
          <w:highlight w:val="none"/>
        </w:rPr>
      </w:pPr>
      <w:r>
        <w:rPr>
          <w:rFonts w:hint="eastAsia" w:ascii="宋体" w:hAnsi="宋体" w:cs="宋体"/>
          <w:color w:val="auto"/>
          <w:sz w:val="22"/>
          <w:szCs w:val="22"/>
          <w:highlight w:val="none"/>
        </w:rPr>
        <w:t>采购需求：详见采购文件</w:t>
      </w:r>
    </w:p>
    <w:p w14:paraId="52E6593F">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合同履约期限：详见采购文件</w:t>
      </w:r>
    </w:p>
    <w:p w14:paraId="69FAAE8F">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本项目（否）接受联合体投标。</w:t>
      </w:r>
    </w:p>
    <w:p w14:paraId="51079AA3">
      <w:pPr>
        <w:numPr>
          <w:ilvl w:val="0"/>
          <w:numId w:val="1"/>
        </w:num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申请人的资格要求：</w:t>
      </w:r>
    </w:p>
    <w:p w14:paraId="2BC42E44">
      <w:pPr>
        <w:numPr>
          <w:ilvl w:val="0"/>
          <w:numId w:val="2"/>
        </w:num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02FB262">
      <w:pPr>
        <w:numPr>
          <w:ilvl w:val="0"/>
          <w:numId w:val="2"/>
        </w:num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落实政府采购政策需满足的资格要求：</w:t>
      </w:r>
      <w:r>
        <w:rPr>
          <w:rFonts w:hint="eastAsia" w:ascii="宋体" w:hAnsi="宋体" w:cs="宋体"/>
          <w:color w:val="auto"/>
          <w:highlight w:val="none"/>
        </w:rPr>
        <w:t>无</w:t>
      </w:r>
    </w:p>
    <w:p w14:paraId="60DB1E9C">
      <w:pPr>
        <w:numPr>
          <w:ilvl w:val="0"/>
          <w:numId w:val="2"/>
        </w:numPr>
        <w:adjustRightInd w:val="0"/>
        <w:snapToGrid w:val="0"/>
        <w:spacing w:line="440" w:lineRule="exact"/>
        <w:ind w:firstLine="440" w:firstLineChars="200"/>
        <w:rPr>
          <w:rFonts w:ascii="宋体" w:hAnsi="宋体" w:cs="宋体"/>
          <w:color w:val="auto"/>
          <w:highlight w:val="none"/>
        </w:rPr>
      </w:pPr>
      <w:r>
        <w:rPr>
          <w:rFonts w:hint="eastAsia" w:ascii="宋体" w:hAnsi="宋体" w:cs="宋体"/>
          <w:color w:val="auto"/>
          <w:sz w:val="22"/>
          <w:szCs w:val="22"/>
          <w:highlight w:val="none"/>
        </w:rPr>
        <w:t>本项目的特定资格要求：无</w:t>
      </w:r>
    </w:p>
    <w:p w14:paraId="51322BAD">
      <w:pPr>
        <w:numPr>
          <w:ilvl w:val="0"/>
          <w:numId w:val="1"/>
        </w:num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获取采购文件</w:t>
      </w:r>
    </w:p>
    <w:p w14:paraId="0CC25FFF">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时间：2025年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日至2025年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01</w:t>
      </w:r>
      <w:bookmarkStart w:id="109" w:name="_GoBack"/>
      <w:bookmarkEnd w:id="109"/>
      <w:r>
        <w:rPr>
          <w:rFonts w:hint="eastAsia" w:ascii="宋体" w:hAnsi="宋体" w:cs="宋体"/>
          <w:color w:val="auto"/>
          <w:sz w:val="22"/>
          <w:szCs w:val="22"/>
          <w:highlight w:val="none"/>
        </w:rPr>
        <w:t>日，每天上午00:00至12:00，下午12:00至23:59（北京时间，线上获取法定节假日均可，线下获取文件法定节假日除外）</w:t>
      </w:r>
    </w:p>
    <w:p w14:paraId="17E96C71">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地点（网址）：政采云平台（https://www.zcygov.cn） </w:t>
      </w:r>
    </w:p>
    <w:p w14:paraId="70F1E45E">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方式：供应商登录政采云平台https://www.zcygov.cn/在线申请获取采购文件（进入“项目采购”应用，在获取采购文件菜单中选择项目，申请获取采购文件）。</w:t>
      </w:r>
    </w:p>
    <w:p w14:paraId="0AD2E8A2">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售价（元）：0 </w:t>
      </w:r>
    </w:p>
    <w:p w14:paraId="58333357">
      <w:pPr>
        <w:numPr>
          <w:ilvl w:val="0"/>
          <w:numId w:val="1"/>
        </w:num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提交投标文件截止时间、开标时间和地点</w:t>
      </w:r>
    </w:p>
    <w:p w14:paraId="3F457C0E">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提交投标文件截止时间：2025年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01</w:t>
      </w:r>
      <w:r>
        <w:rPr>
          <w:rFonts w:hint="eastAsia" w:ascii="宋体" w:hAnsi="宋体" w:cs="宋体"/>
          <w:color w:val="auto"/>
          <w:sz w:val="22"/>
          <w:szCs w:val="22"/>
          <w:highlight w:val="none"/>
        </w:rPr>
        <w:t xml:space="preserve">日 </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:30（北京时间）</w:t>
      </w:r>
    </w:p>
    <w:p w14:paraId="67B4EAB1">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投标地点（网址）：政府采购云平台（https://www.zcygov.cn） </w:t>
      </w:r>
    </w:p>
    <w:p w14:paraId="229C7EB1">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开标时间：2025年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01</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:30（北京时间）</w:t>
      </w:r>
    </w:p>
    <w:p w14:paraId="68B4FF7A">
      <w:pPr>
        <w:pStyle w:val="33"/>
        <w:spacing w:line="440" w:lineRule="exact"/>
        <w:rPr>
          <w:rFonts w:ascii="宋体" w:hAnsi="宋体" w:cs="宋体"/>
          <w:smallCaps w:val="0"/>
          <w:color w:val="auto"/>
          <w:sz w:val="22"/>
          <w:szCs w:val="22"/>
          <w:highlight w:val="none"/>
        </w:rPr>
      </w:pPr>
      <w:r>
        <w:rPr>
          <w:rFonts w:hint="eastAsia" w:ascii="宋体" w:hAnsi="宋体" w:cs="宋体"/>
          <w:smallCaps w:val="0"/>
          <w:color w:val="auto"/>
          <w:sz w:val="22"/>
          <w:szCs w:val="22"/>
          <w:highlight w:val="none"/>
        </w:rPr>
        <w:t> 开标地点（网址）：温州市鹿城区市府路新益大厦1幢601室（政府采购云平台（https://www.zcygov.cn/））</w:t>
      </w:r>
    </w:p>
    <w:p w14:paraId="02B9C77C">
      <w:p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五、公告期限 </w:t>
      </w:r>
    </w:p>
    <w:p w14:paraId="2C26A38F">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自本公告发布之日起3个工作日。</w:t>
      </w:r>
    </w:p>
    <w:p w14:paraId="615D71AD">
      <w:pPr>
        <w:adjustRightInd w:val="0"/>
        <w:snapToGrid w:val="0"/>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六、其他补充事宜</w:t>
      </w:r>
    </w:p>
    <w:p w14:paraId="58DEEAB0">
      <w:pPr>
        <w:wordWrap w:val="0"/>
        <w:adjustRightInd w:val="0"/>
        <w:snapToGrid w:val="0"/>
        <w:spacing w:line="440" w:lineRule="exact"/>
        <w:jc w:val="left"/>
        <w:rPr>
          <w:rFonts w:ascii="宋体" w:hAnsi="宋体" w:cs="宋体"/>
          <w:color w:val="auto"/>
          <w:sz w:val="22"/>
          <w:szCs w:val="22"/>
          <w:highlight w:val="none"/>
        </w:rPr>
      </w:pPr>
      <w:r>
        <w:rPr>
          <w:rFonts w:hint="eastAsia" w:ascii="宋体" w:hAnsi="宋体" w:cs="宋体"/>
          <w:b/>
          <w:bCs/>
          <w:color w:val="auto"/>
          <w:sz w:val="22"/>
          <w:szCs w:val="22"/>
          <w:highlight w:val="none"/>
        </w:rPr>
        <w:t> </w:t>
      </w:r>
      <w:r>
        <w:rPr>
          <w:rFonts w:hint="eastAsia" w:ascii="宋体" w:hAnsi="宋体" w:cs="宋体"/>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部门投诉。质疑函范本、投诉书范本请到浙江政府采购网下载专区下载。</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2.其他事项：2.1供应商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采购文件和政采云平台的要求编制、加密并递交投标文件。供应商在使用系统进行投标的过程中遇到涉及平台使用的任何问题，可致电政采云平台技术支持热线咨询，联系方式：400-881-7190。2.3供应商应在开标前完成CA数字证书办理。完成CA数字证书办理预计一周左右，建议各供应商抓紧时间办理。【（目前“政采云”平台仅支持浙江汇信或天谷CA锁，个体工商户投标仅支持浙江汇信CA锁）申领操作流程”】。因未注册入库、未办理CA数字证书等原因造成无法投标或投标失败等后果由供应商自行承担。《CA驱动和申领流程》：zfcg.czt.zj.gov.cn/bidClientTemplate/2019-05-27/12945.html。《CA管理操作指南》：https://service.zcygov.cn/#/knowledges/cm2eqWwBFdiHxlNd_otq/lwV6GXABiyELHE-oVMj3?keyword。2.4供应商通过政采云平台电子投标工具制作投标文件，电子投标工具请供应商自行前往浙江省政府采购网下载并安装，（电子交易客户端下载地址：zfcg.czt.zj.gov.cn/bidClientTemplate/2019-09-24/12975.html），电子投标操作指南详见：“https://edu.zcygov.cn/luban/e-biding”。2.5供应商可通过浙江省“电子交易/不见面开评标”学习专题提前进行专题学习，熟悉操作，避免影响采购活动（https://edu.zcygov.cn/luban/e-biding）。 </w:t>
      </w:r>
    </w:p>
    <w:p w14:paraId="7ADE50E7">
      <w:pPr>
        <w:adjustRightInd w:val="0"/>
        <w:snapToGrid w:val="0"/>
        <w:spacing w:line="44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七、对本次采购提出询问、质疑、投诉，请按以下方式联系</w:t>
      </w:r>
    </w:p>
    <w:p w14:paraId="3DD2AE7F">
      <w:pPr>
        <w:adjustRightInd w:val="0"/>
        <w:snapToGrid w:val="0"/>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1.采购人信息</w:t>
      </w:r>
    </w:p>
    <w:p w14:paraId="567D0C49">
      <w:pPr>
        <w:adjustRightInd w:val="0"/>
        <w:snapToGrid w:val="0"/>
        <w:spacing w:line="44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名    称：温州肯恩大学</w:t>
      </w:r>
    </w:p>
    <w:p w14:paraId="164D37AB">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地    址：温州市丽岙街道大学路88号</w:t>
      </w:r>
    </w:p>
    <w:p w14:paraId="2B5D6B39">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传     真：/</w:t>
      </w:r>
    </w:p>
    <w:p w14:paraId="39E723DA">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项目联系人（询问）： </w:t>
      </w:r>
      <w:r>
        <w:rPr>
          <w:rFonts w:hint="eastAsia" w:ascii="宋体" w:hAnsi="宋体" w:cs="宋体"/>
          <w:bCs/>
          <w:color w:val="auto"/>
          <w:kern w:val="0"/>
          <w:sz w:val="22"/>
          <w:szCs w:val="22"/>
          <w:highlight w:val="none"/>
        </w:rPr>
        <w:t>孙老师</w:t>
      </w:r>
      <w:r>
        <w:rPr>
          <w:rFonts w:hint="eastAsia" w:ascii="宋体" w:hAnsi="宋体" w:cs="宋体"/>
          <w:color w:val="auto"/>
          <w:sz w:val="22"/>
          <w:szCs w:val="22"/>
          <w:highlight w:val="none"/>
        </w:rPr>
        <w:t xml:space="preserve"> </w:t>
      </w:r>
    </w:p>
    <w:p w14:paraId="73573A3C">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项目联系方式（询问）：0577-55870565 </w:t>
      </w:r>
    </w:p>
    <w:p w14:paraId="7461FA0B">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质疑联系人：刘老师 </w:t>
      </w:r>
    </w:p>
    <w:p w14:paraId="6DC267B6">
      <w:pPr>
        <w:adjustRightInd w:val="0"/>
        <w:snapToGrid w:val="0"/>
        <w:spacing w:line="440" w:lineRule="exact"/>
        <w:ind w:firstLine="638" w:firstLineChars="290"/>
        <w:rPr>
          <w:rFonts w:ascii="宋体" w:hAnsi="宋体" w:cs="宋体"/>
          <w:color w:val="auto"/>
          <w:sz w:val="22"/>
          <w:szCs w:val="22"/>
          <w:highlight w:val="none"/>
        </w:rPr>
      </w:pPr>
      <w:r>
        <w:rPr>
          <w:rFonts w:hint="eastAsia" w:ascii="宋体" w:hAnsi="宋体" w:cs="宋体"/>
          <w:color w:val="auto"/>
          <w:sz w:val="22"/>
          <w:szCs w:val="22"/>
          <w:highlight w:val="none"/>
        </w:rPr>
        <w:t xml:space="preserve">质疑联系方式：0577-55870553 </w:t>
      </w:r>
    </w:p>
    <w:p w14:paraId="5611AABA">
      <w:pPr>
        <w:pStyle w:val="18"/>
        <w:spacing w:line="440" w:lineRule="exact"/>
        <w:ind w:right="-252"/>
        <w:rPr>
          <w:rFonts w:cs="宋体"/>
          <w:color w:val="auto"/>
          <w:highlight w:val="none"/>
        </w:rPr>
      </w:pPr>
    </w:p>
    <w:p w14:paraId="7ECF73EA">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779EC9BF">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名    称：温州市圣励招标代理有限公司</w:t>
      </w:r>
    </w:p>
    <w:p w14:paraId="21AE9A67">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地    址：温州市鹿城区市府路新益大厦1幢601室</w:t>
      </w:r>
    </w:p>
    <w:p w14:paraId="42661831">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项目联系人（询问）：李先生</w:t>
      </w:r>
    </w:p>
    <w:p w14:paraId="61BAE12C">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项目联系方式（询问）：17276163854</w:t>
      </w:r>
    </w:p>
    <w:p w14:paraId="595D38DD">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质疑联系人：黄先生</w:t>
      </w:r>
    </w:p>
    <w:p w14:paraId="685B54FE">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质疑联系方式：0577-88812277</w:t>
      </w:r>
    </w:p>
    <w:p w14:paraId="12D884E5">
      <w:pPr>
        <w:adjustRightInd w:val="0"/>
        <w:snapToGrid w:val="0"/>
        <w:spacing w:line="440" w:lineRule="exact"/>
        <w:ind w:firstLine="660"/>
        <w:rPr>
          <w:rFonts w:ascii="宋体" w:hAnsi="宋体" w:cs="宋体"/>
          <w:color w:val="auto"/>
          <w:sz w:val="22"/>
          <w:szCs w:val="22"/>
          <w:highlight w:val="none"/>
        </w:rPr>
      </w:pPr>
    </w:p>
    <w:p w14:paraId="176EF8E5">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3.采购监督管理部门</w:t>
      </w:r>
    </w:p>
    <w:p w14:paraId="174F2968">
      <w:pPr>
        <w:adjustRightInd w:val="0"/>
        <w:snapToGrid w:val="0"/>
        <w:spacing w:line="44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采购监督管理部门：温州肯恩大学</w:t>
      </w:r>
    </w:p>
    <w:p w14:paraId="52F447CF">
      <w:pPr>
        <w:adjustRightInd w:val="0"/>
        <w:snapToGrid w:val="0"/>
        <w:spacing w:line="44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监督联系人：林老师</w:t>
      </w:r>
    </w:p>
    <w:p w14:paraId="00739F8D">
      <w:pPr>
        <w:adjustRightInd w:val="0"/>
        <w:snapToGrid w:val="0"/>
        <w:spacing w:line="44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联系电话：0577-55870046</w:t>
      </w:r>
    </w:p>
    <w:p w14:paraId="6EBCA568">
      <w:pPr>
        <w:spacing w:line="440" w:lineRule="exact"/>
        <w:ind w:right="440"/>
        <w:jc w:val="right"/>
        <w:rPr>
          <w:rFonts w:ascii="宋体" w:hAnsi="宋体" w:cs="宋体"/>
          <w:color w:val="auto"/>
          <w:sz w:val="22"/>
          <w:szCs w:val="22"/>
          <w:highlight w:val="none"/>
        </w:rPr>
      </w:pPr>
    </w:p>
    <w:p w14:paraId="56228808">
      <w:pPr>
        <w:adjustRightInd w:val="0"/>
        <w:snapToGrid w:val="0"/>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5C98D07">
      <w:pPr>
        <w:spacing w:line="440" w:lineRule="exact"/>
        <w:ind w:right="440"/>
        <w:jc w:val="right"/>
        <w:rPr>
          <w:rFonts w:ascii="宋体" w:hAnsi="宋体" w:cs="宋体"/>
          <w:color w:val="auto"/>
          <w:sz w:val="22"/>
          <w:szCs w:val="22"/>
          <w:highlight w:val="none"/>
        </w:rPr>
      </w:pPr>
      <w:r>
        <w:rPr>
          <w:rFonts w:hint="eastAsia" w:ascii="宋体" w:hAnsi="宋体" w:cs="宋体"/>
          <w:color w:val="auto"/>
          <w:sz w:val="22"/>
          <w:szCs w:val="22"/>
          <w:highlight w:val="none"/>
        </w:rPr>
        <w:t>温州肯恩大学</w:t>
      </w:r>
    </w:p>
    <w:p w14:paraId="2033EB29">
      <w:pPr>
        <w:spacing w:line="440" w:lineRule="exact"/>
        <w:ind w:right="440"/>
        <w:jc w:val="right"/>
        <w:rPr>
          <w:rFonts w:ascii="宋体" w:hAnsi="宋体" w:cs="宋体"/>
          <w:color w:val="auto"/>
          <w:highlight w:val="none"/>
        </w:rPr>
      </w:pPr>
      <w:r>
        <w:rPr>
          <w:rFonts w:hint="eastAsia" w:ascii="宋体" w:hAnsi="宋体" w:cs="宋体"/>
          <w:color w:val="auto"/>
          <w:sz w:val="22"/>
          <w:szCs w:val="22"/>
          <w:highlight w:val="none"/>
        </w:rPr>
        <w:t>温州市圣励招标代理有限公司</w:t>
      </w:r>
    </w:p>
    <w:p w14:paraId="02D13E6B">
      <w:pPr>
        <w:spacing w:line="440" w:lineRule="exact"/>
        <w:ind w:right="440"/>
        <w:jc w:val="right"/>
        <w:rPr>
          <w:rFonts w:ascii="宋体" w:hAnsi="宋体" w:cs="宋体"/>
          <w:color w:val="auto"/>
          <w:sz w:val="22"/>
          <w:szCs w:val="22"/>
          <w:highlight w:val="none"/>
        </w:rPr>
      </w:pPr>
      <w:r>
        <w:rPr>
          <w:rFonts w:hint="eastAsia" w:ascii="宋体" w:hAnsi="宋体" w:cs="宋体"/>
          <w:color w:val="auto"/>
          <w:sz w:val="22"/>
          <w:szCs w:val="22"/>
          <w:highlight w:val="none"/>
        </w:rPr>
        <w:t>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日</w:t>
      </w:r>
    </w:p>
    <w:p w14:paraId="30543D07">
      <w:pPr>
        <w:pStyle w:val="2"/>
        <w:spacing w:line="420" w:lineRule="exact"/>
        <w:jc w:val="center"/>
        <w:rPr>
          <w:rFonts w:ascii="宋体" w:hAnsi="宋体" w:cs="宋体"/>
          <w:color w:val="auto"/>
          <w:kern w:val="2"/>
          <w:sz w:val="28"/>
          <w:szCs w:val="28"/>
          <w:highlight w:val="none"/>
        </w:rPr>
      </w:pPr>
      <w:bookmarkStart w:id="12" w:name="_Toc202085287"/>
      <w:bookmarkStart w:id="13" w:name="_Toc195502577"/>
      <w:bookmarkStart w:id="14" w:name="_Toc195502487"/>
      <w:r>
        <w:rPr>
          <w:rFonts w:hint="eastAsia" w:ascii="宋体" w:hAnsi="宋体" w:cs="宋体"/>
          <w:color w:val="auto"/>
          <w:sz w:val="36"/>
          <w:szCs w:val="36"/>
          <w:highlight w:val="none"/>
        </w:rPr>
        <w:br w:type="page"/>
      </w:r>
      <w:bookmarkStart w:id="15" w:name="_Toc19536"/>
      <w:r>
        <w:rPr>
          <w:rFonts w:hint="eastAsia" w:ascii="宋体" w:hAnsi="宋体" w:cs="宋体"/>
          <w:color w:val="auto"/>
          <w:kern w:val="2"/>
          <w:sz w:val="28"/>
          <w:szCs w:val="28"/>
          <w:highlight w:val="none"/>
        </w:rPr>
        <w:t>第二部分   供应商须知</w:t>
      </w:r>
      <w:bookmarkEnd w:id="12"/>
      <w:bookmarkEnd w:id="13"/>
      <w:bookmarkEnd w:id="14"/>
      <w:bookmarkEnd w:id="15"/>
    </w:p>
    <w:p w14:paraId="2AB60B31">
      <w:pPr>
        <w:pStyle w:val="3"/>
        <w:spacing w:line="420" w:lineRule="exact"/>
        <w:jc w:val="center"/>
        <w:rPr>
          <w:rFonts w:ascii="宋体" w:hAnsi="宋体" w:eastAsia="宋体" w:cs="宋体"/>
          <w:color w:val="auto"/>
          <w:sz w:val="28"/>
          <w:szCs w:val="28"/>
          <w:highlight w:val="none"/>
        </w:rPr>
      </w:pPr>
      <w:bookmarkStart w:id="16" w:name="_Toc486600281"/>
      <w:bookmarkStart w:id="17" w:name="_Toc525993250"/>
      <w:bookmarkStart w:id="18" w:name="_Toc29301"/>
      <w:r>
        <w:rPr>
          <w:rFonts w:hint="eastAsia" w:ascii="宋体" w:hAnsi="宋体" w:eastAsia="宋体" w:cs="宋体"/>
          <w:color w:val="auto"/>
          <w:sz w:val="28"/>
          <w:szCs w:val="28"/>
          <w:highlight w:val="none"/>
        </w:rPr>
        <w:t>供应商须知前附表</w:t>
      </w:r>
      <w:bookmarkEnd w:id="16"/>
      <w:bookmarkEnd w:id="17"/>
      <w:bookmarkEnd w:id="18"/>
    </w:p>
    <w:tbl>
      <w:tblPr>
        <w:tblStyle w:val="39"/>
        <w:tblW w:w="0" w:type="auto"/>
        <w:jc w:val="center"/>
        <w:tblLayout w:type="fixed"/>
        <w:tblCellMar>
          <w:top w:w="0" w:type="dxa"/>
          <w:left w:w="108" w:type="dxa"/>
          <w:bottom w:w="0" w:type="dxa"/>
          <w:right w:w="108" w:type="dxa"/>
        </w:tblCellMar>
      </w:tblPr>
      <w:tblGrid>
        <w:gridCol w:w="766"/>
        <w:gridCol w:w="1796"/>
        <w:gridCol w:w="6317"/>
      </w:tblGrid>
      <w:tr w14:paraId="0DBC5D4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4D8128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104B493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6317" w:type="dxa"/>
            <w:tcBorders>
              <w:top w:val="single" w:color="auto" w:sz="4" w:space="0"/>
              <w:left w:val="single" w:color="auto" w:sz="4" w:space="0"/>
              <w:bottom w:val="single" w:color="auto" w:sz="4" w:space="0"/>
              <w:right w:val="single" w:color="auto" w:sz="4" w:space="0"/>
            </w:tcBorders>
            <w:vAlign w:val="center"/>
          </w:tcPr>
          <w:p w14:paraId="3345899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4E113BC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E53CE4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14:paraId="401C5C72">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6317" w:type="dxa"/>
            <w:tcBorders>
              <w:top w:val="single" w:color="auto" w:sz="4" w:space="0"/>
              <w:left w:val="single" w:color="auto" w:sz="4" w:space="0"/>
              <w:bottom w:val="single" w:color="auto" w:sz="4" w:space="0"/>
              <w:right w:val="single" w:color="auto" w:sz="4" w:space="0"/>
            </w:tcBorders>
            <w:vAlign w:val="center"/>
          </w:tcPr>
          <w:p w14:paraId="1B134A2C">
            <w:pPr>
              <w:autoSpaceDE w:val="0"/>
              <w:autoSpaceDN w:val="0"/>
              <w:adjustRightInd w:val="0"/>
              <w:spacing w:line="360" w:lineRule="exact"/>
              <w:jc w:val="left"/>
              <w:rPr>
                <w:rFonts w:ascii="宋体" w:hAnsi="宋体" w:cs="宋体"/>
                <w:color w:val="auto"/>
                <w:sz w:val="22"/>
                <w:highlight w:val="none"/>
                <w:lang w:val="zh-CN"/>
              </w:rPr>
            </w:pPr>
            <w:r>
              <w:rPr>
                <w:rFonts w:hint="eastAsia" w:ascii="宋体" w:hAnsi="宋体" w:cs="宋体"/>
                <w:color w:val="auto"/>
                <w:kern w:val="0"/>
                <w:sz w:val="22"/>
                <w:highlight w:val="none"/>
                <w:lang w:val="zh-CN"/>
              </w:rPr>
              <w:t>温州肯恩大学</w:t>
            </w:r>
          </w:p>
        </w:tc>
      </w:tr>
      <w:tr w14:paraId="3165958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62EE0D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14:paraId="4F745DA3">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6317" w:type="dxa"/>
            <w:tcBorders>
              <w:top w:val="single" w:color="auto" w:sz="4" w:space="0"/>
              <w:left w:val="single" w:color="auto" w:sz="4" w:space="0"/>
              <w:bottom w:val="single" w:color="auto" w:sz="4" w:space="0"/>
              <w:right w:val="single" w:color="auto" w:sz="4" w:space="0"/>
            </w:tcBorders>
            <w:vAlign w:val="center"/>
          </w:tcPr>
          <w:p w14:paraId="3E3925A2">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温州市圣励招标代理有限公司</w:t>
            </w:r>
          </w:p>
        </w:tc>
      </w:tr>
      <w:tr w14:paraId="130F261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1259E6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14:paraId="3B39B64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项目名称</w:t>
            </w:r>
          </w:p>
        </w:tc>
        <w:tc>
          <w:tcPr>
            <w:tcW w:w="6317" w:type="dxa"/>
            <w:tcBorders>
              <w:top w:val="single" w:color="auto" w:sz="4" w:space="0"/>
              <w:left w:val="single" w:color="auto" w:sz="4" w:space="0"/>
              <w:bottom w:val="single" w:color="auto" w:sz="4" w:space="0"/>
              <w:right w:val="single" w:color="auto" w:sz="4" w:space="0"/>
            </w:tcBorders>
            <w:vAlign w:val="center"/>
          </w:tcPr>
          <w:p w14:paraId="30125666">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温州肯恩大学动物房运营管理及相关设备维保服务采购项目</w:t>
            </w:r>
          </w:p>
          <w:p w14:paraId="4A895F05">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项目编号：WZSLZB-YW-20250503</w:t>
            </w:r>
          </w:p>
        </w:tc>
      </w:tr>
      <w:tr w14:paraId="305C4C5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7355A6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14:paraId="64DA330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w:t>
            </w:r>
          </w:p>
        </w:tc>
        <w:tc>
          <w:tcPr>
            <w:tcW w:w="6317" w:type="dxa"/>
            <w:tcBorders>
              <w:top w:val="single" w:color="auto" w:sz="4" w:space="0"/>
              <w:left w:val="single" w:color="auto" w:sz="4" w:space="0"/>
              <w:bottom w:val="single" w:color="auto" w:sz="4" w:space="0"/>
              <w:right w:val="single" w:color="auto" w:sz="4" w:space="0"/>
            </w:tcBorders>
            <w:vAlign w:val="center"/>
          </w:tcPr>
          <w:p w14:paraId="21E3846F">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u w:val="single"/>
              </w:rPr>
              <w:t>▲预算金额：443000 元报价超过预算金额或预算单价的投标无效。</w:t>
            </w:r>
          </w:p>
        </w:tc>
      </w:tr>
      <w:tr w14:paraId="76DAA49B">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FE9CAB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14:paraId="2713E81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6317" w:type="dxa"/>
            <w:tcBorders>
              <w:top w:val="single" w:color="auto" w:sz="4" w:space="0"/>
              <w:left w:val="single" w:color="auto" w:sz="4" w:space="0"/>
              <w:bottom w:val="single" w:color="auto" w:sz="4" w:space="0"/>
              <w:right w:val="single" w:color="auto" w:sz="4" w:space="0"/>
            </w:tcBorders>
            <w:vAlign w:val="center"/>
          </w:tcPr>
          <w:p w14:paraId="41BC7B80">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详见第五部分</w:t>
            </w:r>
          </w:p>
        </w:tc>
      </w:tr>
      <w:tr w14:paraId="04C5FDC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CE9B69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14:paraId="6D0F5284">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6317" w:type="dxa"/>
            <w:tcBorders>
              <w:top w:val="single" w:color="auto" w:sz="4" w:space="0"/>
              <w:left w:val="single" w:color="auto" w:sz="4" w:space="0"/>
              <w:bottom w:val="single" w:color="auto" w:sz="4" w:space="0"/>
              <w:right w:val="single" w:color="auto" w:sz="4" w:space="0"/>
            </w:tcBorders>
            <w:vAlign w:val="center"/>
          </w:tcPr>
          <w:p w14:paraId="7FDD759B">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6DF5ABA0">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color w:val="auto"/>
                <w:kern w:val="0"/>
                <w:sz w:val="22"/>
                <w:highlight w:val="none"/>
                <w:lang w:val="zh-CN"/>
              </w:rPr>
              <w:t>2.采用</w:t>
            </w:r>
            <w:r>
              <w:rPr>
                <w:rFonts w:hint="eastAsia" w:ascii="宋体" w:hAnsi="宋体" w:cs="宋体"/>
                <w:b/>
                <w:bCs/>
                <w:color w:val="auto"/>
                <w:kern w:val="0"/>
                <w:sz w:val="22"/>
                <w:highlight w:val="none"/>
              </w:rPr>
              <w:t>人民币</w:t>
            </w:r>
            <w:r>
              <w:rPr>
                <w:rFonts w:hint="eastAsia" w:ascii="宋体" w:hAnsi="宋体" w:cs="宋体"/>
                <w:b/>
                <w:bCs/>
                <w:color w:val="auto"/>
                <w:kern w:val="0"/>
                <w:sz w:val="22"/>
                <w:highlight w:val="none"/>
                <w:lang w:val="zh-CN"/>
              </w:rPr>
              <w:t>报价</w:t>
            </w:r>
            <w:r>
              <w:rPr>
                <w:rFonts w:hint="eastAsia" w:ascii="宋体" w:hAnsi="宋体" w:cs="宋体"/>
                <w:b/>
                <w:bCs/>
                <w:color w:val="auto"/>
                <w:sz w:val="22"/>
                <w:highlight w:val="none"/>
              </w:rPr>
              <w:t>。</w:t>
            </w:r>
          </w:p>
        </w:tc>
      </w:tr>
      <w:tr w14:paraId="6AD680B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AA4ACD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14:paraId="5A881BEF">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6317" w:type="dxa"/>
            <w:tcBorders>
              <w:top w:val="single" w:color="auto" w:sz="4" w:space="0"/>
              <w:left w:val="single" w:color="auto" w:sz="4" w:space="0"/>
              <w:bottom w:val="single" w:color="auto" w:sz="4" w:space="0"/>
              <w:right w:val="single" w:color="auto" w:sz="4" w:space="0"/>
            </w:tcBorders>
            <w:vAlign w:val="center"/>
          </w:tcPr>
          <w:p w14:paraId="32A47984">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不论投标结果如何，供应商均应自行承担所有与投标有关的全部费用</w:t>
            </w:r>
          </w:p>
        </w:tc>
      </w:tr>
      <w:tr w14:paraId="41FF537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213C19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14:paraId="0AF5CB9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供应商资格要求</w:t>
            </w:r>
          </w:p>
        </w:tc>
        <w:tc>
          <w:tcPr>
            <w:tcW w:w="6317" w:type="dxa"/>
            <w:tcBorders>
              <w:top w:val="single" w:color="auto" w:sz="4" w:space="0"/>
              <w:left w:val="single" w:color="auto" w:sz="4" w:space="0"/>
              <w:bottom w:val="single" w:color="auto" w:sz="4" w:space="0"/>
              <w:right w:val="single" w:color="auto" w:sz="4" w:space="0"/>
            </w:tcBorders>
            <w:vAlign w:val="center"/>
          </w:tcPr>
          <w:p w14:paraId="1290399F">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详见招标公告</w:t>
            </w:r>
          </w:p>
        </w:tc>
      </w:tr>
      <w:tr w14:paraId="17D8B3C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B31D9B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14:paraId="427B1BE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是否接受联合体投标</w:t>
            </w:r>
          </w:p>
        </w:tc>
        <w:tc>
          <w:tcPr>
            <w:tcW w:w="6317" w:type="dxa"/>
            <w:tcBorders>
              <w:top w:val="single" w:color="auto" w:sz="4" w:space="0"/>
              <w:left w:val="single" w:color="auto" w:sz="4" w:space="0"/>
              <w:bottom w:val="single" w:color="auto" w:sz="4" w:space="0"/>
              <w:right w:val="single" w:color="auto" w:sz="4" w:space="0"/>
            </w:tcBorders>
            <w:vAlign w:val="center"/>
          </w:tcPr>
          <w:p w14:paraId="07E92FBA">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不</w:t>
            </w:r>
            <w:r>
              <w:rPr>
                <w:rFonts w:hint="eastAsia" w:ascii="宋体" w:hAnsi="宋体" w:cs="宋体"/>
                <w:color w:val="auto"/>
                <w:kern w:val="0"/>
                <w:sz w:val="22"/>
                <w:highlight w:val="none"/>
                <w:lang w:val="zh-CN"/>
              </w:rPr>
              <w:t>接受</w:t>
            </w:r>
          </w:p>
        </w:tc>
      </w:tr>
      <w:tr w14:paraId="677CA71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F74F45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vAlign w:val="center"/>
          </w:tcPr>
          <w:p w14:paraId="74CF7A4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6317" w:type="dxa"/>
            <w:tcBorders>
              <w:top w:val="single" w:color="auto" w:sz="4" w:space="0"/>
              <w:left w:val="single" w:color="auto" w:sz="4" w:space="0"/>
              <w:bottom w:val="single" w:color="auto" w:sz="4" w:space="0"/>
              <w:right w:val="single" w:color="auto" w:sz="4" w:space="0"/>
            </w:tcBorders>
            <w:vAlign w:val="center"/>
          </w:tcPr>
          <w:p w14:paraId="56932EF1">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维保服务需要实地勘察的供应商自行联系叶老师（联系电话：18757118893）到现场实地勘察。</w:t>
            </w:r>
          </w:p>
        </w:tc>
      </w:tr>
      <w:tr w14:paraId="589A6E5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42331D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14:paraId="453CC59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6317" w:type="dxa"/>
            <w:tcBorders>
              <w:top w:val="single" w:color="auto" w:sz="4" w:space="0"/>
              <w:left w:val="single" w:color="auto" w:sz="4" w:space="0"/>
              <w:bottom w:val="single" w:color="auto" w:sz="4" w:space="0"/>
              <w:right w:val="single" w:color="auto" w:sz="4" w:space="0"/>
            </w:tcBorders>
            <w:vAlign w:val="center"/>
          </w:tcPr>
          <w:p w14:paraId="47746D85">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1B08C94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787F67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14:paraId="76062A0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6317" w:type="dxa"/>
            <w:tcBorders>
              <w:top w:val="single" w:color="auto" w:sz="4" w:space="0"/>
              <w:left w:val="single" w:color="auto" w:sz="4" w:space="0"/>
              <w:bottom w:val="single" w:color="auto" w:sz="4" w:space="0"/>
              <w:right w:val="single" w:color="auto" w:sz="4" w:space="0"/>
            </w:tcBorders>
            <w:vAlign w:val="center"/>
          </w:tcPr>
          <w:p w14:paraId="65878511">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不允许</w:t>
            </w:r>
          </w:p>
        </w:tc>
      </w:tr>
      <w:tr w14:paraId="47E19B0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B1F469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14:paraId="39E3205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6317" w:type="dxa"/>
            <w:tcBorders>
              <w:top w:val="single" w:color="auto" w:sz="4" w:space="0"/>
              <w:left w:val="single" w:color="auto" w:sz="4" w:space="0"/>
              <w:bottom w:val="single" w:color="auto" w:sz="4" w:space="0"/>
              <w:right w:val="single" w:color="auto" w:sz="4" w:space="0"/>
            </w:tcBorders>
            <w:vAlign w:val="center"/>
          </w:tcPr>
          <w:p w14:paraId="595C6027">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标委员会判断，细微偏差要求供应商在评标结束前予以澄清、说明或补正，不接受要求进行的，评标委员会有权做投标无效处理，详见评标办法。</w:t>
            </w:r>
          </w:p>
        </w:tc>
      </w:tr>
      <w:tr w14:paraId="1DE0449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50418E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14:paraId="793B4D5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6317" w:type="dxa"/>
            <w:tcBorders>
              <w:top w:val="single" w:color="auto" w:sz="4" w:space="0"/>
              <w:left w:val="single" w:color="auto" w:sz="4" w:space="0"/>
              <w:bottom w:val="single" w:color="auto" w:sz="4" w:space="0"/>
              <w:right w:val="single" w:color="auto" w:sz="4" w:space="0"/>
            </w:tcBorders>
            <w:vAlign w:val="center"/>
          </w:tcPr>
          <w:p w14:paraId="73123DF8">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65A34F9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FB4F5B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14:paraId="1C42DCD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6317" w:type="dxa"/>
            <w:tcBorders>
              <w:top w:val="single" w:color="auto" w:sz="4" w:space="0"/>
              <w:left w:val="single" w:color="auto" w:sz="4" w:space="0"/>
              <w:bottom w:val="single" w:color="auto" w:sz="4" w:space="0"/>
              <w:right w:val="single" w:color="auto" w:sz="4" w:space="0"/>
            </w:tcBorders>
            <w:vAlign w:val="center"/>
          </w:tcPr>
          <w:p w14:paraId="4C1F3E3C">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无</w:t>
            </w:r>
          </w:p>
        </w:tc>
      </w:tr>
      <w:tr w14:paraId="2831583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532801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14:paraId="3D680F4D">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6317" w:type="dxa"/>
            <w:tcBorders>
              <w:top w:val="single" w:color="auto" w:sz="4" w:space="0"/>
              <w:left w:val="single" w:color="auto" w:sz="4" w:space="0"/>
              <w:bottom w:val="single" w:color="auto" w:sz="4" w:space="0"/>
              <w:right w:val="single" w:color="auto" w:sz="4" w:space="0"/>
            </w:tcBorders>
            <w:vAlign w:val="center"/>
          </w:tcPr>
          <w:p w14:paraId="5C1FD1DD">
            <w:pPr>
              <w:pStyle w:val="97"/>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14:paraId="4BC303C5">
            <w:pPr>
              <w:pStyle w:val="97"/>
              <w:snapToGrid w:val="0"/>
              <w:spacing w:line="360" w:lineRule="exact"/>
              <w:rPr>
                <w:rFonts w:hAnsi="宋体" w:cs="宋体"/>
                <w:b/>
                <w:bCs/>
                <w:color w:val="auto"/>
                <w:sz w:val="22"/>
                <w:highlight w:val="none"/>
              </w:rPr>
            </w:pPr>
            <w:r>
              <w:rPr>
                <w:rFonts w:hint="eastAsia" w:hAnsi="宋体" w:cs="宋体"/>
                <w:b/>
                <w:bCs/>
                <w:color w:val="auto"/>
                <w:sz w:val="22"/>
                <w:highlight w:val="none"/>
              </w:rPr>
              <w:t>供应商应准备电子投标文件、以介质存储的数据电文形式的备份投标文件二类：</w:t>
            </w:r>
          </w:p>
          <w:p w14:paraId="13747968">
            <w:pPr>
              <w:pStyle w:val="97"/>
              <w:snapToGrid w:val="0"/>
              <w:spacing w:line="360" w:lineRule="exact"/>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76624047">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42"/>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w:t>
            </w:r>
            <w:r>
              <w:rPr>
                <w:rFonts w:hint="eastAsia" w:ascii="宋体" w:hAnsi="宋体" w:cs="宋体"/>
                <w:b/>
                <w:bCs/>
                <w:color w:val="auto"/>
                <w:sz w:val="22"/>
                <w:highlight w:val="none"/>
              </w:rPr>
              <w:t>温州市圣励招标代理有限公司</w:t>
            </w:r>
            <w:r>
              <w:rPr>
                <w:rFonts w:hint="eastAsia" w:ascii="宋体" w:hAnsi="宋体" w:cs="宋体"/>
                <w:b/>
                <w:bCs/>
                <w:color w:val="auto"/>
                <w:sz w:val="22"/>
                <w:highlight w:val="none"/>
                <w:lang w:val="zh-CN"/>
              </w:rPr>
              <w:t>电子邮箱</w:t>
            </w:r>
            <w:r>
              <w:rPr>
                <w:rFonts w:hint="eastAsia" w:ascii="宋体" w:hAnsi="宋体" w:cs="宋体"/>
                <w:b/>
                <w:bCs/>
                <w:color w:val="auto"/>
                <w:sz w:val="22"/>
                <w:highlight w:val="none"/>
              </w:rPr>
              <w:t>slzb15355937525@qq.com，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加密密码由供应商自行保管</w:t>
            </w:r>
            <w:r>
              <w:rPr>
                <w:rFonts w:hint="eastAsia" w:ascii="宋体" w:hAnsi="宋体" w:cs="宋体"/>
                <w:b/>
                <w:bCs/>
                <w:color w:val="auto"/>
                <w:sz w:val="22"/>
                <w:highlight w:val="none"/>
              </w:rPr>
              <w:t>，未加密导致投标信息泄露的风险由供应商自行承担</w:t>
            </w:r>
            <w:r>
              <w:rPr>
                <w:rStyle w:val="42"/>
                <w:rFonts w:hint="eastAsia" w:ascii="宋体" w:hAnsi="宋体" w:cs="宋体"/>
                <w:bCs/>
                <w:color w:val="auto"/>
                <w:sz w:val="22"/>
                <w:highlight w:val="none"/>
              </w:rPr>
              <w:t>。</w:t>
            </w:r>
          </w:p>
          <w:p w14:paraId="3248D828">
            <w:pPr>
              <w:pStyle w:val="97"/>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投标文件由资格响应文件、商务技术响应文件、报价响应文件三部分组成。</w:t>
            </w:r>
          </w:p>
          <w:p w14:paraId="2F9953D1">
            <w:pPr>
              <w:pStyle w:val="97"/>
              <w:snapToGrid w:val="0"/>
              <w:spacing w:line="360" w:lineRule="exact"/>
              <w:rPr>
                <w:rFonts w:hAnsi="宋体" w:cs="宋体"/>
                <w:color w:val="auto"/>
                <w:kern w:val="0"/>
                <w:sz w:val="22"/>
                <w:highlight w:val="none"/>
              </w:rPr>
            </w:pPr>
            <w:r>
              <w:rPr>
                <w:rFonts w:hint="eastAsia" w:hAnsi="宋体" w:cs="宋体"/>
                <w:b/>
                <w:bCs/>
                <w:color w:val="auto"/>
                <w:sz w:val="22"/>
                <w:highlight w:val="none"/>
              </w:rPr>
              <w:t>注：中标人在领取中标通知书时按采购人要求提供全套纸质投标文件贰份。</w:t>
            </w:r>
          </w:p>
        </w:tc>
      </w:tr>
      <w:tr w14:paraId="762E98A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812D17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14:paraId="54F96EC8">
            <w:p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电子招投标特殊情况处理方式</w:t>
            </w:r>
          </w:p>
        </w:tc>
        <w:tc>
          <w:tcPr>
            <w:tcW w:w="6317" w:type="dxa"/>
            <w:tcBorders>
              <w:top w:val="single" w:color="auto" w:sz="4" w:space="0"/>
              <w:left w:val="single" w:color="auto" w:sz="4" w:space="0"/>
              <w:bottom w:val="single" w:color="auto" w:sz="4" w:space="0"/>
              <w:right w:val="single" w:color="auto" w:sz="4" w:space="0"/>
            </w:tcBorders>
            <w:vAlign w:val="center"/>
          </w:tcPr>
          <w:p w14:paraId="001BD83C">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本项目原则上采用政采云电子招投标开标及评审程序，但有下情形之一的，按以下情况处理：</w:t>
            </w:r>
          </w:p>
          <w:p w14:paraId="474326A6">
            <w:pPr>
              <w:spacing w:line="360" w:lineRule="exact"/>
              <w:jc w:val="left"/>
              <w:rPr>
                <w:rFonts w:ascii="宋体" w:hAnsi="宋体" w:cs="宋体"/>
                <w:color w:val="auto"/>
                <w:sz w:val="22"/>
                <w:highlight w:val="none"/>
                <w:lang w:val="zh-CN"/>
              </w:rPr>
            </w:pPr>
            <w:r>
              <w:rPr>
                <w:rFonts w:hint="eastAsia" w:ascii="宋体" w:hAnsi="宋体" w:cs="宋体"/>
                <w:b/>
                <w:bCs/>
                <w:color w:val="auto"/>
                <w:sz w:val="22"/>
                <w:highlight w:val="none"/>
              </w:rPr>
              <w:t>若供应商在规定时间内无法解密或解密失败，采购代理机构将开启所有供应商递交的以介质存储的数据电文形式的备份投标文件，上传至政采云平台项目采购模块，以完成开标，电子投标文件自动失效。</w:t>
            </w:r>
          </w:p>
        </w:tc>
      </w:tr>
      <w:tr w14:paraId="6C3D47A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4A2370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vAlign w:val="center"/>
          </w:tcPr>
          <w:p w14:paraId="0E26AA3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6317" w:type="dxa"/>
            <w:tcBorders>
              <w:top w:val="single" w:color="auto" w:sz="4" w:space="0"/>
              <w:left w:val="single" w:color="auto" w:sz="4" w:space="0"/>
              <w:bottom w:val="single" w:color="auto" w:sz="4" w:space="0"/>
              <w:right w:val="single" w:color="auto" w:sz="4" w:space="0"/>
            </w:tcBorders>
            <w:vAlign w:val="center"/>
          </w:tcPr>
          <w:p w14:paraId="7C5BE3C0">
            <w:pPr>
              <w:autoSpaceDE w:val="0"/>
              <w:autoSpaceDN w:val="0"/>
              <w:adjustRightInd w:val="0"/>
              <w:spacing w:line="360" w:lineRule="exact"/>
              <w:ind w:firstLine="31"/>
              <w:rPr>
                <w:rFonts w:ascii="宋体" w:hAnsi="宋体" w:cs="宋体"/>
                <w:color w:val="auto"/>
                <w:kern w:val="0"/>
                <w:sz w:val="22"/>
                <w:highlight w:val="none"/>
              </w:rPr>
            </w:pPr>
            <w:r>
              <w:rPr>
                <w:rFonts w:hint="eastAsia" w:ascii="宋体" w:hAnsi="宋体" w:cs="宋体"/>
                <w:color w:val="auto"/>
                <w:kern w:val="0"/>
                <w:sz w:val="22"/>
                <w:highlight w:val="none"/>
              </w:rPr>
              <w:t>详见招标公告</w:t>
            </w:r>
          </w:p>
        </w:tc>
      </w:tr>
      <w:tr w14:paraId="431095F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5F33BF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796" w:type="dxa"/>
            <w:tcBorders>
              <w:top w:val="single" w:color="auto" w:sz="4" w:space="0"/>
              <w:left w:val="single" w:color="auto" w:sz="4" w:space="0"/>
              <w:bottom w:val="single" w:color="auto" w:sz="4" w:space="0"/>
              <w:right w:val="single" w:color="auto" w:sz="4" w:space="0"/>
            </w:tcBorders>
            <w:vAlign w:val="center"/>
          </w:tcPr>
          <w:p w14:paraId="5F5072A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评标委员会的组建</w:t>
            </w:r>
          </w:p>
        </w:tc>
        <w:tc>
          <w:tcPr>
            <w:tcW w:w="6317" w:type="dxa"/>
            <w:tcBorders>
              <w:top w:val="single" w:color="auto" w:sz="4" w:space="0"/>
              <w:left w:val="single" w:color="auto" w:sz="4" w:space="0"/>
              <w:bottom w:val="single" w:color="auto" w:sz="4" w:space="0"/>
              <w:right w:val="single" w:color="auto" w:sz="4" w:space="0"/>
            </w:tcBorders>
            <w:vAlign w:val="center"/>
          </w:tcPr>
          <w:p w14:paraId="2C4A8D04">
            <w:pPr>
              <w:autoSpaceDE w:val="0"/>
              <w:autoSpaceDN w:val="0"/>
              <w:adjustRightInd w:val="0"/>
              <w:spacing w:line="360" w:lineRule="exact"/>
              <w:ind w:firstLine="31"/>
              <w:rPr>
                <w:rFonts w:ascii="宋体" w:hAnsi="宋体" w:cs="宋体"/>
                <w:color w:val="auto"/>
                <w:sz w:val="22"/>
                <w:highlight w:val="none"/>
              </w:rPr>
            </w:pPr>
            <w:r>
              <w:rPr>
                <w:rFonts w:hint="eastAsia" w:ascii="宋体" w:hAnsi="宋体" w:cs="宋体"/>
                <w:color w:val="auto"/>
                <w:kern w:val="0"/>
                <w:sz w:val="22"/>
                <w:highlight w:val="none"/>
                <w:lang w:val="zh-CN"/>
              </w:rPr>
              <w:t>评标委员会成员由采购人代表和有关技术、经济等方面的专家组成，有关技术、经济等方面的专家成员人数为</w:t>
            </w: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人及以上单数，除采购人代表外的专家将按有关规定随机抽取产生。</w:t>
            </w:r>
          </w:p>
        </w:tc>
      </w:tr>
      <w:tr w14:paraId="1ADFE1FD">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E55F17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14:paraId="721CEF57">
            <w:pPr>
              <w:spacing w:line="360" w:lineRule="exact"/>
              <w:jc w:val="center"/>
              <w:rPr>
                <w:rFonts w:ascii="宋体" w:hAnsi="宋体" w:cs="宋体"/>
                <w:color w:val="auto"/>
                <w:kern w:val="0"/>
                <w:sz w:val="22"/>
                <w:highlight w:val="none"/>
              </w:rPr>
            </w:pPr>
            <w:r>
              <w:rPr>
                <w:rFonts w:hint="eastAsia" w:ascii="宋体" w:hAnsi="宋体" w:cs="宋体"/>
                <w:b/>
                <w:bCs/>
                <w:snapToGrid w:val="0"/>
                <w:color w:val="auto"/>
                <w:sz w:val="22"/>
                <w:highlight w:val="none"/>
              </w:rPr>
              <w:t>资格审查要求的资格证明材料</w:t>
            </w:r>
          </w:p>
        </w:tc>
        <w:tc>
          <w:tcPr>
            <w:tcW w:w="6317" w:type="dxa"/>
            <w:tcBorders>
              <w:top w:val="single" w:color="auto" w:sz="4" w:space="0"/>
              <w:left w:val="single" w:color="auto" w:sz="4" w:space="0"/>
              <w:bottom w:val="single" w:color="auto" w:sz="4" w:space="0"/>
              <w:right w:val="single" w:color="auto" w:sz="4" w:space="0"/>
            </w:tcBorders>
            <w:vAlign w:val="center"/>
          </w:tcPr>
          <w:p w14:paraId="5B16D4B7">
            <w:pPr>
              <w:autoSpaceDE w:val="0"/>
              <w:autoSpaceDN w:val="0"/>
              <w:adjustRightInd w:val="0"/>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lang w:val="zh-CN"/>
              </w:rPr>
              <w:t>①法定代表人身份证明</w:t>
            </w:r>
            <w:r>
              <w:rPr>
                <w:rFonts w:hint="eastAsia" w:ascii="宋体" w:hAnsi="宋体" w:cs="宋体"/>
                <w:b/>
                <w:bCs/>
                <w:color w:val="auto"/>
                <w:sz w:val="22"/>
                <w:highlight w:val="none"/>
              </w:rPr>
              <w:t>（见附件四（1））</w:t>
            </w:r>
          </w:p>
          <w:p w14:paraId="15EB50EB">
            <w:pPr>
              <w:autoSpaceDE w:val="0"/>
              <w:autoSpaceDN w:val="0"/>
              <w:adjustRightInd w:val="0"/>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lang w:val="zh-CN"/>
              </w:rPr>
              <w:t>②</w:t>
            </w:r>
            <w:r>
              <w:rPr>
                <w:rFonts w:hint="eastAsia" w:ascii="宋体" w:hAnsi="宋体" w:cs="宋体"/>
                <w:b/>
                <w:bCs/>
                <w:color w:val="auto"/>
                <w:sz w:val="22"/>
                <w:highlight w:val="none"/>
              </w:rPr>
              <w:t>法定代表人授权书（见附件四（2））</w:t>
            </w:r>
          </w:p>
          <w:p w14:paraId="7F8BF214">
            <w:pPr>
              <w:autoSpaceDE w:val="0"/>
              <w:autoSpaceDN w:val="0"/>
              <w:adjustRightInd w:val="0"/>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lang w:val="zh-CN"/>
              </w:rPr>
              <w:t>③有效的法人或者其他组织的营业执照等证明文件，自然人的身份证明（五选一）</w:t>
            </w:r>
            <w:r>
              <w:rPr>
                <w:rFonts w:hint="eastAsia" w:ascii="宋体" w:hAnsi="宋体" w:cs="宋体"/>
                <w:b/>
                <w:bCs/>
                <w:color w:val="auto"/>
                <w:sz w:val="22"/>
                <w:highlight w:val="none"/>
              </w:rPr>
              <w:t>（见附件四（3））</w:t>
            </w:r>
          </w:p>
          <w:p w14:paraId="36D2D7A3">
            <w:pPr>
              <w:autoSpaceDE w:val="0"/>
              <w:autoSpaceDN w:val="0"/>
              <w:adjustRightInd w:val="0"/>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lang w:val="zh-CN"/>
              </w:rPr>
              <w:t>④供应商信用查询（信用中国网站（www.creditchina.gov.cn）、中国政府采购网（www.ccgp.gov.cn）（网页截图加盖公章）</w:t>
            </w:r>
            <w:r>
              <w:rPr>
                <w:rFonts w:hint="eastAsia" w:ascii="宋体" w:hAnsi="宋体" w:cs="宋体"/>
                <w:b/>
                <w:bCs/>
                <w:color w:val="auto"/>
                <w:sz w:val="22"/>
                <w:highlight w:val="none"/>
              </w:rPr>
              <w:t>（见附件四（4））</w:t>
            </w:r>
          </w:p>
          <w:p w14:paraId="51A7511F">
            <w:pPr>
              <w:autoSpaceDE w:val="0"/>
              <w:autoSpaceDN w:val="0"/>
              <w:adjustRightInd w:val="0"/>
              <w:spacing w:line="360" w:lineRule="exact"/>
              <w:jc w:val="left"/>
              <w:rPr>
                <w:rFonts w:ascii="宋体" w:hAnsi="宋体" w:cs="宋体"/>
                <w:b/>
                <w:bCs/>
                <w:color w:val="auto"/>
                <w:kern w:val="0"/>
                <w:sz w:val="22"/>
                <w:highlight w:val="none"/>
              </w:rPr>
            </w:pPr>
            <w:r>
              <w:rPr>
                <w:rFonts w:hint="eastAsia" w:ascii="宋体" w:hAnsi="宋体" w:cs="宋体"/>
                <w:b/>
                <w:bCs/>
                <w:color w:val="auto"/>
                <w:sz w:val="22"/>
                <w:highlight w:val="none"/>
                <w:lang w:val="zh-CN"/>
              </w:rPr>
              <w:t>⑤关于符合《中华人民共和国政府采购法》第二十二条规定的承诺函</w:t>
            </w:r>
            <w:r>
              <w:rPr>
                <w:rFonts w:hint="eastAsia" w:ascii="宋体" w:hAnsi="宋体" w:cs="宋体"/>
                <w:b/>
                <w:bCs/>
                <w:color w:val="auto"/>
                <w:sz w:val="22"/>
                <w:highlight w:val="none"/>
              </w:rPr>
              <w:t>（见附件四（5））</w:t>
            </w:r>
          </w:p>
        </w:tc>
      </w:tr>
      <w:tr w14:paraId="2A90F31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9ED649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14:paraId="4338480C">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6317" w:type="dxa"/>
            <w:tcBorders>
              <w:top w:val="single" w:color="auto" w:sz="4" w:space="0"/>
              <w:left w:val="single" w:color="auto" w:sz="4" w:space="0"/>
              <w:bottom w:val="single" w:color="auto" w:sz="4" w:space="0"/>
              <w:right w:val="single" w:color="auto" w:sz="4" w:space="0"/>
            </w:tcBorders>
            <w:vAlign w:val="center"/>
          </w:tcPr>
          <w:p w14:paraId="6130DCBC">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综合评分法，详见第六部分  评标原则及方法。</w:t>
            </w:r>
          </w:p>
        </w:tc>
      </w:tr>
      <w:tr w14:paraId="2621021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5CB58B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14:paraId="3516E1EF">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6317" w:type="dxa"/>
            <w:tcBorders>
              <w:top w:val="single" w:color="auto" w:sz="4" w:space="0"/>
              <w:left w:val="single" w:color="auto" w:sz="4" w:space="0"/>
              <w:bottom w:val="single" w:color="auto" w:sz="4" w:space="0"/>
              <w:right w:val="single" w:color="auto" w:sz="4" w:space="0"/>
            </w:tcBorders>
            <w:vAlign w:val="center"/>
          </w:tcPr>
          <w:p w14:paraId="49E660EB">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14:paraId="2593B9F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B59393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14:paraId="08F3DFAD">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合同备案</w:t>
            </w:r>
          </w:p>
        </w:tc>
        <w:tc>
          <w:tcPr>
            <w:tcW w:w="6317" w:type="dxa"/>
            <w:tcBorders>
              <w:top w:val="single" w:color="auto" w:sz="4" w:space="0"/>
              <w:left w:val="single" w:color="auto" w:sz="4" w:space="0"/>
              <w:bottom w:val="single" w:color="auto" w:sz="4" w:space="0"/>
              <w:right w:val="single" w:color="auto" w:sz="4" w:space="0"/>
            </w:tcBorders>
            <w:vAlign w:val="center"/>
          </w:tcPr>
          <w:p w14:paraId="0ED89F48">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中标人须在中标通知书发出之日起30日历天内与采购人签订合同。</w:t>
            </w:r>
          </w:p>
          <w:p w14:paraId="27633FCF">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中标人与采购人签订合同后，2日历天内将合同扫描件电子版发给采购代理机构：邮箱：</w:t>
            </w:r>
            <w:r>
              <w:rPr>
                <w:color w:val="auto"/>
                <w:highlight w:val="none"/>
              </w:rPr>
              <w:fldChar w:fldCharType="begin"/>
            </w:r>
            <w:r>
              <w:rPr>
                <w:color w:val="auto"/>
                <w:highlight w:val="none"/>
              </w:rPr>
              <w:instrText xml:space="preserve"> HYPERLINK "mailto:1322521566@qq.com。" </w:instrText>
            </w:r>
            <w:r>
              <w:rPr>
                <w:color w:val="auto"/>
                <w:highlight w:val="none"/>
              </w:rPr>
              <w:fldChar w:fldCharType="separate"/>
            </w:r>
            <w:r>
              <w:rPr>
                <w:rFonts w:hint="eastAsia" w:ascii="宋体" w:hAnsi="宋体" w:cs="宋体"/>
                <w:color w:val="auto"/>
                <w:highlight w:val="none"/>
              </w:rPr>
              <w:t>slzb15355937525@qq.com</w:t>
            </w:r>
            <w:r>
              <w:rPr>
                <w:rFonts w:hint="eastAsia" w:ascii="宋体" w:hAnsi="宋体" w:cs="宋体"/>
                <w:color w:val="auto"/>
                <w:kern w:val="0"/>
                <w:sz w:val="22"/>
                <w:highlight w:val="none"/>
              </w:rPr>
              <w:t>。</w:t>
            </w:r>
            <w:r>
              <w:rPr>
                <w:rFonts w:hint="eastAsia" w:ascii="宋体" w:hAnsi="宋体" w:cs="宋体"/>
                <w:color w:val="auto"/>
                <w:kern w:val="0"/>
                <w:sz w:val="22"/>
                <w:highlight w:val="none"/>
              </w:rPr>
              <w:fldChar w:fldCharType="end"/>
            </w:r>
          </w:p>
        </w:tc>
      </w:tr>
      <w:tr w14:paraId="2B6CE30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F51594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14:paraId="5EDA9C88">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6317" w:type="dxa"/>
            <w:tcBorders>
              <w:top w:val="single" w:color="auto" w:sz="4" w:space="0"/>
              <w:left w:val="single" w:color="auto" w:sz="4" w:space="0"/>
              <w:bottom w:val="single" w:color="auto" w:sz="4" w:space="0"/>
              <w:right w:val="single" w:color="auto" w:sz="4" w:space="0"/>
            </w:tcBorders>
            <w:vAlign w:val="center"/>
          </w:tcPr>
          <w:p w14:paraId="03B3FFE7">
            <w:pPr>
              <w:spacing w:line="36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63F42B1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B4DB65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14:paraId="3F5A0A8B">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其它</w:t>
            </w:r>
          </w:p>
        </w:tc>
        <w:tc>
          <w:tcPr>
            <w:tcW w:w="6317" w:type="dxa"/>
            <w:tcBorders>
              <w:top w:val="single" w:color="auto" w:sz="4" w:space="0"/>
              <w:left w:val="single" w:color="auto" w:sz="4" w:space="0"/>
              <w:bottom w:val="single" w:color="auto" w:sz="4" w:space="0"/>
              <w:right w:val="single" w:color="auto" w:sz="4" w:space="0"/>
            </w:tcBorders>
            <w:vAlign w:val="center"/>
          </w:tcPr>
          <w:p w14:paraId="7C533A87">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1.校内招标公告属于本采购文件的一部分</w:t>
            </w:r>
          </w:p>
          <w:p w14:paraId="1FF94A8D">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2.请务必确保投标文件制作客户端为最新版本，旧版本可能导致投标文件解密失败。</w:t>
            </w:r>
          </w:p>
          <w:p w14:paraId="39ADC04A">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3.请务必确保投标文件制作时所用的 CA 锁与投标文件解密时的 CA 锁为同一把，否则可能导致投标文件解密失败。</w:t>
            </w:r>
          </w:p>
          <w:p w14:paraId="59B6B225">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4.在投标文件解密前，请务必检验 CA 锁与所用电脑的兼容性，部分电脑因 CA 驱动未正常安装、USB 接口兼容性差等原因可能造成投标文件解密失败。</w:t>
            </w:r>
          </w:p>
          <w:p w14:paraId="50DD186C">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5.供应商未按采购文件规定及提醒操作的，引起的一切后果由供应商自行负责。</w:t>
            </w:r>
          </w:p>
          <w:p w14:paraId="4CFEBF0D">
            <w:pPr>
              <w:pStyle w:val="127"/>
              <w:spacing w:line="360" w:lineRule="exact"/>
              <w:rPr>
                <w:rFonts w:cs="宋体"/>
                <w:color w:val="auto"/>
                <w:sz w:val="22"/>
                <w:highlight w:val="none"/>
                <w:lang w:val="en-US"/>
              </w:rPr>
            </w:pPr>
            <w:r>
              <w:rPr>
                <w:rFonts w:hint="eastAsia" w:cs="宋体"/>
                <w:b/>
                <w:color w:val="auto"/>
                <w:sz w:val="22"/>
                <w:highlight w:val="none"/>
                <w:lang w:val="en-US"/>
              </w:rPr>
              <w:t>6.投标截止时间同</w:t>
            </w:r>
            <w:r>
              <w:rPr>
                <w:rStyle w:val="42"/>
                <w:rFonts w:hint="eastAsia" w:cs="宋体"/>
                <w:color w:val="auto"/>
                <w:sz w:val="22"/>
                <w:highlight w:val="none"/>
              </w:rPr>
              <w:t>提交投标文件截止时间。</w:t>
            </w:r>
          </w:p>
        </w:tc>
      </w:tr>
      <w:tr w14:paraId="27F8FCD5">
        <w:tblPrEx>
          <w:tblCellMar>
            <w:top w:w="0" w:type="dxa"/>
            <w:left w:w="108" w:type="dxa"/>
            <w:bottom w:w="0" w:type="dxa"/>
            <w:right w:w="108" w:type="dxa"/>
          </w:tblCellMar>
        </w:tblPrEx>
        <w:trPr>
          <w:trHeight w:val="35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92500B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796" w:type="dxa"/>
            <w:tcBorders>
              <w:top w:val="single" w:color="auto" w:sz="4" w:space="0"/>
              <w:left w:val="single" w:color="auto" w:sz="4" w:space="0"/>
              <w:bottom w:val="single" w:color="auto" w:sz="4" w:space="0"/>
              <w:right w:val="single" w:color="auto" w:sz="4" w:space="0"/>
            </w:tcBorders>
            <w:vAlign w:val="center"/>
          </w:tcPr>
          <w:p w14:paraId="0B9A6380">
            <w:pPr>
              <w:spacing w:line="360" w:lineRule="exact"/>
              <w:jc w:val="center"/>
              <w:rPr>
                <w:rFonts w:ascii="宋体" w:hAnsi="宋体" w:cs="宋体"/>
                <w:color w:val="auto"/>
                <w:kern w:val="0"/>
                <w:sz w:val="22"/>
                <w:szCs w:val="22"/>
                <w:highlight w:val="none"/>
              </w:rPr>
            </w:pPr>
            <w:r>
              <w:rPr>
                <w:rFonts w:hint="eastAsia" w:ascii="宋体" w:hAnsi="宋体" w:cs="宋体"/>
                <w:snapToGrid w:val="0"/>
                <w:color w:val="auto"/>
                <w:sz w:val="22"/>
                <w:szCs w:val="22"/>
                <w:highlight w:val="none"/>
              </w:rPr>
              <w:t>采购代理服务费</w:t>
            </w:r>
          </w:p>
        </w:tc>
        <w:tc>
          <w:tcPr>
            <w:tcW w:w="6317" w:type="dxa"/>
            <w:tcBorders>
              <w:top w:val="single" w:color="auto" w:sz="4" w:space="0"/>
              <w:left w:val="single" w:color="auto" w:sz="4" w:space="0"/>
              <w:bottom w:val="single" w:color="auto" w:sz="4" w:space="0"/>
              <w:right w:val="single" w:color="auto" w:sz="4" w:space="0"/>
            </w:tcBorders>
          </w:tcPr>
          <w:p w14:paraId="3CE7DD3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1.采购代理服务费：本次项目采购代理服务费人民币肆仟伍佰元整（¥4500元）；由中标人在领取中标通知书时一次性支付，若中标人未按要求及时支付采购代理服务费，采购代理机构有权追究相应法律责任。</w:t>
            </w:r>
          </w:p>
          <w:p w14:paraId="261F991F">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户  名：温州市圣励招标代理有限公司</w:t>
            </w:r>
          </w:p>
          <w:p w14:paraId="25420EEF">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账  号：201000279216174</w:t>
            </w:r>
          </w:p>
          <w:p w14:paraId="7243A40A">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开户行：浙江温州鹿城农村商业银行股份有限公司蒲鞋市支行民航路分理处</w:t>
            </w:r>
          </w:p>
        </w:tc>
      </w:tr>
    </w:tbl>
    <w:p w14:paraId="1608521F">
      <w:pPr>
        <w:pStyle w:val="14"/>
        <w:spacing w:line="460" w:lineRule="exact"/>
        <w:jc w:val="cente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bookmarkStart w:id="19" w:name="_Toc6059"/>
      <w:r>
        <w:rPr>
          <w:rFonts w:hint="eastAsia" w:ascii="宋体" w:hAnsi="宋体" w:cs="宋体"/>
          <w:b/>
          <w:bCs/>
          <w:color w:val="auto"/>
          <w:sz w:val="22"/>
          <w:szCs w:val="22"/>
          <w:highlight w:val="none"/>
        </w:rPr>
        <w:t>一、说    明</w:t>
      </w:r>
      <w:bookmarkEnd w:id="19"/>
    </w:p>
    <w:p w14:paraId="58432176">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   本次招标是根据相关法律法规文件组织和实施。</w:t>
      </w:r>
    </w:p>
    <w:p w14:paraId="2267A088">
      <w:pPr>
        <w:pStyle w:val="14"/>
        <w:spacing w:line="460" w:lineRule="exact"/>
        <w:rPr>
          <w:rFonts w:ascii="宋体" w:hAnsi="宋体" w:cs="宋体"/>
          <w:b/>
          <w:bCs/>
          <w:color w:val="auto"/>
          <w:sz w:val="22"/>
          <w:szCs w:val="22"/>
          <w:highlight w:val="none"/>
        </w:rPr>
      </w:pPr>
      <w:bookmarkStart w:id="20" w:name="_Toc19066"/>
      <w:bookmarkStart w:id="21" w:name="_Toc31546"/>
      <w:bookmarkStart w:id="22" w:name="_Toc3235"/>
      <w:bookmarkStart w:id="23" w:name="_Toc202085289"/>
      <w:bookmarkStart w:id="24" w:name="_Toc195502579"/>
      <w:bookmarkStart w:id="25" w:name="_Toc195502489"/>
      <w:r>
        <w:rPr>
          <w:rFonts w:hint="eastAsia" w:ascii="宋体" w:hAnsi="宋体" w:cs="宋体"/>
          <w:b/>
          <w:bCs/>
          <w:color w:val="auto"/>
          <w:sz w:val="22"/>
          <w:szCs w:val="22"/>
          <w:highlight w:val="none"/>
        </w:rPr>
        <w:t>2.   定义</w:t>
      </w:r>
      <w:bookmarkEnd w:id="20"/>
      <w:bookmarkEnd w:id="21"/>
      <w:bookmarkEnd w:id="22"/>
    </w:p>
    <w:p w14:paraId="7C865420">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 “采购人”系指招标公告中载明的本项目的采购人。</w:t>
      </w:r>
    </w:p>
    <w:p w14:paraId="48563DD8">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 “采购代理机构”系指招标公告中载明的本项目的采购代理机构。</w:t>
      </w:r>
    </w:p>
    <w:p w14:paraId="2F8F68CD">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 “供应商”系指是指响应招标、参加投标竞争的法人、其他组织或者自然人。</w:t>
      </w:r>
    </w:p>
    <w:p w14:paraId="2BB45871">
      <w:pPr>
        <w:pStyle w:val="33"/>
        <w:spacing w:line="440" w:lineRule="exact"/>
        <w:ind w:firstLine="220" w:firstLineChars="100"/>
        <w:rPr>
          <w:rFonts w:ascii="宋体" w:hAnsi="宋体" w:cs="宋体"/>
          <w:smallCaps w:val="0"/>
          <w:color w:val="auto"/>
          <w:sz w:val="22"/>
          <w:szCs w:val="24"/>
          <w:highlight w:val="none"/>
        </w:rPr>
      </w:pPr>
      <w:r>
        <w:rPr>
          <w:rFonts w:hint="eastAsia" w:ascii="宋体" w:hAnsi="宋体" w:cs="宋体"/>
          <w:smallCaps w:val="0"/>
          <w:color w:val="auto"/>
          <w:sz w:val="22"/>
          <w:szCs w:val="24"/>
          <w:highlight w:val="none"/>
        </w:rPr>
        <w:t>2.4 “联合体”：是指不同的供应商通过签署联合体投标协议，以一个供应商的身份参加投标。</w:t>
      </w:r>
    </w:p>
    <w:p w14:paraId="40B1A3F8">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2.5 “负责人”系指法人企业的法定负责人，或其他组织为法律、行政法规规定代表单位行使职权的主要负责人，或自然人本人。</w:t>
      </w:r>
    </w:p>
    <w:p w14:paraId="79EC2E6B">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2.6“电子签名”系指数据电文中以电子形式所含、所附用于识别签名人身份并表明签名人认可其中内容的数据；“公章”系指单位法定名称章。</w:t>
      </w:r>
    </w:p>
    <w:p w14:paraId="74BDAA17">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2.7“电子交易平台”是指本项目政府采购活动所依托的政府采购云平台（https://www.zcygov.cn/）。</w:t>
      </w:r>
    </w:p>
    <w:p w14:paraId="2B3331DD">
      <w:pPr>
        <w:pStyle w:val="14"/>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2.8 “▲”</w:t>
      </w:r>
      <w:r>
        <w:rPr>
          <w:rFonts w:hint="eastAsia" w:ascii="宋体" w:hAnsi="宋体" w:cs="宋体"/>
          <w:snapToGrid w:val="0"/>
          <w:color w:val="auto"/>
          <w:kern w:val="28"/>
          <w:sz w:val="22"/>
          <w:highlight w:val="none"/>
        </w:rPr>
        <w:t>且加下划线的条款</w:t>
      </w:r>
      <w:r>
        <w:rPr>
          <w:rFonts w:hint="eastAsia" w:ascii="宋体" w:hAnsi="宋体" w:cs="宋体"/>
          <w:color w:val="auto"/>
          <w:sz w:val="22"/>
          <w:highlight w:val="none"/>
        </w:rPr>
        <w:t>系指实质性要求条款， “</w:t>
      </w:r>
      <w:r>
        <w:rPr>
          <w:rFonts w:hint="eastAsia" w:ascii="宋体" w:hAnsi="宋体" w:cs="宋体"/>
          <w:color w:val="auto"/>
          <w:sz w:val="22"/>
          <w:highlight w:val="none"/>
        </w:rPr>
        <w:sym w:font="Wingdings" w:char="00FE"/>
      </w:r>
      <w:r>
        <w:rPr>
          <w:rFonts w:hint="eastAsia" w:ascii="宋体" w:hAnsi="宋体" w:cs="宋体"/>
          <w:color w:val="auto"/>
          <w:sz w:val="22"/>
          <w:highlight w:val="none"/>
        </w:rPr>
        <w:t>” 系指适用本项目的要求，“</w:t>
      </w:r>
      <w:r>
        <w:rPr>
          <w:rFonts w:hint="eastAsia" w:ascii="宋体" w:hAnsi="宋体" w:cs="宋体"/>
          <w:color w:val="auto"/>
          <w:sz w:val="22"/>
          <w:highlight w:val="none"/>
        </w:rPr>
        <w:sym w:font="Wingdings" w:char="00A8"/>
      </w:r>
      <w:r>
        <w:rPr>
          <w:rFonts w:hint="eastAsia" w:ascii="宋体" w:hAnsi="宋体" w:cs="宋体"/>
          <w:color w:val="auto"/>
          <w:sz w:val="22"/>
          <w:highlight w:val="none"/>
        </w:rPr>
        <w:t>” 系指不适用本项目的要求</w:t>
      </w:r>
    </w:p>
    <w:p w14:paraId="660CA85A">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  合格供应商要求</w:t>
      </w:r>
    </w:p>
    <w:p w14:paraId="0EA35FF6">
      <w:pPr>
        <w:tabs>
          <w:tab w:val="left" w:pos="540"/>
          <w:tab w:val="left" w:pos="900"/>
        </w:tabs>
        <w:snapToGrid w:val="0"/>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3.1合格的供应商应满足采购文件第一部分“招标公告”对申请人的资格要求。</w:t>
      </w:r>
    </w:p>
    <w:p w14:paraId="2CA51CFC">
      <w:pPr>
        <w:tabs>
          <w:tab w:val="left" w:pos="540"/>
          <w:tab w:val="left" w:pos="900"/>
        </w:tabs>
        <w:snapToGrid w:val="0"/>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3.2</w:t>
      </w:r>
      <w:r>
        <w:rPr>
          <w:rFonts w:hint="eastAsia" w:ascii="宋体" w:hAnsi="宋体" w:cs="宋体"/>
          <w:b/>
          <w:color w:val="auto"/>
          <w:sz w:val="22"/>
          <w:highlight w:val="none"/>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5555C75D">
      <w:pPr>
        <w:tabs>
          <w:tab w:val="left" w:pos="540"/>
          <w:tab w:val="left" w:pos="900"/>
        </w:tabs>
        <w:snapToGrid w:val="0"/>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供应商可授权供应商代表以供应商名义参加本次采购的投标活动（包括投标文件的签署、澄清、说明、补正、递交、撤回、修改等以及签订合同和处理有关事宜）。如果供应商代表不是法定代表人(负责人)，须持有《法定代表人(负责人)授权书》。</w:t>
      </w:r>
    </w:p>
    <w:p w14:paraId="56CE1021">
      <w:pPr>
        <w:tabs>
          <w:tab w:val="left" w:pos="360"/>
        </w:tabs>
        <w:spacing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4.  信用记录：</w:t>
      </w:r>
    </w:p>
    <w:p w14:paraId="3A4D978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根据财库[2016]125号《关于在政府采购活动中查询及使用信用记录有关问题的通知》要求，采购代理机构会对供应商信用记录进行查询并甄别。</w:t>
      </w:r>
    </w:p>
    <w:p w14:paraId="4DBC0D0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4.1.信用信息查询的截止时点为从本项目投标截止日往前追溯三年；</w:t>
      </w:r>
    </w:p>
    <w:p w14:paraId="424DD68F">
      <w:pPr>
        <w:tabs>
          <w:tab w:val="left" w:pos="360"/>
        </w:tabs>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color w:val="auto"/>
          <w:spacing w:val="6"/>
          <w:sz w:val="22"/>
          <w:highlight w:val="none"/>
        </w:rPr>
        <w:t>https://www.creditchina.gov.cn</w:t>
      </w:r>
      <w:r>
        <w:rPr>
          <w:rFonts w:hint="eastAsia" w:ascii="宋体" w:hAnsi="宋体" w:cs="宋体"/>
          <w:color w:val="auto"/>
          <w:spacing w:val="6"/>
          <w:sz w:val="22"/>
          <w:highlight w:val="none"/>
        </w:rPr>
        <w:fldChar w:fldCharType="end"/>
      </w:r>
      <w:r>
        <w:rPr>
          <w:rFonts w:hint="eastAsia" w:ascii="宋体" w:hAnsi="宋体" w:cs="宋体"/>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pacing w:val="6"/>
          <w:sz w:val="22"/>
          <w:highlight w:val="none"/>
        </w:rPr>
        <w:t>http://www.ccgp.gov.cn</w:t>
      </w:r>
      <w:r>
        <w:rPr>
          <w:rFonts w:hint="eastAsia" w:ascii="宋体" w:hAnsi="宋体" w:cs="宋体"/>
          <w:color w:val="auto"/>
          <w:spacing w:val="6"/>
          <w:sz w:val="22"/>
          <w:highlight w:val="none"/>
        </w:rPr>
        <w:fldChar w:fldCharType="end"/>
      </w:r>
      <w:r>
        <w:rPr>
          <w:rFonts w:hint="eastAsia" w:ascii="宋体" w:hAnsi="宋体" w:cs="宋体"/>
          <w:color w:val="auto"/>
          <w:spacing w:val="6"/>
          <w:sz w:val="22"/>
          <w:highlight w:val="none"/>
        </w:rPr>
        <w:t>）”</w:t>
      </w:r>
      <w:r>
        <w:rPr>
          <w:rFonts w:hint="eastAsia" w:ascii="宋体" w:hAnsi="宋体" w:cs="宋体"/>
          <w:color w:val="auto"/>
          <w:sz w:val="22"/>
          <w:highlight w:val="none"/>
        </w:rPr>
        <w:t>；</w:t>
      </w:r>
    </w:p>
    <w:p w14:paraId="3F2D0B2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4.3.信用信息查询记录和证据留存具体方式：采购代理机构经办人或监督人员将查询网页打印与其他采购文件一并保存；</w:t>
      </w:r>
    </w:p>
    <w:p w14:paraId="3E12DEBE">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4.4.信用信息的使用规则：供应商存在不良信用记录的，其投标将被作为投标无效被拒绝；</w:t>
      </w:r>
    </w:p>
    <w:p w14:paraId="74F8029A">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不良信用记录指：被列入失信被执行人、重大税收违法案件当事人名单、政府采购严重违法失信行为记录名单。</w:t>
      </w:r>
    </w:p>
    <w:p w14:paraId="6988B724">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5.  询问、质疑、投诉</w:t>
      </w:r>
    </w:p>
    <w:p w14:paraId="3CE6E12E">
      <w:pPr>
        <w:autoSpaceDE w:val="0"/>
        <w:autoSpaceDN w:val="0"/>
        <w:spacing w:line="440" w:lineRule="exact"/>
        <w:ind w:firstLine="220" w:firstLineChars="100"/>
        <w:jc w:val="left"/>
        <w:rPr>
          <w:rFonts w:ascii="宋体" w:hAnsi="宋体" w:cs="宋体"/>
          <w:color w:val="auto"/>
          <w:sz w:val="22"/>
          <w:highlight w:val="none"/>
          <w:lang w:val="zh-CN"/>
        </w:rPr>
      </w:pPr>
      <w:bookmarkStart w:id="26" w:name="_Toc102115981"/>
      <w:bookmarkStart w:id="27" w:name="_Toc30414"/>
      <w:r>
        <w:rPr>
          <w:rFonts w:hint="eastAsia" w:ascii="宋体" w:hAnsi="宋体" w:cs="宋体"/>
          <w:color w:val="auto"/>
          <w:sz w:val="22"/>
          <w:highlight w:val="none"/>
        </w:rPr>
        <w:t>5</w:t>
      </w:r>
      <w:r>
        <w:rPr>
          <w:rFonts w:hint="eastAsia" w:ascii="宋体" w:hAnsi="宋体" w:cs="宋体"/>
          <w:color w:val="auto"/>
          <w:sz w:val="22"/>
          <w:highlight w:val="none"/>
          <w:lang w:val="zh-CN"/>
        </w:rPr>
        <w:t>.1供应商询问</w:t>
      </w:r>
    </w:p>
    <w:p w14:paraId="00597A48">
      <w:pPr>
        <w:autoSpaceDE w:val="0"/>
        <w:autoSpaceDN w:val="0"/>
        <w:spacing w:line="440" w:lineRule="exact"/>
        <w:ind w:firstLine="440" w:firstLineChars="200"/>
        <w:jc w:val="left"/>
        <w:rPr>
          <w:rFonts w:ascii="宋体" w:hAnsi="宋体" w:cs="宋体"/>
          <w:color w:val="auto"/>
          <w:sz w:val="22"/>
          <w:highlight w:val="none"/>
          <w:lang w:val="zh-CN"/>
        </w:rPr>
      </w:pPr>
      <w:r>
        <w:rPr>
          <w:rFonts w:hint="eastAsia" w:ascii="宋体" w:hAnsi="宋体" w:cs="宋体"/>
          <w:color w:val="auto"/>
          <w:sz w:val="22"/>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B4C419">
      <w:pPr>
        <w:autoSpaceDE w:val="0"/>
        <w:autoSpaceDN w:val="0"/>
        <w:spacing w:line="440" w:lineRule="exact"/>
        <w:ind w:firstLine="220" w:firstLineChars="100"/>
        <w:jc w:val="left"/>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.2供应商质疑</w:t>
      </w:r>
    </w:p>
    <w:p w14:paraId="48D39F71">
      <w:pPr>
        <w:pStyle w:val="22"/>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w:t>
      </w:r>
      <w:r>
        <w:rPr>
          <w:rFonts w:hint="eastAsia" w:hAnsi="宋体" w:cs="宋体"/>
          <w:color w:val="auto"/>
          <w:sz w:val="22"/>
          <w:szCs w:val="22"/>
          <w:highlight w:val="none"/>
          <w:lang w:val="zh-CN"/>
        </w:rPr>
        <w:t>.2</w:t>
      </w:r>
      <w:r>
        <w:rPr>
          <w:rFonts w:hint="eastAsia" w:hAnsi="宋体" w:cs="宋体"/>
          <w:color w:val="auto"/>
          <w:sz w:val="22"/>
          <w:szCs w:val="22"/>
          <w:highlight w:val="none"/>
        </w:rPr>
        <w:t>.1提出质疑的供应商应当是参与所质疑项目采购活动的供应商。潜在供应商已依法获取其可质疑的采购文件的，可以对该文件提出质疑。</w:t>
      </w:r>
    </w:p>
    <w:p w14:paraId="79988847">
      <w:pPr>
        <w:pStyle w:val="22"/>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w:t>
      </w:r>
      <w:r>
        <w:rPr>
          <w:rFonts w:hint="eastAsia" w:hAnsi="宋体" w:cs="宋体"/>
          <w:color w:val="auto"/>
          <w:sz w:val="22"/>
          <w:szCs w:val="22"/>
          <w:highlight w:val="none"/>
          <w:lang w:val="zh-CN"/>
        </w:rPr>
        <w:t>.2</w:t>
      </w:r>
      <w:r>
        <w:rPr>
          <w:rFonts w:hint="eastAsia" w:hAnsi="宋体" w:cs="宋体"/>
          <w:color w:val="auto"/>
          <w:sz w:val="22"/>
          <w:szCs w:val="22"/>
          <w:highlight w:val="none"/>
        </w:rPr>
        <w:t>.2供应商认为采购文件、采购过程和中标结果使自己的权益受到损害的，可以在知道或者应知其权益受到损害之日起三个工作日内，以书面形式向采购人或者采购代理机构提出质疑，否则，采购人或者采购代理机构不予受理：</w:t>
      </w:r>
    </w:p>
    <w:p w14:paraId="6BB0F7C3">
      <w:pPr>
        <w:pStyle w:val="1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7F1DEA4C">
      <w:pPr>
        <w:pStyle w:val="1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5.2.2.2对采购文件提出质疑的，质疑期限为供应商获得采购文件之日或者采购文件公告期限届满之日起计算。</w:t>
      </w:r>
    </w:p>
    <w:p w14:paraId="39B26C8E">
      <w:pPr>
        <w:pStyle w:val="22"/>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5.2.2.3</w:t>
      </w:r>
      <w:r>
        <w:rPr>
          <w:rFonts w:hint="eastAsia" w:hAnsi="宋体" w:cs="宋体"/>
          <w:b/>
          <w:bCs/>
          <w:color w:val="auto"/>
          <w:sz w:val="22"/>
          <w:szCs w:val="22"/>
          <w:highlight w:val="none"/>
        </w:rPr>
        <w:t>对采购过程提出质疑的，质疑期限为各采购程序环节结束之日起计算。对同一采购程序环节的质疑，供应商须一次性提出。</w:t>
      </w:r>
    </w:p>
    <w:p w14:paraId="0CFB62AC">
      <w:pPr>
        <w:pStyle w:val="22"/>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5.2.2.4对采购结果提出质疑的，质疑期限自采购结果公告期限届满之日起计算。</w:t>
      </w:r>
    </w:p>
    <w:p w14:paraId="23052738">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w:t>
      </w:r>
      <w:r>
        <w:rPr>
          <w:rFonts w:hint="eastAsia" w:hAnsi="宋体" w:cs="宋体"/>
          <w:color w:val="auto"/>
          <w:sz w:val="22"/>
          <w:szCs w:val="22"/>
          <w:highlight w:val="none"/>
        </w:rPr>
        <w:t>供应商提出质疑应当提交质疑函和必要的证明材料。质疑函应当包括下列内容：</w:t>
      </w:r>
    </w:p>
    <w:p w14:paraId="17BE54CE">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.2.3.1供应商的姓名或者名称、地址、邮编、联系人及联系电话；</w:t>
      </w:r>
    </w:p>
    <w:p w14:paraId="7BC824EB">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.2.3.2质疑项目的名称、编号；</w:t>
      </w:r>
    </w:p>
    <w:p w14:paraId="483D5384">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6</w:t>
      </w:r>
      <w:r>
        <w:rPr>
          <w:rFonts w:hint="eastAsia" w:hAnsi="宋体" w:cs="宋体"/>
          <w:color w:val="auto"/>
          <w:sz w:val="22"/>
          <w:szCs w:val="22"/>
          <w:highlight w:val="none"/>
          <w:lang w:val="zh-CN"/>
        </w:rPr>
        <w:t>.2.3.3具体、明确的质疑事项和与质疑事项相关的请求；</w:t>
      </w:r>
    </w:p>
    <w:p w14:paraId="73B9CA70">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.2.3.4事实依据；</w:t>
      </w:r>
    </w:p>
    <w:p w14:paraId="39982293">
      <w:pPr>
        <w:pStyle w:val="22"/>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.2.3.5必要的法律依据；</w:t>
      </w:r>
    </w:p>
    <w:p w14:paraId="1C732CDC">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.2.3.6提出质疑的日期。</w:t>
      </w:r>
    </w:p>
    <w:p w14:paraId="098CA408">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供应商为自然人的，应当由本人签字；供应商为法人或者其他组织的，应当由法定代表人、主要负责人，或者其授权代表签字或者盖章，并加盖公章。</w:t>
      </w:r>
    </w:p>
    <w:p w14:paraId="737D6B8B">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质疑函范本及制作说明详见浙江政府采购网相关格式内容。</w:t>
      </w:r>
    </w:p>
    <w:p w14:paraId="2D93ACE2">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.2.4采购人或者采购代理机构应当在收到供应商的质疑后</w:t>
      </w:r>
      <w:r>
        <w:rPr>
          <w:rFonts w:hint="eastAsia" w:ascii="宋体" w:hAnsi="宋体" w:cs="宋体"/>
          <w:color w:val="auto"/>
          <w:sz w:val="22"/>
          <w:highlight w:val="none"/>
        </w:rPr>
        <w:t>三</w:t>
      </w:r>
      <w:r>
        <w:rPr>
          <w:rFonts w:hint="eastAsia" w:ascii="宋体" w:hAnsi="宋体" w:cs="宋体"/>
          <w:color w:val="auto"/>
          <w:sz w:val="22"/>
          <w:highlight w:val="none"/>
          <w:lang w:val="zh-CN"/>
        </w:rPr>
        <w:t>个工作日内作出答复，并以书面形式通知质疑供应商和其他与质疑处理结果有利害关系的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55C1779">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.2.5询问或者质疑事项可能影响采购结果的，采购人应当暂停签订合同，已经签订合同的，应当中止履行合同。</w:t>
      </w:r>
    </w:p>
    <w:p w14:paraId="08FD275F">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.3供应商投诉</w:t>
      </w:r>
    </w:p>
    <w:p w14:paraId="72DC13A4">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.3.1质疑供应商对采购人、采购代理机构的答复不满意或者采购人、采购代理机构未在规定的时间内作出答复的，可以在答复期满后十五个工作日内向采购监督部门提出投诉。</w:t>
      </w:r>
    </w:p>
    <w:p w14:paraId="7FEA7A41">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.3.2供应商投诉的事项不得超出已质疑事项的范围，基于质疑答复内容提出的投诉事项除外。</w:t>
      </w:r>
    </w:p>
    <w:p w14:paraId="6160FD3B">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.3.3供应商投诉应当有明确的请求和必要的证明材料。</w:t>
      </w:r>
    </w:p>
    <w:p w14:paraId="60DFB6BE">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.3.</w:t>
      </w:r>
      <w:r>
        <w:rPr>
          <w:rFonts w:hint="eastAsia" w:ascii="宋体" w:hAnsi="宋体" w:cs="宋体"/>
          <w:color w:val="auto"/>
          <w:sz w:val="22"/>
          <w:highlight w:val="none"/>
        </w:rPr>
        <w:t>4</w:t>
      </w:r>
      <w:r>
        <w:rPr>
          <w:rFonts w:hint="eastAsia" w:ascii="宋体" w:hAnsi="宋体" w:cs="宋体"/>
          <w:color w:val="auto"/>
          <w:sz w:val="22"/>
          <w:highlight w:val="none"/>
          <w:lang w:val="zh-CN"/>
        </w:rPr>
        <w:t>以联合体形式参加采购活动的，其投诉应当由组成联合体的所有供应商共同提出。</w:t>
      </w:r>
    </w:p>
    <w:p w14:paraId="01728FF6">
      <w:pPr>
        <w:spacing w:line="44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投诉书范本及制作说明详见浙江政府采购网相关格式内容。</w:t>
      </w:r>
    </w:p>
    <w:p w14:paraId="23098A4A">
      <w:pPr>
        <w:pStyle w:val="14"/>
        <w:spacing w:line="460" w:lineRule="exact"/>
        <w:jc w:val="center"/>
        <w:outlineLvl w:val="1"/>
        <w:rPr>
          <w:rFonts w:ascii="宋体" w:hAnsi="宋体" w:cs="宋体"/>
          <w:b/>
          <w:bCs/>
          <w:color w:val="auto"/>
          <w:sz w:val="22"/>
          <w:szCs w:val="22"/>
          <w:highlight w:val="none"/>
        </w:rPr>
      </w:pPr>
      <w:bookmarkStart w:id="28" w:name="_Toc12935"/>
      <w:r>
        <w:rPr>
          <w:rFonts w:hint="eastAsia" w:ascii="宋体" w:hAnsi="宋体" w:cs="宋体"/>
          <w:b/>
          <w:bCs/>
          <w:color w:val="auto"/>
          <w:sz w:val="22"/>
          <w:szCs w:val="22"/>
          <w:highlight w:val="none"/>
        </w:rPr>
        <w:t>二、</w:t>
      </w:r>
      <w:bookmarkEnd w:id="23"/>
      <w:bookmarkEnd w:id="24"/>
      <w:bookmarkEnd w:id="25"/>
      <w:bookmarkEnd w:id="26"/>
      <w:bookmarkEnd w:id="27"/>
      <w:bookmarkEnd w:id="28"/>
      <w:r>
        <w:rPr>
          <w:rFonts w:hint="eastAsia" w:ascii="宋体" w:hAnsi="宋体" w:cs="宋体"/>
          <w:b/>
          <w:bCs/>
          <w:color w:val="auto"/>
          <w:sz w:val="22"/>
          <w:szCs w:val="22"/>
          <w:highlight w:val="none"/>
        </w:rPr>
        <w:t>采购文件</w:t>
      </w:r>
    </w:p>
    <w:p w14:paraId="400AFC05">
      <w:pPr>
        <w:pStyle w:val="14"/>
        <w:spacing w:line="460" w:lineRule="exact"/>
        <w:rPr>
          <w:rFonts w:ascii="宋体" w:hAnsi="宋体" w:cs="宋体"/>
          <w:color w:val="auto"/>
          <w:sz w:val="22"/>
          <w:szCs w:val="22"/>
          <w:highlight w:val="none"/>
        </w:rPr>
      </w:pPr>
      <w:bookmarkStart w:id="29" w:name="_Toc195502490"/>
      <w:bookmarkStart w:id="30" w:name="_Toc202085290"/>
      <w:bookmarkStart w:id="31" w:name="_Toc195502580"/>
      <w:r>
        <w:rPr>
          <w:rFonts w:hint="eastAsia" w:ascii="宋体" w:hAnsi="宋体" w:cs="宋体"/>
          <w:color w:val="auto"/>
          <w:sz w:val="22"/>
          <w:szCs w:val="22"/>
          <w:highlight w:val="none"/>
        </w:rPr>
        <w:t>1． 采购文件由采购文件目录所列内容及相关资料组成。</w:t>
      </w:r>
    </w:p>
    <w:p w14:paraId="00732792">
      <w:pPr>
        <w:pStyle w:val="14"/>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
          <w:bCs/>
          <w:color w:val="auto"/>
          <w:sz w:val="22"/>
          <w:szCs w:val="22"/>
          <w:highlight w:val="none"/>
        </w:rPr>
        <w:t>采购文件的澄清和修改</w:t>
      </w:r>
    </w:p>
    <w:p w14:paraId="5CC1BC71">
      <w:pPr>
        <w:spacing w:line="440" w:lineRule="exact"/>
        <w:ind w:left="550" w:hanging="550" w:hangingChars="250"/>
        <w:rPr>
          <w:rFonts w:ascii="宋体" w:hAnsi="宋体" w:cs="宋体"/>
          <w:color w:val="auto"/>
          <w:sz w:val="22"/>
          <w:highlight w:val="none"/>
        </w:rPr>
      </w:pPr>
      <w:bookmarkStart w:id="32" w:name="_Toc3210"/>
      <w:bookmarkStart w:id="33" w:name="_Toc102115982"/>
      <w:r>
        <w:rPr>
          <w:rFonts w:hint="eastAsia" w:ascii="宋体" w:hAnsi="宋体" w:cs="宋体"/>
          <w:color w:val="auto"/>
          <w:sz w:val="22"/>
          <w:highlight w:val="none"/>
        </w:rPr>
        <w:t>2.1  采购人或者采购代理机构可以对已发出的采购文件进行必要的澄清或者修改。澄清或者修改应当在原公告发布媒体上发布澄清公告。澄清或者修改的内容为采购文件的组成部分。</w:t>
      </w:r>
    </w:p>
    <w:p w14:paraId="0F6721EF">
      <w:pPr>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2.2  澄清或者修改的内容可能影响投标文件编制的，采购人或者采购代理机构应当在投标截止时间至少3日前，以书面形式通知所有获取采购文件的潜在供应商；不足3日的，采购人或者采购代理机构应当顺延提交投标文件的截止时间。潜在供应商在收到该书面通知后，应立即书面回复确认已收到该通知。</w:t>
      </w:r>
    </w:p>
    <w:bookmarkEnd w:id="29"/>
    <w:bookmarkEnd w:id="30"/>
    <w:bookmarkEnd w:id="31"/>
    <w:bookmarkEnd w:id="32"/>
    <w:bookmarkEnd w:id="33"/>
    <w:p w14:paraId="028D7577">
      <w:pPr>
        <w:pStyle w:val="14"/>
        <w:spacing w:line="460" w:lineRule="exact"/>
        <w:jc w:val="center"/>
        <w:outlineLvl w:val="1"/>
        <w:rPr>
          <w:rFonts w:ascii="宋体" w:hAnsi="宋体" w:cs="宋体"/>
          <w:b/>
          <w:bCs/>
          <w:color w:val="auto"/>
          <w:sz w:val="22"/>
          <w:szCs w:val="22"/>
          <w:highlight w:val="none"/>
        </w:rPr>
      </w:pPr>
      <w:bookmarkStart w:id="34" w:name="_Toc3622"/>
      <w:bookmarkStart w:id="35" w:name="_Toc102115983"/>
      <w:bookmarkStart w:id="36" w:name="_Toc21411"/>
      <w:bookmarkStart w:id="37" w:name="_Toc195502581"/>
      <w:bookmarkStart w:id="38" w:name="_Toc26264"/>
      <w:bookmarkStart w:id="39" w:name="_Toc195502491"/>
      <w:bookmarkStart w:id="40" w:name="_Toc47884461"/>
      <w:bookmarkStart w:id="41" w:name="_Toc202085291"/>
      <w:bookmarkStart w:id="42" w:name="_Toc195502582"/>
      <w:bookmarkStart w:id="43" w:name="_Toc195502492"/>
      <w:bookmarkStart w:id="44" w:name="_Toc202085292"/>
      <w:r>
        <w:rPr>
          <w:rFonts w:hint="eastAsia" w:ascii="宋体" w:hAnsi="宋体" w:cs="宋体"/>
          <w:b/>
          <w:bCs/>
          <w:color w:val="auto"/>
          <w:sz w:val="22"/>
          <w:szCs w:val="22"/>
          <w:highlight w:val="none"/>
        </w:rPr>
        <w:t>三、投标文件的编制</w:t>
      </w:r>
      <w:bookmarkEnd w:id="34"/>
    </w:p>
    <w:p w14:paraId="07E00D15">
      <w:pPr>
        <w:spacing w:line="440" w:lineRule="exact"/>
        <w:ind w:left="409" w:hanging="409" w:hangingChars="186"/>
        <w:rPr>
          <w:rFonts w:ascii="宋体" w:hAnsi="宋体" w:cs="宋体"/>
          <w:color w:val="auto"/>
          <w:sz w:val="22"/>
          <w:szCs w:val="22"/>
          <w:highlight w:val="none"/>
        </w:rPr>
      </w:pPr>
      <w:r>
        <w:rPr>
          <w:rFonts w:hint="eastAsia" w:ascii="宋体" w:hAnsi="宋体" w:cs="宋体"/>
          <w:color w:val="auto"/>
          <w:sz w:val="22"/>
          <w:szCs w:val="22"/>
          <w:highlight w:val="none"/>
        </w:rPr>
        <w:t>1． 供应商应认真阅读采购文件中所有事项、格式、条款和技术规范等。供应商没有按照采购文件要求提交全部资料，或者没有对采购文件各个方面做出实质性响应，是供应商的风险，由此造成的一切后果由供应商自行承担。</w:t>
      </w:r>
    </w:p>
    <w:p w14:paraId="3962909C">
      <w:pPr>
        <w:spacing w:line="440" w:lineRule="exact"/>
        <w:ind w:left="420" w:hanging="420" w:hangingChars="191"/>
        <w:rPr>
          <w:rFonts w:ascii="宋体" w:hAnsi="宋体" w:cs="宋体"/>
          <w:b/>
          <w:color w:val="auto"/>
          <w:sz w:val="22"/>
          <w:highlight w:val="none"/>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供应商应保证所提供文件资料的真实性，所有文件资料必须是针对本次投标的。如发现供应商提供了虚假文件资料，其投标文件将被拒绝，并承担相应的法律责任。</w:t>
      </w:r>
    </w:p>
    <w:p w14:paraId="15528110">
      <w:pPr>
        <w:pStyle w:val="14"/>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   投标文件分为电子投标文件以及备份投标文件。</w:t>
      </w:r>
    </w:p>
    <w:p w14:paraId="192E098C">
      <w:pPr>
        <w:pStyle w:val="14"/>
        <w:spacing w:line="440" w:lineRule="exact"/>
        <w:ind w:left="418" w:hanging="418" w:hangingChars="190"/>
        <w:rPr>
          <w:rFonts w:ascii="宋体" w:hAnsi="宋体" w:cs="宋体"/>
          <w:b/>
          <w:bCs/>
          <w:color w:val="auto"/>
          <w:sz w:val="22"/>
          <w:highlight w:val="none"/>
          <w:u w:val="single"/>
        </w:rPr>
      </w:pPr>
      <w:r>
        <w:rPr>
          <w:rFonts w:hint="eastAsia" w:ascii="宋体" w:hAnsi="宋体" w:cs="宋体"/>
          <w:color w:val="auto"/>
          <w:sz w:val="22"/>
          <w:szCs w:val="22"/>
          <w:highlight w:val="none"/>
        </w:rPr>
        <w:t xml:space="preserve">3.1  </w:t>
      </w:r>
      <w:r>
        <w:rPr>
          <w:rFonts w:hint="eastAsia" w:ascii="宋体" w:hAnsi="宋体" w:cs="宋体"/>
          <w:color w:val="auto"/>
          <w:sz w:val="22"/>
          <w:highlight w:val="none"/>
        </w:rPr>
        <w:t>电子投标文件：供应商根据“政采云供应商项目采购-电子招投标操作指南”及本采购文件规定的格式和顺序编制电子投标文件关联定位、加密并递交。</w:t>
      </w:r>
    </w:p>
    <w:p w14:paraId="16310552">
      <w:pPr>
        <w:pStyle w:val="14"/>
        <w:spacing w:line="440" w:lineRule="exact"/>
        <w:ind w:left="420" w:hanging="420" w:hangingChars="191"/>
        <w:rPr>
          <w:rFonts w:ascii="宋体" w:hAnsi="宋体" w:cs="宋体"/>
          <w:color w:val="auto"/>
          <w:sz w:val="22"/>
          <w:szCs w:val="22"/>
          <w:highlight w:val="none"/>
        </w:rPr>
      </w:pPr>
      <w:r>
        <w:rPr>
          <w:rFonts w:hint="eastAsia" w:ascii="宋体" w:hAnsi="宋体" w:cs="宋体"/>
          <w:color w:val="auto"/>
          <w:sz w:val="22"/>
          <w:szCs w:val="22"/>
          <w:highlight w:val="none"/>
        </w:rPr>
        <w:t>3.2  备份投标文件：供应商在政采云平台传输递交投标文件后，还可以在投标截止时间前提交以介质存储的数据电文形式的备份投标文件。电子投标文件按“政采云平台项目采购-电子招投标操作指南”上传。</w:t>
      </w:r>
    </w:p>
    <w:p w14:paraId="71A5DCE0">
      <w:pPr>
        <w:pStyle w:val="14"/>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4.    投标文件的效力</w:t>
      </w:r>
    </w:p>
    <w:p w14:paraId="03175F29">
      <w:pPr>
        <w:pStyle w:val="14"/>
        <w:spacing w:line="440" w:lineRule="exact"/>
        <w:ind w:left="420" w:leftChars="200"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投标文件的启用，按先后顺位分别为电子投标文件和备份投标文件。在下一顺位的投标文件启用时，前一顺位的投标文件自动失效。</w:t>
      </w:r>
    </w:p>
    <w:p w14:paraId="32AA5D05">
      <w:pPr>
        <w:pStyle w:val="14"/>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5.   投标文件的组成：</w:t>
      </w:r>
    </w:p>
    <w:p w14:paraId="4CBF5A57">
      <w:pPr>
        <w:pStyle w:val="14"/>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投标文件由资格响应文件、商务技术响应文件、报价响应文件三部分组成：</w:t>
      </w:r>
    </w:p>
    <w:p w14:paraId="63F99E0F">
      <w:pPr>
        <w:pStyle w:val="14"/>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5.1.1资格响应文件</w:t>
      </w:r>
    </w:p>
    <w:tbl>
      <w:tblPr>
        <w:tblStyle w:val="39"/>
        <w:tblW w:w="968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711"/>
        <w:gridCol w:w="1298"/>
      </w:tblGrid>
      <w:tr w14:paraId="3BB8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A319936">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711" w:type="dxa"/>
          </w:tcPr>
          <w:p w14:paraId="5BCF9ECE">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298" w:type="dxa"/>
          </w:tcPr>
          <w:p w14:paraId="470C3E25">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说明</w:t>
            </w:r>
          </w:p>
        </w:tc>
      </w:tr>
      <w:tr w14:paraId="1877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09715C9">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7711" w:type="dxa"/>
          </w:tcPr>
          <w:p w14:paraId="7F2B9223">
            <w:pPr>
              <w:pStyle w:val="14"/>
              <w:spacing w:line="46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投标响应函</w:t>
            </w:r>
          </w:p>
        </w:tc>
        <w:tc>
          <w:tcPr>
            <w:tcW w:w="1298" w:type="dxa"/>
          </w:tcPr>
          <w:p w14:paraId="45924BEA">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附件一</w:t>
            </w:r>
          </w:p>
        </w:tc>
      </w:tr>
      <w:tr w14:paraId="44A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2EDDB7E2">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p>
        </w:tc>
        <w:tc>
          <w:tcPr>
            <w:tcW w:w="7711" w:type="dxa"/>
          </w:tcPr>
          <w:p w14:paraId="0AE43232">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资格证明文件</w:t>
            </w:r>
          </w:p>
        </w:tc>
        <w:tc>
          <w:tcPr>
            <w:tcW w:w="1298" w:type="dxa"/>
          </w:tcPr>
          <w:p w14:paraId="6F665A83">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w:t>
            </w:r>
          </w:p>
        </w:tc>
      </w:tr>
      <w:tr w14:paraId="5D37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7C16605A">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2.1</w:t>
            </w:r>
          </w:p>
        </w:tc>
        <w:tc>
          <w:tcPr>
            <w:tcW w:w="7711" w:type="dxa"/>
          </w:tcPr>
          <w:p w14:paraId="017B52A3">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w:t>
            </w:r>
          </w:p>
        </w:tc>
        <w:tc>
          <w:tcPr>
            <w:tcW w:w="1298" w:type="dxa"/>
          </w:tcPr>
          <w:p w14:paraId="731DE717">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附件三（1）</w:t>
            </w:r>
          </w:p>
        </w:tc>
      </w:tr>
      <w:tr w14:paraId="4671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3071AFA3">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2.2</w:t>
            </w:r>
          </w:p>
        </w:tc>
        <w:tc>
          <w:tcPr>
            <w:tcW w:w="7711" w:type="dxa"/>
          </w:tcPr>
          <w:p w14:paraId="146BBB69">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法定代表人授权书</w:t>
            </w:r>
          </w:p>
        </w:tc>
        <w:tc>
          <w:tcPr>
            <w:tcW w:w="1298" w:type="dxa"/>
          </w:tcPr>
          <w:p w14:paraId="040171A8">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附件三（2）</w:t>
            </w:r>
          </w:p>
        </w:tc>
      </w:tr>
      <w:tr w14:paraId="18A5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vAlign w:val="center"/>
          </w:tcPr>
          <w:p w14:paraId="1B414AF2">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rPr>
              <w:t>3</w:t>
            </w:r>
          </w:p>
        </w:tc>
        <w:tc>
          <w:tcPr>
            <w:tcW w:w="7711" w:type="dxa"/>
            <w:vAlign w:val="center"/>
          </w:tcPr>
          <w:p w14:paraId="32E4E036">
            <w:pPr>
              <w:pStyle w:val="14"/>
              <w:spacing w:line="460" w:lineRule="exact"/>
              <w:rPr>
                <w:rFonts w:ascii="宋体" w:hAnsi="宋体" w:cs="宋体"/>
                <w:color w:val="auto"/>
                <w:sz w:val="22"/>
                <w:szCs w:val="22"/>
                <w:highlight w:val="none"/>
              </w:rPr>
            </w:pPr>
            <w:r>
              <w:rPr>
                <w:rFonts w:hint="eastAsia" w:ascii="宋体" w:hAnsi="宋体" w:cs="宋体"/>
                <w:color w:val="auto"/>
                <w:sz w:val="22"/>
                <w:highlight w:val="none"/>
                <w:lang w:val="zh-CN"/>
              </w:rPr>
              <w:t>有效的法人或者其他组织的营业执照等证明文件，自然人的身份证明（五选一）</w:t>
            </w:r>
          </w:p>
        </w:tc>
        <w:tc>
          <w:tcPr>
            <w:tcW w:w="1298" w:type="dxa"/>
          </w:tcPr>
          <w:p w14:paraId="117A373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附件三（3）</w:t>
            </w:r>
          </w:p>
        </w:tc>
      </w:tr>
      <w:tr w14:paraId="7621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vAlign w:val="center"/>
          </w:tcPr>
          <w:p w14:paraId="28081D02">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7711" w:type="dxa"/>
            <w:vAlign w:val="center"/>
          </w:tcPr>
          <w:p w14:paraId="5A4D93EA">
            <w:pPr>
              <w:pStyle w:val="14"/>
              <w:spacing w:line="460" w:lineRule="exact"/>
              <w:rPr>
                <w:rFonts w:ascii="宋体" w:hAnsi="宋体" w:cs="宋体"/>
                <w:color w:val="auto"/>
                <w:sz w:val="22"/>
                <w:szCs w:val="22"/>
                <w:highlight w:val="none"/>
              </w:rPr>
            </w:pPr>
            <w:r>
              <w:rPr>
                <w:rFonts w:hint="eastAsia" w:ascii="宋体" w:hAnsi="宋体" w:cs="宋体"/>
                <w:color w:val="auto"/>
                <w:sz w:val="22"/>
                <w:highlight w:val="none"/>
                <w:lang w:val="zh-CN"/>
              </w:rPr>
              <w:t>供应商信用查询</w:t>
            </w:r>
            <w:r>
              <w:rPr>
                <w:rFonts w:hint="eastAsia" w:ascii="宋体" w:hAnsi="宋体" w:cs="宋体"/>
                <w:color w:val="auto"/>
                <w:sz w:val="22"/>
                <w:highlight w:val="none"/>
              </w:rPr>
              <w:t>（</w:t>
            </w:r>
            <w:r>
              <w:rPr>
                <w:rFonts w:hint="eastAsia" w:ascii="宋体" w:hAnsi="宋体" w:cs="宋体"/>
                <w:color w:val="auto"/>
                <w:sz w:val="22"/>
                <w:highlight w:val="none"/>
                <w:lang w:val="zh-CN"/>
              </w:rPr>
              <w:t>信用中国网站</w:t>
            </w:r>
            <w:r>
              <w:rPr>
                <w:rFonts w:hint="eastAsia" w:ascii="宋体" w:hAnsi="宋体" w:cs="宋体"/>
                <w:color w:val="auto"/>
                <w:sz w:val="22"/>
                <w:highlight w:val="none"/>
              </w:rPr>
              <w:t>（www.creditchina.gov.cn）</w:t>
            </w:r>
            <w:r>
              <w:rPr>
                <w:rFonts w:hint="eastAsia" w:ascii="宋体" w:hAnsi="宋体" w:cs="宋体"/>
                <w:color w:val="auto"/>
                <w:sz w:val="22"/>
                <w:highlight w:val="none"/>
                <w:lang w:val="zh-CN"/>
              </w:rPr>
              <w:t>、中国政府采购网</w:t>
            </w:r>
            <w:r>
              <w:rPr>
                <w:rFonts w:hint="eastAsia" w:ascii="宋体" w:hAnsi="宋体" w:cs="宋体"/>
                <w:color w:val="auto"/>
                <w:sz w:val="22"/>
                <w:highlight w:val="none"/>
              </w:rPr>
              <w:t>（www.ccgp.gov.cn）（</w:t>
            </w:r>
            <w:r>
              <w:rPr>
                <w:rFonts w:hint="eastAsia" w:ascii="宋体" w:hAnsi="宋体" w:cs="宋体"/>
                <w:color w:val="auto"/>
                <w:sz w:val="22"/>
                <w:highlight w:val="none"/>
                <w:lang w:val="zh-CN"/>
              </w:rPr>
              <w:t>网页截图加盖公章</w:t>
            </w:r>
            <w:r>
              <w:rPr>
                <w:rFonts w:hint="eastAsia" w:ascii="宋体" w:hAnsi="宋体" w:cs="宋体"/>
                <w:color w:val="auto"/>
                <w:sz w:val="22"/>
                <w:highlight w:val="none"/>
              </w:rPr>
              <w:t>）</w:t>
            </w:r>
          </w:p>
        </w:tc>
        <w:tc>
          <w:tcPr>
            <w:tcW w:w="1298" w:type="dxa"/>
            <w:vAlign w:val="center"/>
          </w:tcPr>
          <w:p w14:paraId="6D306F11">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附件三（4）</w:t>
            </w:r>
          </w:p>
        </w:tc>
      </w:tr>
      <w:tr w14:paraId="63C1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vAlign w:val="center"/>
          </w:tcPr>
          <w:p w14:paraId="0A5E569D">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7711" w:type="dxa"/>
            <w:vAlign w:val="center"/>
          </w:tcPr>
          <w:p w14:paraId="602D8BFE">
            <w:pPr>
              <w:pStyle w:val="14"/>
              <w:spacing w:line="460" w:lineRule="exact"/>
              <w:rPr>
                <w:rFonts w:ascii="宋体" w:hAnsi="宋体" w:cs="宋体"/>
                <w:color w:val="auto"/>
                <w:sz w:val="22"/>
                <w:szCs w:val="22"/>
                <w:highlight w:val="none"/>
              </w:rPr>
            </w:pPr>
            <w:r>
              <w:rPr>
                <w:rFonts w:hint="eastAsia" w:ascii="宋体" w:hAnsi="宋体" w:cs="宋体"/>
                <w:color w:val="auto"/>
                <w:sz w:val="22"/>
                <w:highlight w:val="none"/>
                <w:lang w:val="zh-CN"/>
              </w:rPr>
              <w:t>关于符合《中华人民共和国政府采购法》第二十二条规定的承诺函</w:t>
            </w:r>
          </w:p>
        </w:tc>
        <w:tc>
          <w:tcPr>
            <w:tcW w:w="1298" w:type="dxa"/>
            <w:vAlign w:val="center"/>
          </w:tcPr>
          <w:p w14:paraId="4E6069A3">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附件三（5）</w:t>
            </w:r>
          </w:p>
        </w:tc>
      </w:tr>
      <w:tr w14:paraId="0350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0EB162E2">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7711" w:type="dxa"/>
          </w:tcPr>
          <w:p w14:paraId="462B2296">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供应商认为需要提供的其他资格证明文件</w:t>
            </w:r>
          </w:p>
        </w:tc>
        <w:tc>
          <w:tcPr>
            <w:tcW w:w="1298" w:type="dxa"/>
          </w:tcPr>
          <w:p w14:paraId="7FDAADF4">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r>
      <w:tr w14:paraId="4939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681" w:type="dxa"/>
            <w:gridSpan w:val="3"/>
            <w:vAlign w:val="center"/>
          </w:tcPr>
          <w:p w14:paraId="3E471D3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说明：以上所需的各种实物照片、证书、证件、证明、执照需提供复印件或扫描件加盖电子公章。上述资格条件审查材料有一项不提供的，视为资格审查不通过。</w:t>
            </w:r>
          </w:p>
        </w:tc>
      </w:tr>
    </w:tbl>
    <w:p w14:paraId="38432124">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5.1.2商务技术响应文件</w:t>
      </w:r>
    </w:p>
    <w:tbl>
      <w:tblPr>
        <w:tblStyle w:val="39"/>
        <w:tblW w:w="989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961"/>
        <w:gridCol w:w="1257"/>
      </w:tblGrid>
      <w:tr w14:paraId="345D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25B3FAB">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961" w:type="dxa"/>
          </w:tcPr>
          <w:p w14:paraId="01A63195">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257" w:type="dxa"/>
          </w:tcPr>
          <w:p w14:paraId="5FC8C5EB">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说明</w:t>
            </w:r>
          </w:p>
        </w:tc>
      </w:tr>
      <w:tr w14:paraId="05B7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0BA815D5">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961" w:type="dxa"/>
            <w:vAlign w:val="center"/>
          </w:tcPr>
          <w:p w14:paraId="4A5A5283">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257" w:type="dxa"/>
          </w:tcPr>
          <w:p w14:paraId="061C4608">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p>
        </w:tc>
      </w:tr>
      <w:tr w14:paraId="2A7B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668E955D">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961" w:type="dxa"/>
            <w:shd w:val="clear" w:color="auto" w:fill="auto"/>
            <w:vAlign w:val="center"/>
          </w:tcPr>
          <w:p w14:paraId="07050860">
            <w:pPr>
              <w:adjustRightInd w:val="0"/>
              <w:snapToGrid w:val="0"/>
              <w:rPr>
                <w:rFonts w:ascii="宋体" w:hAnsi="宋体" w:cs="宋体"/>
                <w:color w:val="auto"/>
                <w:sz w:val="22"/>
                <w:szCs w:val="22"/>
                <w:highlight w:val="none"/>
              </w:rPr>
            </w:pPr>
            <w:r>
              <w:rPr>
                <w:rFonts w:hint="eastAsia" w:ascii="宋体" w:hAnsi="宋体" w:cs="宋体"/>
                <w:color w:val="auto"/>
                <w:sz w:val="22"/>
                <w:szCs w:val="22"/>
                <w:highlight w:val="none"/>
              </w:rPr>
              <w:t>同类项目业绩</w:t>
            </w:r>
          </w:p>
        </w:tc>
        <w:tc>
          <w:tcPr>
            <w:tcW w:w="1257" w:type="dxa"/>
            <w:shd w:val="clear" w:color="auto" w:fill="auto"/>
          </w:tcPr>
          <w:p w14:paraId="671EFA74">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1E3D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FCB3139">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961" w:type="dxa"/>
            <w:shd w:val="clear" w:color="auto" w:fill="auto"/>
            <w:vAlign w:val="center"/>
          </w:tcPr>
          <w:p w14:paraId="412C38D0">
            <w:pPr>
              <w:wordWrap w:val="0"/>
              <w:spacing w:after="60" w:line="360" w:lineRule="auto"/>
              <w:rPr>
                <w:rFonts w:ascii="宋体" w:hAnsi="宋体" w:cs="宋体"/>
                <w:color w:val="auto"/>
                <w:sz w:val="22"/>
                <w:szCs w:val="22"/>
                <w:highlight w:val="none"/>
              </w:rPr>
            </w:pPr>
            <w:r>
              <w:rPr>
                <w:rFonts w:hint="eastAsia" w:ascii="宋体" w:hAnsi="宋体" w:cs="宋体"/>
                <w:color w:val="auto"/>
                <w:spacing w:val="-6"/>
                <w:sz w:val="22"/>
                <w:szCs w:val="22"/>
                <w:highlight w:val="none"/>
              </w:rPr>
              <w:t>服务方案</w:t>
            </w:r>
          </w:p>
        </w:tc>
        <w:tc>
          <w:tcPr>
            <w:tcW w:w="1257" w:type="dxa"/>
            <w:shd w:val="clear" w:color="auto" w:fill="auto"/>
          </w:tcPr>
          <w:p w14:paraId="588C6CF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附件六</w:t>
            </w:r>
          </w:p>
        </w:tc>
      </w:tr>
      <w:tr w14:paraId="61FE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90DF701">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961" w:type="dxa"/>
            <w:shd w:val="clear" w:color="auto" w:fill="auto"/>
            <w:vAlign w:val="center"/>
          </w:tcPr>
          <w:p w14:paraId="37C9B0CA">
            <w:pPr>
              <w:widowControl/>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项目组织管理机制</w:t>
            </w:r>
          </w:p>
        </w:tc>
        <w:tc>
          <w:tcPr>
            <w:tcW w:w="1257" w:type="dxa"/>
            <w:shd w:val="clear" w:color="auto" w:fill="auto"/>
          </w:tcPr>
          <w:p w14:paraId="4F8FFD8A">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附件七</w:t>
            </w:r>
          </w:p>
        </w:tc>
      </w:tr>
      <w:tr w14:paraId="6460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78CAF76E">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961" w:type="dxa"/>
            <w:shd w:val="clear" w:color="auto" w:fill="auto"/>
            <w:vAlign w:val="center"/>
          </w:tcPr>
          <w:p w14:paraId="1D831FDD">
            <w:pPr>
              <w:widowControl/>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认证证书</w:t>
            </w:r>
          </w:p>
        </w:tc>
        <w:tc>
          <w:tcPr>
            <w:tcW w:w="1257" w:type="dxa"/>
            <w:shd w:val="clear" w:color="auto" w:fill="auto"/>
          </w:tcPr>
          <w:p w14:paraId="4A6A2026">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附件八</w:t>
            </w:r>
          </w:p>
        </w:tc>
      </w:tr>
      <w:tr w14:paraId="4512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5ABEB05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7961" w:type="dxa"/>
            <w:shd w:val="clear" w:color="auto" w:fill="auto"/>
            <w:vAlign w:val="center"/>
          </w:tcPr>
          <w:p w14:paraId="60809A3A">
            <w:pPr>
              <w:widowControl/>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服务承诺</w:t>
            </w:r>
          </w:p>
        </w:tc>
        <w:tc>
          <w:tcPr>
            <w:tcW w:w="1257" w:type="dxa"/>
            <w:shd w:val="clear" w:color="auto" w:fill="auto"/>
          </w:tcPr>
          <w:p w14:paraId="40A996FC">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附件九</w:t>
            </w:r>
          </w:p>
        </w:tc>
      </w:tr>
      <w:tr w14:paraId="2C60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62AE96C4">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7961" w:type="dxa"/>
            <w:shd w:val="clear" w:color="auto" w:fill="auto"/>
            <w:vAlign w:val="center"/>
          </w:tcPr>
          <w:p w14:paraId="5EDABAB6">
            <w:pPr>
              <w:wordWrap w:val="0"/>
              <w:spacing w:after="60" w:line="360" w:lineRule="auto"/>
              <w:rPr>
                <w:rFonts w:ascii="宋体" w:hAnsi="宋体" w:cs="宋体"/>
                <w:color w:val="auto"/>
                <w:sz w:val="22"/>
                <w:szCs w:val="22"/>
                <w:highlight w:val="none"/>
              </w:rPr>
            </w:pPr>
            <w:r>
              <w:rPr>
                <w:rFonts w:hint="eastAsia" w:ascii="宋体" w:hAnsi="宋体" w:cs="宋体"/>
                <w:bCs/>
                <w:color w:val="auto"/>
                <w:sz w:val="22"/>
                <w:szCs w:val="22"/>
                <w:highlight w:val="none"/>
              </w:rPr>
              <w:t>采购活动现场确认声明书</w:t>
            </w:r>
          </w:p>
        </w:tc>
        <w:tc>
          <w:tcPr>
            <w:tcW w:w="1257" w:type="dxa"/>
            <w:shd w:val="clear" w:color="auto" w:fill="auto"/>
          </w:tcPr>
          <w:p w14:paraId="0839CC56">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附件十</w:t>
            </w:r>
          </w:p>
        </w:tc>
      </w:tr>
      <w:tr w14:paraId="0F97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131FC0C1">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7961" w:type="dxa"/>
            <w:shd w:val="clear" w:color="auto" w:fill="auto"/>
            <w:vAlign w:val="center"/>
          </w:tcPr>
          <w:p w14:paraId="443264C2">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根据采购文件中的采购内容与技术要求、评标细则，需要提供的其它文件和资料。</w:t>
            </w:r>
          </w:p>
        </w:tc>
        <w:tc>
          <w:tcPr>
            <w:tcW w:w="1257" w:type="dxa"/>
            <w:shd w:val="clear" w:color="auto" w:fill="auto"/>
          </w:tcPr>
          <w:p w14:paraId="5C504C9A">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r>
      <w:tr w14:paraId="41A4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0" w:type="dxa"/>
            <w:gridSpan w:val="3"/>
            <w:vAlign w:val="center"/>
          </w:tcPr>
          <w:p w14:paraId="46DDAF8A">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说明：以上所需的各种实物照片、证书、证件、证明、执照需提供复印件或扫描件加盖电子公章。</w:t>
            </w:r>
          </w:p>
        </w:tc>
      </w:tr>
    </w:tbl>
    <w:p w14:paraId="51636057">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5.1.3报价要求响应文件</w:t>
      </w:r>
    </w:p>
    <w:tbl>
      <w:tblPr>
        <w:tblStyle w:val="39"/>
        <w:tblW w:w="969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688"/>
        <w:gridCol w:w="1336"/>
      </w:tblGrid>
      <w:tr w14:paraId="7976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6C73D8A6">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688" w:type="dxa"/>
          </w:tcPr>
          <w:p w14:paraId="334B397D">
            <w:pPr>
              <w:pStyle w:val="14"/>
              <w:spacing w:line="460" w:lineRule="exact"/>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336" w:type="dxa"/>
          </w:tcPr>
          <w:p w14:paraId="67E93A83">
            <w:pPr>
              <w:pStyle w:val="14"/>
              <w:spacing w:line="460" w:lineRule="exact"/>
              <w:jc w:val="center"/>
              <w:rPr>
                <w:rFonts w:ascii="宋体" w:hAnsi="宋体" w:cs="宋体"/>
                <w:color w:val="auto"/>
                <w:sz w:val="22"/>
                <w:szCs w:val="22"/>
                <w:highlight w:val="none"/>
                <w:lang w:val="zh-CN"/>
              </w:rPr>
            </w:pPr>
            <w:r>
              <w:rPr>
                <w:rFonts w:hint="eastAsia" w:ascii="宋体" w:hAnsi="宋体" w:cs="宋体"/>
                <w:b/>
                <w:bCs/>
                <w:color w:val="auto"/>
                <w:sz w:val="22"/>
                <w:szCs w:val="22"/>
                <w:highlight w:val="none"/>
                <w:lang w:val="zh-CN"/>
              </w:rPr>
              <w:t>说明</w:t>
            </w:r>
          </w:p>
        </w:tc>
      </w:tr>
      <w:tr w14:paraId="24C0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57CE3C15">
            <w:pPr>
              <w:pStyle w:val="14"/>
              <w:spacing w:line="46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7688" w:type="dxa"/>
          </w:tcPr>
          <w:p w14:paraId="1DE3E459">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报价一览表</w:t>
            </w:r>
          </w:p>
        </w:tc>
        <w:tc>
          <w:tcPr>
            <w:tcW w:w="1336" w:type="dxa"/>
          </w:tcPr>
          <w:p w14:paraId="4ABBE154">
            <w:pPr>
              <w:pStyle w:val="14"/>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附件二</w:t>
            </w:r>
          </w:p>
        </w:tc>
      </w:tr>
    </w:tbl>
    <w:p w14:paraId="7D75F842">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31C2022D">
      <w:pPr>
        <w:tabs>
          <w:tab w:val="left" w:pos="-180"/>
          <w:tab w:val="left" w:pos="180"/>
          <w:tab w:val="left" w:pos="360"/>
        </w:tabs>
        <w:spacing w:line="460" w:lineRule="exact"/>
        <w:ind w:firstLine="418" w:firstLineChars="190"/>
        <w:rPr>
          <w:rFonts w:ascii="宋体" w:hAnsi="宋体" w:cs="宋体"/>
          <w:b/>
          <w:color w:val="auto"/>
          <w:sz w:val="22"/>
          <w:szCs w:val="22"/>
          <w:highlight w:val="none"/>
        </w:rPr>
      </w:pPr>
      <w:r>
        <w:rPr>
          <w:rFonts w:hint="eastAsia" w:ascii="宋体" w:hAnsi="宋体" w:cs="宋体"/>
          <w:color w:val="auto"/>
          <w:sz w:val="22"/>
          <w:szCs w:val="22"/>
          <w:highlight w:val="none"/>
        </w:rPr>
        <w:t>供应商应根据采购文件中所提供的格式，内容按顺序填写并制作投标文件。</w:t>
      </w:r>
      <w:r>
        <w:rPr>
          <w:rFonts w:hint="eastAsia" w:ascii="宋体" w:hAnsi="宋体" w:cs="宋体"/>
          <w:b/>
          <w:color w:val="auto"/>
          <w:sz w:val="22"/>
          <w:szCs w:val="22"/>
          <w:highlight w:val="none"/>
        </w:rPr>
        <w:t>任何未按采购文件要求制作投标文件均可能会导致对其不利的评定，该风险由供应商自行承担。</w:t>
      </w:r>
    </w:p>
    <w:p w14:paraId="7ADA381C">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6．  投标报价</w:t>
      </w:r>
    </w:p>
    <w:p w14:paraId="20A77A1E">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6.1  供应商必须按附件中的投标报价一览表（均统一格式）内容填写报价及其它事项，并由法定代表人或供应商代表签署。</w:t>
      </w:r>
    </w:p>
    <w:p w14:paraId="540492C2">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6.2  本次招标各部分只允许有一个报价，有选择的报价将不予接受。</w:t>
      </w:r>
    </w:p>
    <w:p w14:paraId="4E7F0FB7">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6.3  采购人要求分类报价是为了方便评标，但在任何情况下不限制采购人以其认为最合适的条款、条件签订合同的权利。</w:t>
      </w:r>
    </w:p>
    <w:p w14:paraId="7B8AC741">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6.4  最低报价不能作为中标的保证。</w:t>
      </w:r>
    </w:p>
    <w:p w14:paraId="160AF869">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7． 投标有效期</w:t>
      </w:r>
    </w:p>
    <w:p w14:paraId="3DE887EC">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highlight w:val="none"/>
        </w:rPr>
        <w:t>▲</w:t>
      </w:r>
      <w:r>
        <w:rPr>
          <w:rFonts w:hint="eastAsia" w:ascii="宋体" w:hAnsi="宋体" w:cs="宋体"/>
          <w:b/>
          <w:color w:val="auto"/>
          <w:sz w:val="22"/>
          <w:highlight w:val="none"/>
          <w:u w:val="single"/>
        </w:rPr>
        <w:t>自开标之日起</w:t>
      </w:r>
      <w:r>
        <w:rPr>
          <w:rFonts w:hint="eastAsia" w:ascii="宋体" w:hAnsi="宋体" w:cs="宋体"/>
          <w:b/>
          <w:bCs/>
          <w:color w:val="auto"/>
          <w:sz w:val="22"/>
          <w:highlight w:val="none"/>
          <w:u w:val="single"/>
        </w:rPr>
        <w:t>90</w:t>
      </w:r>
      <w:r>
        <w:rPr>
          <w:rFonts w:hint="eastAsia" w:ascii="宋体" w:hAnsi="宋体" w:cs="宋体"/>
          <w:b/>
          <w:color w:val="auto"/>
          <w:sz w:val="22"/>
          <w:highlight w:val="none"/>
          <w:u w:val="single"/>
        </w:rPr>
        <w:t>天内投标应保持投标有效</w:t>
      </w:r>
      <w:r>
        <w:rPr>
          <w:rFonts w:hint="eastAsia" w:ascii="宋体" w:hAnsi="宋体" w:cs="宋体"/>
          <w:b/>
          <w:color w:val="auto"/>
          <w:sz w:val="22"/>
          <w:highlight w:val="none"/>
        </w:rPr>
        <w:t>。</w:t>
      </w:r>
    </w:p>
    <w:p w14:paraId="1CB32FEB">
      <w:pPr>
        <w:pStyle w:val="14"/>
        <w:spacing w:line="460" w:lineRule="exact"/>
        <w:ind w:left="418" w:hanging="418" w:hangingChars="19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供应商协商延长投标有效期，这种要求和答复均以书面形式进行。供应商可拒绝接受延期要求，也可以接受延期要求。同意延长投标有效期的供应商不得修改投标文件。</w:t>
      </w:r>
    </w:p>
    <w:p w14:paraId="21421347">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8． </w:t>
      </w:r>
      <w:r>
        <w:rPr>
          <w:rFonts w:hint="eastAsia" w:ascii="宋体" w:hAnsi="宋体" w:cs="宋体"/>
          <w:b/>
          <w:bCs/>
          <w:color w:val="auto"/>
          <w:sz w:val="22"/>
          <w:highlight w:val="none"/>
        </w:rPr>
        <w:t>投标文件的签署和规定</w:t>
      </w:r>
    </w:p>
    <w:p w14:paraId="7EEA5A83">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8.1  供应商应根据采购文件的规定对投标文件进行电子盖章及签署。</w:t>
      </w:r>
    </w:p>
    <w:p w14:paraId="7F9F5DFB">
      <w:pPr>
        <w:pStyle w:val="14"/>
        <w:spacing w:line="460" w:lineRule="exact"/>
        <w:jc w:val="cente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四、投标文件的递交</w:t>
      </w:r>
      <w:bookmarkEnd w:id="35"/>
      <w:bookmarkEnd w:id="36"/>
      <w:bookmarkEnd w:id="37"/>
      <w:bookmarkEnd w:id="38"/>
      <w:bookmarkEnd w:id="39"/>
      <w:bookmarkEnd w:id="40"/>
      <w:bookmarkEnd w:id="41"/>
    </w:p>
    <w:p w14:paraId="1FE552E8">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   投标文件的递交</w:t>
      </w:r>
    </w:p>
    <w:p w14:paraId="3BAA5756">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投标文件必须在采购文件规定的投标文件截止时间前完成电子投标文件的传输递交。投标截止时间前未完成传输的，视为撤回投标文件。投标截止时间后送达的投标文件，将被政采云平台拒收。</w:t>
      </w:r>
    </w:p>
    <w:p w14:paraId="10E55BE8">
      <w:pPr>
        <w:pStyle w:val="14"/>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   投标文件的补充、修改和撤回</w:t>
      </w:r>
    </w:p>
    <w:p w14:paraId="4A0388B4">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供应商在投标截止时间前，可以补充、修改或者撤回电子投标文件。补充或者修改电子投标文件的，应当先行撤回原文件，补充、修改后重新传输递交。</w:t>
      </w:r>
    </w:p>
    <w:bookmarkEnd w:id="42"/>
    <w:bookmarkEnd w:id="43"/>
    <w:bookmarkEnd w:id="44"/>
    <w:p w14:paraId="04A04ECA">
      <w:pPr>
        <w:pStyle w:val="14"/>
        <w:spacing w:line="460" w:lineRule="exact"/>
        <w:jc w:val="center"/>
        <w:outlineLvl w:val="1"/>
        <w:rPr>
          <w:rFonts w:ascii="宋体" w:hAnsi="宋体" w:cs="宋体"/>
          <w:b/>
          <w:bCs/>
          <w:color w:val="auto"/>
          <w:sz w:val="22"/>
          <w:szCs w:val="22"/>
          <w:highlight w:val="none"/>
        </w:rPr>
      </w:pPr>
      <w:bookmarkStart w:id="45" w:name="_Toc47884462"/>
      <w:bookmarkStart w:id="46" w:name="_Toc12442"/>
      <w:bookmarkStart w:id="47" w:name="_Toc102115984"/>
      <w:bookmarkStart w:id="48" w:name="_Toc9040"/>
      <w:r>
        <w:rPr>
          <w:rFonts w:hint="eastAsia" w:ascii="宋体" w:hAnsi="宋体" w:cs="宋体"/>
          <w:b/>
          <w:bCs/>
          <w:color w:val="auto"/>
          <w:sz w:val="22"/>
          <w:szCs w:val="22"/>
          <w:highlight w:val="none"/>
        </w:rPr>
        <w:t>五、</w:t>
      </w:r>
      <w:bookmarkEnd w:id="45"/>
      <w:bookmarkEnd w:id="46"/>
      <w:bookmarkEnd w:id="47"/>
      <w:r>
        <w:rPr>
          <w:rFonts w:hint="eastAsia" w:ascii="宋体" w:hAnsi="宋体" w:cs="宋体"/>
          <w:b/>
          <w:bCs/>
          <w:color w:val="auto"/>
          <w:sz w:val="22"/>
          <w:szCs w:val="22"/>
          <w:highlight w:val="none"/>
        </w:rPr>
        <w:t>开标和评标</w:t>
      </w:r>
      <w:bookmarkEnd w:id="48"/>
    </w:p>
    <w:p w14:paraId="14FB565B">
      <w:pPr>
        <w:spacing w:line="440" w:lineRule="exact"/>
        <w:rPr>
          <w:rFonts w:ascii="宋体" w:hAnsi="宋体" w:cs="宋体"/>
          <w:b/>
          <w:bCs/>
          <w:color w:val="auto"/>
          <w:sz w:val="22"/>
          <w:highlight w:val="none"/>
        </w:rPr>
      </w:pPr>
      <w:bookmarkStart w:id="49" w:name="_Toc195502493"/>
      <w:bookmarkStart w:id="50" w:name="_Toc195502583"/>
      <w:bookmarkStart w:id="51" w:name="_Toc202085293"/>
      <w:bookmarkStart w:id="52" w:name="_Toc3139"/>
      <w:bookmarkStart w:id="53" w:name="_Toc102115985"/>
      <w:bookmarkStart w:id="54" w:name="_Toc47884463"/>
      <w:r>
        <w:rPr>
          <w:rFonts w:hint="eastAsia" w:ascii="宋体" w:hAnsi="宋体" w:cs="宋体"/>
          <w:bCs/>
          <w:color w:val="auto"/>
          <w:sz w:val="22"/>
          <w:highlight w:val="none"/>
        </w:rPr>
        <w:t xml:space="preserve">1.   </w:t>
      </w:r>
      <w:r>
        <w:rPr>
          <w:rFonts w:hint="eastAsia" w:ascii="宋体" w:hAnsi="宋体" w:cs="宋体"/>
          <w:b/>
          <w:bCs/>
          <w:color w:val="auto"/>
          <w:sz w:val="22"/>
          <w:highlight w:val="none"/>
        </w:rPr>
        <w:t>评标委员会</w:t>
      </w:r>
    </w:p>
    <w:p w14:paraId="092C92AA">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1.1  采购人和采购代理机构依法组建评标委员会，评标委员会的成员在评标过程中必须严格遵守相关法律、法规的规定。</w:t>
      </w:r>
    </w:p>
    <w:p w14:paraId="0E0340A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2.   </w:t>
      </w:r>
      <w:r>
        <w:rPr>
          <w:rFonts w:hint="eastAsia" w:ascii="宋体" w:hAnsi="宋体" w:cs="宋体"/>
          <w:b/>
          <w:bCs/>
          <w:color w:val="auto"/>
          <w:sz w:val="22"/>
          <w:highlight w:val="none"/>
        </w:rPr>
        <w:t>评标过程的保密性</w:t>
      </w:r>
    </w:p>
    <w:p w14:paraId="2DD4FA2D">
      <w:pPr>
        <w:spacing w:line="440" w:lineRule="exact"/>
        <w:ind w:left="550" w:hanging="550" w:hangingChars="250"/>
        <w:rPr>
          <w:rFonts w:ascii="宋体" w:hAnsi="宋体" w:cs="宋体"/>
          <w:b/>
          <w:bCs/>
          <w:color w:val="auto"/>
          <w:sz w:val="22"/>
          <w:highlight w:val="none"/>
        </w:rPr>
      </w:pPr>
      <w:r>
        <w:rPr>
          <w:rFonts w:hint="eastAsia" w:ascii="宋体" w:hAnsi="宋体" w:cs="宋体"/>
          <w:bCs/>
          <w:color w:val="auto"/>
          <w:sz w:val="22"/>
          <w:highlight w:val="none"/>
        </w:rPr>
        <w:t>2.1  开标后直至向中标人授予合同时止，凡与评审有关的资料均不得向供应商及与评标无关人员透露，如果供应商在评标过程中试图向采购人或采购代理机构施加影响，其投标将被拒绝。</w:t>
      </w:r>
    </w:p>
    <w:p w14:paraId="5E8E5535">
      <w:pPr>
        <w:spacing w:line="440" w:lineRule="exact"/>
        <w:ind w:left="552" w:hanging="552" w:hangingChars="250"/>
        <w:rPr>
          <w:rFonts w:ascii="宋体" w:hAnsi="宋体" w:cs="宋体"/>
          <w:b/>
          <w:bCs/>
          <w:color w:val="auto"/>
          <w:sz w:val="22"/>
          <w:highlight w:val="none"/>
        </w:rPr>
      </w:pPr>
      <w:r>
        <w:rPr>
          <w:rFonts w:hint="eastAsia" w:ascii="宋体" w:hAnsi="宋体" w:cs="宋体"/>
          <w:b/>
          <w:bCs/>
          <w:color w:val="auto"/>
          <w:sz w:val="22"/>
          <w:highlight w:val="none"/>
        </w:rPr>
        <w:t>3.   评标前准备</w:t>
      </w:r>
    </w:p>
    <w:p w14:paraId="1567A953">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3.1  投标文件签收及解密：由采购代理机构开始签收并开始解密投标文件。</w:t>
      </w:r>
    </w:p>
    <w:p w14:paraId="44D78B2D">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3.2  投标文件解密：投标文件递交截止时间后，供应商登录政采云平台，用“项目采购-开标评标”功能对电子投标文件进行在线解密。在线解密电子投标文件时间为开标时间起30分钟内。投标文件未按时解密，供应商提供了备份投标文件的，以备份投标文件作为依据，否则视为投标文件撤回。投标文件已按时解密的，备份投标文件自动失效。</w:t>
      </w:r>
    </w:p>
    <w:p w14:paraId="1C0315C4">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3.3  投标文件解密结束。供应商在线解密投标文件完毕后，由采购代理机构结束解密投标文件。</w:t>
      </w:r>
    </w:p>
    <w:p w14:paraId="3D66C091">
      <w:pPr>
        <w:spacing w:line="440" w:lineRule="exact"/>
        <w:ind w:left="552" w:hanging="552" w:hangingChars="250"/>
        <w:rPr>
          <w:rFonts w:ascii="宋体" w:hAnsi="宋体" w:cs="宋体"/>
          <w:b/>
          <w:color w:val="auto"/>
          <w:sz w:val="22"/>
          <w:highlight w:val="none"/>
        </w:rPr>
      </w:pPr>
      <w:r>
        <w:rPr>
          <w:rFonts w:hint="eastAsia" w:ascii="宋体" w:hAnsi="宋体" w:cs="宋体"/>
          <w:b/>
          <w:color w:val="auto"/>
          <w:sz w:val="22"/>
          <w:highlight w:val="none"/>
        </w:rPr>
        <w:t>4.   开标评标</w:t>
      </w:r>
    </w:p>
    <w:p w14:paraId="29F655A4">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4.1  资格性审查</w:t>
      </w:r>
    </w:p>
    <w:p w14:paraId="6A403BAF">
      <w:pPr>
        <w:spacing w:line="440" w:lineRule="exact"/>
        <w:ind w:left="638" w:leftChars="304"/>
        <w:rPr>
          <w:rFonts w:ascii="宋体" w:hAnsi="宋体" w:cs="宋体"/>
          <w:bCs/>
          <w:color w:val="auto"/>
          <w:sz w:val="22"/>
          <w:highlight w:val="none"/>
        </w:rPr>
      </w:pPr>
      <w:r>
        <w:rPr>
          <w:rFonts w:hint="eastAsia" w:ascii="宋体" w:hAnsi="宋体" w:cs="宋体"/>
          <w:bCs/>
          <w:color w:val="auto"/>
          <w:sz w:val="22"/>
          <w:highlight w:val="none"/>
        </w:rPr>
        <w:t>采购人或采购代理机构依据法律、法规和采购文件的规定，对投标文件中的资格证明在线进行审查，以确定是否具备投标资格。</w:t>
      </w:r>
      <w:r>
        <w:rPr>
          <w:rFonts w:hint="eastAsia" w:ascii="宋体" w:hAnsi="宋体" w:cs="宋体"/>
          <w:b/>
          <w:color w:val="auto"/>
          <w:sz w:val="22"/>
          <w:highlight w:val="none"/>
        </w:rPr>
        <w:t>▲</w:t>
      </w:r>
      <w:r>
        <w:rPr>
          <w:rFonts w:hint="eastAsia" w:ascii="宋体" w:hAnsi="宋体" w:cs="宋体"/>
          <w:b/>
          <w:color w:val="auto"/>
          <w:sz w:val="22"/>
          <w:highlight w:val="none"/>
          <w:u w:val="single"/>
        </w:rPr>
        <w:t>只要有一项审查不合格，则该供应商的资格审查不合格，审查不合格的投标文件将不予评审。</w:t>
      </w:r>
    </w:p>
    <w:p w14:paraId="3D3E90E0">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4.2  符合性审查</w:t>
      </w:r>
    </w:p>
    <w:p w14:paraId="2448B539">
      <w:pPr>
        <w:spacing w:line="440" w:lineRule="exact"/>
        <w:ind w:left="638" w:leftChars="304"/>
        <w:rPr>
          <w:rFonts w:ascii="宋体" w:hAnsi="宋体" w:cs="宋体"/>
          <w:bCs/>
          <w:color w:val="auto"/>
          <w:sz w:val="22"/>
          <w:highlight w:val="none"/>
        </w:rPr>
      </w:pPr>
      <w:r>
        <w:rPr>
          <w:rFonts w:hint="eastAsia" w:ascii="宋体" w:hAnsi="宋体" w:cs="宋体"/>
          <w:bCs/>
          <w:color w:val="auto"/>
          <w:sz w:val="22"/>
          <w:highlight w:val="none"/>
        </w:rPr>
        <w:t>评标委员会依据法律、法规和采购文件的规定，对投标文件的有效性、完整性和对采购文件的响应程度进行审查，以确定是否符合采购文件的商务、技术等实质性要求。</w:t>
      </w:r>
      <w:r>
        <w:rPr>
          <w:rFonts w:hint="eastAsia" w:ascii="宋体" w:hAnsi="宋体" w:cs="宋体"/>
          <w:b/>
          <w:color w:val="auto"/>
          <w:sz w:val="22"/>
          <w:highlight w:val="none"/>
          <w:u w:val="single"/>
        </w:rPr>
        <w:t>评标委员会决定投标的响应性只根据投标文件本身的内容，而不寻求外部的证据。</w:t>
      </w:r>
    </w:p>
    <w:p w14:paraId="145D0900">
      <w:pPr>
        <w:spacing w:line="440" w:lineRule="exact"/>
        <w:ind w:left="539" w:hanging="539" w:hangingChars="245"/>
        <w:rPr>
          <w:rFonts w:ascii="宋体" w:hAnsi="宋体" w:cs="宋体"/>
          <w:bCs/>
          <w:color w:val="auto"/>
          <w:sz w:val="22"/>
          <w:highlight w:val="none"/>
        </w:rPr>
      </w:pPr>
      <w:r>
        <w:rPr>
          <w:rFonts w:hint="eastAsia" w:ascii="宋体" w:hAnsi="宋体" w:cs="宋体"/>
          <w:bCs/>
          <w:color w:val="auto"/>
          <w:sz w:val="22"/>
          <w:highlight w:val="none"/>
        </w:rPr>
        <w:t>4.3  投标文件评审</w:t>
      </w:r>
    </w:p>
    <w:p w14:paraId="502F0EC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     评标委员会根据采购文件中规定的评标方法和标准，对符合性审查合格的投标文件进行商务、技术和价格评估，综合比较与评价，并</w:t>
      </w:r>
      <w:r>
        <w:rPr>
          <w:rFonts w:hint="eastAsia" w:ascii="宋体" w:hAnsi="宋体" w:cs="宋体"/>
          <w:color w:val="auto"/>
          <w:sz w:val="22"/>
          <w:highlight w:val="none"/>
        </w:rPr>
        <w:t>按照采购文件中制订的评标方法进行综合评定打分，并提交评审报告。</w:t>
      </w:r>
    </w:p>
    <w:p w14:paraId="3857CB74">
      <w:pPr>
        <w:tabs>
          <w:tab w:val="left" w:pos="1365"/>
        </w:tabs>
        <w:spacing w:line="440" w:lineRule="exact"/>
        <w:ind w:left="552" w:hanging="552" w:hangingChars="250"/>
        <w:rPr>
          <w:rFonts w:ascii="宋体" w:hAnsi="宋体" w:cs="宋体"/>
          <w:b/>
          <w:color w:val="auto"/>
          <w:sz w:val="22"/>
          <w:highlight w:val="none"/>
        </w:rPr>
      </w:pPr>
      <w:r>
        <w:rPr>
          <w:rFonts w:hint="eastAsia" w:ascii="宋体" w:hAnsi="宋体" w:cs="宋体"/>
          <w:b/>
          <w:color w:val="auto"/>
          <w:sz w:val="22"/>
          <w:highlight w:val="none"/>
        </w:rPr>
        <w:t>5.   投标文件的澄清</w:t>
      </w:r>
    </w:p>
    <w:p w14:paraId="1B24FA15">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5.1  对于投标文件中含义不明确、同类问题表述不一致或者有明显文字和计算错误的内容，评标委员会应当以书面形式要求供应商作出必要的澄清、说明或者补正。</w:t>
      </w:r>
    </w:p>
    <w:p w14:paraId="749AC268">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5.2  供应商的澄清、说明或者补正应当采用电子传输形式。</w:t>
      </w:r>
      <w:r>
        <w:rPr>
          <w:rFonts w:hint="eastAsia" w:ascii="宋体" w:hAnsi="宋体" w:cs="宋体"/>
          <w:b/>
          <w:color w:val="auto"/>
          <w:sz w:val="22"/>
          <w:highlight w:val="none"/>
          <w:u w:val="single"/>
        </w:rPr>
        <w:t>供应商的澄清、说明或者补正不得超出投标文件的范围或者改变投标文件的实质性内容。</w:t>
      </w:r>
    </w:p>
    <w:p w14:paraId="7020F442">
      <w:pPr>
        <w:spacing w:line="440" w:lineRule="exact"/>
        <w:ind w:left="552" w:hanging="552" w:hangingChars="250"/>
        <w:rPr>
          <w:rFonts w:ascii="宋体" w:hAnsi="宋体" w:cs="宋体"/>
          <w:b/>
          <w:bCs/>
          <w:color w:val="auto"/>
          <w:sz w:val="22"/>
          <w:highlight w:val="none"/>
        </w:rPr>
      </w:pPr>
      <w:r>
        <w:rPr>
          <w:rFonts w:hint="eastAsia" w:ascii="宋体" w:hAnsi="宋体" w:cs="宋体"/>
          <w:b/>
          <w:bCs/>
          <w:color w:val="auto"/>
          <w:sz w:val="22"/>
          <w:highlight w:val="none"/>
        </w:rPr>
        <w:t>6.   投标价格修正</w:t>
      </w:r>
    </w:p>
    <w:p w14:paraId="3B477825">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     评标委员会对各供应商的投标报价进行核查，核查时发现投标报价内容不清楚可要求供应商书面澄清，投标文件报价出现前后不一致的，按照下列规定修正：</w:t>
      </w:r>
    </w:p>
    <w:p w14:paraId="3FD8FA22">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（1）投标文件中投标报价一览表内容与投标分项报价表不一致的，以投标报价一览表为准；</w:t>
      </w:r>
    </w:p>
    <w:p w14:paraId="0200CA44">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（2）大写金额与小写金额不一致的，以大写金额为准；</w:t>
      </w:r>
    </w:p>
    <w:p w14:paraId="735C32FF">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（3）单价金额小数点或者百分比有明显错位的，以投标报价一览表的总价为准，并修改单价；</w:t>
      </w:r>
    </w:p>
    <w:p w14:paraId="331D457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（4）总价金额与按单价汇总金额不一致的，以单价金额计算结果为准。</w:t>
      </w:r>
    </w:p>
    <w:p w14:paraId="04FFD010">
      <w:pPr>
        <w:spacing w:line="440" w:lineRule="exact"/>
        <w:ind w:left="550" w:hanging="550" w:hangingChars="250"/>
        <w:rPr>
          <w:rFonts w:ascii="宋体" w:hAnsi="宋体" w:cs="宋体"/>
          <w:b/>
          <w:bCs/>
          <w:color w:val="auto"/>
          <w:sz w:val="22"/>
          <w:highlight w:val="none"/>
          <w:u w:val="single"/>
        </w:rPr>
      </w:pPr>
      <w:r>
        <w:rPr>
          <w:rFonts w:hint="eastAsia" w:ascii="宋体" w:hAnsi="宋体" w:cs="宋体"/>
          <w:bCs/>
          <w:color w:val="auto"/>
          <w:sz w:val="22"/>
          <w:highlight w:val="none"/>
        </w:rPr>
        <w:t>（5）</w:t>
      </w:r>
      <w:r>
        <w:rPr>
          <w:rFonts w:hint="eastAsia" w:ascii="宋体" w:hAnsi="宋体" w:cs="宋体"/>
          <w:b/>
          <w:color w:val="auto"/>
          <w:sz w:val="22"/>
          <w:highlight w:val="none"/>
        </w:rPr>
        <w:t>▲</w:t>
      </w:r>
      <w:r>
        <w:rPr>
          <w:rFonts w:hint="eastAsia" w:ascii="宋体" w:hAnsi="宋体" w:cs="宋体"/>
          <w:b/>
          <w:bCs/>
          <w:color w:val="auto"/>
          <w:sz w:val="22"/>
          <w:highlight w:val="none"/>
          <w:u w:val="single"/>
        </w:rPr>
        <w:t>同时出现两种以上不一致的，按照前款规定的顺序修正。修正后的报价按照第5点的规定经供应商确认后产生约束力，供应商不确认的，其投标无效</w:t>
      </w:r>
      <w:r>
        <w:rPr>
          <w:rFonts w:hint="eastAsia" w:ascii="宋体" w:hAnsi="宋体" w:cs="宋体"/>
          <w:bCs/>
          <w:color w:val="auto"/>
          <w:sz w:val="22"/>
          <w:highlight w:val="none"/>
        </w:rPr>
        <w:t>。</w:t>
      </w:r>
    </w:p>
    <w:p w14:paraId="64DDAEC2">
      <w:pPr>
        <w:spacing w:line="440" w:lineRule="exact"/>
        <w:ind w:left="541" w:hanging="541" w:hangingChars="245"/>
        <w:rPr>
          <w:rFonts w:ascii="宋体" w:hAnsi="宋体" w:cs="宋体"/>
          <w:bCs/>
          <w:color w:val="auto"/>
          <w:sz w:val="22"/>
          <w:highlight w:val="none"/>
        </w:rPr>
      </w:pPr>
      <w:r>
        <w:rPr>
          <w:rFonts w:hint="eastAsia" w:ascii="宋体" w:hAnsi="宋体" w:cs="宋体"/>
          <w:b/>
          <w:color w:val="auto"/>
          <w:sz w:val="22"/>
          <w:highlight w:val="none"/>
        </w:rPr>
        <w:t>7. ▲</w:t>
      </w:r>
      <w:r>
        <w:rPr>
          <w:rFonts w:hint="eastAsia" w:ascii="宋体" w:hAnsi="宋体" w:cs="宋体"/>
          <w:b/>
          <w:bCs/>
          <w:color w:val="auto"/>
          <w:sz w:val="22"/>
          <w:highlight w:val="none"/>
          <w:u w:val="single"/>
        </w:rPr>
        <w:t>评标委员会认定供应商存在下列情况之一的，投标无效</w:t>
      </w:r>
      <w:r>
        <w:rPr>
          <w:rFonts w:hint="eastAsia" w:ascii="宋体" w:hAnsi="宋体" w:cs="宋体"/>
          <w:b/>
          <w:bCs/>
          <w:color w:val="auto"/>
          <w:sz w:val="22"/>
          <w:highlight w:val="none"/>
        </w:rPr>
        <w:t>：</w:t>
      </w:r>
    </w:p>
    <w:p w14:paraId="2786241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w:t>
      </w:r>
      <w:r>
        <w:rPr>
          <w:rFonts w:hint="eastAsia" w:ascii="宋体" w:hAnsi="宋体" w:cs="宋体"/>
          <w:bCs/>
          <w:color w:val="auto"/>
          <w:sz w:val="22"/>
          <w:highlight w:val="none"/>
          <w:u w:val="single"/>
        </w:rPr>
        <w:t>投标文件未按采购文件要求签署、盖章的</w:t>
      </w:r>
      <w:r>
        <w:rPr>
          <w:rFonts w:hint="eastAsia" w:ascii="宋体" w:hAnsi="宋体" w:cs="宋体"/>
          <w:bCs/>
          <w:color w:val="auto"/>
          <w:sz w:val="22"/>
          <w:highlight w:val="none"/>
        </w:rPr>
        <w:t>；</w:t>
      </w:r>
    </w:p>
    <w:p w14:paraId="60244BFE">
      <w:pPr>
        <w:spacing w:line="440" w:lineRule="exact"/>
        <w:rPr>
          <w:rFonts w:ascii="宋体" w:hAnsi="宋体" w:cs="宋体"/>
          <w:bCs/>
          <w:color w:val="auto"/>
          <w:sz w:val="22"/>
          <w:highlight w:val="none"/>
        </w:rPr>
      </w:pPr>
      <w:r>
        <w:rPr>
          <w:rFonts w:hint="eastAsia" w:ascii="宋体" w:hAnsi="宋体" w:cs="宋体"/>
          <w:bCs/>
          <w:color w:val="auto"/>
          <w:sz w:val="22"/>
          <w:highlight w:val="none"/>
        </w:rPr>
        <w:t>（2）</w:t>
      </w:r>
      <w:r>
        <w:rPr>
          <w:rFonts w:hint="eastAsia" w:ascii="宋体" w:hAnsi="宋体" w:cs="宋体"/>
          <w:color w:val="auto"/>
          <w:sz w:val="22"/>
          <w:highlight w:val="none"/>
          <w:u w:val="single"/>
        </w:rPr>
        <w:t>明显不符合采购文件规定的技术规格、技术标准要求或不满足主要技术参数的</w:t>
      </w:r>
      <w:r>
        <w:rPr>
          <w:rFonts w:hint="eastAsia" w:ascii="宋体" w:hAnsi="宋体" w:cs="宋体"/>
          <w:color w:val="auto"/>
          <w:sz w:val="22"/>
          <w:highlight w:val="none"/>
        </w:rPr>
        <w:t>；</w:t>
      </w:r>
    </w:p>
    <w:p w14:paraId="6B8438D8">
      <w:pPr>
        <w:spacing w:line="440" w:lineRule="exact"/>
        <w:rPr>
          <w:rFonts w:ascii="宋体" w:hAnsi="宋体" w:cs="宋体"/>
          <w:bCs/>
          <w:color w:val="auto"/>
          <w:sz w:val="22"/>
          <w:highlight w:val="none"/>
        </w:rPr>
      </w:pPr>
      <w:r>
        <w:rPr>
          <w:rFonts w:hint="eastAsia" w:ascii="宋体" w:hAnsi="宋体" w:cs="宋体"/>
          <w:bCs/>
          <w:color w:val="auto"/>
          <w:sz w:val="22"/>
          <w:highlight w:val="none"/>
        </w:rPr>
        <w:t>（3）</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rPr>
        <w:t>；</w:t>
      </w:r>
    </w:p>
    <w:p w14:paraId="4A85B40C">
      <w:pPr>
        <w:spacing w:line="440" w:lineRule="exact"/>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u w:val="single"/>
        </w:rPr>
        <w:t>投标报价超过采购文件中规定的预算金额或者最高限价的</w:t>
      </w:r>
      <w:r>
        <w:rPr>
          <w:rFonts w:hint="eastAsia" w:ascii="宋体" w:hAnsi="宋体" w:cs="宋体"/>
          <w:color w:val="auto"/>
          <w:sz w:val="22"/>
          <w:highlight w:val="none"/>
        </w:rPr>
        <w:t>；</w:t>
      </w:r>
    </w:p>
    <w:p w14:paraId="06591AB0">
      <w:pPr>
        <w:spacing w:line="440" w:lineRule="exact"/>
        <w:rPr>
          <w:rFonts w:ascii="宋体" w:hAnsi="宋体" w:cs="宋体"/>
          <w:bCs/>
          <w:color w:val="auto"/>
          <w:sz w:val="22"/>
          <w:highlight w:val="none"/>
        </w:rPr>
      </w:pPr>
      <w:r>
        <w:rPr>
          <w:rFonts w:hint="eastAsia" w:ascii="宋体" w:hAnsi="宋体" w:cs="宋体"/>
          <w:color w:val="auto"/>
          <w:sz w:val="22"/>
          <w:highlight w:val="none"/>
        </w:rPr>
        <w:t>（5）</w:t>
      </w:r>
      <w:r>
        <w:rPr>
          <w:rFonts w:hint="eastAsia" w:ascii="宋体" w:hAnsi="宋体" w:cs="宋体"/>
          <w:color w:val="auto"/>
          <w:sz w:val="22"/>
          <w:highlight w:val="none"/>
          <w:u w:val="single"/>
        </w:rPr>
        <w:t>资信响应文件或商务技术响应文件中出现投标报价的</w:t>
      </w:r>
      <w:r>
        <w:rPr>
          <w:rFonts w:hint="eastAsia" w:ascii="宋体" w:hAnsi="宋体" w:cs="宋体"/>
          <w:color w:val="auto"/>
          <w:sz w:val="22"/>
          <w:highlight w:val="none"/>
        </w:rPr>
        <w:t>；</w:t>
      </w:r>
    </w:p>
    <w:p w14:paraId="23617BC0">
      <w:pPr>
        <w:spacing w:line="440" w:lineRule="exact"/>
        <w:rPr>
          <w:rFonts w:ascii="宋体" w:hAnsi="宋体" w:cs="宋体"/>
          <w:color w:val="auto"/>
          <w:sz w:val="22"/>
          <w:highlight w:val="none"/>
        </w:rPr>
      </w:pPr>
      <w:r>
        <w:rPr>
          <w:rFonts w:hint="eastAsia" w:ascii="宋体" w:hAnsi="宋体" w:cs="宋体"/>
          <w:bCs/>
          <w:color w:val="auto"/>
          <w:sz w:val="22"/>
          <w:highlight w:val="none"/>
        </w:rPr>
        <w:t>（6）</w:t>
      </w:r>
      <w:r>
        <w:rPr>
          <w:rFonts w:hint="eastAsia" w:ascii="宋体" w:hAnsi="宋体" w:cs="宋体"/>
          <w:bCs/>
          <w:color w:val="auto"/>
          <w:sz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rPr>
        <w:t>；</w:t>
      </w:r>
    </w:p>
    <w:p w14:paraId="6DD535DC">
      <w:pPr>
        <w:spacing w:line="440" w:lineRule="exact"/>
        <w:rPr>
          <w:rFonts w:ascii="宋体" w:hAnsi="宋体" w:cs="宋体"/>
          <w:color w:val="auto"/>
          <w:sz w:val="22"/>
          <w:highlight w:val="none"/>
          <w:u w:val="single"/>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p>
    <w:p w14:paraId="27803335">
      <w:pPr>
        <w:spacing w:line="440" w:lineRule="exact"/>
        <w:rPr>
          <w:rFonts w:ascii="宋体" w:hAnsi="宋体" w:cs="宋体"/>
          <w:color w:val="auto"/>
          <w:sz w:val="22"/>
          <w:highlight w:val="none"/>
        </w:rPr>
      </w:pPr>
      <w:r>
        <w:rPr>
          <w:rFonts w:hint="eastAsia" w:ascii="宋体" w:hAnsi="宋体" w:cs="宋体"/>
          <w:bCs/>
          <w:color w:val="auto"/>
          <w:sz w:val="22"/>
          <w:highlight w:val="none"/>
        </w:rPr>
        <w:t>（8）</w:t>
      </w:r>
      <w:r>
        <w:rPr>
          <w:rFonts w:hint="eastAsia" w:ascii="宋体" w:hAnsi="宋体" w:cs="宋体"/>
          <w:color w:val="auto"/>
          <w:sz w:val="22"/>
          <w:highlight w:val="none"/>
          <w:u w:val="single"/>
        </w:rPr>
        <w:t>法律、法规和采购文件中规定的其它无效情形</w:t>
      </w:r>
      <w:r>
        <w:rPr>
          <w:rFonts w:hint="eastAsia" w:ascii="宋体" w:hAnsi="宋体" w:cs="宋体"/>
          <w:color w:val="auto"/>
          <w:sz w:val="22"/>
          <w:highlight w:val="none"/>
        </w:rPr>
        <w:t>。</w:t>
      </w:r>
    </w:p>
    <w:p w14:paraId="7C393C83">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8.   评标过程中遇到特殊情况，由评标委员会遵循公开、公正原则，采取投票方式按照少数服从多数原则决定。</w:t>
      </w:r>
    </w:p>
    <w:p w14:paraId="3AD359A3">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9.   优化评审管理</w:t>
      </w:r>
    </w:p>
    <w:p w14:paraId="5922995B">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9.1  根据浙财采监〔2022〕8号文相关的规定，评标委员会成员个人主观打分偏离所有评标委员会成员主观打分平均值30%以上的，由评审委员会启动评分畸高、畸低行为认定程序。</w:t>
      </w:r>
    </w:p>
    <w:p w14:paraId="1F621B6A">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10． 推荐中标候选人</w:t>
      </w:r>
    </w:p>
    <w:p w14:paraId="11C285CE">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10.1 本次招标由评标委员会推2名中标候选人。</w:t>
      </w:r>
    </w:p>
    <w:p w14:paraId="6E93F092">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10.2 评标委员会依据投标文件满足采购文件全部实质性要求，且按照评审因素的量化指标评审得分（即商务技术分与报价分之和）由高到低顺序排序，得分前二名的供应商推荐为该项目的第一和第二中标候选人（得分相同的，按投标报价由低到高排序；得分且投标报价相同的并列）。</w:t>
      </w:r>
    </w:p>
    <w:p w14:paraId="3C810ED8">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szCs w:val="22"/>
          <w:highlight w:val="none"/>
        </w:rPr>
        <w:t>10.3 本次采购共分为1个标段。</w:t>
      </w:r>
    </w:p>
    <w:p w14:paraId="3E234D69">
      <w:pPr>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11.  投标截止时间止及评审期间，如出现有效供应商＜3家时，本项目废标，由采购人决定是否重新组织招标。</w:t>
      </w:r>
    </w:p>
    <w:p w14:paraId="6B5D7FEC">
      <w:pPr>
        <w:spacing w:line="440" w:lineRule="exact"/>
        <w:rPr>
          <w:rFonts w:ascii="宋体" w:hAnsi="宋体" w:cs="宋体"/>
          <w:b/>
          <w:color w:val="auto"/>
          <w:sz w:val="22"/>
          <w:highlight w:val="none"/>
        </w:rPr>
      </w:pPr>
      <w:r>
        <w:rPr>
          <w:rFonts w:hint="eastAsia" w:ascii="宋体" w:hAnsi="宋体" w:cs="宋体"/>
          <w:b/>
          <w:color w:val="auto"/>
          <w:sz w:val="22"/>
          <w:highlight w:val="none"/>
        </w:rPr>
        <w:t>12.  评标细则详见第六部分“评标原则及方法”。</w:t>
      </w:r>
    </w:p>
    <w:p w14:paraId="7D016536">
      <w:pPr>
        <w:spacing w:line="440" w:lineRule="exact"/>
        <w:rPr>
          <w:rFonts w:ascii="宋体" w:hAnsi="宋体" w:cs="宋体"/>
          <w:b/>
          <w:color w:val="auto"/>
          <w:sz w:val="22"/>
          <w:highlight w:val="none"/>
        </w:rPr>
      </w:pPr>
      <w:r>
        <w:rPr>
          <w:rFonts w:hint="eastAsia" w:ascii="宋体" w:hAnsi="宋体" w:cs="宋体"/>
          <w:b/>
          <w:color w:val="auto"/>
          <w:sz w:val="22"/>
          <w:highlight w:val="none"/>
        </w:rPr>
        <w:t>13.  未尽事宜遵循相关法律法规及规范性文件执行。</w:t>
      </w:r>
    </w:p>
    <w:p w14:paraId="3994B8C9">
      <w:pPr>
        <w:pStyle w:val="14"/>
        <w:spacing w:line="460" w:lineRule="exact"/>
        <w:jc w:val="center"/>
        <w:outlineLvl w:val="1"/>
        <w:rPr>
          <w:rFonts w:ascii="宋体" w:hAnsi="宋体" w:cs="宋体"/>
          <w:b/>
          <w:bCs/>
          <w:color w:val="auto"/>
          <w:sz w:val="22"/>
          <w:szCs w:val="22"/>
          <w:highlight w:val="none"/>
        </w:rPr>
      </w:pPr>
      <w:bookmarkStart w:id="55" w:name="_Toc6214"/>
      <w:r>
        <w:rPr>
          <w:rFonts w:hint="eastAsia" w:ascii="宋体" w:hAnsi="宋体" w:cs="宋体"/>
          <w:b/>
          <w:bCs/>
          <w:color w:val="auto"/>
          <w:sz w:val="22"/>
          <w:szCs w:val="22"/>
          <w:highlight w:val="none"/>
        </w:rPr>
        <w:t>六、授予合同</w:t>
      </w:r>
      <w:bookmarkEnd w:id="49"/>
      <w:bookmarkEnd w:id="50"/>
      <w:bookmarkEnd w:id="51"/>
      <w:bookmarkEnd w:id="52"/>
      <w:bookmarkEnd w:id="53"/>
      <w:bookmarkEnd w:id="54"/>
      <w:bookmarkEnd w:id="55"/>
    </w:p>
    <w:p w14:paraId="1981CDB7">
      <w:pPr>
        <w:tabs>
          <w:tab w:val="left" w:pos="1365"/>
        </w:tabs>
        <w:spacing w:line="440" w:lineRule="exact"/>
        <w:ind w:left="550" w:hanging="550" w:hangingChars="250"/>
        <w:rPr>
          <w:rFonts w:ascii="宋体" w:hAnsi="宋体" w:cs="宋体"/>
          <w:b/>
          <w:color w:val="auto"/>
          <w:sz w:val="22"/>
          <w:highlight w:val="none"/>
        </w:rPr>
      </w:pPr>
      <w:bookmarkStart w:id="56" w:name="_Toc17832"/>
      <w:bookmarkStart w:id="57" w:name="_Toc99389644"/>
      <w:bookmarkStart w:id="58" w:name="_Toc95395551"/>
      <w:bookmarkStart w:id="59" w:name="_Toc102115986"/>
      <w:r>
        <w:rPr>
          <w:rFonts w:hint="eastAsia" w:ascii="宋体" w:hAnsi="宋体" w:cs="宋体"/>
          <w:bCs/>
          <w:color w:val="auto"/>
          <w:sz w:val="22"/>
          <w:highlight w:val="none"/>
        </w:rPr>
        <w:t xml:space="preserve">1. </w:t>
      </w:r>
      <w:r>
        <w:rPr>
          <w:rFonts w:hint="eastAsia" w:ascii="宋体" w:hAnsi="宋体" w:cs="宋体"/>
          <w:b/>
          <w:color w:val="auto"/>
          <w:sz w:val="22"/>
          <w:highlight w:val="none"/>
        </w:rPr>
        <w:t xml:space="preserve">  确定中标人</w:t>
      </w:r>
    </w:p>
    <w:p w14:paraId="23BD9F07">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1.1  采购代理机构应当在评标结束后2个工作日内将评标报告送采购人。</w:t>
      </w:r>
    </w:p>
    <w:p w14:paraId="3C8A9633">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1.2  采购人应当自收到评标报告之日起5个工作日内，在评标报告确定的中标候选人名单中按顺序确定中标人。中标候选人并列的，由采购人采取随机抽取的方式确定。</w:t>
      </w:r>
    </w:p>
    <w:p w14:paraId="2BB10762">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417500CF">
      <w:pPr>
        <w:spacing w:line="440" w:lineRule="exact"/>
        <w:rPr>
          <w:rFonts w:ascii="宋体" w:hAnsi="宋体" w:cs="宋体"/>
          <w:b/>
          <w:bCs/>
          <w:color w:val="auto"/>
          <w:sz w:val="22"/>
          <w:highlight w:val="none"/>
        </w:rPr>
      </w:pPr>
      <w:r>
        <w:rPr>
          <w:rFonts w:hint="eastAsia" w:ascii="宋体" w:hAnsi="宋体" w:cs="宋体"/>
          <w:bCs/>
          <w:color w:val="auto"/>
          <w:sz w:val="22"/>
          <w:highlight w:val="none"/>
        </w:rPr>
        <w:t xml:space="preserve">2.   </w:t>
      </w:r>
      <w:r>
        <w:rPr>
          <w:rFonts w:hint="eastAsia" w:ascii="宋体" w:hAnsi="宋体" w:cs="宋体"/>
          <w:b/>
          <w:bCs/>
          <w:color w:val="auto"/>
          <w:sz w:val="22"/>
          <w:highlight w:val="none"/>
        </w:rPr>
        <w:t>中标公告</w:t>
      </w:r>
    </w:p>
    <w:p w14:paraId="40ACE69B">
      <w:pPr>
        <w:spacing w:line="440" w:lineRule="exact"/>
        <w:ind w:left="550" w:hanging="550" w:hangingChars="250"/>
        <w:rPr>
          <w:rFonts w:ascii="宋体" w:hAnsi="宋体" w:cs="宋体"/>
          <w:b/>
          <w:bCs/>
          <w:color w:val="auto"/>
          <w:sz w:val="22"/>
          <w:highlight w:val="none"/>
        </w:rPr>
      </w:pPr>
      <w:r>
        <w:rPr>
          <w:rFonts w:hint="eastAsia" w:ascii="宋体" w:hAnsi="宋体" w:cs="宋体"/>
          <w:bCs/>
          <w:color w:val="auto"/>
          <w:sz w:val="22"/>
          <w:highlight w:val="none"/>
        </w:rPr>
        <w:t>2.1  采购人或者采购代理机构应当自中标人确定之日起2个工作日内，在省级以上财政部门指定的媒体上公告中标结果，采购文件应当随中标结果同时公告。</w:t>
      </w:r>
    </w:p>
    <w:p w14:paraId="4417A73E">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 xml:space="preserve">3.   </w:t>
      </w:r>
      <w:r>
        <w:rPr>
          <w:rFonts w:hint="eastAsia" w:ascii="宋体" w:hAnsi="宋体" w:cs="宋体"/>
          <w:b/>
          <w:bCs/>
          <w:color w:val="auto"/>
          <w:sz w:val="22"/>
          <w:highlight w:val="none"/>
        </w:rPr>
        <w:t>中标通知书</w:t>
      </w:r>
    </w:p>
    <w:p w14:paraId="5A77D4AE">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3.1  在公告中标结果的同时</w:t>
      </w:r>
      <w:r>
        <w:rPr>
          <w:rFonts w:hint="eastAsia" w:ascii="宋体" w:hAnsi="宋体" w:cs="宋体"/>
          <w:color w:val="auto"/>
          <w:sz w:val="22"/>
          <w:highlight w:val="none"/>
        </w:rPr>
        <w:t>，采购人或采购代理机构向中标人发出中标通知书。</w:t>
      </w:r>
    </w:p>
    <w:p w14:paraId="42270B46">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 xml:space="preserve">3.2  </w:t>
      </w:r>
      <w:r>
        <w:rPr>
          <w:rFonts w:hint="eastAsia" w:ascii="宋体" w:hAnsi="宋体" w:cs="宋体"/>
          <w:color w:val="auto"/>
          <w:sz w:val="22"/>
          <w:highlight w:val="none"/>
        </w:rPr>
        <w:t>中标通知书是合同的一个组成部分,对采购人和中标人均具有同等法律效力。</w:t>
      </w:r>
    </w:p>
    <w:p w14:paraId="6EE86421">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 xml:space="preserve">4.   </w:t>
      </w:r>
      <w:r>
        <w:rPr>
          <w:rFonts w:hint="eastAsia" w:ascii="宋体" w:hAnsi="宋体" w:cs="宋体"/>
          <w:b/>
          <w:bCs/>
          <w:color w:val="auto"/>
          <w:sz w:val="22"/>
          <w:highlight w:val="none"/>
        </w:rPr>
        <w:t>签订合同</w:t>
      </w:r>
    </w:p>
    <w:p w14:paraId="64562ED0">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4.1 采购人应当自中标通知书发出之日起30日内，按照采购文件和中标人投标文件的规定，与中标人签订书面合同。所签订的合同不得对采购文件确定的事项和中标人投标文件作实质性修改。</w:t>
      </w:r>
    </w:p>
    <w:p w14:paraId="594EBFE5">
      <w:pPr>
        <w:spacing w:line="440" w:lineRule="exact"/>
        <w:ind w:left="550" w:hanging="550" w:hangingChars="250"/>
        <w:rPr>
          <w:rFonts w:ascii="宋体" w:hAnsi="宋体" w:cs="宋体"/>
          <w:bCs/>
          <w:color w:val="auto"/>
          <w:sz w:val="22"/>
          <w:highlight w:val="none"/>
        </w:rPr>
      </w:pPr>
      <w:r>
        <w:rPr>
          <w:rFonts w:hint="eastAsia" w:ascii="宋体" w:hAnsi="宋体" w:cs="宋体"/>
          <w:color w:val="auto"/>
          <w:sz w:val="22"/>
          <w:highlight w:val="none"/>
        </w:rPr>
        <w:t xml:space="preserve">4.2  </w:t>
      </w:r>
      <w:r>
        <w:rPr>
          <w:rFonts w:hint="eastAsia" w:ascii="宋体" w:hAnsi="宋体" w:cs="宋体"/>
          <w:color w:val="auto"/>
          <w:spacing w:val="6"/>
          <w:sz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3D24A855">
      <w:pPr>
        <w:spacing w:line="440" w:lineRule="exact"/>
        <w:ind w:left="421" w:leftChars="-9" w:hanging="440" w:hangingChars="200"/>
        <w:rPr>
          <w:rFonts w:ascii="宋体" w:hAnsi="宋体" w:cs="宋体"/>
          <w:color w:val="auto"/>
          <w:sz w:val="22"/>
          <w:highlight w:val="none"/>
        </w:rPr>
      </w:pPr>
      <w:r>
        <w:rPr>
          <w:rFonts w:hint="eastAsia" w:ascii="宋体" w:hAnsi="宋体" w:cs="宋体"/>
          <w:color w:val="auto"/>
          <w:sz w:val="22"/>
          <w:highlight w:val="none"/>
        </w:rPr>
        <w:t>4.3  采购文件、中标人的投标文件、投标修改文件、评标过程中有关澄清文件及经供应商和评委双方签字的询标纪要和中标通知书均作为合同附件。</w:t>
      </w:r>
    </w:p>
    <w:p w14:paraId="425A8D2F">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4.4  采购人不得向中标人提出任何不合理的要求作为签订合同的条件。</w:t>
      </w:r>
    </w:p>
    <w:p w14:paraId="26E728C8">
      <w:pPr>
        <w:spacing w:line="440" w:lineRule="exact"/>
        <w:ind w:left="440" w:hanging="440" w:hangingChars="200"/>
        <w:rPr>
          <w:rFonts w:ascii="宋体" w:hAnsi="宋体" w:cs="宋体"/>
          <w:bCs/>
          <w:color w:val="auto"/>
          <w:sz w:val="22"/>
          <w:highlight w:val="none"/>
        </w:rPr>
      </w:pPr>
      <w:r>
        <w:rPr>
          <w:rFonts w:hint="eastAsia" w:ascii="宋体" w:hAnsi="宋体" w:cs="宋体"/>
          <w:color w:val="auto"/>
          <w:sz w:val="22"/>
          <w:highlight w:val="none"/>
        </w:rPr>
        <w:t>4.5  拒签合同的违约责任</w:t>
      </w:r>
    </w:p>
    <w:p w14:paraId="0D1438EE">
      <w:pPr>
        <w:spacing w:line="440" w:lineRule="exact"/>
        <w:ind w:left="420" w:leftChars="200"/>
        <w:rPr>
          <w:rFonts w:ascii="宋体" w:hAnsi="宋体" w:cs="宋体"/>
          <w:color w:val="auto"/>
          <w:spacing w:val="6"/>
          <w:sz w:val="22"/>
          <w:highlight w:val="none"/>
        </w:rPr>
      </w:pPr>
      <w:r>
        <w:rPr>
          <w:rFonts w:hint="eastAsia" w:ascii="宋体" w:hAnsi="宋体" w:cs="宋体"/>
          <w:color w:val="auto"/>
          <w:spacing w:val="6"/>
          <w:sz w:val="22"/>
          <w:highlight w:val="none"/>
        </w:rPr>
        <w:t>中标人接到中标通知书后，在规定时间内借故否认已经承诺的条件而拒签合同的，以违约处理。</w:t>
      </w:r>
    </w:p>
    <w:p w14:paraId="5BD8C5BF">
      <w:pPr>
        <w:spacing w:line="440" w:lineRule="exact"/>
        <w:ind w:left="571" w:hanging="571" w:hangingChars="245"/>
        <w:rPr>
          <w:rFonts w:ascii="宋体" w:hAnsi="宋体" w:cs="宋体"/>
          <w:b/>
          <w:color w:val="auto"/>
          <w:spacing w:val="6"/>
          <w:sz w:val="22"/>
          <w:highlight w:val="none"/>
          <w:shd w:val="pct10" w:color="auto" w:fill="FFFFFF"/>
        </w:rPr>
      </w:pPr>
      <w:r>
        <w:rPr>
          <w:rFonts w:hint="eastAsia" w:ascii="宋体" w:hAnsi="宋体" w:cs="宋体"/>
          <w:b/>
          <w:color w:val="auto"/>
          <w:spacing w:val="6"/>
          <w:sz w:val="22"/>
          <w:highlight w:val="none"/>
        </w:rPr>
        <w:t>4.6  合同一式四份，其中采购人二份，中标人二份。中标人在采购合同签订后应及时提交壹份合同扫描件交采购代理机构备案。同时提交一份投标文件正式版的扫描件（PDF格式）供采购人备案用。</w:t>
      </w:r>
    </w:p>
    <w:p w14:paraId="26270E93">
      <w:pPr>
        <w:spacing w:line="440" w:lineRule="exact"/>
        <w:rPr>
          <w:rFonts w:ascii="宋体" w:hAnsi="宋体" w:cs="宋体"/>
          <w:b/>
          <w:color w:val="auto"/>
          <w:spacing w:val="6"/>
          <w:sz w:val="22"/>
          <w:highlight w:val="none"/>
        </w:rPr>
      </w:pPr>
      <w:r>
        <w:rPr>
          <w:rFonts w:hint="eastAsia" w:ascii="宋体" w:hAnsi="宋体" w:cs="宋体"/>
          <w:color w:val="auto"/>
          <w:spacing w:val="6"/>
          <w:sz w:val="22"/>
          <w:highlight w:val="none"/>
        </w:rPr>
        <w:t xml:space="preserve">5.   </w:t>
      </w:r>
      <w:r>
        <w:rPr>
          <w:rFonts w:hint="eastAsia" w:ascii="宋体" w:hAnsi="宋体" w:cs="宋体"/>
          <w:b/>
          <w:color w:val="auto"/>
          <w:spacing w:val="6"/>
          <w:sz w:val="22"/>
          <w:highlight w:val="none"/>
        </w:rPr>
        <w:t>履约保证金</w:t>
      </w:r>
    </w:p>
    <w:p w14:paraId="4366DD3E">
      <w:pPr>
        <w:spacing w:line="440" w:lineRule="exact"/>
        <w:ind w:left="580" w:hanging="580" w:hangingChars="250"/>
        <w:rPr>
          <w:rFonts w:ascii="宋体" w:hAnsi="宋体" w:cs="宋体"/>
          <w:color w:val="auto"/>
          <w:spacing w:val="6"/>
          <w:sz w:val="22"/>
          <w:highlight w:val="none"/>
        </w:rPr>
      </w:pPr>
      <w:r>
        <w:rPr>
          <w:rFonts w:hint="eastAsia" w:ascii="宋体" w:hAnsi="宋体" w:cs="宋体"/>
          <w:color w:val="auto"/>
          <w:spacing w:val="6"/>
          <w:sz w:val="22"/>
          <w:highlight w:val="none"/>
        </w:rPr>
        <w:t xml:space="preserve">5.1  </w:t>
      </w:r>
      <w:r>
        <w:rPr>
          <w:rFonts w:hint="eastAsia" w:ascii="宋体" w:hAnsi="宋体" w:cs="宋体"/>
          <w:color w:val="auto"/>
          <w:sz w:val="22"/>
          <w:highlight w:val="none"/>
        </w:rPr>
        <w:t>中标人在收到中标通知书后，签订合同后5个工作日内，中标人须向采购人提交履约保证。</w:t>
      </w:r>
    </w:p>
    <w:p w14:paraId="5C426412">
      <w:pPr>
        <w:spacing w:line="440" w:lineRule="exact"/>
        <w:ind w:left="464" w:hanging="464" w:hangingChars="200"/>
        <w:rPr>
          <w:rFonts w:ascii="宋体" w:hAnsi="宋体" w:cs="宋体"/>
          <w:color w:val="auto"/>
          <w:spacing w:val="6"/>
          <w:sz w:val="22"/>
          <w:highlight w:val="none"/>
        </w:rPr>
      </w:pPr>
      <w:r>
        <w:rPr>
          <w:rFonts w:hint="eastAsia" w:ascii="宋体" w:hAnsi="宋体" w:cs="宋体"/>
          <w:color w:val="auto"/>
          <w:spacing w:val="6"/>
          <w:sz w:val="22"/>
          <w:highlight w:val="none"/>
        </w:rPr>
        <w:t>5.2  履约保证金用于补偿采购人因中标人不能履行其合同义务而蒙受的损失。</w:t>
      </w:r>
    </w:p>
    <w:p w14:paraId="7A05EA7D">
      <w:pPr>
        <w:spacing w:line="440" w:lineRule="exact"/>
        <w:ind w:left="580" w:hanging="580" w:hangingChars="250"/>
        <w:rPr>
          <w:rFonts w:ascii="宋体" w:hAnsi="宋体" w:cs="宋体"/>
          <w:color w:val="auto"/>
          <w:spacing w:val="6"/>
          <w:sz w:val="22"/>
          <w:highlight w:val="none"/>
        </w:rPr>
      </w:pPr>
      <w:r>
        <w:rPr>
          <w:rFonts w:hint="eastAsia" w:ascii="宋体" w:hAnsi="宋体" w:cs="宋体"/>
          <w:color w:val="auto"/>
          <w:spacing w:val="6"/>
          <w:sz w:val="22"/>
          <w:highlight w:val="none"/>
        </w:rPr>
        <w:t xml:space="preserve">5.3  </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14:paraId="5001C973">
      <w:pPr>
        <w:spacing w:line="440" w:lineRule="exact"/>
        <w:ind w:left="442" w:hanging="442" w:hangingChars="200"/>
        <w:rPr>
          <w:rFonts w:ascii="宋体" w:hAnsi="宋体" w:cs="宋体"/>
          <w:b/>
          <w:bCs/>
          <w:color w:val="auto"/>
          <w:sz w:val="22"/>
          <w:highlight w:val="none"/>
        </w:rPr>
      </w:pPr>
      <w:r>
        <w:rPr>
          <w:rFonts w:hint="eastAsia" w:ascii="宋体" w:hAnsi="宋体" w:cs="宋体"/>
          <w:b/>
          <w:bCs/>
          <w:color w:val="auto"/>
          <w:sz w:val="22"/>
          <w:highlight w:val="none"/>
        </w:rPr>
        <w:t>6.   合同履行时更改采购数量的权力</w:t>
      </w:r>
    </w:p>
    <w:p w14:paraId="6F9A2D59">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08CA90BE">
      <w:pPr>
        <w:pStyle w:val="14"/>
        <w:spacing w:line="460" w:lineRule="exact"/>
        <w:jc w:val="center"/>
        <w:outlineLvl w:val="1"/>
        <w:rPr>
          <w:rFonts w:ascii="宋体" w:hAnsi="宋体" w:cs="宋体"/>
          <w:b/>
          <w:bCs/>
          <w:color w:val="auto"/>
          <w:sz w:val="22"/>
          <w:szCs w:val="22"/>
          <w:highlight w:val="none"/>
        </w:rPr>
      </w:pPr>
      <w:bookmarkStart w:id="60" w:name="_Toc31"/>
      <w:r>
        <w:rPr>
          <w:rFonts w:hint="eastAsia" w:ascii="宋体" w:hAnsi="宋体" w:cs="宋体"/>
          <w:b/>
          <w:bCs/>
          <w:color w:val="auto"/>
          <w:sz w:val="22"/>
          <w:szCs w:val="22"/>
          <w:highlight w:val="none"/>
        </w:rPr>
        <w:t>七、可中止电子交易活动的情形</w:t>
      </w:r>
      <w:bookmarkEnd w:id="56"/>
      <w:bookmarkEnd w:id="57"/>
      <w:bookmarkEnd w:id="58"/>
      <w:bookmarkEnd w:id="59"/>
      <w:bookmarkEnd w:id="60"/>
    </w:p>
    <w:p w14:paraId="5E1F8198">
      <w:pPr>
        <w:pStyle w:val="14"/>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79BB8360">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   电子交易平台发生故障而无法登录访问的；</w:t>
      </w:r>
    </w:p>
    <w:p w14:paraId="29ABEDF1">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   电子交易平台应用或数据库出现错误，不能进行正常操作的；</w:t>
      </w:r>
    </w:p>
    <w:p w14:paraId="43D3F7F7">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   电子交易平台发现严重安全漏洞，有潜在泄密危险的；</w:t>
      </w:r>
    </w:p>
    <w:p w14:paraId="35DC8829">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4.   病毒发作导致不能进行正常操作的；</w:t>
      </w:r>
    </w:p>
    <w:p w14:paraId="68606708">
      <w:pPr>
        <w:pStyle w:val="14"/>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5.   其他无法保证电子交易的公平、公正和安全的情况。</w:t>
      </w:r>
    </w:p>
    <w:p w14:paraId="555D8B73">
      <w:pPr>
        <w:pStyle w:val="14"/>
        <w:spacing w:line="460" w:lineRule="exact"/>
        <w:rPr>
          <w:rFonts w:ascii="宋体" w:hAnsi="宋体" w:cs="宋体"/>
          <w:color w:val="auto"/>
          <w:sz w:val="22"/>
          <w:szCs w:val="22"/>
          <w:highlight w:val="none"/>
        </w:rPr>
      </w:pPr>
      <w:bookmarkStart w:id="61" w:name="_Toc29091"/>
      <w:bookmarkStart w:id="62" w:name="_Toc13187"/>
      <w:bookmarkStart w:id="63" w:name="_Toc4008"/>
      <w:bookmarkStart w:id="64" w:name="_Toc2054"/>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bookmarkEnd w:id="61"/>
      <w:bookmarkEnd w:id="62"/>
      <w:bookmarkEnd w:id="63"/>
      <w:bookmarkEnd w:id="64"/>
    </w:p>
    <w:p w14:paraId="00BBAA0D">
      <w:pPr>
        <w:spacing w:line="400" w:lineRule="exact"/>
        <w:jc w:val="center"/>
        <w:outlineLvl w:val="0"/>
        <w:rPr>
          <w:rFonts w:ascii="宋体" w:hAnsi="宋体" w:cs="宋体"/>
          <w:b/>
          <w:bCs/>
          <w:color w:val="auto"/>
          <w:szCs w:val="21"/>
          <w:highlight w:val="none"/>
        </w:rPr>
      </w:pPr>
      <w:r>
        <w:rPr>
          <w:rFonts w:hint="eastAsia" w:ascii="宋体" w:hAnsi="宋体" w:cs="宋体"/>
          <w:b/>
          <w:color w:val="auto"/>
          <w:sz w:val="32"/>
          <w:highlight w:val="none"/>
        </w:rPr>
        <w:br w:type="page"/>
      </w:r>
      <w:bookmarkStart w:id="65" w:name="_Toc23641"/>
      <w:r>
        <w:rPr>
          <w:rFonts w:hint="eastAsia" w:ascii="宋体" w:hAnsi="宋体" w:cs="宋体"/>
          <w:b/>
          <w:color w:val="auto"/>
          <w:sz w:val="32"/>
          <w:highlight w:val="none"/>
        </w:rPr>
        <w:t>第三部分   拟签订的合同文本</w:t>
      </w:r>
      <w:bookmarkEnd w:id="65"/>
    </w:p>
    <w:p w14:paraId="3A775E15">
      <w:pPr>
        <w:spacing w:line="360" w:lineRule="exact"/>
        <w:ind w:firstLine="437" w:firstLineChars="198"/>
        <w:rPr>
          <w:rFonts w:ascii="宋体" w:hAnsi="宋体" w:cs="宋体"/>
          <w:b/>
          <w:bCs/>
          <w:color w:val="auto"/>
          <w:sz w:val="22"/>
          <w:szCs w:val="22"/>
          <w:highlight w:val="none"/>
        </w:rPr>
      </w:pPr>
      <w:bookmarkStart w:id="66" w:name="_Toc195502496"/>
      <w:bookmarkStart w:id="67" w:name="_Toc202085296"/>
      <w:bookmarkStart w:id="68" w:name="_Toc195502586"/>
      <w:bookmarkStart w:id="69" w:name="_Toc14682749"/>
      <w:bookmarkStart w:id="70" w:name="_Toc28793"/>
      <w:bookmarkStart w:id="71" w:name="_Toc30488974"/>
      <w:bookmarkStart w:id="72" w:name="_Toc195502585"/>
      <w:bookmarkStart w:id="73" w:name="_Toc202085295"/>
      <w:bookmarkStart w:id="74" w:name="_Toc195502495"/>
      <w:r>
        <w:rPr>
          <w:rFonts w:hint="eastAsia" w:ascii="宋体" w:hAnsi="宋体" w:cs="宋体"/>
          <w:b/>
          <w:bCs/>
          <w:color w:val="auto"/>
          <w:sz w:val="22"/>
          <w:szCs w:val="22"/>
          <w:highlight w:val="none"/>
        </w:rPr>
        <w:t>特别提示：以下为合同范本，仅供参考。合同条款的具体内容应严格按照采购文件、投标文件、采购结果及中标人的承诺来拟订。</w:t>
      </w:r>
    </w:p>
    <w:p w14:paraId="10612FAA">
      <w:pPr>
        <w:spacing w:line="360" w:lineRule="exact"/>
        <w:rPr>
          <w:rFonts w:ascii="宋体" w:hAnsi="宋体" w:cs="宋体"/>
          <w:color w:val="auto"/>
          <w:sz w:val="22"/>
          <w:szCs w:val="22"/>
          <w:highlight w:val="none"/>
        </w:rPr>
      </w:pPr>
      <w:bookmarkStart w:id="75" w:name="_Toc5261"/>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温州肯恩大学</w:t>
      </w:r>
    </w:p>
    <w:p w14:paraId="7B6E3823">
      <w:pPr>
        <w:spacing w:line="360" w:lineRule="exact"/>
        <w:rPr>
          <w:rFonts w:ascii="宋体" w:hAnsi="宋体" w:cs="宋体"/>
          <w:color w:val="auto"/>
          <w:sz w:val="22"/>
          <w:szCs w:val="22"/>
          <w:highlight w:val="none"/>
          <w:u w:val="single"/>
          <w:lang w:val="zh-CN"/>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lang w:val="zh-CN"/>
        </w:rPr>
        <w:t xml:space="preserve">：            </w:t>
      </w:r>
    </w:p>
    <w:p w14:paraId="4E6C9D6F">
      <w:pPr>
        <w:ind w:firstLine="420" w:firstLineChars="200"/>
        <w:jc w:val="center"/>
        <w:rPr>
          <w:color w:val="auto"/>
          <w:highlight w:val="none"/>
        </w:rPr>
      </w:pPr>
    </w:p>
    <w:p w14:paraId="37E09BF1">
      <w:pPr>
        <w:spacing w:line="360" w:lineRule="exact"/>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年</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日在温州肯恩大学的</w:t>
      </w:r>
      <w:r>
        <w:rPr>
          <w:rFonts w:hint="eastAsia" w:ascii="宋体" w:hAnsi="宋体" w:cs="宋体"/>
          <w:color w:val="auto"/>
          <w:sz w:val="22"/>
          <w:szCs w:val="22"/>
          <w:highlight w:val="none"/>
          <w:u w:val="single"/>
        </w:rPr>
        <w:t xml:space="preserve"> 温州肯恩大学动物房运营管理及相关设备维保服务采购项目</w:t>
      </w:r>
      <w:r>
        <w:rPr>
          <w:rFonts w:hint="eastAsia" w:ascii="宋体" w:hAnsi="宋体" w:cs="宋体"/>
          <w:color w:val="auto"/>
          <w:sz w:val="22"/>
          <w:szCs w:val="22"/>
          <w:highlight w:val="none"/>
        </w:rPr>
        <w:t>招标采购中，甲方接受乙方对本次服务的投标，甲乙双方根据《中华人民共和国民法典》等法规和本合同的采购文件、投标文件及其投标中的承诺，经双方协商，同意签订本合同，共同遵守。</w:t>
      </w:r>
    </w:p>
    <w:p w14:paraId="3ECB469D">
      <w:pPr>
        <w:spacing w:line="360" w:lineRule="exact"/>
        <w:ind w:firstLine="418" w:firstLineChars="200"/>
        <w:rPr>
          <w:rFonts w:ascii="宋体" w:hAnsi="宋体" w:cs="宋体"/>
          <w:color w:val="auto"/>
          <w:sz w:val="22"/>
          <w:szCs w:val="22"/>
          <w:highlight w:val="none"/>
        </w:rPr>
      </w:pPr>
      <w:r>
        <w:rPr>
          <w:rFonts w:hint="eastAsia" w:ascii="宋体" w:hAnsi="宋体" w:cs="宋体"/>
          <w:b/>
          <w:color w:val="auto"/>
          <w:spacing w:val="-6"/>
          <w:sz w:val="22"/>
          <w:szCs w:val="22"/>
          <w:highlight w:val="none"/>
        </w:rPr>
        <w:t>第一条：采购内容</w:t>
      </w:r>
    </w:p>
    <w:tbl>
      <w:tblPr>
        <w:tblStyle w:val="39"/>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08"/>
        <w:gridCol w:w="1550"/>
        <w:gridCol w:w="1794"/>
        <w:gridCol w:w="1917"/>
        <w:gridCol w:w="963"/>
      </w:tblGrid>
      <w:tr w14:paraId="5270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Align w:val="center"/>
          </w:tcPr>
          <w:p w14:paraId="1760DB9D">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序号</w:t>
            </w:r>
          </w:p>
        </w:tc>
        <w:tc>
          <w:tcPr>
            <w:tcW w:w="2408" w:type="dxa"/>
            <w:vAlign w:val="center"/>
          </w:tcPr>
          <w:p w14:paraId="79D5E30F">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名称</w:t>
            </w:r>
          </w:p>
        </w:tc>
        <w:tc>
          <w:tcPr>
            <w:tcW w:w="1550" w:type="dxa"/>
            <w:vAlign w:val="center"/>
          </w:tcPr>
          <w:p w14:paraId="1D74AC2A">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数量</w:t>
            </w:r>
          </w:p>
        </w:tc>
        <w:tc>
          <w:tcPr>
            <w:tcW w:w="1794" w:type="dxa"/>
            <w:vAlign w:val="center"/>
          </w:tcPr>
          <w:p w14:paraId="1FFD8886">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单价</w:t>
            </w:r>
          </w:p>
          <w:p w14:paraId="5C6B382C">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（人民币元）</w:t>
            </w:r>
          </w:p>
        </w:tc>
        <w:tc>
          <w:tcPr>
            <w:tcW w:w="1917" w:type="dxa"/>
            <w:vAlign w:val="center"/>
          </w:tcPr>
          <w:p w14:paraId="1856D25E">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合计</w:t>
            </w:r>
          </w:p>
          <w:p w14:paraId="55D12694">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（人民币元）</w:t>
            </w:r>
          </w:p>
        </w:tc>
        <w:tc>
          <w:tcPr>
            <w:tcW w:w="963" w:type="dxa"/>
            <w:vAlign w:val="center"/>
          </w:tcPr>
          <w:p w14:paraId="53C1F214">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备注</w:t>
            </w:r>
          </w:p>
        </w:tc>
      </w:tr>
      <w:tr w14:paraId="58F4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Align w:val="center"/>
          </w:tcPr>
          <w:p w14:paraId="49E2E106">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1</w:t>
            </w:r>
          </w:p>
        </w:tc>
        <w:tc>
          <w:tcPr>
            <w:tcW w:w="2408" w:type="dxa"/>
            <w:vAlign w:val="center"/>
          </w:tcPr>
          <w:p w14:paraId="1FDF8CAE">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温州肯恩大学动物房运营管理及相关设备维保服务采购项目</w:t>
            </w:r>
          </w:p>
        </w:tc>
        <w:tc>
          <w:tcPr>
            <w:tcW w:w="1550" w:type="dxa"/>
            <w:vAlign w:val="center"/>
          </w:tcPr>
          <w:p w14:paraId="5E24BF75">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1年</w:t>
            </w:r>
          </w:p>
        </w:tc>
        <w:tc>
          <w:tcPr>
            <w:tcW w:w="1794" w:type="dxa"/>
            <w:vAlign w:val="center"/>
          </w:tcPr>
          <w:p w14:paraId="42D1D9F3">
            <w:pPr>
              <w:spacing w:line="360" w:lineRule="exact"/>
              <w:jc w:val="center"/>
              <w:rPr>
                <w:rFonts w:ascii="宋体" w:hAnsi="宋体" w:cs="宋体"/>
                <w:color w:val="auto"/>
                <w:spacing w:val="-6"/>
                <w:sz w:val="22"/>
                <w:szCs w:val="22"/>
                <w:highlight w:val="none"/>
              </w:rPr>
            </w:pPr>
          </w:p>
        </w:tc>
        <w:tc>
          <w:tcPr>
            <w:tcW w:w="1917" w:type="dxa"/>
            <w:vAlign w:val="center"/>
          </w:tcPr>
          <w:p w14:paraId="07A30F14">
            <w:pPr>
              <w:tabs>
                <w:tab w:val="left" w:pos="361"/>
              </w:tabs>
              <w:spacing w:line="360" w:lineRule="exact"/>
              <w:jc w:val="left"/>
              <w:rPr>
                <w:rFonts w:ascii="宋体" w:hAnsi="宋体" w:cs="宋体"/>
                <w:color w:val="auto"/>
                <w:spacing w:val="-6"/>
                <w:sz w:val="22"/>
                <w:szCs w:val="22"/>
                <w:highlight w:val="none"/>
              </w:rPr>
            </w:pPr>
          </w:p>
        </w:tc>
        <w:tc>
          <w:tcPr>
            <w:tcW w:w="963" w:type="dxa"/>
            <w:vAlign w:val="center"/>
          </w:tcPr>
          <w:p w14:paraId="158636E7">
            <w:pPr>
              <w:spacing w:line="360" w:lineRule="exact"/>
              <w:rPr>
                <w:rFonts w:ascii="宋体" w:hAnsi="宋体" w:cs="宋体"/>
                <w:color w:val="auto"/>
                <w:spacing w:val="-6"/>
                <w:sz w:val="22"/>
                <w:szCs w:val="22"/>
                <w:highlight w:val="none"/>
              </w:rPr>
            </w:pPr>
          </w:p>
        </w:tc>
      </w:tr>
      <w:tr w14:paraId="0626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2" w:type="dxa"/>
            <w:gridSpan w:val="6"/>
            <w:vAlign w:val="center"/>
          </w:tcPr>
          <w:p w14:paraId="49C42E04">
            <w:pPr>
              <w:spacing w:line="36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注：1.以上合同总价包括完成服务所需的一切费用。</w:t>
            </w:r>
          </w:p>
        </w:tc>
      </w:tr>
    </w:tbl>
    <w:p w14:paraId="00A93852">
      <w:pPr>
        <w:spacing w:line="3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第二条：服务时间、地点</w:t>
      </w:r>
    </w:p>
    <w:p w14:paraId="76E2477A">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服务时间：</w:t>
      </w:r>
      <w:r>
        <w:rPr>
          <w:rFonts w:hint="eastAsia" w:ascii="宋体" w:hAnsi="宋体" w:cs="宋体"/>
          <w:color w:val="auto"/>
          <w:sz w:val="22"/>
          <w:highlight w:val="none"/>
        </w:rPr>
        <w:t>2025年9月11日-2026年9月10日</w:t>
      </w:r>
    </w:p>
    <w:p w14:paraId="61DCFB2C">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服务地点：甲方指定地点</w:t>
      </w:r>
    </w:p>
    <w:p w14:paraId="759CA2EB">
      <w:pPr>
        <w:pStyle w:val="12"/>
        <w:spacing w:line="360" w:lineRule="exact"/>
        <w:ind w:firstLine="442" w:firstLineChars="200"/>
        <w:rPr>
          <w:rFonts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第三条：付款</w:t>
      </w:r>
    </w:p>
    <w:p w14:paraId="15230CB5">
      <w:pPr>
        <w:pStyle w:val="12"/>
        <w:numPr>
          <w:ilvl w:val="0"/>
          <w:numId w:val="3"/>
        </w:numPr>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支付方式</w:t>
      </w:r>
    </w:p>
    <w:p w14:paraId="7CAB2EA0">
      <w:pPr>
        <w:pStyle w:val="35"/>
        <w:shd w:val="clear" w:color="auto" w:fill="FFFFFF"/>
        <w:spacing w:beforeAutospacing="0" w:afterAutospacing="0" w:line="360" w:lineRule="exact"/>
        <w:ind w:firstLine="440" w:firstLineChars="200"/>
        <w:rPr>
          <w:color w:val="auto"/>
          <w:sz w:val="22"/>
          <w:szCs w:val="22"/>
          <w:highlight w:val="none"/>
        </w:rPr>
      </w:pPr>
      <w:r>
        <w:rPr>
          <w:rFonts w:hint="eastAsia"/>
          <w:color w:val="auto"/>
          <w:sz w:val="22"/>
          <w:szCs w:val="22"/>
          <w:highlight w:val="none"/>
        </w:rPr>
        <w:t>合同生效以及具备实施条件后7个工作日内采购人将合同金额的40%预付款给供应商，</w:t>
      </w:r>
      <w:r>
        <w:rPr>
          <w:rStyle w:val="45"/>
          <w:rFonts w:hint="eastAsia"/>
          <w:color w:val="auto"/>
          <w:kern w:val="2"/>
          <w:highlight w:val="none"/>
        </w:rPr>
        <w:t>合同生效的半年后支付至合同金额的80%，项目完成通过采购方要求验收合格后，支付至合同金额的100%。</w:t>
      </w:r>
    </w:p>
    <w:p w14:paraId="4E28BD24">
      <w:pPr>
        <w:pStyle w:val="35"/>
        <w:shd w:val="clear" w:color="auto" w:fill="FFFFFF"/>
        <w:spacing w:beforeAutospacing="0" w:afterAutospacing="0" w:line="360" w:lineRule="exact"/>
        <w:ind w:firstLine="440" w:firstLineChars="200"/>
        <w:rPr>
          <w:color w:val="auto"/>
          <w:sz w:val="22"/>
          <w:szCs w:val="22"/>
          <w:highlight w:val="none"/>
        </w:rPr>
      </w:pPr>
      <w:r>
        <w:rPr>
          <w:rFonts w:hint="eastAsia"/>
          <w:color w:val="auto"/>
          <w:sz w:val="22"/>
          <w:szCs w:val="22"/>
          <w:highlight w:val="none"/>
        </w:rPr>
        <w:t>注：1.在签订合同时，供应商明确表示主动要求降低预付款比例的，按实际比例计；供应商明确表示无需预付款的，在每年服务期满中标人完成该年度全部服务并通过采购人验收后按实支付该合同全款。采购单位对于满足合同约定支付条件的，自收到相应金额的发票后7个工作日内将资金支付到合同约定的中标人账户。</w:t>
      </w:r>
    </w:p>
    <w:p w14:paraId="0BECE23A">
      <w:pPr>
        <w:pStyle w:val="35"/>
        <w:shd w:val="clear" w:color="auto" w:fill="FFFFFF"/>
        <w:spacing w:beforeAutospacing="0" w:afterAutospacing="0" w:line="360" w:lineRule="exact"/>
        <w:ind w:firstLine="442" w:firstLineChars="200"/>
        <w:rPr>
          <w:color w:val="auto"/>
          <w:sz w:val="22"/>
          <w:szCs w:val="22"/>
          <w:highlight w:val="none"/>
        </w:rPr>
      </w:pPr>
      <w:r>
        <w:rPr>
          <w:rFonts w:hint="eastAsia"/>
          <w:b/>
          <w:bCs/>
          <w:color w:val="auto"/>
          <w:sz w:val="22"/>
          <w:szCs w:val="22"/>
          <w:highlight w:val="none"/>
        </w:rPr>
        <w:t>以上所指的具备实施条件系指人员到位、设备已全部掌握和使用、全部交接完毕达到采购需求中的最低要求。</w:t>
      </w:r>
    </w:p>
    <w:p w14:paraId="19AF7DE0">
      <w:pPr>
        <w:pStyle w:val="35"/>
        <w:shd w:val="clear" w:color="auto" w:fill="FFFFFF"/>
        <w:spacing w:beforeAutospacing="0" w:afterAutospacing="0" w:line="360" w:lineRule="exact"/>
        <w:ind w:firstLine="442" w:firstLineChars="200"/>
        <w:rPr>
          <w:b/>
          <w:color w:val="auto"/>
          <w:sz w:val="22"/>
          <w:szCs w:val="22"/>
          <w:highlight w:val="none"/>
          <w:shd w:val="clear" w:color="auto" w:fill="FFFFFF"/>
        </w:rPr>
      </w:pPr>
      <w:r>
        <w:rPr>
          <w:rFonts w:hint="eastAsia"/>
          <w:b/>
          <w:color w:val="auto"/>
          <w:sz w:val="22"/>
          <w:szCs w:val="22"/>
          <w:highlight w:val="none"/>
          <w:shd w:val="clear" w:color="auto" w:fill="FFFFFF"/>
        </w:rPr>
        <w:t>第四条：</w:t>
      </w:r>
      <w:r>
        <w:rPr>
          <w:rFonts w:hint="eastAsia"/>
          <w:b/>
          <w:color w:val="auto"/>
          <w:sz w:val="22"/>
          <w:szCs w:val="22"/>
          <w:highlight w:val="none"/>
        </w:rPr>
        <w:t>双方责任</w:t>
      </w:r>
    </w:p>
    <w:p w14:paraId="7C7CB3B1">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1.甲方</w:t>
      </w:r>
    </w:p>
    <w:p w14:paraId="57068BC7">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提供相关的协助服务，配合乙方履行好合同义务；</w:t>
      </w:r>
    </w:p>
    <w:p w14:paraId="312D4283">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审核乙方服务的内容，按合同规定向乙方支付服务费用；</w:t>
      </w:r>
    </w:p>
    <w:p w14:paraId="305D60AD">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有权核查乙方机构资质证书和现场人员执业资格证书；</w:t>
      </w:r>
    </w:p>
    <w:p w14:paraId="09529276">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甲方有权对动物房及配套设施的管理、卫生和安全随时进行监督检查，并可邀请专业评估机构及相关部门对动物房及配套设施的使用、安全、卫生、管理状况进行检测；</w:t>
      </w:r>
    </w:p>
    <w:p w14:paraId="3FC96287">
      <w:pPr>
        <w:numPr>
          <w:ilvl w:val="0"/>
          <w:numId w:val="4"/>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对服务组织、进度、质量、现场管理、服务合同的执行情况进行审核、监督和检查。如乙方派出的服务人员在本合同实施过程中，因素质、技术水平、服务质量、现场管理经验、采用的设备、文明安全等不符合采购文件的要求或投标文件中的承诺，造成现场管理混乱、服务质量和进度达不到采购文件中所承诺的要求时，甲方有权要求其重新调整充实服务人员，乙方必须接受，否则作违约处理，此时甲方可单方面终止合同。造成经济损失的，乙方应予赔偿相应经济损失。</w:t>
      </w:r>
    </w:p>
    <w:p w14:paraId="2BD5AE95">
      <w:pPr>
        <w:numPr>
          <w:ilvl w:val="0"/>
          <w:numId w:val="4"/>
        </w:numPr>
        <w:spacing w:line="360" w:lineRule="exact"/>
        <w:ind w:left="0" w:firstLine="440" w:firstLineChars="200"/>
        <w:rPr>
          <w:color w:val="auto"/>
          <w:sz w:val="22"/>
          <w:szCs w:val="22"/>
          <w:highlight w:val="none"/>
        </w:rPr>
      </w:pPr>
      <w:r>
        <w:rPr>
          <w:rFonts w:hint="eastAsia"/>
          <w:color w:val="auto"/>
          <w:sz w:val="22"/>
          <w:szCs w:val="22"/>
          <w:highlight w:val="none"/>
        </w:rPr>
        <w:t>甲方承担动物房管理运行期间的水、电费用。</w:t>
      </w:r>
    </w:p>
    <w:p w14:paraId="3F97664B">
      <w:pPr>
        <w:numPr>
          <w:ilvl w:val="0"/>
          <w:numId w:val="4"/>
        </w:numPr>
        <w:spacing w:line="360" w:lineRule="exact"/>
        <w:ind w:left="0" w:firstLine="440" w:firstLineChars="200"/>
        <w:rPr>
          <w:color w:val="auto"/>
          <w:sz w:val="22"/>
          <w:szCs w:val="22"/>
          <w:highlight w:val="none"/>
        </w:rPr>
      </w:pPr>
      <w:r>
        <w:rPr>
          <w:rFonts w:hint="eastAsia"/>
          <w:color w:val="auto"/>
          <w:sz w:val="22"/>
          <w:szCs w:val="22"/>
          <w:highlight w:val="none"/>
        </w:rPr>
        <w:t>动物房管</w:t>
      </w:r>
      <w:r>
        <w:rPr>
          <w:rFonts w:hint="eastAsia" w:ascii="宋体" w:hAnsi="宋体" w:cs="宋体"/>
          <w:color w:val="auto"/>
          <w:sz w:val="22"/>
          <w:szCs w:val="22"/>
          <w:highlight w:val="none"/>
        </w:rPr>
        <w:t>理运行期间，甲方负责因设备及设施正常运行损耗或损坏的维修，相关费用由甲方承担</w:t>
      </w:r>
      <w:r>
        <w:rPr>
          <w:rFonts w:hint="eastAsia"/>
          <w:color w:val="auto"/>
          <w:sz w:val="22"/>
          <w:szCs w:val="22"/>
          <w:highlight w:val="none"/>
        </w:rPr>
        <w:t>。</w:t>
      </w:r>
    </w:p>
    <w:p w14:paraId="2E3C0EC2">
      <w:pPr>
        <w:numPr>
          <w:ilvl w:val="0"/>
          <w:numId w:val="4"/>
        </w:numPr>
        <w:spacing w:line="360" w:lineRule="exact"/>
        <w:ind w:left="0" w:firstLine="440" w:firstLineChars="200"/>
        <w:rPr>
          <w:color w:val="auto"/>
          <w:sz w:val="22"/>
          <w:szCs w:val="22"/>
          <w:highlight w:val="none"/>
        </w:rPr>
      </w:pPr>
      <w:r>
        <w:rPr>
          <w:rFonts w:hint="eastAsia"/>
          <w:color w:val="auto"/>
          <w:sz w:val="22"/>
          <w:szCs w:val="22"/>
          <w:highlight w:val="none"/>
        </w:rPr>
        <w:t>设备及设施移交时，甲方必须保证设备及设施完好及运行正常，甲方应向乙方提供相关正常运行记录证明，并提供相关设备及设施的使用培训。</w:t>
      </w:r>
    </w:p>
    <w:p w14:paraId="510EF534">
      <w:pPr>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2.乙方</w:t>
      </w:r>
    </w:p>
    <w:p w14:paraId="45E1A5BB">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严格按照合同规定时间和采购文件要求提供服务。</w:t>
      </w:r>
    </w:p>
    <w:p w14:paraId="7C9FC89A">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乙方必须依法文明经营，并自觉接受相关部门和甲方的管理与监管。</w:t>
      </w:r>
    </w:p>
    <w:p w14:paraId="18DFBBB3">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乙方需配置责任区域内制定完备的规章制度（必须经过甲方人认可），包括动物房日常运营管理、动物实验操作、培训和监督、动物房水电管理制度、动物房紧急事故处理预案、卫生制度等。</w:t>
      </w:r>
    </w:p>
    <w:p w14:paraId="5A309053">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动物房管理必须达到国家规定的各项卫生指标、安全指标，管理达不到要求时，由此而造成的损失和责任概由乙方承担。如给甲方造成负面影响，甲方保留经济处罚的权利。</w:t>
      </w:r>
    </w:p>
    <w:p w14:paraId="141DB93D">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合同签订后，甲方对动物房现有的所有设施和资产进行清点，并当面向乙方移交。乙方要自觉爱护动物房所有财产和器材设备，合同期满时，必须保持财产和器材设备的完好，若有损坏（</w:t>
      </w:r>
      <w:r>
        <w:rPr>
          <w:rFonts w:hint="eastAsia"/>
          <w:color w:val="auto"/>
          <w:highlight w:val="none"/>
        </w:rPr>
        <w:t>正常运行损耗或损坏的除外</w:t>
      </w:r>
      <w:r>
        <w:rPr>
          <w:rFonts w:hint="eastAsia" w:ascii="宋体" w:hAnsi="宋体" w:cs="宋体"/>
          <w:color w:val="auto"/>
          <w:sz w:val="22"/>
          <w:szCs w:val="22"/>
          <w:highlight w:val="none"/>
        </w:rPr>
        <w:t>），承担相应的维修或赔偿。属于乙方装修的也需无条件移交甲方。</w:t>
      </w:r>
    </w:p>
    <w:p w14:paraId="53582104">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服务期内经营动物房及附属设施的一切经营、法律和安全责任均由乙方承担。</w:t>
      </w:r>
    </w:p>
    <w:p w14:paraId="76F777B5">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乙方在服务期内不得改变动物房及附属设施的结构。</w:t>
      </w:r>
    </w:p>
    <w:p w14:paraId="0EB8521E">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乙方签订合同后，不得转租给他人使用和经营，也不得许可第三人参与经营。经营中所有收入全部归甲方所有，乙方不得从中牟利。</w:t>
      </w:r>
    </w:p>
    <w:p w14:paraId="50330A03">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进出校门服从甲方（学校）的交通管理及防疫管理等学校的管理规定。</w:t>
      </w:r>
    </w:p>
    <w:p w14:paraId="5113E902">
      <w:pPr>
        <w:numPr>
          <w:ilvl w:val="0"/>
          <w:numId w:val="5"/>
        </w:numPr>
        <w:spacing w:line="360" w:lineRule="exact"/>
        <w:ind w:left="0"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服务期间需做好相关设施设备运行管理台帐资料，每日水电使用报表，做好动物房水电使用成本核算工作，并按甲方要求的时间定期呈报。</w:t>
      </w:r>
    </w:p>
    <w:p w14:paraId="03DEDC5B">
      <w:pPr>
        <w:numPr>
          <w:ilvl w:val="0"/>
          <w:numId w:val="5"/>
        </w:numPr>
        <w:spacing w:line="360" w:lineRule="exact"/>
        <w:ind w:left="0" w:firstLine="440" w:firstLineChars="200"/>
        <w:rPr>
          <w:rFonts w:ascii="宋体" w:hAnsi="宋体" w:cs="宋体"/>
          <w:bCs/>
          <w:color w:val="auto"/>
          <w:sz w:val="22"/>
          <w:szCs w:val="22"/>
          <w:highlight w:val="none"/>
        </w:rPr>
      </w:pPr>
      <w:r>
        <w:rPr>
          <w:rFonts w:hint="eastAsia" w:ascii="宋体" w:hAnsi="宋体" w:cs="宋体"/>
          <w:color w:val="auto"/>
          <w:sz w:val="22"/>
          <w:szCs w:val="22"/>
          <w:highlight w:val="none"/>
        </w:rPr>
        <w:t>乙方必须对驻点人员按规定进行政治审查和岗位培训，并对驻点人员定期进行职业道德教育，教育其端正服务态度，提高服务质量，遵守甲方的各项规章制度及工作规范，维护甲方形象，服从领导。对不遵守劳动纪律、工作作风拖拉的员工，经查实后酌情处罚，情节严重的甲方有权要求乙方在三日内替换该员工。</w:t>
      </w:r>
    </w:p>
    <w:p w14:paraId="17B82E62">
      <w:pPr>
        <w:numPr>
          <w:ilvl w:val="0"/>
          <w:numId w:val="5"/>
        </w:numPr>
        <w:spacing w:line="360" w:lineRule="exact"/>
        <w:ind w:left="0" w:firstLine="440" w:firstLineChars="200"/>
        <w:rPr>
          <w:rFonts w:ascii="宋体" w:hAnsi="宋体" w:cs="宋体"/>
          <w:bCs/>
          <w:color w:val="auto"/>
          <w:sz w:val="22"/>
          <w:szCs w:val="22"/>
          <w:highlight w:val="none"/>
        </w:rPr>
      </w:pPr>
      <w:r>
        <w:rPr>
          <w:rFonts w:hint="eastAsia" w:ascii="宋体" w:hAnsi="宋体" w:cs="宋体"/>
          <w:color w:val="auto"/>
          <w:sz w:val="22"/>
          <w:szCs w:val="22"/>
          <w:highlight w:val="none"/>
        </w:rPr>
        <w:t>服务期限届满或是合同提前解除的，乙方必须在期限届满或是合同解除之日起三天内将动物房所有财产和器材设备移交给甲方，并办理书面的移交手续。</w:t>
      </w:r>
    </w:p>
    <w:p w14:paraId="0FD8163C">
      <w:pPr>
        <w:numPr>
          <w:ilvl w:val="0"/>
          <w:numId w:val="5"/>
        </w:numPr>
        <w:spacing w:line="360" w:lineRule="exact"/>
        <w:ind w:left="0" w:firstLine="440" w:firstLineChars="200"/>
        <w:rPr>
          <w:rFonts w:ascii="宋体" w:hAnsi="宋体" w:cs="宋体"/>
          <w:bCs/>
          <w:color w:val="auto"/>
          <w:sz w:val="22"/>
          <w:szCs w:val="22"/>
          <w:highlight w:val="none"/>
        </w:rPr>
      </w:pPr>
      <w:r>
        <w:rPr>
          <w:rFonts w:hint="eastAsia" w:ascii="宋体" w:hAnsi="宋体" w:cs="宋体"/>
          <w:color w:val="auto"/>
          <w:sz w:val="22"/>
          <w:szCs w:val="22"/>
          <w:highlight w:val="none"/>
        </w:rPr>
        <w:t>乙方有义务确保甲方实验数据的保密性，如果乙方涉及泄密实验数据，需承担后续责任。</w:t>
      </w:r>
    </w:p>
    <w:p w14:paraId="6FD9AAD9">
      <w:pPr>
        <w:numPr>
          <w:ilvl w:val="0"/>
          <w:numId w:val="5"/>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采购文件中规定的其他责任。</w:t>
      </w:r>
    </w:p>
    <w:p w14:paraId="0C7C49BC">
      <w:pPr>
        <w:adjustRightInd w:val="0"/>
        <w:snapToGrid w:val="0"/>
        <w:spacing w:line="360" w:lineRule="exact"/>
        <w:rPr>
          <w:rFonts w:ascii="宋体" w:hAnsi="宋体" w:cs="宋体"/>
          <w:b/>
          <w:bCs/>
          <w:color w:val="auto"/>
          <w:sz w:val="22"/>
          <w:szCs w:val="22"/>
          <w:highlight w:val="none"/>
        </w:rPr>
      </w:pPr>
      <w:r>
        <w:rPr>
          <w:rFonts w:hint="eastAsia" w:ascii="宋体" w:hAnsi="宋体" w:cs="宋体"/>
          <w:b/>
          <w:color w:val="auto"/>
          <w:spacing w:val="-6"/>
          <w:sz w:val="22"/>
          <w:szCs w:val="22"/>
          <w:highlight w:val="none"/>
        </w:rPr>
        <w:t>第五条：</w:t>
      </w:r>
      <w:r>
        <w:rPr>
          <w:rFonts w:hint="eastAsia" w:ascii="宋体" w:hAnsi="宋体" w:cs="宋体"/>
          <w:b/>
          <w:bCs/>
          <w:color w:val="auto"/>
          <w:sz w:val="22"/>
          <w:szCs w:val="22"/>
          <w:highlight w:val="none"/>
        </w:rPr>
        <w:t>违约责任</w:t>
      </w:r>
    </w:p>
    <w:p w14:paraId="1725715D">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1.甲乙双方任何一方无正当理由提前终止合同的，应向对方支付年合同总额的30%的违约金；</w:t>
      </w:r>
    </w:p>
    <w:p w14:paraId="127ABBE1">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2.乙方发生经政府相关部门或司法机构认定乙方负有主要责任的重大安全责任事故情形时，乙方须承担全额赔偿责任，并向甲方支付年合同总额的30%的违约金。</w:t>
      </w:r>
    </w:p>
    <w:p w14:paraId="098657F8">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3.合同期满或是合同解除时，乙方未在期满或解除之日起三天内返还动物房所有财产和器材设备的，每迟延一日，应当向甲方支付年合同总额的千分之三的违约金。</w:t>
      </w:r>
    </w:p>
    <w:p w14:paraId="01E98589">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4.合同期间内如遇不可抗力的原因而致使合同不能履行时，任何一方均不承担违约责任。</w:t>
      </w:r>
    </w:p>
    <w:p w14:paraId="76B49456">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5.合同期内乙方不得未经甲方同意更换驻点人员，发生一次须向甲方支付年合同总额的百分之十的违约金；若服务期间发生两次该情况，甲方有权解除合同。</w:t>
      </w:r>
    </w:p>
    <w:p w14:paraId="08AB9099">
      <w:pPr>
        <w:spacing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第六条：合同的变更、解除与终止</w:t>
      </w:r>
    </w:p>
    <w:p w14:paraId="38D6F09C">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双方可以协商变更或解除本合同。</w:t>
      </w:r>
    </w:p>
    <w:p w14:paraId="28D95EE6">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服务期间，乙方有下列行为之一的，甲方有权解除合同，收回服务期内运营权；没收履约保证金。若没收的履约保证金不足弥补甲方损失的，乙方还应负责赔偿直至达到弥补全部损失为止。</w:t>
      </w:r>
    </w:p>
    <w:p w14:paraId="361A694F">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未经甲方书面同意，转让、转租、转借、交换承包经营权。</w:t>
      </w:r>
    </w:p>
    <w:p w14:paraId="2E46C7AE">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未经甲方书面同意，拆改、变动承包经营场地的结构。</w:t>
      </w:r>
    </w:p>
    <w:p w14:paraId="6C6718BA">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乙方承担动物房内安全责任风险，乙方若存在一定安全过失，造成场地设施设备损坏或人员安全问题，甲方可根据损失金额扣除履约保证金；若情节恶劣，严重影响甲方名誉，甲方有权单方面终止合同。</w:t>
      </w:r>
    </w:p>
    <w:p w14:paraId="4A2C9274">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未经甲方书面同意，改变本合同约定的承包经营场地用途</w:t>
      </w:r>
      <w:r>
        <w:rPr>
          <w:rStyle w:val="45"/>
          <w:rFonts w:hint="eastAsia"/>
          <w:color w:val="auto"/>
          <w:highlight w:val="none"/>
        </w:rPr>
        <w:t>（动物房）</w:t>
      </w:r>
      <w:r>
        <w:rPr>
          <w:rFonts w:hint="eastAsia" w:ascii="宋体" w:hAnsi="宋体" w:cs="宋体"/>
          <w:color w:val="auto"/>
          <w:sz w:val="22"/>
          <w:szCs w:val="22"/>
          <w:highlight w:val="none"/>
        </w:rPr>
        <w:t>。</w:t>
      </w:r>
    </w:p>
    <w:p w14:paraId="2AFB41C9">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利用承包经营场地存放危险物品或进行违法活动。</w:t>
      </w:r>
    </w:p>
    <w:p w14:paraId="0417871A">
      <w:pPr>
        <w:numPr>
          <w:ilvl w:val="0"/>
          <w:numId w:val="7"/>
        </w:numPr>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进行非法经营活动。</w:t>
      </w:r>
    </w:p>
    <w:p w14:paraId="15A6A413">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服务期期满或合同提前终止的，乙方应如期或按甲方通知的期限交还甲方运营权。乙方逾期归还，则每逾期一日应向甲方支付原日服务费用一倍的滞纳金，并没收履约保证金。乙方还应承担因逾期归还给甲方造成的损失。</w:t>
      </w:r>
    </w:p>
    <w:p w14:paraId="34F12626">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服务期满合同自然终止。</w:t>
      </w:r>
    </w:p>
    <w:p w14:paraId="225150F4">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因不可抗力因素导致合同无法履行的，合同终止。</w:t>
      </w:r>
    </w:p>
    <w:p w14:paraId="249B6F9E">
      <w:pPr>
        <w:numPr>
          <w:ilvl w:val="0"/>
          <w:numId w:val="6"/>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任何一方欲提前解除合同的，除本合同约定甲方具有单方解除权的情况或法律规定的法定解除情形外，应当提前3个月，将拟退出原因、退出时间等有关内容书面告知对方，并按实结算相关费用。乙方应承担其单方解除合同给甲方造成的损失。</w:t>
      </w:r>
    </w:p>
    <w:p w14:paraId="7A15C51B">
      <w:pPr>
        <w:spacing w:line="360" w:lineRule="exact"/>
        <w:ind w:firstLine="418" w:firstLineChars="200"/>
        <w:rPr>
          <w:rFonts w:ascii="宋体" w:hAnsi="宋体" w:cs="宋体"/>
          <w:b/>
          <w:bCs/>
          <w:color w:val="auto"/>
          <w:sz w:val="22"/>
          <w:szCs w:val="22"/>
          <w:highlight w:val="none"/>
        </w:rPr>
      </w:pPr>
      <w:r>
        <w:rPr>
          <w:rFonts w:hint="eastAsia" w:ascii="宋体" w:hAnsi="宋体" w:cs="宋体"/>
          <w:b/>
          <w:color w:val="auto"/>
          <w:spacing w:val="-6"/>
          <w:sz w:val="22"/>
          <w:szCs w:val="22"/>
          <w:highlight w:val="none"/>
        </w:rPr>
        <w:t>第七条：</w:t>
      </w:r>
      <w:r>
        <w:rPr>
          <w:rFonts w:hint="eastAsia" w:ascii="宋体" w:hAnsi="宋体" w:cs="宋体"/>
          <w:b/>
          <w:bCs/>
          <w:color w:val="auto"/>
          <w:sz w:val="22"/>
          <w:szCs w:val="22"/>
          <w:highlight w:val="none"/>
        </w:rPr>
        <w:t>免责条件</w:t>
      </w:r>
    </w:p>
    <w:p w14:paraId="30378C4E">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1、因不可抗力原因致使本合同不能继续履行或造成的损失，甲、乙双方互不承担责任。</w:t>
      </w:r>
    </w:p>
    <w:p w14:paraId="5E0E4A9A">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2、因国家政策或学校总体规划需要拆除或改造已服务的动物房时，本服务合同自动解除，若使甲、乙双方造成损失的，互不承担责任。</w:t>
      </w:r>
    </w:p>
    <w:p w14:paraId="6550CD9C">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3、因上述原因而终止合同的，服务费按照实际使用时间计算，不足整月的按天数计算。</w:t>
      </w:r>
    </w:p>
    <w:p w14:paraId="67ECC771">
      <w:pPr>
        <w:spacing w:line="36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4、不可抗力系指“不能预见、不能避免并不能克服的客观情况”。</w:t>
      </w:r>
    </w:p>
    <w:p w14:paraId="01AC17DD">
      <w:pPr>
        <w:pStyle w:val="135"/>
        <w:spacing w:line="360" w:lineRule="exact"/>
        <w:ind w:firstLine="418"/>
        <w:rPr>
          <w:b/>
          <w:color w:val="auto"/>
          <w:sz w:val="22"/>
          <w:highlight w:val="none"/>
        </w:rPr>
      </w:pPr>
      <w:r>
        <w:rPr>
          <w:rFonts w:hint="eastAsia"/>
          <w:b/>
          <w:color w:val="auto"/>
          <w:spacing w:val="-6"/>
          <w:sz w:val="22"/>
          <w:highlight w:val="none"/>
        </w:rPr>
        <w:t>第</w:t>
      </w:r>
      <w:r>
        <w:rPr>
          <w:rFonts w:hint="eastAsia"/>
          <w:b/>
          <w:bCs/>
          <w:color w:val="auto"/>
          <w:sz w:val="22"/>
          <w:highlight w:val="none"/>
        </w:rPr>
        <w:t>八条：</w:t>
      </w:r>
      <w:r>
        <w:rPr>
          <w:rFonts w:hint="eastAsia"/>
          <w:b/>
          <w:color w:val="auto"/>
          <w:sz w:val="22"/>
          <w:highlight w:val="none"/>
        </w:rPr>
        <w:t>验收</w:t>
      </w:r>
    </w:p>
    <w:p w14:paraId="421C3CA5">
      <w:pPr>
        <w:spacing w:line="360" w:lineRule="exact"/>
        <w:ind w:firstLine="420" w:firstLineChars="200"/>
        <w:rPr>
          <w:rFonts w:ascii="宋体" w:hAnsi="宋体" w:cs="宋体"/>
          <w:bCs/>
          <w:color w:val="auto"/>
          <w:sz w:val="22"/>
          <w:szCs w:val="22"/>
          <w:highlight w:val="none"/>
        </w:rPr>
      </w:pPr>
      <w:r>
        <w:rPr>
          <w:rFonts w:hint="eastAsia"/>
          <w:color w:val="auto"/>
          <w:highlight w:val="none"/>
        </w:rPr>
        <w:t>据甲方验收标准进行验收，</w:t>
      </w:r>
      <w:r>
        <w:rPr>
          <w:rFonts w:hint="eastAsia" w:ascii="宋体" w:hAnsi="宋体" w:cs="宋体"/>
          <w:bCs/>
          <w:color w:val="auto"/>
          <w:sz w:val="22"/>
          <w:szCs w:val="22"/>
          <w:highlight w:val="none"/>
        </w:rPr>
        <w:t>对服务期内的服务实施情况进行的考核作为验收依据。</w:t>
      </w:r>
    </w:p>
    <w:p w14:paraId="504F6B19">
      <w:pPr>
        <w:adjustRightInd w:val="0"/>
        <w:snapToGrid w:val="0"/>
        <w:spacing w:line="3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乙方承担验收相关的所有费用。</w:t>
      </w:r>
    </w:p>
    <w:p w14:paraId="11CC70CE">
      <w:pPr>
        <w:adjustRightInd w:val="0"/>
        <w:snapToGrid w:val="0"/>
        <w:spacing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第九条：争议解决方式</w:t>
      </w:r>
    </w:p>
    <w:p w14:paraId="6B1056B1">
      <w:pPr>
        <w:adjustRightInd w:val="0"/>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甲乙双方应严格执行本合同中的各项条款，合同实施或与合同有关的一切争端，甲乙双方应通过友好协商解决，如果协商仍得不到解决，在甲方所在地人民法院申请</w:t>
      </w:r>
      <w:r>
        <w:rPr>
          <w:rFonts w:hint="eastAsia" w:ascii="宋体" w:hAnsi="宋体" w:cs="宋体"/>
          <w:snapToGrid w:val="0"/>
          <w:color w:val="auto"/>
          <w:kern w:val="0"/>
          <w:sz w:val="22"/>
          <w:szCs w:val="22"/>
          <w:highlight w:val="none"/>
        </w:rPr>
        <w:t>诉讼</w:t>
      </w:r>
      <w:r>
        <w:rPr>
          <w:rFonts w:hint="eastAsia" w:ascii="宋体" w:hAnsi="宋体" w:cs="宋体"/>
          <w:color w:val="auto"/>
          <w:sz w:val="22"/>
          <w:szCs w:val="22"/>
          <w:highlight w:val="none"/>
        </w:rPr>
        <w:t>。</w:t>
      </w:r>
    </w:p>
    <w:p w14:paraId="6CDAA58E">
      <w:pPr>
        <w:adjustRightInd w:val="0"/>
        <w:snapToGrid w:val="0"/>
        <w:spacing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第十条：合同生效</w:t>
      </w:r>
    </w:p>
    <w:p w14:paraId="1B0E3019">
      <w:pPr>
        <w:numPr>
          <w:ilvl w:val="0"/>
          <w:numId w:val="8"/>
        </w:num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本合同经甲乙双方签字盖章之日起正式生效。</w:t>
      </w:r>
    </w:p>
    <w:p w14:paraId="0A57FE23">
      <w:pPr>
        <w:numPr>
          <w:ilvl w:val="0"/>
          <w:numId w:val="8"/>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本合同一式四份，甲方两份、乙方两份。</w:t>
      </w:r>
    </w:p>
    <w:p w14:paraId="6CBD2A07">
      <w:pPr>
        <w:numPr>
          <w:ilvl w:val="0"/>
          <w:numId w:val="8"/>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如需修改或补充合同内容，经协商，双方应签署书面修改或补充协议，该协议将作为本合同的一个组成部分。</w:t>
      </w:r>
    </w:p>
    <w:p w14:paraId="300239EB">
      <w:pPr>
        <w:numPr>
          <w:ilvl w:val="0"/>
          <w:numId w:val="8"/>
        </w:numPr>
        <w:spacing w:line="360" w:lineRule="exac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温州肯恩大学</w:t>
      </w:r>
      <w:r>
        <w:rPr>
          <w:rFonts w:hint="eastAsia" w:ascii="宋体" w:hAnsi="宋体" w:cs="宋体"/>
          <w:color w:val="auto"/>
          <w:kern w:val="0"/>
          <w:sz w:val="22"/>
          <w:szCs w:val="22"/>
          <w:highlight w:val="none"/>
          <w:u w:val="single"/>
          <w:lang w:bidi="ar"/>
        </w:rPr>
        <w:t>温州肯恩大学动物房运营管理及相关设备维保服务采购项目</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项目采购文件以及投标文件、询标记录、中标通知书、温州肯恩大学</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项目保密协议书和承诺书（如有）、</w:t>
      </w:r>
      <w:r>
        <w:rPr>
          <w:rFonts w:hint="eastAsia" w:ascii="宋体" w:hAnsi="宋体" w:cs="宋体"/>
          <w:color w:val="auto"/>
          <w:sz w:val="22"/>
          <w:szCs w:val="22"/>
          <w:highlight w:val="none"/>
        </w:rPr>
        <w:t>安全责任书</w:t>
      </w:r>
      <w:r>
        <w:rPr>
          <w:rFonts w:hint="eastAsia" w:ascii="宋体" w:hAnsi="宋体" w:cs="宋体"/>
          <w:snapToGrid w:val="0"/>
          <w:color w:val="auto"/>
          <w:kern w:val="0"/>
          <w:sz w:val="22"/>
          <w:szCs w:val="22"/>
          <w:highlight w:val="none"/>
        </w:rPr>
        <w:t>是本合同不可分割的组成部分，本合同未尽事宜从其规定。若本合同约定与前述文件约定不一致的，按照下列顺序予以解释：</w:t>
      </w:r>
    </w:p>
    <w:p w14:paraId="6074AB16">
      <w:pPr>
        <w:widowControl/>
        <w:numPr>
          <w:ilvl w:val="0"/>
          <w:numId w:val="9"/>
        </w:numPr>
        <w:adjustRightInd w:val="0"/>
        <w:snapToGrid w:val="0"/>
        <w:spacing w:line="36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本合同履行过程中双方签署的变更或补充合同（如有）；</w:t>
      </w:r>
    </w:p>
    <w:p w14:paraId="76D4461A">
      <w:pPr>
        <w:widowControl/>
        <w:numPr>
          <w:ilvl w:val="0"/>
          <w:numId w:val="9"/>
        </w:numPr>
        <w:adjustRightInd w:val="0"/>
        <w:snapToGrid w:val="0"/>
        <w:spacing w:line="36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本合同；</w:t>
      </w:r>
    </w:p>
    <w:p w14:paraId="48924EDA">
      <w:pPr>
        <w:widowControl/>
        <w:numPr>
          <w:ilvl w:val="0"/>
          <w:numId w:val="9"/>
        </w:numPr>
        <w:adjustRightInd w:val="0"/>
        <w:snapToGrid w:val="0"/>
        <w:spacing w:line="36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u w:val="single"/>
        </w:rPr>
        <w:t>温州肯恩大学</w:t>
      </w:r>
      <w:r>
        <w:rPr>
          <w:rFonts w:hint="eastAsia" w:ascii="宋体" w:hAnsi="宋体" w:cs="宋体"/>
          <w:snapToGrid w:val="0"/>
          <w:color w:val="auto"/>
          <w:kern w:val="0"/>
          <w:sz w:val="22"/>
          <w:szCs w:val="22"/>
          <w:highlight w:val="none"/>
        </w:rPr>
        <w:t>项目保密协议书和承诺书；</w:t>
      </w:r>
    </w:p>
    <w:p w14:paraId="2FE7E154">
      <w:pPr>
        <w:widowControl/>
        <w:numPr>
          <w:ilvl w:val="0"/>
          <w:numId w:val="9"/>
        </w:numPr>
        <w:adjustRightInd w:val="0"/>
        <w:snapToGrid w:val="0"/>
        <w:spacing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安全责任书；</w:t>
      </w:r>
    </w:p>
    <w:p w14:paraId="6DBC2F13">
      <w:pPr>
        <w:widowControl/>
        <w:numPr>
          <w:ilvl w:val="0"/>
          <w:numId w:val="9"/>
        </w:numPr>
        <w:adjustRightInd w:val="0"/>
        <w:snapToGrid w:val="0"/>
        <w:spacing w:line="36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投标文件；</w:t>
      </w:r>
    </w:p>
    <w:p w14:paraId="6766EAC1">
      <w:pPr>
        <w:widowControl/>
        <w:numPr>
          <w:ilvl w:val="0"/>
          <w:numId w:val="9"/>
        </w:numPr>
        <w:adjustRightInd w:val="0"/>
        <w:snapToGrid w:val="0"/>
        <w:spacing w:line="34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采购文件；</w:t>
      </w:r>
    </w:p>
    <w:p w14:paraId="7248DBE1">
      <w:pPr>
        <w:widowControl/>
        <w:numPr>
          <w:ilvl w:val="0"/>
          <w:numId w:val="9"/>
        </w:numPr>
        <w:adjustRightInd w:val="0"/>
        <w:snapToGrid w:val="0"/>
        <w:spacing w:line="340" w:lineRule="exact"/>
        <w:ind w:left="0"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其他合同文件。</w:t>
      </w:r>
    </w:p>
    <w:p w14:paraId="70284AE9">
      <w:pPr>
        <w:spacing w:line="340" w:lineRule="exact"/>
        <w:rPr>
          <w:rFonts w:ascii="宋体" w:hAnsi="宋体" w:cs="宋体"/>
          <w:color w:val="auto"/>
          <w:sz w:val="22"/>
          <w:szCs w:val="22"/>
          <w:highlight w:val="none"/>
        </w:rPr>
      </w:pPr>
    </w:p>
    <w:p w14:paraId="54CEB65E">
      <w:pPr>
        <w:pStyle w:val="18"/>
        <w:spacing w:line="340" w:lineRule="exact"/>
        <w:ind w:left="0" w:rightChars="0"/>
        <w:rPr>
          <w:rFonts w:cs="宋体"/>
          <w:color w:val="auto"/>
          <w:sz w:val="22"/>
          <w:szCs w:val="22"/>
          <w:highlight w:val="none"/>
        </w:rPr>
      </w:pPr>
    </w:p>
    <w:tbl>
      <w:tblPr>
        <w:tblStyle w:val="3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1F4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678" w:type="dxa"/>
            <w:vAlign w:val="center"/>
          </w:tcPr>
          <w:p w14:paraId="19371961">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甲方（需方）：（盖章）温州肯恩大学</w:t>
            </w:r>
          </w:p>
        </w:tc>
        <w:tc>
          <w:tcPr>
            <w:tcW w:w="4678" w:type="dxa"/>
            <w:vAlign w:val="center"/>
          </w:tcPr>
          <w:p w14:paraId="71D560EC">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乙方（供方）：（盖章）</w:t>
            </w:r>
          </w:p>
        </w:tc>
      </w:tr>
      <w:tr w14:paraId="0434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3004C870">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甲方代表：</w:t>
            </w:r>
          </w:p>
          <w:p w14:paraId="428A4535">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(签字）</w:t>
            </w:r>
          </w:p>
        </w:tc>
        <w:tc>
          <w:tcPr>
            <w:tcW w:w="4678" w:type="dxa"/>
            <w:vAlign w:val="center"/>
          </w:tcPr>
          <w:p w14:paraId="4D8DD7E5">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乙方代表：</w:t>
            </w:r>
          </w:p>
          <w:p w14:paraId="55A05DA2">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（签字）</w:t>
            </w:r>
          </w:p>
        </w:tc>
      </w:tr>
      <w:tr w14:paraId="3143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7CFBBCB6">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地址：</w:t>
            </w:r>
          </w:p>
        </w:tc>
        <w:tc>
          <w:tcPr>
            <w:tcW w:w="4678" w:type="dxa"/>
            <w:vAlign w:val="center"/>
          </w:tcPr>
          <w:p w14:paraId="608389A0">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地址：</w:t>
            </w:r>
          </w:p>
        </w:tc>
      </w:tr>
      <w:tr w14:paraId="0148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0D71DDD0">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邮编：</w:t>
            </w:r>
          </w:p>
        </w:tc>
        <w:tc>
          <w:tcPr>
            <w:tcW w:w="4678" w:type="dxa"/>
            <w:vAlign w:val="center"/>
          </w:tcPr>
          <w:p w14:paraId="64573992">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邮编：</w:t>
            </w:r>
          </w:p>
        </w:tc>
      </w:tr>
      <w:tr w14:paraId="21DC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54A52924">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4678" w:type="dxa"/>
            <w:vAlign w:val="center"/>
          </w:tcPr>
          <w:p w14:paraId="5F28233E">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电话：</w:t>
            </w:r>
          </w:p>
        </w:tc>
      </w:tr>
      <w:tr w14:paraId="2E61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33705295">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4678" w:type="dxa"/>
            <w:vAlign w:val="center"/>
          </w:tcPr>
          <w:p w14:paraId="771CFEA2">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传真：</w:t>
            </w:r>
          </w:p>
        </w:tc>
      </w:tr>
      <w:tr w14:paraId="7DF0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6F2826EF">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开户银行：工行温州分行营业部</w:t>
            </w:r>
          </w:p>
        </w:tc>
        <w:tc>
          <w:tcPr>
            <w:tcW w:w="4678" w:type="dxa"/>
            <w:vAlign w:val="center"/>
          </w:tcPr>
          <w:p w14:paraId="726A955C">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开户银行：</w:t>
            </w:r>
          </w:p>
        </w:tc>
      </w:tr>
      <w:tr w14:paraId="1991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1AB6F84B">
            <w:pPr>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帐号：1203202009045435292</w:t>
            </w:r>
          </w:p>
        </w:tc>
        <w:tc>
          <w:tcPr>
            <w:tcW w:w="4678" w:type="dxa"/>
            <w:vAlign w:val="center"/>
          </w:tcPr>
          <w:p w14:paraId="7860184E">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帐号：</w:t>
            </w:r>
          </w:p>
        </w:tc>
      </w:tr>
      <w:tr w14:paraId="1519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14:paraId="77E90488">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签字日期：      年    月    日</w:t>
            </w:r>
          </w:p>
        </w:tc>
        <w:tc>
          <w:tcPr>
            <w:tcW w:w="4678" w:type="dxa"/>
            <w:vAlign w:val="center"/>
          </w:tcPr>
          <w:p w14:paraId="415FD921">
            <w:pPr>
              <w:spacing w:line="34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签字日期：      年    月    日</w:t>
            </w:r>
          </w:p>
        </w:tc>
      </w:tr>
    </w:tbl>
    <w:p w14:paraId="151EA0F7">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5311D4F5">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评分索引表</w:t>
      </w:r>
      <w:bookmarkEnd w:id="75"/>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4741"/>
        <w:gridCol w:w="4086"/>
      </w:tblGrid>
      <w:tr w14:paraId="51C4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6E23A1CE">
            <w:pPr>
              <w:spacing w:line="360" w:lineRule="auto"/>
              <w:ind w:right="-78" w:rightChars="-37"/>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4741" w:type="dxa"/>
            <w:vAlign w:val="center"/>
          </w:tcPr>
          <w:p w14:paraId="68033DC4">
            <w:pPr>
              <w:spacing w:line="360" w:lineRule="auto"/>
              <w:ind w:right="-67" w:rightChars="-32"/>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内容</w:t>
            </w:r>
          </w:p>
        </w:tc>
        <w:tc>
          <w:tcPr>
            <w:tcW w:w="4086" w:type="dxa"/>
            <w:vAlign w:val="center"/>
          </w:tcPr>
          <w:p w14:paraId="5F6571A0">
            <w:pPr>
              <w:spacing w:line="36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页码</w:t>
            </w:r>
          </w:p>
        </w:tc>
      </w:tr>
      <w:tr w14:paraId="63C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0C3BAFC6">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4741" w:type="dxa"/>
            <w:vAlign w:val="center"/>
          </w:tcPr>
          <w:p w14:paraId="68D2E7FD">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7E1AC36D">
            <w:pPr>
              <w:spacing w:line="360" w:lineRule="auto"/>
              <w:jc w:val="center"/>
              <w:rPr>
                <w:rFonts w:ascii="宋体" w:hAnsi="宋体" w:cs="宋体"/>
                <w:b/>
                <w:color w:val="auto"/>
                <w:kern w:val="0"/>
                <w:sz w:val="22"/>
                <w:szCs w:val="22"/>
                <w:highlight w:val="none"/>
              </w:rPr>
            </w:pPr>
          </w:p>
        </w:tc>
      </w:tr>
      <w:tr w14:paraId="4FBD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10F5AB9A">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w:t>
            </w:r>
          </w:p>
        </w:tc>
        <w:tc>
          <w:tcPr>
            <w:tcW w:w="4741" w:type="dxa"/>
            <w:vAlign w:val="center"/>
          </w:tcPr>
          <w:p w14:paraId="3BC4DD0E">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0A613F13">
            <w:pPr>
              <w:spacing w:line="360" w:lineRule="auto"/>
              <w:jc w:val="center"/>
              <w:rPr>
                <w:rFonts w:ascii="宋体" w:hAnsi="宋体" w:cs="宋体"/>
                <w:b/>
                <w:color w:val="auto"/>
                <w:kern w:val="0"/>
                <w:sz w:val="22"/>
                <w:szCs w:val="22"/>
                <w:highlight w:val="none"/>
              </w:rPr>
            </w:pPr>
          </w:p>
        </w:tc>
      </w:tr>
      <w:tr w14:paraId="2A3F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33CAF25D">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w:t>
            </w:r>
          </w:p>
        </w:tc>
        <w:tc>
          <w:tcPr>
            <w:tcW w:w="4741" w:type="dxa"/>
            <w:vAlign w:val="center"/>
          </w:tcPr>
          <w:p w14:paraId="0BC0B7C0">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7B55EBAE">
            <w:pPr>
              <w:spacing w:line="360" w:lineRule="auto"/>
              <w:jc w:val="center"/>
              <w:rPr>
                <w:rFonts w:ascii="宋体" w:hAnsi="宋体" w:cs="宋体"/>
                <w:b/>
                <w:color w:val="auto"/>
                <w:kern w:val="0"/>
                <w:sz w:val="22"/>
                <w:szCs w:val="22"/>
                <w:highlight w:val="none"/>
              </w:rPr>
            </w:pPr>
          </w:p>
        </w:tc>
      </w:tr>
      <w:tr w14:paraId="272B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5F8AF8E0">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w:t>
            </w:r>
          </w:p>
        </w:tc>
        <w:tc>
          <w:tcPr>
            <w:tcW w:w="4741" w:type="dxa"/>
            <w:vAlign w:val="center"/>
          </w:tcPr>
          <w:p w14:paraId="717A999D">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07641FFD">
            <w:pPr>
              <w:spacing w:line="360" w:lineRule="auto"/>
              <w:jc w:val="left"/>
              <w:rPr>
                <w:rFonts w:ascii="宋体" w:hAnsi="宋体" w:cs="宋体"/>
                <w:color w:val="auto"/>
                <w:sz w:val="22"/>
                <w:szCs w:val="22"/>
                <w:highlight w:val="none"/>
              </w:rPr>
            </w:pPr>
          </w:p>
        </w:tc>
      </w:tr>
      <w:tr w14:paraId="12D6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588E502C">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w:t>
            </w:r>
          </w:p>
        </w:tc>
        <w:tc>
          <w:tcPr>
            <w:tcW w:w="4741" w:type="dxa"/>
            <w:vAlign w:val="center"/>
          </w:tcPr>
          <w:p w14:paraId="66A684D2">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1D424827">
            <w:pPr>
              <w:spacing w:line="360" w:lineRule="auto"/>
              <w:jc w:val="left"/>
              <w:rPr>
                <w:rFonts w:ascii="宋体" w:hAnsi="宋体" w:cs="宋体"/>
                <w:color w:val="auto"/>
                <w:sz w:val="22"/>
                <w:szCs w:val="22"/>
                <w:highlight w:val="none"/>
              </w:rPr>
            </w:pPr>
          </w:p>
        </w:tc>
      </w:tr>
      <w:tr w14:paraId="4D6E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55B024D5">
            <w:pPr>
              <w:spacing w:line="360" w:lineRule="auto"/>
              <w:ind w:right="-78" w:rightChars="-37"/>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6</w:t>
            </w:r>
          </w:p>
        </w:tc>
        <w:tc>
          <w:tcPr>
            <w:tcW w:w="4741" w:type="dxa"/>
            <w:vAlign w:val="center"/>
          </w:tcPr>
          <w:p w14:paraId="6181D7B8">
            <w:pPr>
              <w:spacing w:line="360" w:lineRule="auto"/>
              <w:ind w:right="-67" w:rightChars="-32"/>
              <w:jc w:val="center"/>
              <w:rPr>
                <w:rFonts w:ascii="宋体" w:hAnsi="宋体" w:cs="宋体"/>
                <w:bCs/>
                <w:color w:val="auto"/>
                <w:kern w:val="0"/>
                <w:sz w:val="22"/>
                <w:szCs w:val="22"/>
                <w:highlight w:val="none"/>
              </w:rPr>
            </w:pPr>
          </w:p>
        </w:tc>
        <w:tc>
          <w:tcPr>
            <w:tcW w:w="4086" w:type="dxa"/>
            <w:vAlign w:val="center"/>
          </w:tcPr>
          <w:p w14:paraId="4D3D8D9A">
            <w:pPr>
              <w:spacing w:line="360" w:lineRule="auto"/>
              <w:jc w:val="left"/>
              <w:rPr>
                <w:rFonts w:ascii="宋体" w:hAnsi="宋体" w:cs="宋体"/>
                <w:color w:val="auto"/>
                <w:sz w:val="22"/>
                <w:szCs w:val="22"/>
                <w:highlight w:val="none"/>
              </w:rPr>
            </w:pPr>
          </w:p>
        </w:tc>
      </w:tr>
      <w:tr w14:paraId="0E77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169BF5A4">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4741" w:type="dxa"/>
            <w:vAlign w:val="center"/>
          </w:tcPr>
          <w:p w14:paraId="782B5A09">
            <w:pPr>
              <w:snapToGrid w:val="0"/>
              <w:spacing w:line="360" w:lineRule="auto"/>
              <w:jc w:val="center"/>
              <w:rPr>
                <w:rFonts w:ascii="宋体" w:hAnsi="宋体" w:cs="宋体"/>
                <w:bCs/>
                <w:color w:val="auto"/>
                <w:kern w:val="0"/>
                <w:sz w:val="22"/>
                <w:szCs w:val="22"/>
                <w:highlight w:val="none"/>
              </w:rPr>
            </w:pPr>
          </w:p>
        </w:tc>
        <w:tc>
          <w:tcPr>
            <w:tcW w:w="4086" w:type="dxa"/>
            <w:vAlign w:val="center"/>
          </w:tcPr>
          <w:p w14:paraId="3229F3B9">
            <w:pPr>
              <w:snapToGrid w:val="0"/>
              <w:spacing w:line="360" w:lineRule="auto"/>
              <w:rPr>
                <w:rFonts w:ascii="宋体" w:hAnsi="宋体" w:cs="宋体"/>
                <w:color w:val="auto"/>
                <w:kern w:val="0"/>
                <w:sz w:val="22"/>
                <w:szCs w:val="22"/>
                <w:highlight w:val="none"/>
              </w:rPr>
            </w:pPr>
          </w:p>
        </w:tc>
      </w:tr>
      <w:tr w14:paraId="1A94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226B8448">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4741" w:type="dxa"/>
            <w:vAlign w:val="center"/>
          </w:tcPr>
          <w:p w14:paraId="11BE8079">
            <w:pPr>
              <w:snapToGrid w:val="0"/>
              <w:spacing w:line="360" w:lineRule="auto"/>
              <w:jc w:val="center"/>
              <w:rPr>
                <w:rFonts w:ascii="宋体" w:hAnsi="宋体" w:cs="宋体"/>
                <w:bCs/>
                <w:color w:val="auto"/>
                <w:kern w:val="0"/>
                <w:sz w:val="22"/>
                <w:szCs w:val="22"/>
                <w:highlight w:val="none"/>
              </w:rPr>
            </w:pPr>
          </w:p>
        </w:tc>
        <w:tc>
          <w:tcPr>
            <w:tcW w:w="4086" w:type="dxa"/>
            <w:vAlign w:val="center"/>
          </w:tcPr>
          <w:p w14:paraId="54534BEA">
            <w:pPr>
              <w:snapToGrid w:val="0"/>
              <w:spacing w:line="360" w:lineRule="auto"/>
              <w:rPr>
                <w:rFonts w:ascii="宋体" w:hAnsi="宋体" w:cs="宋体"/>
                <w:color w:val="auto"/>
                <w:sz w:val="22"/>
                <w:szCs w:val="22"/>
                <w:highlight w:val="none"/>
              </w:rPr>
            </w:pPr>
          </w:p>
        </w:tc>
      </w:tr>
      <w:tr w14:paraId="76F6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45380BE9">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9</w:t>
            </w:r>
          </w:p>
        </w:tc>
        <w:tc>
          <w:tcPr>
            <w:tcW w:w="4741" w:type="dxa"/>
            <w:vAlign w:val="center"/>
          </w:tcPr>
          <w:p w14:paraId="122DD505">
            <w:pPr>
              <w:snapToGrid w:val="0"/>
              <w:spacing w:line="360" w:lineRule="auto"/>
              <w:jc w:val="center"/>
              <w:rPr>
                <w:rFonts w:ascii="宋体" w:hAnsi="宋体" w:cs="宋体"/>
                <w:bCs/>
                <w:color w:val="auto"/>
                <w:sz w:val="22"/>
                <w:szCs w:val="22"/>
                <w:highlight w:val="none"/>
              </w:rPr>
            </w:pPr>
          </w:p>
        </w:tc>
        <w:tc>
          <w:tcPr>
            <w:tcW w:w="4086" w:type="dxa"/>
            <w:vAlign w:val="center"/>
          </w:tcPr>
          <w:p w14:paraId="0351DF76">
            <w:pPr>
              <w:snapToGrid w:val="0"/>
              <w:spacing w:line="360" w:lineRule="auto"/>
              <w:rPr>
                <w:rFonts w:ascii="宋体" w:hAnsi="宋体" w:cs="宋体"/>
                <w:color w:val="auto"/>
                <w:sz w:val="22"/>
                <w:szCs w:val="22"/>
                <w:highlight w:val="none"/>
              </w:rPr>
            </w:pPr>
          </w:p>
        </w:tc>
      </w:tr>
      <w:tr w14:paraId="2E3A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64C03C78">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10</w:t>
            </w:r>
          </w:p>
        </w:tc>
        <w:tc>
          <w:tcPr>
            <w:tcW w:w="4741" w:type="dxa"/>
            <w:vAlign w:val="center"/>
          </w:tcPr>
          <w:p w14:paraId="3DDCBE5B">
            <w:pPr>
              <w:snapToGrid w:val="0"/>
              <w:spacing w:line="360" w:lineRule="auto"/>
              <w:jc w:val="center"/>
              <w:rPr>
                <w:rFonts w:ascii="宋体" w:hAnsi="宋体" w:cs="宋体"/>
                <w:bCs/>
                <w:color w:val="auto"/>
                <w:sz w:val="22"/>
                <w:szCs w:val="22"/>
                <w:highlight w:val="none"/>
              </w:rPr>
            </w:pPr>
          </w:p>
        </w:tc>
        <w:tc>
          <w:tcPr>
            <w:tcW w:w="4086" w:type="dxa"/>
            <w:vAlign w:val="center"/>
          </w:tcPr>
          <w:p w14:paraId="587F7F13">
            <w:pPr>
              <w:snapToGrid w:val="0"/>
              <w:spacing w:line="360" w:lineRule="auto"/>
              <w:rPr>
                <w:rFonts w:ascii="宋体" w:hAnsi="宋体" w:cs="宋体"/>
                <w:color w:val="auto"/>
                <w:sz w:val="22"/>
                <w:szCs w:val="22"/>
                <w:highlight w:val="none"/>
              </w:rPr>
            </w:pPr>
          </w:p>
        </w:tc>
      </w:tr>
      <w:tr w14:paraId="617D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2529090A">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11</w:t>
            </w:r>
          </w:p>
        </w:tc>
        <w:tc>
          <w:tcPr>
            <w:tcW w:w="4741" w:type="dxa"/>
            <w:vAlign w:val="center"/>
          </w:tcPr>
          <w:p w14:paraId="324C7FC1">
            <w:pPr>
              <w:snapToGrid w:val="0"/>
              <w:spacing w:line="360" w:lineRule="auto"/>
              <w:jc w:val="center"/>
              <w:rPr>
                <w:rFonts w:ascii="宋体" w:hAnsi="宋体" w:cs="宋体"/>
                <w:bCs/>
                <w:color w:val="auto"/>
                <w:sz w:val="22"/>
                <w:szCs w:val="22"/>
                <w:highlight w:val="none"/>
              </w:rPr>
            </w:pPr>
          </w:p>
        </w:tc>
        <w:tc>
          <w:tcPr>
            <w:tcW w:w="4086" w:type="dxa"/>
            <w:vAlign w:val="center"/>
          </w:tcPr>
          <w:p w14:paraId="3BCDCEA7">
            <w:pPr>
              <w:snapToGrid w:val="0"/>
              <w:spacing w:line="360" w:lineRule="auto"/>
              <w:rPr>
                <w:rFonts w:ascii="宋体" w:hAnsi="宋体" w:cs="宋体"/>
                <w:color w:val="auto"/>
                <w:sz w:val="22"/>
                <w:szCs w:val="22"/>
                <w:highlight w:val="none"/>
              </w:rPr>
            </w:pPr>
          </w:p>
        </w:tc>
      </w:tr>
      <w:tr w14:paraId="77B2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2" w:type="dxa"/>
            <w:vAlign w:val="center"/>
          </w:tcPr>
          <w:p w14:paraId="2EFD68D5">
            <w:pPr>
              <w:spacing w:line="360" w:lineRule="auto"/>
              <w:ind w:right="-78" w:rightChars="-37"/>
              <w:jc w:val="center"/>
              <w:rPr>
                <w:rFonts w:ascii="宋体" w:hAnsi="宋体" w:cs="宋体"/>
                <w:bCs/>
                <w:color w:val="auto"/>
                <w:sz w:val="22"/>
                <w:szCs w:val="22"/>
                <w:highlight w:val="none"/>
              </w:rPr>
            </w:pPr>
            <w:r>
              <w:rPr>
                <w:rFonts w:hint="eastAsia" w:ascii="宋体" w:hAnsi="宋体" w:cs="宋体"/>
                <w:bCs/>
                <w:color w:val="auto"/>
                <w:sz w:val="22"/>
                <w:szCs w:val="22"/>
                <w:highlight w:val="none"/>
              </w:rPr>
              <w:t>12</w:t>
            </w:r>
          </w:p>
        </w:tc>
        <w:tc>
          <w:tcPr>
            <w:tcW w:w="4741" w:type="dxa"/>
            <w:vAlign w:val="center"/>
          </w:tcPr>
          <w:p w14:paraId="4AAB7132">
            <w:pPr>
              <w:snapToGrid w:val="0"/>
              <w:spacing w:line="360" w:lineRule="auto"/>
              <w:jc w:val="center"/>
              <w:rPr>
                <w:rFonts w:ascii="宋体" w:hAnsi="宋体" w:cs="宋体"/>
                <w:bCs/>
                <w:color w:val="auto"/>
                <w:sz w:val="22"/>
                <w:szCs w:val="22"/>
                <w:highlight w:val="none"/>
              </w:rPr>
            </w:pPr>
          </w:p>
        </w:tc>
        <w:tc>
          <w:tcPr>
            <w:tcW w:w="4086" w:type="dxa"/>
            <w:vAlign w:val="center"/>
          </w:tcPr>
          <w:p w14:paraId="2E225F63">
            <w:pPr>
              <w:snapToGrid w:val="0"/>
              <w:spacing w:line="360" w:lineRule="auto"/>
              <w:rPr>
                <w:rFonts w:ascii="宋体" w:hAnsi="宋体" w:cs="宋体"/>
                <w:color w:val="auto"/>
                <w:sz w:val="22"/>
                <w:szCs w:val="22"/>
                <w:highlight w:val="none"/>
              </w:rPr>
            </w:pPr>
          </w:p>
        </w:tc>
      </w:tr>
    </w:tbl>
    <w:p w14:paraId="058591DD">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注：《评分索引表》须编制在技术标内</w:t>
      </w:r>
    </w:p>
    <w:p w14:paraId="70397D8F">
      <w:pPr>
        <w:spacing w:line="400" w:lineRule="exact"/>
        <w:jc w:val="center"/>
        <w:outlineLvl w:val="0"/>
        <w:rPr>
          <w:rFonts w:ascii="宋体" w:hAnsi="宋体" w:cs="宋体"/>
          <w:color w:val="auto"/>
          <w:sz w:val="36"/>
          <w:szCs w:val="36"/>
          <w:highlight w:val="none"/>
        </w:rPr>
      </w:pPr>
      <w:r>
        <w:rPr>
          <w:rFonts w:hint="eastAsia" w:ascii="宋体" w:hAnsi="宋体" w:cs="宋体"/>
          <w:b/>
          <w:bCs/>
          <w:color w:val="auto"/>
          <w:sz w:val="32"/>
          <w:szCs w:val="32"/>
          <w:highlight w:val="none"/>
        </w:rPr>
        <w:br w:type="page"/>
      </w:r>
      <w:bookmarkStart w:id="76" w:name="_Toc11447"/>
      <w:r>
        <w:rPr>
          <w:rFonts w:hint="eastAsia" w:ascii="宋体" w:hAnsi="宋体" w:cs="宋体"/>
          <w:b/>
          <w:bCs/>
          <w:color w:val="auto"/>
          <w:sz w:val="36"/>
          <w:szCs w:val="36"/>
          <w:highlight w:val="none"/>
        </w:rPr>
        <w:t>第四部分   附件</w:t>
      </w:r>
      <w:bookmarkEnd w:id="66"/>
      <w:bookmarkEnd w:id="67"/>
      <w:bookmarkEnd w:id="68"/>
      <w:bookmarkEnd w:id="76"/>
    </w:p>
    <w:p w14:paraId="6892D294">
      <w:pPr>
        <w:spacing w:line="480" w:lineRule="exact"/>
        <w:outlineLvl w:val="1"/>
        <w:rPr>
          <w:rFonts w:ascii="宋体" w:hAnsi="宋体" w:cs="宋体"/>
          <w:b/>
          <w:bCs/>
          <w:color w:val="auto"/>
          <w:sz w:val="24"/>
          <w:highlight w:val="none"/>
        </w:rPr>
      </w:pPr>
      <w:bookmarkStart w:id="77" w:name="_Toc14636"/>
      <w:bookmarkStart w:id="78" w:name="_Toc929"/>
      <w:bookmarkStart w:id="79" w:name="_Toc27542"/>
      <w:r>
        <w:rPr>
          <w:rFonts w:hint="eastAsia" w:ascii="宋体" w:hAnsi="宋体" w:cs="宋体"/>
          <w:b/>
          <w:bCs/>
          <w:color w:val="auto"/>
          <w:sz w:val="24"/>
          <w:highlight w:val="none"/>
        </w:rPr>
        <w:t>附件一 投标函</w:t>
      </w:r>
      <w:bookmarkEnd w:id="77"/>
      <w:bookmarkEnd w:id="78"/>
      <w:bookmarkEnd w:id="79"/>
      <w:r>
        <w:rPr>
          <w:rFonts w:hint="eastAsia" w:ascii="宋体" w:hAnsi="宋体" w:cs="宋体"/>
          <w:b/>
          <w:bCs/>
          <w:color w:val="auto"/>
          <w:sz w:val="24"/>
          <w:highlight w:val="none"/>
        </w:rPr>
        <w:t xml:space="preserve"> </w:t>
      </w:r>
    </w:p>
    <w:p w14:paraId="63A56CE0">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投标响应函</w:t>
      </w:r>
    </w:p>
    <w:p w14:paraId="5C4EC9E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温州肯恩大学：</w:t>
      </w:r>
    </w:p>
    <w:p w14:paraId="55A49EC6">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）的采购邀请，我方</w:t>
      </w:r>
      <w:r>
        <w:rPr>
          <w:rFonts w:hint="eastAsia" w:ascii="宋体" w:hAnsi="宋体" w:cs="宋体"/>
          <w:color w:val="auto"/>
          <w:sz w:val="22"/>
          <w:szCs w:val="22"/>
          <w:highlight w:val="none"/>
          <w:u w:val="single"/>
        </w:rPr>
        <w:t>（供应商名称）</w:t>
      </w:r>
      <w:r>
        <w:rPr>
          <w:rFonts w:hint="eastAsia" w:ascii="宋体" w:hAnsi="宋体" w:cs="宋体"/>
          <w:color w:val="auto"/>
          <w:sz w:val="22"/>
          <w:szCs w:val="22"/>
          <w:highlight w:val="none"/>
        </w:rPr>
        <w:t>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（授权代表全名，职务）代表我方处理有关本次投标的一切事宜。</w:t>
      </w:r>
    </w:p>
    <w:p w14:paraId="276BF570">
      <w:pPr>
        <w:spacing w:line="46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在此提交的投标文件中，包括按“采购文件”要求编制的资格响应文件、商务技术响应文件、报价响应文件等三部分内容。</w:t>
      </w:r>
    </w:p>
    <w:p w14:paraId="73B3858D">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我方己完全明白采购文件的所有条款要求，并重申以下几点：</w:t>
      </w:r>
    </w:p>
    <w:p w14:paraId="49177772">
      <w:pPr>
        <w:spacing w:line="460" w:lineRule="exact"/>
        <w:ind w:left="660"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（一）本投标文件的有效期自响应截止日起</w:t>
      </w:r>
      <w:r>
        <w:rPr>
          <w:rFonts w:hint="eastAsia" w:ascii="宋体" w:hAnsi="宋体" w:cs="宋体"/>
          <w:b/>
          <w:color w:val="auto"/>
          <w:sz w:val="22"/>
          <w:szCs w:val="22"/>
          <w:highlight w:val="none"/>
        </w:rPr>
        <w:t xml:space="preserve"> </w:t>
      </w:r>
      <w:r>
        <w:rPr>
          <w:rFonts w:hint="eastAsia" w:ascii="宋体" w:hAnsi="宋体" w:cs="宋体"/>
          <w:b/>
          <w:color w:val="auto"/>
          <w:sz w:val="22"/>
          <w:szCs w:val="22"/>
          <w:highlight w:val="none"/>
          <w:u w:val="single"/>
        </w:rPr>
        <w:t xml:space="preserve"> 90  </w:t>
      </w:r>
      <w:r>
        <w:rPr>
          <w:rFonts w:hint="eastAsia" w:ascii="宋体" w:hAnsi="宋体" w:cs="宋体"/>
          <w:color w:val="auto"/>
          <w:sz w:val="22"/>
          <w:szCs w:val="22"/>
          <w:highlight w:val="none"/>
        </w:rPr>
        <w:t>天内有效，如中标，有效期将延至合同终止日为止；</w:t>
      </w:r>
    </w:p>
    <w:p w14:paraId="244E28C2">
      <w:pPr>
        <w:spacing w:line="460" w:lineRule="exact"/>
        <w:ind w:left="660"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（二）我方已详细研究了采购文件的所有内容包括修改书（如有）和所有已提供的参考资料以及有关附件，我方完全理解并同意放弃在此方面提出含糊意见或误解的一切权力；</w:t>
      </w:r>
    </w:p>
    <w:p w14:paraId="657E53DF">
      <w:pPr>
        <w:spacing w:line="460" w:lineRule="exact"/>
        <w:ind w:left="660"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（三）我方明白并承诺在规定的开标时间之后，在投标有效期内不撤回投标文件；</w:t>
      </w:r>
    </w:p>
    <w:p w14:paraId="3A64711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（四）我方同意提供按照贵方可能要求的与投标有关的一切数据或资料；</w:t>
      </w:r>
    </w:p>
    <w:p w14:paraId="3A5392D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（五）我方理解贵方不一定接受最低报价。</w:t>
      </w:r>
    </w:p>
    <w:p w14:paraId="33342163">
      <w:pPr>
        <w:spacing w:line="460" w:lineRule="exact"/>
        <w:ind w:left="660"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（六）我方如果中标，将保证履行采购文件以及采购文件修改书（如有）中的全部责任和义务，按质、按量、按期完成《合同书》中的全部任务。</w:t>
      </w:r>
    </w:p>
    <w:p w14:paraId="71F1950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（七）所有与本采购有关的函件请发往下列地址：</w:t>
      </w:r>
    </w:p>
    <w:p w14:paraId="5BEFF581">
      <w:pPr>
        <w:spacing w:line="4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1FAA315A">
      <w:pPr>
        <w:spacing w:line="4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5F341B37">
      <w:pPr>
        <w:spacing w:line="46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6D04FECB">
      <w:pPr>
        <w:spacing w:line="46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73AFAE93">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供应商全称（电子签章）：</w:t>
      </w:r>
    </w:p>
    <w:p w14:paraId="35C92EEB">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供应商代表（签字或盖章）：</w:t>
      </w:r>
    </w:p>
    <w:p w14:paraId="0219CE68">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日 期：      年    月   日</w:t>
      </w:r>
    </w:p>
    <w:p w14:paraId="331027E0">
      <w:pPr>
        <w:spacing w:line="400" w:lineRule="exact"/>
        <w:rPr>
          <w:rFonts w:ascii="宋体" w:hAnsi="宋体" w:cs="宋体"/>
          <w:b/>
          <w:bCs/>
          <w:color w:val="auto"/>
          <w:sz w:val="22"/>
          <w:szCs w:val="22"/>
          <w:highlight w:val="none"/>
        </w:rPr>
      </w:pPr>
    </w:p>
    <w:p w14:paraId="0DD689C8">
      <w:pPr>
        <w:spacing w:line="400" w:lineRule="exact"/>
        <w:rPr>
          <w:rFonts w:ascii="宋体" w:hAnsi="宋体" w:cs="宋体"/>
          <w:b/>
          <w:bCs/>
          <w:color w:val="auto"/>
          <w:sz w:val="22"/>
          <w:szCs w:val="22"/>
          <w:highlight w:val="none"/>
          <w:u w:val="single"/>
        </w:rPr>
        <w:sectPr>
          <w:footerReference r:id="rId10" w:type="first"/>
          <w:headerReference r:id="rId8" w:type="default"/>
          <w:footerReference r:id="rId9" w:type="default"/>
          <w:pgSz w:w="11906" w:h="16838"/>
          <w:pgMar w:top="1134" w:right="1134" w:bottom="1134" w:left="1134" w:header="850" w:footer="850" w:gutter="284"/>
          <w:cols w:space="720" w:num="1"/>
          <w:titlePg/>
          <w:docGrid w:linePitch="312" w:charSpace="0"/>
        </w:sect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▲不按要求提供投标函将被视为没有实质性响应采购文件。</w:t>
      </w:r>
    </w:p>
    <w:p w14:paraId="7A707A1F">
      <w:pPr>
        <w:spacing w:line="480" w:lineRule="exact"/>
        <w:outlineLvl w:val="1"/>
        <w:rPr>
          <w:rFonts w:ascii="宋体" w:hAnsi="宋体" w:cs="宋体"/>
          <w:b/>
          <w:bCs/>
          <w:color w:val="auto"/>
          <w:sz w:val="24"/>
          <w:highlight w:val="none"/>
        </w:rPr>
      </w:pPr>
      <w:bookmarkStart w:id="80" w:name="_Toc14682753"/>
      <w:bookmarkStart w:id="81" w:name="_Toc11153"/>
      <w:bookmarkStart w:id="82" w:name="_Toc31702"/>
      <w:bookmarkStart w:id="83" w:name="_Toc20190"/>
      <w:bookmarkStart w:id="84" w:name="_Toc5854"/>
      <w:bookmarkStart w:id="85" w:name="_Toc30488978"/>
      <w:r>
        <w:rPr>
          <w:rFonts w:hint="eastAsia" w:ascii="宋体" w:hAnsi="宋体" w:cs="宋体"/>
          <w:b/>
          <w:bCs/>
          <w:color w:val="auto"/>
          <w:sz w:val="24"/>
          <w:highlight w:val="none"/>
        </w:rPr>
        <w:t>附件二  报价一览表</w:t>
      </w:r>
      <w:bookmarkEnd w:id="80"/>
      <w:bookmarkEnd w:id="81"/>
      <w:bookmarkEnd w:id="82"/>
      <w:bookmarkEnd w:id="83"/>
      <w:bookmarkEnd w:id="84"/>
      <w:bookmarkEnd w:id="85"/>
    </w:p>
    <w:p w14:paraId="4809E781">
      <w:pPr>
        <w:jc w:val="center"/>
        <w:rPr>
          <w:rFonts w:ascii="宋体" w:hAnsi="宋体" w:cs="宋体"/>
          <w:b/>
          <w:color w:val="auto"/>
          <w:sz w:val="28"/>
          <w:szCs w:val="28"/>
          <w:highlight w:val="none"/>
        </w:rPr>
      </w:pPr>
      <w:r>
        <w:rPr>
          <w:rFonts w:hint="eastAsia" w:ascii="宋体" w:hAnsi="宋体" w:cs="宋体"/>
          <w:b/>
          <w:color w:val="auto"/>
          <w:sz w:val="28"/>
          <w:szCs w:val="28"/>
          <w:highlight w:val="none"/>
        </w:rPr>
        <w:t xml:space="preserve">  报价一览表</w:t>
      </w:r>
    </w:p>
    <w:p w14:paraId="3F031D99">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205"/>
        <w:gridCol w:w="5331"/>
        <w:gridCol w:w="1469"/>
      </w:tblGrid>
      <w:tr w14:paraId="497E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9" w:type="pct"/>
            <w:vAlign w:val="center"/>
          </w:tcPr>
          <w:p w14:paraId="75935956">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1119" w:type="pct"/>
            <w:vAlign w:val="center"/>
          </w:tcPr>
          <w:p w14:paraId="30D72185">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项目名称</w:t>
            </w:r>
          </w:p>
        </w:tc>
        <w:tc>
          <w:tcPr>
            <w:tcW w:w="2705" w:type="pct"/>
            <w:vAlign w:val="center"/>
          </w:tcPr>
          <w:p w14:paraId="482DA6BC">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投标报价</w:t>
            </w:r>
          </w:p>
        </w:tc>
        <w:tc>
          <w:tcPr>
            <w:tcW w:w="745" w:type="pct"/>
            <w:vAlign w:val="center"/>
          </w:tcPr>
          <w:p w14:paraId="1A6255B6">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备注</w:t>
            </w:r>
          </w:p>
        </w:tc>
      </w:tr>
      <w:tr w14:paraId="56AC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29" w:type="pct"/>
            <w:vMerge w:val="restart"/>
            <w:vAlign w:val="center"/>
          </w:tcPr>
          <w:p w14:paraId="260A230F">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1119" w:type="pct"/>
            <w:vMerge w:val="restart"/>
            <w:vAlign w:val="center"/>
          </w:tcPr>
          <w:p w14:paraId="6DEFCC8A">
            <w:pPr>
              <w:spacing w:line="380" w:lineRule="exact"/>
              <w:jc w:val="center"/>
              <w:rPr>
                <w:rFonts w:ascii="宋体" w:hAnsi="宋体" w:cs="宋体"/>
                <w:bCs/>
                <w:color w:val="auto"/>
                <w:sz w:val="22"/>
                <w:szCs w:val="22"/>
                <w:highlight w:val="none"/>
              </w:rPr>
            </w:pPr>
            <w:r>
              <w:rPr>
                <w:rFonts w:hint="eastAsia" w:ascii="宋体" w:hAnsi="宋体" w:cs="宋体"/>
                <w:snapToGrid w:val="0"/>
                <w:color w:val="auto"/>
                <w:sz w:val="22"/>
                <w:szCs w:val="22"/>
                <w:highlight w:val="none"/>
              </w:rPr>
              <w:t xml:space="preserve"> </w:t>
            </w:r>
          </w:p>
        </w:tc>
        <w:tc>
          <w:tcPr>
            <w:tcW w:w="2705" w:type="pct"/>
            <w:vAlign w:val="center"/>
          </w:tcPr>
          <w:p w14:paraId="2386BF06">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大写：人民币</w:t>
            </w:r>
          </w:p>
        </w:tc>
        <w:tc>
          <w:tcPr>
            <w:tcW w:w="745" w:type="pct"/>
            <w:vMerge w:val="restart"/>
            <w:vAlign w:val="center"/>
          </w:tcPr>
          <w:p w14:paraId="035B0A72">
            <w:pPr>
              <w:spacing w:line="380" w:lineRule="exact"/>
              <w:rPr>
                <w:rFonts w:ascii="宋体" w:hAnsi="宋体" w:cs="宋体"/>
                <w:bCs/>
                <w:color w:val="auto"/>
                <w:sz w:val="22"/>
                <w:szCs w:val="22"/>
                <w:highlight w:val="none"/>
              </w:rPr>
            </w:pPr>
          </w:p>
        </w:tc>
      </w:tr>
      <w:tr w14:paraId="0733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9" w:type="pct"/>
            <w:vMerge w:val="continue"/>
          </w:tcPr>
          <w:p w14:paraId="30C110AA">
            <w:pPr>
              <w:rPr>
                <w:rFonts w:ascii="宋体" w:hAnsi="宋体" w:cs="宋体"/>
                <w:color w:val="auto"/>
                <w:highlight w:val="none"/>
              </w:rPr>
            </w:pPr>
          </w:p>
        </w:tc>
        <w:tc>
          <w:tcPr>
            <w:tcW w:w="1119" w:type="pct"/>
            <w:vMerge w:val="continue"/>
          </w:tcPr>
          <w:p w14:paraId="79A91030">
            <w:pPr>
              <w:rPr>
                <w:rFonts w:ascii="宋体" w:hAnsi="宋体" w:cs="宋体"/>
                <w:color w:val="auto"/>
                <w:highlight w:val="none"/>
              </w:rPr>
            </w:pPr>
          </w:p>
        </w:tc>
        <w:tc>
          <w:tcPr>
            <w:tcW w:w="2705" w:type="pct"/>
            <w:vAlign w:val="center"/>
          </w:tcPr>
          <w:p w14:paraId="65DEF7BF">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小写：¥</w:t>
            </w:r>
          </w:p>
        </w:tc>
        <w:tc>
          <w:tcPr>
            <w:tcW w:w="745" w:type="pct"/>
            <w:vMerge w:val="continue"/>
            <w:vAlign w:val="center"/>
          </w:tcPr>
          <w:p w14:paraId="35D35366">
            <w:pPr>
              <w:spacing w:line="380" w:lineRule="exact"/>
              <w:rPr>
                <w:rFonts w:ascii="宋体" w:hAnsi="宋体" w:cs="宋体"/>
                <w:bCs/>
                <w:color w:val="auto"/>
                <w:sz w:val="22"/>
                <w:szCs w:val="22"/>
                <w:highlight w:val="none"/>
              </w:rPr>
            </w:pPr>
          </w:p>
        </w:tc>
      </w:tr>
    </w:tbl>
    <w:p w14:paraId="51E972EE">
      <w:pPr>
        <w:spacing w:line="460" w:lineRule="exact"/>
        <w:ind w:left="535" w:leftChars="-171" w:hanging="894" w:hangingChars="405"/>
        <w:rPr>
          <w:rFonts w:ascii="宋体" w:hAnsi="宋体" w:cs="宋体"/>
          <w:b/>
          <w:bCs/>
          <w:color w:val="auto"/>
          <w:sz w:val="22"/>
          <w:szCs w:val="22"/>
          <w:highlight w:val="none"/>
        </w:rPr>
      </w:pPr>
      <w:r>
        <w:rPr>
          <w:rFonts w:hint="eastAsia" w:ascii="宋体" w:hAnsi="宋体" w:cs="宋体"/>
          <w:b/>
          <w:bCs/>
          <w:color w:val="auto"/>
          <w:sz w:val="22"/>
          <w:szCs w:val="22"/>
          <w:highlight w:val="none"/>
        </w:rPr>
        <w:t>说明：1.报价均为含税价。</w:t>
      </w:r>
    </w:p>
    <w:p w14:paraId="03EAE516">
      <w:pPr>
        <w:numPr>
          <w:ilvl w:val="0"/>
          <w:numId w:val="10"/>
        </w:num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采购代理服务费应计入报价内。</w:t>
      </w:r>
    </w:p>
    <w:p w14:paraId="6563418D">
      <w:pPr>
        <w:numPr>
          <w:ilvl w:val="0"/>
          <w:numId w:val="10"/>
        </w:num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投标报价包含供应商在承包范围内提供服务所需的人工费（含驻点人员的工资、福利、奖金、补贴、津贴、加班费、住宿等费用及“五险一金”等工资待遇）及因工作需要产生的差旅费、企业应缴税金和应得利润、突发应急及上级布置的专项任务、物价因素、采购代理服务费等完成合同所需的一切本身和不可或缺的所有工作开支、政策性文件规定及合同包含的所有风险、责任等各项全部费用并承担一切风险责任。即“交钥匙工程”，实行固定总价包干。 </w:t>
      </w:r>
    </w:p>
    <w:p w14:paraId="2BD69FC8">
      <w:pPr>
        <w:spacing w:line="380" w:lineRule="exact"/>
        <w:ind w:left="535" w:leftChars="-171" w:hanging="894" w:hangingChars="405"/>
        <w:rPr>
          <w:rFonts w:ascii="宋体" w:hAnsi="宋体" w:cs="宋体"/>
          <w:b/>
          <w:bCs/>
          <w:color w:val="auto"/>
          <w:sz w:val="22"/>
          <w:szCs w:val="22"/>
          <w:highlight w:val="none"/>
        </w:rPr>
      </w:pPr>
    </w:p>
    <w:p w14:paraId="63BC8229">
      <w:pPr>
        <w:spacing w:line="380" w:lineRule="exact"/>
        <w:ind w:left="535" w:leftChars="-171" w:hanging="894" w:hangingChars="405"/>
        <w:rPr>
          <w:rFonts w:ascii="宋体" w:hAnsi="宋体" w:cs="宋体"/>
          <w:b/>
          <w:bCs/>
          <w:color w:val="auto"/>
          <w:sz w:val="22"/>
          <w:szCs w:val="22"/>
          <w:highlight w:val="none"/>
        </w:rPr>
      </w:pPr>
    </w:p>
    <w:p w14:paraId="51DA5C2D">
      <w:pPr>
        <w:spacing w:line="380" w:lineRule="exact"/>
        <w:ind w:left="535" w:leftChars="-171" w:hanging="894" w:hangingChars="405"/>
        <w:rPr>
          <w:rFonts w:ascii="宋体" w:hAnsi="宋体" w:cs="宋体"/>
          <w:b/>
          <w:bCs/>
          <w:color w:val="auto"/>
          <w:sz w:val="22"/>
          <w:szCs w:val="22"/>
          <w:highlight w:val="none"/>
        </w:rPr>
      </w:pPr>
    </w:p>
    <w:p w14:paraId="410EF8CC">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供应商全称（电子签章）：</w:t>
      </w:r>
    </w:p>
    <w:p w14:paraId="766B8AC4">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供应商代表（签字或盖章）：</w:t>
      </w:r>
    </w:p>
    <w:p w14:paraId="16B7672F">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日 期：      年    月   日</w:t>
      </w:r>
    </w:p>
    <w:p w14:paraId="14FE31CC">
      <w:pPr>
        <w:spacing w:line="480" w:lineRule="exact"/>
        <w:outlineLvl w:val="1"/>
        <w:rPr>
          <w:rFonts w:ascii="宋体" w:hAnsi="宋体" w:cs="宋体"/>
          <w:b/>
          <w:bCs/>
          <w:color w:val="auto"/>
          <w:sz w:val="24"/>
          <w:highlight w:val="none"/>
        </w:rPr>
      </w:pPr>
      <w:r>
        <w:rPr>
          <w:rFonts w:hint="eastAsia" w:ascii="宋体" w:hAnsi="宋体" w:cs="宋体"/>
          <w:color w:val="auto"/>
          <w:sz w:val="22"/>
          <w:szCs w:val="22"/>
          <w:highlight w:val="none"/>
        </w:rPr>
        <w:br w:type="page"/>
      </w:r>
      <w:bookmarkStart w:id="86" w:name="_Toc16499"/>
      <w:bookmarkStart w:id="87" w:name="_Toc24915"/>
      <w:bookmarkStart w:id="88" w:name="_Toc66"/>
      <w:r>
        <w:rPr>
          <w:rFonts w:hint="eastAsia" w:ascii="宋体" w:hAnsi="宋体" w:cs="宋体"/>
          <w:b/>
          <w:bCs/>
          <w:color w:val="auto"/>
          <w:sz w:val="24"/>
          <w:highlight w:val="none"/>
        </w:rPr>
        <w:t>附件三  资格证明文件</w:t>
      </w:r>
      <w:bookmarkEnd w:id="86"/>
      <w:bookmarkEnd w:id="87"/>
      <w:bookmarkEnd w:id="88"/>
    </w:p>
    <w:p w14:paraId="76C909AA">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1984C58E">
      <w:pPr>
        <w:spacing w:line="380" w:lineRule="exact"/>
        <w:jc w:val="center"/>
        <w:outlineLvl w:val="2"/>
        <w:rPr>
          <w:rFonts w:ascii="宋体" w:hAnsi="宋体" w:cs="宋体"/>
          <w:b/>
          <w:color w:val="auto"/>
          <w:sz w:val="24"/>
          <w:highlight w:val="none"/>
        </w:rPr>
      </w:pPr>
      <w:bookmarkStart w:id="89" w:name="_Toc14000"/>
      <w:bookmarkStart w:id="90" w:name="_Toc228784317"/>
      <w:bookmarkStart w:id="91" w:name="_Toc202761489"/>
      <w:bookmarkStart w:id="92" w:name="_Toc212287212"/>
      <w:r>
        <w:rPr>
          <w:rFonts w:hint="eastAsia" w:ascii="宋体" w:hAnsi="宋体" w:cs="宋体"/>
          <w:b/>
          <w:color w:val="auto"/>
          <w:sz w:val="24"/>
          <w:highlight w:val="none"/>
        </w:rPr>
        <w:t>（1）法定代表人身份证明</w:t>
      </w:r>
      <w:bookmarkEnd w:id="89"/>
    </w:p>
    <w:p w14:paraId="159BA9BC">
      <w:pPr>
        <w:autoSpaceDE w:val="0"/>
        <w:autoSpaceDN w:val="0"/>
        <w:adjustRightInd w:val="0"/>
        <w:rPr>
          <w:rFonts w:ascii="宋体" w:hAnsi="宋体" w:cs="宋体"/>
          <w:color w:val="auto"/>
          <w:kern w:val="0"/>
          <w:sz w:val="22"/>
          <w:szCs w:val="22"/>
          <w:highlight w:val="none"/>
        </w:rPr>
      </w:pPr>
    </w:p>
    <w:p w14:paraId="0FCB6046">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供应商名称：</w:t>
      </w:r>
      <w:r>
        <w:rPr>
          <w:rFonts w:hint="eastAsia" w:ascii="宋体" w:hAnsi="宋体" w:cs="宋体"/>
          <w:color w:val="auto"/>
          <w:kern w:val="0"/>
          <w:sz w:val="22"/>
          <w:szCs w:val="22"/>
          <w:highlight w:val="none"/>
          <w:u w:val="single"/>
        </w:rPr>
        <w:t xml:space="preserve">                            </w:t>
      </w:r>
    </w:p>
    <w:p w14:paraId="08392225">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单位性质： </w:t>
      </w:r>
      <w:r>
        <w:rPr>
          <w:rFonts w:hint="eastAsia" w:ascii="宋体" w:hAnsi="宋体" w:cs="宋体"/>
          <w:color w:val="auto"/>
          <w:kern w:val="0"/>
          <w:sz w:val="22"/>
          <w:szCs w:val="22"/>
          <w:highlight w:val="none"/>
          <w:u w:val="single"/>
        </w:rPr>
        <w:t xml:space="preserve">                                 </w:t>
      </w:r>
    </w:p>
    <w:p w14:paraId="12DF8836">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    址：</w:t>
      </w:r>
      <w:r>
        <w:rPr>
          <w:rFonts w:hint="eastAsia" w:ascii="宋体" w:hAnsi="宋体" w:cs="宋体"/>
          <w:color w:val="auto"/>
          <w:kern w:val="0"/>
          <w:sz w:val="22"/>
          <w:szCs w:val="22"/>
          <w:highlight w:val="none"/>
          <w:u w:val="single"/>
        </w:rPr>
        <w:t xml:space="preserve">                                  </w:t>
      </w:r>
    </w:p>
    <w:p w14:paraId="24793DE2">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成立时间：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rPr>
        <w:tab/>
      </w:r>
    </w:p>
    <w:p w14:paraId="5A47DEC4">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经营期限：</w:t>
      </w:r>
      <w:r>
        <w:rPr>
          <w:rFonts w:hint="eastAsia" w:ascii="宋体" w:hAnsi="宋体" w:cs="宋体"/>
          <w:color w:val="auto"/>
          <w:kern w:val="0"/>
          <w:sz w:val="22"/>
          <w:szCs w:val="22"/>
          <w:highlight w:val="none"/>
          <w:u w:val="single"/>
        </w:rPr>
        <w:t xml:space="preserve">                                   </w:t>
      </w:r>
    </w:p>
    <w:p w14:paraId="1239F2FA">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姓    名：</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性别：</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职务：</w:t>
      </w:r>
      <w:r>
        <w:rPr>
          <w:rFonts w:hint="eastAsia" w:ascii="宋体" w:hAnsi="宋体" w:cs="宋体"/>
          <w:color w:val="auto"/>
          <w:kern w:val="0"/>
          <w:sz w:val="22"/>
          <w:szCs w:val="22"/>
          <w:highlight w:val="none"/>
          <w:u w:val="single"/>
        </w:rPr>
        <w:t xml:space="preserve">         </w:t>
      </w:r>
    </w:p>
    <w:p w14:paraId="542B1844">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（供应商名称）的法定代表人</w:t>
      </w:r>
    </w:p>
    <w:p w14:paraId="144ED26E">
      <w:pPr>
        <w:autoSpaceDE w:val="0"/>
        <w:autoSpaceDN w:val="0"/>
        <w:adjustRightIn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特此证明</w:t>
      </w:r>
    </w:p>
    <w:p w14:paraId="2EEB84C1">
      <w:pPr>
        <w:autoSpaceDE w:val="0"/>
        <w:autoSpaceDN w:val="0"/>
        <w:adjustRightInd w:val="0"/>
        <w:spacing w:line="440" w:lineRule="exact"/>
        <w:rPr>
          <w:rFonts w:ascii="宋体" w:hAnsi="宋体" w:cs="宋体"/>
          <w:color w:val="auto"/>
          <w:kern w:val="0"/>
          <w:sz w:val="22"/>
          <w:szCs w:val="22"/>
          <w:highlight w:val="none"/>
        </w:rPr>
      </w:pPr>
    </w:p>
    <w:p w14:paraId="1C509BD5">
      <w:pPr>
        <w:autoSpaceDE w:val="0"/>
        <w:autoSpaceDN w:val="0"/>
        <w:adjustRightInd w:val="0"/>
        <w:spacing w:line="440" w:lineRule="exact"/>
        <w:rPr>
          <w:rFonts w:ascii="宋体" w:hAnsi="宋体" w:cs="宋体"/>
          <w:color w:val="auto"/>
          <w:kern w:val="0"/>
          <w:sz w:val="22"/>
          <w:szCs w:val="22"/>
          <w:highlight w:val="none"/>
        </w:rPr>
      </w:pPr>
    </w:p>
    <w:p w14:paraId="5B770B4D">
      <w:pPr>
        <w:autoSpaceDE w:val="0"/>
        <w:autoSpaceDN w:val="0"/>
        <w:adjustRightInd w:val="0"/>
        <w:spacing w:line="440" w:lineRule="exact"/>
        <w:rPr>
          <w:rFonts w:ascii="宋体" w:hAnsi="宋体" w:cs="宋体"/>
          <w:color w:val="auto"/>
          <w:kern w:val="0"/>
          <w:sz w:val="22"/>
          <w:szCs w:val="22"/>
          <w:highlight w:val="none"/>
        </w:rPr>
      </w:pPr>
    </w:p>
    <w:p w14:paraId="00F96969">
      <w:pPr>
        <w:autoSpaceDE w:val="0"/>
        <w:autoSpaceDN w:val="0"/>
        <w:adjustRightInd w:val="0"/>
        <w:spacing w:line="440" w:lineRule="exact"/>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（盖单位章）</w:t>
      </w:r>
    </w:p>
    <w:p w14:paraId="7B4D8BDA">
      <w:pPr>
        <w:wordWrap w:val="0"/>
        <w:autoSpaceDE w:val="0"/>
        <w:autoSpaceDN w:val="0"/>
        <w:adjustRightInd w:val="0"/>
        <w:spacing w:line="440" w:lineRule="exact"/>
        <w:ind w:firstLine="1650" w:firstLineChars="750"/>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8FB1890">
      <w:pPr>
        <w:autoSpaceDE w:val="0"/>
        <w:autoSpaceDN w:val="0"/>
        <w:adjustRightInd w:val="0"/>
        <w:jc w:val="left"/>
        <w:rPr>
          <w:rFonts w:ascii="宋体" w:hAnsi="宋体" w:cs="宋体"/>
          <w:color w:val="auto"/>
          <w:kern w:val="0"/>
          <w:sz w:val="22"/>
          <w:szCs w:val="22"/>
          <w:highlight w:val="none"/>
        </w:rPr>
      </w:pPr>
    </w:p>
    <w:p w14:paraId="03EA4720">
      <w:pPr>
        <w:spacing w:line="380" w:lineRule="exact"/>
        <w:jc w:val="center"/>
        <w:rPr>
          <w:rFonts w:ascii="宋体" w:hAnsi="宋体" w:cs="宋体"/>
          <w:b/>
          <w:color w:val="auto"/>
          <w:sz w:val="24"/>
          <w:highlight w:val="none"/>
        </w:rPr>
      </w:pPr>
    </w:p>
    <w:p w14:paraId="4DB73EF0">
      <w:pPr>
        <w:spacing w:line="380" w:lineRule="exact"/>
        <w:rPr>
          <w:rFonts w:ascii="宋体" w:hAnsi="宋体" w:cs="宋体"/>
          <w:b/>
          <w:color w:val="auto"/>
          <w:sz w:val="24"/>
          <w:highlight w:val="none"/>
        </w:rPr>
      </w:pPr>
      <w:r>
        <w:rPr>
          <w:rFonts w:hint="eastAsia" w:ascii="宋体" w:hAnsi="宋体" w:cs="宋体"/>
          <w:b/>
          <w:color w:val="auto"/>
          <w:sz w:val="24"/>
          <w:highlight w:val="none"/>
        </w:rPr>
        <w:t>附：法定代表人身份证明</w:t>
      </w:r>
    </w:p>
    <w:p w14:paraId="09F64C64">
      <w:pPr>
        <w:spacing w:line="380" w:lineRule="exact"/>
        <w:rPr>
          <w:rFonts w:ascii="宋体" w:hAnsi="宋体" w:cs="宋体"/>
          <w:b/>
          <w:color w:val="auto"/>
          <w:sz w:val="24"/>
          <w:highlight w:val="none"/>
        </w:rPr>
      </w:pPr>
    </w:p>
    <w:tbl>
      <w:tblPr>
        <w:tblStyle w:val="39"/>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14:paraId="4362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1" w:type="dxa"/>
          </w:tcPr>
          <w:p w14:paraId="48DD4B94">
            <w:pPr>
              <w:spacing w:line="440" w:lineRule="exact"/>
              <w:rPr>
                <w:rFonts w:ascii="宋体" w:hAnsi="宋体" w:cs="宋体"/>
                <w:color w:val="auto"/>
                <w:sz w:val="22"/>
                <w:szCs w:val="22"/>
                <w:highlight w:val="none"/>
              </w:rPr>
            </w:pPr>
          </w:p>
          <w:p w14:paraId="6CA94FE5">
            <w:pPr>
              <w:spacing w:line="440" w:lineRule="exact"/>
              <w:rPr>
                <w:rFonts w:ascii="宋体" w:hAnsi="宋体" w:cs="宋体"/>
                <w:color w:val="auto"/>
                <w:sz w:val="22"/>
                <w:szCs w:val="22"/>
                <w:highlight w:val="none"/>
              </w:rPr>
            </w:pPr>
          </w:p>
          <w:p w14:paraId="366AE9F2">
            <w:pPr>
              <w:spacing w:line="440" w:lineRule="exact"/>
              <w:rPr>
                <w:rFonts w:ascii="宋体" w:hAnsi="宋体" w:cs="宋体"/>
                <w:color w:val="auto"/>
                <w:sz w:val="22"/>
                <w:szCs w:val="22"/>
                <w:highlight w:val="none"/>
              </w:rPr>
            </w:pPr>
          </w:p>
          <w:p w14:paraId="3E9DB62A">
            <w:pPr>
              <w:spacing w:line="440" w:lineRule="exact"/>
              <w:ind w:firstLine="1100" w:firstLineChars="500"/>
              <w:jc w:val="center"/>
              <w:rPr>
                <w:rFonts w:ascii="宋体" w:hAnsi="宋体" w:cs="宋体"/>
                <w:color w:val="auto"/>
                <w:sz w:val="22"/>
                <w:szCs w:val="22"/>
                <w:highlight w:val="none"/>
              </w:rPr>
            </w:pPr>
            <w:r>
              <w:rPr>
                <w:rFonts w:hint="eastAsia" w:ascii="宋体" w:hAnsi="宋体" w:cs="宋体"/>
                <w:color w:val="auto"/>
                <w:sz w:val="22"/>
                <w:szCs w:val="22"/>
                <w:highlight w:val="none"/>
              </w:rPr>
              <w:t>法定代表人身份证复印件（粘贴处）</w:t>
            </w:r>
          </w:p>
        </w:tc>
      </w:tr>
    </w:tbl>
    <w:p w14:paraId="2D4475C7">
      <w:pPr>
        <w:spacing w:line="380" w:lineRule="exact"/>
        <w:jc w:val="center"/>
        <w:outlineLvl w:val="2"/>
        <w:rPr>
          <w:rFonts w:ascii="宋体" w:hAnsi="宋体" w:cs="宋体"/>
          <w:b/>
          <w:color w:val="auto"/>
          <w:sz w:val="24"/>
          <w:highlight w:val="none"/>
        </w:rPr>
      </w:pPr>
      <w:r>
        <w:rPr>
          <w:rFonts w:hint="eastAsia" w:ascii="宋体" w:hAnsi="宋体" w:cs="宋体"/>
          <w:b/>
          <w:color w:val="auto"/>
          <w:sz w:val="24"/>
          <w:highlight w:val="none"/>
        </w:rPr>
        <w:br w:type="page"/>
      </w:r>
      <w:bookmarkStart w:id="93" w:name="_Toc3594"/>
      <w:r>
        <w:rPr>
          <w:rFonts w:hint="eastAsia" w:ascii="宋体" w:hAnsi="宋体" w:cs="宋体"/>
          <w:b/>
          <w:color w:val="auto"/>
          <w:sz w:val="24"/>
          <w:highlight w:val="none"/>
        </w:rPr>
        <w:t>（2）法定代表人授权书</w:t>
      </w:r>
      <w:bookmarkEnd w:id="93"/>
    </w:p>
    <w:p w14:paraId="36672F4E">
      <w:pPr>
        <w:spacing w:line="460" w:lineRule="exact"/>
        <w:rPr>
          <w:rFonts w:ascii="宋体" w:hAnsi="宋体" w:cs="宋体"/>
          <w:color w:val="auto"/>
          <w:sz w:val="22"/>
          <w:szCs w:val="22"/>
          <w:highlight w:val="none"/>
        </w:rPr>
      </w:pPr>
    </w:p>
    <w:p w14:paraId="2F8E9F46">
      <w:pPr>
        <w:spacing w:line="460" w:lineRule="exact"/>
        <w:rPr>
          <w:rFonts w:ascii="宋体" w:hAnsi="宋体" w:cs="宋体"/>
          <w:b/>
          <w:color w:val="auto"/>
          <w:sz w:val="24"/>
          <w:highlight w:val="none"/>
        </w:rPr>
      </w:pPr>
      <w:r>
        <w:rPr>
          <w:rFonts w:hint="eastAsia" w:ascii="宋体" w:hAnsi="宋体" w:cs="宋体"/>
          <w:b/>
          <w:color w:val="auto"/>
          <w:sz w:val="24"/>
          <w:highlight w:val="none"/>
        </w:rPr>
        <w:t>温州肯恩大学：</w:t>
      </w:r>
    </w:p>
    <w:p w14:paraId="0D811567">
      <w:pPr>
        <w:spacing w:line="440" w:lineRule="exact"/>
        <w:rPr>
          <w:rFonts w:ascii="宋体" w:hAnsi="宋体" w:cs="宋体"/>
          <w:color w:val="auto"/>
          <w:sz w:val="22"/>
          <w:szCs w:val="22"/>
          <w:highlight w:val="none"/>
          <w:u w:val="single"/>
        </w:rPr>
      </w:pPr>
    </w:p>
    <w:p w14:paraId="2C1EC325">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（项目名称、编号）响应文件、签订合同和处理有关事宜，其法律后果由我方承担。</w:t>
      </w:r>
    </w:p>
    <w:p w14:paraId="33313B28">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14:paraId="02B749C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4C95D50B">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B1AF5F8">
      <w:pPr>
        <w:spacing w:line="440" w:lineRule="exact"/>
        <w:ind w:firstLine="4191" w:firstLineChars="1905"/>
        <w:rPr>
          <w:rFonts w:ascii="宋体" w:hAnsi="宋体" w:cs="宋体"/>
          <w:color w:val="auto"/>
          <w:sz w:val="22"/>
          <w:szCs w:val="22"/>
          <w:highlight w:val="none"/>
        </w:rPr>
      </w:pPr>
      <w:r>
        <w:rPr>
          <w:rFonts w:hint="eastAsia" w:ascii="宋体" w:hAnsi="宋体" w:cs="宋体"/>
          <w:color w:val="auto"/>
          <w:sz w:val="22"/>
          <w:szCs w:val="22"/>
          <w:highlight w:val="none"/>
        </w:rPr>
        <w:t>法定代表人 (签字)：</w:t>
      </w:r>
    </w:p>
    <w:p w14:paraId="445AF5F2">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供应商全称（电子签章）：</w:t>
      </w:r>
    </w:p>
    <w:p w14:paraId="709A305C">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663E2564">
      <w:pPr>
        <w:spacing w:line="440" w:lineRule="exact"/>
        <w:rPr>
          <w:rFonts w:ascii="宋体" w:hAnsi="宋体" w:cs="宋体"/>
          <w:color w:val="auto"/>
          <w:sz w:val="22"/>
          <w:szCs w:val="22"/>
          <w:highlight w:val="none"/>
        </w:rPr>
      </w:pPr>
    </w:p>
    <w:p w14:paraId="792D63C9">
      <w:pPr>
        <w:spacing w:line="440" w:lineRule="exact"/>
        <w:rPr>
          <w:rFonts w:ascii="宋体" w:hAnsi="宋体" w:cs="宋体"/>
          <w:color w:val="auto"/>
          <w:sz w:val="22"/>
          <w:szCs w:val="22"/>
          <w:highlight w:val="none"/>
        </w:rPr>
      </w:pPr>
    </w:p>
    <w:p w14:paraId="5D5A1CE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65132EDE">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授权代表姓名（签字）：</w:t>
      </w:r>
    </w:p>
    <w:p w14:paraId="2BF9E4E6">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2CCF14C3">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手机号码：</w:t>
      </w:r>
    </w:p>
    <w:p w14:paraId="1F5C4213">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315FA673">
      <w:pPr>
        <w:spacing w:line="440" w:lineRule="exact"/>
        <w:rPr>
          <w:rFonts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522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9854" w:type="dxa"/>
            <w:vAlign w:val="center"/>
          </w:tcPr>
          <w:p w14:paraId="3D81518F">
            <w:pPr>
              <w:spacing w:line="44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授权代表身份证复印件（粘贴处）</w:t>
            </w:r>
          </w:p>
        </w:tc>
      </w:tr>
    </w:tbl>
    <w:p w14:paraId="3F8FBA47">
      <w:pPr>
        <w:spacing w:line="440" w:lineRule="exact"/>
        <w:rPr>
          <w:rFonts w:ascii="宋体" w:hAnsi="宋体" w:cs="宋体"/>
          <w:b/>
          <w:bCs/>
          <w:color w:val="auto"/>
          <w:sz w:val="22"/>
          <w:szCs w:val="22"/>
          <w:highlight w:val="none"/>
        </w:rPr>
      </w:pPr>
    </w:p>
    <w:p w14:paraId="07EA1CD3">
      <w:pPr>
        <w:spacing w:line="360" w:lineRule="auto"/>
        <w:jc w:val="center"/>
        <w:rPr>
          <w:rFonts w:ascii="宋体" w:hAnsi="宋体" w:cs="宋体"/>
          <w:b/>
          <w:color w:val="auto"/>
          <w:sz w:val="24"/>
          <w:highlight w:val="none"/>
        </w:rPr>
      </w:pPr>
    </w:p>
    <w:p w14:paraId="3B6074C3">
      <w:pPr>
        <w:spacing w:line="360" w:lineRule="auto"/>
        <w:jc w:val="center"/>
        <w:outlineLvl w:val="2"/>
        <w:rPr>
          <w:rFonts w:ascii="宋体" w:hAnsi="宋体" w:cs="宋体"/>
          <w:b/>
          <w:color w:val="auto"/>
          <w:sz w:val="24"/>
          <w:highlight w:val="none"/>
        </w:rPr>
      </w:pPr>
      <w:bookmarkStart w:id="94" w:name="_Toc5945"/>
      <w:r>
        <w:rPr>
          <w:rFonts w:hint="eastAsia" w:ascii="宋体" w:hAnsi="宋体" w:cs="宋体"/>
          <w:b/>
          <w:color w:val="auto"/>
          <w:sz w:val="24"/>
          <w:highlight w:val="none"/>
        </w:rPr>
        <w:t>（3）</w:t>
      </w:r>
      <w:r>
        <w:rPr>
          <w:rFonts w:hint="eastAsia" w:ascii="宋体" w:hAnsi="宋体" w:cs="宋体"/>
          <w:b/>
          <w:color w:val="auto"/>
          <w:sz w:val="24"/>
          <w:highlight w:val="none"/>
          <w:lang w:val="zh-CN"/>
        </w:rPr>
        <w:t>有效的法人或者其他组织的营业执照等证明文件，自然人的身份证明（</w:t>
      </w:r>
      <w:r>
        <w:rPr>
          <w:rFonts w:hint="eastAsia" w:ascii="宋体" w:hAnsi="宋体" w:cs="宋体"/>
          <w:b/>
          <w:color w:val="auto"/>
          <w:sz w:val="24"/>
          <w:highlight w:val="none"/>
        </w:rPr>
        <w:t>五选一</w:t>
      </w:r>
      <w:r>
        <w:rPr>
          <w:rFonts w:hint="eastAsia" w:ascii="宋体" w:hAnsi="宋体" w:cs="宋体"/>
          <w:b/>
          <w:color w:val="auto"/>
          <w:sz w:val="24"/>
          <w:highlight w:val="none"/>
          <w:lang w:val="zh-CN"/>
        </w:rPr>
        <w:t>）</w:t>
      </w:r>
      <w:bookmarkEnd w:id="94"/>
    </w:p>
    <w:p w14:paraId="7E6C39D3">
      <w:pPr>
        <w:spacing w:line="360" w:lineRule="auto"/>
        <w:rPr>
          <w:rFonts w:ascii="宋体" w:hAnsi="宋体" w:cs="宋体"/>
          <w:b/>
          <w:color w:val="auto"/>
          <w:sz w:val="24"/>
          <w:highlight w:val="none"/>
        </w:rPr>
      </w:pPr>
    </w:p>
    <w:p w14:paraId="18F33D74">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14:paraId="468950E6">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1.如供应商是企业（包括合伙企业），提供有效“企业法人营业执照”或“营业执照”；</w:t>
      </w:r>
    </w:p>
    <w:p w14:paraId="1CF16584">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2.如供应商是事业单位，提供有效的“事业单位法人证书”；</w:t>
      </w:r>
    </w:p>
    <w:p w14:paraId="73D04A3F">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3.如供应商是非企业专业服务机构的，提供执业许可证等证明文件；</w:t>
      </w:r>
    </w:p>
    <w:p w14:paraId="18BD562A">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4.如供应商是个体工商户，提供有效的“个体工商户营业执照”；</w:t>
      </w:r>
    </w:p>
    <w:p w14:paraId="329F45BA">
      <w:pPr>
        <w:pStyle w:val="31"/>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5.如供应商是自然人，提供有效的自然人身份证明（居民身份证正反面或公安机关出具的临时居民身份证正反面或港澳台胞证或证照）。</w:t>
      </w:r>
    </w:p>
    <w:p w14:paraId="2342BA74">
      <w:pPr>
        <w:spacing w:before="240" w:beforeLines="100" w:after="240" w:afterLines="100" w:line="360" w:lineRule="auto"/>
        <w:jc w:val="center"/>
        <w:rPr>
          <w:rFonts w:ascii="宋体" w:hAnsi="宋体" w:cs="宋体"/>
          <w:b/>
          <w:color w:val="auto"/>
          <w:spacing w:val="-6"/>
          <w:sz w:val="22"/>
          <w:highlight w:val="none"/>
        </w:rPr>
      </w:pPr>
    </w:p>
    <w:p w14:paraId="51F7AB5D">
      <w:pPr>
        <w:spacing w:before="240" w:beforeLines="100" w:after="240" w:afterLines="100" w:line="360" w:lineRule="auto"/>
        <w:jc w:val="center"/>
        <w:rPr>
          <w:rFonts w:ascii="宋体" w:hAnsi="宋体" w:cs="宋体"/>
          <w:b/>
          <w:color w:val="auto"/>
          <w:spacing w:val="-6"/>
          <w:sz w:val="22"/>
          <w:highlight w:val="none"/>
        </w:rPr>
      </w:pPr>
    </w:p>
    <w:p w14:paraId="2575E39B">
      <w:pPr>
        <w:spacing w:before="240" w:beforeLines="100" w:after="240" w:afterLines="100" w:line="360" w:lineRule="auto"/>
        <w:jc w:val="center"/>
        <w:rPr>
          <w:rFonts w:ascii="宋体" w:hAnsi="宋体" w:cs="宋体"/>
          <w:b/>
          <w:color w:val="auto"/>
          <w:spacing w:val="-6"/>
          <w:sz w:val="22"/>
          <w:highlight w:val="none"/>
        </w:rPr>
      </w:pPr>
    </w:p>
    <w:p w14:paraId="36A97C76">
      <w:pPr>
        <w:spacing w:before="240" w:beforeLines="100" w:after="240" w:afterLines="100" w:line="360" w:lineRule="auto"/>
        <w:jc w:val="center"/>
        <w:rPr>
          <w:rFonts w:ascii="宋体" w:hAnsi="宋体" w:cs="宋体"/>
          <w:b/>
          <w:color w:val="auto"/>
          <w:spacing w:val="-6"/>
          <w:sz w:val="22"/>
          <w:highlight w:val="none"/>
        </w:rPr>
      </w:pPr>
    </w:p>
    <w:p w14:paraId="1F189BD4">
      <w:pPr>
        <w:spacing w:before="240" w:beforeLines="100" w:after="240" w:afterLines="100" w:line="360" w:lineRule="auto"/>
        <w:jc w:val="center"/>
        <w:rPr>
          <w:rFonts w:ascii="宋体" w:hAnsi="宋体" w:cs="宋体"/>
          <w:b/>
          <w:color w:val="auto"/>
          <w:spacing w:val="-6"/>
          <w:sz w:val="22"/>
          <w:highlight w:val="none"/>
        </w:rPr>
      </w:pPr>
    </w:p>
    <w:p w14:paraId="0E1EC925">
      <w:pPr>
        <w:spacing w:before="240" w:beforeLines="100" w:after="240" w:afterLines="100" w:line="360" w:lineRule="auto"/>
        <w:jc w:val="center"/>
        <w:outlineLvl w:val="2"/>
        <w:rPr>
          <w:rFonts w:ascii="宋体" w:hAnsi="宋体" w:cs="宋体"/>
          <w:b/>
          <w:color w:val="auto"/>
          <w:sz w:val="24"/>
          <w:highlight w:val="none"/>
        </w:rPr>
      </w:pPr>
      <w:bookmarkStart w:id="95" w:name="_Toc21923"/>
      <w:r>
        <w:rPr>
          <w:rFonts w:hint="eastAsia" w:ascii="宋体" w:hAnsi="宋体" w:cs="宋体"/>
          <w:b/>
          <w:color w:val="auto"/>
          <w:sz w:val="24"/>
          <w:highlight w:val="none"/>
        </w:rPr>
        <w:t>（4）</w:t>
      </w:r>
      <w:r>
        <w:rPr>
          <w:rFonts w:hint="eastAsia" w:ascii="宋体" w:hAnsi="宋体" w:cs="宋体"/>
          <w:b/>
          <w:color w:val="auto"/>
          <w:sz w:val="24"/>
          <w:highlight w:val="none"/>
          <w:lang w:val="zh-CN"/>
        </w:rPr>
        <w:t>供应商信用查询</w:t>
      </w:r>
      <w:r>
        <w:rPr>
          <w:rFonts w:hint="eastAsia" w:ascii="宋体" w:hAnsi="宋体" w:cs="宋体"/>
          <w:b/>
          <w:color w:val="auto"/>
          <w:sz w:val="24"/>
          <w:highlight w:val="none"/>
        </w:rPr>
        <w:t>（</w:t>
      </w:r>
      <w:r>
        <w:rPr>
          <w:rFonts w:hint="eastAsia" w:ascii="宋体" w:hAnsi="宋体" w:cs="宋体"/>
          <w:b/>
          <w:color w:val="auto"/>
          <w:sz w:val="24"/>
          <w:highlight w:val="none"/>
          <w:lang w:val="zh-CN"/>
        </w:rPr>
        <w:t>信用中国网站</w:t>
      </w:r>
      <w:r>
        <w:rPr>
          <w:rFonts w:hint="eastAsia" w:ascii="宋体" w:hAnsi="宋体" w:cs="宋体"/>
          <w:b/>
          <w:color w:val="auto"/>
          <w:sz w:val="24"/>
          <w:highlight w:val="none"/>
        </w:rPr>
        <w:t>（www.creditchina.gov.cn）</w:t>
      </w:r>
      <w:r>
        <w:rPr>
          <w:rFonts w:hint="eastAsia" w:ascii="宋体" w:hAnsi="宋体" w:cs="宋体"/>
          <w:b/>
          <w:color w:val="auto"/>
          <w:sz w:val="24"/>
          <w:highlight w:val="none"/>
          <w:lang w:val="zh-CN"/>
        </w:rPr>
        <w:t>、中国政府采购网</w:t>
      </w:r>
      <w:r>
        <w:rPr>
          <w:rFonts w:hint="eastAsia" w:ascii="宋体" w:hAnsi="宋体" w:cs="宋体"/>
          <w:b/>
          <w:color w:val="auto"/>
          <w:sz w:val="24"/>
          <w:highlight w:val="none"/>
        </w:rPr>
        <w:t>（www.ccgp.gov.cn）（</w:t>
      </w:r>
      <w:r>
        <w:rPr>
          <w:rFonts w:hint="eastAsia" w:ascii="宋体" w:hAnsi="宋体" w:cs="宋体"/>
          <w:b/>
          <w:color w:val="auto"/>
          <w:sz w:val="24"/>
          <w:highlight w:val="none"/>
          <w:lang w:val="zh-CN"/>
        </w:rPr>
        <w:t>网页截图加盖公章</w:t>
      </w:r>
      <w:r>
        <w:rPr>
          <w:rFonts w:hint="eastAsia" w:ascii="宋体" w:hAnsi="宋体" w:cs="宋体"/>
          <w:b/>
          <w:color w:val="auto"/>
          <w:sz w:val="24"/>
          <w:highlight w:val="none"/>
        </w:rPr>
        <w:t>）</w:t>
      </w:r>
      <w:bookmarkEnd w:id="95"/>
    </w:p>
    <w:p w14:paraId="4E173B99">
      <w:pPr>
        <w:spacing w:before="240" w:beforeLines="100" w:after="240" w:afterLines="100" w:line="360" w:lineRule="auto"/>
        <w:jc w:val="center"/>
        <w:outlineLvl w:val="2"/>
        <w:rPr>
          <w:rFonts w:ascii="宋体" w:hAnsi="宋体" w:cs="宋体"/>
          <w:b/>
          <w:color w:val="auto"/>
          <w:sz w:val="24"/>
          <w:highlight w:val="none"/>
        </w:rPr>
      </w:pPr>
      <w:r>
        <w:rPr>
          <w:rFonts w:hint="eastAsia" w:ascii="宋体" w:hAnsi="宋体" w:cs="宋体"/>
          <w:b/>
          <w:color w:val="auto"/>
          <w:sz w:val="24"/>
          <w:highlight w:val="none"/>
        </w:rPr>
        <w:br w:type="page"/>
      </w:r>
      <w:bookmarkStart w:id="96" w:name="_Toc13686"/>
      <w:r>
        <w:rPr>
          <w:rFonts w:hint="eastAsia" w:ascii="宋体" w:hAnsi="宋体" w:cs="宋体"/>
          <w:b/>
          <w:color w:val="auto"/>
          <w:sz w:val="24"/>
          <w:highlight w:val="none"/>
        </w:rPr>
        <w:t>（5）关于符合《中华人民共和国政府采购法》第二十二条规定的承诺函</w:t>
      </w:r>
      <w:bookmarkEnd w:id="96"/>
    </w:p>
    <w:p w14:paraId="6C564E65">
      <w:pPr>
        <w:spacing w:before="240" w:beforeLines="100" w:after="240" w:afterLines="100"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温州肯恩大学、温州市圣励招标代理有限公司</w:t>
      </w:r>
      <w:r>
        <w:rPr>
          <w:rFonts w:hint="eastAsia" w:ascii="宋体" w:hAnsi="宋体" w:cs="宋体"/>
          <w:color w:val="auto"/>
          <w:spacing w:val="-6"/>
          <w:sz w:val="22"/>
          <w:highlight w:val="none"/>
        </w:rPr>
        <w:t>：</w:t>
      </w:r>
    </w:p>
    <w:p w14:paraId="460A7586">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1A4B60D6">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（一）具有独立承担民事责任的能力；</w:t>
      </w:r>
    </w:p>
    <w:p w14:paraId="58CEAC56">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14:paraId="0BB63ABC">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14:paraId="68F7E974">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14:paraId="09C3F8F6">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（五）参加采购活动前三年内，在经营活动中没有重大违法记录（重大违法记录是指供应商因违法经营受到刑事处罚或者责令停产停业、吊销许可证或者执照、较大数额罚款等行政处罚。）；</w:t>
      </w:r>
    </w:p>
    <w:p w14:paraId="3E32A579">
      <w:pPr>
        <w:pStyle w:val="3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3802DDF6">
      <w:pPr>
        <w:pStyle w:val="35"/>
        <w:spacing w:before="0" w:beforeAutospacing="0" w:after="0" w:afterAutospacing="0" w:line="360" w:lineRule="auto"/>
        <w:ind w:firstLine="442" w:firstLineChars="200"/>
        <w:rPr>
          <w:rStyle w:val="75"/>
          <w:color w:val="auto"/>
          <w:sz w:val="22"/>
          <w:highlight w:val="none"/>
        </w:rPr>
      </w:pPr>
      <w:r>
        <w:rPr>
          <w:rStyle w:val="75"/>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5"/>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6109F963">
      <w:pPr>
        <w:pStyle w:val="35"/>
        <w:spacing w:before="0" w:beforeAutospacing="0" w:after="0" w:afterAutospacing="0" w:line="360" w:lineRule="auto"/>
        <w:ind w:firstLine="440" w:firstLineChars="200"/>
        <w:rPr>
          <w:rStyle w:val="75"/>
          <w:color w:val="auto"/>
          <w:sz w:val="22"/>
          <w:highlight w:val="none"/>
        </w:rPr>
      </w:pPr>
      <w:r>
        <w:rPr>
          <w:rStyle w:val="75"/>
          <w:rFonts w:hint="eastAsia"/>
          <w:color w:val="auto"/>
          <w:sz w:val="22"/>
          <w:highlight w:val="none"/>
        </w:rPr>
        <w:t>《中华人民共和国政府采购法实施条例》第十九条第一款规定的“</w:t>
      </w:r>
      <w:r>
        <w:rPr>
          <w:rFonts w:hint="eastAsia"/>
          <w:color w:val="auto"/>
          <w:kern w:val="2"/>
          <w:sz w:val="22"/>
          <w:highlight w:val="none"/>
        </w:rPr>
        <w:t>较大数额罚款</w:t>
      </w:r>
      <w:r>
        <w:rPr>
          <w:rStyle w:val="75"/>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75"/>
          <w:rFonts w:hint="eastAsia"/>
          <w:color w:val="auto"/>
          <w:sz w:val="22"/>
          <w:highlight w:val="none"/>
        </w:rPr>
        <w:t>”标准高于200万元的，从其规定。</w:t>
      </w:r>
    </w:p>
    <w:p w14:paraId="56B12EB1">
      <w:pPr>
        <w:pStyle w:val="35"/>
        <w:spacing w:before="0" w:beforeAutospacing="0" w:after="0" w:afterAutospacing="0" w:line="360" w:lineRule="auto"/>
        <w:ind w:firstLine="440" w:firstLineChars="200"/>
        <w:rPr>
          <w:rStyle w:val="75"/>
          <w:color w:val="auto"/>
          <w:sz w:val="22"/>
          <w:highlight w:val="none"/>
        </w:rPr>
      </w:pPr>
      <w:r>
        <w:rPr>
          <w:rStyle w:val="75"/>
          <w:rFonts w:hint="eastAsia"/>
          <w:color w:val="auto"/>
          <w:sz w:val="22"/>
          <w:highlight w:val="none"/>
        </w:rPr>
        <w:t>我单位已知晓前述法律规定，对此无任何异议。</w:t>
      </w:r>
    </w:p>
    <w:p w14:paraId="6659336F">
      <w:pPr>
        <w:ind w:firstLine="442" w:firstLineChars="200"/>
        <w:rPr>
          <w:rFonts w:ascii="宋体" w:hAnsi="宋体" w:cs="宋体"/>
          <w:color w:val="auto"/>
          <w:szCs w:val="21"/>
          <w:highlight w:val="none"/>
        </w:rPr>
      </w:pPr>
      <w:r>
        <w:rPr>
          <w:rStyle w:val="75"/>
          <w:rFonts w:hint="eastAsia" w:ascii="宋体" w:hAnsi="宋体" w:cs="宋体"/>
          <w:b/>
          <w:bCs/>
          <w:color w:val="auto"/>
          <w:sz w:val="22"/>
          <w:highlight w:val="none"/>
        </w:rPr>
        <w:t>注：</w:t>
      </w:r>
      <w:r>
        <w:rPr>
          <w:rStyle w:val="75"/>
          <w:rFonts w:hint="eastAsia" w:ascii="宋体" w:hAnsi="宋体" w:cs="宋体"/>
          <w:color w:val="auto"/>
          <w:sz w:val="22"/>
          <w:highlight w:val="none"/>
          <w:u w:val="single"/>
        </w:rPr>
        <w:t>▲</w:t>
      </w:r>
      <w:r>
        <w:rPr>
          <w:rStyle w:val="75"/>
          <w:rFonts w:hint="eastAsia" w:ascii="宋体" w:hAnsi="宋体" w:cs="宋体"/>
          <w:b/>
          <w:bCs/>
          <w:color w:val="auto"/>
          <w:sz w:val="22"/>
          <w:highlight w:val="none"/>
          <w:u w:val="single"/>
        </w:rPr>
        <w:t>本承诺函必须提供。</w:t>
      </w:r>
    </w:p>
    <w:p w14:paraId="07172230">
      <w:pPr>
        <w:spacing w:line="360" w:lineRule="auto"/>
        <w:ind w:left="4620" w:leftChars="2200"/>
        <w:rPr>
          <w:rFonts w:ascii="宋体" w:hAnsi="宋体" w:cs="宋体"/>
          <w:color w:val="auto"/>
          <w:szCs w:val="21"/>
          <w:highlight w:val="none"/>
        </w:rPr>
      </w:pPr>
    </w:p>
    <w:p w14:paraId="1D873E64">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供应商全称（电子签章）：</w:t>
      </w:r>
    </w:p>
    <w:p w14:paraId="68714995">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供应商代表（签字或盖章）：</w:t>
      </w:r>
    </w:p>
    <w:p w14:paraId="5D20CF5D">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日 期：      年    月   日</w:t>
      </w:r>
    </w:p>
    <w:p w14:paraId="4EC014C0">
      <w:pPr>
        <w:spacing w:before="240" w:beforeLines="100" w:after="240" w:afterLines="100" w:line="360" w:lineRule="auto"/>
        <w:rPr>
          <w:rFonts w:ascii="宋体" w:hAnsi="宋体" w:cs="宋体"/>
          <w:b/>
          <w:color w:val="auto"/>
          <w:sz w:val="24"/>
          <w:highlight w:val="none"/>
          <w:lang w:val="zh-CN"/>
        </w:rPr>
      </w:pPr>
    </w:p>
    <w:p w14:paraId="39E8EE28">
      <w:pPr>
        <w:pStyle w:val="14"/>
        <w:outlineLvl w:val="1"/>
        <w:rPr>
          <w:rFonts w:ascii="宋体" w:hAnsi="宋体" w:cs="宋体"/>
          <w:b/>
          <w:bCs/>
          <w:color w:val="auto"/>
          <w:sz w:val="24"/>
          <w:highlight w:val="none"/>
        </w:rPr>
      </w:pPr>
      <w:r>
        <w:rPr>
          <w:rFonts w:hint="eastAsia" w:ascii="宋体" w:hAnsi="宋体" w:cs="宋体"/>
          <w:b/>
          <w:bCs/>
          <w:color w:val="auto"/>
          <w:sz w:val="24"/>
          <w:highlight w:val="none"/>
        </w:rPr>
        <w:br w:type="page"/>
      </w:r>
      <w:bookmarkStart w:id="97" w:name="_Toc8401"/>
      <w:r>
        <w:rPr>
          <w:rFonts w:hint="eastAsia" w:ascii="宋体" w:hAnsi="宋体" w:cs="宋体"/>
          <w:b/>
          <w:bCs/>
          <w:color w:val="auto"/>
          <w:sz w:val="24"/>
          <w:highlight w:val="none"/>
        </w:rPr>
        <w:t>附件四  商务条款、技术规格偏离表</w:t>
      </w:r>
      <w:bookmarkEnd w:id="97"/>
    </w:p>
    <w:p w14:paraId="3805374B">
      <w:pPr>
        <w:jc w:val="center"/>
        <w:rPr>
          <w:rFonts w:ascii="宋体" w:hAnsi="宋体" w:cs="宋体"/>
          <w:b/>
          <w:color w:val="auto"/>
          <w:sz w:val="28"/>
          <w:szCs w:val="28"/>
          <w:highlight w:val="none"/>
        </w:rPr>
      </w:pPr>
      <w:r>
        <w:rPr>
          <w:rFonts w:hint="eastAsia" w:ascii="宋体" w:hAnsi="宋体" w:cs="宋体"/>
          <w:b/>
          <w:color w:val="auto"/>
          <w:sz w:val="24"/>
          <w:highlight w:val="none"/>
        </w:rPr>
        <w:t>商务条款、技术规格偏离表</w:t>
      </w:r>
    </w:p>
    <w:p w14:paraId="3B270C04">
      <w:pPr>
        <w:spacing w:line="380" w:lineRule="exact"/>
        <w:rPr>
          <w:rFonts w:ascii="宋体" w:hAnsi="宋体" w:cs="宋体"/>
          <w:b/>
          <w:color w:val="auto"/>
          <w:sz w:val="22"/>
          <w:highlight w:val="none"/>
        </w:rPr>
      </w:pPr>
      <w:r>
        <w:rPr>
          <w:rFonts w:hint="eastAsia" w:ascii="宋体" w:hAnsi="宋体" w:cs="宋体"/>
          <w:b/>
          <w:color w:val="auto"/>
          <w:sz w:val="22"/>
          <w:highlight w:val="none"/>
        </w:rPr>
        <w:t>项目名称：                                                  项目编号：</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45A5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tcPr>
          <w:p w14:paraId="6404D223">
            <w:pPr>
              <w:spacing w:line="380" w:lineRule="exact"/>
              <w:jc w:val="center"/>
              <w:rPr>
                <w:rFonts w:ascii="宋体" w:hAnsi="宋体" w:cs="宋体"/>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14:paraId="27FE7D0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14:paraId="690E659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采购文件</w:t>
            </w:r>
          </w:p>
          <w:p w14:paraId="685CC7C5">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14:paraId="4A68AFF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采购文件</w:t>
            </w:r>
          </w:p>
          <w:p w14:paraId="2D32DFE2">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14:paraId="13C3BC7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响应文件</w:t>
            </w:r>
          </w:p>
          <w:p w14:paraId="5720FEA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14:paraId="27D586E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40E2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687B7D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4FA43C3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6AA81D0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4E6E246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1365" w:type="dxa"/>
            <w:tcBorders>
              <w:top w:val="single" w:color="auto" w:sz="4" w:space="0"/>
              <w:left w:val="single" w:color="auto" w:sz="4" w:space="0"/>
              <w:bottom w:val="single" w:color="auto" w:sz="4" w:space="0"/>
              <w:right w:val="single" w:color="auto" w:sz="4" w:space="0"/>
            </w:tcBorders>
            <w:vAlign w:val="center"/>
          </w:tcPr>
          <w:p w14:paraId="727675BA">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58F4E44">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5BA5D8C">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9A38B56">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12256D63">
            <w:pPr>
              <w:spacing w:line="380" w:lineRule="exact"/>
              <w:jc w:val="center"/>
              <w:rPr>
                <w:rFonts w:ascii="宋体" w:hAnsi="宋体" w:cs="宋体"/>
                <w:color w:val="auto"/>
                <w:sz w:val="22"/>
                <w:highlight w:val="none"/>
              </w:rPr>
            </w:pPr>
          </w:p>
        </w:tc>
      </w:tr>
      <w:tr w14:paraId="0891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4016464A">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31935F53">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7DBCAFD7">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AB2D041">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48EC1EE9">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56AAD8F">
            <w:pPr>
              <w:spacing w:line="380" w:lineRule="exact"/>
              <w:jc w:val="center"/>
              <w:rPr>
                <w:rFonts w:ascii="宋体" w:hAnsi="宋体" w:cs="宋体"/>
                <w:color w:val="auto"/>
                <w:sz w:val="22"/>
                <w:highlight w:val="none"/>
              </w:rPr>
            </w:pPr>
          </w:p>
        </w:tc>
      </w:tr>
      <w:tr w14:paraId="25F5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E3CE9C0">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1E04856">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443E00F">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AF790F7">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168134B1">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5CF1F6C">
            <w:pPr>
              <w:spacing w:line="380" w:lineRule="exact"/>
              <w:jc w:val="center"/>
              <w:rPr>
                <w:rFonts w:ascii="宋体" w:hAnsi="宋体" w:cs="宋体"/>
                <w:color w:val="auto"/>
                <w:sz w:val="22"/>
                <w:highlight w:val="none"/>
              </w:rPr>
            </w:pPr>
          </w:p>
        </w:tc>
      </w:tr>
      <w:tr w14:paraId="5197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52F4F2B7">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A102CF3">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79993147">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5046A2E">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156A2415">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3F6E40A">
            <w:pPr>
              <w:spacing w:line="380" w:lineRule="exact"/>
              <w:jc w:val="center"/>
              <w:rPr>
                <w:rFonts w:ascii="宋体" w:hAnsi="宋体" w:cs="宋体"/>
                <w:color w:val="auto"/>
                <w:sz w:val="22"/>
                <w:highlight w:val="none"/>
              </w:rPr>
            </w:pPr>
          </w:p>
        </w:tc>
      </w:tr>
      <w:tr w14:paraId="0225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E9E994E">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56C0C98">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6D2BF317">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A19AB52">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5CE4D44">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67719CB">
            <w:pPr>
              <w:spacing w:line="380" w:lineRule="exact"/>
              <w:jc w:val="center"/>
              <w:rPr>
                <w:rFonts w:ascii="宋体" w:hAnsi="宋体" w:cs="宋体"/>
                <w:color w:val="auto"/>
                <w:sz w:val="22"/>
                <w:highlight w:val="none"/>
              </w:rPr>
            </w:pPr>
          </w:p>
        </w:tc>
      </w:tr>
      <w:tr w14:paraId="4D38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249CD8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145EF18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196513C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55B46832">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1365" w:type="dxa"/>
            <w:tcBorders>
              <w:top w:val="single" w:color="auto" w:sz="4" w:space="0"/>
              <w:left w:val="single" w:color="auto" w:sz="4" w:space="0"/>
              <w:bottom w:val="single" w:color="auto" w:sz="4" w:space="0"/>
              <w:right w:val="single" w:color="auto" w:sz="4" w:space="0"/>
            </w:tcBorders>
            <w:vAlign w:val="center"/>
          </w:tcPr>
          <w:p w14:paraId="050E3B22">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DFF2939">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0DD2715">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0F310D06">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7CD6217">
            <w:pPr>
              <w:spacing w:line="380" w:lineRule="exact"/>
              <w:jc w:val="center"/>
              <w:rPr>
                <w:rFonts w:ascii="宋体" w:hAnsi="宋体" w:cs="宋体"/>
                <w:color w:val="auto"/>
                <w:sz w:val="22"/>
                <w:highlight w:val="none"/>
              </w:rPr>
            </w:pPr>
          </w:p>
        </w:tc>
      </w:tr>
      <w:tr w14:paraId="265E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C11B042">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6DA3A2A6">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39A3AFDE">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79EB156">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E061A56">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B2D5D3D">
            <w:pPr>
              <w:spacing w:line="380" w:lineRule="exact"/>
              <w:jc w:val="center"/>
              <w:rPr>
                <w:rFonts w:ascii="宋体" w:hAnsi="宋体" w:cs="宋体"/>
                <w:color w:val="auto"/>
                <w:sz w:val="22"/>
                <w:highlight w:val="none"/>
              </w:rPr>
            </w:pPr>
          </w:p>
        </w:tc>
      </w:tr>
      <w:tr w14:paraId="2914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B2DB1E2">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30DF5CE">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99BBD5A">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6BBCD2F">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DBB5359">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6795DE9">
            <w:pPr>
              <w:spacing w:line="380" w:lineRule="exact"/>
              <w:jc w:val="center"/>
              <w:rPr>
                <w:rFonts w:ascii="宋体" w:hAnsi="宋体" w:cs="宋体"/>
                <w:color w:val="auto"/>
                <w:sz w:val="22"/>
                <w:highlight w:val="none"/>
              </w:rPr>
            </w:pPr>
          </w:p>
        </w:tc>
      </w:tr>
      <w:tr w14:paraId="04DC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B0AB495">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04BE81B6">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1B82E4D5">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7917E53">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3A7D971">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94DB319">
            <w:pPr>
              <w:spacing w:line="380" w:lineRule="exact"/>
              <w:jc w:val="center"/>
              <w:rPr>
                <w:rFonts w:ascii="宋体" w:hAnsi="宋体" w:cs="宋体"/>
                <w:color w:val="auto"/>
                <w:sz w:val="22"/>
                <w:highlight w:val="none"/>
              </w:rPr>
            </w:pPr>
          </w:p>
        </w:tc>
      </w:tr>
      <w:tr w14:paraId="4A28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A4FA7B1">
            <w:pPr>
              <w:widowControl/>
              <w:jc w:val="left"/>
              <w:rPr>
                <w:rFonts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7CE0EE37">
            <w:pPr>
              <w:spacing w:line="380" w:lineRule="exact"/>
              <w:jc w:val="center"/>
              <w:rPr>
                <w:rFonts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C1FA7AB">
            <w:pPr>
              <w:spacing w:line="380" w:lineRule="exact"/>
              <w:jc w:val="center"/>
              <w:rPr>
                <w:rFonts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5703658">
            <w:pPr>
              <w:spacing w:line="380" w:lineRule="exact"/>
              <w:jc w:val="center"/>
              <w:rPr>
                <w:rFonts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CE1A508">
            <w:pPr>
              <w:spacing w:line="380" w:lineRule="exact"/>
              <w:jc w:val="center"/>
              <w:rPr>
                <w:rFonts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78526A7">
            <w:pPr>
              <w:spacing w:line="380" w:lineRule="exact"/>
              <w:jc w:val="center"/>
              <w:rPr>
                <w:rFonts w:ascii="宋体" w:hAnsi="宋体" w:cs="宋体"/>
                <w:color w:val="auto"/>
                <w:sz w:val="22"/>
                <w:highlight w:val="none"/>
              </w:rPr>
            </w:pPr>
          </w:p>
        </w:tc>
      </w:tr>
    </w:tbl>
    <w:p w14:paraId="1B47831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注：没有填写此表视为完全响应采购文件要求。</w:t>
      </w:r>
    </w:p>
    <w:p w14:paraId="217CC0CE">
      <w:pPr>
        <w:spacing w:line="440" w:lineRule="exact"/>
        <w:ind w:firstLine="4400" w:firstLineChars="2000"/>
        <w:rPr>
          <w:rFonts w:ascii="宋体" w:hAnsi="宋体" w:cs="宋体"/>
          <w:color w:val="auto"/>
          <w:sz w:val="22"/>
          <w:szCs w:val="22"/>
          <w:highlight w:val="none"/>
        </w:rPr>
      </w:pPr>
    </w:p>
    <w:p w14:paraId="49FD6232">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供应商全称（电子签章）：</w:t>
      </w:r>
    </w:p>
    <w:p w14:paraId="18ACFD52">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供应商代表（签字或盖章）：</w:t>
      </w:r>
    </w:p>
    <w:p w14:paraId="3F7EEE82">
      <w:pPr>
        <w:pStyle w:val="22"/>
        <w:spacing w:line="460" w:lineRule="exact"/>
        <w:ind w:firstLine="5060" w:firstLineChars="2300"/>
        <w:rPr>
          <w:rFonts w:hAnsi="宋体" w:cs="宋体"/>
          <w:color w:val="auto"/>
          <w:sz w:val="22"/>
          <w:szCs w:val="22"/>
          <w:highlight w:val="none"/>
        </w:rPr>
      </w:pPr>
      <w:r>
        <w:rPr>
          <w:rFonts w:hint="eastAsia" w:hAnsi="宋体" w:cs="宋体"/>
          <w:color w:val="auto"/>
          <w:sz w:val="22"/>
          <w:szCs w:val="22"/>
          <w:highlight w:val="none"/>
        </w:rPr>
        <w:t>日 期：      年    月   日</w:t>
      </w:r>
    </w:p>
    <w:p w14:paraId="0390C227">
      <w:pPr>
        <w:spacing w:line="440" w:lineRule="exact"/>
        <w:ind w:firstLine="4400" w:firstLineChars="2000"/>
        <w:rPr>
          <w:rFonts w:ascii="宋体" w:hAnsi="宋体" w:cs="宋体"/>
          <w:color w:val="auto"/>
          <w:sz w:val="22"/>
          <w:szCs w:val="22"/>
          <w:highlight w:val="none"/>
        </w:rPr>
      </w:pPr>
    </w:p>
    <w:p w14:paraId="63750C3C">
      <w:pPr>
        <w:rPr>
          <w:rFonts w:ascii="宋体" w:hAnsi="宋体" w:cs="宋体"/>
          <w:color w:val="auto"/>
          <w:sz w:val="24"/>
          <w:highlight w:val="none"/>
        </w:rPr>
        <w:sectPr>
          <w:headerReference r:id="rId11" w:type="default"/>
          <w:footerReference r:id="rId12" w:type="default"/>
          <w:pgSz w:w="11906" w:h="16838"/>
          <w:pgMar w:top="1134" w:right="1134" w:bottom="1134" w:left="1134" w:header="851" w:footer="992" w:gutter="0"/>
          <w:cols w:space="720" w:num="1"/>
          <w:docGrid w:linePitch="312" w:charSpace="0"/>
        </w:sectPr>
      </w:pPr>
      <w:bookmarkStart w:id="98" w:name="_Toc363487552"/>
    </w:p>
    <w:bookmarkEnd w:id="98"/>
    <w:p w14:paraId="1C63513C">
      <w:pPr>
        <w:outlineLvl w:val="1"/>
        <w:rPr>
          <w:rFonts w:ascii="宋体" w:hAnsi="宋体" w:cs="宋体"/>
          <w:b/>
          <w:bCs/>
          <w:color w:val="auto"/>
          <w:sz w:val="22"/>
          <w:szCs w:val="22"/>
          <w:highlight w:val="none"/>
        </w:rPr>
      </w:pPr>
      <w:bookmarkStart w:id="99" w:name="_Toc4031"/>
      <w:r>
        <w:rPr>
          <w:rFonts w:hint="eastAsia" w:ascii="宋体" w:hAnsi="宋体" w:cs="宋体"/>
          <w:b/>
          <w:bCs/>
          <w:color w:val="auto"/>
          <w:sz w:val="22"/>
          <w:szCs w:val="22"/>
          <w:highlight w:val="none"/>
        </w:rPr>
        <w:t>附件五 同类业绩</w:t>
      </w:r>
    </w:p>
    <w:p w14:paraId="293032CE">
      <w:pPr>
        <w:spacing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同类业绩</w:t>
      </w:r>
    </w:p>
    <w:p w14:paraId="3919D1AB">
      <w:pPr>
        <w:spacing w:line="380" w:lineRule="exact"/>
        <w:ind w:firstLine="216" w:firstLineChars="98"/>
        <w:rPr>
          <w:rFonts w:ascii="宋体" w:hAnsi="宋体" w:cs="宋体"/>
          <w:b/>
          <w:bCs/>
          <w:color w:val="auto"/>
          <w:sz w:val="22"/>
          <w:highlight w:val="none"/>
        </w:rPr>
      </w:pPr>
    </w:p>
    <w:p w14:paraId="2E8D55E1">
      <w:pPr>
        <w:spacing w:line="380" w:lineRule="exact"/>
        <w:ind w:firstLine="216" w:firstLineChars="98"/>
        <w:rPr>
          <w:rFonts w:ascii="宋体" w:hAnsi="宋体" w:cs="宋体"/>
          <w:b/>
          <w:bCs/>
          <w:color w:val="auto"/>
          <w:sz w:val="22"/>
          <w:highlight w:val="none"/>
        </w:rPr>
      </w:pPr>
      <w:r>
        <w:rPr>
          <w:rFonts w:hint="eastAsia" w:ascii="宋体" w:hAnsi="宋体" w:cs="宋体"/>
          <w:b/>
          <w:bCs/>
          <w:color w:val="auto"/>
          <w:sz w:val="22"/>
          <w:highlight w:val="none"/>
        </w:rPr>
        <w:t>项目名称：                                              项目编号：</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198"/>
        <w:gridCol w:w="1640"/>
        <w:gridCol w:w="1262"/>
        <w:gridCol w:w="1348"/>
        <w:gridCol w:w="2622"/>
      </w:tblGrid>
      <w:tr w14:paraId="5BFA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96" w:type="pct"/>
            <w:shd w:val="clear" w:color="auto" w:fill="D9D9D9"/>
            <w:vAlign w:val="center"/>
          </w:tcPr>
          <w:p w14:paraId="7F245A86">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1115" w:type="pct"/>
            <w:shd w:val="clear" w:color="auto" w:fill="D9D9D9"/>
            <w:vAlign w:val="center"/>
          </w:tcPr>
          <w:p w14:paraId="30B1B2F4">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用户名称</w:t>
            </w:r>
          </w:p>
        </w:tc>
        <w:tc>
          <w:tcPr>
            <w:tcW w:w="832" w:type="pct"/>
            <w:shd w:val="clear" w:color="auto" w:fill="D9D9D9"/>
            <w:vAlign w:val="center"/>
          </w:tcPr>
          <w:p w14:paraId="2C2B0040">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640" w:type="pct"/>
            <w:shd w:val="clear" w:color="auto" w:fill="D9D9D9"/>
            <w:vAlign w:val="center"/>
          </w:tcPr>
          <w:p w14:paraId="08B56747">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684" w:type="pct"/>
            <w:shd w:val="clear" w:color="auto" w:fill="D9D9D9"/>
            <w:vAlign w:val="center"/>
          </w:tcPr>
          <w:p w14:paraId="3247C1F8">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签订时间</w:t>
            </w:r>
          </w:p>
        </w:tc>
        <w:tc>
          <w:tcPr>
            <w:tcW w:w="1330" w:type="pct"/>
            <w:shd w:val="clear" w:color="auto" w:fill="D9D9D9"/>
            <w:vAlign w:val="center"/>
          </w:tcPr>
          <w:p w14:paraId="05E92342">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用户联系人/联系方式</w:t>
            </w:r>
          </w:p>
        </w:tc>
      </w:tr>
      <w:tr w14:paraId="30C8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2F07AE23">
            <w:pPr>
              <w:spacing w:line="380" w:lineRule="exact"/>
              <w:jc w:val="center"/>
              <w:rPr>
                <w:rFonts w:ascii="宋体" w:hAnsi="宋体" w:cs="宋体"/>
                <w:b/>
                <w:bCs/>
                <w:color w:val="auto"/>
                <w:sz w:val="22"/>
                <w:highlight w:val="none"/>
              </w:rPr>
            </w:pPr>
          </w:p>
        </w:tc>
        <w:tc>
          <w:tcPr>
            <w:tcW w:w="1115" w:type="pct"/>
            <w:vAlign w:val="center"/>
          </w:tcPr>
          <w:p w14:paraId="54B04E8E">
            <w:pPr>
              <w:spacing w:line="380" w:lineRule="exact"/>
              <w:jc w:val="center"/>
              <w:rPr>
                <w:rFonts w:ascii="宋体" w:hAnsi="宋体" w:cs="宋体"/>
                <w:b/>
                <w:bCs/>
                <w:color w:val="auto"/>
                <w:sz w:val="22"/>
                <w:highlight w:val="none"/>
              </w:rPr>
            </w:pPr>
          </w:p>
        </w:tc>
        <w:tc>
          <w:tcPr>
            <w:tcW w:w="832" w:type="pct"/>
            <w:vAlign w:val="center"/>
          </w:tcPr>
          <w:p w14:paraId="0AC26F43">
            <w:pPr>
              <w:spacing w:line="380" w:lineRule="exact"/>
              <w:jc w:val="center"/>
              <w:rPr>
                <w:rFonts w:ascii="宋体" w:hAnsi="宋体" w:cs="宋体"/>
                <w:b/>
                <w:bCs/>
                <w:color w:val="auto"/>
                <w:sz w:val="22"/>
                <w:highlight w:val="none"/>
              </w:rPr>
            </w:pPr>
          </w:p>
        </w:tc>
        <w:tc>
          <w:tcPr>
            <w:tcW w:w="640" w:type="pct"/>
            <w:vAlign w:val="center"/>
          </w:tcPr>
          <w:p w14:paraId="6033105D">
            <w:pPr>
              <w:spacing w:line="380" w:lineRule="exact"/>
              <w:jc w:val="center"/>
              <w:rPr>
                <w:rFonts w:ascii="宋体" w:hAnsi="宋体" w:cs="宋体"/>
                <w:b/>
                <w:bCs/>
                <w:color w:val="auto"/>
                <w:sz w:val="22"/>
                <w:highlight w:val="none"/>
              </w:rPr>
            </w:pPr>
          </w:p>
        </w:tc>
        <w:tc>
          <w:tcPr>
            <w:tcW w:w="684" w:type="pct"/>
            <w:vAlign w:val="center"/>
          </w:tcPr>
          <w:p w14:paraId="2207B460">
            <w:pPr>
              <w:spacing w:line="380" w:lineRule="exact"/>
              <w:jc w:val="center"/>
              <w:rPr>
                <w:rFonts w:ascii="宋体" w:hAnsi="宋体" w:cs="宋体"/>
                <w:b/>
                <w:bCs/>
                <w:color w:val="auto"/>
                <w:sz w:val="22"/>
                <w:highlight w:val="none"/>
              </w:rPr>
            </w:pPr>
          </w:p>
        </w:tc>
        <w:tc>
          <w:tcPr>
            <w:tcW w:w="1330" w:type="pct"/>
            <w:vAlign w:val="center"/>
          </w:tcPr>
          <w:p w14:paraId="1C9F92A1">
            <w:pPr>
              <w:spacing w:line="380" w:lineRule="exact"/>
              <w:jc w:val="center"/>
              <w:rPr>
                <w:rFonts w:ascii="宋体" w:hAnsi="宋体" w:cs="宋体"/>
                <w:b/>
                <w:bCs/>
                <w:color w:val="auto"/>
                <w:sz w:val="22"/>
                <w:highlight w:val="none"/>
              </w:rPr>
            </w:pPr>
          </w:p>
        </w:tc>
      </w:tr>
      <w:tr w14:paraId="1EFC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96" w:type="pct"/>
            <w:vAlign w:val="center"/>
          </w:tcPr>
          <w:p w14:paraId="28A4141D">
            <w:pPr>
              <w:spacing w:line="380" w:lineRule="exact"/>
              <w:jc w:val="center"/>
              <w:rPr>
                <w:rFonts w:ascii="宋体" w:hAnsi="宋体" w:cs="宋体"/>
                <w:b/>
                <w:bCs/>
                <w:color w:val="auto"/>
                <w:sz w:val="22"/>
                <w:highlight w:val="none"/>
              </w:rPr>
            </w:pPr>
          </w:p>
        </w:tc>
        <w:tc>
          <w:tcPr>
            <w:tcW w:w="1115" w:type="pct"/>
            <w:vAlign w:val="center"/>
          </w:tcPr>
          <w:p w14:paraId="39A4710E">
            <w:pPr>
              <w:spacing w:line="380" w:lineRule="exact"/>
              <w:jc w:val="center"/>
              <w:rPr>
                <w:rFonts w:ascii="宋体" w:hAnsi="宋体" w:cs="宋体"/>
                <w:b/>
                <w:bCs/>
                <w:color w:val="auto"/>
                <w:sz w:val="22"/>
                <w:highlight w:val="none"/>
              </w:rPr>
            </w:pPr>
          </w:p>
        </w:tc>
        <w:tc>
          <w:tcPr>
            <w:tcW w:w="832" w:type="pct"/>
            <w:vAlign w:val="center"/>
          </w:tcPr>
          <w:p w14:paraId="7491FBBA">
            <w:pPr>
              <w:spacing w:line="380" w:lineRule="exact"/>
              <w:jc w:val="center"/>
              <w:rPr>
                <w:rFonts w:ascii="宋体" w:hAnsi="宋体" w:cs="宋体"/>
                <w:b/>
                <w:bCs/>
                <w:color w:val="auto"/>
                <w:sz w:val="22"/>
                <w:highlight w:val="none"/>
              </w:rPr>
            </w:pPr>
          </w:p>
        </w:tc>
        <w:tc>
          <w:tcPr>
            <w:tcW w:w="640" w:type="pct"/>
            <w:vAlign w:val="center"/>
          </w:tcPr>
          <w:p w14:paraId="1F730004">
            <w:pPr>
              <w:spacing w:line="380" w:lineRule="exact"/>
              <w:jc w:val="center"/>
              <w:rPr>
                <w:rFonts w:ascii="宋体" w:hAnsi="宋体" w:cs="宋体"/>
                <w:b/>
                <w:bCs/>
                <w:color w:val="auto"/>
                <w:sz w:val="22"/>
                <w:highlight w:val="none"/>
              </w:rPr>
            </w:pPr>
          </w:p>
        </w:tc>
        <w:tc>
          <w:tcPr>
            <w:tcW w:w="684" w:type="pct"/>
            <w:vAlign w:val="center"/>
          </w:tcPr>
          <w:p w14:paraId="19D44D3B">
            <w:pPr>
              <w:spacing w:line="380" w:lineRule="exact"/>
              <w:jc w:val="center"/>
              <w:rPr>
                <w:rFonts w:ascii="宋体" w:hAnsi="宋体" w:cs="宋体"/>
                <w:b/>
                <w:bCs/>
                <w:color w:val="auto"/>
                <w:sz w:val="22"/>
                <w:highlight w:val="none"/>
              </w:rPr>
            </w:pPr>
          </w:p>
        </w:tc>
        <w:tc>
          <w:tcPr>
            <w:tcW w:w="1330" w:type="pct"/>
            <w:vAlign w:val="center"/>
          </w:tcPr>
          <w:p w14:paraId="00A3979F">
            <w:pPr>
              <w:spacing w:line="380" w:lineRule="exact"/>
              <w:jc w:val="center"/>
              <w:rPr>
                <w:rFonts w:ascii="宋体" w:hAnsi="宋体" w:cs="宋体"/>
                <w:b/>
                <w:bCs/>
                <w:color w:val="auto"/>
                <w:sz w:val="22"/>
                <w:highlight w:val="none"/>
              </w:rPr>
            </w:pPr>
          </w:p>
        </w:tc>
      </w:tr>
      <w:tr w14:paraId="533F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96" w:type="pct"/>
            <w:vAlign w:val="center"/>
          </w:tcPr>
          <w:p w14:paraId="50C7ED0F">
            <w:pPr>
              <w:spacing w:line="380" w:lineRule="exact"/>
              <w:jc w:val="center"/>
              <w:rPr>
                <w:rFonts w:ascii="宋体" w:hAnsi="宋体" w:cs="宋体"/>
                <w:b/>
                <w:bCs/>
                <w:color w:val="auto"/>
                <w:sz w:val="22"/>
                <w:highlight w:val="none"/>
              </w:rPr>
            </w:pPr>
          </w:p>
        </w:tc>
        <w:tc>
          <w:tcPr>
            <w:tcW w:w="1115" w:type="pct"/>
            <w:vAlign w:val="center"/>
          </w:tcPr>
          <w:p w14:paraId="20DE47FB">
            <w:pPr>
              <w:spacing w:line="380" w:lineRule="exact"/>
              <w:jc w:val="center"/>
              <w:rPr>
                <w:rFonts w:ascii="宋体" w:hAnsi="宋体" w:cs="宋体"/>
                <w:b/>
                <w:bCs/>
                <w:color w:val="auto"/>
                <w:sz w:val="22"/>
                <w:highlight w:val="none"/>
              </w:rPr>
            </w:pPr>
          </w:p>
        </w:tc>
        <w:tc>
          <w:tcPr>
            <w:tcW w:w="832" w:type="pct"/>
            <w:vAlign w:val="center"/>
          </w:tcPr>
          <w:p w14:paraId="0A7C3D28">
            <w:pPr>
              <w:spacing w:line="380" w:lineRule="exact"/>
              <w:jc w:val="center"/>
              <w:rPr>
                <w:rFonts w:ascii="宋体" w:hAnsi="宋体" w:cs="宋体"/>
                <w:b/>
                <w:bCs/>
                <w:color w:val="auto"/>
                <w:sz w:val="22"/>
                <w:highlight w:val="none"/>
              </w:rPr>
            </w:pPr>
          </w:p>
        </w:tc>
        <w:tc>
          <w:tcPr>
            <w:tcW w:w="640" w:type="pct"/>
            <w:vAlign w:val="center"/>
          </w:tcPr>
          <w:p w14:paraId="5B42DA42">
            <w:pPr>
              <w:spacing w:line="380" w:lineRule="exact"/>
              <w:jc w:val="center"/>
              <w:rPr>
                <w:rFonts w:ascii="宋体" w:hAnsi="宋体" w:cs="宋体"/>
                <w:b/>
                <w:bCs/>
                <w:color w:val="auto"/>
                <w:sz w:val="22"/>
                <w:highlight w:val="none"/>
              </w:rPr>
            </w:pPr>
          </w:p>
        </w:tc>
        <w:tc>
          <w:tcPr>
            <w:tcW w:w="684" w:type="pct"/>
            <w:vAlign w:val="center"/>
          </w:tcPr>
          <w:p w14:paraId="2EBBEEB1">
            <w:pPr>
              <w:spacing w:line="380" w:lineRule="exact"/>
              <w:jc w:val="center"/>
              <w:rPr>
                <w:rFonts w:ascii="宋体" w:hAnsi="宋体" w:cs="宋体"/>
                <w:b/>
                <w:bCs/>
                <w:color w:val="auto"/>
                <w:sz w:val="22"/>
                <w:highlight w:val="none"/>
              </w:rPr>
            </w:pPr>
          </w:p>
        </w:tc>
        <w:tc>
          <w:tcPr>
            <w:tcW w:w="1330" w:type="pct"/>
            <w:vAlign w:val="center"/>
          </w:tcPr>
          <w:p w14:paraId="7AC0D889">
            <w:pPr>
              <w:spacing w:line="380" w:lineRule="exact"/>
              <w:jc w:val="center"/>
              <w:rPr>
                <w:rFonts w:ascii="宋体" w:hAnsi="宋体" w:cs="宋体"/>
                <w:b/>
                <w:bCs/>
                <w:color w:val="auto"/>
                <w:sz w:val="22"/>
                <w:highlight w:val="none"/>
              </w:rPr>
            </w:pPr>
          </w:p>
        </w:tc>
      </w:tr>
      <w:tr w14:paraId="2996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56FE7FCA">
            <w:pPr>
              <w:spacing w:line="380" w:lineRule="exact"/>
              <w:jc w:val="center"/>
              <w:rPr>
                <w:rFonts w:ascii="宋体" w:hAnsi="宋体" w:cs="宋体"/>
                <w:b/>
                <w:bCs/>
                <w:color w:val="auto"/>
                <w:sz w:val="22"/>
                <w:highlight w:val="none"/>
              </w:rPr>
            </w:pPr>
          </w:p>
        </w:tc>
        <w:tc>
          <w:tcPr>
            <w:tcW w:w="1115" w:type="pct"/>
            <w:vAlign w:val="center"/>
          </w:tcPr>
          <w:p w14:paraId="7C795088">
            <w:pPr>
              <w:spacing w:line="380" w:lineRule="exact"/>
              <w:jc w:val="center"/>
              <w:rPr>
                <w:rFonts w:ascii="宋体" w:hAnsi="宋体" w:cs="宋体"/>
                <w:b/>
                <w:bCs/>
                <w:color w:val="auto"/>
                <w:sz w:val="22"/>
                <w:highlight w:val="none"/>
              </w:rPr>
            </w:pPr>
          </w:p>
        </w:tc>
        <w:tc>
          <w:tcPr>
            <w:tcW w:w="832" w:type="pct"/>
            <w:vAlign w:val="center"/>
          </w:tcPr>
          <w:p w14:paraId="55135DAD">
            <w:pPr>
              <w:spacing w:line="380" w:lineRule="exact"/>
              <w:jc w:val="center"/>
              <w:rPr>
                <w:rFonts w:ascii="宋体" w:hAnsi="宋体" w:cs="宋体"/>
                <w:b/>
                <w:bCs/>
                <w:color w:val="auto"/>
                <w:sz w:val="22"/>
                <w:highlight w:val="none"/>
              </w:rPr>
            </w:pPr>
          </w:p>
        </w:tc>
        <w:tc>
          <w:tcPr>
            <w:tcW w:w="640" w:type="pct"/>
            <w:vAlign w:val="center"/>
          </w:tcPr>
          <w:p w14:paraId="62FDA1D1">
            <w:pPr>
              <w:spacing w:line="380" w:lineRule="exact"/>
              <w:jc w:val="center"/>
              <w:rPr>
                <w:rFonts w:ascii="宋体" w:hAnsi="宋体" w:cs="宋体"/>
                <w:b/>
                <w:bCs/>
                <w:color w:val="auto"/>
                <w:sz w:val="22"/>
                <w:highlight w:val="none"/>
              </w:rPr>
            </w:pPr>
          </w:p>
        </w:tc>
        <w:tc>
          <w:tcPr>
            <w:tcW w:w="684" w:type="pct"/>
            <w:vAlign w:val="center"/>
          </w:tcPr>
          <w:p w14:paraId="3735C550">
            <w:pPr>
              <w:spacing w:line="380" w:lineRule="exact"/>
              <w:jc w:val="center"/>
              <w:rPr>
                <w:rFonts w:ascii="宋体" w:hAnsi="宋体" w:cs="宋体"/>
                <w:b/>
                <w:bCs/>
                <w:color w:val="auto"/>
                <w:sz w:val="22"/>
                <w:highlight w:val="none"/>
              </w:rPr>
            </w:pPr>
          </w:p>
        </w:tc>
        <w:tc>
          <w:tcPr>
            <w:tcW w:w="1330" w:type="pct"/>
            <w:vAlign w:val="center"/>
          </w:tcPr>
          <w:p w14:paraId="24DF679B">
            <w:pPr>
              <w:spacing w:line="380" w:lineRule="exact"/>
              <w:jc w:val="center"/>
              <w:rPr>
                <w:rFonts w:ascii="宋体" w:hAnsi="宋体" w:cs="宋体"/>
                <w:b/>
                <w:bCs/>
                <w:color w:val="auto"/>
                <w:sz w:val="22"/>
                <w:highlight w:val="none"/>
              </w:rPr>
            </w:pPr>
          </w:p>
        </w:tc>
      </w:tr>
      <w:tr w14:paraId="1382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083204B0">
            <w:pPr>
              <w:spacing w:line="380" w:lineRule="exact"/>
              <w:jc w:val="center"/>
              <w:rPr>
                <w:rFonts w:ascii="宋体" w:hAnsi="宋体" w:cs="宋体"/>
                <w:b/>
                <w:bCs/>
                <w:color w:val="auto"/>
                <w:sz w:val="22"/>
                <w:highlight w:val="none"/>
              </w:rPr>
            </w:pPr>
          </w:p>
        </w:tc>
        <w:tc>
          <w:tcPr>
            <w:tcW w:w="1115" w:type="pct"/>
            <w:vAlign w:val="center"/>
          </w:tcPr>
          <w:p w14:paraId="01EA7A4E">
            <w:pPr>
              <w:spacing w:line="380" w:lineRule="exact"/>
              <w:jc w:val="center"/>
              <w:rPr>
                <w:rFonts w:ascii="宋体" w:hAnsi="宋体" w:cs="宋体"/>
                <w:b/>
                <w:bCs/>
                <w:color w:val="auto"/>
                <w:sz w:val="22"/>
                <w:highlight w:val="none"/>
              </w:rPr>
            </w:pPr>
          </w:p>
        </w:tc>
        <w:tc>
          <w:tcPr>
            <w:tcW w:w="832" w:type="pct"/>
            <w:vAlign w:val="center"/>
          </w:tcPr>
          <w:p w14:paraId="1B62B5D0">
            <w:pPr>
              <w:spacing w:line="380" w:lineRule="exact"/>
              <w:jc w:val="center"/>
              <w:rPr>
                <w:rFonts w:ascii="宋体" w:hAnsi="宋体" w:cs="宋体"/>
                <w:b/>
                <w:bCs/>
                <w:color w:val="auto"/>
                <w:sz w:val="22"/>
                <w:highlight w:val="none"/>
              </w:rPr>
            </w:pPr>
          </w:p>
        </w:tc>
        <w:tc>
          <w:tcPr>
            <w:tcW w:w="640" w:type="pct"/>
            <w:vAlign w:val="center"/>
          </w:tcPr>
          <w:p w14:paraId="34E5BE3D">
            <w:pPr>
              <w:spacing w:line="380" w:lineRule="exact"/>
              <w:jc w:val="center"/>
              <w:rPr>
                <w:rFonts w:ascii="宋体" w:hAnsi="宋体" w:cs="宋体"/>
                <w:b/>
                <w:bCs/>
                <w:color w:val="auto"/>
                <w:sz w:val="22"/>
                <w:highlight w:val="none"/>
              </w:rPr>
            </w:pPr>
          </w:p>
        </w:tc>
        <w:tc>
          <w:tcPr>
            <w:tcW w:w="684" w:type="pct"/>
            <w:vAlign w:val="center"/>
          </w:tcPr>
          <w:p w14:paraId="6CBFF430">
            <w:pPr>
              <w:spacing w:line="380" w:lineRule="exact"/>
              <w:jc w:val="center"/>
              <w:rPr>
                <w:rFonts w:ascii="宋体" w:hAnsi="宋体" w:cs="宋体"/>
                <w:b/>
                <w:bCs/>
                <w:color w:val="auto"/>
                <w:sz w:val="22"/>
                <w:highlight w:val="none"/>
              </w:rPr>
            </w:pPr>
          </w:p>
        </w:tc>
        <w:tc>
          <w:tcPr>
            <w:tcW w:w="1330" w:type="pct"/>
            <w:vAlign w:val="center"/>
          </w:tcPr>
          <w:p w14:paraId="1B07C0F6">
            <w:pPr>
              <w:spacing w:line="380" w:lineRule="exact"/>
              <w:jc w:val="center"/>
              <w:rPr>
                <w:rFonts w:ascii="宋体" w:hAnsi="宋体" w:cs="宋体"/>
                <w:b/>
                <w:bCs/>
                <w:color w:val="auto"/>
                <w:sz w:val="22"/>
                <w:highlight w:val="none"/>
              </w:rPr>
            </w:pPr>
          </w:p>
        </w:tc>
      </w:tr>
      <w:tr w14:paraId="332C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0D2A14B1">
            <w:pPr>
              <w:spacing w:line="380" w:lineRule="exact"/>
              <w:jc w:val="center"/>
              <w:rPr>
                <w:rFonts w:ascii="宋体" w:hAnsi="宋体" w:cs="宋体"/>
                <w:b/>
                <w:bCs/>
                <w:color w:val="auto"/>
                <w:sz w:val="22"/>
                <w:highlight w:val="none"/>
              </w:rPr>
            </w:pPr>
          </w:p>
        </w:tc>
        <w:tc>
          <w:tcPr>
            <w:tcW w:w="1115" w:type="pct"/>
            <w:vAlign w:val="center"/>
          </w:tcPr>
          <w:p w14:paraId="226879BC">
            <w:pPr>
              <w:spacing w:line="380" w:lineRule="exact"/>
              <w:jc w:val="center"/>
              <w:rPr>
                <w:rFonts w:ascii="宋体" w:hAnsi="宋体" w:cs="宋体"/>
                <w:b/>
                <w:bCs/>
                <w:color w:val="auto"/>
                <w:sz w:val="22"/>
                <w:highlight w:val="none"/>
              </w:rPr>
            </w:pPr>
          </w:p>
        </w:tc>
        <w:tc>
          <w:tcPr>
            <w:tcW w:w="832" w:type="pct"/>
            <w:vAlign w:val="center"/>
          </w:tcPr>
          <w:p w14:paraId="1D12D3F3">
            <w:pPr>
              <w:spacing w:line="380" w:lineRule="exact"/>
              <w:jc w:val="center"/>
              <w:rPr>
                <w:rFonts w:ascii="宋体" w:hAnsi="宋体" w:cs="宋体"/>
                <w:b/>
                <w:bCs/>
                <w:color w:val="auto"/>
                <w:sz w:val="22"/>
                <w:highlight w:val="none"/>
              </w:rPr>
            </w:pPr>
          </w:p>
        </w:tc>
        <w:tc>
          <w:tcPr>
            <w:tcW w:w="640" w:type="pct"/>
            <w:vAlign w:val="center"/>
          </w:tcPr>
          <w:p w14:paraId="7659E305">
            <w:pPr>
              <w:spacing w:line="380" w:lineRule="exact"/>
              <w:jc w:val="center"/>
              <w:rPr>
                <w:rFonts w:ascii="宋体" w:hAnsi="宋体" w:cs="宋体"/>
                <w:b/>
                <w:bCs/>
                <w:color w:val="auto"/>
                <w:sz w:val="22"/>
                <w:highlight w:val="none"/>
              </w:rPr>
            </w:pPr>
          </w:p>
        </w:tc>
        <w:tc>
          <w:tcPr>
            <w:tcW w:w="684" w:type="pct"/>
            <w:vAlign w:val="center"/>
          </w:tcPr>
          <w:p w14:paraId="71673D89">
            <w:pPr>
              <w:spacing w:line="380" w:lineRule="exact"/>
              <w:jc w:val="center"/>
              <w:rPr>
                <w:rFonts w:ascii="宋体" w:hAnsi="宋体" w:cs="宋体"/>
                <w:b/>
                <w:bCs/>
                <w:color w:val="auto"/>
                <w:sz w:val="22"/>
                <w:highlight w:val="none"/>
              </w:rPr>
            </w:pPr>
          </w:p>
        </w:tc>
        <w:tc>
          <w:tcPr>
            <w:tcW w:w="1330" w:type="pct"/>
            <w:vAlign w:val="center"/>
          </w:tcPr>
          <w:p w14:paraId="20B0A164">
            <w:pPr>
              <w:spacing w:line="380" w:lineRule="exact"/>
              <w:jc w:val="center"/>
              <w:rPr>
                <w:rFonts w:ascii="宋体" w:hAnsi="宋体" w:cs="宋体"/>
                <w:b/>
                <w:bCs/>
                <w:color w:val="auto"/>
                <w:sz w:val="22"/>
                <w:highlight w:val="none"/>
              </w:rPr>
            </w:pPr>
          </w:p>
        </w:tc>
      </w:tr>
      <w:tr w14:paraId="2DE8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40CB2BFE">
            <w:pPr>
              <w:spacing w:line="380" w:lineRule="exact"/>
              <w:jc w:val="center"/>
              <w:rPr>
                <w:rFonts w:ascii="宋体" w:hAnsi="宋体" w:cs="宋体"/>
                <w:b/>
                <w:bCs/>
                <w:color w:val="auto"/>
                <w:sz w:val="22"/>
                <w:highlight w:val="none"/>
              </w:rPr>
            </w:pPr>
          </w:p>
        </w:tc>
        <w:tc>
          <w:tcPr>
            <w:tcW w:w="1115" w:type="pct"/>
            <w:vAlign w:val="center"/>
          </w:tcPr>
          <w:p w14:paraId="4D63782E">
            <w:pPr>
              <w:spacing w:line="380" w:lineRule="exact"/>
              <w:jc w:val="center"/>
              <w:rPr>
                <w:rFonts w:ascii="宋体" w:hAnsi="宋体" w:cs="宋体"/>
                <w:b/>
                <w:bCs/>
                <w:color w:val="auto"/>
                <w:sz w:val="22"/>
                <w:highlight w:val="none"/>
              </w:rPr>
            </w:pPr>
          </w:p>
        </w:tc>
        <w:tc>
          <w:tcPr>
            <w:tcW w:w="832" w:type="pct"/>
            <w:vAlign w:val="center"/>
          </w:tcPr>
          <w:p w14:paraId="7C064C6E">
            <w:pPr>
              <w:spacing w:line="380" w:lineRule="exact"/>
              <w:jc w:val="center"/>
              <w:rPr>
                <w:rFonts w:ascii="宋体" w:hAnsi="宋体" w:cs="宋体"/>
                <w:b/>
                <w:bCs/>
                <w:color w:val="auto"/>
                <w:sz w:val="22"/>
                <w:highlight w:val="none"/>
              </w:rPr>
            </w:pPr>
          </w:p>
        </w:tc>
        <w:tc>
          <w:tcPr>
            <w:tcW w:w="640" w:type="pct"/>
            <w:vAlign w:val="center"/>
          </w:tcPr>
          <w:p w14:paraId="18AF225B">
            <w:pPr>
              <w:spacing w:line="380" w:lineRule="exact"/>
              <w:jc w:val="center"/>
              <w:rPr>
                <w:rFonts w:ascii="宋体" w:hAnsi="宋体" w:cs="宋体"/>
                <w:b/>
                <w:bCs/>
                <w:color w:val="auto"/>
                <w:sz w:val="22"/>
                <w:highlight w:val="none"/>
              </w:rPr>
            </w:pPr>
          </w:p>
        </w:tc>
        <w:tc>
          <w:tcPr>
            <w:tcW w:w="684" w:type="pct"/>
            <w:vAlign w:val="center"/>
          </w:tcPr>
          <w:p w14:paraId="11C5C36B">
            <w:pPr>
              <w:spacing w:line="380" w:lineRule="exact"/>
              <w:jc w:val="center"/>
              <w:rPr>
                <w:rFonts w:ascii="宋体" w:hAnsi="宋体" w:cs="宋体"/>
                <w:b/>
                <w:bCs/>
                <w:color w:val="auto"/>
                <w:sz w:val="22"/>
                <w:highlight w:val="none"/>
              </w:rPr>
            </w:pPr>
          </w:p>
        </w:tc>
        <w:tc>
          <w:tcPr>
            <w:tcW w:w="1330" w:type="pct"/>
            <w:vAlign w:val="center"/>
          </w:tcPr>
          <w:p w14:paraId="6AE6A8D9">
            <w:pPr>
              <w:spacing w:line="380" w:lineRule="exact"/>
              <w:jc w:val="center"/>
              <w:rPr>
                <w:rFonts w:ascii="宋体" w:hAnsi="宋体" w:cs="宋体"/>
                <w:b/>
                <w:bCs/>
                <w:color w:val="auto"/>
                <w:sz w:val="22"/>
                <w:highlight w:val="none"/>
              </w:rPr>
            </w:pPr>
          </w:p>
        </w:tc>
      </w:tr>
      <w:tr w14:paraId="5E18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4CFEA973">
            <w:pPr>
              <w:spacing w:line="380" w:lineRule="exact"/>
              <w:jc w:val="center"/>
              <w:rPr>
                <w:rFonts w:ascii="宋体" w:hAnsi="宋体" w:cs="宋体"/>
                <w:b/>
                <w:bCs/>
                <w:color w:val="auto"/>
                <w:sz w:val="22"/>
                <w:highlight w:val="none"/>
              </w:rPr>
            </w:pPr>
          </w:p>
        </w:tc>
        <w:tc>
          <w:tcPr>
            <w:tcW w:w="1115" w:type="pct"/>
            <w:vAlign w:val="center"/>
          </w:tcPr>
          <w:p w14:paraId="60B76E67">
            <w:pPr>
              <w:spacing w:line="380" w:lineRule="exact"/>
              <w:jc w:val="center"/>
              <w:rPr>
                <w:rFonts w:ascii="宋体" w:hAnsi="宋体" w:cs="宋体"/>
                <w:b/>
                <w:bCs/>
                <w:color w:val="auto"/>
                <w:sz w:val="22"/>
                <w:highlight w:val="none"/>
              </w:rPr>
            </w:pPr>
          </w:p>
        </w:tc>
        <w:tc>
          <w:tcPr>
            <w:tcW w:w="832" w:type="pct"/>
            <w:vAlign w:val="center"/>
          </w:tcPr>
          <w:p w14:paraId="78134626">
            <w:pPr>
              <w:spacing w:line="380" w:lineRule="exact"/>
              <w:jc w:val="center"/>
              <w:rPr>
                <w:rFonts w:ascii="宋体" w:hAnsi="宋体" w:cs="宋体"/>
                <w:b/>
                <w:bCs/>
                <w:color w:val="auto"/>
                <w:sz w:val="22"/>
                <w:highlight w:val="none"/>
              </w:rPr>
            </w:pPr>
          </w:p>
        </w:tc>
        <w:tc>
          <w:tcPr>
            <w:tcW w:w="640" w:type="pct"/>
            <w:vAlign w:val="center"/>
          </w:tcPr>
          <w:p w14:paraId="16770CC1">
            <w:pPr>
              <w:spacing w:line="380" w:lineRule="exact"/>
              <w:jc w:val="center"/>
              <w:rPr>
                <w:rFonts w:ascii="宋体" w:hAnsi="宋体" w:cs="宋体"/>
                <w:b/>
                <w:bCs/>
                <w:color w:val="auto"/>
                <w:sz w:val="22"/>
                <w:highlight w:val="none"/>
              </w:rPr>
            </w:pPr>
          </w:p>
        </w:tc>
        <w:tc>
          <w:tcPr>
            <w:tcW w:w="684" w:type="pct"/>
            <w:vAlign w:val="center"/>
          </w:tcPr>
          <w:p w14:paraId="7030FFC8">
            <w:pPr>
              <w:spacing w:line="380" w:lineRule="exact"/>
              <w:jc w:val="center"/>
              <w:rPr>
                <w:rFonts w:ascii="宋体" w:hAnsi="宋体" w:cs="宋体"/>
                <w:b/>
                <w:bCs/>
                <w:color w:val="auto"/>
                <w:sz w:val="22"/>
                <w:highlight w:val="none"/>
              </w:rPr>
            </w:pPr>
          </w:p>
        </w:tc>
        <w:tc>
          <w:tcPr>
            <w:tcW w:w="1330" w:type="pct"/>
            <w:vAlign w:val="center"/>
          </w:tcPr>
          <w:p w14:paraId="22D19A4A">
            <w:pPr>
              <w:spacing w:line="380" w:lineRule="exact"/>
              <w:jc w:val="center"/>
              <w:rPr>
                <w:rFonts w:ascii="宋体" w:hAnsi="宋体" w:cs="宋体"/>
                <w:b/>
                <w:bCs/>
                <w:color w:val="auto"/>
                <w:sz w:val="22"/>
                <w:highlight w:val="none"/>
              </w:rPr>
            </w:pPr>
          </w:p>
        </w:tc>
      </w:tr>
      <w:tr w14:paraId="1FFF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75DC68A5">
            <w:pPr>
              <w:spacing w:line="380" w:lineRule="exact"/>
              <w:jc w:val="center"/>
              <w:rPr>
                <w:rFonts w:ascii="宋体" w:hAnsi="宋体" w:cs="宋体"/>
                <w:b/>
                <w:bCs/>
                <w:color w:val="auto"/>
                <w:sz w:val="22"/>
                <w:highlight w:val="none"/>
              </w:rPr>
            </w:pPr>
          </w:p>
        </w:tc>
        <w:tc>
          <w:tcPr>
            <w:tcW w:w="1115" w:type="pct"/>
            <w:vAlign w:val="center"/>
          </w:tcPr>
          <w:p w14:paraId="23A7666C">
            <w:pPr>
              <w:spacing w:line="380" w:lineRule="exact"/>
              <w:jc w:val="center"/>
              <w:rPr>
                <w:rFonts w:ascii="宋体" w:hAnsi="宋体" w:cs="宋体"/>
                <w:b/>
                <w:bCs/>
                <w:color w:val="auto"/>
                <w:sz w:val="22"/>
                <w:highlight w:val="none"/>
              </w:rPr>
            </w:pPr>
          </w:p>
        </w:tc>
        <w:tc>
          <w:tcPr>
            <w:tcW w:w="832" w:type="pct"/>
            <w:vAlign w:val="center"/>
          </w:tcPr>
          <w:p w14:paraId="68110709">
            <w:pPr>
              <w:spacing w:line="380" w:lineRule="exact"/>
              <w:jc w:val="center"/>
              <w:rPr>
                <w:rFonts w:ascii="宋体" w:hAnsi="宋体" w:cs="宋体"/>
                <w:b/>
                <w:bCs/>
                <w:color w:val="auto"/>
                <w:sz w:val="22"/>
                <w:highlight w:val="none"/>
              </w:rPr>
            </w:pPr>
          </w:p>
        </w:tc>
        <w:tc>
          <w:tcPr>
            <w:tcW w:w="640" w:type="pct"/>
            <w:vAlign w:val="center"/>
          </w:tcPr>
          <w:p w14:paraId="7047E13F">
            <w:pPr>
              <w:spacing w:line="380" w:lineRule="exact"/>
              <w:jc w:val="center"/>
              <w:rPr>
                <w:rFonts w:ascii="宋体" w:hAnsi="宋体" w:cs="宋体"/>
                <w:b/>
                <w:bCs/>
                <w:color w:val="auto"/>
                <w:sz w:val="22"/>
                <w:highlight w:val="none"/>
              </w:rPr>
            </w:pPr>
          </w:p>
        </w:tc>
        <w:tc>
          <w:tcPr>
            <w:tcW w:w="684" w:type="pct"/>
            <w:vAlign w:val="center"/>
          </w:tcPr>
          <w:p w14:paraId="10992D31">
            <w:pPr>
              <w:spacing w:line="380" w:lineRule="exact"/>
              <w:jc w:val="center"/>
              <w:rPr>
                <w:rFonts w:ascii="宋体" w:hAnsi="宋体" w:cs="宋体"/>
                <w:b/>
                <w:bCs/>
                <w:color w:val="auto"/>
                <w:sz w:val="22"/>
                <w:highlight w:val="none"/>
              </w:rPr>
            </w:pPr>
          </w:p>
        </w:tc>
        <w:tc>
          <w:tcPr>
            <w:tcW w:w="1330" w:type="pct"/>
            <w:vAlign w:val="center"/>
          </w:tcPr>
          <w:p w14:paraId="5F677BA7">
            <w:pPr>
              <w:spacing w:line="380" w:lineRule="exact"/>
              <w:jc w:val="center"/>
              <w:rPr>
                <w:rFonts w:ascii="宋体" w:hAnsi="宋体" w:cs="宋体"/>
                <w:b/>
                <w:bCs/>
                <w:color w:val="auto"/>
                <w:sz w:val="22"/>
                <w:highlight w:val="none"/>
              </w:rPr>
            </w:pPr>
          </w:p>
        </w:tc>
      </w:tr>
      <w:tr w14:paraId="54E0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2CD4C182">
            <w:pPr>
              <w:spacing w:line="380" w:lineRule="exact"/>
              <w:jc w:val="center"/>
              <w:rPr>
                <w:rFonts w:ascii="宋体" w:hAnsi="宋体" w:cs="宋体"/>
                <w:b/>
                <w:bCs/>
                <w:color w:val="auto"/>
                <w:sz w:val="22"/>
                <w:highlight w:val="none"/>
              </w:rPr>
            </w:pPr>
          </w:p>
        </w:tc>
        <w:tc>
          <w:tcPr>
            <w:tcW w:w="1115" w:type="pct"/>
            <w:vAlign w:val="center"/>
          </w:tcPr>
          <w:p w14:paraId="7910683F">
            <w:pPr>
              <w:spacing w:line="380" w:lineRule="exact"/>
              <w:jc w:val="center"/>
              <w:rPr>
                <w:rFonts w:ascii="宋体" w:hAnsi="宋体" w:cs="宋体"/>
                <w:b/>
                <w:bCs/>
                <w:color w:val="auto"/>
                <w:sz w:val="22"/>
                <w:highlight w:val="none"/>
              </w:rPr>
            </w:pPr>
          </w:p>
        </w:tc>
        <w:tc>
          <w:tcPr>
            <w:tcW w:w="832" w:type="pct"/>
            <w:vAlign w:val="center"/>
          </w:tcPr>
          <w:p w14:paraId="057C38CB">
            <w:pPr>
              <w:spacing w:line="380" w:lineRule="exact"/>
              <w:jc w:val="center"/>
              <w:rPr>
                <w:rFonts w:ascii="宋体" w:hAnsi="宋体" w:cs="宋体"/>
                <w:b/>
                <w:bCs/>
                <w:color w:val="auto"/>
                <w:sz w:val="22"/>
                <w:highlight w:val="none"/>
              </w:rPr>
            </w:pPr>
          </w:p>
        </w:tc>
        <w:tc>
          <w:tcPr>
            <w:tcW w:w="640" w:type="pct"/>
            <w:vAlign w:val="center"/>
          </w:tcPr>
          <w:p w14:paraId="099B79A0">
            <w:pPr>
              <w:spacing w:line="380" w:lineRule="exact"/>
              <w:jc w:val="center"/>
              <w:rPr>
                <w:rFonts w:ascii="宋体" w:hAnsi="宋体" w:cs="宋体"/>
                <w:b/>
                <w:bCs/>
                <w:color w:val="auto"/>
                <w:sz w:val="22"/>
                <w:highlight w:val="none"/>
              </w:rPr>
            </w:pPr>
          </w:p>
        </w:tc>
        <w:tc>
          <w:tcPr>
            <w:tcW w:w="684" w:type="pct"/>
            <w:vAlign w:val="center"/>
          </w:tcPr>
          <w:p w14:paraId="2C95933E">
            <w:pPr>
              <w:spacing w:line="380" w:lineRule="exact"/>
              <w:jc w:val="center"/>
              <w:rPr>
                <w:rFonts w:ascii="宋体" w:hAnsi="宋体" w:cs="宋体"/>
                <w:b/>
                <w:bCs/>
                <w:color w:val="auto"/>
                <w:sz w:val="22"/>
                <w:highlight w:val="none"/>
              </w:rPr>
            </w:pPr>
          </w:p>
        </w:tc>
        <w:tc>
          <w:tcPr>
            <w:tcW w:w="1330" w:type="pct"/>
            <w:vAlign w:val="center"/>
          </w:tcPr>
          <w:p w14:paraId="013E7A22">
            <w:pPr>
              <w:spacing w:line="380" w:lineRule="exact"/>
              <w:jc w:val="center"/>
              <w:rPr>
                <w:rFonts w:ascii="宋体" w:hAnsi="宋体" w:cs="宋体"/>
                <w:b/>
                <w:bCs/>
                <w:color w:val="auto"/>
                <w:sz w:val="22"/>
                <w:highlight w:val="none"/>
              </w:rPr>
            </w:pPr>
          </w:p>
        </w:tc>
      </w:tr>
      <w:tr w14:paraId="1A8C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34F37F0B">
            <w:pPr>
              <w:spacing w:line="380" w:lineRule="exact"/>
              <w:jc w:val="center"/>
              <w:rPr>
                <w:rFonts w:ascii="宋体" w:hAnsi="宋体" w:cs="宋体"/>
                <w:b/>
                <w:bCs/>
                <w:color w:val="auto"/>
                <w:sz w:val="22"/>
                <w:highlight w:val="none"/>
              </w:rPr>
            </w:pPr>
          </w:p>
        </w:tc>
        <w:tc>
          <w:tcPr>
            <w:tcW w:w="1115" w:type="pct"/>
            <w:vAlign w:val="center"/>
          </w:tcPr>
          <w:p w14:paraId="7C5D993E">
            <w:pPr>
              <w:spacing w:line="380" w:lineRule="exact"/>
              <w:jc w:val="center"/>
              <w:rPr>
                <w:rFonts w:ascii="宋体" w:hAnsi="宋体" w:cs="宋体"/>
                <w:b/>
                <w:bCs/>
                <w:color w:val="auto"/>
                <w:sz w:val="22"/>
                <w:highlight w:val="none"/>
              </w:rPr>
            </w:pPr>
          </w:p>
        </w:tc>
        <w:tc>
          <w:tcPr>
            <w:tcW w:w="832" w:type="pct"/>
            <w:vAlign w:val="center"/>
          </w:tcPr>
          <w:p w14:paraId="2DCCCDF8">
            <w:pPr>
              <w:spacing w:line="380" w:lineRule="exact"/>
              <w:jc w:val="center"/>
              <w:rPr>
                <w:rFonts w:ascii="宋体" w:hAnsi="宋体" w:cs="宋体"/>
                <w:b/>
                <w:bCs/>
                <w:color w:val="auto"/>
                <w:sz w:val="22"/>
                <w:highlight w:val="none"/>
              </w:rPr>
            </w:pPr>
          </w:p>
        </w:tc>
        <w:tc>
          <w:tcPr>
            <w:tcW w:w="640" w:type="pct"/>
            <w:vAlign w:val="center"/>
          </w:tcPr>
          <w:p w14:paraId="2506730B">
            <w:pPr>
              <w:spacing w:line="380" w:lineRule="exact"/>
              <w:jc w:val="center"/>
              <w:rPr>
                <w:rFonts w:ascii="宋体" w:hAnsi="宋体" w:cs="宋体"/>
                <w:b/>
                <w:bCs/>
                <w:color w:val="auto"/>
                <w:sz w:val="22"/>
                <w:highlight w:val="none"/>
              </w:rPr>
            </w:pPr>
          </w:p>
        </w:tc>
        <w:tc>
          <w:tcPr>
            <w:tcW w:w="684" w:type="pct"/>
            <w:vAlign w:val="center"/>
          </w:tcPr>
          <w:p w14:paraId="03783F92">
            <w:pPr>
              <w:spacing w:line="380" w:lineRule="exact"/>
              <w:jc w:val="center"/>
              <w:rPr>
                <w:rFonts w:ascii="宋体" w:hAnsi="宋体" w:cs="宋体"/>
                <w:b/>
                <w:bCs/>
                <w:color w:val="auto"/>
                <w:sz w:val="22"/>
                <w:highlight w:val="none"/>
              </w:rPr>
            </w:pPr>
          </w:p>
        </w:tc>
        <w:tc>
          <w:tcPr>
            <w:tcW w:w="1330" w:type="pct"/>
            <w:vAlign w:val="center"/>
          </w:tcPr>
          <w:p w14:paraId="372B7DF6">
            <w:pPr>
              <w:spacing w:line="380" w:lineRule="exact"/>
              <w:jc w:val="center"/>
              <w:rPr>
                <w:rFonts w:ascii="宋体" w:hAnsi="宋体" w:cs="宋体"/>
                <w:b/>
                <w:bCs/>
                <w:color w:val="auto"/>
                <w:sz w:val="22"/>
                <w:highlight w:val="none"/>
              </w:rPr>
            </w:pPr>
          </w:p>
        </w:tc>
      </w:tr>
    </w:tbl>
    <w:p w14:paraId="09556A1D">
      <w:pPr>
        <w:pStyle w:val="19"/>
        <w:ind w:left="1260"/>
        <w:rPr>
          <w:rFonts w:ascii="宋体" w:hAnsi="宋体" w:cs="宋体"/>
          <w:b/>
          <w:color w:val="auto"/>
          <w:sz w:val="22"/>
          <w:highlight w:val="none"/>
        </w:rPr>
      </w:pPr>
      <w:r>
        <w:rPr>
          <w:rFonts w:hint="eastAsia" w:ascii="宋体" w:hAnsi="宋体" w:cs="宋体"/>
          <w:b/>
          <w:color w:val="auto"/>
          <w:sz w:val="22"/>
          <w:highlight w:val="none"/>
        </w:rPr>
        <w:t>注：根据技术资信评分要求提供证明材料。</w:t>
      </w:r>
    </w:p>
    <w:p w14:paraId="2CD4A29E">
      <w:pPr>
        <w:spacing w:line="460" w:lineRule="exact"/>
        <w:ind w:firstLine="5458" w:firstLineChars="2481"/>
        <w:rPr>
          <w:rFonts w:ascii="宋体" w:hAnsi="宋体" w:cs="宋体"/>
          <w:color w:val="auto"/>
          <w:sz w:val="22"/>
          <w:szCs w:val="22"/>
          <w:highlight w:val="none"/>
        </w:rPr>
      </w:pPr>
    </w:p>
    <w:p w14:paraId="746F5732">
      <w:pPr>
        <w:spacing w:line="460" w:lineRule="exact"/>
        <w:ind w:firstLine="5458" w:firstLineChars="2481"/>
        <w:rPr>
          <w:rFonts w:ascii="宋体" w:hAnsi="宋体" w:cs="宋体"/>
          <w:color w:val="auto"/>
          <w:sz w:val="22"/>
          <w:szCs w:val="22"/>
          <w:highlight w:val="none"/>
        </w:rPr>
      </w:pPr>
    </w:p>
    <w:p w14:paraId="6E710429">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00B9816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67A6CEB2">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55460EE">
      <w:pPr>
        <w:rPr>
          <w:color w:val="auto"/>
          <w:highlight w:val="none"/>
        </w:rPr>
      </w:pPr>
      <w:r>
        <w:rPr>
          <w:color w:val="auto"/>
          <w:highlight w:val="none"/>
        </w:rPr>
        <w:br w:type="page"/>
      </w:r>
    </w:p>
    <w:p w14:paraId="1117365F">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附件六 服务方案</w:t>
      </w:r>
    </w:p>
    <w:p w14:paraId="428D9EEC">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服务方案</w:t>
      </w:r>
    </w:p>
    <w:p w14:paraId="4E16975B">
      <w:pPr>
        <w:autoSpaceDE w:val="0"/>
        <w:autoSpaceDN w:val="0"/>
        <w:ind w:right="893" w:firstLine="418"/>
        <w:textAlignment w:val="bottom"/>
        <w:rPr>
          <w:rFonts w:ascii="宋体" w:hAnsi="宋体" w:cs="宋体"/>
          <w:b/>
          <w:color w:val="auto"/>
          <w:sz w:val="22"/>
          <w:highlight w:val="none"/>
        </w:rPr>
      </w:pPr>
    </w:p>
    <w:p w14:paraId="53B94CCF">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3A2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06C4775F">
            <w:pPr>
              <w:pStyle w:val="99"/>
              <w:spacing w:after="0" w:line="460" w:lineRule="exact"/>
              <w:rPr>
                <w:rFonts w:ascii="宋体" w:hAnsi="宋体" w:cs="宋体"/>
                <w:color w:val="auto"/>
                <w:highlight w:val="none"/>
              </w:rPr>
            </w:pPr>
          </w:p>
        </w:tc>
      </w:tr>
    </w:tbl>
    <w:p w14:paraId="17EB4516">
      <w:pPr>
        <w:rPr>
          <w:rFonts w:ascii="宋体" w:hAnsi="宋体" w:cs="宋体"/>
          <w:b/>
          <w:color w:val="auto"/>
          <w:sz w:val="22"/>
          <w:highlight w:val="none"/>
        </w:rPr>
      </w:pPr>
      <w:r>
        <w:rPr>
          <w:rFonts w:hint="eastAsia" w:ascii="宋体" w:hAnsi="宋体" w:cs="宋体"/>
          <w:b/>
          <w:color w:val="auto"/>
          <w:sz w:val="22"/>
          <w:highlight w:val="none"/>
        </w:rPr>
        <w:t xml:space="preserve">   </w:t>
      </w:r>
    </w:p>
    <w:p w14:paraId="37C618D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45B48EC8">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3AD666D9">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4E3464A7">
      <w:pPr>
        <w:pStyle w:val="15"/>
        <w:ind w:firstLine="210"/>
        <w:rPr>
          <w:color w:val="auto"/>
          <w:highlight w:val="none"/>
        </w:rPr>
      </w:pPr>
    </w:p>
    <w:p w14:paraId="4B0641FE">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4A1E999F">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附件七 项目组织管理机制</w:t>
      </w:r>
    </w:p>
    <w:p w14:paraId="12F83544">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项目组织管理机制</w:t>
      </w:r>
    </w:p>
    <w:p w14:paraId="572036A3">
      <w:pPr>
        <w:autoSpaceDE w:val="0"/>
        <w:autoSpaceDN w:val="0"/>
        <w:ind w:right="893" w:firstLine="418"/>
        <w:textAlignment w:val="bottom"/>
        <w:rPr>
          <w:rFonts w:ascii="宋体" w:hAnsi="宋体" w:cs="宋体"/>
          <w:b/>
          <w:color w:val="auto"/>
          <w:sz w:val="22"/>
          <w:highlight w:val="none"/>
        </w:rPr>
      </w:pPr>
    </w:p>
    <w:p w14:paraId="09DCE941">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438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7AED1483">
            <w:pPr>
              <w:pStyle w:val="99"/>
              <w:spacing w:after="0" w:line="460" w:lineRule="exact"/>
              <w:rPr>
                <w:rFonts w:ascii="宋体" w:hAnsi="宋体" w:cs="宋体"/>
                <w:color w:val="auto"/>
                <w:highlight w:val="none"/>
              </w:rPr>
            </w:pPr>
          </w:p>
        </w:tc>
      </w:tr>
    </w:tbl>
    <w:p w14:paraId="45AC304E">
      <w:pPr>
        <w:rPr>
          <w:rFonts w:ascii="宋体" w:hAnsi="宋体" w:cs="宋体"/>
          <w:b/>
          <w:color w:val="auto"/>
          <w:sz w:val="22"/>
          <w:highlight w:val="none"/>
        </w:rPr>
      </w:pPr>
      <w:r>
        <w:rPr>
          <w:rFonts w:hint="eastAsia" w:ascii="宋体" w:hAnsi="宋体" w:cs="宋体"/>
          <w:b/>
          <w:color w:val="auto"/>
          <w:sz w:val="22"/>
          <w:highlight w:val="none"/>
        </w:rPr>
        <w:t xml:space="preserve">   </w:t>
      </w:r>
    </w:p>
    <w:p w14:paraId="79C5EDB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393E377D">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22E3895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E1944D3">
      <w:pPr>
        <w:pStyle w:val="15"/>
        <w:ind w:firstLine="210"/>
        <w:rPr>
          <w:color w:val="auto"/>
          <w:highlight w:val="none"/>
        </w:rPr>
      </w:pPr>
    </w:p>
    <w:p w14:paraId="7A72012E">
      <w:pPr>
        <w:rPr>
          <w:color w:val="auto"/>
          <w:highlight w:val="none"/>
        </w:rPr>
      </w:pPr>
      <w:r>
        <w:rPr>
          <w:color w:val="auto"/>
          <w:highlight w:val="none"/>
        </w:rPr>
        <w:br w:type="page"/>
      </w:r>
    </w:p>
    <w:p w14:paraId="02A43A33">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附件八 认证证书</w:t>
      </w:r>
    </w:p>
    <w:p w14:paraId="71596CFF">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认证证书</w:t>
      </w:r>
    </w:p>
    <w:p w14:paraId="0EB774DE">
      <w:pPr>
        <w:autoSpaceDE w:val="0"/>
        <w:autoSpaceDN w:val="0"/>
        <w:ind w:right="893" w:firstLine="418"/>
        <w:textAlignment w:val="bottom"/>
        <w:rPr>
          <w:rFonts w:ascii="宋体" w:hAnsi="宋体" w:cs="宋体"/>
          <w:b/>
          <w:color w:val="auto"/>
          <w:sz w:val="22"/>
          <w:highlight w:val="none"/>
        </w:rPr>
      </w:pPr>
    </w:p>
    <w:p w14:paraId="2F0B275D">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3273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59F1F5E6">
            <w:pPr>
              <w:pStyle w:val="99"/>
              <w:spacing w:after="0" w:line="460" w:lineRule="exact"/>
              <w:rPr>
                <w:rFonts w:ascii="宋体" w:hAnsi="宋体" w:cs="宋体"/>
                <w:color w:val="auto"/>
                <w:highlight w:val="none"/>
              </w:rPr>
            </w:pPr>
          </w:p>
        </w:tc>
      </w:tr>
    </w:tbl>
    <w:p w14:paraId="0C74C6A5">
      <w:pPr>
        <w:rPr>
          <w:rFonts w:ascii="宋体" w:hAnsi="宋体" w:cs="宋体"/>
          <w:b/>
          <w:color w:val="auto"/>
          <w:sz w:val="22"/>
          <w:highlight w:val="none"/>
        </w:rPr>
      </w:pPr>
      <w:r>
        <w:rPr>
          <w:rFonts w:hint="eastAsia" w:ascii="宋体" w:hAnsi="宋体" w:cs="宋体"/>
          <w:b/>
          <w:color w:val="auto"/>
          <w:sz w:val="22"/>
          <w:highlight w:val="none"/>
        </w:rPr>
        <w:t xml:space="preserve">   </w:t>
      </w:r>
    </w:p>
    <w:p w14:paraId="76F5562B">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3CF7B299">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058B5E8B">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4EB6AE7F">
      <w:pPr>
        <w:rPr>
          <w:color w:val="auto"/>
          <w:highlight w:val="none"/>
        </w:rPr>
      </w:pPr>
      <w:r>
        <w:rPr>
          <w:color w:val="auto"/>
          <w:highlight w:val="none"/>
        </w:rPr>
        <w:br w:type="page"/>
      </w:r>
    </w:p>
    <w:p w14:paraId="51511A39">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附件九 服务承诺</w:t>
      </w:r>
    </w:p>
    <w:p w14:paraId="2F67DF9D">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服务承诺</w:t>
      </w:r>
    </w:p>
    <w:p w14:paraId="3EFA5AE2">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5747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257D6991">
            <w:pPr>
              <w:pStyle w:val="99"/>
              <w:spacing w:after="0" w:line="460" w:lineRule="exact"/>
              <w:rPr>
                <w:rFonts w:ascii="宋体" w:hAnsi="宋体" w:cs="宋体"/>
                <w:color w:val="auto"/>
                <w:highlight w:val="none"/>
              </w:rPr>
            </w:pPr>
          </w:p>
        </w:tc>
      </w:tr>
    </w:tbl>
    <w:p w14:paraId="74F296A4">
      <w:pPr>
        <w:rPr>
          <w:rFonts w:ascii="宋体" w:hAnsi="宋体" w:cs="宋体"/>
          <w:b/>
          <w:color w:val="auto"/>
          <w:sz w:val="22"/>
          <w:highlight w:val="none"/>
        </w:rPr>
      </w:pPr>
      <w:r>
        <w:rPr>
          <w:rFonts w:hint="eastAsia" w:ascii="宋体" w:hAnsi="宋体" w:cs="宋体"/>
          <w:b/>
          <w:color w:val="auto"/>
          <w:sz w:val="22"/>
          <w:highlight w:val="none"/>
        </w:rPr>
        <w:t xml:space="preserve">   </w:t>
      </w:r>
    </w:p>
    <w:p w14:paraId="198A044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14:paraId="5ED38EAE">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投标供应商代表（签字）：</w:t>
      </w:r>
    </w:p>
    <w:p w14:paraId="75159674">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5839D9E6">
      <w:pPr>
        <w:rPr>
          <w:rFonts w:ascii="宋体" w:hAnsi="宋体" w:cs="宋体"/>
          <w:color w:val="auto"/>
          <w:sz w:val="22"/>
          <w:szCs w:val="22"/>
          <w:highlight w:val="none"/>
        </w:rPr>
      </w:pPr>
    </w:p>
    <w:p w14:paraId="3E692CD7">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63E9F73D">
      <w:pPr>
        <w:widowControl/>
        <w:snapToGrid w:val="0"/>
        <w:spacing w:before="120" w:after="120" w:line="500" w:lineRule="atLeast"/>
        <w:outlineLvl w:val="1"/>
        <w:rPr>
          <w:rFonts w:ascii="宋体" w:hAnsi="宋体" w:cs="宋体"/>
          <w:b/>
          <w:bCs/>
          <w:color w:val="auto"/>
          <w:sz w:val="24"/>
          <w:highlight w:val="none"/>
        </w:rPr>
      </w:pPr>
      <w:r>
        <w:rPr>
          <w:rFonts w:hint="eastAsia" w:ascii="宋体" w:hAnsi="宋体" w:cs="宋体"/>
          <w:b/>
          <w:bCs/>
          <w:color w:val="auto"/>
          <w:sz w:val="24"/>
          <w:highlight w:val="none"/>
        </w:rPr>
        <w:t>附件十  采购活动现场确认声明书</w:t>
      </w:r>
      <w:bookmarkEnd w:id="99"/>
    </w:p>
    <w:p w14:paraId="21BED5C6">
      <w:pPr>
        <w:widowControl/>
        <w:snapToGrid w:val="0"/>
        <w:spacing w:before="120" w:after="120" w:line="500" w:lineRule="atLeast"/>
        <w:jc w:val="center"/>
        <w:rPr>
          <w:rFonts w:ascii="宋体" w:hAnsi="宋体" w:cs="宋体"/>
          <w:b/>
          <w:color w:val="auto"/>
          <w:sz w:val="44"/>
          <w:szCs w:val="44"/>
          <w:highlight w:val="none"/>
        </w:rPr>
      </w:pPr>
      <w:r>
        <w:rPr>
          <w:rFonts w:hint="eastAsia" w:ascii="宋体" w:hAnsi="宋体" w:cs="宋体"/>
          <w:b/>
          <w:color w:val="auto"/>
          <w:sz w:val="44"/>
          <w:szCs w:val="44"/>
          <w:highlight w:val="none"/>
        </w:rPr>
        <w:t>采购活动现场确认声明书</w:t>
      </w:r>
    </w:p>
    <w:p w14:paraId="311BD503">
      <w:pPr>
        <w:jc w:val="center"/>
        <w:rPr>
          <w:rFonts w:ascii="宋体" w:hAnsi="宋体" w:cs="宋体"/>
          <w:b/>
          <w:color w:val="auto"/>
          <w:sz w:val="36"/>
          <w:szCs w:val="36"/>
          <w:highlight w:val="none"/>
        </w:rPr>
      </w:pPr>
    </w:p>
    <w:p w14:paraId="13C7A3E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温州市圣励招标代理有限公司：</w:t>
      </w:r>
    </w:p>
    <w:p w14:paraId="6CE72676">
      <w:pPr>
        <w:spacing w:line="440" w:lineRule="exact"/>
        <w:ind w:firstLine="440" w:firstLineChars="200"/>
        <w:rPr>
          <w:rFonts w:ascii="宋体" w:hAnsi="宋体" w:cs="宋体"/>
          <w:color w:val="auto"/>
          <w:sz w:val="22"/>
          <w:szCs w:val="22"/>
          <w:highlight w:val="none"/>
        </w:rPr>
      </w:pPr>
    </w:p>
    <w:p w14:paraId="7ABB6564">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本人经由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（供应商名称）负责人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（姓名）合法授权参加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项目（编号：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）采购活动，经与本单位法人代表（负责人）联系确认，现就有关公平竞争事项郑重声明如下：</w:t>
      </w:r>
    </w:p>
    <w:p w14:paraId="022D9628">
      <w:pPr>
        <w:numPr>
          <w:ilvl w:val="0"/>
          <w:numId w:val="11"/>
        </w:numPr>
        <w:spacing w:line="440" w:lineRule="exact"/>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29E63481">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A.投资关系    B.行政隶属关系    C.业务指导关系</w:t>
      </w:r>
    </w:p>
    <w:p w14:paraId="7F7906A3">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D.其他可能影响采购公正的利害关系</w:t>
      </w:r>
      <w:r>
        <w:rPr>
          <w:rFonts w:hint="eastAsia" w:ascii="宋体" w:hAnsi="宋体" w:cs="宋体"/>
          <w:color w:val="auto"/>
          <w:sz w:val="22"/>
          <w:szCs w:val="22"/>
          <w:highlight w:val="none"/>
          <w:u w:val="single"/>
        </w:rPr>
        <w:t xml:space="preserve">（如有，请如实说明）                 </w:t>
      </w:r>
      <w:r>
        <w:rPr>
          <w:rFonts w:hint="eastAsia" w:ascii="宋体" w:hAnsi="宋体" w:cs="宋体"/>
          <w:color w:val="auto"/>
          <w:sz w:val="22"/>
          <w:szCs w:val="22"/>
          <w:highlight w:val="none"/>
        </w:rPr>
        <w:t>。</w:t>
      </w:r>
    </w:p>
    <w:p w14:paraId="6100A0E3">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二、现已清楚知道参加本项目采购活动的其他所有供应商名称，本单位 □与其他所有供应商之间均不存在利害关系 □与</w:t>
      </w:r>
      <w:r>
        <w:rPr>
          <w:rFonts w:hint="eastAsia" w:ascii="宋体" w:hAnsi="宋体" w:cs="宋体"/>
          <w:color w:val="auto"/>
          <w:sz w:val="22"/>
          <w:szCs w:val="22"/>
          <w:highlight w:val="none"/>
          <w:u w:val="single"/>
        </w:rPr>
        <w:t xml:space="preserve">           （供应商名称）</w:t>
      </w:r>
      <w:r>
        <w:rPr>
          <w:rFonts w:hint="eastAsia" w:ascii="宋体" w:hAnsi="宋体" w:cs="宋体"/>
          <w:color w:val="auto"/>
          <w:sz w:val="22"/>
          <w:szCs w:val="22"/>
          <w:highlight w:val="none"/>
        </w:rPr>
        <w:t>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029001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14:paraId="6FF5C4E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14:paraId="428FBBA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14:paraId="1F1E67C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14:paraId="6C8132E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14:paraId="3389FB4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14:paraId="4F79409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14:paraId="79AF8F0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5F0E3BB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0166673">
      <w:pPr>
        <w:numPr>
          <w:ilvl w:val="0"/>
          <w:numId w:val="12"/>
        </w:numPr>
        <w:spacing w:line="440" w:lineRule="exact"/>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现已清楚知道并严格遵守相关法律法规和现场纪律。</w:t>
      </w:r>
    </w:p>
    <w:p w14:paraId="36652ABC">
      <w:pPr>
        <w:numPr>
          <w:ilvl w:val="0"/>
          <w:numId w:val="12"/>
        </w:numPr>
        <w:spacing w:line="440" w:lineRule="exact"/>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和</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622549C8">
      <w:pPr>
        <w:spacing w:line="440" w:lineRule="exact"/>
        <w:ind w:firstLine="4840" w:firstLineChars="2200"/>
        <w:rPr>
          <w:rFonts w:ascii="宋体" w:hAnsi="宋体" w:cs="宋体"/>
          <w:color w:val="auto"/>
          <w:sz w:val="22"/>
          <w:szCs w:val="22"/>
          <w:highlight w:val="none"/>
        </w:rPr>
      </w:pPr>
    </w:p>
    <w:p w14:paraId="4B8C758B">
      <w:pPr>
        <w:spacing w:line="440" w:lineRule="exact"/>
        <w:ind w:firstLine="4840" w:firstLineChars="2200"/>
        <w:rPr>
          <w:rFonts w:ascii="宋体" w:hAnsi="宋体" w:cs="宋体"/>
          <w:color w:val="auto"/>
          <w:sz w:val="22"/>
          <w:szCs w:val="22"/>
          <w:highlight w:val="none"/>
        </w:rPr>
      </w:pPr>
      <w:r>
        <w:rPr>
          <w:rFonts w:hint="eastAsia" w:ascii="宋体" w:hAnsi="宋体" w:cs="宋体"/>
          <w:color w:val="auto"/>
          <w:sz w:val="22"/>
          <w:szCs w:val="22"/>
          <w:highlight w:val="none"/>
        </w:rPr>
        <w:t>供应商代表签名：</w:t>
      </w:r>
    </w:p>
    <w:p w14:paraId="668620F2">
      <w:pPr>
        <w:tabs>
          <w:tab w:val="left" w:pos="4962"/>
          <w:tab w:val="left" w:pos="5103"/>
        </w:tabs>
        <w:spacing w:line="440" w:lineRule="exact"/>
        <w:ind w:right="1200"/>
        <w:jc w:val="right"/>
        <w:rPr>
          <w:rFonts w:ascii="宋体" w:hAnsi="宋体" w:cs="宋体"/>
          <w:color w:val="auto"/>
          <w:sz w:val="22"/>
          <w:szCs w:val="22"/>
          <w:highlight w:val="none"/>
        </w:rPr>
      </w:pPr>
    </w:p>
    <w:p w14:paraId="42AAE0BF">
      <w:pPr>
        <w:spacing w:line="440" w:lineRule="exact"/>
        <w:ind w:firstLine="4840" w:firstLineChars="22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307CCA64">
      <w:pPr>
        <w:spacing w:line="420" w:lineRule="exact"/>
        <w:jc w:val="center"/>
        <w:outlineLvl w:val="0"/>
        <w:rPr>
          <w:rFonts w:ascii="宋体" w:hAnsi="宋体" w:cs="宋体"/>
          <w:b/>
          <w:bCs/>
          <w:color w:val="auto"/>
          <w:sz w:val="32"/>
          <w:highlight w:val="none"/>
        </w:rPr>
      </w:pPr>
      <w:r>
        <w:rPr>
          <w:rFonts w:hint="eastAsia" w:ascii="宋体" w:hAnsi="宋体" w:cs="宋体"/>
          <w:b/>
          <w:bCs/>
          <w:color w:val="auto"/>
          <w:sz w:val="24"/>
          <w:highlight w:val="none"/>
        </w:rPr>
        <w:br w:type="page"/>
      </w:r>
      <w:bookmarkEnd w:id="90"/>
      <w:bookmarkEnd w:id="91"/>
      <w:bookmarkEnd w:id="92"/>
      <w:bookmarkStart w:id="100" w:name="_Toc30582"/>
      <w:bookmarkStart w:id="101" w:name="_Toc10485"/>
      <w:r>
        <w:rPr>
          <w:rFonts w:hint="eastAsia" w:ascii="宋体" w:hAnsi="宋体" w:cs="宋体"/>
          <w:b/>
          <w:bCs/>
          <w:color w:val="auto"/>
          <w:sz w:val="32"/>
          <w:highlight w:val="none"/>
        </w:rPr>
        <w:t>第五部分  采购需求</w:t>
      </w:r>
      <w:bookmarkEnd w:id="100"/>
      <w:bookmarkEnd w:id="101"/>
    </w:p>
    <w:bookmarkEnd w:id="69"/>
    <w:bookmarkEnd w:id="70"/>
    <w:bookmarkEnd w:id="71"/>
    <w:p w14:paraId="3E6D3159">
      <w:pPr>
        <w:autoSpaceDE w:val="0"/>
        <w:autoSpaceDN w:val="0"/>
        <w:adjustRightInd w:val="0"/>
        <w:snapToGrid w:val="0"/>
        <w:spacing w:line="440" w:lineRule="exact"/>
        <w:jc w:val="left"/>
        <w:textAlignment w:val="bottom"/>
        <w:rPr>
          <w:rFonts w:ascii="宋体" w:hAnsi="宋体" w:cs="宋体"/>
          <w:b/>
          <w:color w:val="auto"/>
          <w:sz w:val="22"/>
          <w:szCs w:val="22"/>
          <w:highlight w:val="none"/>
        </w:rPr>
      </w:pPr>
      <w:bookmarkStart w:id="102" w:name="_Toc2397"/>
      <w:bookmarkStart w:id="103" w:name="_Toc493334528"/>
      <w:bookmarkStart w:id="104" w:name="_Toc57385874"/>
      <w:bookmarkStart w:id="105" w:name="_Toc62116488"/>
      <w:bookmarkStart w:id="106" w:name="_Toc37941589"/>
      <w:bookmarkStart w:id="107" w:name="_Toc19"/>
      <w:r>
        <w:rPr>
          <w:rFonts w:hint="eastAsia" w:ascii="宋体" w:hAnsi="宋体" w:cs="宋体"/>
          <w:b/>
          <w:color w:val="auto"/>
          <w:sz w:val="22"/>
          <w:szCs w:val="22"/>
          <w:highlight w:val="none"/>
        </w:rPr>
        <w:t>一、采购需求清单</w:t>
      </w:r>
    </w:p>
    <w:tbl>
      <w:tblPr>
        <w:tblStyle w:val="39"/>
        <w:tblW w:w="0" w:type="auto"/>
        <w:jc w:val="center"/>
        <w:tblLayout w:type="fixed"/>
        <w:tblCellMar>
          <w:top w:w="0" w:type="dxa"/>
          <w:left w:w="108" w:type="dxa"/>
          <w:bottom w:w="0" w:type="dxa"/>
          <w:right w:w="108" w:type="dxa"/>
        </w:tblCellMar>
      </w:tblPr>
      <w:tblGrid>
        <w:gridCol w:w="1038"/>
        <w:gridCol w:w="4107"/>
        <w:gridCol w:w="987"/>
        <w:gridCol w:w="1900"/>
        <w:gridCol w:w="1294"/>
      </w:tblGrid>
      <w:tr w14:paraId="3AAFC6CC">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0B070F">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4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1AC197">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987"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5816A24">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50D1A7F7">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预算金额(元/年)</w:t>
            </w:r>
          </w:p>
        </w:tc>
        <w:tc>
          <w:tcPr>
            <w:tcW w:w="1294"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1625941C">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00DDDF6F">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46A44AC">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107"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7BD935AD">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温州肯恩大学动物房运营管理及相关设备维保服务采购项目</w:t>
            </w:r>
          </w:p>
        </w:tc>
        <w:tc>
          <w:tcPr>
            <w:tcW w:w="9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ED1AB8">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1年</w:t>
            </w:r>
          </w:p>
        </w:tc>
        <w:tc>
          <w:tcPr>
            <w:tcW w:w="1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26DBD5">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443000</w:t>
            </w:r>
          </w:p>
        </w:tc>
        <w:tc>
          <w:tcPr>
            <w:tcW w:w="12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CC7629">
            <w:pPr>
              <w:spacing w:line="34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14:paraId="5AD16550">
      <w:pPr>
        <w:snapToGrid w:val="0"/>
        <w:spacing w:line="360" w:lineRule="exact"/>
        <w:rPr>
          <w:rFonts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39"/>
        <w:tblW w:w="9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8"/>
        <w:gridCol w:w="8143"/>
      </w:tblGrid>
      <w:tr w14:paraId="4A094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E288C8D">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8143" w:type="dxa"/>
            <w:tcBorders>
              <w:top w:val="single" w:color="auto" w:sz="4" w:space="0"/>
              <w:left w:val="single" w:color="auto" w:sz="4" w:space="0"/>
              <w:bottom w:val="single" w:color="auto" w:sz="4" w:space="0"/>
              <w:right w:val="single" w:color="auto" w:sz="4" w:space="0"/>
            </w:tcBorders>
            <w:vAlign w:val="center"/>
          </w:tcPr>
          <w:p w14:paraId="64A4BE09">
            <w:pPr>
              <w:pStyle w:val="35"/>
              <w:shd w:val="clear" w:color="auto" w:fill="FFFFFF"/>
              <w:spacing w:beforeAutospacing="0" w:afterAutospacing="0" w:line="360" w:lineRule="exact"/>
              <w:rPr>
                <w:color w:val="auto"/>
                <w:sz w:val="22"/>
                <w:szCs w:val="22"/>
                <w:highlight w:val="none"/>
              </w:rPr>
            </w:pPr>
            <w:r>
              <w:rPr>
                <w:rFonts w:hint="eastAsia"/>
                <w:color w:val="auto"/>
                <w:sz w:val="22"/>
                <w:szCs w:val="22"/>
                <w:highlight w:val="none"/>
                <w:u w:val="single"/>
              </w:rPr>
              <w:t>▲</w:t>
            </w:r>
            <w:r>
              <w:rPr>
                <w:rFonts w:hint="eastAsia"/>
                <w:snapToGrid w:val="0"/>
                <w:color w:val="auto"/>
                <w:sz w:val="22"/>
                <w:szCs w:val="22"/>
                <w:highlight w:val="none"/>
                <w:u w:val="single"/>
              </w:rPr>
              <w:t>服务费支付：</w:t>
            </w:r>
            <w:r>
              <w:rPr>
                <w:rFonts w:hint="eastAsia"/>
                <w:color w:val="auto"/>
                <w:sz w:val="22"/>
                <w:szCs w:val="22"/>
                <w:highlight w:val="none"/>
              </w:rPr>
              <w:t>合同生效以及具备实施条件后7个工作日内采购人将合同金额的40%预付款给供应商，</w:t>
            </w:r>
            <w:r>
              <w:rPr>
                <w:rStyle w:val="45"/>
                <w:rFonts w:hint="eastAsia"/>
                <w:color w:val="auto"/>
                <w:kern w:val="2"/>
                <w:highlight w:val="none"/>
              </w:rPr>
              <w:t>合同生效的半年后支付至合同金额的80%，项目完成通过采购方要求验收合格后，支付至合同金额的100%。</w:t>
            </w:r>
          </w:p>
          <w:p w14:paraId="1F1B3DAE">
            <w:pPr>
              <w:pStyle w:val="12"/>
              <w:spacing w:line="3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注：1.在签订合同时，供应商明确表示主动要求降低预付款比例的，按实际比例计；供应商明确表示无需预付款的，在每年服务期满中标人完成该年度全部服务并通过采购人验收后按实支付该合同全款。采购单位对于满足合同约定支付条件的，自收到相应金额的发票后7个工作日内将资金支付到合同约定的中标人账户。</w:t>
            </w:r>
          </w:p>
          <w:p w14:paraId="731A10F4">
            <w:pPr>
              <w:pStyle w:val="12"/>
              <w:spacing w:line="360" w:lineRule="exact"/>
              <w:rPr>
                <w:rFonts w:ascii="宋体" w:hAnsi="宋体" w:cs="宋体"/>
                <w:color w:val="auto"/>
                <w:sz w:val="22"/>
                <w:szCs w:val="22"/>
                <w:highlight w:val="none"/>
                <w:u w:val="single"/>
              </w:rPr>
            </w:pPr>
            <w:r>
              <w:rPr>
                <w:rFonts w:hint="eastAsia" w:ascii="宋体" w:hAnsi="宋体" w:cs="宋体"/>
                <w:b/>
                <w:bCs/>
                <w:color w:val="auto"/>
                <w:sz w:val="22"/>
                <w:szCs w:val="22"/>
                <w:highlight w:val="none"/>
              </w:rPr>
              <w:t>2.以上所指的具备实施条件系指人员到位、设备已全部掌握和使用、全部交接完毕达到采购需求中的最低要求。</w:t>
            </w:r>
          </w:p>
        </w:tc>
      </w:tr>
      <w:tr w14:paraId="31732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619655AA">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履约保证金</w:t>
            </w:r>
          </w:p>
        </w:tc>
        <w:tc>
          <w:tcPr>
            <w:tcW w:w="8143" w:type="dxa"/>
            <w:tcBorders>
              <w:top w:val="single" w:color="auto" w:sz="4" w:space="0"/>
              <w:left w:val="single" w:color="auto" w:sz="4" w:space="0"/>
              <w:bottom w:val="single" w:color="auto" w:sz="4" w:space="0"/>
              <w:right w:val="single" w:color="auto" w:sz="4" w:space="0"/>
            </w:tcBorders>
            <w:vAlign w:val="center"/>
          </w:tcPr>
          <w:p w14:paraId="5F6143CE">
            <w:pPr>
              <w:spacing w:line="360" w:lineRule="exact"/>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不收取</w:t>
            </w:r>
          </w:p>
        </w:tc>
      </w:tr>
      <w:tr w14:paraId="14049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9F8C5CF">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服务期限</w:t>
            </w:r>
          </w:p>
        </w:tc>
        <w:tc>
          <w:tcPr>
            <w:tcW w:w="8143" w:type="dxa"/>
            <w:tcBorders>
              <w:top w:val="single" w:color="auto" w:sz="4" w:space="0"/>
              <w:left w:val="single" w:color="auto" w:sz="4" w:space="0"/>
              <w:bottom w:val="single" w:color="auto" w:sz="4" w:space="0"/>
              <w:right w:val="single" w:color="auto" w:sz="4" w:space="0"/>
            </w:tcBorders>
            <w:vAlign w:val="center"/>
          </w:tcPr>
          <w:p w14:paraId="47C963C0">
            <w:pPr>
              <w:pStyle w:val="135"/>
              <w:tabs>
                <w:tab w:val="left" w:pos="680"/>
              </w:tabs>
              <w:adjustRightInd w:val="0"/>
              <w:snapToGrid w:val="0"/>
              <w:spacing w:line="360" w:lineRule="exact"/>
              <w:ind w:firstLine="0" w:firstLineChars="0"/>
              <w:rPr>
                <w:bCs/>
                <w:color w:val="auto"/>
                <w:sz w:val="22"/>
                <w:highlight w:val="none"/>
              </w:rPr>
            </w:pPr>
            <w:r>
              <w:rPr>
                <w:rFonts w:hint="eastAsia"/>
                <w:bCs/>
                <w:color w:val="auto"/>
                <w:sz w:val="22"/>
                <w:highlight w:val="none"/>
              </w:rPr>
              <w:t>2025年9月11日-2026年9月10日</w:t>
            </w:r>
          </w:p>
        </w:tc>
      </w:tr>
      <w:tr w14:paraId="7F12D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F0F10A9">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服务地点</w:t>
            </w:r>
          </w:p>
        </w:tc>
        <w:tc>
          <w:tcPr>
            <w:tcW w:w="8143" w:type="dxa"/>
            <w:tcBorders>
              <w:top w:val="single" w:color="auto" w:sz="4" w:space="0"/>
              <w:left w:val="single" w:color="auto" w:sz="4" w:space="0"/>
              <w:bottom w:val="single" w:color="auto" w:sz="4" w:space="0"/>
              <w:right w:val="single" w:color="auto" w:sz="4" w:space="0"/>
            </w:tcBorders>
            <w:vAlign w:val="center"/>
          </w:tcPr>
          <w:p w14:paraId="4FFEDA8B">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采购人指定地点</w:t>
            </w:r>
          </w:p>
        </w:tc>
      </w:tr>
      <w:tr w14:paraId="70046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1069299C">
            <w:pPr>
              <w:spacing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验收标准</w:t>
            </w:r>
          </w:p>
        </w:tc>
        <w:tc>
          <w:tcPr>
            <w:tcW w:w="8143" w:type="dxa"/>
            <w:tcBorders>
              <w:top w:val="single" w:color="auto" w:sz="4" w:space="0"/>
              <w:left w:val="single" w:color="auto" w:sz="4" w:space="0"/>
              <w:bottom w:val="single" w:color="auto" w:sz="4" w:space="0"/>
              <w:right w:val="single" w:color="auto" w:sz="4" w:space="0"/>
            </w:tcBorders>
            <w:vAlign w:val="center"/>
          </w:tcPr>
          <w:p w14:paraId="2D6E000B">
            <w:pPr>
              <w:snapToGrid w:val="0"/>
              <w:spacing w:line="360" w:lineRule="exact"/>
              <w:jc w:val="left"/>
              <w:rPr>
                <w:rFonts w:ascii="宋体" w:hAnsi="宋体" w:cs="宋体"/>
                <w:bCs/>
                <w:color w:val="auto"/>
                <w:sz w:val="22"/>
                <w:szCs w:val="22"/>
                <w:highlight w:val="none"/>
              </w:rPr>
            </w:pPr>
            <w:r>
              <w:rPr>
                <w:rFonts w:hint="eastAsia"/>
                <w:color w:val="auto"/>
                <w:sz w:val="22"/>
                <w:szCs w:val="22"/>
                <w:highlight w:val="none"/>
              </w:rPr>
              <w:t>根据温州肯恩大学验收标准进行验收，</w:t>
            </w:r>
            <w:r>
              <w:rPr>
                <w:rFonts w:hint="eastAsia" w:ascii="宋体" w:hAnsi="宋体" w:cs="宋体"/>
                <w:bCs/>
                <w:color w:val="auto"/>
                <w:sz w:val="22"/>
                <w:szCs w:val="22"/>
                <w:highlight w:val="none"/>
              </w:rPr>
              <w:t>对服务期内的服务实施情况进行的考核作为验收依据。中标人承担验收相关的所有费用。</w:t>
            </w:r>
          </w:p>
        </w:tc>
      </w:tr>
    </w:tbl>
    <w:p w14:paraId="74C647A6">
      <w:pPr>
        <w:snapToGrid w:val="0"/>
        <w:spacing w:line="360" w:lineRule="exac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三、技术要求</w:t>
      </w:r>
    </w:p>
    <w:p w14:paraId="75B79C12">
      <w:pPr>
        <w:pStyle w:val="116"/>
        <w:spacing w:line="460" w:lineRule="exact"/>
        <w:ind w:firstLine="0" w:firstLineChars="0"/>
        <w:rPr>
          <w:rFonts w:ascii="宋体" w:hAnsi="宋体" w:cs="宋体"/>
          <w:color w:val="auto"/>
          <w:sz w:val="22"/>
          <w:highlight w:val="none"/>
        </w:rPr>
      </w:pPr>
      <w:r>
        <w:rPr>
          <w:rFonts w:hint="eastAsia" w:ascii="宋体" w:hAnsi="宋体" w:cs="宋体"/>
          <w:color w:val="auto"/>
          <w:sz w:val="22"/>
          <w:highlight w:val="none"/>
        </w:rPr>
        <w:t>1.温州肯恩大学动物设施概况</w:t>
      </w:r>
    </w:p>
    <w:p w14:paraId="1FEB469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动物设施概况：负一层，实验动物使用设施，面积约340平方</w:t>
      </w:r>
    </w:p>
    <w:tbl>
      <w:tblPr>
        <w:tblStyle w:val="40"/>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3409"/>
        <w:gridCol w:w="2355"/>
        <w:gridCol w:w="2378"/>
      </w:tblGrid>
      <w:tr w14:paraId="5CFA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2000DA6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区域</w:t>
            </w:r>
          </w:p>
        </w:tc>
        <w:tc>
          <w:tcPr>
            <w:tcW w:w="3409" w:type="dxa"/>
          </w:tcPr>
          <w:p w14:paraId="5BC7E52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用途</w:t>
            </w:r>
          </w:p>
        </w:tc>
        <w:tc>
          <w:tcPr>
            <w:tcW w:w="2355" w:type="dxa"/>
          </w:tcPr>
          <w:p w14:paraId="1EAE0DE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实验室类型</w:t>
            </w:r>
          </w:p>
        </w:tc>
        <w:tc>
          <w:tcPr>
            <w:tcW w:w="2378" w:type="dxa"/>
          </w:tcPr>
          <w:p w14:paraId="1658853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全年运营</w:t>
            </w:r>
          </w:p>
        </w:tc>
      </w:tr>
      <w:tr w14:paraId="27C7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1FCC39F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IVC房间</w:t>
            </w:r>
          </w:p>
        </w:tc>
        <w:tc>
          <w:tcPr>
            <w:tcW w:w="3409" w:type="dxa"/>
          </w:tcPr>
          <w:p w14:paraId="78D8D3E7">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动物饲养和常规实验操作</w:t>
            </w:r>
          </w:p>
        </w:tc>
        <w:tc>
          <w:tcPr>
            <w:tcW w:w="2355" w:type="dxa"/>
          </w:tcPr>
          <w:p w14:paraId="31464BF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大鼠饲养室，小鼠饲养室，隔离观察室</w:t>
            </w:r>
          </w:p>
        </w:tc>
        <w:tc>
          <w:tcPr>
            <w:tcW w:w="2378" w:type="dxa"/>
            <w:vMerge w:val="restart"/>
          </w:tcPr>
          <w:p w14:paraId="70DC1C50">
            <w:pPr>
              <w:spacing w:line="460" w:lineRule="exact"/>
              <w:jc w:val="center"/>
              <w:rPr>
                <w:rFonts w:ascii="宋体" w:hAnsi="宋体" w:cs="宋体"/>
                <w:color w:val="auto"/>
                <w:sz w:val="22"/>
                <w:szCs w:val="22"/>
                <w:highlight w:val="none"/>
              </w:rPr>
            </w:pPr>
          </w:p>
          <w:p w14:paraId="4737190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设施全年运营，门禁权限管理；白天工作时间人员正常进出，晚上保安巡查并有远程报警提醒。</w:t>
            </w:r>
          </w:p>
        </w:tc>
      </w:tr>
      <w:tr w14:paraId="4E46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1DAD24B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实验室</w:t>
            </w:r>
          </w:p>
        </w:tc>
        <w:tc>
          <w:tcPr>
            <w:tcW w:w="3409" w:type="dxa"/>
          </w:tcPr>
          <w:p w14:paraId="166701B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动物实验，手术操作，仪器设备放置</w:t>
            </w:r>
          </w:p>
        </w:tc>
        <w:tc>
          <w:tcPr>
            <w:tcW w:w="2355" w:type="dxa"/>
          </w:tcPr>
          <w:p w14:paraId="08B96C8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操作室</w:t>
            </w:r>
          </w:p>
        </w:tc>
        <w:tc>
          <w:tcPr>
            <w:tcW w:w="2378" w:type="dxa"/>
            <w:vMerge w:val="continue"/>
          </w:tcPr>
          <w:p w14:paraId="4C8610FF">
            <w:pPr>
              <w:spacing w:line="460" w:lineRule="exact"/>
              <w:rPr>
                <w:rFonts w:ascii="宋体" w:hAnsi="宋体" w:cs="宋体"/>
                <w:color w:val="auto"/>
                <w:sz w:val="22"/>
                <w:szCs w:val="22"/>
                <w:highlight w:val="none"/>
              </w:rPr>
            </w:pPr>
          </w:p>
        </w:tc>
      </w:tr>
      <w:tr w14:paraId="4FCE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131277F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解剖室</w:t>
            </w:r>
          </w:p>
        </w:tc>
        <w:tc>
          <w:tcPr>
            <w:tcW w:w="3409" w:type="dxa"/>
          </w:tcPr>
          <w:p w14:paraId="4691A7E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动物安乐死，取材，动物尸体暂定</w:t>
            </w:r>
          </w:p>
        </w:tc>
        <w:tc>
          <w:tcPr>
            <w:tcW w:w="2355" w:type="dxa"/>
          </w:tcPr>
          <w:p w14:paraId="5CE3534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操作室</w:t>
            </w:r>
          </w:p>
        </w:tc>
        <w:tc>
          <w:tcPr>
            <w:tcW w:w="2378" w:type="dxa"/>
            <w:vMerge w:val="continue"/>
          </w:tcPr>
          <w:p w14:paraId="17FFEA59">
            <w:pPr>
              <w:spacing w:line="460" w:lineRule="exact"/>
              <w:rPr>
                <w:rFonts w:ascii="宋体" w:hAnsi="宋体" w:cs="宋体"/>
                <w:color w:val="auto"/>
                <w:sz w:val="22"/>
                <w:szCs w:val="22"/>
                <w:highlight w:val="none"/>
              </w:rPr>
            </w:pPr>
          </w:p>
        </w:tc>
      </w:tr>
      <w:tr w14:paraId="02F9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30D57CC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污物暂存间</w:t>
            </w:r>
          </w:p>
        </w:tc>
        <w:tc>
          <w:tcPr>
            <w:tcW w:w="3409" w:type="dxa"/>
          </w:tcPr>
          <w:p w14:paraId="0920E43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饲料、垫料污物暂存点</w:t>
            </w:r>
          </w:p>
        </w:tc>
        <w:tc>
          <w:tcPr>
            <w:tcW w:w="2355" w:type="dxa"/>
          </w:tcPr>
          <w:p w14:paraId="4DDEF5FB">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辅助区域</w:t>
            </w:r>
          </w:p>
        </w:tc>
        <w:tc>
          <w:tcPr>
            <w:tcW w:w="2378" w:type="dxa"/>
            <w:vMerge w:val="continue"/>
          </w:tcPr>
          <w:p w14:paraId="7D8F7147">
            <w:pPr>
              <w:spacing w:line="460" w:lineRule="exact"/>
              <w:rPr>
                <w:rFonts w:ascii="宋体" w:hAnsi="宋体" w:cs="宋体"/>
                <w:color w:val="auto"/>
                <w:sz w:val="22"/>
                <w:szCs w:val="22"/>
                <w:highlight w:val="none"/>
              </w:rPr>
            </w:pPr>
          </w:p>
        </w:tc>
      </w:tr>
      <w:tr w14:paraId="1C9E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3CCEFD6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清洗区及物品暂存区</w:t>
            </w:r>
          </w:p>
        </w:tc>
        <w:tc>
          <w:tcPr>
            <w:tcW w:w="3409" w:type="dxa"/>
          </w:tcPr>
          <w:p w14:paraId="6BDD117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饲垫料暂存，笼器具清洗灭菌，无菌物品暂存</w:t>
            </w:r>
          </w:p>
        </w:tc>
        <w:tc>
          <w:tcPr>
            <w:tcW w:w="2355" w:type="dxa"/>
          </w:tcPr>
          <w:p w14:paraId="1AF4156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辅助区域</w:t>
            </w:r>
          </w:p>
        </w:tc>
        <w:tc>
          <w:tcPr>
            <w:tcW w:w="2378" w:type="dxa"/>
            <w:vMerge w:val="continue"/>
          </w:tcPr>
          <w:p w14:paraId="20E56D47">
            <w:pPr>
              <w:spacing w:line="460" w:lineRule="exact"/>
              <w:rPr>
                <w:rFonts w:ascii="宋体" w:hAnsi="宋体" w:cs="宋体"/>
                <w:color w:val="auto"/>
                <w:sz w:val="22"/>
                <w:szCs w:val="22"/>
                <w:highlight w:val="none"/>
              </w:rPr>
            </w:pPr>
          </w:p>
        </w:tc>
      </w:tr>
      <w:tr w14:paraId="09B2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Pr>
          <w:p w14:paraId="76C0431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更衣区</w:t>
            </w:r>
          </w:p>
        </w:tc>
        <w:tc>
          <w:tcPr>
            <w:tcW w:w="3409" w:type="dxa"/>
          </w:tcPr>
          <w:p w14:paraId="48D9CCA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人员出入动物设施通道</w:t>
            </w:r>
          </w:p>
        </w:tc>
        <w:tc>
          <w:tcPr>
            <w:tcW w:w="2355" w:type="dxa"/>
          </w:tcPr>
          <w:p w14:paraId="668DD91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辅助区域</w:t>
            </w:r>
          </w:p>
        </w:tc>
        <w:tc>
          <w:tcPr>
            <w:tcW w:w="2378" w:type="dxa"/>
            <w:vMerge w:val="continue"/>
          </w:tcPr>
          <w:p w14:paraId="6ACE5C29">
            <w:pPr>
              <w:spacing w:line="460" w:lineRule="exact"/>
              <w:rPr>
                <w:rFonts w:ascii="宋体" w:hAnsi="宋体" w:cs="宋体"/>
                <w:color w:val="auto"/>
                <w:sz w:val="22"/>
                <w:szCs w:val="22"/>
                <w:highlight w:val="none"/>
              </w:rPr>
            </w:pPr>
          </w:p>
        </w:tc>
      </w:tr>
      <w:tr w14:paraId="5DB3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7" w:type="dxa"/>
            <w:gridSpan w:val="4"/>
          </w:tcPr>
          <w:p w14:paraId="681C360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维保设备清单（维保服务从2</w:t>
            </w:r>
            <w:r>
              <w:rPr>
                <w:rFonts w:ascii="宋体" w:hAnsi="宋体" w:cs="宋体"/>
                <w:color w:val="auto"/>
                <w:sz w:val="22"/>
                <w:szCs w:val="22"/>
                <w:highlight w:val="none"/>
              </w:rPr>
              <w:t>025</w:t>
            </w:r>
            <w:r>
              <w:rPr>
                <w:rFonts w:hint="eastAsia" w:ascii="宋体" w:hAnsi="宋体" w:cs="宋体"/>
                <w:color w:val="auto"/>
                <w:sz w:val="22"/>
                <w:szCs w:val="22"/>
                <w:highlight w:val="none"/>
              </w:rPr>
              <w:t>年1</w:t>
            </w:r>
            <w:r>
              <w:rPr>
                <w:rFonts w:ascii="宋体" w:hAnsi="宋体" w:cs="宋体"/>
                <w:color w:val="auto"/>
                <w:sz w:val="22"/>
                <w:szCs w:val="22"/>
                <w:highlight w:val="none"/>
              </w:rPr>
              <w:t>2</w:t>
            </w:r>
            <w:r>
              <w:rPr>
                <w:rFonts w:hint="eastAsia" w:ascii="宋体" w:hAnsi="宋体" w:cs="宋体"/>
                <w:color w:val="auto"/>
                <w:sz w:val="22"/>
                <w:szCs w:val="22"/>
                <w:highlight w:val="none"/>
              </w:rPr>
              <w:t>月1</w:t>
            </w:r>
            <w:r>
              <w:rPr>
                <w:rFonts w:ascii="宋体" w:hAnsi="宋体" w:cs="宋体"/>
                <w:color w:val="auto"/>
                <w:sz w:val="22"/>
                <w:szCs w:val="22"/>
                <w:highlight w:val="none"/>
              </w:rPr>
              <w:t>5</w:t>
            </w:r>
            <w:r>
              <w:rPr>
                <w:rFonts w:hint="eastAsia" w:ascii="宋体" w:hAnsi="宋体" w:cs="宋体"/>
                <w:color w:val="auto"/>
                <w:sz w:val="22"/>
                <w:szCs w:val="22"/>
                <w:highlight w:val="none"/>
              </w:rPr>
              <w:t>日起至本合同服务期结束止）：</w:t>
            </w:r>
          </w:p>
          <w:p w14:paraId="1D50DEB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（1）屏障维保，包括：①空气处理设备（风机）②水气系统（纯水机、压缩机、自来水等）③电气设施（灯具、电路）④监控系统⑤围护结构</w:t>
            </w:r>
          </w:p>
          <w:p w14:paraId="427CF337">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（2）智控调节</w:t>
            </w:r>
          </w:p>
          <w:p w14:paraId="4E8B4B9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（3）空调机组</w:t>
            </w:r>
          </w:p>
          <w:p w14:paraId="13527735">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3" w:char="F070"/>
            </w:r>
            <w:r>
              <w:rPr>
                <w:rFonts w:hint="eastAsia" w:ascii="宋体" w:hAnsi="宋体" w:cs="宋体"/>
                <w:b/>
                <w:bCs/>
                <w:color w:val="auto"/>
                <w:sz w:val="22"/>
                <w:szCs w:val="22"/>
                <w:highlight w:val="none"/>
                <w:u w:val="single"/>
              </w:rPr>
              <w:t>注：</w:t>
            </w:r>
            <w:r>
              <w:rPr>
                <w:rFonts w:ascii="宋体" w:hAnsi="宋体" w:cs="宋体"/>
                <w:b/>
                <w:bCs/>
                <w:color w:val="auto"/>
                <w:sz w:val="22"/>
                <w:szCs w:val="22"/>
                <w:highlight w:val="none"/>
                <w:u w:val="single"/>
              </w:rPr>
              <w:t>因驻场人员或工程师业务不熟悉，导致设备在维修过程中造成再次不可修复的损坏，应由中标单位承担损失。</w:t>
            </w:r>
            <w:r>
              <w:rPr>
                <w:rFonts w:hint="eastAsia" w:ascii="宋体" w:hAnsi="宋体" w:cs="宋体"/>
                <w:b/>
                <w:bCs/>
                <w:color w:val="auto"/>
                <w:sz w:val="22"/>
                <w:szCs w:val="22"/>
                <w:highlight w:val="none"/>
                <w:u w:val="single"/>
              </w:rPr>
              <w:t>（提供承诺函）</w:t>
            </w:r>
          </w:p>
        </w:tc>
      </w:tr>
    </w:tbl>
    <w:p w14:paraId="5B4CBB91">
      <w:pPr>
        <w:pStyle w:val="116"/>
        <w:spacing w:line="460" w:lineRule="exact"/>
        <w:ind w:firstLine="0" w:firstLineChars="0"/>
        <w:rPr>
          <w:rFonts w:ascii="宋体" w:hAnsi="宋体" w:cs="宋体"/>
          <w:color w:val="auto"/>
          <w:sz w:val="22"/>
          <w:highlight w:val="none"/>
        </w:rPr>
      </w:pPr>
      <w:r>
        <w:rPr>
          <w:rFonts w:hint="eastAsia" w:ascii="宋体" w:hAnsi="宋体" w:cs="宋体"/>
          <w:color w:val="auto"/>
          <w:sz w:val="22"/>
          <w:highlight w:val="none"/>
        </w:rPr>
        <w:t>2.动物设施服务工作职责</w:t>
      </w:r>
    </w:p>
    <w:p w14:paraId="29C48B75">
      <w:pPr>
        <w:spacing w:line="460" w:lineRule="exact"/>
        <w:rPr>
          <w:rFonts w:ascii="宋体" w:hAnsi="宋体" w:cs="宋体"/>
          <w:color w:val="auto"/>
          <w:sz w:val="22"/>
          <w:szCs w:val="22"/>
          <w:highlight w:val="none"/>
        </w:rPr>
      </w:pPr>
    </w:p>
    <w:p w14:paraId="7426E2EA">
      <w:pPr>
        <w:pStyle w:val="116"/>
        <w:spacing w:line="460" w:lineRule="exact"/>
        <w:ind w:left="360" w:hanging="360" w:firstLineChars="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w:t>
      </w:r>
      <w:r>
        <w:rPr>
          <w:rFonts w:hint="eastAsia" w:ascii="宋体" w:hAnsi="宋体" w:cs="宋体"/>
          <w:color w:val="auto"/>
          <w:sz w:val="22"/>
          <w:highlight w:val="none"/>
        </w:rPr>
        <w:t>1动物房日常运营管理：</w:t>
      </w:r>
    </w:p>
    <w:p w14:paraId="12DC1BEE">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制定相关的动物设施SOP。</w:t>
      </w:r>
    </w:p>
    <w:p w14:paraId="212822C0">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采购需求提交和到货物品及动物的接收。</w:t>
      </w:r>
    </w:p>
    <w:p w14:paraId="1BC9D673">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实验动物日常饲养管理。</w:t>
      </w:r>
    </w:p>
    <w:p w14:paraId="2934C42F">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物品清洗灭菌，卫生保洁，废弃物处置。</w:t>
      </w:r>
    </w:p>
    <w:p w14:paraId="685700B6">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动物设施进出人员管理。</w:t>
      </w:r>
    </w:p>
    <w:p w14:paraId="6CC32473">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设施日常运营数据记录。</w:t>
      </w:r>
    </w:p>
    <w:p w14:paraId="155A43EB">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实验动物健康监测，状态异常动物的上报及处置。</w:t>
      </w:r>
    </w:p>
    <w:p w14:paraId="42EC56D4">
      <w:pPr>
        <w:pStyle w:val="116"/>
        <w:numPr>
          <w:ilvl w:val="1"/>
          <w:numId w:val="13"/>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协助处理突发事件和紧急情况，如火灾、紧急救援等，采取必要的应急措施，确保实验人员及实验的安全。</w:t>
      </w:r>
    </w:p>
    <w:p w14:paraId="7FCBCF4A">
      <w:pPr>
        <w:pStyle w:val="116"/>
        <w:spacing w:line="460" w:lineRule="exact"/>
        <w:ind w:left="360" w:hanging="360" w:firstLineChars="0"/>
        <w:rPr>
          <w:rFonts w:ascii="宋体" w:hAns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2动物实验操作：</w:t>
      </w:r>
    </w:p>
    <w:p w14:paraId="48DC46A3">
      <w:pPr>
        <w:pStyle w:val="116"/>
        <w:numPr>
          <w:ilvl w:val="1"/>
          <w:numId w:val="14"/>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根据课题组要求进行基础的实验操作，包括日常垫料、饲料替换。</w:t>
      </w:r>
    </w:p>
    <w:p w14:paraId="458EC5B0">
      <w:pPr>
        <w:pStyle w:val="116"/>
        <w:numPr>
          <w:ilvl w:val="1"/>
          <w:numId w:val="14"/>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发放动物实验申请表，指导、审批动物实验申请。</w:t>
      </w:r>
    </w:p>
    <w:p w14:paraId="1142CF0D">
      <w:pPr>
        <w:pStyle w:val="116"/>
        <w:numPr>
          <w:ilvl w:val="1"/>
          <w:numId w:val="14"/>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协调动物笼位资源分配，协调动物设施内场地与仪器共享，信息更新与发布。</w:t>
      </w:r>
    </w:p>
    <w:p w14:paraId="4B0DDE98">
      <w:pPr>
        <w:pStyle w:val="116"/>
        <w:spacing w:line="460" w:lineRule="exact"/>
        <w:ind w:left="780" w:firstLine="0" w:firstLineChars="0"/>
        <w:rPr>
          <w:rFonts w:ascii="宋体" w:hAnsi="宋体" w:cs="宋体"/>
          <w:color w:val="auto"/>
          <w:sz w:val="22"/>
          <w:highlight w:val="none"/>
        </w:rPr>
      </w:pPr>
    </w:p>
    <w:p w14:paraId="6E2141E3">
      <w:pPr>
        <w:pStyle w:val="116"/>
        <w:spacing w:line="460" w:lineRule="exact"/>
        <w:ind w:left="360" w:hanging="360" w:firstLineChars="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w:t>
      </w:r>
      <w:r>
        <w:rPr>
          <w:rFonts w:hint="eastAsia" w:ascii="宋体" w:hAnsi="宋体" w:cs="宋体"/>
          <w:color w:val="auto"/>
          <w:sz w:val="22"/>
          <w:highlight w:val="none"/>
        </w:rPr>
        <w:t>3培训和监督：</w:t>
      </w:r>
    </w:p>
    <w:p w14:paraId="0CE9850C">
      <w:pPr>
        <w:pStyle w:val="116"/>
        <w:numPr>
          <w:ilvl w:val="1"/>
          <w:numId w:val="15"/>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对需要进出动物房的人员进行培训，发放准入申请表格，指导准入申请流程，安排人员准入培训与考核，授权门禁权限开通，管理登记权限。</w:t>
      </w:r>
    </w:p>
    <w:p w14:paraId="75A1E044">
      <w:pPr>
        <w:pStyle w:val="116"/>
        <w:numPr>
          <w:ilvl w:val="1"/>
          <w:numId w:val="15"/>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动物福利和生物安全的相关培训。</w:t>
      </w:r>
    </w:p>
    <w:p w14:paraId="5E2598C5">
      <w:pPr>
        <w:pStyle w:val="116"/>
        <w:numPr>
          <w:ilvl w:val="1"/>
          <w:numId w:val="15"/>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教导正确的动物设施进出流程，设施使用中的注意事项，确保人员及实验动物的安全，资源的有效利用。</w:t>
      </w:r>
    </w:p>
    <w:p w14:paraId="6362B85F">
      <w:pPr>
        <w:pStyle w:val="116"/>
        <w:numPr>
          <w:ilvl w:val="1"/>
          <w:numId w:val="15"/>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监督设施进出人员的操作符合规范，有发现违规行为及时上报给动物设施对接老师。</w:t>
      </w:r>
    </w:p>
    <w:p w14:paraId="5D48098C">
      <w:pPr>
        <w:pStyle w:val="116"/>
        <w:spacing w:line="460" w:lineRule="exact"/>
        <w:ind w:firstLine="0" w:firstLineChars="0"/>
        <w:rPr>
          <w:rFonts w:ascii="宋体" w:hAnsi="宋体" w:cs="宋体"/>
          <w:color w:val="auto"/>
          <w:sz w:val="22"/>
          <w:highlight w:val="none"/>
        </w:rPr>
      </w:pPr>
    </w:p>
    <w:p w14:paraId="2FA3356C">
      <w:pPr>
        <w:pStyle w:val="116"/>
        <w:spacing w:line="460" w:lineRule="exact"/>
        <w:ind w:left="360" w:hanging="360" w:firstLineChars="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4</w:t>
      </w:r>
      <w:r>
        <w:rPr>
          <w:rFonts w:hint="eastAsia" w:ascii="宋体" w:hAnsi="宋体" w:cs="宋体"/>
          <w:color w:val="auto"/>
          <w:sz w:val="22"/>
          <w:highlight w:val="none"/>
        </w:rPr>
        <w:t>其他任务</w:t>
      </w:r>
    </w:p>
    <w:p w14:paraId="234549DA">
      <w:pPr>
        <w:pStyle w:val="116"/>
        <w:numPr>
          <w:ilvl w:val="1"/>
          <w:numId w:val="16"/>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积极参与动物房相关的其他任务，包括但不限于配合相关单位的外部检查与抽查、配合填写相关的数据报告等。</w:t>
      </w:r>
    </w:p>
    <w:p w14:paraId="342EECF7">
      <w:pPr>
        <w:pStyle w:val="116"/>
        <w:numPr>
          <w:ilvl w:val="1"/>
          <w:numId w:val="16"/>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持续提出优化流程和服务建议，推动动物设施运营工作的不断改进。</w:t>
      </w:r>
    </w:p>
    <w:p w14:paraId="07457F20">
      <w:pPr>
        <w:pStyle w:val="116"/>
        <w:numPr>
          <w:ilvl w:val="1"/>
          <w:numId w:val="16"/>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实验耗材库房的管理，动物房基础设备的简单维护等。</w:t>
      </w:r>
    </w:p>
    <w:p w14:paraId="102A955E">
      <w:pPr>
        <w:pStyle w:val="116"/>
        <w:spacing w:line="460" w:lineRule="exact"/>
        <w:ind w:firstLine="0" w:firstLineChars="0"/>
        <w:rPr>
          <w:rFonts w:ascii="宋体" w:hAnsi="宋体" w:cs="宋体"/>
          <w:color w:val="auto"/>
          <w:sz w:val="22"/>
          <w:highlight w:val="none"/>
        </w:rPr>
      </w:pPr>
    </w:p>
    <w:p w14:paraId="4CB0E71A">
      <w:pPr>
        <w:pStyle w:val="116"/>
        <w:spacing w:line="460" w:lineRule="exact"/>
        <w:ind w:left="420" w:hanging="420" w:firstLineChars="0"/>
        <w:rPr>
          <w:rFonts w:ascii="宋体" w:hAnsi="宋体" w:cs="宋体"/>
          <w:color w:val="auto"/>
          <w:sz w:val="22"/>
          <w:highlight w:val="none"/>
        </w:rPr>
      </w:pPr>
      <w:r>
        <w:rPr>
          <w:rFonts w:hint="eastAsia" w:ascii="宋体" w:hAnsi="宋体" w:cs="宋体"/>
          <w:color w:val="auto"/>
          <w:sz w:val="22"/>
          <w:highlight w:val="none"/>
        </w:rPr>
        <w:t>3.岗位要求</w:t>
      </w:r>
    </w:p>
    <w:p w14:paraId="399EB3E0">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3.1本项目要求实际到岗人员数不少于3人（含动物实验室负责人），实际数量以采购人需求为主。</w:t>
      </w:r>
    </w:p>
    <w:p w14:paraId="186773A4">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3.2供应商拟派遣本项目服务团队驻点人员结构合理，要求入驻本项目的服务团队具有动物设施运营管理和大小鼠饲养管理经验。</w:t>
      </w:r>
    </w:p>
    <w:p w14:paraId="53CC1732">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3.3中标人派遣本项目的驻点人员必须经采购人认可后才能录用，所有驻点人员均为专职人员，不得兼职。</w:t>
      </w:r>
    </w:p>
    <w:p w14:paraId="57A2B0FB">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3.4前期驻场工作人员基础工作培训由采购人及外包单位负责，后续发生人员变动，由外包单位对驻场人员进行全面岗前培训。</w:t>
      </w:r>
    </w:p>
    <w:p w14:paraId="176C6288">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3.5驻场工作人员遵纪守法、保守秘密、品行良好，无违纪犯罪记录，体貌端正，无不良嗜好，无重大病史和传染疾病，无残疾、无明显疤痕和纹身标志、反应敏捷、行动灵便。</w:t>
      </w:r>
    </w:p>
    <w:p w14:paraId="340CAA9D">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3.6驻场工作人员的语言要求为普通话标准，同时需具备英语作为工作语言的能力，口语表达流利，书写清晰。</w:t>
      </w:r>
    </w:p>
    <w:p w14:paraId="64FA0D2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3.7驻场工作人员能胜任晚班，周末，节假日工作要求。</w:t>
      </w:r>
    </w:p>
    <w:p w14:paraId="67D7228D">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3.8驻场工作人员所有费用由中标人承担，包括工资、奖金、福利、保险等，实行固定费用总包干。如发生劳动纠纷一律与温州肯恩大学无关。</w:t>
      </w:r>
    </w:p>
    <w:p w14:paraId="43555A7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3.9外包组长对驻场驻点人员进行管理与排班，提醒工作人员按时上岗，按约履行工作职责。</w:t>
      </w:r>
    </w:p>
    <w:p w14:paraId="3C7C0F2C">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3.10每个合同期内，动物实验室负责人应保持稳定，原则上不得更换；其他驻点人员的更换人数不超过总人数的30%，确因特殊原因须更换人员，须提前15个工作日与采购人协商，同意后方可更换。遇驻点人员休假，应及时安排替补人员。</w:t>
      </w:r>
    </w:p>
    <w:p w14:paraId="7E5EEE90">
      <w:pPr>
        <w:pStyle w:val="116"/>
        <w:numPr>
          <w:ilvl w:val="255"/>
          <w:numId w:val="0"/>
        </w:numPr>
        <w:spacing w:line="460" w:lineRule="exact"/>
        <w:ind w:left="420"/>
        <w:rPr>
          <w:rFonts w:ascii="宋体" w:hAnsi="宋体" w:cs="宋体"/>
          <w:color w:val="auto"/>
          <w:sz w:val="22"/>
          <w:highlight w:val="none"/>
        </w:rPr>
      </w:pPr>
    </w:p>
    <w:p w14:paraId="1AF2F384">
      <w:pPr>
        <w:pStyle w:val="116"/>
        <w:spacing w:line="460" w:lineRule="exact"/>
        <w:ind w:left="420" w:hanging="420" w:firstLineChars="0"/>
        <w:rPr>
          <w:rFonts w:ascii="宋体" w:hAnsi="宋体" w:cs="宋体"/>
          <w:color w:val="auto"/>
          <w:sz w:val="22"/>
          <w:highlight w:val="none"/>
        </w:rPr>
      </w:pPr>
      <w:r>
        <w:rPr>
          <w:rFonts w:hint="eastAsia" w:ascii="宋体" w:hAnsi="宋体" w:cs="宋体"/>
          <w:color w:val="auto"/>
          <w:sz w:val="22"/>
          <w:highlight w:val="none"/>
        </w:rPr>
        <w:t>4.服务要求</w:t>
      </w:r>
    </w:p>
    <w:p w14:paraId="7574C353">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4.1按时到岗值班，遵守值班要求，不得迟到早退，不得擅自离岗。</w:t>
      </w:r>
    </w:p>
    <w:p w14:paraId="1B76461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4.2熟悉服务部门的工作流程、工作内容和规章制度，等独立保质保量完成工作任务。</w:t>
      </w:r>
    </w:p>
    <w:p w14:paraId="236B621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4.3在动物设施内不得从事与设施无关的工作，不得影响实验人员的实验操作。</w:t>
      </w:r>
    </w:p>
    <w:p w14:paraId="699E79EC">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4.4服务意识强，随时发现并提醒各种不安全，不符合动物福利的行为，无法解决的问题及时上报至采购人，任何情况下不得与实验人员发生冲突。</w:t>
      </w:r>
    </w:p>
    <w:p w14:paraId="7FB838B5">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4.5为实验人员提供安全，干净，舒适的实验环境，加强巡视，及时发现问题或反映实验人员的意见和建议，向采购人报告，不得存在隐瞒不报的行为。</w:t>
      </w:r>
    </w:p>
    <w:p w14:paraId="5964801F">
      <w:pPr>
        <w:pStyle w:val="116"/>
        <w:spacing w:line="460" w:lineRule="exact"/>
        <w:ind w:left="840" w:hanging="420" w:firstLineChars="0"/>
        <w:rPr>
          <w:rFonts w:ascii="宋体" w:hAnsi="宋体" w:cs="宋体"/>
          <w:color w:val="auto"/>
          <w:sz w:val="22"/>
          <w:highlight w:val="none"/>
        </w:rPr>
      </w:pPr>
      <w:r>
        <w:rPr>
          <w:rFonts w:hint="eastAsia" w:ascii="宋体" w:hAnsi="宋体" w:cs="宋体"/>
          <w:color w:val="auto"/>
          <w:sz w:val="22"/>
          <w:highlight w:val="none"/>
        </w:rPr>
        <w:t>4.6每年度需提交整年动物房设施运行管理记录和台账等所有详细资料</w:t>
      </w:r>
    </w:p>
    <w:p w14:paraId="7F941593">
      <w:pPr>
        <w:pStyle w:val="116"/>
        <w:spacing w:line="460" w:lineRule="exact"/>
        <w:ind w:left="420" w:firstLine="0" w:firstLineChars="0"/>
        <w:rPr>
          <w:rFonts w:ascii="宋体" w:hAnsi="宋体" w:cs="宋体"/>
          <w:color w:val="auto"/>
          <w:sz w:val="22"/>
          <w:highlight w:val="none"/>
        </w:rPr>
      </w:pPr>
    </w:p>
    <w:p w14:paraId="6F0CB351">
      <w:pPr>
        <w:pStyle w:val="116"/>
        <w:spacing w:line="460" w:lineRule="exact"/>
        <w:ind w:left="420" w:hanging="420" w:firstLineChars="0"/>
        <w:rPr>
          <w:rFonts w:ascii="宋体" w:hAnsi="宋体" w:cs="宋体"/>
          <w:color w:val="auto"/>
          <w:sz w:val="22"/>
          <w:highlight w:val="none"/>
        </w:rPr>
      </w:pPr>
      <w:r>
        <w:rPr>
          <w:rFonts w:hint="eastAsia" w:ascii="宋体" w:hAnsi="宋体" w:cs="宋体"/>
          <w:color w:val="auto"/>
          <w:sz w:val="22"/>
          <w:highlight w:val="none"/>
        </w:rPr>
        <w:t>5.考核方法</w:t>
      </w:r>
    </w:p>
    <w:p w14:paraId="554821A3">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5.1驻点人员监督：采购人对日常操作规范，驻点人员言行举止等可随时进行抽查并记录。</w:t>
      </w:r>
    </w:p>
    <w:p w14:paraId="4B3F43C1">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5.2驻场人员应遵守动物设施各项规章制度，如遇发生违反规定的行为，工作人员在工作态度、工作质量、工作责任感、沟通与合作能力等方面对动物设施造成影响，可将情况通报给中标人，对当事人进行批评教育、警告、辞退及相应处罚。如造成动物设施财务损失，采购人有权向中标人追偿，按照损毁物品进行赔偿。</w:t>
      </w:r>
    </w:p>
    <w:p w14:paraId="55171F46">
      <w:pPr>
        <w:pStyle w:val="116"/>
        <w:spacing w:line="460" w:lineRule="exact"/>
        <w:ind w:left="420" w:hanging="420" w:firstLineChars="0"/>
        <w:rPr>
          <w:rFonts w:ascii="宋体" w:hAnsi="宋体" w:cs="宋体"/>
          <w:color w:val="auto"/>
          <w:sz w:val="22"/>
          <w:highlight w:val="none"/>
        </w:rPr>
      </w:pPr>
      <w:r>
        <w:rPr>
          <w:rFonts w:hint="eastAsia" w:ascii="宋体" w:hAnsi="宋体" w:cs="宋体"/>
          <w:color w:val="auto"/>
          <w:sz w:val="22"/>
          <w:highlight w:val="none"/>
        </w:rPr>
        <w:t>6.其他要求</w:t>
      </w:r>
    </w:p>
    <w:p w14:paraId="7317AA4D">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6.1中标人需向采购人提供合格人员，并提供项目组人员的真实资料（姓名、性别、年龄、学历、特长、职务、本人照片等，不得弄虚作假。</w:t>
      </w:r>
    </w:p>
    <w:p w14:paraId="6DED3F0F">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6.2中标人需提出详尽合理的售后服务方案，保证在项目执行期间，能够及时为采购人提供快速有效的售后反馈服务，与采购人建立良好的沟通与反馈机制，采购人能够及时掌握项目进度及服务质量并随时提出指导意见，确保项目顺畅运行。</w:t>
      </w:r>
    </w:p>
    <w:p w14:paraId="419922A7">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6.3根据本项目服务要求当中规定的人员要求、工作内容、工作时间等相关的具体要求，中标人对服务质量管理提出保障措施。</w:t>
      </w:r>
    </w:p>
    <w:p w14:paraId="2AD3326B">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6.4根据采购人的要求，中标人需加强服务意识，严格工作纪律，在提高用户满意度、配合采购人工作方面要有针对性的保障措施。中标人派驻人员因工作失职而造成的经济责任和法律责任均由中标人承担。</w:t>
      </w:r>
    </w:p>
    <w:p w14:paraId="0341ECDF">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6.5需保证动物房在合同期内的维保，做到一个月来一次定期巡查并做好记录；若设备出现故障，接到采购人通知，需要在48小时内响应。</w:t>
      </w:r>
    </w:p>
    <w:p w14:paraId="1328CAC1">
      <w:pPr>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6.6驻点人员因工作需求产生的差旅费及住宿费，由供应商承担。</w:t>
      </w:r>
    </w:p>
    <w:p w14:paraId="1EF71A3F">
      <w:pPr>
        <w:spacing w:line="460" w:lineRule="exact"/>
        <w:rPr>
          <w:rFonts w:ascii="宋体" w:hAnsi="宋体" w:cs="宋体"/>
          <w:color w:val="auto"/>
          <w:sz w:val="22"/>
          <w:szCs w:val="22"/>
          <w:highlight w:val="none"/>
        </w:rPr>
      </w:pPr>
    </w:p>
    <w:p w14:paraId="08B69BF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7.人员要求</w:t>
      </w:r>
    </w:p>
    <w:p w14:paraId="608AD5C2">
      <w:pPr>
        <w:pStyle w:val="116"/>
        <w:spacing w:line="460" w:lineRule="exact"/>
        <w:ind w:left="420" w:firstLine="0" w:firstLineChars="0"/>
        <w:rPr>
          <w:rFonts w:ascii="宋体" w:hAnsi="宋体" w:cs="宋体"/>
          <w:color w:val="auto"/>
          <w:sz w:val="22"/>
          <w:highlight w:val="none"/>
        </w:rPr>
      </w:pPr>
      <w:r>
        <w:rPr>
          <w:rFonts w:hint="eastAsia" w:ascii="宋体" w:hAnsi="宋体" w:cs="宋体"/>
          <w:color w:val="auto"/>
          <w:sz w:val="22"/>
          <w:highlight w:val="none"/>
        </w:rPr>
        <w:t>1.动物房需配置3名员工</w:t>
      </w:r>
    </w:p>
    <w:p w14:paraId="49374AB1">
      <w:pPr>
        <w:pStyle w:val="116"/>
        <w:numPr>
          <w:ilvl w:val="1"/>
          <w:numId w:val="17"/>
        </w:numPr>
        <w:spacing w:line="460" w:lineRule="exact"/>
        <w:ind w:firstLineChars="0"/>
        <w:rPr>
          <w:rFonts w:ascii="宋体" w:hAnsi="宋体" w:cs="宋体"/>
          <w:color w:val="auto"/>
          <w:sz w:val="22"/>
          <w:highlight w:val="none"/>
          <w:u w:val="single"/>
        </w:rPr>
      </w:pPr>
      <w:r>
        <w:rPr>
          <w:rFonts w:hint="eastAsia" w:ascii="宋体" w:hAnsi="宋体" w:cs="宋体"/>
          <w:b/>
          <w:bCs/>
          <w:color w:val="auto"/>
          <w:sz w:val="22"/>
          <w:highlight w:val="none"/>
          <w:u w:val="single"/>
        </w:rPr>
        <w:t>▲</w:t>
      </w:r>
      <w:r>
        <w:rPr>
          <w:rFonts w:hint="eastAsia" w:ascii="宋体" w:hAnsi="宋体" w:cs="宋体"/>
          <w:color w:val="auto"/>
          <w:sz w:val="22"/>
          <w:highlight w:val="none"/>
          <w:u w:val="single"/>
        </w:rPr>
        <w:t>动物房管理人员需有兽医资质，研究生及以上学历；服务期间至少一次参加省动物协会组织的培训或相关活动。</w:t>
      </w:r>
    </w:p>
    <w:p w14:paraId="6939529F">
      <w:pPr>
        <w:pStyle w:val="116"/>
        <w:numPr>
          <w:ilvl w:val="1"/>
          <w:numId w:val="17"/>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内屏障区技术人员需专科及以上学历。</w:t>
      </w:r>
    </w:p>
    <w:p w14:paraId="5723944C">
      <w:pPr>
        <w:pStyle w:val="116"/>
        <w:numPr>
          <w:ilvl w:val="1"/>
          <w:numId w:val="17"/>
        </w:numPr>
        <w:spacing w:line="460" w:lineRule="exact"/>
        <w:ind w:firstLineChars="0"/>
        <w:rPr>
          <w:rFonts w:ascii="宋体" w:hAnsi="宋体" w:cs="宋体"/>
          <w:color w:val="auto"/>
          <w:sz w:val="22"/>
          <w:highlight w:val="none"/>
        </w:rPr>
      </w:pPr>
      <w:r>
        <w:rPr>
          <w:rFonts w:hint="eastAsia" w:ascii="宋体" w:hAnsi="宋体" w:cs="宋体"/>
          <w:color w:val="auto"/>
          <w:sz w:val="22"/>
          <w:highlight w:val="none"/>
        </w:rPr>
        <w:t>屏障区外清洁人员无学历要求，但是工作需稳定，负责。</w:t>
      </w:r>
    </w:p>
    <w:p w14:paraId="0AFD0F17">
      <w:pPr>
        <w:pStyle w:val="116"/>
        <w:numPr>
          <w:ilvl w:val="0"/>
          <w:numId w:val="18"/>
        </w:numPr>
        <w:spacing w:line="460" w:lineRule="exact"/>
        <w:ind w:left="420" w:firstLine="0" w:firstLineChars="0"/>
        <w:rPr>
          <w:rFonts w:ascii="宋体" w:hAnsi="宋体" w:cs="宋体"/>
          <w:color w:val="auto"/>
          <w:sz w:val="22"/>
          <w:highlight w:val="none"/>
        </w:rPr>
      </w:pPr>
      <w:r>
        <w:rPr>
          <w:rFonts w:hint="eastAsia" w:ascii="宋体" w:hAnsi="宋体" w:cs="宋体"/>
          <w:color w:val="auto"/>
          <w:sz w:val="22"/>
          <w:highlight w:val="none"/>
        </w:rPr>
        <w:t>驻点人员工作时间以动物房实际运营时间为准，若采购人寒暑假期间动物房需正常运营，供应商须无条件配合采购人运营动物房，投标报价须包含该费用。</w:t>
      </w:r>
    </w:p>
    <w:p w14:paraId="293892EA">
      <w:pPr>
        <w:pStyle w:val="116"/>
        <w:numPr>
          <w:ilvl w:val="0"/>
          <w:numId w:val="18"/>
        </w:numPr>
        <w:spacing w:line="460" w:lineRule="exact"/>
        <w:ind w:left="420" w:firstLine="0" w:firstLineChars="0"/>
        <w:rPr>
          <w:rFonts w:ascii="宋体" w:hAnsi="宋体" w:cs="宋体"/>
          <w:color w:val="auto"/>
          <w:sz w:val="22"/>
          <w:highlight w:val="none"/>
        </w:rPr>
      </w:pPr>
      <w:r>
        <w:rPr>
          <w:rFonts w:hint="eastAsia" w:ascii="宋体" w:hAnsi="宋体" w:cs="宋体"/>
          <w:color w:val="auto"/>
          <w:sz w:val="22"/>
          <w:highlight w:val="none"/>
        </w:rPr>
        <w:t>动物房运营时间：8：00至16：30；16：30至20：00须至少一人值班。</w:t>
      </w:r>
    </w:p>
    <w:p w14:paraId="7A68DF44">
      <w:pPr>
        <w:pStyle w:val="116"/>
        <w:spacing w:line="460" w:lineRule="exact"/>
        <w:ind w:firstLine="0" w:firstLineChars="0"/>
        <w:rPr>
          <w:rFonts w:ascii="宋体" w:hAnsi="宋体" w:cs="宋体"/>
          <w:color w:val="auto"/>
          <w:sz w:val="22"/>
          <w:highlight w:val="none"/>
        </w:rPr>
      </w:pPr>
    </w:p>
    <w:p w14:paraId="244A1FC0">
      <w:pPr>
        <w:snapToGrid w:val="0"/>
        <w:spacing w:line="460" w:lineRule="exact"/>
        <w:jc w:val="lef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四、其他</w:t>
      </w:r>
    </w:p>
    <w:p w14:paraId="4AB0DFE4">
      <w:pPr>
        <w:snapToGrid w:val="0"/>
        <w:spacing w:line="460" w:lineRule="exact"/>
        <w:ind w:firstLine="418" w:firstLineChars="200"/>
        <w:jc w:val="lef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1.除采购文件中所明确的采购需求外，欢迎其他能满足本项目采购需求且性能相当于或高于所明确采购需求的产品参加投标报价。同时在采购需求偏离表中作出详细对比说明。</w:t>
      </w:r>
    </w:p>
    <w:p w14:paraId="7E8A112E">
      <w:pPr>
        <w:snapToGrid w:val="0"/>
        <w:spacing w:line="460" w:lineRule="exact"/>
        <w:ind w:firstLine="418" w:firstLineChars="200"/>
        <w:jc w:val="lef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2.带“▲且加下划线”的有关技术和商务条款为实质性条款，供应商必须做出实质性响应，否则视为投标无效。带“★”条款为重要条款。</w:t>
      </w:r>
    </w:p>
    <w:p w14:paraId="11C20C5F">
      <w:pPr>
        <w:snapToGrid w:val="0"/>
        <w:spacing w:line="460" w:lineRule="exact"/>
        <w:ind w:firstLine="418" w:firstLineChars="200"/>
        <w:jc w:val="lef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3.如技术要求中未特别注明需执行的国家相关标准、行业标准、地方标准或者其他标准、规范，则统一执行最新标准、规范。</w:t>
      </w:r>
    </w:p>
    <w:p w14:paraId="5C615953">
      <w:pPr>
        <w:widowControl/>
        <w:snapToGrid w:val="0"/>
        <w:spacing w:before="120" w:after="120" w:line="4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szCs w:val="22"/>
          <w:highlight w:val="none"/>
        </w:rPr>
        <w:t>4.技术部分中如需要提供的证明材料有有效期的必须在有效期内，由不清晰或者模糊造成无法判断证明材料是否符合要求的风险由供应商自行承担。未</w:t>
      </w:r>
      <w:r>
        <w:rPr>
          <w:rFonts w:hint="eastAsia" w:ascii="宋体" w:hAnsi="宋体" w:cs="宋体"/>
          <w:b/>
          <w:bCs/>
          <w:color w:val="auto"/>
          <w:spacing w:val="-6"/>
          <w:sz w:val="22"/>
          <w:highlight w:val="none"/>
        </w:rPr>
        <w:t>按要求提供证明材料的，视为负偏离。</w:t>
      </w:r>
      <w:bookmarkStart w:id="108" w:name="_Toc22538"/>
    </w:p>
    <w:p w14:paraId="1DACA390">
      <w:pPr>
        <w:widowControl/>
        <w:snapToGrid w:val="0"/>
        <w:spacing w:before="120" w:after="120" w:line="460" w:lineRule="exact"/>
        <w:jc w:val="center"/>
        <w:outlineLvl w:val="0"/>
        <w:rPr>
          <w:rFonts w:ascii="宋体" w:hAnsi="宋体" w:cs="宋体"/>
          <w:b/>
          <w:bCs/>
          <w:color w:val="auto"/>
          <w:kern w:val="36"/>
          <w:sz w:val="32"/>
          <w:szCs w:val="32"/>
          <w:highlight w:val="none"/>
        </w:rPr>
      </w:pPr>
      <w:r>
        <w:rPr>
          <w:rFonts w:hint="eastAsia" w:ascii="宋体" w:hAnsi="宋体" w:cs="宋体"/>
          <w:b/>
          <w:bCs/>
          <w:color w:val="auto"/>
          <w:spacing w:val="-6"/>
          <w:sz w:val="22"/>
          <w:highlight w:val="none"/>
        </w:rPr>
        <w:br w:type="page"/>
      </w:r>
      <w:r>
        <w:rPr>
          <w:rFonts w:hint="eastAsia" w:ascii="宋体" w:hAnsi="宋体" w:cs="宋体"/>
          <w:b/>
          <w:bCs/>
          <w:color w:val="auto"/>
          <w:kern w:val="36"/>
          <w:sz w:val="32"/>
          <w:szCs w:val="32"/>
          <w:highlight w:val="none"/>
        </w:rPr>
        <w:t>第六部分  评标原则及方法</w:t>
      </w:r>
      <w:bookmarkEnd w:id="102"/>
      <w:bookmarkEnd w:id="108"/>
    </w:p>
    <w:p w14:paraId="030BA00F">
      <w:pPr>
        <w:pStyle w:val="14"/>
        <w:adjustRightInd w:val="0"/>
        <w:snapToGrid w:val="0"/>
        <w:spacing w:after="0" w:line="440" w:lineRule="exact"/>
        <w:ind w:firstLine="442" w:firstLineChars="200"/>
        <w:jc w:val="center"/>
        <w:rPr>
          <w:rFonts w:ascii="宋体" w:hAnsi="宋体" w:cs="宋体"/>
          <w:b/>
          <w:color w:val="auto"/>
          <w:highlight w:val="none"/>
        </w:rPr>
      </w:pPr>
      <w:r>
        <w:rPr>
          <w:rFonts w:hint="eastAsia" w:ascii="宋体" w:hAnsi="宋体" w:cs="宋体"/>
          <w:b/>
          <w:color w:val="auto"/>
          <w:sz w:val="22"/>
          <w:szCs w:val="22"/>
          <w:highlight w:val="none"/>
        </w:rPr>
        <w:t>根据相关法规特制定以下评审办法。</w:t>
      </w:r>
    </w:p>
    <w:p w14:paraId="700823A2">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一． 总  则</w:t>
      </w:r>
    </w:p>
    <w:p w14:paraId="034BE2F0">
      <w:pPr>
        <w:pStyle w:val="14"/>
        <w:adjustRightInd w:val="0"/>
        <w:snapToGrid w:val="0"/>
        <w:spacing w:line="440" w:lineRule="exact"/>
        <w:ind w:left="420" w:leftChars="200"/>
        <w:rPr>
          <w:rFonts w:ascii="宋体" w:hAnsi="宋体" w:cs="宋体"/>
          <w:bCs/>
          <w:color w:val="auto"/>
          <w:sz w:val="22"/>
          <w:szCs w:val="22"/>
          <w:highlight w:val="none"/>
        </w:rPr>
      </w:pPr>
      <w:r>
        <w:rPr>
          <w:rFonts w:hint="eastAsia" w:ascii="宋体" w:hAnsi="宋体" w:cs="宋体"/>
          <w:bCs/>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部分，对投标文件进行综合评定，提出优选方案，编写评标报告。对落标单位，评委会不作任何落标解释。</w:t>
      </w:r>
    </w:p>
    <w:p w14:paraId="114DB694">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6D6217BE">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6735CBE8">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14:paraId="15DC751A">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1.采购代理机构签收、开始解密投标文件；</w:t>
      </w:r>
    </w:p>
    <w:p w14:paraId="4585168D">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2.供应商解密投标文件；</w:t>
      </w:r>
    </w:p>
    <w:p w14:paraId="1DBEEA3A">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3.采购代理机构结束解密投标文件；</w:t>
      </w:r>
    </w:p>
    <w:p w14:paraId="402C8617">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4.采购代理机构或采购人在线资格性审查；</w:t>
      </w:r>
    </w:p>
    <w:p w14:paraId="07210417">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5.评标委员会对投标文件进行评审；</w:t>
      </w:r>
    </w:p>
    <w:p w14:paraId="18A690C5">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6.在政采云系统上公开资格和商务技术评审结果；</w:t>
      </w:r>
    </w:p>
    <w:p w14:paraId="490C81B3">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7.在政采云系统上公开报价情况；</w:t>
      </w:r>
    </w:p>
    <w:p w14:paraId="7FD88957">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8.评标委员会对报价情况进行评审；</w:t>
      </w:r>
    </w:p>
    <w:p w14:paraId="3119BC3A">
      <w:pPr>
        <w:pStyle w:val="14"/>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9.在系统上公布评审结果。</w:t>
      </w:r>
    </w:p>
    <w:p w14:paraId="4356CD05">
      <w:pPr>
        <w:pStyle w:val="14"/>
        <w:adjustRightInd w:val="0"/>
        <w:snapToGrid w:val="0"/>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74040B62">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5A35B53F">
      <w:pPr>
        <w:spacing w:line="440" w:lineRule="exact"/>
        <w:ind w:left="429" w:leftChars="200" w:hanging="9"/>
        <w:rPr>
          <w:rFonts w:ascii="宋体" w:hAnsi="宋体" w:cs="宋体"/>
          <w:color w:val="auto"/>
          <w:sz w:val="22"/>
          <w:szCs w:val="22"/>
          <w:highlight w:val="none"/>
        </w:rPr>
      </w:pPr>
      <w:r>
        <w:rPr>
          <w:rFonts w:hint="eastAsia" w:ascii="宋体" w:hAnsi="宋体" w:cs="宋体"/>
          <w:color w:val="auto"/>
          <w:sz w:val="22"/>
          <w:szCs w:val="22"/>
          <w:highlight w:val="none"/>
        </w:rPr>
        <w:t>1.本次评标采用综合评分法，总分100分，其中商务技术70分（商务技术权70%），报价30分（报价权值30%）。即最大限度地满足采购文件实质性要求前提下，按照采购文件中规定的各项评分内容评审后，以评标总得分最高的供应商，作为中标人。</w:t>
      </w:r>
    </w:p>
    <w:p w14:paraId="59771B76">
      <w:pPr>
        <w:snapToGrid w:val="0"/>
        <w:spacing w:line="460" w:lineRule="exact"/>
        <w:ind w:left="429" w:leftChars="200" w:hanging="9"/>
        <w:rPr>
          <w:color w:val="auto"/>
          <w:highlight w:val="none"/>
        </w:rPr>
      </w:pPr>
      <w:r>
        <w:rPr>
          <w:rFonts w:hint="eastAsia" w:ascii="宋体" w:hAnsi="宋体" w:cs="宋体"/>
          <w:color w:val="auto"/>
          <w:sz w:val="22"/>
          <w:szCs w:val="22"/>
          <w:highlight w:val="none"/>
        </w:rPr>
        <w:t>2.投标截止时间止及评审期间，如出现有效供应商＜3家时，本项目废标，由采购人决定是否重新组织招标。</w:t>
      </w:r>
    </w:p>
    <w:p w14:paraId="49655515">
      <w:pPr>
        <w:pStyle w:val="14"/>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 综合评分法</w:t>
      </w:r>
    </w:p>
    <w:p w14:paraId="4F7DF0F4">
      <w:pPr>
        <w:tabs>
          <w:tab w:val="left" w:pos="1365"/>
        </w:tabs>
        <w:spacing w:line="460" w:lineRule="exact"/>
        <w:ind w:left="425" w:leftChars="52" w:hanging="316" w:hangingChars="143"/>
        <w:rPr>
          <w:rFonts w:ascii="宋体" w:hAnsi="宋体" w:cs="宋体"/>
          <w:b/>
          <w:color w:val="auto"/>
          <w:sz w:val="22"/>
          <w:highlight w:val="none"/>
          <w:u w:val="single"/>
        </w:rPr>
      </w:pPr>
      <w:r>
        <w:rPr>
          <w:rFonts w:hint="eastAsia" w:ascii="宋体" w:hAnsi="宋体" w:cs="宋体"/>
          <w:b/>
          <w:bCs/>
          <w:color w:val="auto"/>
          <w:kern w:val="28"/>
          <w:sz w:val="22"/>
          <w:szCs w:val="22"/>
          <w:highlight w:val="none"/>
        </w:rPr>
        <w:t>1．各评委成员按下列评分项目进行评判，每人一张评分计算票，并记名。投标文件各项评分内容由评标委员会成员各自评分，如某张票的一个因素项目超过规定的范围，则该张票无效。各评标委员会成员对各供应商的各项评分内容评分的算术平均值为各供应商技术分得分（小数点后按四舍五入保留2位）。</w:t>
      </w:r>
    </w:p>
    <w:p w14:paraId="2D9190D1">
      <w:pPr>
        <w:tabs>
          <w:tab w:val="left" w:pos="1365"/>
        </w:tabs>
        <w:spacing w:line="460" w:lineRule="exact"/>
        <w:ind w:left="425" w:leftChars="52" w:hanging="316" w:hangingChars="143"/>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2、商务技术评分（70分）</w:t>
      </w:r>
    </w:p>
    <w:tbl>
      <w:tblPr>
        <w:tblStyle w:val="39"/>
        <w:tblW w:w="10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70"/>
        <w:gridCol w:w="6825"/>
        <w:gridCol w:w="735"/>
        <w:gridCol w:w="882"/>
      </w:tblGrid>
      <w:tr w14:paraId="2D01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14:paraId="446D630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170" w:type="dxa"/>
            <w:vAlign w:val="center"/>
          </w:tcPr>
          <w:p w14:paraId="337D4A8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评分因素</w:t>
            </w:r>
          </w:p>
        </w:tc>
        <w:tc>
          <w:tcPr>
            <w:tcW w:w="6825" w:type="dxa"/>
            <w:vAlign w:val="center"/>
          </w:tcPr>
          <w:p w14:paraId="68A1EDD8">
            <w:pPr>
              <w:spacing w:line="460" w:lineRule="exact"/>
              <w:ind w:firstLine="482"/>
              <w:jc w:val="center"/>
              <w:rPr>
                <w:rFonts w:ascii="宋体" w:hAnsi="宋体" w:cs="宋体"/>
                <w:color w:val="auto"/>
                <w:sz w:val="22"/>
                <w:szCs w:val="22"/>
                <w:highlight w:val="none"/>
              </w:rPr>
            </w:pPr>
            <w:r>
              <w:rPr>
                <w:rFonts w:hint="eastAsia" w:ascii="宋体" w:hAnsi="宋体" w:cs="宋体"/>
                <w:color w:val="auto"/>
                <w:sz w:val="22"/>
                <w:szCs w:val="22"/>
                <w:highlight w:val="none"/>
              </w:rPr>
              <w:t>评分内容及方法</w:t>
            </w:r>
          </w:p>
        </w:tc>
        <w:tc>
          <w:tcPr>
            <w:tcW w:w="735" w:type="dxa"/>
            <w:vAlign w:val="center"/>
          </w:tcPr>
          <w:p w14:paraId="272E638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分值</w:t>
            </w:r>
          </w:p>
        </w:tc>
        <w:tc>
          <w:tcPr>
            <w:tcW w:w="882" w:type="dxa"/>
            <w:vAlign w:val="center"/>
          </w:tcPr>
          <w:p w14:paraId="39AC95F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5B76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5" w:type="dxa"/>
            <w:vAlign w:val="center"/>
          </w:tcPr>
          <w:p w14:paraId="2327AB6B">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170" w:type="dxa"/>
            <w:vAlign w:val="center"/>
          </w:tcPr>
          <w:p w14:paraId="43E7E7DC">
            <w:pPr>
              <w:widowControl/>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同类项目业绩</w:t>
            </w:r>
          </w:p>
        </w:tc>
        <w:tc>
          <w:tcPr>
            <w:tcW w:w="6825" w:type="dxa"/>
            <w:vAlign w:val="center"/>
          </w:tcPr>
          <w:p w14:paraId="32B6C168">
            <w:pPr>
              <w:adjustRightInd w:val="0"/>
              <w:snapToGrid w:val="0"/>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根据投标供应商同类项目业绩合同打分。</w:t>
            </w:r>
          </w:p>
          <w:p w14:paraId="28268E7F">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注：提供完整的合同加盖供应商公章，1个得1分，最高得1分。</w:t>
            </w:r>
          </w:p>
          <w:p w14:paraId="6A355E33">
            <w:pPr>
              <w:widowControl/>
              <w:spacing w:line="360" w:lineRule="exact"/>
              <w:jc w:val="left"/>
              <w:rPr>
                <w:rFonts w:ascii="宋体" w:hAnsi="宋体" w:cs="宋体"/>
                <w:color w:val="auto"/>
                <w:sz w:val="22"/>
                <w:szCs w:val="22"/>
                <w:highlight w:val="none"/>
              </w:rPr>
            </w:pPr>
            <w:r>
              <w:rPr>
                <w:rFonts w:hint="eastAsia" w:ascii="宋体" w:hAnsi="宋体" w:cs="宋体"/>
                <w:b/>
                <w:bCs/>
                <w:color w:val="auto"/>
                <w:sz w:val="22"/>
                <w:szCs w:val="22"/>
                <w:highlight w:val="none"/>
              </w:rPr>
              <w:t>（注：需提供合同复印件加盖公章，否则不得分。）</w:t>
            </w:r>
          </w:p>
        </w:tc>
        <w:tc>
          <w:tcPr>
            <w:tcW w:w="735" w:type="dxa"/>
            <w:vAlign w:val="center"/>
          </w:tcPr>
          <w:p w14:paraId="1C6BAFFC">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882" w:type="dxa"/>
            <w:vAlign w:val="center"/>
          </w:tcPr>
          <w:p w14:paraId="6A4B07C6">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客观分</w:t>
            </w:r>
          </w:p>
        </w:tc>
      </w:tr>
      <w:tr w14:paraId="6759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5" w:type="dxa"/>
            <w:vMerge w:val="restart"/>
            <w:vAlign w:val="center"/>
          </w:tcPr>
          <w:p w14:paraId="5D5F70DD">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170" w:type="dxa"/>
            <w:vMerge w:val="restart"/>
            <w:vAlign w:val="center"/>
          </w:tcPr>
          <w:p w14:paraId="3179B7A3">
            <w:pPr>
              <w:pStyle w:val="15"/>
              <w:spacing w:after="0" w:line="460" w:lineRule="exact"/>
              <w:ind w:firstLine="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服务方案</w:t>
            </w:r>
          </w:p>
        </w:tc>
        <w:tc>
          <w:tcPr>
            <w:tcW w:w="6825" w:type="dxa"/>
          </w:tcPr>
          <w:p w14:paraId="2586AA87">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针对动物房整体策划方案，方案的整体思路清晰全面，重难点及客户需求分析合理，服务保障措施具有可操作性得10分；方案内容缺项、重难点分析欠合理、保障措施欠完善得7分；方案不全、无分析、保障措施有明显缺失得4分；未提供方案的不得分。</w:t>
            </w:r>
          </w:p>
        </w:tc>
        <w:tc>
          <w:tcPr>
            <w:tcW w:w="735" w:type="dxa"/>
            <w:vAlign w:val="center"/>
          </w:tcPr>
          <w:p w14:paraId="3A48CD5E">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882" w:type="dxa"/>
            <w:vAlign w:val="center"/>
          </w:tcPr>
          <w:p w14:paraId="15FB5E33">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7A4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75" w:type="dxa"/>
            <w:vMerge w:val="continue"/>
            <w:vAlign w:val="center"/>
          </w:tcPr>
          <w:p w14:paraId="72E43443">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37B5D358">
            <w:pPr>
              <w:pStyle w:val="15"/>
              <w:spacing w:after="0" w:line="460" w:lineRule="exact"/>
              <w:ind w:firstLine="0"/>
              <w:jc w:val="center"/>
              <w:rPr>
                <w:rFonts w:ascii="宋体" w:hAnsi="宋体" w:cs="宋体"/>
                <w:color w:val="auto"/>
                <w:spacing w:val="-6"/>
                <w:sz w:val="22"/>
                <w:szCs w:val="22"/>
                <w:highlight w:val="none"/>
              </w:rPr>
            </w:pPr>
          </w:p>
        </w:tc>
        <w:tc>
          <w:tcPr>
            <w:tcW w:w="6825" w:type="dxa"/>
          </w:tcPr>
          <w:p w14:paraId="5579AB1D">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供应商针对拟本项目服务人员组成设置科学合理，具有人员安排方案，所提供的人员配置、人员安排方案和岗位职责明确且符合要求，各岗位职责清晰、具有可操作性得8分；人员组织、人员安排方案和岗位职责欠清晰，可操作性不强得5分；方案不全的得3分；未提供方案的不得分。</w:t>
            </w:r>
          </w:p>
        </w:tc>
        <w:tc>
          <w:tcPr>
            <w:tcW w:w="735" w:type="dxa"/>
            <w:vAlign w:val="center"/>
          </w:tcPr>
          <w:p w14:paraId="37A650B3">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882" w:type="dxa"/>
            <w:vAlign w:val="center"/>
          </w:tcPr>
          <w:p w14:paraId="0272C2B7">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723A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5" w:type="dxa"/>
            <w:vMerge w:val="continue"/>
            <w:vAlign w:val="center"/>
          </w:tcPr>
          <w:p w14:paraId="507100A7">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1A32E2C0">
            <w:pPr>
              <w:widowControl/>
              <w:tabs>
                <w:tab w:val="left" w:pos="939"/>
              </w:tabs>
              <w:spacing w:line="460" w:lineRule="exact"/>
              <w:jc w:val="center"/>
              <w:rPr>
                <w:rFonts w:ascii="宋体" w:hAnsi="宋体" w:cs="宋体"/>
                <w:color w:val="auto"/>
                <w:sz w:val="22"/>
                <w:szCs w:val="22"/>
                <w:highlight w:val="none"/>
              </w:rPr>
            </w:pPr>
          </w:p>
        </w:tc>
        <w:tc>
          <w:tcPr>
            <w:tcW w:w="6825" w:type="dxa"/>
          </w:tcPr>
          <w:p w14:paraId="2D318D02">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3、具备员工招募、上岗、培养教育、日常管理、薪酬待遇等制度方案，制度齐全有可操作性得8分；制度方案欠完善，实操性不强得5分；方案不全的得3分；未提供方案的不得分。</w:t>
            </w:r>
          </w:p>
        </w:tc>
        <w:tc>
          <w:tcPr>
            <w:tcW w:w="735" w:type="dxa"/>
            <w:vAlign w:val="center"/>
          </w:tcPr>
          <w:p w14:paraId="60FB547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882" w:type="dxa"/>
            <w:vAlign w:val="center"/>
          </w:tcPr>
          <w:p w14:paraId="24E4A27D">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1405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675" w:type="dxa"/>
            <w:vMerge w:val="continue"/>
            <w:vAlign w:val="center"/>
          </w:tcPr>
          <w:p w14:paraId="4624036C">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6EA42876">
            <w:pPr>
              <w:widowControl/>
              <w:tabs>
                <w:tab w:val="left" w:pos="939"/>
              </w:tabs>
              <w:spacing w:line="460" w:lineRule="exact"/>
              <w:jc w:val="center"/>
              <w:rPr>
                <w:rFonts w:ascii="宋体" w:hAnsi="宋体" w:cs="宋体"/>
                <w:color w:val="auto"/>
                <w:sz w:val="22"/>
                <w:szCs w:val="22"/>
                <w:highlight w:val="none"/>
              </w:rPr>
            </w:pPr>
          </w:p>
        </w:tc>
        <w:tc>
          <w:tcPr>
            <w:tcW w:w="6825" w:type="dxa"/>
          </w:tcPr>
          <w:p w14:paraId="2AB13C17">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4、有针对动物房各区域保洁服务方案，对不同功能的保洁区域、不同时段制订计划性且可行的服务措施和细节方案得7分；有方案，但未体现计划性服务措施和细节得5分；方案不全的得3分；未提供方案的不得分。</w:t>
            </w:r>
          </w:p>
        </w:tc>
        <w:tc>
          <w:tcPr>
            <w:tcW w:w="735" w:type="dxa"/>
            <w:vAlign w:val="center"/>
          </w:tcPr>
          <w:p w14:paraId="6C5B16B2">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882" w:type="dxa"/>
            <w:vAlign w:val="center"/>
          </w:tcPr>
          <w:p w14:paraId="7D828A6B">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3E6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vAlign w:val="center"/>
          </w:tcPr>
          <w:p w14:paraId="26214057">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64AE0DCA">
            <w:pPr>
              <w:widowControl/>
              <w:tabs>
                <w:tab w:val="left" w:pos="939"/>
              </w:tabs>
              <w:spacing w:line="460" w:lineRule="exact"/>
              <w:jc w:val="center"/>
              <w:rPr>
                <w:rFonts w:ascii="宋体" w:hAnsi="宋体" w:cs="宋体"/>
                <w:color w:val="auto"/>
                <w:sz w:val="22"/>
                <w:szCs w:val="22"/>
                <w:highlight w:val="none"/>
              </w:rPr>
            </w:pPr>
          </w:p>
        </w:tc>
        <w:tc>
          <w:tcPr>
            <w:tcW w:w="6825" w:type="dxa"/>
          </w:tcPr>
          <w:p w14:paraId="0453E377">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5、有针对本项目的应急预案，应急预案具体细节且措施完整有效得7分，应急预案欠完整，措施欠完整得5分；方案不全的得3分；未提供方案的不得分。</w:t>
            </w:r>
          </w:p>
        </w:tc>
        <w:tc>
          <w:tcPr>
            <w:tcW w:w="735" w:type="dxa"/>
            <w:vAlign w:val="center"/>
          </w:tcPr>
          <w:p w14:paraId="214A00FB">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882" w:type="dxa"/>
            <w:vAlign w:val="center"/>
          </w:tcPr>
          <w:p w14:paraId="2F14723B">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3C6D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5" w:type="dxa"/>
            <w:vMerge w:val="continue"/>
            <w:vAlign w:val="center"/>
          </w:tcPr>
          <w:p w14:paraId="42A4F595">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4D6E31BD">
            <w:pPr>
              <w:widowControl/>
              <w:spacing w:line="460" w:lineRule="exact"/>
              <w:jc w:val="center"/>
              <w:rPr>
                <w:rFonts w:ascii="宋体" w:hAnsi="宋体" w:cs="宋体"/>
                <w:color w:val="auto"/>
                <w:sz w:val="22"/>
                <w:szCs w:val="22"/>
                <w:highlight w:val="none"/>
              </w:rPr>
            </w:pPr>
          </w:p>
        </w:tc>
        <w:tc>
          <w:tcPr>
            <w:tcW w:w="6825" w:type="dxa"/>
          </w:tcPr>
          <w:p w14:paraId="17770CFC">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6、有针对本项目的服务质量品质保证措施方案，内容须包含：进场方案、内部质量监管方案。进场方案包含但不限于人员交接方案、人员更换方案等内容。内部质量监管方案包含但不限于员工考核机制、监管计划、监管合理性分析等内容；且方案详实，科学合理，可行性、针对性强、逻辑合理的得7分，方案欠完整得5分；方案不全的得3分；未提供方案的不得分。</w:t>
            </w:r>
          </w:p>
        </w:tc>
        <w:tc>
          <w:tcPr>
            <w:tcW w:w="735" w:type="dxa"/>
            <w:vAlign w:val="center"/>
          </w:tcPr>
          <w:p w14:paraId="4D39D38C">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882" w:type="dxa"/>
            <w:vAlign w:val="center"/>
          </w:tcPr>
          <w:p w14:paraId="3E757DF2">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B15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14:paraId="52333C23">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170" w:type="dxa"/>
            <w:vAlign w:val="center"/>
          </w:tcPr>
          <w:p w14:paraId="1296E42F">
            <w:pPr>
              <w:widowControl/>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项目组织管理机制</w:t>
            </w:r>
          </w:p>
        </w:tc>
        <w:tc>
          <w:tcPr>
            <w:tcW w:w="6825" w:type="dxa"/>
          </w:tcPr>
          <w:p w14:paraId="41BC8DE8">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管理服务组织机构设置（附组织机构图）、运作流程（附运作流程图）、激励机制、监督机制、自我约束机制和信息反馈渠道及处理机制等是否科学、合理、高效。方案详实，科学合理，可行性、针对性强、逻辑合理的得7分，方案欠完整得5分；方案不全的得3分；未提供方案的不得分。</w:t>
            </w:r>
          </w:p>
        </w:tc>
        <w:tc>
          <w:tcPr>
            <w:tcW w:w="735" w:type="dxa"/>
            <w:vAlign w:val="center"/>
          </w:tcPr>
          <w:p w14:paraId="799CC4E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882" w:type="dxa"/>
            <w:vAlign w:val="center"/>
          </w:tcPr>
          <w:p w14:paraId="0E3B115D">
            <w:pPr>
              <w:tabs>
                <w:tab w:val="left" w:pos="209"/>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24F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Align w:val="center"/>
          </w:tcPr>
          <w:p w14:paraId="5F6D65CD">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170" w:type="dxa"/>
            <w:vAlign w:val="center"/>
          </w:tcPr>
          <w:p w14:paraId="02E7633C">
            <w:pPr>
              <w:widowControl/>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认证证书</w:t>
            </w:r>
          </w:p>
        </w:tc>
        <w:tc>
          <w:tcPr>
            <w:tcW w:w="6825" w:type="dxa"/>
          </w:tcPr>
          <w:p w14:paraId="01D6AEA5">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投标供应商具有动物房使用许可证</w:t>
            </w:r>
            <w:r>
              <w:rPr>
                <w:rStyle w:val="45"/>
                <w:rFonts w:hint="eastAsia"/>
                <w:color w:val="auto"/>
                <w:highlight w:val="none"/>
              </w:rPr>
              <w:t>的</w:t>
            </w:r>
            <w:r>
              <w:rPr>
                <w:rFonts w:hint="eastAsia" w:ascii="宋体" w:hAnsi="宋体" w:cs="宋体"/>
                <w:color w:val="auto"/>
                <w:sz w:val="22"/>
                <w:szCs w:val="22"/>
                <w:highlight w:val="none"/>
              </w:rPr>
              <w:t>得3分。</w:t>
            </w:r>
          </w:p>
          <w:p w14:paraId="23F6AC1D">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注：证书在有效期内，提供扫描件加盖投标供应商公章，否则不得分。</w:t>
            </w:r>
          </w:p>
        </w:tc>
        <w:tc>
          <w:tcPr>
            <w:tcW w:w="735" w:type="dxa"/>
            <w:vAlign w:val="center"/>
          </w:tcPr>
          <w:p w14:paraId="4935998A">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882" w:type="dxa"/>
            <w:vAlign w:val="center"/>
          </w:tcPr>
          <w:p w14:paraId="2850207F">
            <w:pPr>
              <w:tabs>
                <w:tab w:val="left" w:pos="209"/>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客观分</w:t>
            </w:r>
          </w:p>
        </w:tc>
      </w:tr>
      <w:tr w14:paraId="06D7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vAlign w:val="center"/>
          </w:tcPr>
          <w:p w14:paraId="5BD3923D">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170" w:type="dxa"/>
            <w:vMerge w:val="restart"/>
            <w:vAlign w:val="center"/>
          </w:tcPr>
          <w:p w14:paraId="5E9E0DFE">
            <w:pPr>
              <w:widowControl/>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服务承诺</w:t>
            </w:r>
          </w:p>
        </w:tc>
        <w:tc>
          <w:tcPr>
            <w:tcW w:w="6825" w:type="dxa"/>
          </w:tcPr>
          <w:p w14:paraId="708BAF53">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在符合采购需求和考核标准基础上，有针对本项目的合理化建议和服务承诺，</w:t>
            </w:r>
            <w:r>
              <w:rPr>
                <w:rFonts w:hint="eastAsia"/>
                <w:color w:val="auto"/>
                <w:highlight w:val="none"/>
              </w:rPr>
              <w:t>不局限于动物房的工作，在规定的工作时间里，还要承担采购人指派的其余工作等，</w:t>
            </w:r>
            <w:r>
              <w:rPr>
                <w:rFonts w:hint="eastAsia" w:ascii="宋体" w:hAnsi="宋体" w:cs="宋体"/>
                <w:color w:val="auto"/>
                <w:sz w:val="22"/>
                <w:szCs w:val="22"/>
                <w:highlight w:val="none"/>
              </w:rPr>
              <w:t>更贴近采购方管理服务需求的得6分；方案承诺一般的得4分；方案不全的得2分；方案承诺差的或未提供方案的不得分。</w:t>
            </w:r>
          </w:p>
        </w:tc>
        <w:tc>
          <w:tcPr>
            <w:tcW w:w="735" w:type="dxa"/>
            <w:vAlign w:val="center"/>
          </w:tcPr>
          <w:p w14:paraId="39D1EC21">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882" w:type="dxa"/>
            <w:vAlign w:val="center"/>
          </w:tcPr>
          <w:p w14:paraId="455C73E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主观分</w:t>
            </w:r>
          </w:p>
        </w:tc>
      </w:tr>
      <w:tr w14:paraId="288E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vAlign w:val="center"/>
          </w:tcPr>
          <w:p w14:paraId="01C4AF6A">
            <w:pPr>
              <w:spacing w:line="460" w:lineRule="exact"/>
              <w:ind w:firstLine="220" w:firstLineChars="100"/>
              <w:rPr>
                <w:rFonts w:ascii="宋体" w:hAnsi="宋体" w:cs="宋体"/>
                <w:color w:val="auto"/>
                <w:sz w:val="22"/>
                <w:szCs w:val="22"/>
                <w:highlight w:val="none"/>
              </w:rPr>
            </w:pPr>
          </w:p>
        </w:tc>
        <w:tc>
          <w:tcPr>
            <w:tcW w:w="1170" w:type="dxa"/>
            <w:vMerge w:val="continue"/>
            <w:vAlign w:val="center"/>
          </w:tcPr>
          <w:p w14:paraId="718A2CCD">
            <w:pPr>
              <w:widowControl/>
              <w:spacing w:line="460" w:lineRule="exact"/>
              <w:jc w:val="center"/>
              <w:rPr>
                <w:rFonts w:ascii="宋体" w:hAnsi="宋体" w:cs="宋体"/>
                <w:color w:val="auto"/>
                <w:spacing w:val="-6"/>
                <w:sz w:val="22"/>
                <w:szCs w:val="22"/>
                <w:highlight w:val="none"/>
                <w:lang w:bidi="ar"/>
              </w:rPr>
            </w:pPr>
          </w:p>
        </w:tc>
        <w:tc>
          <w:tcPr>
            <w:tcW w:w="6825" w:type="dxa"/>
          </w:tcPr>
          <w:p w14:paraId="5CE5B6A0">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1.承诺本项目中所派的所有人员均由采购人统一调配、服从采购人工作调配的得3分，未提供承诺的不得分。</w:t>
            </w:r>
          </w:p>
          <w:p w14:paraId="739BF628">
            <w:pPr>
              <w:widowControl/>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2.承诺服务期内协助采购人取得动物房资格证</w:t>
            </w:r>
            <w:r>
              <w:rPr>
                <w:rFonts w:hint="eastAsia" w:ascii="宋体" w:hAnsi="宋体" w:cs="宋体"/>
                <w:color w:val="auto"/>
                <w:highlight w:val="none"/>
              </w:rPr>
              <w:t>的得3分</w:t>
            </w:r>
            <w:r>
              <w:rPr>
                <w:rFonts w:hint="eastAsia"/>
                <w:color w:val="auto"/>
                <w:highlight w:val="none"/>
              </w:rPr>
              <w:t>，</w:t>
            </w:r>
            <w:r>
              <w:rPr>
                <w:rFonts w:hint="eastAsia" w:ascii="宋体" w:hAnsi="宋体" w:cs="宋体"/>
                <w:color w:val="auto"/>
                <w:sz w:val="22"/>
                <w:szCs w:val="22"/>
                <w:highlight w:val="none"/>
              </w:rPr>
              <w:t>未提供承诺的不得分。已提供承诺但最终无法取得的，结算时扣除合同金额5%。</w:t>
            </w:r>
          </w:p>
        </w:tc>
        <w:tc>
          <w:tcPr>
            <w:tcW w:w="735" w:type="dxa"/>
            <w:vAlign w:val="center"/>
          </w:tcPr>
          <w:p w14:paraId="413F5B2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882" w:type="dxa"/>
            <w:vAlign w:val="center"/>
          </w:tcPr>
          <w:p w14:paraId="36990CD6">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客观分</w:t>
            </w:r>
          </w:p>
        </w:tc>
      </w:tr>
    </w:tbl>
    <w:p w14:paraId="731B2ACB">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2.报价评分（30分）：</w:t>
      </w:r>
    </w:p>
    <w:p w14:paraId="74459DD6">
      <w:pPr>
        <w:spacing w:line="3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w:t>
      </w:r>
      <w:r>
        <w:rPr>
          <w:rFonts w:hint="eastAsia" w:ascii="宋体" w:hAnsi="宋体" w:cs="宋体"/>
          <w:color w:val="auto"/>
          <w:sz w:val="22"/>
          <w:szCs w:val="22"/>
          <w:highlight w:val="none"/>
        </w:rPr>
        <w:t>效</w:t>
      </w:r>
      <w:r>
        <w:rPr>
          <w:rFonts w:hint="eastAsia" w:ascii="宋体" w:hAnsi="宋体" w:cs="宋体"/>
          <w:color w:val="auto"/>
          <w:sz w:val="22"/>
          <w:highlight w:val="none"/>
        </w:rPr>
        <w:t>供应商进入报价评分。</w:t>
      </w:r>
    </w:p>
    <w:p w14:paraId="2DC510C1">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报价评分采用低价优先法计算，即满足采购文件要求且投标价格最低的为评标基准价，其他供应商的报价分按照下列公式计算：</w:t>
      </w:r>
    </w:p>
    <w:p w14:paraId="7C20993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1）有效供应商的投标报价等于评标基准价时，其报价分为满分30分；</w:t>
      </w:r>
    </w:p>
    <w:p w14:paraId="09A3FDA0">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2）报价分=（评标基准价/供应商投标报价）×30。</w:t>
      </w:r>
    </w:p>
    <w:p w14:paraId="7345A0C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14:paraId="51365207">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投标如缺少须提供的一种功能或配置或服务，该价格将在其投标价的基础上加上其他供应商相应分项价格的最高价。如若中标，该缺漏项费用将由中标人自行承担，投标报价不做调整。</w:t>
      </w:r>
    </w:p>
    <w:p w14:paraId="2BF5BF12">
      <w:pPr>
        <w:numPr>
          <w:ilvl w:val="0"/>
          <w:numId w:val="19"/>
        </w:numPr>
        <w:spacing w:line="400" w:lineRule="exact"/>
        <w:rPr>
          <w:rFonts w:ascii="宋体" w:hAnsi="宋体" w:cs="宋体"/>
          <w:color w:val="auto"/>
          <w:sz w:val="22"/>
          <w:highlight w:val="none"/>
        </w:rPr>
      </w:pPr>
      <w:r>
        <w:rPr>
          <w:rFonts w:hint="eastAsia" w:ascii="宋体" w:hAnsi="宋体" w:cs="宋体"/>
          <w:color w:val="auto"/>
          <w:sz w:val="22"/>
          <w:highlight w:val="none"/>
        </w:rPr>
        <w:t>供应商的综合评分为“商务技术分”和“报价分”的总计。</w:t>
      </w:r>
      <w:bookmarkEnd w:id="72"/>
      <w:bookmarkEnd w:id="73"/>
      <w:bookmarkEnd w:id="74"/>
      <w:bookmarkEnd w:id="103"/>
      <w:bookmarkEnd w:id="104"/>
      <w:bookmarkEnd w:id="105"/>
      <w:bookmarkEnd w:id="106"/>
      <w:bookmarkEnd w:id="107"/>
    </w:p>
    <w:p w14:paraId="0DAFD7EE">
      <w:pPr>
        <w:spacing w:line="420" w:lineRule="exact"/>
        <w:textAlignment w:val="baseline"/>
        <w:rPr>
          <w:rFonts w:ascii="宋体" w:hAnsi="宋体" w:cs="宋体"/>
          <w:b/>
          <w:bCs/>
          <w:color w:val="auto"/>
          <w:sz w:val="22"/>
          <w:highlight w:val="none"/>
        </w:rPr>
      </w:pPr>
      <w:r>
        <w:rPr>
          <w:rFonts w:hint="eastAsia" w:ascii="宋体" w:hAnsi="宋体" w:cs="宋体"/>
          <w:b/>
          <w:bCs/>
          <w:color w:val="auto"/>
          <w:sz w:val="22"/>
          <w:highlight w:val="none"/>
        </w:rPr>
        <w:t>六． 推荐中标候选人</w:t>
      </w:r>
    </w:p>
    <w:p w14:paraId="2DFB7664">
      <w:pPr>
        <w:spacing w:line="420" w:lineRule="exact"/>
        <w:ind w:left="418" w:leftChars="199"/>
        <w:textAlignment w:val="baseline"/>
        <w:rPr>
          <w:rFonts w:ascii="宋体" w:hAnsi="宋体" w:cs="宋体"/>
          <w:color w:val="auto"/>
          <w:sz w:val="22"/>
          <w:highlight w:val="none"/>
        </w:rPr>
      </w:pPr>
      <w:r>
        <w:rPr>
          <w:rFonts w:hint="eastAsia" w:ascii="宋体" w:hAnsi="宋体" w:cs="宋体"/>
          <w:color w:val="auto"/>
          <w:sz w:val="22"/>
          <w:highlight w:val="none"/>
        </w:rPr>
        <w:t>1.评标委员会依据投标文件满足采购文件全部实质性要求，且按照评审因素的量化指标评审得分（即商务技术分与报价分之和）由高到低顺序排序，得分前二名的供应商推荐为该项目的第一和第二中标候选人（得分相同的，按投标报价由低到高排序；得分且投标报价相同的并列）。</w:t>
      </w:r>
    </w:p>
    <w:p w14:paraId="22F9A542">
      <w:pPr>
        <w:tabs>
          <w:tab w:val="left" w:pos="3125"/>
        </w:tabs>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七． 确定中标人</w:t>
      </w:r>
      <w:r>
        <w:rPr>
          <w:rFonts w:hint="eastAsia" w:ascii="宋体" w:hAnsi="宋体" w:cs="宋体"/>
          <w:b/>
          <w:color w:val="auto"/>
          <w:sz w:val="22"/>
          <w:szCs w:val="22"/>
          <w:highlight w:val="none"/>
        </w:rPr>
        <w:tab/>
      </w:r>
    </w:p>
    <w:p w14:paraId="5E45A107">
      <w:pPr>
        <w:spacing w:line="440" w:lineRule="exact"/>
        <w:ind w:left="546" w:leftChars="260"/>
        <w:rPr>
          <w:rFonts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14:paraId="303F7165">
      <w:pPr>
        <w:spacing w:line="420" w:lineRule="exact"/>
        <w:ind w:firstLine="108" w:firstLineChars="49"/>
        <w:rPr>
          <w:rFonts w:ascii="宋体" w:hAnsi="宋体" w:cs="宋体"/>
          <w:b/>
          <w:color w:val="auto"/>
          <w:sz w:val="22"/>
          <w:highlight w:val="none"/>
        </w:rPr>
      </w:pPr>
      <w:r>
        <w:rPr>
          <w:rFonts w:hint="eastAsia" w:ascii="宋体" w:hAnsi="宋体" w:cs="宋体"/>
          <w:b/>
          <w:color w:val="auto"/>
          <w:sz w:val="22"/>
          <w:highlight w:val="none"/>
        </w:rPr>
        <w:t>八.</w:t>
      </w:r>
      <w:r>
        <w:rPr>
          <w:rFonts w:hint="eastAsia" w:ascii="宋体" w:hAnsi="宋体" w:cs="宋体"/>
          <w:b/>
          <w:color w:val="auto"/>
          <w:sz w:val="22"/>
          <w:szCs w:val="22"/>
          <w:highlight w:val="none"/>
        </w:rPr>
        <w:t xml:space="preserve"> 供应商义务</w:t>
      </w:r>
    </w:p>
    <w:p w14:paraId="0CEE0018">
      <w:pPr>
        <w:widowControl/>
        <w:spacing w:line="400" w:lineRule="exact"/>
        <w:ind w:left="548"/>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供应商应随时接受评标委员会的询标，解答包括有关的商务、技术等问题。评标结束，所有评标资料归档备查。</w:t>
      </w:r>
    </w:p>
    <w:p w14:paraId="21864860">
      <w:pPr>
        <w:keepNext/>
        <w:keepLines/>
        <w:spacing w:line="460" w:lineRule="exact"/>
        <w:rPr>
          <w:rFonts w:ascii="宋体" w:hAnsi="宋体" w:cs="宋体"/>
          <w:color w:val="auto"/>
          <w:kern w:val="0"/>
          <w:sz w:val="22"/>
          <w:szCs w:val="22"/>
          <w:highlight w:val="none"/>
        </w:rPr>
      </w:pPr>
    </w:p>
    <w:sectPr>
      <w:headerReference r:id="rId13" w:type="default"/>
      <w:footerReference r:id="rId14"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axPro-CondRegular">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Neue">
    <w:altName w:val="微软雅黑"/>
    <w:panose1 w:val="00000000000000000000"/>
    <w:charset w:val="00"/>
    <w:family w:val="roman"/>
    <w:pitch w:val="default"/>
    <w:sig w:usb0="00000000" w:usb1="00000000" w:usb2="00000000" w:usb3="00000000" w:csb0="00040001" w:csb1="00000000"/>
  </w:font>
  <w:font w:name="Univers 57 Condensed">
    <w:altName w:val="微软雅黑"/>
    <w:panose1 w:val="00000000000000000000"/>
    <w:charset w:val="86"/>
    <w:family w:val="swiss"/>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3">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C999">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3E5EA">
    <w:pPr>
      <w:pStyle w:val="27"/>
      <w:tabs>
        <w:tab w:val="center" w:pos="481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1B01F7"/>
                      </w:txbxContent>
                    </wps:txbx>
                    <wps:bodyPr wrap="none" lIns="0" tIns="0" rIns="0" bIns="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TGmsQBAACQAwAADgAAAGRycy9lMm9Eb2MueG1srVPNjtMwEL4j8Q6W&#10;79RptY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aHEcYsDv3z/dvnx6/LzK1lW&#10;N6+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WTGmsQBAACQAwAADgAAAAAAAAABACAAAAAeAQAAZHJzL2Uyb0RvYy54bWxQ&#10;SwUGAAAAAAYABgBZAQAAVAUAAAAA&#10;">
              <v:fill on="f" focussize="0,0"/>
              <v:stroke on="f"/>
              <v:imagedata o:title=""/>
              <o:lock v:ext="edit" aspectratio="f"/>
              <v:textbox inset="0mm,0mm,0mm,0mm" style="mso-fit-shape-to-text:t;">
                <w:txbxContent>
                  <w:p w14:paraId="351B01F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3E55">
    <w:pPr>
      <w:pStyle w:val="27"/>
      <w:tabs>
        <w:tab w:val="center" w:pos="4140"/>
        <w:tab w:val="right" w:pos="8300"/>
        <w:tab w:val="clear" w:pos="4153"/>
        <w:tab w:val="clear" w:pos="8306"/>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6054CE">
                          <w:pPr>
                            <w:pStyle w:val="27"/>
                            <w:tabs>
                              <w:tab w:val="center" w:pos="4140"/>
                              <w:tab w:val="right" w:pos="8300"/>
                              <w:tab w:val="clear" w:pos="4153"/>
                              <w:tab w:val="clear" w:pos="8306"/>
                            </w:tabs>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456054CE">
                    <w:pPr>
                      <w:pStyle w:val="27"/>
                      <w:tabs>
                        <w:tab w:val="center" w:pos="4140"/>
                        <w:tab w:val="right" w:pos="8300"/>
                        <w:tab w:val="clear" w:pos="4153"/>
                        <w:tab w:val="clear" w:pos="8306"/>
                      </w:tabs>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34A0">
    <w:pPr>
      <w:pStyle w:val="2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E8BA9">
                          <w:pPr>
                            <w:pStyle w:val="2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30E8BA9">
                    <w:pPr>
                      <w:pStyle w:val="2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E38B">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3F965">
                          <w:pPr>
                            <w:pStyle w:val="2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8B3F965">
                    <w:pPr>
                      <w:pStyle w:val="2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49AEE">
    <w:pPr>
      <w:pStyle w:val="27"/>
      <w:ind w:right="360" w:firstLine="4500" w:firstLineChars="250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5FECC">
                          <w:pPr>
                            <w:pStyle w:val="2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BC5FECC">
                    <w:pPr>
                      <w:pStyle w:val="2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F3C3">
    <w:pPr>
      <w:pStyle w:val="27"/>
      <w:ind w:right="360" w:firstLine="4500" w:firstLineChars="25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A2CA6">
                          <w:pPr>
                            <w:pStyle w:val="2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5BA2CA6">
                    <w:pPr>
                      <w:pStyle w:val="2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5CB7">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FC0B7">
    <w:pPr>
      <w:pStyle w:val="28"/>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27FB">
    <w:pPr>
      <w:pStyle w:val="28"/>
      <w:pBdr>
        <w:bottom w:val="none" w:color="auto" w:sz="0" w:space="0"/>
      </w:pBdr>
      <w:ind w:firstLine="180" w:firstLineChars="10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2D28">
    <w:pPr>
      <w:pStyle w:val="28"/>
      <w:pBdr>
        <w:bottom w:val="none" w:color="auto" w:sz="0" w:space="0"/>
      </w:pBdr>
      <w:ind w:firstLine="180" w:firstLineChars="10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20ADD">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B1A05"/>
    <w:multiLevelType w:val="singleLevel"/>
    <w:tmpl w:val="9FBB1A05"/>
    <w:lvl w:ilvl="0" w:tentative="0">
      <w:start w:val="1"/>
      <w:numFmt w:val="decimal"/>
      <w:suff w:val="nothing"/>
      <w:lvlText w:val="%1．"/>
      <w:lvlJc w:val="left"/>
      <w:pPr>
        <w:ind w:left="0" w:firstLine="400"/>
      </w:pPr>
      <w:rPr>
        <w:rFonts w:hint="default"/>
      </w:rPr>
    </w:lvl>
  </w:abstractNum>
  <w:abstractNum w:abstractNumId="1">
    <w:nsid w:val="9FF5F583"/>
    <w:multiLevelType w:val="singleLevel"/>
    <w:tmpl w:val="9FF5F583"/>
    <w:lvl w:ilvl="0" w:tentative="0">
      <w:start w:val="2"/>
      <w:numFmt w:val="decimal"/>
      <w:lvlText w:val="%1."/>
      <w:lvlJc w:val="left"/>
      <w:pPr>
        <w:tabs>
          <w:tab w:val="left" w:pos="312"/>
        </w:tabs>
      </w:pPr>
    </w:lvl>
  </w:abstractNum>
  <w:abstractNum w:abstractNumId="2">
    <w:nsid w:val="A951E691"/>
    <w:multiLevelType w:val="multilevel"/>
    <w:tmpl w:val="A951E691"/>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AD6751DC"/>
    <w:multiLevelType w:val="multilevel"/>
    <w:tmpl w:val="AD6751DC"/>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D3F179E4"/>
    <w:multiLevelType w:val="multilevel"/>
    <w:tmpl w:val="D3F179E4"/>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E9343488"/>
    <w:multiLevelType w:val="singleLevel"/>
    <w:tmpl w:val="E9343488"/>
    <w:lvl w:ilvl="0" w:tentative="0">
      <w:start w:val="1"/>
      <w:numFmt w:val="chineseCounting"/>
      <w:suff w:val="nothing"/>
      <w:lvlText w:val="（%1）"/>
      <w:lvlJc w:val="left"/>
      <w:rPr>
        <w:rFonts w:hint="eastAsia"/>
      </w:rPr>
    </w:lvl>
  </w:abstractNum>
  <w:abstractNum w:abstractNumId="6">
    <w:nsid w:val="1CD9EBC3"/>
    <w:multiLevelType w:val="singleLevel"/>
    <w:tmpl w:val="1CD9EBC3"/>
    <w:lvl w:ilvl="0" w:tentative="0">
      <w:start w:val="2"/>
      <w:numFmt w:val="decimal"/>
      <w:lvlText w:val="%1."/>
      <w:lvlJc w:val="left"/>
      <w:pPr>
        <w:tabs>
          <w:tab w:val="left" w:pos="312"/>
        </w:tabs>
      </w:pPr>
    </w:lvl>
  </w:abstractNum>
  <w:abstractNum w:abstractNumId="7">
    <w:nsid w:val="3DDE0FB2"/>
    <w:multiLevelType w:val="multilevel"/>
    <w:tmpl w:val="3DDE0FB2"/>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EE1CF75"/>
    <w:multiLevelType w:val="singleLevel"/>
    <w:tmpl w:val="3EE1CF75"/>
    <w:lvl w:ilvl="0" w:tentative="0">
      <w:start w:val="1"/>
      <w:numFmt w:val="decimal"/>
      <w:suff w:val="nothing"/>
      <w:lvlText w:val="%1．"/>
      <w:lvlJc w:val="left"/>
      <w:pPr>
        <w:ind w:left="0" w:firstLine="400"/>
      </w:pPr>
      <w:rPr>
        <w:rFonts w:hint="default"/>
      </w:rPr>
    </w:lvl>
  </w:abstractNum>
  <w:abstractNum w:abstractNumId="9">
    <w:nsid w:val="428F7A39"/>
    <w:multiLevelType w:val="singleLevel"/>
    <w:tmpl w:val="428F7A39"/>
    <w:lvl w:ilvl="0" w:tentative="0">
      <w:start w:val="2"/>
      <w:numFmt w:val="decimal"/>
      <w:lvlText w:val="%1."/>
      <w:lvlJc w:val="left"/>
      <w:pPr>
        <w:tabs>
          <w:tab w:val="left" w:pos="312"/>
        </w:tabs>
        <w:ind w:left="303" w:firstLine="0"/>
      </w:pPr>
    </w:lvl>
  </w:abstractNum>
  <w:abstractNum w:abstractNumId="10">
    <w:nsid w:val="507BFA4C"/>
    <w:multiLevelType w:val="singleLevel"/>
    <w:tmpl w:val="507BFA4C"/>
    <w:lvl w:ilvl="0" w:tentative="0">
      <w:start w:val="1"/>
      <w:numFmt w:val="decimal"/>
      <w:lvlText w:val="(%1)"/>
      <w:lvlJc w:val="left"/>
      <w:pPr>
        <w:ind w:left="425" w:hanging="425"/>
      </w:pPr>
      <w:rPr>
        <w:rFonts w:hint="default"/>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67C9695A"/>
    <w:multiLevelType w:val="singleLevel"/>
    <w:tmpl w:val="67C9695A"/>
    <w:lvl w:ilvl="0" w:tentative="0">
      <w:start w:val="1"/>
      <w:numFmt w:val="decimal"/>
      <w:lvlText w:val="(%1)"/>
      <w:lvlJc w:val="left"/>
      <w:pPr>
        <w:ind w:left="425" w:hanging="425"/>
      </w:pPr>
      <w:rPr>
        <w:rFonts w:hint="default"/>
      </w:rPr>
    </w:lvl>
  </w:abstractNum>
  <w:abstractNum w:abstractNumId="14">
    <w:nsid w:val="69BCBB5A"/>
    <w:multiLevelType w:val="singleLevel"/>
    <w:tmpl w:val="69BCBB5A"/>
    <w:lvl w:ilvl="0" w:tentative="0">
      <w:start w:val="1"/>
      <w:numFmt w:val="decimal"/>
      <w:lvlText w:val="%1."/>
      <w:lvlJc w:val="left"/>
      <w:pPr>
        <w:tabs>
          <w:tab w:val="left" w:pos="312"/>
        </w:tabs>
      </w:pPr>
    </w:lvl>
  </w:abstractNum>
  <w:abstractNum w:abstractNumId="15">
    <w:nsid w:val="69DA920B"/>
    <w:multiLevelType w:val="singleLevel"/>
    <w:tmpl w:val="69DA920B"/>
    <w:lvl w:ilvl="0" w:tentative="0">
      <w:start w:val="1"/>
      <w:numFmt w:val="decimal"/>
      <w:lvlText w:val="(%1)"/>
      <w:lvlJc w:val="left"/>
      <w:pPr>
        <w:ind w:left="425" w:hanging="425"/>
      </w:pPr>
      <w:rPr>
        <w:rFonts w:hint="default"/>
      </w:rPr>
    </w:lvl>
  </w:abstractNum>
  <w:abstractNum w:abstractNumId="16">
    <w:nsid w:val="76DEAD36"/>
    <w:multiLevelType w:val="multilevel"/>
    <w:tmpl w:val="76DEAD36"/>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6DEF578"/>
    <w:multiLevelType w:val="singleLevel"/>
    <w:tmpl w:val="76DEF578"/>
    <w:lvl w:ilvl="0" w:tentative="0">
      <w:start w:val="1"/>
      <w:numFmt w:val="chineseCounting"/>
      <w:suff w:val="nothing"/>
      <w:lvlText w:val="%1、"/>
      <w:lvlJc w:val="left"/>
      <w:rPr>
        <w:rFonts w:hint="eastAsia"/>
      </w:rPr>
    </w:lvl>
  </w:abstractNum>
  <w:abstractNum w:abstractNumId="18">
    <w:nsid w:val="7EF4C4F0"/>
    <w:multiLevelType w:val="singleLevel"/>
    <w:tmpl w:val="7EF4C4F0"/>
    <w:lvl w:ilvl="0" w:tentative="0">
      <w:start w:val="1"/>
      <w:numFmt w:val="decimal"/>
      <w:lvlText w:val="(%1)"/>
      <w:lvlJc w:val="left"/>
      <w:pPr>
        <w:ind w:left="425" w:hanging="425"/>
      </w:pPr>
      <w:rPr>
        <w:rFonts w:hint="default"/>
      </w:rPr>
    </w:lvl>
  </w:abstractNum>
  <w:num w:numId="1">
    <w:abstractNumId w:val="17"/>
  </w:num>
  <w:num w:numId="2">
    <w:abstractNumId w:val="14"/>
  </w:num>
  <w:num w:numId="3">
    <w:abstractNumId w:val="5"/>
  </w:num>
  <w:num w:numId="4">
    <w:abstractNumId w:val="15"/>
  </w:num>
  <w:num w:numId="5">
    <w:abstractNumId w:val="18"/>
  </w:num>
  <w:num w:numId="6">
    <w:abstractNumId w:val="8"/>
  </w:num>
  <w:num w:numId="7">
    <w:abstractNumId w:val="10"/>
  </w:num>
  <w:num w:numId="8">
    <w:abstractNumId w:val="0"/>
  </w:num>
  <w:num w:numId="9">
    <w:abstractNumId w:val="13"/>
  </w:num>
  <w:num w:numId="10">
    <w:abstractNumId w:val="9"/>
  </w:num>
  <w:num w:numId="11">
    <w:abstractNumId w:val="11"/>
  </w:num>
  <w:num w:numId="12">
    <w:abstractNumId w:val="12"/>
  </w:num>
  <w:num w:numId="13">
    <w:abstractNumId w:val="7"/>
  </w:num>
  <w:num w:numId="14">
    <w:abstractNumId w:val="16"/>
  </w:num>
  <w:num w:numId="15">
    <w:abstractNumId w:val="4"/>
  </w:num>
  <w:num w:numId="16">
    <w:abstractNumId w:val="3"/>
  </w:num>
  <w:num w:numId="17">
    <w:abstractNumId w:val="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5NWJhYThiOThjOWMxYzg3OTlmYmI5YzEzMDE3OTYifQ=="/>
  </w:docVars>
  <w:rsids>
    <w:rsidRoot w:val="002216D9"/>
    <w:rsid w:val="00000BBE"/>
    <w:rsid w:val="00000BD8"/>
    <w:rsid w:val="0000187B"/>
    <w:rsid w:val="00001C4C"/>
    <w:rsid w:val="00001DBF"/>
    <w:rsid w:val="0000207D"/>
    <w:rsid w:val="000024BB"/>
    <w:rsid w:val="00002641"/>
    <w:rsid w:val="00002BE9"/>
    <w:rsid w:val="00002CBE"/>
    <w:rsid w:val="00002EC1"/>
    <w:rsid w:val="000038C5"/>
    <w:rsid w:val="00004258"/>
    <w:rsid w:val="00004E9B"/>
    <w:rsid w:val="00005269"/>
    <w:rsid w:val="00005611"/>
    <w:rsid w:val="00005855"/>
    <w:rsid w:val="00005CE8"/>
    <w:rsid w:val="00005EAB"/>
    <w:rsid w:val="000062CB"/>
    <w:rsid w:val="0000633E"/>
    <w:rsid w:val="00006DBC"/>
    <w:rsid w:val="00007710"/>
    <w:rsid w:val="00010031"/>
    <w:rsid w:val="00010A1A"/>
    <w:rsid w:val="0001169F"/>
    <w:rsid w:val="00011C91"/>
    <w:rsid w:val="00013AB2"/>
    <w:rsid w:val="00013B76"/>
    <w:rsid w:val="00013F22"/>
    <w:rsid w:val="000144E5"/>
    <w:rsid w:val="000158B8"/>
    <w:rsid w:val="000164FE"/>
    <w:rsid w:val="00017084"/>
    <w:rsid w:val="000170D1"/>
    <w:rsid w:val="00017895"/>
    <w:rsid w:val="00020DA9"/>
    <w:rsid w:val="0002127E"/>
    <w:rsid w:val="00021F93"/>
    <w:rsid w:val="00021FBD"/>
    <w:rsid w:val="000228DA"/>
    <w:rsid w:val="00023169"/>
    <w:rsid w:val="00023DCA"/>
    <w:rsid w:val="00024A2E"/>
    <w:rsid w:val="000251A7"/>
    <w:rsid w:val="00025976"/>
    <w:rsid w:val="00026FDD"/>
    <w:rsid w:val="0002797E"/>
    <w:rsid w:val="00030499"/>
    <w:rsid w:val="0003069F"/>
    <w:rsid w:val="00030803"/>
    <w:rsid w:val="000309D6"/>
    <w:rsid w:val="00030F73"/>
    <w:rsid w:val="0003105D"/>
    <w:rsid w:val="00031E36"/>
    <w:rsid w:val="000328BA"/>
    <w:rsid w:val="00032B0D"/>
    <w:rsid w:val="00032D23"/>
    <w:rsid w:val="00034F40"/>
    <w:rsid w:val="00035BE8"/>
    <w:rsid w:val="00035D48"/>
    <w:rsid w:val="00035E9F"/>
    <w:rsid w:val="000361A9"/>
    <w:rsid w:val="00036269"/>
    <w:rsid w:val="00036C06"/>
    <w:rsid w:val="000371BF"/>
    <w:rsid w:val="00037787"/>
    <w:rsid w:val="00040A19"/>
    <w:rsid w:val="00041049"/>
    <w:rsid w:val="0004186A"/>
    <w:rsid w:val="00042743"/>
    <w:rsid w:val="000427F1"/>
    <w:rsid w:val="00042881"/>
    <w:rsid w:val="00042ADC"/>
    <w:rsid w:val="00043457"/>
    <w:rsid w:val="0004372F"/>
    <w:rsid w:val="000440A1"/>
    <w:rsid w:val="00044286"/>
    <w:rsid w:val="00044A48"/>
    <w:rsid w:val="0004556C"/>
    <w:rsid w:val="00045870"/>
    <w:rsid w:val="00045F48"/>
    <w:rsid w:val="00047D7F"/>
    <w:rsid w:val="00051C96"/>
    <w:rsid w:val="000526AE"/>
    <w:rsid w:val="00052922"/>
    <w:rsid w:val="00052AC8"/>
    <w:rsid w:val="00054744"/>
    <w:rsid w:val="00054C9B"/>
    <w:rsid w:val="00054CF7"/>
    <w:rsid w:val="00054F3A"/>
    <w:rsid w:val="00055285"/>
    <w:rsid w:val="00055A5B"/>
    <w:rsid w:val="00056409"/>
    <w:rsid w:val="00056A0A"/>
    <w:rsid w:val="00056B43"/>
    <w:rsid w:val="00057225"/>
    <w:rsid w:val="0005730A"/>
    <w:rsid w:val="00057FC7"/>
    <w:rsid w:val="000615C3"/>
    <w:rsid w:val="00064E53"/>
    <w:rsid w:val="00065248"/>
    <w:rsid w:val="0006580A"/>
    <w:rsid w:val="00065928"/>
    <w:rsid w:val="00066E86"/>
    <w:rsid w:val="000670C6"/>
    <w:rsid w:val="0006715B"/>
    <w:rsid w:val="000718FB"/>
    <w:rsid w:val="00071B6D"/>
    <w:rsid w:val="000721AA"/>
    <w:rsid w:val="00072B7E"/>
    <w:rsid w:val="00072FF1"/>
    <w:rsid w:val="000733EB"/>
    <w:rsid w:val="00073505"/>
    <w:rsid w:val="000736E1"/>
    <w:rsid w:val="00074599"/>
    <w:rsid w:val="00074997"/>
    <w:rsid w:val="00077071"/>
    <w:rsid w:val="00083CBB"/>
    <w:rsid w:val="000844D2"/>
    <w:rsid w:val="000845A6"/>
    <w:rsid w:val="00084A6C"/>
    <w:rsid w:val="00084D58"/>
    <w:rsid w:val="00086241"/>
    <w:rsid w:val="000878DD"/>
    <w:rsid w:val="00087AE7"/>
    <w:rsid w:val="00091BA2"/>
    <w:rsid w:val="00091ECB"/>
    <w:rsid w:val="00092803"/>
    <w:rsid w:val="00092D3E"/>
    <w:rsid w:val="00094E2E"/>
    <w:rsid w:val="00095286"/>
    <w:rsid w:val="00095887"/>
    <w:rsid w:val="000960A6"/>
    <w:rsid w:val="00096E74"/>
    <w:rsid w:val="00097149"/>
    <w:rsid w:val="00097307"/>
    <w:rsid w:val="000973D4"/>
    <w:rsid w:val="00097559"/>
    <w:rsid w:val="000A14F0"/>
    <w:rsid w:val="000A1920"/>
    <w:rsid w:val="000A230B"/>
    <w:rsid w:val="000A26ED"/>
    <w:rsid w:val="000A33B0"/>
    <w:rsid w:val="000A3697"/>
    <w:rsid w:val="000A39F4"/>
    <w:rsid w:val="000A3A12"/>
    <w:rsid w:val="000A3B68"/>
    <w:rsid w:val="000A40CA"/>
    <w:rsid w:val="000A59CE"/>
    <w:rsid w:val="000A5F64"/>
    <w:rsid w:val="000A64D7"/>
    <w:rsid w:val="000A67BC"/>
    <w:rsid w:val="000A69BA"/>
    <w:rsid w:val="000A6CA5"/>
    <w:rsid w:val="000A7641"/>
    <w:rsid w:val="000A78E6"/>
    <w:rsid w:val="000B0C91"/>
    <w:rsid w:val="000B10E3"/>
    <w:rsid w:val="000B12E3"/>
    <w:rsid w:val="000B19A2"/>
    <w:rsid w:val="000B21F6"/>
    <w:rsid w:val="000B3866"/>
    <w:rsid w:val="000B3AC5"/>
    <w:rsid w:val="000B3ED2"/>
    <w:rsid w:val="000B42C2"/>
    <w:rsid w:val="000B4560"/>
    <w:rsid w:val="000B472F"/>
    <w:rsid w:val="000B4B96"/>
    <w:rsid w:val="000B4BA9"/>
    <w:rsid w:val="000B541C"/>
    <w:rsid w:val="000B5F74"/>
    <w:rsid w:val="000B675C"/>
    <w:rsid w:val="000B6D15"/>
    <w:rsid w:val="000B705D"/>
    <w:rsid w:val="000B722A"/>
    <w:rsid w:val="000B73E8"/>
    <w:rsid w:val="000B756B"/>
    <w:rsid w:val="000B7A5D"/>
    <w:rsid w:val="000C08CB"/>
    <w:rsid w:val="000C0B57"/>
    <w:rsid w:val="000C0D59"/>
    <w:rsid w:val="000C1D3A"/>
    <w:rsid w:val="000C2556"/>
    <w:rsid w:val="000C2836"/>
    <w:rsid w:val="000C2E31"/>
    <w:rsid w:val="000C36C6"/>
    <w:rsid w:val="000C3A0F"/>
    <w:rsid w:val="000C42F6"/>
    <w:rsid w:val="000C4D02"/>
    <w:rsid w:val="000C4FB4"/>
    <w:rsid w:val="000C5508"/>
    <w:rsid w:val="000C5841"/>
    <w:rsid w:val="000C5BC9"/>
    <w:rsid w:val="000C64B2"/>
    <w:rsid w:val="000C6D6D"/>
    <w:rsid w:val="000C734F"/>
    <w:rsid w:val="000C7549"/>
    <w:rsid w:val="000C7A50"/>
    <w:rsid w:val="000C7D97"/>
    <w:rsid w:val="000D03CF"/>
    <w:rsid w:val="000D0493"/>
    <w:rsid w:val="000D0732"/>
    <w:rsid w:val="000D20D0"/>
    <w:rsid w:val="000D2582"/>
    <w:rsid w:val="000D2647"/>
    <w:rsid w:val="000D322D"/>
    <w:rsid w:val="000D399C"/>
    <w:rsid w:val="000D53DB"/>
    <w:rsid w:val="000D5654"/>
    <w:rsid w:val="000D5675"/>
    <w:rsid w:val="000D58DA"/>
    <w:rsid w:val="000D5A09"/>
    <w:rsid w:val="000D5A14"/>
    <w:rsid w:val="000D5BA2"/>
    <w:rsid w:val="000D5D21"/>
    <w:rsid w:val="000D5FFC"/>
    <w:rsid w:val="000D6150"/>
    <w:rsid w:val="000D7D7C"/>
    <w:rsid w:val="000E074C"/>
    <w:rsid w:val="000E0CBD"/>
    <w:rsid w:val="000E116B"/>
    <w:rsid w:val="000E1448"/>
    <w:rsid w:val="000E16CA"/>
    <w:rsid w:val="000E1A9E"/>
    <w:rsid w:val="000E303A"/>
    <w:rsid w:val="000E37F7"/>
    <w:rsid w:val="000E4635"/>
    <w:rsid w:val="000E4645"/>
    <w:rsid w:val="000E4E4A"/>
    <w:rsid w:val="000E56E5"/>
    <w:rsid w:val="000E5E10"/>
    <w:rsid w:val="000E617D"/>
    <w:rsid w:val="000E6A5F"/>
    <w:rsid w:val="000E7A46"/>
    <w:rsid w:val="000E7C23"/>
    <w:rsid w:val="000E7D11"/>
    <w:rsid w:val="000F0091"/>
    <w:rsid w:val="000F08C0"/>
    <w:rsid w:val="000F1A07"/>
    <w:rsid w:val="000F25F2"/>
    <w:rsid w:val="000F35D8"/>
    <w:rsid w:val="000F35E7"/>
    <w:rsid w:val="000F36C0"/>
    <w:rsid w:val="000F39EF"/>
    <w:rsid w:val="000F3BCD"/>
    <w:rsid w:val="000F491D"/>
    <w:rsid w:val="000F5081"/>
    <w:rsid w:val="000F528D"/>
    <w:rsid w:val="000F53C1"/>
    <w:rsid w:val="000F583A"/>
    <w:rsid w:val="000F656D"/>
    <w:rsid w:val="000F6A0C"/>
    <w:rsid w:val="000F6CA4"/>
    <w:rsid w:val="000F6D0C"/>
    <w:rsid w:val="000F74A8"/>
    <w:rsid w:val="000F7787"/>
    <w:rsid w:val="001002EE"/>
    <w:rsid w:val="00100772"/>
    <w:rsid w:val="0010081E"/>
    <w:rsid w:val="001012A1"/>
    <w:rsid w:val="00101A5E"/>
    <w:rsid w:val="00101FF2"/>
    <w:rsid w:val="00102B6F"/>
    <w:rsid w:val="00102E6B"/>
    <w:rsid w:val="00102EC8"/>
    <w:rsid w:val="00103469"/>
    <w:rsid w:val="00103AFD"/>
    <w:rsid w:val="001043A9"/>
    <w:rsid w:val="00105888"/>
    <w:rsid w:val="00105E95"/>
    <w:rsid w:val="00106B01"/>
    <w:rsid w:val="00106FC2"/>
    <w:rsid w:val="0010784E"/>
    <w:rsid w:val="00110B2E"/>
    <w:rsid w:val="00110EB4"/>
    <w:rsid w:val="00110FDF"/>
    <w:rsid w:val="0011192E"/>
    <w:rsid w:val="00111B7D"/>
    <w:rsid w:val="00112028"/>
    <w:rsid w:val="0011279A"/>
    <w:rsid w:val="0011298D"/>
    <w:rsid w:val="00112D05"/>
    <w:rsid w:val="00113297"/>
    <w:rsid w:val="001136BF"/>
    <w:rsid w:val="001137FB"/>
    <w:rsid w:val="0011389C"/>
    <w:rsid w:val="001152AF"/>
    <w:rsid w:val="00115C35"/>
    <w:rsid w:val="001162DC"/>
    <w:rsid w:val="0011688B"/>
    <w:rsid w:val="00117D03"/>
    <w:rsid w:val="00120444"/>
    <w:rsid w:val="001209C9"/>
    <w:rsid w:val="001216EC"/>
    <w:rsid w:val="001221B9"/>
    <w:rsid w:val="0012234B"/>
    <w:rsid w:val="00122462"/>
    <w:rsid w:val="0012327B"/>
    <w:rsid w:val="00123396"/>
    <w:rsid w:val="00123520"/>
    <w:rsid w:val="0012378A"/>
    <w:rsid w:val="001246BF"/>
    <w:rsid w:val="00125B8B"/>
    <w:rsid w:val="0012726B"/>
    <w:rsid w:val="00127D9E"/>
    <w:rsid w:val="00130C83"/>
    <w:rsid w:val="00131016"/>
    <w:rsid w:val="00131202"/>
    <w:rsid w:val="00131975"/>
    <w:rsid w:val="00132004"/>
    <w:rsid w:val="0013289D"/>
    <w:rsid w:val="001328D2"/>
    <w:rsid w:val="001332AA"/>
    <w:rsid w:val="00133624"/>
    <w:rsid w:val="00133754"/>
    <w:rsid w:val="00133BB5"/>
    <w:rsid w:val="00133E37"/>
    <w:rsid w:val="0013418F"/>
    <w:rsid w:val="001358FB"/>
    <w:rsid w:val="00136B1F"/>
    <w:rsid w:val="001376EC"/>
    <w:rsid w:val="00137C25"/>
    <w:rsid w:val="001403C7"/>
    <w:rsid w:val="001404DA"/>
    <w:rsid w:val="00140DFF"/>
    <w:rsid w:val="0014195D"/>
    <w:rsid w:val="0014204A"/>
    <w:rsid w:val="0014302D"/>
    <w:rsid w:val="001438F3"/>
    <w:rsid w:val="00143AFC"/>
    <w:rsid w:val="00144BEF"/>
    <w:rsid w:val="00144CBB"/>
    <w:rsid w:val="00144E10"/>
    <w:rsid w:val="00145209"/>
    <w:rsid w:val="00145345"/>
    <w:rsid w:val="00145A44"/>
    <w:rsid w:val="00146205"/>
    <w:rsid w:val="0014621D"/>
    <w:rsid w:val="00150984"/>
    <w:rsid w:val="00150A0B"/>
    <w:rsid w:val="00152344"/>
    <w:rsid w:val="00153298"/>
    <w:rsid w:val="001536F4"/>
    <w:rsid w:val="001538E6"/>
    <w:rsid w:val="0015452B"/>
    <w:rsid w:val="00154CCD"/>
    <w:rsid w:val="00155D80"/>
    <w:rsid w:val="001560E6"/>
    <w:rsid w:val="00156464"/>
    <w:rsid w:val="00157416"/>
    <w:rsid w:val="00157529"/>
    <w:rsid w:val="00157705"/>
    <w:rsid w:val="00157FC1"/>
    <w:rsid w:val="00160840"/>
    <w:rsid w:val="00161C17"/>
    <w:rsid w:val="00161F7A"/>
    <w:rsid w:val="00161FB4"/>
    <w:rsid w:val="00162875"/>
    <w:rsid w:val="00163C0C"/>
    <w:rsid w:val="00163E6E"/>
    <w:rsid w:val="001656D9"/>
    <w:rsid w:val="001657E3"/>
    <w:rsid w:val="00165C6F"/>
    <w:rsid w:val="00166EFF"/>
    <w:rsid w:val="0016733E"/>
    <w:rsid w:val="00170621"/>
    <w:rsid w:val="00171213"/>
    <w:rsid w:val="0017137C"/>
    <w:rsid w:val="0017161C"/>
    <w:rsid w:val="00172194"/>
    <w:rsid w:val="0017241A"/>
    <w:rsid w:val="00172821"/>
    <w:rsid w:val="00172AF6"/>
    <w:rsid w:val="00172F94"/>
    <w:rsid w:val="00173152"/>
    <w:rsid w:val="00173F39"/>
    <w:rsid w:val="00174ADD"/>
    <w:rsid w:val="00174FF2"/>
    <w:rsid w:val="00175769"/>
    <w:rsid w:val="00175903"/>
    <w:rsid w:val="00176536"/>
    <w:rsid w:val="00176FD4"/>
    <w:rsid w:val="00177518"/>
    <w:rsid w:val="001777C4"/>
    <w:rsid w:val="001805FA"/>
    <w:rsid w:val="00180905"/>
    <w:rsid w:val="00181957"/>
    <w:rsid w:val="0018213E"/>
    <w:rsid w:val="00182985"/>
    <w:rsid w:val="00182FD3"/>
    <w:rsid w:val="001837BC"/>
    <w:rsid w:val="00183CD2"/>
    <w:rsid w:val="001850FD"/>
    <w:rsid w:val="001854B7"/>
    <w:rsid w:val="001860FC"/>
    <w:rsid w:val="0018684E"/>
    <w:rsid w:val="00186C3D"/>
    <w:rsid w:val="00190B61"/>
    <w:rsid w:val="00190C69"/>
    <w:rsid w:val="00190EEE"/>
    <w:rsid w:val="0019169C"/>
    <w:rsid w:val="00191DAE"/>
    <w:rsid w:val="00193B33"/>
    <w:rsid w:val="00193B7D"/>
    <w:rsid w:val="0019440C"/>
    <w:rsid w:val="00194782"/>
    <w:rsid w:val="00195295"/>
    <w:rsid w:val="001955FD"/>
    <w:rsid w:val="00195B93"/>
    <w:rsid w:val="00196216"/>
    <w:rsid w:val="00196443"/>
    <w:rsid w:val="00196EE9"/>
    <w:rsid w:val="00197851"/>
    <w:rsid w:val="001A014B"/>
    <w:rsid w:val="001A0D8E"/>
    <w:rsid w:val="001A2DCB"/>
    <w:rsid w:val="001A2F59"/>
    <w:rsid w:val="001A41FE"/>
    <w:rsid w:val="001A4580"/>
    <w:rsid w:val="001A52DA"/>
    <w:rsid w:val="001A5FAF"/>
    <w:rsid w:val="001A6953"/>
    <w:rsid w:val="001A6D3F"/>
    <w:rsid w:val="001A7104"/>
    <w:rsid w:val="001A7A98"/>
    <w:rsid w:val="001B0339"/>
    <w:rsid w:val="001B051F"/>
    <w:rsid w:val="001B08BE"/>
    <w:rsid w:val="001B1122"/>
    <w:rsid w:val="001B1B83"/>
    <w:rsid w:val="001B1F25"/>
    <w:rsid w:val="001B20C9"/>
    <w:rsid w:val="001B2760"/>
    <w:rsid w:val="001B27BE"/>
    <w:rsid w:val="001B35D7"/>
    <w:rsid w:val="001B3B9E"/>
    <w:rsid w:val="001B3C27"/>
    <w:rsid w:val="001B5050"/>
    <w:rsid w:val="001B5236"/>
    <w:rsid w:val="001B557D"/>
    <w:rsid w:val="001B6094"/>
    <w:rsid w:val="001B7F9F"/>
    <w:rsid w:val="001C0085"/>
    <w:rsid w:val="001C00EA"/>
    <w:rsid w:val="001C09FC"/>
    <w:rsid w:val="001C184F"/>
    <w:rsid w:val="001C1BAD"/>
    <w:rsid w:val="001C1F1E"/>
    <w:rsid w:val="001C25DF"/>
    <w:rsid w:val="001C2893"/>
    <w:rsid w:val="001C35B2"/>
    <w:rsid w:val="001C56D1"/>
    <w:rsid w:val="001C6734"/>
    <w:rsid w:val="001C7AE1"/>
    <w:rsid w:val="001D00CC"/>
    <w:rsid w:val="001D100C"/>
    <w:rsid w:val="001D11F2"/>
    <w:rsid w:val="001D27FE"/>
    <w:rsid w:val="001D3A08"/>
    <w:rsid w:val="001D3A10"/>
    <w:rsid w:val="001D4164"/>
    <w:rsid w:val="001D506E"/>
    <w:rsid w:val="001D6313"/>
    <w:rsid w:val="001D672D"/>
    <w:rsid w:val="001D67AD"/>
    <w:rsid w:val="001D6C4A"/>
    <w:rsid w:val="001D7077"/>
    <w:rsid w:val="001D7094"/>
    <w:rsid w:val="001E0055"/>
    <w:rsid w:val="001E0B38"/>
    <w:rsid w:val="001E0CB0"/>
    <w:rsid w:val="001E0DE9"/>
    <w:rsid w:val="001E1645"/>
    <w:rsid w:val="001E2A0D"/>
    <w:rsid w:val="001E2B17"/>
    <w:rsid w:val="001E3FAA"/>
    <w:rsid w:val="001E40B2"/>
    <w:rsid w:val="001E4514"/>
    <w:rsid w:val="001E52F2"/>
    <w:rsid w:val="001E53FB"/>
    <w:rsid w:val="001E568B"/>
    <w:rsid w:val="001E5984"/>
    <w:rsid w:val="001E5EE0"/>
    <w:rsid w:val="001E6268"/>
    <w:rsid w:val="001E6A9D"/>
    <w:rsid w:val="001E73D5"/>
    <w:rsid w:val="001E7759"/>
    <w:rsid w:val="001E7956"/>
    <w:rsid w:val="001E795D"/>
    <w:rsid w:val="001E7BDF"/>
    <w:rsid w:val="001F070F"/>
    <w:rsid w:val="001F08CE"/>
    <w:rsid w:val="001F221E"/>
    <w:rsid w:val="001F2607"/>
    <w:rsid w:val="001F26D8"/>
    <w:rsid w:val="001F2CE5"/>
    <w:rsid w:val="001F41F8"/>
    <w:rsid w:val="001F47DD"/>
    <w:rsid w:val="001F49A3"/>
    <w:rsid w:val="001F4AF0"/>
    <w:rsid w:val="001F4D9A"/>
    <w:rsid w:val="001F5055"/>
    <w:rsid w:val="001F59DB"/>
    <w:rsid w:val="001F5B09"/>
    <w:rsid w:val="001F639B"/>
    <w:rsid w:val="001F6641"/>
    <w:rsid w:val="001F67DA"/>
    <w:rsid w:val="001F683B"/>
    <w:rsid w:val="001F697C"/>
    <w:rsid w:val="001F6B94"/>
    <w:rsid w:val="001F705F"/>
    <w:rsid w:val="001F764C"/>
    <w:rsid w:val="001F7C17"/>
    <w:rsid w:val="00201685"/>
    <w:rsid w:val="00201A56"/>
    <w:rsid w:val="00201AA1"/>
    <w:rsid w:val="00202402"/>
    <w:rsid w:val="00202C65"/>
    <w:rsid w:val="00204296"/>
    <w:rsid w:val="002053DE"/>
    <w:rsid w:val="002056A9"/>
    <w:rsid w:val="0020588E"/>
    <w:rsid w:val="002058A2"/>
    <w:rsid w:val="00205BBB"/>
    <w:rsid w:val="00206A86"/>
    <w:rsid w:val="00207785"/>
    <w:rsid w:val="00207872"/>
    <w:rsid w:val="00210B44"/>
    <w:rsid w:val="00210C64"/>
    <w:rsid w:val="0021144F"/>
    <w:rsid w:val="00211BF5"/>
    <w:rsid w:val="00213031"/>
    <w:rsid w:val="0021322B"/>
    <w:rsid w:val="00213C67"/>
    <w:rsid w:val="0021446B"/>
    <w:rsid w:val="002145D2"/>
    <w:rsid w:val="00214B1F"/>
    <w:rsid w:val="0021583A"/>
    <w:rsid w:val="00216156"/>
    <w:rsid w:val="00216242"/>
    <w:rsid w:val="00217654"/>
    <w:rsid w:val="0021767E"/>
    <w:rsid w:val="002179AF"/>
    <w:rsid w:val="0022020D"/>
    <w:rsid w:val="00221313"/>
    <w:rsid w:val="002213B2"/>
    <w:rsid w:val="002216D9"/>
    <w:rsid w:val="00221D31"/>
    <w:rsid w:val="00222DC2"/>
    <w:rsid w:val="00223537"/>
    <w:rsid w:val="00223AC6"/>
    <w:rsid w:val="00224B66"/>
    <w:rsid w:val="00224F87"/>
    <w:rsid w:val="00225FDC"/>
    <w:rsid w:val="00226384"/>
    <w:rsid w:val="00226E4B"/>
    <w:rsid w:val="00227264"/>
    <w:rsid w:val="002279A0"/>
    <w:rsid w:val="002300A9"/>
    <w:rsid w:val="0023056B"/>
    <w:rsid w:val="00232438"/>
    <w:rsid w:val="00232AA4"/>
    <w:rsid w:val="002338D5"/>
    <w:rsid w:val="0023444C"/>
    <w:rsid w:val="002347BB"/>
    <w:rsid w:val="00235612"/>
    <w:rsid w:val="00235DA4"/>
    <w:rsid w:val="00236BC5"/>
    <w:rsid w:val="0024057A"/>
    <w:rsid w:val="002411B4"/>
    <w:rsid w:val="00241FAD"/>
    <w:rsid w:val="00241FD3"/>
    <w:rsid w:val="002438A0"/>
    <w:rsid w:val="00243E49"/>
    <w:rsid w:val="002445C4"/>
    <w:rsid w:val="002447D0"/>
    <w:rsid w:val="0024528D"/>
    <w:rsid w:val="00246460"/>
    <w:rsid w:val="002469FB"/>
    <w:rsid w:val="00247330"/>
    <w:rsid w:val="00247429"/>
    <w:rsid w:val="0025014C"/>
    <w:rsid w:val="002516D2"/>
    <w:rsid w:val="002534B8"/>
    <w:rsid w:val="00253AD9"/>
    <w:rsid w:val="00253BDE"/>
    <w:rsid w:val="00254802"/>
    <w:rsid w:val="00254F44"/>
    <w:rsid w:val="002557C0"/>
    <w:rsid w:val="002558B9"/>
    <w:rsid w:val="00256105"/>
    <w:rsid w:val="0025680A"/>
    <w:rsid w:val="00256840"/>
    <w:rsid w:val="00256922"/>
    <w:rsid w:val="002574FB"/>
    <w:rsid w:val="00257799"/>
    <w:rsid w:val="002602E3"/>
    <w:rsid w:val="002625D4"/>
    <w:rsid w:val="00264CC7"/>
    <w:rsid w:val="0026543A"/>
    <w:rsid w:val="00265BD3"/>
    <w:rsid w:val="00265C25"/>
    <w:rsid w:val="00265C67"/>
    <w:rsid w:val="00266187"/>
    <w:rsid w:val="00266785"/>
    <w:rsid w:val="00266884"/>
    <w:rsid w:val="00266B53"/>
    <w:rsid w:val="00267674"/>
    <w:rsid w:val="00267886"/>
    <w:rsid w:val="002678EA"/>
    <w:rsid w:val="002705E5"/>
    <w:rsid w:val="00270BE1"/>
    <w:rsid w:val="0027104D"/>
    <w:rsid w:val="00271564"/>
    <w:rsid w:val="00272E44"/>
    <w:rsid w:val="002740CE"/>
    <w:rsid w:val="00275C41"/>
    <w:rsid w:val="0027624A"/>
    <w:rsid w:val="00276DB0"/>
    <w:rsid w:val="00276DC6"/>
    <w:rsid w:val="002774AC"/>
    <w:rsid w:val="002775AA"/>
    <w:rsid w:val="002776E3"/>
    <w:rsid w:val="002805E7"/>
    <w:rsid w:val="0028069B"/>
    <w:rsid w:val="0028079C"/>
    <w:rsid w:val="00280C62"/>
    <w:rsid w:val="00281A40"/>
    <w:rsid w:val="002824BC"/>
    <w:rsid w:val="00282ADF"/>
    <w:rsid w:val="00284042"/>
    <w:rsid w:val="00284073"/>
    <w:rsid w:val="00284B8B"/>
    <w:rsid w:val="00284EF4"/>
    <w:rsid w:val="00285712"/>
    <w:rsid w:val="0028642B"/>
    <w:rsid w:val="00286DC7"/>
    <w:rsid w:val="00286FED"/>
    <w:rsid w:val="00287ADA"/>
    <w:rsid w:val="0029107D"/>
    <w:rsid w:val="00291690"/>
    <w:rsid w:val="00292966"/>
    <w:rsid w:val="00292969"/>
    <w:rsid w:val="00292B74"/>
    <w:rsid w:val="0029307F"/>
    <w:rsid w:val="002932E2"/>
    <w:rsid w:val="0029330B"/>
    <w:rsid w:val="00293A01"/>
    <w:rsid w:val="00293C44"/>
    <w:rsid w:val="00293FED"/>
    <w:rsid w:val="00295393"/>
    <w:rsid w:val="00296902"/>
    <w:rsid w:val="00296A3C"/>
    <w:rsid w:val="0029760E"/>
    <w:rsid w:val="00297D0B"/>
    <w:rsid w:val="002A0CF4"/>
    <w:rsid w:val="002A0F7B"/>
    <w:rsid w:val="002A1496"/>
    <w:rsid w:val="002A1B5D"/>
    <w:rsid w:val="002A1CCA"/>
    <w:rsid w:val="002A25D3"/>
    <w:rsid w:val="002A287D"/>
    <w:rsid w:val="002A2EBE"/>
    <w:rsid w:val="002A33A4"/>
    <w:rsid w:val="002A33D0"/>
    <w:rsid w:val="002A3687"/>
    <w:rsid w:val="002A378E"/>
    <w:rsid w:val="002A43FB"/>
    <w:rsid w:val="002A45DE"/>
    <w:rsid w:val="002A49B5"/>
    <w:rsid w:val="002A4DE3"/>
    <w:rsid w:val="002A5045"/>
    <w:rsid w:val="002A5511"/>
    <w:rsid w:val="002A58A0"/>
    <w:rsid w:val="002A58E9"/>
    <w:rsid w:val="002A6070"/>
    <w:rsid w:val="002A61E4"/>
    <w:rsid w:val="002A6C80"/>
    <w:rsid w:val="002A7D0A"/>
    <w:rsid w:val="002B0452"/>
    <w:rsid w:val="002B1C4C"/>
    <w:rsid w:val="002B1F18"/>
    <w:rsid w:val="002B2845"/>
    <w:rsid w:val="002B287E"/>
    <w:rsid w:val="002B2A48"/>
    <w:rsid w:val="002B2ABB"/>
    <w:rsid w:val="002B2D1B"/>
    <w:rsid w:val="002B3601"/>
    <w:rsid w:val="002B38DB"/>
    <w:rsid w:val="002B437A"/>
    <w:rsid w:val="002B5996"/>
    <w:rsid w:val="002B62DB"/>
    <w:rsid w:val="002B6327"/>
    <w:rsid w:val="002B65EF"/>
    <w:rsid w:val="002B6B2C"/>
    <w:rsid w:val="002B6F29"/>
    <w:rsid w:val="002B6F72"/>
    <w:rsid w:val="002B719B"/>
    <w:rsid w:val="002B71E1"/>
    <w:rsid w:val="002B7685"/>
    <w:rsid w:val="002B7AE9"/>
    <w:rsid w:val="002C02EC"/>
    <w:rsid w:val="002C0439"/>
    <w:rsid w:val="002C05BB"/>
    <w:rsid w:val="002C0C97"/>
    <w:rsid w:val="002C20D2"/>
    <w:rsid w:val="002C2184"/>
    <w:rsid w:val="002C2D53"/>
    <w:rsid w:val="002C366D"/>
    <w:rsid w:val="002C384C"/>
    <w:rsid w:val="002C5571"/>
    <w:rsid w:val="002C6CC6"/>
    <w:rsid w:val="002C7454"/>
    <w:rsid w:val="002C751D"/>
    <w:rsid w:val="002C77D8"/>
    <w:rsid w:val="002C77FE"/>
    <w:rsid w:val="002C7A0B"/>
    <w:rsid w:val="002D097C"/>
    <w:rsid w:val="002D0C52"/>
    <w:rsid w:val="002D0DBB"/>
    <w:rsid w:val="002D0DC0"/>
    <w:rsid w:val="002D1235"/>
    <w:rsid w:val="002D1F09"/>
    <w:rsid w:val="002D213F"/>
    <w:rsid w:val="002D2D15"/>
    <w:rsid w:val="002D2FFD"/>
    <w:rsid w:val="002D3400"/>
    <w:rsid w:val="002D4613"/>
    <w:rsid w:val="002D508F"/>
    <w:rsid w:val="002D57C4"/>
    <w:rsid w:val="002D58C1"/>
    <w:rsid w:val="002D598B"/>
    <w:rsid w:val="002D720C"/>
    <w:rsid w:val="002E022C"/>
    <w:rsid w:val="002E0A39"/>
    <w:rsid w:val="002E28A2"/>
    <w:rsid w:val="002E2A64"/>
    <w:rsid w:val="002E3192"/>
    <w:rsid w:val="002E32D5"/>
    <w:rsid w:val="002E3322"/>
    <w:rsid w:val="002E3759"/>
    <w:rsid w:val="002E409B"/>
    <w:rsid w:val="002E4AB7"/>
    <w:rsid w:val="002E6D8A"/>
    <w:rsid w:val="002E6EE9"/>
    <w:rsid w:val="002E7283"/>
    <w:rsid w:val="002E7621"/>
    <w:rsid w:val="002E7EE3"/>
    <w:rsid w:val="002F0234"/>
    <w:rsid w:val="002F0267"/>
    <w:rsid w:val="002F0444"/>
    <w:rsid w:val="002F0710"/>
    <w:rsid w:val="002F0F09"/>
    <w:rsid w:val="002F1204"/>
    <w:rsid w:val="002F1C0A"/>
    <w:rsid w:val="002F2351"/>
    <w:rsid w:val="002F25BB"/>
    <w:rsid w:val="002F2B04"/>
    <w:rsid w:val="002F2D40"/>
    <w:rsid w:val="002F2FBC"/>
    <w:rsid w:val="002F3A0A"/>
    <w:rsid w:val="002F3A31"/>
    <w:rsid w:val="002F3C4C"/>
    <w:rsid w:val="002F4C2B"/>
    <w:rsid w:val="002F6DDC"/>
    <w:rsid w:val="002F6DEA"/>
    <w:rsid w:val="002F703D"/>
    <w:rsid w:val="002F705F"/>
    <w:rsid w:val="002F7CC1"/>
    <w:rsid w:val="0030046E"/>
    <w:rsid w:val="00300589"/>
    <w:rsid w:val="00300639"/>
    <w:rsid w:val="00301393"/>
    <w:rsid w:val="003034A5"/>
    <w:rsid w:val="0030397B"/>
    <w:rsid w:val="00303BC5"/>
    <w:rsid w:val="00304BAE"/>
    <w:rsid w:val="003051D4"/>
    <w:rsid w:val="00305217"/>
    <w:rsid w:val="00305780"/>
    <w:rsid w:val="00305DAC"/>
    <w:rsid w:val="003060FA"/>
    <w:rsid w:val="003064E4"/>
    <w:rsid w:val="00306ABE"/>
    <w:rsid w:val="00307B66"/>
    <w:rsid w:val="00307BFB"/>
    <w:rsid w:val="00310B10"/>
    <w:rsid w:val="0031106E"/>
    <w:rsid w:val="0031131A"/>
    <w:rsid w:val="0031196D"/>
    <w:rsid w:val="00311C88"/>
    <w:rsid w:val="00311D94"/>
    <w:rsid w:val="00312676"/>
    <w:rsid w:val="00312A93"/>
    <w:rsid w:val="00313711"/>
    <w:rsid w:val="00314799"/>
    <w:rsid w:val="00314B8C"/>
    <w:rsid w:val="00314CDE"/>
    <w:rsid w:val="00315135"/>
    <w:rsid w:val="003157D7"/>
    <w:rsid w:val="00315F37"/>
    <w:rsid w:val="00317A3A"/>
    <w:rsid w:val="003204AD"/>
    <w:rsid w:val="003207A3"/>
    <w:rsid w:val="00320F61"/>
    <w:rsid w:val="003213BF"/>
    <w:rsid w:val="00321420"/>
    <w:rsid w:val="00321AF7"/>
    <w:rsid w:val="0032256B"/>
    <w:rsid w:val="00323425"/>
    <w:rsid w:val="003236A8"/>
    <w:rsid w:val="00324185"/>
    <w:rsid w:val="00324740"/>
    <w:rsid w:val="00325438"/>
    <w:rsid w:val="00325BF1"/>
    <w:rsid w:val="0032756F"/>
    <w:rsid w:val="00327AC0"/>
    <w:rsid w:val="00327F10"/>
    <w:rsid w:val="00327F1D"/>
    <w:rsid w:val="00327F9C"/>
    <w:rsid w:val="00330337"/>
    <w:rsid w:val="003304FC"/>
    <w:rsid w:val="00331BDA"/>
    <w:rsid w:val="00332155"/>
    <w:rsid w:val="003327D2"/>
    <w:rsid w:val="00333644"/>
    <w:rsid w:val="0033410B"/>
    <w:rsid w:val="003346A0"/>
    <w:rsid w:val="00334B0C"/>
    <w:rsid w:val="00334E7A"/>
    <w:rsid w:val="00334F43"/>
    <w:rsid w:val="0033549D"/>
    <w:rsid w:val="0033550A"/>
    <w:rsid w:val="0033577A"/>
    <w:rsid w:val="00336584"/>
    <w:rsid w:val="00336F38"/>
    <w:rsid w:val="00336F3D"/>
    <w:rsid w:val="00336FA4"/>
    <w:rsid w:val="00341EBC"/>
    <w:rsid w:val="0034201E"/>
    <w:rsid w:val="0034232D"/>
    <w:rsid w:val="0034255E"/>
    <w:rsid w:val="00343356"/>
    <w:rsid w:val="0034336F"/>
    <w:rsid w:val="00344717"/>
    <w:rsid w:val="00344809"/>
    <w:rsid w:val="00344B8C"/>
    <w:rsid w:val="00344ED7"/>
    <w:rsid w:val="00345B67"/>
    <w:rsid w:val="00345D6A"/>
    <w:rsid w:val="00346C42"/>
    <w:rsid w:val="00347297"/>
    <w:rsid w:val="003472EB"/>
    <w:rsid w:val="003475A2"/>
    <w:rsid w:val="003517B2"/>
    <w:rsid w:val="00351A0E"/>
    <w:rsid w:val="00351AE3"/>
    <w:rsid w:val="00351CDD"/>
    <w:rsid w:val="00351E59"/>
    <w:rsid w:val="0035251B"/>
    <w:rsid w:val="003526D5"/>
    <w:rsid w:val="00352AC6"/>
    <w:rsid w:val="00354399"/>
    <w:rsid w:val="003569BE"/>
    <w:rsid w:val="00356DF0"/>
    <w:rsid w:val="00356E6B"/>
    <w:rsid w:val="00357472"/>
    <w:rsid w:val="0035774D"/>
    <w:rsid w:val="00357FFE"/>
    <w:rsid w:val="0036027E"/>
    <w:rsid w:val="00360A98"/>
    <w:rsid w:val="00360DE5"/>
    <w:rsid w:val="00362017"/>
    <w:rsid w:val="003621EA"/>
    <w:rsid w:val="00362AEE"/>
    <w:rsid w:val="0036359C"/>
    <w:rsid w:val="0036380F"/>
    <w:rsid w:val="00363D63"/>
    <w:rsid w:val="00363F4D"/>
    <w:rsid w:val="00363FA4"/>
    <w:rsid w:val="00364791"/>
    <w:rsid w:val="00364E30"/>
    <w:rsid w:val="00365030"/>
    <w:rsid w:val="0036561E"/>
    <w:rsid w:val="00365AC1"/>
    <w:rsid w:val="00365C87"/>
    <w:rsid w:val="00365F56"/>
    <w:rsid w:val="0036655D"/>
    <w:rsid w:val="00366933"/>
    <w:rsid w:val="00366C51"/>
    <w:rsid w:val="00366D5D"/>
    <w:rsid w:val="00366D7E"/>
    <w:rsid w:val="00366E92"/>
    <w:rsid w:val="00366F60"/>
    <w:rsid w:val="00367B00"/>
    <w:rsid w:val="0037006A"/>
    <w:rsid w:val="00370C67"/>
    <w:rsid w:val="00370D17"/>
    <w:rsid w:val="00370E8D"/>
    <w:rsid w:val="003720B5"/>
    <w:rsid w:val="003724BB"/>
    <w:rsid w:val="00372E35"/>
    <w:rsid w:val="00374F99"/>
    <w:rsid w:val="0037529A"/>
    <w:rsid w:val="00375A52"/>
    <w:rsid w:val="00376163"/>
    <w:rsid w:val="003761D9"/>
    <w:rsid w:val="003763E7"/>
    <w:rsid w:val="00376A5E"/>
    <w:rsid w:val="00377685"/>
    <w:rsid w:val="00380E87"/>
    <w:rsid w:val="00381218"/>
    <w:rsid w:val="00381881"/>
    <w:rsid w:val="00382489"/>
    <w:rsid w:val="00382B7D"/>
    <w:rsid w:val="00382E3F"/>
    <w:rsid w:val="00382F81"/>
    <w:rsid w:val="0038340D"/>
    <w:rsid w:val="003834F4"/>
    <w:rsid w:val="003848BA"/>
    <w:rsid w:val="00384A8A"/>
    <w:rsid w:val="00384B12"/>
    <w:rsid w:val="00385AFF"/>
    <w:rsid w:val="00386298"/>
    <w:rsid w:val="00386AA1"/>
    <w:rsid w:val="00387A54"/>
    <w:rsid w:val="00391124"/>
    <w:rsid w:val="0039275E"/>
    <w:rsid w:val="00392C87"/>
    <w:rsid w:val="00396A12"/>
    <w:rsid w:val="00396F31"/>
    <w:rsid w:val="00397281"/>
    <w:rsid w:val="003979B4"/>
    <w:rsid w:val="003A02A7"/>
    <w:rsid w:val="003A0CCC"/>
    <w:rsid w:val="003A1723"/>
    <w:rsid w:val="003A1B87"/>
    <w:rsid w:val="003A1C78"/>
    <w:rsid w:val="003A1FB3"/>
    <w:rsid w:val="003A21B3"/>
    <w:rsid w:val="003A2F5F"/>
    <w:rsid w:val="003A3250"/>
    <w:rsid w:val="003A3785"/>
    <w:rsid w:val="003A3E5A"/>
    <w:rsid w:val="003A4062"/>
    <w:rsid w:val="003A442E"/>
    <w:rsid w:val="003A4DEC"/>
    <w:rsid w:val="003A4EB6"/>
    <w:rsid w:val="003A5193"/>
    <w:rsid w:val="003A669C"/>
    <w:rsid w:val="003A797C"/>
    <w:rsid w:val="003A7FA6"/>
    <w:rsid w:val="003B00D7"/>
    <w:rsid w:val="003B0977"/>
    <w:rsid w:val="003B0F38"/>
    <w:rsid w:val="003B1705"/>
    <w:rsid w:val="003B2218"/>
    <w:rsid w:val="003B2985"/>
    <w:rsid w:val="003B303B"/>
    <w:rsid w:val="003B30A5"/>
    <w:rsid w:val="003B3FDF"/>
    <w:rsid w:val="003B4DD5"/>
    <w:rsid w:val="003B501A"/>
    <w:rsid w:val="003B510D"/>
    <w:rsid w:val="003B56F9"/>
    <w:rsid w:val="003B651F"/>
    <w:rsid w:val="003B6A09"/>
    <w:rsid w:val="003B6F73"/>
    <w:rsid w:val="003B7B41"/>
    <w:rsid w:val="003B7F7A"/>
    <w:rsid w:val="003B7FD5"/>
    <w:rsid w:val="003C0798"/>
    <w:rsid w:val="003C0DD6"/>
    <w:rsid w:val="003C0F63"/>
    <w:rsid w:val="003C0FB7"/>
    <w:rsid w:val="003C1B66"/>
    <w:rsid w:val="003C1B92"/>
    <w:rsid w:val="003C1F9F"/>
    <w:rsid w:val="003C30F5"/>
    <w:rsid w:val="003C3870"/>
    <w:rsid w:val="003C3931"/>
    <w:rsid w:val="003C3CEF"/>
    <w:rsid w:val="003C61A4"/>
    <w:rsid w:val="003C624E"/>
    <w:rsid w:val="003C6443"/>
    <w:rsid w:val="003C6585"/>
    <w:rsid w:val="003C784B"/>
    <w:rsid w:val="003C7B01"/>
    <w:rsid w:val="003D0802"/>
    <w:rsid w:val="003D0806"/>
    <w:rsid w:val="003D13BC"/>
    <w:rsid w:val="003D22D6"/>
    <w:rsid w:val="003D2D89"/>
    <w:rsid w:val="003D3C57"/>
    <w:rsid w:val="003D3F40"/>
    <w:rsid w:val="003D470E"/>
    <w:rsid w:val="003D539F"/>
    <w:rsid w:val="003D5FA4"/>
    <w:rsid w:val="003D61DD"/>
    <w:rsid w:val="003D6B43"/>
    <w:rsid w:val="003D77B9"/>
    <w:rsid w:val="003D7E23"/>
    <w:rsid w:val="003D7E3E"/>
    <w:rsid w:val="003E01F4"/>
    <w:rsid w:val="003E086B"/>
    <w:rsid w:val="003E08FF"/>
    <w:rsid w:val="003E0DF4"/>
    <w:rsid w:val="003E2E29"/>
    <w:rsid w:val="003E36E3"/>
    <w:rsid w:val="003E3A36"/>
    <w:rsid w:val="003E3A8F"/>
    <w:rsid w:val="003E4086"/>
    <w:rsid w:val="003E41ED"/>
    <w:rsid w:val="003E4728"/>
    <w:rsid w:val="003E4E81"/>
    <w:rsid w:val="003E5DBC"/>
    <w:rsid w:val="003E60F7"/>
    <w:rsid w:val="003E79D1"/>
    <w:rsid w:val="003E7FBB"/>
    <w:rsid w:val="003F06AE"/>
    <w:rsid w:val="003F1619"/>
    <w:rsid w:val="003F1E73"/>
    <w:rsid w:val="003F1F7C"/>
    <w:rsid w:val="003F2E16"/>
    <w:rsid w:val="003F30AE"/>
    <w:rsid w:val="003F39CA"/>
    <w:rsid w:val="003F428D"/>
    <w:rsid w:val="003F4D21"/>
    <w:rsid w:val="003F533E"/>
    <w:rsid w:val="003F53E9"/>
    <w:rsid w:val="003F5951"/>
    <w:rsid w:val="003F5FD3"/>
    <w:rsid w:val="003F63E5"/>
    <w:rsid w:val="003F7538"/>
    <w:rsid w:val="003F783D"/>
    <w:rsid w:val="003F7DD7"/>
    <w:rsid w:val="00400AF4"/>
    <w:rsid w:val="00400F1B"/>
    <w:rsid w:val="004017C4"/>
    <w:rsid w:val="0040207F"/>
    <w:rsid w:val="00402194"/>
    <w:rsid w:val="004039C7"/>
    <w:rsid w:val="0040520C"/>
    <w:rsid w:val="0040569B"/>
    <w:rsid w:val="0040670D"/>
    <w:rsid w:val="004070DD"/>
    <w:rsid w:val="00407453"/>
    <w:rsid w:val="00410403"/>
    <w:rsid w:val="004104D8"/>
    <w:rsid w:val="00410606"/>
    <w:rsid w:val="00410888"/>
    <w:rsid w:val="004118AC"/>
    <w:rsid w:val="00411B1C"/>
    <w:rsid w:val="00411BAE"/>
    <w:rsid w:val="00411E00"/>
    <w:rsid w:val="00411E8C"/>
    <w:rsid w:val="004120D1"/>
    <w:rsid w:val="00412267"/>
    <w:rsid w:val="00412A1B"/>
    <w:rsid w:val="004131B8"/>
    <w:rsid w:val="0041460F"/>
    <w:rsid w:val="00414641"/>
    <w:rsid w:val="00414662"/>
    <w:rsid w:val="004160E0"/>
    <w:rsid w:val="004166C2"/>
    <w:rsid w:val="0041674B"/>
    <w:rsid w:val="004177B9"/>
    <w:rsid w:val="00417FA8"/>
    <w:rsid w:val="00420AF2"/>
    <w:rsid w:val="00421176"/>
    <w:rsid w:val="004215CC"/>
    <w:rsid w:val="004216F9"/>
    <w:rsid w:val="00421A10"/>
    <w:rsid w:val="004222E0"/>
    <w:rsid w:val="0042274C"/>
    <w:rsid w:val="004229C2"/>
    <w:rsid w:val="00423423"/>
    <w:rsid w:val="00424285"/>
    <w:rsid w:val="004247C8"/>
    <w:rsid w:val="00425C9C"/>
    <w:rsid w:val="0042789A"/>
    <w:rsid w:val="00427C45"/>
    <w:rsid w:val="00430665"/>
    <w:rsid w:val="00430E93"/>
    <w:rsid w:val="00431DCA"/>
    <w:rsid w:val="00432210"/>
    <w:rsid w:val="00433331"/>
    <w:rsid w:val="00434658"/>
    <w:rsid w:val="00434703"/>
    <w:rsid w:val="00434F60"/>
    <w:rsid w:val="004365B9"/>
    <w:rsid w:val="00436792"/>
    <w:rsid w:val="00436B9F"/>
    <w:rsid w:val="00440296"/>
    <w:rsid w:val="00441337"/>
    <w:rsid w:val="0044145C"/>
    <w:rsid w:val="004415EE"/>
    <w:rsid w:val="00441B00"/>
    <w:rsid w:val="0044244C"/>
    <w:rsid w:val="00442BF0"/>
    <w:rsid w:val="00442D05"/>
    <w:rsid w:val="00443FED"/>
    <w:rsid w:val="00444A9D"/>
    <w:rsid w:val="004451EE"/>
    <w:rsid w:val="00445447"/>
    <w:rsid w:val="004457EE"/>
    <w:rsid w:val="00445E44"/>
    <w:rsid w:val="004465F9"/>
    <w:rsid w:val="00446A68"/>
    <w:rsid w:val="00446E6C"/>
    <w:rsid w:val="00447FF7"/>
    <w:rsid w:val="00450732"/>
    <w:rsid w:val="00451780"/>
    <w:rsid w:val="00451D33"/>
    <w:rsid w:val="00452B4B"/>
    <w:rsid w:val="0045332F"/>
    <w:rsid w:val="00453F6A"/>
    <w:rsid w:val="0045424D"/>
    <w:rsid w:val="004548D7"/>
    <w:rsid w:val="004549A4"/>
    <w:rsid w:val="00454B0F"/>
    <w:rsid w:val="00454BB6"/>
    <w:rsid w:val="004554D0"/>
    <w:rsid w:val="00455811"/>
    <w:rsid w:val="0045598F"/>
    <w:rsid w:val="00455DA9"/>
    <w:rsid w:val="0045635F"/>
    <w:rsid w:val="00456646"/>
    <w:rsid w:val="00456DC3"/>
    <w:rsid w:val="00456F5F"/>
    <w:rsid w:val="004575B6"/>
    <w:rsid w:val="004577D1"/>
    <w:rsid w:val="004600EA"/>
    <w:rsid w:val="0046024A"/>
    <w:rsid w:val="004602F8"/>
    <w:rsid w:val="004603A7"/>
    <w:rsid w:val="00461485"/>
    <w:rsid w:val="00461D9B"/>
    <w:rsid w:val="00462260"/>
    <w:rsid w:val="004624D7"/>
    <w:rsid w:val="00462DC5"/>
    <w:rsid w:val="0046322A"/>
    <w:rsid w:val="004636E6"/>
    <w:rsid w:val="0046474B"/>
    <w:rsid w:val="004647CE"/>
    <w:rsid w:val="004651AC"/>
    <w:rsid w:val="00465C9D"/>
    <w:rsid w:val="00465FD0"/>
    <w:rsid w:val="00466A84"/>
    <w:rsid w:val="00466BAA"/>
    <w:rsid w:val="00466E20"/>
    <w:rsid w:val="00467861"/>
    <w:rsid w:val="00467FAF"/>
    <w:rsid w:val="004708AF"/>
    <w:rsid w:val="004713F1"/>
    <w:rsid w:val="0047143A"/>
    <w:rsid w:val="00472763"/>
    <w:rsid w:val="004746D9"/>
    <w:rsid w:val="00474809"/>
    <w:rsid w:val="00476045"/>
    <w:rsid w:val="004761C1"/>
    <w:rsid w:val="00476308"/>
    <w:rsid w:val="00477BC0"/>
    <w:rsid w:val="00480338"/>
    <w:rsid w:val="0048082C"/>
    <w:rsid w:val="00480CA0"/>
    <w:rsid w:val="004817BE"/>
    <w:rsid w:val="00482136"/>
    <w:rsid w:val="0048238D"/>
    <w:rsid w:val="00482791"/>
    <w:rsid w:val="00483041"/>
    <w:rsid w:val="004831E8"/>
    <w:rsid w:val="00483DBF"/>
    <w:rsid w:val="0048414E"/>
    <w:rsid w:val="0048421F"/>
    <w:rsid w:val="004853B8"/>
    <w:rsid w:val="00485502"/>
    <w:rsid w:val="004857AB"/>
    <w:rsid w:val="004866C9"/>
    <w:rsid w:val="00487330"/>
    <w:rsid w:val="004877A0"/>
    <w:rsid w:val="00487807"/>
    <w:rsid w:val="00487C64"/>
    <w:rsid w:val="00490E3C"/>
    <w:rsid w:val="00492F0B"/>
    <w:rsid w:val="00492F8D"/>
    <w:rsid w:val="0049361D"/>
    <w:rsid w:val="00493794"/>
    <w:rsid w:val="00493D87"/>
    <w:rsid w:val="00494271"/>
    <w:rsid w:val="00494BBD"/>
    <w:rsid w:val="0049573B"/>
    <w:rsid w:val="00495B7C"/>
    <w:rsid w:val="00495DF7"/>
    <w:rsid w:val="00496397"/>
    <w:rsid w:val="00496472"/>
    <w:rsid w:val="00497083"/>
    <w:rsid w:val="004970E9"/>
    <w:rsid w:val="00497299"/>
    <w:rsid w:val="0049795B"/>
    <w:rsid w:val="00497A48"/>
    <w:rsid w:val="00497C0F"/>
    <w:rsid w:val="004A0132"/>
    <w:rsid w:val="004A0452"/>
    <w:rsid w:val="004A159F"/>
    <w:rsid w:val="004A1AA8"/>
    <w:rsid w:val="004A1ABF"/>
    <w:rsid w:val="004A23AC"/>
    <w:rsid w:val="004A256F"/>
    <w:rsid w:val="004A26D1"/>
    <w:rsid w:val="004A3578"/>
    <w:rsid w:val="004A43AB"/>
    <w:rsid w:val="004A45FA"/>
    <w:rsid w:val="004A4A66"/>
    <w:rsid w:val="004A4AAC"/>
    <w:rsid w:val="004A4F88"/>
    <w:rsid w:val="004A5A5D"/>
    <w:rsid w:val="004A5F6E"/>
    <w:rsid w:val="004A6613"/>
    <w:rsid w:val="004A7071"/>
    <w:rsid w:val="004A7216"/>
    <w:rsid w:val="004A77D1"/>
    <w:rsid w:val="004B0366"/>
    <w:rsid w:val="004B072A"/>
    <w:rsid w:val="004B088E"/>
    <w:rsid w:val="004B0F8F"/>
    <w:rsid w:val="004B1233"/>
    <w:rsid w:val="004B1B3A"/>
    <w:rsid w:val="004B2299"/>
    <w:rsid w:val="004B26EE"/>
    <w:rsid w:val="004B3142"/>
    <w:rsid w:val="004B39C8"/>
    <w:rsid w:val="004B3B59"/>
    <w:rsid w:val="004B4567"/>
    <w:rsid w:val="004B56F7"/>
    <w:rsid w:val="004B5A1D"/>
    <w:rsid w:val="004B5F31"/>
    <w:rsid w:val="004B672B"/>
    <w:rsid w:val="004C06B3"/>
    <w:rsid w:val="004C075C"/>
    <w:rsid w:val="004C0767"/>
    <w:rsid w:val="004C0ADB"/>
    <w:rsid w:val="004C102A"/>
    <w:rsid w:val="004C1657"/>
    <w:rsid w:val="004C193C"/>
    <w:rsid w:val="004C2E69"/>
    <w:rsid w:val="004C2F91"/>
    <w:rsid w:val="004C3B0F"/>
    <w:rsid w:val="004C4383"/>
    <w:rsid w:val="004C463B"/>
    <w:rsid w:val="004C4684"/>
    <w:rsid w:val="004C46ED"/>
    <w:rsid w:val="004C4A7D"/>
    <w:rsid w:val="004C4DD0"/>
    <w:rsid w:val="004C4E0C"/>
    <w:rsid w:val="004C5018"/>
    <w:rsid w:val="004C5166"/>
    <w:rsid w:val="004C5D64"/>
    <w:rsid w:val="004C68EE"/>
    <w:rsid w:val="004C6B41"/>
    <w:rsid w:val="004C6CCF"/>
    <w:rsid w:val="004C6E4C"/>
    <w:rsid w:val="004C6E6A"/>
    <w:rsid w:val="004D003D"/>
    <w:rsid w:val="004D011C"/>
    <w:rsid w:val="004D0154"/>
    <w:rsid w:val="004D0C55"/>
    <w:rsid w:val="004D11D8"/>
    <w:rsid w:val="004D19EE"/>
    <w:rsid w:val="004D2785"/>
    <w:rsid w:val="004D2CE3"/>
    <w:rsid w:val="004D3AAB"/>
    <w:rsid w:val="004D4A9E"/>
    <w:rsid w:val="004D5755"/>
    <w:rsid w:val="004D5E87"/>
    <w:rsid w:val="004D65AB"/>
    <w:rsid w:val="004D6617"/>
    <w:rsid w:val="004D78E5"/>
    <w:rsid w:val="004D7B3F"/>
    <w:rsid w:val="004D7DFD"/>
    <w:rsid w:val="004E0B8A"/>
    <w:rsid w:val="004E0CD1"/>
    <w:rsid w:val="004E17C6"/>
    <w:rsid w:val="004E1C5D"/>
    <w:rsid w:val="004E1DEB"/>
    <w:rsid w:val="004E2BB4"/>
    <w:rsid w:val="004E2E20"/>
    <w:rsid w:val="004E310E"/>
    <w:rsid w:val="004E3386"/>
    <w:rsid w:val="004E3AB6"/>
    <w:rsid w:val="004E4EEF"/>
    <w:rsid w:val="004E5E07"/>
    <w:rsid w:val="004E63A9"/>
    <w:rsid w:val="004E752A"/>
    <w:rsid w:val="004E7859"/>
    <w:rsid w:val="004E7B53"/>
    <w:rsid w:val="004E7C3C"/>
    <w:rsid w:val="004F021D"/>
    <w:rsid w:val="004F04A9"/>
    <w:rsid w:val="004F0777"/>
    <w:rsid w:val="004F0EDA"/>
    <w:rsid w:val="004F27E1"/>
    <w:rsid w:val="004F2AF5"/>
    <w:rsid w:val="004F4340"/>
    <w:rsid w:val="004F47CB"/>
    <w:rsid w:val="004F51B3"/>
    <w:rsid w:val="004F5383"/>
    <w:rsid w:val="004F53A1"/>
    <w:rsid w:val="004F5634"/>
    <w:rsid w:val="004F5C5B"/>
    <w:rsid w:val="004F5EA6"/>
    <w:rsid w:val="004F6389"/>
    <w:rsid w:val="004F6E0F"/>
    <w:rsid w:val="005004E7"/>
    <w:rsid w:val="0050074B"/>
    <w:rsid w:val="005007F8"/>
    <w:rsid w:val="00500C8F"/>
    <w:rsid w:val="00500DF4"/>
    <w:rsid w:val="005013AB"/>
    <w:rsid w:val="005017B4"/>
    <w:rsid w:val="00501A13"/>
    <w:rsid w:val="00502191"/>
    <w:rsid w:val="0050236E"/>
    <w:rsid w:val="005029E3"/>
    <w:rsid w:val="00502A0A"/>
    <w:rsid w:val="00503635"/>
    <w:rsid w:val="00503BA6"/>
    <w:rsid w:val="00503E54"/>
    <w:rsid w:val="00504CBE"/>
    <w:rsid w:val="00504D3B"/>
    <w:rsid w:val="00505E07"/>
    <w:rsid w:val="005100C2"/>
    <w:rsid w:val="00510F76"/>
    <w:rsid w:val="0051140A"/>
    <w:rsid w:val="005119AB"/>
    <w:rsid w:val="00511C68"/>
    <w:rsid w:val="00511C9C"/>
    <w:rsid w:val="00512E4C"/>
    <w:rsid w:val="00513485"/>
    <w:rsid w:val="0051361A"/>
    <w:rsid w:val="00513B6E"/>
    <w:rsid w:val="00513DE3"/>
    <w:rsid w:val="0051478A"/>
    <w:rsid w:val="00514A54"/>
    <w:rsid w:val="005153C9"/>
    <w:rsid w:val="0051635A"/>
    <w:rsid w:val="00516D55"/>
    <w:rsid w:val="00517A4A"/>
    <w:rsid w:val="0052002B"/>
    <w:rsid w:val="00520159"/>
    <w:rsid w:val="00520492"/>
    <w:rsid w:val="00520950"/>
    <w:rsid w:val="0052141F"/>
    <w:rsid w:val="00521578"/>
    <w:rsid w:val="00521DB9"/>
    <w:rsid w:val="00522ED8"/>
    <w:rsid w:val="005231AE"/>
    <w:rsid w:val="005231D0"/>
    <w:rsid w:val="005236B1"/>
    <w:rsid w:val="00523719"/>
    <w:rsid w:val="00523835"/>
    <w:rsid w:val="00524962"/>
    <w:rsid w:val="00524DC1"/>
    <w:rsid w:val="0052504F"/>
    <w:rsid w:val="0052523D"/>
    <w:rsid w:val="00526AC3"/>
    <w:rsid w:val="00526DD8"/>
    <w:rsid w:val="00526F5F"/>
    <w:rsid w:val="00527119"/>
    <w:rsid w:val="00531567"/>
    <w:rsid w:val="00531843"/>
    <w:rsid w:val="00531910"/>
    <w:rsid w:val="00531D28"/>
    <w:rsid w:val="00532C6D"/>
    <w:rsid w:val="00532EE3"/>
    <w:rsid w:val="005336CD"/>
    <w:rsid w:val="005344D9"/>
    <w:rsid w:val="005351A7"/>
    <w:rsid w:val="005364FC"/>
    <w:rsid w:val="00536CCF"/>
    <w:rsid w:val="0053789C"/>
    <w:rsid w:val="005379D5"/>
    <w:rsid w:val="00537A76"/>
    <w:rsid w:val="00537DDD"/>
    <w:rsid w:val="00537F30"/>
    <w:rsid w:val="00540021"/>
    <w:rsid w:val="00540667"/>
    <w:rsid w:val="00540932"/>
    <w:rsid w:val="00540B17"/>
    <w:rsid w:val="005430A7"/>
    <w:rsid w:val="00543531"/>
    <w:rsid w:val="005435E7"/>
    <w:rsid w:val="005443DA"/>
    <w:rsid w:val="0054476A"/>
    <w:rsid w:val="005455E4"/>
    <w:rsid w:val="005464E0"/>
    <w:rsid w:val="005507A1"/>
    <w:rsid w:val="005507D9"/>
    <w:rsid w:val="0055202A"/>
    <w:rsid w:val="00552D81"/>
    <w:rsid w:val="0055524D"/>
    <w:rsid w:val="005554F0"/>
    <w:rsid w:val="0055559F"/>
    <w:rsid w:val="00556585"/>
    <w:rsid w:val="00556932"/>
    <w:rsid w:val="00557BF5"/>
    <w:rsid w:val="005602C5"/>
    <w:rsid w:val="00560776"/>
    <w:rsid w:val="0056097C"/>
    <w:rsid w:val="00561DE2"/>
    <w:rsid w:val="00562149"/>
    <w:rsid w:val="00563B1B"/>
    <w:rsid w:val="00563CDB"/>
    <w:rsid w:val="00564641"/>
    <w:rsid w:val="00564A27"/>
    <w:rsid w:val="00565E98"/>
    <w:rsid w:val="00566C9D"/>
    <w:rsid w:val="00566CC9"/>
    <w:rsid w:val="00567234"/>
    <w:rsid w:val="0056799C"/>
    <w:rsid w:val="00567C3E"/>
    <w:rsid w:val="00567DD1"/>
    <w:rsid w:val="005708DE"/>
    <w:rsid w:val="00570F4A"/>
    <w:rsid w:val="00572176"/>
    <w:rsid w:val="00572D5F"/>
    <w:rsid w:val="00574B3F"/>
    <w:rsid w:val="00576BF2"/>
    <w:rsid w:val="00577CC8"/>
    <w:rsid w:val="00580207"/>
    <w:rsid w:val="0058025C"/>
    <w:rsid w:val="0058055B"/>
    <w:rsid w:val="005814C7"/>
    <w:rsid w:val="0058197D"/>
    <w:rsid w:val="00581E0D"/>
    <w:rsid w:val="00581EE1"/>
    <w:rsid w:val="00582043"/>
    <w:rsid w:val="005826CD"/>
    <w:rsid w:val="00582A0C"/>
    <w:rsid w:val="00582B74"/>
    <w:rsid w:val="005838E0"/>
    <w:rsid w:val="005845DB"/>
    <w:rsid w:val="00584B3B"/>
    <w:rsid w:val="00584DB0"/>
    <w:rsid w:val="00584F10"/>
    <w:rsid w:val="00585183"/>
    <w:rsid w:val="00585610"/>
    <w:rsid w:val="0058640E"/>
    <w:rsid w:val="00586FCE"/>
    <w:rsid w:val="005870A0"/>
    <w:rsid w:val="005906C6"/>
    <w:rsid w:val="00590DC1"/>
    <w:rsid w:val="00590F89"/>
    <w:rsid w:val="005915A2"/>
    <w:rsid w:val="005917AD"/>
    <w:rsid w:val="00591F16"/>
    <w:rsid w:val="00592482"/>
    <w:rsid w:val="00592498"/>
    <w:rsid w:val="005928D3"/>
    <w:rsid w:val="00592AD5"/>
    <w:rsid w:val="00592BA2"/>
    <w:rsid w:val="00593091"/>
    <w:rsid w:val="00594000"/>
    <w:rsid w:val="0059453F"/>
    <w:rsid w:val="005949E5"/>
    <w:rsid w:val="00595517"/>
    <w:rsid w:val="00595B00"/>
    <w:rsid w:val="00595BC0"/>
    <w:rsid w:val="005969E3"/>
    <w:rsid w:val="0059786D"/>
    <w:rsid w:val="00597F07"/>
    <w:rsid w:val="005A012D"/>
    <w:rsid w:val="005A2129"/>
    <w:rsid w:val="005A257C"/>
    <w:rsid w:val="005A28DD"/>
    <w:rsid w:val="005A42E3"/>
    <w:rsid w:val="005A51ED"/>
    <w:rsid w:val="005A57FE"/>
    <w:rsid w:val="005A5C19"/>
    <w:rsid w:val="005A5CE8"/>
    <w:rsid w:val="005A5D02"/>
    <w:rsid w:val="005A6669"/>
    <w:rsid w:val="005A6A97"/>
    <w:rsid w:val="005A6BF1"/>
    <w:rsid w:val="005A7817"/>
    <w:rsid w:val="005A7C9D"/>
    <w:rsid w:val="005A7E85"/>
    <w:rsid w:val="005B0263"/>
    <w:rsid w:val="005B0B42"/>
    <w:rsid w:val="005B101A"/>
    <w:rsid w:val="005B13B0"/>
    <w:rsid w:val="005B13FE"/>
    <w:rsid w:val="005B2408"/>
    <w:rsid w:val="005B3608"/>
    <w:rsid w:val="005B3B0D"/>
    <w:rsid w:val="005B3B18"/>
    <w:rsid w:val="005B4354"/>
    <w:rsid w:val="005B439B"/>
    <w:rsid w:val="005B4B07"/>
    <w:rsid w:val="005B4EFC"/>
    <w:rsid w:val="005B56E0"/>
    <w:rsid w:val="005B5A2D"/>
    <w:rsid w:val="005B5E78"/>
    <w:rsid w:val="005B6440"/>
    <w:rsid w:val="005B64CE"/>
    <w:rsid w:val="005B686E"/>
    <w:rsid w:val="005B78E7"/>
    <w:rsid w:val="005B7E16"/>
    <w:rsid w:val="005C034F"/>
    <w:rsid w:val="005C09BA"/>
    <w:rsid w:val="005C0E05"/>
    <w:rsid w:val="005C172F"/>
    <w:rsid w:val="005C220E"/>
    <w:rsid w:val="005C2E2A"/>
    <w:rsid w:val="005C31F7"/>
    <w:rsid w:val="005C3450"/>
    <w:rsid w:val="005C36D0"/>
    <w:rsid w:val="005C36D3"/>
    <w:rsid w:val="005C3C3B"/>
    <w:rsid w:val="005C3E7C"/>
    <w:rsid w:val="005C401E"/>
    <w:rsid w:val="005C4A84"/>
    <w:rsid w:val="005C4AF8"/>
    <w:rsid w:val="005C5232"/>
    <w:rsid w:val="005C52FF"/>
    <w:rsid w:val="005C67CF"/>
    <w:rsid w:val="005C7168"/>
    <w:rsid w:val="005C743F"/>
    <w:rsid w:val="005C794C"/>
    <w:rsid w:val="005C7A57"/>
    <w:rsid w:val="005C7FBA"/>
    <w:rsid w:val="005D0B9E"/>
    <w:rsid w:val="005D0D77"/>
    <w:rsid w:val="005D123C"/>
    <w:rsid w:val="005D14A4"/>
    <w:rsid w:val="005D2B1B"/>
    <w:rsid w:val="005D3B4D"/>
    <w:rsid w:val="005D5E46"/>
    <w:rsid w:val="005D5E58"/>
    <w:rsid w:val="005D6BA1"/>
    <w:rsid w:val="005D6DC2"/>
    <w:rsid w:val="005E071A"/>
    <w:rsid w:val="005E1041"/>
    <w:rsid w:val="005E1400"/>
    <w:rsid w:val="005E1C6F"/>
    <w:rsid w:val="005E2813"/>
    <w:rsid w:val="005E2BA8"/>
    <w:rsid w:val="005E5A67"/>
    <w:rsid w:val="005E6850"/>
    <w:rsid w:val="005E6AB9"/>
    <w:rsid w:val="005E6DC0"/>
    <w:rsid w:val="005E763C"/>
    <w:rsid w:val="005E7790"/>
    <w:rsid w:val="005F01DC"/>
    <w:rsid w:val="005F06D9"/>
    <w:rsid w:val="005F07B3"/>
    <w:rsid w:val="005F0B00"/>
    <w:rsid w:val="005F0B29"/>
    <w:rsid w:val="005F0EA4"/>
    <w:rsid w:val="005F159C"/>
    <w:rsid w:val="005F1FE9"/>
    <w:rsid w:val="005F25EC"/>
    <w:rsid w:val="005F2C98"/>
    <w:rsid w:val="005F2DF5"/>
    <w:rsid w:val="005F305E"/>
    <w:rsid w:val="005F3623"/>
    <w:rsid w:val="005F368A"/>
    <w:rsid w:val="005F517E"/>
    <w:rsid w:val="005F6279"/>
    <w:rsid w:val="005F6862"/>
    <w:rsid w:val="005F691D"/>
    <w:rsid w:val="005F69CC"/>
    <w:rsid w:val="005F6EEF"/>
    <w:rsid w:val="005F7533"/>
    <w:rsid w:val="0060012E"/>
    <w:rsid w:val="00600F82"/>
    <w:rsid w:val="00601D2E"/>
    <w:rsid w:val="00601D4E"/>
    <w:rsid w:val="00602014"/>
    <w:rsid w:val="00602E75"/>
    <w:rsid w:val="006031A6"/>
    <w:rsid w:val="00603C90"/>
    <w:rsid w:val="00604637"/>
    <w:rsid w:val="0060516D"/>
    <w:rsid w:val="00605381"/>
    <w:rsid w:val="006055C4"/>
    <w:rsid w:val="00605BC0"/>
    <w:rsid w:val="00606024"/>
    <w:rsid w:val="006077BB"/>
    <w:rsid w:val="006078DB"/>
    <w:rsid w:val="00607B92"/>
    <w:rsid w:val="00607C74"/>
    <w:rsid w:val="0061014B"/>
    <w:rsid w:val="006101A9"/>
    <w:rsid w:val="006110BF"/>
    <w:rsid w:val="006128F0"/>
    <w:rsid w:val="00613A11"/>
    <w:rsid w:val="00614313"/>
    <w:rsid w:val="0061514F"/>
    <w:rsid w:val="00615E5C"/>
    <w:rsid w:val="006172AA"/>
    <w:rsid w:val="00617A0C"/>
    <w:rsid w:val="00617C25"/>
    <w:rsid w:val="00617C3F"/>
    <w:rsid w:val="00617D73"/>
    <w:rsid w:val="00617EFE"/>
    <w:rsid w:val="006201AB"/>
    <w:rsid w:val="00620A24"/>
    <w:rsid w:val="0062171F"/>
    <w:rsid w:val="00621C3D"/>
    <w:rsid w:val="00622355"/>
    <w:rsid w:val="00622535"/>
    <w:rsid w:val="00622CF0"/>
    <w:rsid w:val="0062309A"/>
    <w:rsid w:val="00623B11"/>
    <w:rsid w:val="00624E3A"/>
    <w:rsid w:val="00625511"/>
    <w:rsid w:val="0062557E"/>
    <w:rsid w:val="006258CC"/>
    <w:rsid w:val="00626555"/>
    <w:rsid w:val="00626807"/>
    <w:rsid w:val="00627258"/>
    <w:rsid w:val="00627843"/>
    <w:rsid w:val="006304B5"/>
    <w:rsid w:val="0063067A"/>
    <w:rsid w:val="006310A4"/>
    <w:rsid w:val="00631442"/>
    <w:rsid w:val="00631AF2"/>
    <w:rsid w:val="00631F93"/>
    <w:rsid w:val="00632293"/>
    <w:rsid w:val="00632BE8"/>
    <w:rsid w:val="006341DB"/>
    <w:rsid w:val="0063443E"/>
    <w:rsid w:val="00634471"/>
    <w:rsid w:val="00634FA8"/>
    <w:rsid w:val="00634FE6"/>
    <w:rsid w:val="0063551D"/>
    <w:rsid w:val="006356F0"/>
    <w:rsid w:val="00636379"/>
    <w:rsid w:val="00636915"/>
    <w:rsid w:val="00637F4B"/>
    <w:rsid w:val="00640827"/>
    <w:rsid w:val="00641027"/>
    <w:rsid w:val="00641103"/>
    <w:rsid w:val="00642385"/>
    <w:rsid w:val="006423BE"/>
    <w:rsid w:val="006432B1"/>
    <w:rsid w:val="006436A5"/>
    <w:rsid w:val="006436FB"/>
    <w:rsid w:val="00643C77"/>
    <w:rsid w:val="00644A31"/>
    <w:rsid w:val="00644B89"/>
    <w:rsid w:val="0064538E"/>
    <w:rsid w:val="00645CB6"/>
    <w:rsid w:val="00646899"/>
    <w:rsid w:val="00646FF2"/>
    <w:rsid w:val="00647AEF"/>
    <w:rsid w:val="00647DC3"/>
    <w:rsid w:val="00650058"/>
    <w:rsid w:val="0065044F"/>
    <w:rsid w:val="00651355"/>
    <w:rsid w:val="0065179C"/>
    <w:rsid w:val="00651C08"/>
    <w:rsid w:val="00651ED7"/>
    <w:rsid w:val="006523F7"/>
    <w:rsid w:val="00652746"/>
    <w:rsid w:val="00652B50"/>
    <w:rsid w:val="00652BEC"/>
    <w:rsid w:val="00653265"/>
    <w:rsid w:val="00655E9E"/>
    <w:rsid w:val="0065630B"/>
    <w:rsid w:val="00656ED4"/>
    <w:rsid w:val="00656F29"/>
    <w:rsid w:val="00657A3D"/>
    <w:rsid w:val="006621AF"/>
    <w:rsid w:val="0066229C"/>
    <w:rsid w:val="00663CCB"/>
    <w:rsid w:val="00663DA1"/>
    <w:rsid w:val="0066457E"/>
    <w:rsid w:val="00665748"/>
    <w:rsid w:val="0066627D"/>
    <w:rsid w:val="00666740"/>
    <w:rsid w:val="00666DDB"/>
    <w:rsid w:val="00666F00"/>
    <w:rsid w:val="006677CE"/>
    <w:rsid w:val="00667E85"/>
    <w:rsid w:val="00671611"/>
    <w:rsid w:val="00671A80"/>
    <w:rsid w:val="00672315"/>
    <w:rsid w:val="006726F5"/>
    <w:rsid w:val="00672AE9"/>
    <w:rsid w:val="00672D62"/>
    <w:rsid w:val="006746B2"/>
    <w:rsid w:val="006747EB"/>
    <w:rsid w:val="006750CE"/>
    <w:rsid w:val="00675416"/>
    <w:rsid w:val="0067676A"/>
    <w:rsid w:val="006774DE"/>
    <w:rsid w:val="00680420"/>
    <w:rsid w:val="0068191F"/>
    <w:rsid w:val="00681B88"/>
    <w:rsid w:val="00681BC0"/>
    <w:rsid w:val="00681DC0"/>
    <w:rsid w:val="00683CA1"/>
    <w:rsid w:val="00683E3C"/>
    <w:rsid w:val="006845C9"/>
    <w:rsid w:val="00685ED2"/>
    <w:rsid w:val="0068705E"/>
    <w:rsid w:val="00687EA5"/>
    <w:rsid w:val="006902FB"/>
    <w:rsid w:val="006904E7"/>
    <w:rsid w:val="00690638"/>
    <w:rsid w:val="00690808"/>
    <w:rsid w:val="00691C99"/>
    <w:rsid w:val="0069356B"/>
    <w:rsid w:val="006936B5"/>
    <w:rsid w:val="00694897"/>
    <w:rsid w:val="006953DD"/>
    <w:rsid w:val="0069572B"/>
    <w:rsid w:val="00695CB1"/>
    <w:rsid w:val="00695D53"/>
    <w:rsid w:val="00696131"/>
    <w:rsid w:val="006963EB"/>
    <w:rsid w:val="00696938"/>
    <w:rsid w:val="0069713B"/>
    <w:rsid w:val="0069745C"/>
    <w:rsid w:val="006974B4"/>
    <w:rsid w:val="0069768A"/>
    <w:rsid w:val="006978E6"/>
    <w:rsid w:val="00697AC5"/>
    <w:rsid w:val="006A01C6"/>
    <w:rsid w:val="006A21CA"/>
    <w:rsid w:val="006A4FC3"/>
    <w:rsid w:val="006A584A"/>
    <w:rsid w:val="006A5898"/>
    <w:rsid w:val="006A5C35"/>
    <w:rsid w:val="006A680D"/>
    <w:rsid w:val="006A6E2A"/>
    <w:rsid w:val="006A711D"/>
    <w:rsid w:val="006A727F"/>
    <w:rsid w:val="006B005A"/>
    <w:rsid w:val="006B0134"/>
    <w:rsid w:val="006B06E5"/>
    <w:rsid w:val="006B0E04"/>
    <w:rsid w:val="006B1610"/>
    <w:rsid w:val="006B16BC"/>
    <w:rsid w:val="006B2593"/>
    <w:rsid w:val="006B290F"/>
    <w:rsid w:val="006B4768"/>
    <w:rsid w:val="006B4993"/>
    <w:rsid w:val="006B4C0A"/>
    <w:rsid w:val="006B5038"/>
    <w:rsid w:val="006B5B52"/>
    <w:rsid w:val="006B6620"/>
    <w:rsid w:val="006C0029"/>
    <w:rsid w:val="006C0534"/>
    <w:rsid w:val="006C0B03"/>
    <w:rsid w:val="006C10C0"/>
    <w:rsid w:val="006C141D"/>
    <w:rsid w:val="006C17D7"/>
    <w:rsid w:val="006C1C96"/>
    <w:rsid w:val="006C1CC4"/>
    <w:rsid w:val="006C2187"/>
    <w:rsid w:val="006C2750"/>
    <w:rsid w:val="006C27BF"/>
    <w:rsid w:val="006C2FB1"/>
    <w:rsid w:val="006C4DE5"/>
    <w:rsid w:val="006C532A"/>
    <w:rsid w:val="006C53C3"/>
    <w:rsid w:val="006C5924"/>
    <w:rsid w:val="006C5EA1"/>
    <w:rsid w:val="006C5F68"/>
    <w:rsid w:val="006C7F43"/>
    <w:rsid w:val="006D1092"/>
    <w:rsid w:val="006D1132"/>
    <w:rsid w:val="006D133A"/>
    <w:rsid w:val="006D201D"/>
    <w:rsid w:val="006D2A59"/>
    <w:rsid w:val="006D30DC"/>
    <w:rsid w:val="006D3A86"/>
    <w:rsid w:val="006D3C8C"/>
    <w:rsid w:val="006D3E08"/>
    <w:rsid w:val="006D40E8"/>
    <w:rsid w:val="006D4706"/>
    <w:rsid w:val="006D479D"/>
    <w:rsid w:val="006D51AC"/>
    <w:rsid w:val="006D5C13"/>
    <w:rsid w:val="006D6788"/>
    <w:rsid w:val="006D706A"/>
    <w:rsid w:val="006D7185"/>
    <w:rsid w:val="006D78C9"/>
    <w:rsid w:val="006D7B26"/>
    <w:rsid w:val="006D7D83"/>
    <w:rsid w:val="006E1867"/>
    <w:rsid w:val="006E2AC9"/>
    <w:rsid w:val="006E3C06"/>
    <w:rsid w:val="006E4392"/>
    <w:rsid w:val="006E47B8"/>
    <w:rsid w:val="006E4870"/>
    <w:rsid w:val="006E4998"/>
    <w:rsid w:val="006E5222"/>
    <w:rsid w:val="006E62AB"/>
    <w:rsid w:val="006E6981"/>
    <w:rsid w:val="006E6B7D"/>
    <w:rsid w:val="006F0219"/>
    <w:rsid w:val="006F053A"/>
    <w:rsid w:val="006F0AB9"/>
    <w:rsid w:val="006F0C36"/>
    <w:rsid w:val="006F1C09"/>
    <w:rsid w:val="006F2348"/>
    <w:rsid w:val="006F29DA"/>
    <w:rsid w:val="006F2D47"/>
    <w:rsid w:val="006F2F49"/>
    <w:rsid w:val="006F34D8"/>
    <w:rsid w:val="006F3CEC"/>
    <w:rsid w:val="006F446D"/>
    <w:rsid w:val="006F4ABD"/>
    <w:rsid w:val="006F53CE"/>
    <w:rsid w:val="006F5401"/>
    <w:rsid w:val="006F59C7"/>
    <w:rsid w:val="006F59E2"/>
    <w:rsid w:val="006F5DEA"/>
    <w:rsid w:val="006F77B2"/>
    <w:rsid w:val="006F7A46"/>
    <w:rsid w:val="006F7F4F"/>
    <w:rsid w:val="00700707"/>
    <w:rsid w:val="00700E4D"/>
    <w:rsid w:val="00701188"/>
    <w:rsid w:val="00702449"/>
    <w:rsid w:val="00702C79"/>
    <w:rsid w:val="00702E05"/>
    <w:rsid w:val="00703269"/>
    <w:rsid w:val="00703394"/>
    <w:rsid w:val="007044A6"/>
    <w:rsid w:val="0070483A"/>
    <w:rsid w:val="0070483E"/>
    <w:rsid w:val="007057A3"/>
    <w:rsid w:val="00705A49"/>
    <w:rsid w:val="00705D3F"/>
    <w:rsid w:val="00705E52"/>
    <w:rsid w:val="00706710"/>
    <w:rsid w:val="00706FFE"/>
    <w:rsid w:val="00707EB2"/>
    <w:rsid w:val="0071012E"/>
    <w:rsid w:val="007103C4"/>
    <w:rsid w:val="00710478"/>
    <w:rsid w:val="00710514"/>
    <w:rsid w:val="00710759"/>
    <w:rsid w:val="00710C7E"/>
    <w:rsid w:val="0071111A"/>
    <w:rsid w:val="00711C76"/>
    <w:rsid w:val="00711CC6"/>
    <w:rsid w:val="007120CA"/>
    <w:rsid w:val="00712627"/>
    <w:rsid w:val="00712815"/>
    <w:rsid w:val="007130EB"/>
    <w:rsid w:val="0071311A"/>
    <w:rsid w:val="00713270"/>
    <w:rsid w:val="00713917"/>
    <w:rsid w:val="00713D20"/>
    <w:rsid w:val="0071426C"/>
    <w:rsid w:val="00715C4C"/>
    <w:rsid w:val="00716005"/>
    <w:rsid w:val="00716BA7"/>
    <w:rsid w:val="007177E0"/>
    <w:rsid w:val="00717D6E"/>
    <w:rsid w:val="00717DB9"/>
    <w:rsid w:val="00720404"/>
    <w:rsid w:val="0072100B"/>
    <w:rsid w:val="007211F8"/>
    <w:rsid w:val="007247FB"/>
    <w:rsid w:val="00725E20"/>
    <w:rsid w:val="0072751A"/>
    <w:rsid w:val="00727BB1"/>
    <w:rsid w:val="00730A6A"/>
    <w:rsid w:val="00731890"/>
    <w:rsid w:val="00731E39"/>
    <w:rsid w:val="007329E4"/>
    <w:rsid w:val="00732AAF"/>
    <w:rsid w:val="0073368D"/>
    <w:rsid w:val="007336B8"/>
    <w:rsid w:val="007341B5"/>
    <w:rsid w:val="00734269"/>
    <w:rsid w:val="007348B4"/>
    <w:rsid w:val="00735034"/>
    <w:rsid w:val="007354F8"/>
    <w:rsid w:val="007355CC"/>
    <w:rsid w:val="00735C35"/>
    <w:rsid w:val="00735FB8"/>
    <w:rsid w:val="00736247"/>
    <w:rsid w:val="007370EF"/>
    <w:rsid w:val="00740B88"/>
    <w:rsid w:val="0074151D"/>
    <w:rsid w:val="00742035"/>
    <w:rsid w:val="00742594"/>
    <w:rsid w:val="007429EF"/>
    <w:rsid w:val="00742B9B"/>
    <w:rsid w:val="00742FED"/>
    <w:rsid w:val="00743251"/>
    <w:rsid w:val="007435F3"/>
    <w:rsid w:val="00743F64"/>
    <w:rsid w:val="00743F85"/>
    <w:rsid w:val="00744302"/>
    <w:rsid w:val="007443F8"/>
    <w:rsid w:val="00745E3D"/>
    <w:rsid w:val="00746334"/>
    <w:rsid w:val="00746E4D"/>
    <w:rsid w:val="00747BB6"/>
    <w:rsid w:val="00747CDE"/>
    <w:rsid w:val="00750AEB"/>
    <w:rsid w:val="00750D74"/>
    <w:rsid w:val="00751F3E"/>
    <w:rsid w:val="00752EA1"/>
    <w:rsid w:val="007539C6"/>
    <w:rsid w:val="00753B2F"/>
    <w:rsid w:val="00754B6F"/>
    <w:rsid w:val="00755227"/>
    <w:rsid w:val="00755A2A"/>
    <w:rsid w:val="00756257"/>
    <w:rsid w:val="007566E7"/>
    <w:rsid w:val="007567D8"/>
    <w:rsid w:val="00756BCE"/>
    <w:rsid w:val="00756E52"/>
    <w:rsid w:val="007603C0"/>
    <w:rsid w:val="00761193"/>
    <w:rsid w:val="00761508"/>
    <w:rsid w:val="007617A8"/>
    <w:rsid w:val="00761C44"/>
    <w:rsid w:val="0076214C"/>
    <w:rsid w:val="0076259E"/>
    <w:rsid w:val="00762E3B"/>
    <w:rsid w:val="00762E77"/>
    <w:rsid w:val="00762F82"/>
    <w:rsid w:val="00763279"/>
    <w:rsid w:val="00763677"/>
    <w:rsid w:val="00764401"/>
    <w:rsid w:val="007650A9"/>
    <w:rsid w:val="007656CD"/>
    <w:rsid w:val="007657F4"/>
    <w:rsid w:val="0076706B"/>
    <w:rsid w:val="00767153"/>
    <w:rsid w:val="007678D0"/>
    <w:rsid w:val="007679C8"/>
    <w:rsid w:val="00770385"/>
    <w:rsid w:val="00770778"/>
    <w:rsid w:val="00770B2B"/>
    <w:rsid w:val="007713E7"/>
    <w:rsid w:val="007717B5"/>
    <w:rsid w:val="00772B20"/>
    <w:rsid w:val="00772B35"/>
    <w:rsid w:val="00773A43"/>
    <w:rsid w:val="00773E73"/>
    <w:rsid w:val="00774C13"/>
    <w:rsid w:val="007750F1"/>
    <w:rsid w:val="00775801"/>
    <w:rsid w:val="00775898"/>
    <w:rsid w:val="00775A7D"/>
    <w:rsid w:val="00775B65"/>
    <w:rsid w:val="00776321"/>
    <w:rsid w:val="00776877"/>
    <w:rsid w:val="00776B9C"/>
    <w:rsid w:val="007773A2"/>
    <w:rsid w:val="00777B51"/>
    <w:rsid w:val="00777FAE"/>
    <w:rsid w:val="0078026E"/>
    <w:rsid w:val="007812DF"/>
    <w:rsid w:val="00781B1C"/>
    <w:rsid w:val="00781C13"/>
    <w:rsid w:val="007829CF"/>
    <w:rsid w:val="007830E4"/>
    <w:rsid w:val="00783303"/>
    <w:rsid w:val="007839EB"/>
    <w:rsid w:val="00784277"/>
    <w:rsid w:val="007844FF"/>
    <w:rsid w:val="00784AB8"/>
    <w:rsid w:val="00784B8D"/>
    <w:rsid w:val="00784C60"/>
    <w:rsid w:val="00784C63"/>
    <w:rsid w:val="00787292"/>
    <w:rsid w:val="00787AB4"/>
    <w:rsid w:val="00790A92"/>
    <w:rsid w:val="0079155F"/>
    <w:rsid w:val="007915E9"/>
    <w:rsid w:val="00791F2C"/>
    <w:rsid w:val="007930B3"/>
    <w:rsid w:val="007932CA"/>
    <w:rsid w:val="007938CE"/>
    <w:rsid w:val="00793BD3"/>
    <w:rsid w:val="00794354"/>
    <w:rsid w:val="00794C00"/>
    <w:rsid w:val="00794E29"/>
    <w:rsid w:val="007959BE"/>
    <w:rsid w:val="00795D77"/>
    <w:rsid w:val="00796360"/>
    <w:rsid w:val="00796BA0"/>
    <w:rsid w:val="00797A5C"/>
    <w:rsid w:val="00797C1D"/>
    <w:rsid w:val="007A06F5"/>
    <w:rsid w:val="007A0C55"/>
    <w:rsid w:val="007A0F68"/>
    <w:rsid w:val="007A1683"/>
    <w:rsid w:val="007A189F"/>
    <w:rsid w:val="007A237D"/>
    <w:rsid w:val="007A2802"/>
    <w:rsid w:val="007A2F69"/>
    <w:rsid w:val="007A30C0"/>
    <w:rsid w:val="007A3214"/>
    <w:rsid w:val="007A349F"/>
    <w:rsid w:val="007A368C"/>
    <w:rsid w:val="007A450E"/>
    <w:rsid w:val="007A54E7"/>
    <w:rsid w:val="007A6F5F"/>
    <w:rsid w:val="007A72D2"/>
    <w:rsid w:val="007B0B95"/>
    <w:rsid w:val="007B118E"/>
    <w:rsid w:val="007B1288"/>
    <w:rsid w:val="007B140F"/>
    <w:rsid w:val="007B33DB"/>
    <w:rsid w:val="007B3711"/>
    <w:rsid w:val="007B3AAC"/>
    <w:rsid w:val="007B3BBE"/>
    <w:rsid w:val="007B46ED"/>
    <w:rsid w:val="007B59F2"/>
    <w:rsid w:val="007B5C3C"/>
    <w:rsid w:val="007B6F01"/>
    <w:rsid w:val="007C0225"/>
    <w:rsid w:val="007C05A1"/>
    <w:rsid w:val="007C0E63"/>
    <w:rsid w:val="007C16C6"/>
    <w:rsid w:val="007C1CD7"/>
    <w:rsid w:val="007C2494"/>
    <w:rsid w:val="007C2E77"/>
    <w:rsid w:val="007C4DC5"/>
    <w:rsid w:val="007C5D54"/>
    <w:rsid w:val="007C601C"/>
    <w:rsid w:val="007C6819"/>
    <w:rsid w:val="007C6869"/>
    <w:rsid w:val="007C6C91"/>
    <w:rsid w:val="007C6F18"/>
    <w:rsid w:val="007C72A7"/>
    <w:rsid w:val="007C7379"/>
    <w:rsid w:val="007C7E7C"/>
    <w:rsid w:val="007D0918"/>
    <w:rsid w:val="007D1743"/>
    <w:rsid w:val="007D1A5C"/>
    <w:rsid w:val="007D2702"/>
    <w:rsid w:val="007D296D"/>
    <w:rsid w:val="007D2A86"/>
    <w:rsid w:val="007D381B"/>
    <w:rsid w:val="007D40B7"/>
    <w:rsid w:val="007D4298"/>
    <w:rsid w:val="007D4846"/>
    <w:rsid w:val="007D4DC3"/>
    <w:rsid w:val="007D540D"/>
    <w:rsid w:val="007D5E6C"/>
    <w:rsid w:val="007D62E9"/>
    <w:rsid w:val="007D667F"/>
    <w:rsid w:val="007D6D1B"/>
    <w:rsid w:val="007D73FF"/>
    <w:rsid w:val="007D7409"/>
    <w:rsid w:val="007D7514"/>
    <w:rsid w:val="007D7B60"/>
    <w:rsid w:val="007D7C9D"/>
    <w:rsid w:val="007D7DC2"/>
    <w:rsid w:val="007E09EC"/>
    <w:rsid w:val="007E105B"/>
    <w:rsid w:val="007E2D5C"/>
    <w:rsid w:val="007E2F14"/>
    <w:rsid w:val="007E2F84"/>
    <w:rsid w:val="007E30DC"/>
    <w:rsid w:val="007E349E"/>
    <w:rsid w:val="007E3C46"/>
    <w:rsid w:val="007E3F70"/>
    <w:rsid w:val="007E50B7"/>
    <w:rsid w:val="007E5633"/>
    <w:rsid w:val="007E5981"/>
    <w:rsid w:val="007E68A9"/>
    <w:rsid w:val="007E6C84"/>
    <w:rsid w:val="007E6E0E"/>
    <w:rsid w:val="007E7670"/>
    <w:rsid w:val="007E7EE5"/>
    <w:rsid w:val="007F041B"/>
    <w:rsid w:val="007F177F"/>
    <w:rsid w:val="007F2537"/>
    <w:rsid w:val="007F29B5"/>
    <w:rsid w:val="007F2B70"/>
    <w:rsid w:val="007F328D"/>
    <w:rsid w:val="007F333E"/>
    <w:rsid w:val="007F3574"/>
    <w:rsid w:val="007F396E"/>
    <w:rsid w:val="007F3ACB"/>
    <w:rsid w:val="007F3B72"/>
    <w:rsid w:val="007F3BD6"/>
    <w:rsid w:val="007F3EFC"/>
    <w:rsid w:val="007F4F5D"/>
    <w:rsid w:val="007F57B5"/>
    <w:rsid w:val="007F5DBF"/>
    <w:rsid w:val="007F63E9"/>
    <w:rsid w:val="007F66CE"/>
    <w:rsid w:val="007F67A6"/>
    <w:rsid w:val="007F729A"/>
    <w:rsid w:val="007F72CF"/>
    <w:rsid w:val="007F7903"/>
    <w:rsid w:val="0080053E"/>
    <w:rsid w:val="00800E9F"/>
    <w:rsid w:val="008020B6"/>
    <w:rsid w:val="008036AD"/>
    <w:rsid w:val="00804260"/>
    <w:rsid w:val="00804851"/>
    <w:rsid w:val="00805614"/>
    <w:rsid w:val="0080650C"/>
    <w:rsid w:val="00806DF6"/>
    <w:rsid w:val="00806E5E"/>
    <w:rsid w:val="008072A5"/>
    <w:rsid w:val="008074BD"/>
    <w:rsid w:val="0080791F"/>
    <w:rsid w:val="008079A7"/>
    <w:rsid w:val="008100A0"/>
    <w:rsid w:val="0081128D"/>
    <w:rsid w:val="008112FD"/>
    <w:rsid w:val="00811344"/>
    <w:rsid w:val="0081297E"/>
    <w:rsid w:val="0081334F"/>
    <w:rsid w:val="008138F8"/>
    <w:rsid w:val="00813EDA"/>
    <w:rsid w:val="0081404E"/>
    <w:rsid w:val="00814F1F"/>
    <w:rsid w:val="008150A6"/>
    <w:rsid w:val="0081624A"/>
    <w:rsid w:val="0081643F"/>
    <w:rsid w:val="008168E7"/>
    <w:rsid w:val="00816957"/>
    <w:rsid w:val="00816DA0"/>
    <w:rsid w:val="008178C1"/>
    <w:rsid w:val="008205AD"/>
    <w:rsid w:val="00820868"/>
    <w:rsid w:val="008210DD"/>
    <w:rsid w:val="0082114E"/>
    <w:rsid w:val="008215FF"/>
    <w:rsid w:val="00821768"/>
    <w:rsid w:val="00823AAB"/>
    <w:rsid w:val="00823EC5"/>
    <w:rsid w:val="00823F98"/>
    <w:rsid w:val="0082530E"/>
    <w:rsid w:val="00825DF0"/>
    <w:rsid w:val="00826F26"/>
    <w:rsid w:val="00830A2A"/>
    <w:rsid w:val="00830E35"/>
    <w:rsid w:val="008316B9"/>
    <w:rsid w:val="00831DF6"/>
    <w:rsid w:val="00832596"/>
    <w:rsid w:val="008330DF"/>
    <w:rsid w:val="00834806"/>
    <w:rsid w:val="00834D98"/>
    <w:rsid w:val="00834DDB"/>
    <w:rsid w:val="0083673F"/>
    <w:rsid w:val="00836872"/>
    <w:rsid w:val="00836B3D"/>
    <w:rsid w:val="0084127C"/>
    <w:rsid w:val="00842861"/>
    <w:rsid w:val="00843842"/>
    <w:rsid w:val="0084413F"/>
    <w:rsid w:val="0084535A"/>
    <w:rsid w:val="00845854"/>
    <w:rsid w:val="00845D2C"/>
    <w:rsid w:val="008463B0"/>
    <w:rsid w:val="008471AF"/>
    <w:rsid w:val="00847478"/>
    <w:rsid w:val="008500B4"/>
    <w:rsid w:val="0085042F"/>
    <w:rsid w:val="008508D9"/>
    <w:rsid w:val="008510D1"/>
    <w:rsid w:val="0085127B"/>
    <w:rsid w:val="008512B8"/>
    <w:rsid w:val="00851ACF"/>
    <w:rsid w:val="00853C15"/>
    <w:rsid w:val="00853C73"/>
    <w:rsid w:val="00854069"/>
    <w:rsid w:val="0085576D"/>
    <w:rsid w:val="00857C4F"/>
    <w:rsid w:val="00860783"/>
    <w:rsid w:val="00860BDF"/>
    <w:rsid w:val="008612F8"/>
    <w:rsid w:val="00861599"/>
    <w:rsid w:val="00861747"/>
    <w:rsid w:val="00861B10"/>
    <w:rsid w:val="008623EE"/>
    <w:rsid w:val="00862883"/>
    <w:rsid w:val="008628F1"/>
    <w:rsid w:val="00862A82"/>
    <w:rsid w:val="00862AA0"/>
    <w:rsid w:val="00862E87"/>
    <w:rsid w:val="00864193"/>
    <w:rsid w:val="00864F30"/>
    <w:rsid w:val="00864FA4"/>
    <w:rsid w:val="0086619E"/>
    <w:rsid w:val="008662BF"/>
    <w:rsid w:val="00866CEE"/>
    <w:rsid w:val="008676DF"/>
    <w:rsid w:val="00867DDE"/>
    <w:rsid w:val="00867DF3"/>
    <w:rsid w:val="0087113F"/>
    <w:rsid w:val="00871AA9"/>
    <w:rsid w:val="00871C51"/>
    <w:rsid w:val="0087219B"/>
    <w:rsid w:val="0087466C"/>
    <w:rsid w:val="008746C8"/>
    <w:rsid w:val="00874F94"/>
    <w:rsid w:val="0087534D"/>
    <w:rsid w:val="008754BA"/>
    <w:rsid w:val="0087556D"/>
    <w:rsid w:val="008755F4"/>
    <w:rsid w:val="00876224"/>
    <w:rsid w:val="008766E7"/>
    <w:rsid w:val="0087697C"/>
    <w:rsid w:val="008769C7"/>
    <w:rsid w:val="00876CB6"/>
    <w:rsid w:val="00876F5A"/>
    <w:rsid w:val="008773E3"/>
    <w:rsid w:val="0088007F"/>
    <w:rsid w:val="00882272"/>
    <w:rsid w:val="00882D21"/>
    <w:rsid w:val="00883344"/>
    <w:rsid w:val="008833D4"/>
    <w:rsid w:val="00883A13"/>
    <w:rsid w:val="0088491B"/>
    <w:rsid w:val="00884CC1"/>
    <w:rsid w:val="00884FBA"/>
    <w:rsid w:val="008855CC"/>
    <w:rsid w:val="00885A5A"/>
    <w:rsid w:val="00885D66"/>
    <w:rsid w:val="00886DF2"/>
    <w:rsid w:val="00887F02"/>
    <w:rsid w:val="00891487"/>
    <w:rsid w:val="0089185D"/>
    <w:rsid w:val="008919A0"/>
    <w:rsid w:val="00891B3B"/>
    <w:rsid w:val="0089286B"/>
    <w:rsid w:val="008932F4"/>
    <w:rsid w:val="00893CFC"/>
    <w:rsid w:val="00893E8A"/>
    <w:rsid w:val="00893F9A"/>
    <w:rsid w:val="008948EF"/>
    <w:rsid w:val="00894DD6"/>
    <w:rsid w:val="0089501A"/>
    <w:rsid w:val="008956C0"/>
    <w:rsid w:val="00896920"/>
    <w:rsid w:val="00896A68"/>
    <w:rsid w:val="00896C92"/>
    <w:rsid w:val="00896FB3"/>
    <w:rsid w:val="008973F5"/>
    <w:rsid w:val="00897E88"/>
    <w:rsid w:val="008A1510"/>
    <w:rsid w:val="008A1811"/>
    <w:rsid w:val="008A18B2"/>
    <w:rsid w:val="008A3ECC"/>
    <w:rsid w:val="008A482D"/>
    <w:rsid w:val="008A48AB"/>
    <w:rsid w:val="008A4EA5"/>
    <w:rsid w:val="008A6919"/>
    <w:rsid w:val="008A7D6E"/>
    <w:rsid w:val="008B0564"/>
    <w:rsid w:val="008B0752"/>
    <w:rsid w:val="008B0EA2"/>
    <w:rsid w:val="008B13F5"/>
    <w:rsid w:val="008B29F1"/>
    <w:rsid w:val="008B34B7"/>
    <w:rsid w:val="008B34DE"/>
    <w:rsid w:val="008B3728"/>
    <w:rsid w:val="008B5131"/>
    <w:rsid w:val="008B5E5B"/>
    <w:rsid w:val="008C065E"/>
    <w:rsid w:val="008C079F"/>
    <w:rsid w:val="008C0D3B"/>
    <w:rsid w:val="008C11C5"/>
    <w:rsid w:val="008C19E8"/>
    <w:rsid w:val="008C32E2"/>
    <w:rsid w:val="008C3301"/>
    <w:rsid w:val="008C4868"/>
    <w:rsid w:val="008C4A96"/>
    <w:rsid w:val="008C4CB8"/>
    <w:rsid w:val="008C4DA4"/>
    <w:rsid w:val="008C4F9E"/>
    <w:rsid w:val="008C4FC9"/>
    <w:rsid w:val="008C51FC"/>
    <w:rsid w:val="008C6C09"/>
    <w:rsid w:val="008C728C"/>
    <w:rsid w:val="008C7541"/>
    <w:rsid w:val="008C7664"/>
    <w:rsid w:val="008C7833"/>
    <w:rsid w:val="008C7B58"/>
    <w:rsid w:val="008C7D0F"/>
    <w:rsid w:val="008D0F4C"/>
    <w:rsid w:val="008D0FAD"/>
    <w:rsid w:val="008D181D"/>
    <w:rsid w:val="008D19BD"/>
    <w:rsid w:val="008D27C3"/>
    <w:rsid w:val="008D2AF5"/>
    <w:rsid w:val="008D2E20"/>
    <w:rsid w:val="008D429C"/>
    <w:rsid w:val="008D59F7"/>
    <w:rsid w:val="008D5AF9"/>
    <w:rsid w:val="008D729C"/>
    <w:rsid w:val="008D742F"/>
    <w:rsid w:val="008D765E"/>
    <w:rsid w:val="008D78EC"/>
    <w:rsid w:val="008D7C54"/>
    <w:rsid w:val="008D7ED9"/>
    <w:rsid w:val="008E0112"/>
    <w:rsid w:val="008E097B"/>
    <w:rsid w:val="008E0EEC"/>
    <w:rsid w:val="008E1296"/>
    <w:rsid w:val="008E1E62"/>
    <w:rsid w:val="008E2761"/>
    <w:rsid w:val="008E2AAE"/>
    <w:rsid w:val="008E322F"/>
    <w:rsid w:val="008E3674"/>
    <w:rsid w:val="008E3757"/>
    <w:rsid w:val="008E3C8A"/>
    <w:rsid w:val="008E418F"/>
    <w:rsid w:val="008E41FF"/>
    <w:rsid w:val="008E4986"/>
    <w:rsid w:val="008E4AA7"/>
    <w:rsid w:val="008E4D98"/>
    <w:rsid w:val="008E59FB"/>
    <w:rsid w:val="008E5D90"/>
    <w:rsid w:val="008E6AA7"/>
    <w:rsid w:val="008E7643"/>
    <w:rsid w:val="008E7F47"/>
    <w:rsid w:val="008F0990"/>
    <w:rsid w:val="008F09E1"/>
    <w:rsid w:val="008F0ED5"/>
    <w:rsid w:val="008F12AF"/>
    <w:rsid w:val="008F1394"/>
    <w:rsid w:val="008F1B41"/>
    <w:rsid w:val="008F208D"/>
    <w:rsid w:val="008F245B"/>
    <w:rsid w:val="008F25E9"/>
    <w:rsid w:val="008F2804"/>
    <w:rsid w:val="008F2B3D"/>
    <w:rsid w:val="008F2B8F"/>
    <w:rsid w:val="008F309D"/>
    <w:rsid w:val="008F369B"/>
    <w:rsid w:val="008F3999"/>
    <w:rsid w:val="008F4B89"/>
    <w:rsid w:val="008F505B"/>
    <w:rsid w:val="008F50B8"/>
    <w:rsid w:val="008F50F2"/>
    <w:rsid w:val="008F5525"/>
    <w:rsid w:val="008F55C0"/>
    <w:rsid w:val="008F597C"/>
    <w:rsid w:val="008F5AB7"/>
    <w:rsid w:val="008F6573"/>
    <w:rsid w:val="008F6F2F"/>
    <w:rsid w:val="008F743E"/>
    <w:rsid w:val="008F7F80"/>
    <w:rsid w:val="0090018A"/>
    <w:rsid w:val="0090081A"/>
    <w:rsid w:val="00900ACE"/>
    <w:rsid w:val="00900EA8"/>
    <w:rsid w:val="00900F5C"/>
    <w:rsid w:val="00900FA6"/>
    <w:rsid w:val="00901D61"/>
    <w:rsid w:val="0090351D"/>
    <w:rsid w:val="00903E31"/>
    <w:rsid w:val="00904775"/>
    <w:rsid w:val="00904B78"/>
    <w:rsid w:val="00905206"/>
    <w:rsid w:val="00905624"/>
    <w:rsid w:val="0090580B"/>
    <w:rsid w:val="00905C44"/>
    <w:rsid w:val="00906127"/>
    <w:rsid w:val="009065FB"/>
    <w:rsid w:val="0090695B"/>
    <w:rsid w:val="009071A3"/>
    <w:rsid w:val="009071CC"/>
    <w:rsid w:val="00911A41"/>
    <w:rsid w:val="00911DCB"/>
    <w:rsid w:val="009122A5"/>
    <w:rsid w:val="00913F53"/>
    <w:rsid w:val="00914018"/>
    <w:rsid w:val="00914ADD"/>
    <w:rsid w:val="00915792"/>
    <w:rsid w:val="00915814"/>
    <w:rsid w:val="00915BB7"/>
    <w:rsid w:val="00916A88"/>
    <w:rsid w:val="009179DE"/>
    <w:rsid w:val="00917A94"/>
    <w:rsid w:val="00917C29"/>
    <w:rsid w:val="00917D4A"/>
    <w:rsid w:val="00917F86"/>
    <w:rsid w:val="009201A1"/>
    <w:rsid w:val="00920C28"/>
    <w:rsid w:val="009223BD"/>
    <w:rsid w:val="0092343F"/>
    <w:rsid w:val="0092351C"/>
    <w:rsid w:val="009249CE"/>
    <w:rsid w:val="00925C0A"/>
    <w:rsid w:val="00926551"/>
    <w:rsid w:val="00926D90"/>
    <w:rsid w:val="00926E1E"/>
    <w:rsid w:val="00927B86"/>
    <w:rsid w:val="00927E80"/>
    <w:rsid w:val="00930C82"/>
    <w:rsid w:val="009320A9"/>
    <w:rsid w:val="00932390"/>
    <w:rsid w:val="009323F0"/>
    <w:rsid w:val="0093324C"/>
    <w:rsid w:val="009339C1"/>
    <w:rsid w:val="00933F04"/>
    <w:rsid w:val="00933FAD"/>
    <w:rsid w:val="0093436C"/>
    <w:rsid w:val="00934A3C"/>
    <w:rsid w:val="00934B93"/>
    <w:rsid w:val="00935B6A"/>
    <w:rsid w:val="00935DB2"/>
    <w:rsid w:val="00936DDD"/>
    <w:rsid w:val="009375CC"/>
    <w:rsid w:val="00937799"/>
    <w:rsid w:val="009378F6"/>
    <w:rsid w:val="00940562"/>
    <w:rsid w:val="00940DA6"/>
    <w:rsid w:val="00941AF0"/>
    <w:rsid w:val="00941FFA"/>
    <w:rsid w:val="0094256B"/>
    <w:rsid w:val="00942AA6"/>
    <w:rsid w:val="0094320A"/>
    <w:rsid w:val="009432E5"/>
    <w:rsid w:val="00943306"/>
    <w:rsid w:val="00943565"/>
    <w:rsid w:val="009443BA"/>
    <w:rsid w:val="009445B2"/>
    <w:rsid w:val="009447CD"/>
    <w:rsid w:val="00944F9A"/>
    <w:rsid w:val="0094625D"/>
    <w:rsid w:val="009470A2"/>
    <w:rsid w:val="00947567"/>
    <w:rsid w:val="00950014"/>
    <w:rsid w:val="009502B2"/>
    <w:rsid w:val="009504F1"/>
    <w:rsid w:val="009514F2"/>
    <w:rsid w:val="00952526"/>
    <w:rsid w:val="0095374C"/>
    <w:rsid w:val="00953D01"/>
    <w:rsid w:val="00955FEB"/>
    <w:rsid w:val="009573E9"/>
    <w:rsid w:val="00957778"/>
    <w:rsid w:val="00957901"/>
    <w:rsid w:val="00957AF7"/>
    <w:rsid w:val="00957C3D"/>
    <w:rsid w:val="00957C7D"/>
    <w:rsid w:val="00960139"/>
    <w:rsid w:val="00960D1E"/>
    <w:rsid w:val="00960F3B"/>
    <w:rsid w:val="0096161C"/>
    <w:rsid w:val="0096231E"/>
    <w:rsid w:val="009624D0"/>
    <w:rsid w:val="00962624"/>
    <w:rsid w:val="00962CC5"/>
    <w:rsid w:val="00962E5A"/>
    <w:rsid w:val="00962FB5"/>
    <w:rsid w:val="00964573"/>
    <w:rsid w:val="009657B0"/>
    <w:rsid w:val="00965BED"/>
    <w:rsid w:val="00966048"/>
    <w:rsid w:val="0096660A"/>
    <w:rsid w:val="0096687C"/>
    <w:rsid w:val="0096728C"/>
    <w:rsid w:val="009674CE"/>
    <w:rsid w:val="009675DC"/>
    <w:rsid w:val="0096799F"/>
    <w:rsid w:val="00967F7A"/>
    <w:rsid w:val="00970E32"/>
    <w:rsid w:val="009717E4"/>
    <w:rsid w:val="00971C8D"/>
    <w:rsid w:val="00971E8D"/>
    <w:rsid w:val="0097245C"/>
    <w:rsid w:val="00972FD0"/>
    <w:rsid w:val="009732D7"/>
    <w:rsid w:val="00975738"/>
    <w:rsid w:val="009760E8"/>
    <w:rsid w:val="0097646B"/>
    <w:rsid w:val="00976E0D"/>
    <w:rsid w:val="00977602"/>
    <w:rsid w:val="00977915"/>
    <w:rsid w:val="0098000D"/>
    <w:rsid w:val="00980492"/>
    <w:rsid w:val="00980F00"/>
    <w:rsid w:val="00981651"/>
    <w:rsid w:val="009819EB"/>
    <w:rsid w:val="00982151"/>
    <w:rsid w:val="0098291C"/>
    <w:rsid w:val="00982FAC"/>
    <w:rsid w:val="00983524"/>
    <w:rsid w:val="00983A2C"/>
    <w:rsid w:val="00983BD5"/>
    <w:rsid w:val="00984352"/>
    <w:rsid w:val="0098484B"/>
    <w:rsid w:val="00985577"/>
    <w:rsid w:val="00985723"/>
    <w:rsid w:val="00986380"/>
    <w:rsid w:val="00986513"/>
    <w:rsid w:val="00986818"/>
    <w:rsid w:val="00986E5C"/>
    <w:rsid w:val="00987220"/>
    <w:rsid w:val="0098732B"/>
    <w:rsid w:val="00987C6E"/>
    <w:rsid w:val="009903FF"/>
    <w:rsid w:val="0099136B"/>
    <w:rsid w:val="00991C99"/>
    <w:rsid w:val="00992079"/>
    <w:rsid w:val="00992124"/>
    <w:rsid w:val="00992BD2"/>
    <w:rsid w:val="00992C29"/>
    <w:rsid w:val="00992ECC"/>
    <w:rsid w:val="00993104"/>
    <w:rsid w:val="00993FB0"/>
    <w:rsid w:val="00994DC0"/>
    <w:rsid w:val="009957E6"/>
    <w:rsid w:val="00995C13"/>
    <w:rsid w:val="0099796D"/>
    <w:rsid w:val="00997A0E"/>
    <w:rsid w:val="00997A73"/>
    <w:rsid w:val="009A0131"/>
    <w:rsid w:val="009A02DC"/>
    <w:rsid w:val="009A0C39"/>
    <w:rsid w:val="009A101E"/>
    <w:rsid w:val="009A10AD"/>
    <w:rsid w:val="009A1429"/>
    <w:rsid w:val="009A1792"/>
    <w:rsid w:val="009A2224"/>
    <w:rsid w:val="009A2241"/>
    <w:rsid w:val="009A2ABC"/>
    <w:rsid w:val="009A2ACD"/>
    <w:rsid w:val="009A3BBE"/>
    <w:rsid w:val="009A4750"/>
    <w:rsid w:val="009A4A8E"/>
    <w:rsid w:val="009A4AE9"/>
    <w:rsid w:val="009A4CBC"/>
    <w:rsid w:val="009A513F"/>
    <w:rsid w:val="009A536B"/>
    <w:rsid w:val="009A6637"/>
    <w:rsid w:val="009A6707"/>
    <w:rsid w:val="009A69AE"/>
    <w:rsid w:val="009A6BE9"/>
    <w:rsid w:val="009A7C20"/>
    <w:rsid w:val="009A7D44"/>
    <w:rsid w:val="009B121C"/>
    <w:rsid w:val="009B193D"/>
    <w:rsid w:val="009B24F4"/>
    <w:rsid w:val="009B26BD"/>
    <w:rsid w:val="009B2AD0"/>
    <w:rsid w:val="009B2FA3"/>
    <w:rsid w:val="009B3160"/>
    <w:rsid w:val="009B4880"/>
    <w:rsid w:val="009B6749"/>
    <w:rsid w:val="009B7947"/>
    <w:rsid w:val="009B7AAA"/>
    <w:rsid w:val="009B7EC8"/>
    <w:rsid w:val="009C0816"/>
    <w:rsid w:val="009C0933"/>
    <w:rsid w:val="009C0BC0"/>
    <w:rsid w:val="009C1281"/>
    <w:rsid w:val="009C18B8"/>
    <w:rsid w:val="009C1FF6"/>
    <w:rsid w:val="009C2BC1"/>
    <w:rsid w:val="009C2C64"/>
    <w:rsid w:val="009C2D58"/>
    <w:rsid w:val="009C2D91"/>
    <w:rsid w:val="009C30CD"/>
    <w:rsid w:val="009C3FE7"/>
    <w:rsid w:val="009C4052"/>
    <w:rsid w:val="009C41C4"/>
    <w:rsid w:val="009C4B92"/>
    <w:rsid w:val="009C4E23"/>
    <w:rsid w:val="009C5C27"/>
    <w:rsid w:val="009C5D88"/>
    <w:rsid w:val="009C708F"/>
    <w:rsid w:val="009C749D"/>
    <w:rsid w:val="009C7BD6"/>
    <w:rsid w:val="009D0997"/>
    <w:rsid w:val="009D24EE"/>
    <w:rsid w:val="009D3497"/>
    <w:rsid w:val="009D3797"/>
    <w:rsid w:val="009D3CB6"/>
    <w:rsid w:val="009D61F9"/>
    <w:rsid w:val="009D6463"/>
    <w:rsid w:val="009D67F6"/>
    <w:rsid w:val="009E0038"/>
    <w:rsid w:val="009E0871"/>
    <w:rsid w:val="009E08D8"/>
    <w:rsid w:val="009E0D61"/>
    <w:rsid w:val="009E0E29"/>
    <w:rsid w:val="009E162E"/>
    <w:rsid w:val="009E1A06"/>
    <w:rsid w:val="009E1C60"/>
    <w:rsid w:val="009E2B36"/>
    <w:rsid w:val="009E3523"/>
    <w:rsid w:val="009E4029"/>
    <w:rsid w:val="009E472F"/>
    <w:rsid w:val="009E4C27"/>
    <w:rsid w:val="009E5027"/>
    <w:rsid w:val="009E541E"/>
    <w:rsid w:val="009E594F"/>
    <w:rsid w:val="009E5DAA"/>
    <w:rsid w:val="009E5E19"/>
    <w:rsid w:val="009E67C8"/>
    <w:rsid w:val="009E7259"/>
    <w:rsid w:val="009E7C35"/>
    <w:rsid w:val="009F0CA6"/>
    <w:rsid w:val="009F0E85"/>
    <w:rsid w:val="009F13F4"/>
    <w:rsid w:val="009F1923"/>
    <w:rsid w:val="009F1ADB"/>
    <w:rsid w:val="009F2B68"/>
    <w:rsid w:val="009F2E93"/>
    <w:rsid w:val="009F3211"/>
    <w:rsid w:val="009F3649"/>
    <w:rsid w:val="009F3AE0"/>
    <w:rsid w:val="009F475E"/>
    <w:rsid w:val="009F4958"/>
    <w:rsid w:val="009F4DCA"/>
    <w:rsid w:val="009F4DF1"/>
    <w:rsid w:val="009F524B"/>
    <w:rsid w:val="009F58C5"/>
    <w:rsid w:val="009F5AAB"/>
    <w:rsid w:val="009F5CDA"/>
    <w:rsid w:val="009F6590"/>
    <w:rsid w:val="009F6C81"/>
    <w:rsid w:val="009F6FA9"/>
    <w:rsid w:val="00A00B63"/>
    <w:rsid w:val="00A00DB7"/>
    <w:rsid w:val="00A017AD"/>
    <w:rsid w:val="00A025FE"/>
    <w:rsid w:val="00A0387E"/>
    <w:rsid w:val="00A04DC5"/>
    <w:rsid w:val="00A0537C"/>
    <w:rsid w:val="00A06903"/>
    <w:rsid w:val="00A06D13"/>
    <w:rsid w:val="00A07679"/>
    <w:rsid w:val="00A102D9"/>
    <w:rsid w:val="00A10D97"/>
    <w:rsid w:val="00A10E97"/>
    <w:rsid w:val="00A117C1"/>
    <w:rsid w:val="00A11A3A"/>
    <w:rsid w:val="00A11FDF"/>
    <w:rsid w:val="00A1275E"/>
    <w:rsid w:val="00A12F03"/>
    <w:rsid w:val="00A130B5"/>
    <w:rsid w:val="00A16AC6"/>
    <w:rsid w:val="00A16B2D"/>
    <w:rsid w:val="00A1741D"/>
    <w:rsid w:val="00A17FD8"/>
    <w:rsid w:val="00A17FF1"/>
    <w:rsid w:val="00A202CA"/>
    <w:rsid w:val="00A21287"/>
    <w:rsid w:val="00A21A5A"/>
    <w:rsid w:val="00A21DA6"/>
    <w:rsid w:val="00A21FB7"/>
    <w:rsid w:val="00A22142"/>
    <w:rsid w:val="00A22F3E"/>
    <w:rsid w:val="00A23334"/>
    <w:rsid w:val="00A237EE"/>
    <w:rsid w:val="00A23FE4"/>
    <w:rsid w:val="00A24A52"/>
    <w:rsid w:val="00A252D8"/>
    <w:rsid w:val="00A25C2B"/>
    <w:rsid w:val="00A26AFA"/>
    <w:rsid w:val="00A274FA"/>
    <w:rsid w:val="00A27B43"/>
    <w:rsid w:val="00A27B9E"/>
    <w:rsid w:val="00A30799"/>
    <w:rsid w:val="00A30CFE"/>
    <w:rsid w:val="00A31443"/>
    <w:rsid w:val="00A3237F"/>
    <w:rsid w:val="00A32CD0"/>
    <w:rsid w:val="00A33682"/>
    <w:rsid w:val="00A34741"/>
    <w:rsid w:val="00A34845"/>
    <w:rsid w:val="00A34D85"/>
    <w:rsid w:val="00A35075"/>
    <w:rsid w:val="00A354EB"/>
    <w:rsid w:val="00A35856"/>
    <w:rsid w:val="00A358ED"/>
    <w:rsid w:val="00A36457"/>
    <w:rsid w:val="00A374DD"/>
    <w:rsid w:val="00A376BC"/>
    <w:rsid w:val="00A37ED9"/>
    <w:rsid w:val="00A401F4"/>
    <w:rsid w:val="00A408D9"/>
    <w:rsid w:val="00A4168F"/>
    <w:rsid w:val="00A42FAD"/>
    <w:rsid w:val="00A436E4"/>
    <w:rsid w:val="00A43F4B"/>
    <w:rsid w:val="00A444D6"/>
    <w:rsid w:val="00A44F8E"/>
    <w:rsid w:val="00A4534A"/>
    <w:rsid w:val="00A467E3"/>
    <w:rsid w:val="00A46A46"/>
    <w:rsid w:val="00A4700A"/>
    <w:rsid w:val="00A47A0C"/>
    <w:rsid w:val="00A47A71"/>
    <w:rsid w:val="00A47BE2"/>
    <w:rsid w:val="00A51891"/>
    <w:rsid w:val="00A527D4"/>
    <w:rsid w:val="00A528FA"/>
    <w:rsid w:val="00A52E03"/>
    <w:rsid w:val="00A54407"/>
    <w:rsid w:val="00A55232"/>
    <w:rsid w:val="00A569FC"/>
    <w:rsid w:val="00A56DF2"/>
    <w:rsid w:val="00A57193"/>
    <w:rsid w:val="00A576D4"/>
    <w:rsid w:val="00A57AC2"/>
    <w:rsid w:val="00A57CD8"/>
    <w:rsid w:val="00A602D4"/>
    <w:rsid w:val="00A62043"/>
    <w:rsid w:val="00A622E7"/>
    <w:rsid w:val="00A633A6"/>
    <w:rsid w:val="00A6403E"/>
    <w:rsid w:val="00A649D7"/>
    <w:rsid w:val="00A64A37"/>
    <w:rsid w:val="00A655A8"/>
    <w:rsid w:val="00A657D5"/>
    <w:rsid w:val="00A6632C"/>
    <w:rsid w:val="00A67086"/>
    <w:rsid w:val="00A67543"/>
    <w:rsid w:val="00A6773E"/>
    <w:rsid w:val="00A708A1"/>
    <w:rsid w:val="00A70FB2"/>
    <w:rsid w:val="00A7162B"/>
    <w:rsid w:val="00A716F1"/>
    <w:rsid w:val="00A71C09"/>
    <w:rsid w:val="00A71EE7"/>
    <w:rsid w:val="00A72383"/>
    <w:rsid w:val="00A72F07"/>
    <w:rsid w:val="00A72F84"/>
    <w:rsid w:val="00A731B0"/>
    <w:rsid w:val="00A7425A"/>
    <w:rsid w:val="00A74D3F"/>
    <w:rsid w:val="00A75067"/>
    <w:rsid w:val="00A75503"/>
    <w:rsid w:val="00A75C79"/>
    <w:rsid w:val="00A76A8B"/>
    <w:rsid w:val="00A76EC2"/>
    <w:rsid w:val="00A77516"/>
    <w:rsid w:val="00A7799D"/>
    <w:rsid w:val="00A80649"/>
    <w:rsid w:val="00A81920"/>
    <w:rsid w:val="00A81FA1"/>
    <w:rsid w:val="00A82BB3"/>
    <w:rsid w:val="00A82E7D"/>
    <w:rsid w:val="00A831B2"/>
    <w:rsid w:val="00A84246"/>
    <w:rsid w:val="00A85B36"/>
    <w:rsid w:val="00A85C28"/>
    <w:rsid w:val="00A8711A"/>
    <w:rsid w:val="00A87FD8"/>
    <w:rsid w:val="00A9020C"/>
    <w:rsid w:val="00A90900"/>
    <w:rsid w:val="00A92B27"/>
    <w:rsid w:val="00A93997"/>
    <w:rsid w:val="00A948F6"/>
    <w:rsid w:val="00A94C1A"/>
    <w:rsid w:val="00A94FFF"/>
    <w:rsid w:val="00A95F93"/>
    <w:rsid w:val="00A96C26"/>
    <w:rsid w:val="00A972E6"/>
    <w:rsid w:val="00A97758"/>
    <w:rsid w:val="00A97BA3"/>
    <w:rsid w:val="00A97BB5"/>
    <w:rsid w:val="00A97C59"/>
    <w:rsid w:val="00AA0643"/>
    <w:rsid w:val="00AA0715"/>
    <w:rsid w:val="00AA0D76"/>
    <w:rsid w:val="00AA1486"/>
    <w:rsid w:val="00AA1CB4"/>
    <w:rsid w:val="00AA1D8D"/>
    <w:rsid w:val="00AA2ADE"/>
    <w:rsid w:val="00AA2CA4"/>
    <w:rsid w:val="00AA3B49"/>
    <w:rsid w:val="00AA3BF0"/>
    <w:rsid w:val="00AA4404"/>
    <w:rsid w:val="00AA5088"/>
    <w:rsid w:val="00AA51C5"/>
    <w:rsid w:val="00AA6421"/>
    <w:rsid w:val="00AA64AE"/>
    <w:rsid w:val="00AA682D"/>
    <w:rsid w:val="00AA7B92"/>
    <w:rsid w:val="00AA7F20"/>
    <w:rsid w:val="00AB0646"/>
    <w:rsid w:val="00AB191A"/>
    <w:rsid w:val="00AB314A"/>
    <w:rsid w:val="00AB4923"/>
    <w:rsid w:val="00AB54FF"/>
    <w:rsid w:val="00AB5F3D"/>
    <w:rsid w:val="00AB6987"/>
    <w:rsid w:val="00AB6E86"/>
    <w:rsid w:val="00AB7309"/>
    <w:rsid w:val="00AB7CCB"/>
    <w:rsid w:val="00AC20C8"/>
    <w:rsid w:val="00AC2F41"/>
    <w:rsid w:val="00AC3BF4"/>
    <w:rsid w:val="00AC3C92"/>
    <w:rsid w:val="00AC4D34"/>
    <w:rsid w:val="00AC4F94"/>
    <w:rsid w:val="00AC5940"/>
    <w:rsid w:val="00AC625D"/>
    <w:rsid w:val="00AC6867"/>
    <w:rsid w:val="00AC711E"/>
    <w:rsid w:val="00AD0065"/>
    <w:rsid w:val="00AD07E2"/>
    <w:rsid w:val="00AD198F"/>
    <w:rsid w:val="00AD2660"/>
    <w:rsid w:val="00AD2BFE"/>
    <w:rsid w:val="00AD4305"/>
    <w:rsid w:val="00AD4F1F"/>
    <w:rsid w:val="00AD615B"/>
    <w:rsid w:val="00AD7095"/>
    <w:rsid w:val="00AD7CAF"/>
    <w:rsid w:val="00AE1124"/>
    <w:rsid w:val="00AE1171"/>
    <w:rsid w:val="00AE2088"/>
    <w:rsid w:val="00AE47E7"/>
    <w:rsid w:val="00AE49BD"/>
    <w:rsid w:val="00AE4E77"/>
    <w:rsid w:val="00AE4EA7"/>
    <w:rsid w:val="00AE50A2"/>
    <w:rsid w:val="00AE518E"/>
    <w:rsid w:val="00AE5415"/>
    <w:rsid w:val="00AE7657"/>
    <w:rsid w:val="00AE7C64"/>
    <w:rsid w:val="00AE7D74"/>
    <w:rsid w:val="00AF04E5"/>
    <w:rsid w:val="00AF19CB"/>
    <w:rsid w:val="00AF20A3"/>
    <w:rsid w:val="00AF20B3"/>
    <w:rsid w:val="00AF2658"/>
    <w:rsid w:val="00AF2747"/>
    <w:rsid w:val="00AF49BC"/>
    <w:rsid w:val="00AF555C"/>
    <w:rsid w:val="00AF5C28"/>
    <w:rsid w:val="00AF5F52"/>
    <w:rsid w:val="00AF6B5E"/>
    <w:rsid w:val="00AF6C3B"/>
    <w:rsid w:val="00AF7C4E"/>
    <w:rsid w:val="00B004CD"/>
    <w:rsid w:val="00B017BB"/>
    <w:rsid w:val="00B01A96"/>
    <w:rsid w:val="00B0200B"/>
    <w:rsid w:val="00B023E3"/>
    <w:rsid w:val="00B02417"/>
    <w:rsid w:val="00B02D37"/>
    <w:rsid w:val="00B03407"/>
    <w:rsid w:val="00B03AE8"/>
    <w:rsid w:val="00B0476B"/>
    <w:rsid w:val="00B05337"/>
    <w:rsid w:val="00B05772"/>
    <w:rsid w:val="00B059C7"/>
    <w:rsid w:val="00B05EAE"/>
    <w:rsid w:val="00B06452"/>
    <w:rsid w:val="00B070F4"/>
    <w:rsid w:val="00B07352"/>
    <w:rsid w:val="00B10217"/>
    <w:rsid w:val="00B10F7E"/>
    <w:rsid w:val="00B11667"/>
    <w:rsid w:val="00B12121"/>
    <w:rsid w:val="00B126F8"/>
    <w:rsid w:val="00B1295D"/>
    <w:rsid w:val="00B12E32"/>
    <w:rsid w:val="00B12FF5"/>
    <w:rsid w:val="00B13153"/>
    <w:rsid w:val="00B131A8"/>
    <w:rsid w:val="00B13352"/>
    <w:rsid w:val="00B13A79"/>
    <w:rsid w:val="00B14718"/>
    <w:rsid w:val="00B1592C"/>
    <w:rsid w:val="00B15BF0"/>
    <w:rsid w:val="00B1624F"/>
    <w:rsid w:val="00B16ACE"/>
    <w:rsid w:val="00B17684"/>
    <w:rsid w:val="00B176D6"/>
    <w:rsid w:val="00B179A1"/>
    <w:rsid w:val="00B21796"/>
    <w:rsid w:val="00B21D69"/>
    <w:rsid w:val="00B21F67"/>
    <w:rsid w:val="00B22805"/>
    <w:rsid w:val="00B228E1"/>
    <w:rsid w:val="00B22F79"/>
    <w:rsid w:val="00B233EB"/>
    <w:rsid w:val="00B2341D"/>
    <w:rsid w:val="00B23C14"/>
    <w:rsid w:val="00B23CE6"/>
    <w:rsid w:val="00B23F6E"/>
    <w:rsid w:val="00B24B4B"/>
    <w:rsid w:val="00B25623"/>
    <w:rsid w:val="00B256E1"/>
    <w:rsid w:val="00B25EED"/>
    <w:rsid w:val="00B27420"/>
    <w:rsid w:val="00B3035A"/>
    <w:rsid w:val="00B30AB7"/>
    <w:rsid w:val="00B31356"/>
    <w:rsid w:val="00B31DBB"/>
    <w:rsid w:val="00B3213A"/>
    <w:rsid w:val="00B330CD"/>
    <w:rsid w:val="00B3352C"/>
    <w:rsid w:val="00B33BBB"/>
    <w:rsid w:val="00B345E1"/>
    <w:rsid w:val="00B34621"/>
    <w:rsid w:val="00B348B5"/>
    <w:rsid w:val="00B34C72"/>
    <w:rsid w:val="00B355A1"/>
    <w:rsid w:val="00B3580C"/>
    <w:rsid w:val="00B35BF8"/>
    <w:rsid w:val="00B3764E"/>
    <w:rsid w:val="00B3786F"/>
    <w:rsid w:val="00B37FA9"/>
    <w:rsid w:val="00B40332"/>
    <w:rsid w:val="00B40E85"/>
    <w:rsid w:val="00B419C3"/>
    <w:rsid w:val="00B41C5C"/>
    <w:rsid w:val="00B428BE"/>
    <w:rsid w:val="00B429B8"/>
    <w:rsid w:val="00B4409D"/>
    <w:rsid w:val="00B44481"/>
    <w:rsid w:val="00B44790"/>
    <w:rsid w:val="00B44AFF"/>
    <w:rsid w:val="00B44BB0"/>
    <w:rsid w:val="00B45037"/>
    <w:rsid w:val="00B464A0"/>
    <w:rsid w:val="00B46A68"/>
    <w:rsid w:val="00B47346"/>
    <w:rsid w:val="00B476D3"/>
    <w:rsid w:val="00B478E7"/>
    <w:rsid w:val="00B47FAE"/>
    <w:rsid w:val="00B50ECE"/>
    <w:rsid w:val="00B50FEC"/>
    <w:rsid w:val="00B51151"/>
    <w:rsid w:val="00B51A80"/>
    <w:rsid w:val="00B51DD0"/>
    <w:rsid w:val="00B522E5"/>
    <w:rsid w:val="00B53234"/>
    <w:rsid w:val="00B535D5"/>
    <w:rsid w:val="00B53862"/>
    <w:rsid w:val="00B54635"/>
    <w:rsid w:val="00B552D3"/>
    <w:rsid w:val="00B5577D"/>
    <w:rsid w:val="00B55902"/>
    <w:rsid w:val="00B55F1C"/>
    <w:rsid w:val="00B56789"/>
    <w:rsid w:val="00B56F3F"/>
    <w:rsid w:val="00B57059"/>
    <w:rsid w:val="00B57B0F"/>
    <w:rsid w:val="00B57DB8"/>
    <w:rsid w:val="00B60373"/>
    <w:rsid w:val="00B60B0F"/>
    <w:rsid w:val="00B61005"/>
    <w:rsid w:val="00B61B0F"/>
    <w:rsid w:val="00B6229D"/>
    <w:rsid w:val="00B624E2"/>
    <w:rsid w:val="00B62B7A"/>
    <w:rsid w:val="00B62BA9"/>
    <w:rsid w:val="00B62D01"/>
    <w:rsid w:val="00B6349A"/>
    <w:rsid w:val="00B6357F"/>
    <w:rsid w:val="00B6445D"/>
    <w:rsid w:val="00B6467E"/>
    <w:rsid w:val="00B65283"/>
    <w:rsid w:val="00B658C3"/>
    <w:rsid w:val="00B66291"/>
    <w:rsid w:val="00B6675B"/>
    <w:rsid w:val="00B6682A"/>
    <w:rsid w:val="00B66B17"/>
    <w:rsid w:val="00B67283"/>
    <w:rsid w:val="00B67767"/>
    <w:rsid w:val="00B70CF1"/>
    <w:rsid w:val="00B70F22"/>
    <w:rsid w:val="00B72103"/>
    <w:rsid w:val="00B728FC"/>
    <w:rsid w:val="00B72A63"/>
    <w:rsid w:val="00B72FF4"/>
    <w:rsid w:val="00B73416"/>
    <w:rsid w:val="00B7356E"/>
    <w:rsid w:val="00B735DF"/>
    <w:rsid w:val="00B73750"/>
    <w:rsid w:val="00B75049"/>
    <w:rsid w:val="00B75232"/>
    <w:rsid w:val="00B772E2"/>
    <w:rsid w:val="00B77A38"/>
    <w:rsid w:val="00B77F2B"/>
    <w:rsid w:val="00B806FD"/>
    <w:rsid w:val="00B8097C"/>
    <w:rsid w:val="00B819BB"/>
    <w:rsid w:val="00B81D66"/>
    <w:rsid w:val="00B8243B"/>
    <w:rsid w:val="00B82594"/>
    <w:rsid w:val="00B82B5C"/>
    <w:rsid w:val="00B830F7"/>
    <w:rsid w:val="00B8375D"/>
    <w:rsid w:val="00B83B7A"/>
    <w:rsid w:val="00B84693"/>
    <w:rsid w:val="00B84B69"/>
    <w:rsid w:val="00B85BED"/>
    <w:rsid w:val="00B864AB"/>
    <w:rsid w:val="00B866A4"/>
    <w:rsid w:val="00B871A7"/>
    <w:rsid w:val="00B873FA"/>
    <w:rsid w:val="00B87768"/>
    <w:rsid w:val="00B87AD2"/>
    <w:rsid w:val="00B87B46"/>
    <w:rsid w:val="00B87F41"/>
    <w:rsid w:val="00B90750"/>
    <w:rsid w:val="00B90C17"/>
    <w:rsid w:val="00B916E4"/>
    <w:rsid w:val="00B91C94"/>
    <w:rsid w:val="00B92D0D"/>
    <w:rsid w:val="00B93311"/>
    <w:rsid w:val="00B9370B"/>
    <w:rsid w:val="00B93786"/>
    <w:rsid w:val="00B9516D"/>
    <w:rsid w:val="00B9528D"/>
    <w:rsid w:val="00B96888"/>
    <w:rsid w:val="00B96C11"/>
    <w:rsid w:val="00B970C6"/>
    <w:rsid w:val="00BA0766"/>
    <w:rsid w:val="00BA0A60"/>
    <w:rsid w:val="00BA0C61"/>
    <w:rsid w:val="00BA0FC7"/>
    <w:rsid w:val="00BA1E8F"/>
    <w:rsid w:val="00BA29FE"/>
    <w:rsid w:val="00BA2AE7"/>
    <w:rsid w:val="00BA36CC"/>
    <w:rsid w:val="00BA38A0"/>
    <w:rsid w:val="00BA4310"/>
    <w:rsid w:val="00BA4349"/>
    <w:rsid w:val="00BA440A"/>
    <w:rsid w:val="00BA4906"/>
    <w:rsid w:val="00BA49FF"/>
    <w:rsid w:val="00BA54F0"/>
    <w:rsid w:val="00BA58EA"/>
    <w:rsid w:val="00BA5A2F"/>
    <w:rsid w:val="00BA6836"/>
    <w:rsid w:val="00BA6DE4"/>
    <w:rsid w:val="00BA6E5D"/>
    <w:rsid w:val="00BA7013"/>
    <w:rsid w:val="00BB129E"/>
    <w:rsid w:val="00BB1DE2"/>
    <w:rsid w:val="00BB26E2"/>
    <w:rsid w:val="00BB2B2F"/>
    <w:rsid w:val="00BB2D72"/>
    <w:rsid w:val="00BB38A9"/>
    <w:rsid w:val="00BB3C64"/>
    <w:rsid w:val="00BB41AD"/>
    <w:rsid w:val="00BB4FB0"/>
    <w:rsid w:val="00BB5ECD"/>
    <w:rsid w:val="00BB5F51"/>
    <w:rsid w:val="00BB6521"/>
    <w:rsid w:val="00BC0036"/>
    <w:rsid w:val="00BC036E"/>
    <w:rsid w:val="00BC059D"/>
    <w:rsid w:val="00BC11DD"/>
    <w:rsid w:val="00BC16B3"/>
    <w:rsid w:val="00BC1FD2"/>
    <w:rsid w:val="00BC247B"/>
    <w:rsid w:val="00BC24F5"/>
    <w:rsid w:val="00BC2740"/>
    <w:rsid w:val="00BC27EB"/>
    <w:rsid w:val="00BC440C"/>
    <w:rsid w:val="00BC4435"/>
    <w:rsid w:val="00BC4E64"/>
    <w:rsid w:val="00BC5447"/>
    <w:rsid w:val="00BC5E1C"/>
    <w:rsid w:val="00BC665E"/>
    <w:rsid w:val="00BC6AAC"/>
    <w:rsid w:val="00BD0480"/>
    <w:rsid w:val="00BD089D"/>
    <w:rsid w:val="00BD0D3C"/>
    <w:rsid w:val="00BD201A"/>
    <w:rsid w:val="00BD256D"/>
    <w:rsid w:val="00BD26B0"/>
    <w:rsid w:val="00BD2D67"/>
    <w:rsid w:val="00BD3C34"/>
    <w:rsid w:val="00BD4553"/>
    <w:rsid w:val="00BD4919"/>
    <w:rsid w:val="00BD50AB"/>
    <w:rsid w:val="00BD5179"/>
    <w:rsid w:val="00BD5686"/>
    <w:rsid w:val="00BD56C7"/>
    <w:rsid w:val="00BD5D8A"/>
    <w:rsid w:val="00BD616A"/>
    <w:rsid w:val="00BD773B"/>
    <w:rsid w:val="00BD7A3D"/>
    <w:rsid w:val="00BE0757"/>
    <w:rsid w:val="00BE07AD"/>
    <w:rsid w:val="00BE1AF1"/>
    <w:rsid w:val="00BE20E7"/>
    <w:rsid w:val="00BE350D"/>
    <w:rsid w:val="00BE36DC"/>
    <w:rsid w:val="00BE441F"/>
    <w:rsid w:val="00BE56F4"/>
    <w:rsid w:val="00BE627F"/>
    <w:rsid w:val="00BE7ACF"/>
    <w:rsid w:val="00BF176E"/>
    <w:rsid w:val="00BF1F24"/>
    <w:rsid w:val="00BF293E"/>
    <w:rsid w:val="00BF2E67"/>
    <w:rsid w:val="00BF30B1"/>
    <w:rsid w:val="00BF4AC3"/>
    <w:rsid w:val="00BF516A"/>
    <w:rsid w:val="00BF6453"/>
    <w:rsid w:val="00BF68F6"/>
    <w:rsid w:val="00BF70C5"/>
    <w:rsid w:val="00BF7C2B"/>
    <w:rsid w:val="00C0005C"/>
    <w:rsid w:val="00C0051E"/>
    <w:rsid w:val="00C00846"/>
    <w:rsid w:val="00C01573"/>
    <w:rsid w:val="00C0163E"/>
    <w:rsid w:val="00C0165C"/>
    <w:rsid w:val="00C01795"/>
    <w:rsid w:val="00C01887"/>
    <w:rsid w:val="00C02230"/>
    <w:rsid w:val="00C04513"/>
    <w:rsid w:val="00C05A69"/>
    <w:rsid w:val="00C05B5C"/>
    <w:rsid w:val="00C0667B"/>
    <w:rsid w:val="00C06B56"/>
    <w:rsid w:val="00C1020F"/>
    <w:rsid w:val="00C10E90"/>
    <w:rsid w:val="00C1111F"/>
    <w:rsid w:val="00C12C7F"/>
    <w:rsid w:val="00C12D3B"/>
    <w:rsid w:val="00C12EC4"/>
    <w:rsid w:val="00C13A42"/>
    <w:rsid w:val="00C15718"/>
    <w:rsid w:val="00C15F7D"/>
    <w:rsid w:val="00C16C22"/>
    <w:rsid w:val="00C2106D"/>
    <w:rsid w:val="00C2144E"/>
    <w:rsid w:val="00C222FF"/>
    <w:rsid w:val="00C223B5"/>
    <w:rsid w:val="00C22B40"/>
    <w:rsid w:val="00C22F83"/>
    <w:rsid w:val="00C243DB"/>
    <w:rsid w:val="00C243E4"/>
    <w:rsid w:val="00C246FC"/>
    <w:rsid w:val="00C278B8"/>
    <w:rsid w:val="00C27D6F"/>
    <w:rsid w:val="00C27FD2"/>
    <w:rsid w:val="00C3104E"/>
    <w:rsid w:val="00C32701"/>
    <w:rsid w:val="00C32D77"/>
    <w:rsid w:val="00C32E9C"/>
    <w:rsid w:val="00C33094"/>
    <w:rsid w:val="00C332CD"/>
    <w:rsid w:val="00C33435"/>
    <w:rsid w:val="00C33478"/>
    <w:rsid w:val="00C343E3"/>
    <w:rsid w:val="00C34DB7"/>
    <w:rsid w:val="00C35985"/>
    <w:rsid w:val="00C35EAC"/>
    <w:rsid w:val="00C35EC5"/>
    <w:rsid w:val="00C377D4"/>
    <w:rsid w:val="00C3793A"/>
    <w:rsid w:val="00C40531"/>
    <w:rsid w:val="00C40F9F"/>
    <w:rsid w:val="00C41314"/>
    <w:rsid w:val="00C41343"/>
    <w:rsid w:val="00C42101"/>
    <w:rsid w:val="00C42CAD"/>
    <w:rsid w:val="00C43F41"/>
    <w:rsid w:val="00C4527A"/>
    <w:rsid w:val="00C45320"/>
    <w:rsid w:val="00C455B1"/>
    <w:rsid w:val="00C45F71"/>
    <w:rsid w:val="00C46173"/>
    <w:rsid w:val="00C464CE"/>
    <w:rsid w:val="00C46972"/>
    <w:rsid w:val="00C47CB6"/>
    <w:rsid w:val="00C47F00"/>
    <w:rsid w:val="00C502D5"/>
    <w:rsid w:val="00C5067C"/>
    <w:rsid w:val="00C50728"/>
    <w:rsid w:val="00C509FB"/>
    <w:rsid w:val="00C50DB2"/>
    <w:rsid w:val="00C51186"/>
    <w:rsid w:val="00C51F4C"/>
    <w:rsid w:val="00C52070"/>
    <w:rsid w:val="00C527DD"/>
    <w:rsid w:val="00C52C63"/>
    <w:rsid w:val="00C52D0A"/>
    <w:rsid w:val="00C52D98"/>
    <w:rsid w:val="00C53C2B"/>
    <w:rsid w:val="00C53FB4"/>
    <w:rsid w:val="00C540A6"/>
    <w:rsid w:val="00C541A8"/>
    <w:rsid w:val="00C55B2C"/>
    <w:rsid w:val="00C56194"/>
    <w:rsid w:val="00C5639F"/>
    <w:rsid w:val="00C56D18"/>
    <w:rsid w:val="00C5742B"/>
    <w:rsid w:val="00C577D5"/>
    <w:rsid w:val="00C6061B"/>
    <w:rsid w:val="00C60667"/>
    <w:rsid w:val="00C60850"/>
    <w:rsid w:val="00C609F8"/>
    <w:rsid w:val="00C60D8C"/>
    <w:rsid w:val="00C60EE8"/>
    <w:rsid w:val="00C615AE"/>
    <w:rsid w:val="00C615C1"/>
    <w:rsid w:val="00C616E5"/>
    <w:rsid w:val="00C629DD"/>
    <w:rsid w:val="00C62A03"/>
    <w:rsid w:val="00C62E02"/>
    <w:rsid w:val="00C63A24"/>
    <w:rsid w:val="00C63E32"/>
    <w:rsid w:val="00C64E52"/>
    <w:rsid w:val="00C65ED3"/>
    <w:rsid w:val="00C65F9F"/>
    <w:rsid w:val="00C66210"/>
    <w:rsid w:val="00C66B0C"/>
    <w:rsid w:val="00C66BC4"/>
    <w:rsid w:val="00C66DAE"/>
    <w:rsid w:val="00C66F61"/>
    <w:rsid w:val="00C70657"/>
    <w:rsid w:val="00C714E9"/>
    <w:rsid w:val="00C714FD"/>
    <w:rsid w:val="00C71689"/>
    <w:rsid w:val="00C7195E"/>
    <w:rsid w:val="00C71AA7"/>
    <w:rsid w:val="00C73ACF"/>
    <w:rsid w:val="00C73EC2"/>
    <w:rsid w:val="00C746BE"/>
    <w:rsid w:val="00C74966"/>
    <w:rsid w:val="00C7519B"/>
    <w:rsid w:val="00C767B2"/>
    <w:rsid w:val="00C77B77"/>
    <w:rsid w:val="00C805C4"/>
    <w:rsid w:val="00C8088F"/>
    <w:rsid w:val="00C81351"/>
    <w:rsid w:val="00C81B5F"/>
    <w:rsid w:val="00C82ED5"/>
    <w:rsid w:val="00C8351B"/>
    <w:rsid w:val="00C83A00"/>
    <w:rsid w:val="00C841C6"/>
    <w:rsid w:val="00C84C4F"/>
    <w:rsid w:val="00C84D8E"/>
    <w:rsid w:val="00C84F5C"/>
    <w:rsid w:val="00C84FDE"/>
    <w:rsid w:val="00C86810"/>
    <w:rsid w:val="00C8696C"/>
    <w:rsid w:val="00C87BF5"/>
    <w:rsid w:val="00C91088"/>
    <w:rsid w:val="00C9196A"/>
    <w:rsid w:val="00C919B7"/>
    <w:rsid w:val="00C92B75"/>
    <w:rsid w:val="00C92ED6"/>
    <w:rsid w:val="00C9319C"/>
    <w:rsid w:val="00C945DF"/>
    <w:rsid w:val="00C95285"/>
    <w:rsid w:val="00C95325"/>
    <w:rsid w:val="00C9535E"/>
    <w:rsid w:val="00C95992"/>
    <w:rsid w:val="00C969CA"/>
    <w:rsid w:val="00C96A7F"/>
    <w:rsid w:val="00C96B4A"/>
    <w:rsid w:val="00C96E29"/>
    <w:rsid w:val="00C97678"/>
    <w:rsid w:val="00C97893"/>
    <w:rsid w:val="00C9798E"/>
    <w:rsid w:val="00C97B2D"/>
    <w:rsid w:val="00C97CD2"/>
    <w:rsid w:val="00C97FAD"/>
    <w:rsid w:val="00CA0832"/>
    <w:rsid w:val="00CA0981"/>
    <w:rsid w:val="00CA11BB"/>
    <w:rsid w:val="00CA1A92"/>
    <w:rsid w:val="00CA1F0D"/>
    <w:rsid w:val="00CA2158"/>
    <w:rsid w:val="00CA3854"/>
    <w:rsid w:val="00CA3A01"/>
    <w:rsid w:val="00CA3AB1"/>
    <w:rsid w:val="00CA4747"/>
    <w:rsid w:val="00CA4BDA"/>
    <w:rsid w:val="00CA4C52"/>
    <w:rsid w:val="00CA5328"/>
    <w:rsid w:val="00CA5646"/>
    <w:rsid w:val="00CA5679"/>
    <w:rsid w:val="00CA5D94"/>
    <w:rsid w:val="00CA6A5A"/>
    <w:rsid w:val="00CA703F"/>
    <w:rsid w:val="00CB089F"/>
    <w:rsid w:val="00CB11A9"/>
    <w:rsid w:val="00CB1CCF"/>
    <w:rsid w:val="00CB2068"/>
    <w:rsid w:val="00CB2CBF"/>
    <w:rsid w:val="00CB37AC"/>
    <w:rsid w:val="00CB589F"/>
    <w:rsid w:val="00CB59F8"/>
    <w:rsid w:val="00CB6002"/>
    <w:rsid w:val="00CB718A"/>
    <w:rsid w:val="00CB7BFF"/>
    <w:rsid w:val="00CC0A31"/>
    <w:rsid w:val="00CC1339"/>
    <w:rsid w:val="00CC1FCD"/>
    <w:rsid w:val="00CC2B1C"/>
    <w:rsid w:val="00CC2EEC"/>
    <w:rsid w:val="00CC3A30"/>
    <w:rsid w:val="00CC404C"/>
    <w:rsid w:val="00CC459F"/>
    <w:rsid w:val="00CC49A5"/>
    <w:rsid w:val="00CC53B6"/>
    <w:rsid w:val="00CC5BF3"/>
    <w:rsid w:val="00CC68AC"/>
    <w:rsid w:val="00CC6B89"/>
    <w:rsid w:val="00CC77CF"/>
    <w:rsid w:val="00CD23F8"/>
    <w:rsid w:val="00CD2448"/>
    <w:rsid w:val="00CD32EB"/>
    <w:rsid w:val="00CD3972"/>
    <w:rsid w:val="00CD46FD"/>
    <w:rsid w:val="00CD7528"/>
    <w:rsid w:val="00CD7621"/>
    <w:rsid w:val="00CD7906"/>
    <w:rsid w:val="00CD7C8D"/>
    <w:rsid w:val="00CD7EF2"/>
    <w:rsid w:val="00CE1496"/>
    <w:rsid w:val="00CE174A"/>
    <w:rsid w:val="00CE1E0F"/>
    <w:rsid w:val="00CE1E6D"/>
    <w:rsid w:val="00CE28C8"/>
    <w:rsid w:val="00CE34B4"/>
    <w:rsid w:val="00CE44D4"/>
    <w:rsid w:val="00CE4725"/>
    <w:rsid w:val="00CE535A"/>
    <w:rsid w:val="00CE56F7"/>
    <w:rsid w:val="00CE5E7A"/>
    <w:rsid w:val="00CE6942"/>
    <w:rsid w:val="00CE6BF1"/>
    <w:rsid w:val="00CE74CD"/>
    <w:rsid w:val="00CE7503"/>
    <w:rsid w:val="00CE78E6"/>
    <w:rsid w:val="00CE7B3C"/>
    <w:rsid w:val="00CE7CEE"/>
    <w:rsid w:val="00CF0427"/>
    <w:rsid w:val="00CF08B7"/>
    <w:rsid w:val="00CF09B1"/>
    <w:rsid w:val="00CF1688"/>
    <w:rsid w:val="00CF1769"/>
    <w:rsid w:val="00CF19F5"/>
    <w:rsid w:val="00CF232D"/>
    <w:rsid w:val="00CF29F4"/>
    <w:rsid w:val="00CF3478"/>
    <w:rsid w:val="00CF34E5"/>
    <w:rsid w:val="00CF35DD"/>
    <w:rsid w:val="00CF3DC1"/>
    <w:rsid w:val="00CF4868"/>
    <w:rsid w:val="00CF4D84"/>
    <w:rsid w:val="00CF5025"/>
    <w:rsid w:val="00CF5E56"/>
    <w:rsid w:val="00CF64AB"/>
    <w:rsid w:val="00CF69F0"/>
    <w:rsid w:val="00CF71AD"/>
    <w:rsid w:val="00CF7EE1"/>
    <w:rsid w:val="00D0087B"/>
    <w:rsid w:val="00D00E33"/>
    <w:rsid w:val="00D01E6F"/>
    <w:rsid w:val="00D02165"/>
    <w:rsid w:val="00D0404D"/>
    <w:rsid w:val="00D041D1"/>
    <w:rsid w:val="00D04DE8"/>
    <w:rsid w:val="00D055D9"/>
    <w:rsid w:val="00D05916"/>
    <w:rsid w:val="00D05B48"/>
    <w:rsid w:val="00D05E2C"/>
    <w:rsid w:val="00D05FE2"/>
    <w:rsid w:val="00D06C42"/>
    <w:rsid w:val="00D070EF"/>
    <w:rsid w:val="00D071B8"/>
    <w:rsid w:val="00D07432"/>
    <w:rsid w:val="00D07FC1"/>
    <w:rsid w:val="00D110CD"/>
    <w:rsid w:val="00D114CE"/>
    <w:rsid w:val="00D11538"/>
    <w:rsid w:val="00D11625"/>
    <w:rsid w:val="00D119C0"/>
    <w:rsid w:val="00D1245E"/>
    <w:rsid w:val="00D12A52"/>
    <w:rsid w:val="00D12C41"/>
    <w:rsid w:val="00D13094"/>
    <w:rsid w:val="00D13221"/>
    <w:rsid w:val="00D1473B"/>
    <w:rsid w:val="00D14D2F"/>
    <w:rsid w:val="00D154BD"/>
    <w:rsid w:val="00D15AA2"/>
    <w:rsid w:val="00D1611A"/>
    <w:rsid w:val="00D1619C"/>
    <w:rsid w:val="00D16871"/>
    <w:rsid w:val="00D16C34"/>
    <w:rsid w:val="00D17B0D"/>
    <w:rsid w:val="00D2012C"/>
    <w:rsid w:val="00D20818"/>
    <w:rsid w:val="00D20880"/>
    <w:rsid w:val="00D20CB1"/>
    <w:rsid w:val="00D2112C"/>
    <w:rsid w:val="00D21924"/>
    <w:rsid w:val="00D21DEE"/>
    <w:rsid w:val="00D21EF6"/>
    <w:rsid w:val="00D22EA5"/>
    <w:rsid w:val="00D232F1"/>
    <w:rsid w:val="00D23678"/>
    <w:rsid w:val="00D23CCF"/>
    <w:rsid w:val="00D24256"/>
    <w:rsid w:val="00D245EB"/>
    <w:rsid w:val="00D24758"/>
    <w:rsid w:val="00D25350"/>
    <w:rsid w:val="00D25754"/>
    <w:rsid w:val="00D257DB"/>
    <w:rsid w:val="00D25B6B"/>
    <w:rsid w:val="00D260FE"/>
    <w:rsid w:val="00D30025"/>
    <w:rsid w:val="00D3037B"/>
    <w:rsid w:val="00D30612"/>
    <w:rsid w:val="00D30AED"/>
    <w:rsid w:val="00D31452"/>
    <w:rsid w:val="00D314FD"/>
    <w:rsid w:val="00D3170D"/>
    <w:rsid w:val="00D321ED"/>
    <w:rsid w:val="00D32F97"/>
    <w:rsid w:val="00D334E7"/>
    <w:rsid w:val="00D33CC1"/>
    <w:rsid w:val="00D345A7"/>
    <w:rsid w:val="00D34AEB"/>
    <w:rsid w:val="00D34FE1"/>
    <w:rsid w:val="00D3533C"/>
    <w:rsid w:val="00D356C0"/>
    <w:rsid w:val="00D3598A"/>
    <w:rsid w:val="00D35FAE"/>
    <w:rsid w:val="00D37143"/>
    <w:rsid w:val="00D377CE"/>
    <w:rsid w:val="00D40283"/>
    <w:rsid w:val="00D404CF"/>
    <w:rsid w:val="00D40E48"/>
    <w:rsid w:val="00D41FE8"/>
    <w:rsid w:val="00D43ECB"/>
    <w:rsid w:val="00D455BA"/>
    <w:rsid w:val="00D459F7"/>
    <w:rsid w:val="00D45F70"/>
    <w:rsid w:val="00D46B1F"/>
    <w:rsid w:val="00D4788F"/>
    <w:rsid w:val="00D47EFB"/>
    <w:rsid w:val="00D50093"/>
    <w:rsid w:val="00D50A99"/>
    <w:rsid w:val="00D50B14"/>
    <w:rsid w:val="00D50DEE"/>
    <w:rsid w:val="00D534E1"/>
    <w:rsid w:val="00D53570"/>
    <w:rsid w:val="00D53835"/>
    <w:rsid w:val="00D53A80"/>
    <w:rsid w:val="00D541AF"/>
    <w:rsid w:val="00D54872"/>
    <w:rsid w:val="00D55357"/>
    <w:rsid w:val="00D55602"/>
    <w:rsid w:val="00D556C4"/>
    <w:rsid w:val="00D56445"/>
    <w:rsid w:val="00D564B9"/>
    <w:rsid w:val="00D56D84"/>
    <w:rsid w:val="00D576BA"/>
    <w:rsid w:val="00D57B97"/>
    <w:rsid w:val="00D6049C"/>
    <w:rsid w:val="00D608E5"/>
    <w:rsid w:val="00D61829"/>
    <w:rsid w:val="00D62155"/>
    <w:rsid w:val="00D62354"/>
    <w:rsid w:val="00D623C6"/>
    <w:rsid w:val="00D62DBE"/>
    <w:rsid w:val="00D62EB8"/>
    <w:rsid w:val="00D63C22"/>
    <w:rsid w:val="00D678BA"/>
    <w:rsid w:val="00D67C39"/>
    <w:rsid w:val="00D67DEC"/>
    <w:rsid w:val="00D67F6A"/>
    <w:rsid w:val="00D7111B"/>
    <w:rsid w:val="00D71BC8"/>
    <w:rsid w:val="00D72150"/>
    <w:rsid w:val="00D730EA"/>
    <w:rsid w:val="00D7397B"/>
    <w:rsid w:val="00D742F6"/>
    <w:rsid w:val="00D746A0"/>
    <w:rsid w:val="00D74AE2"/>
    <w:rsid w:val="00D75542"/>
    <w:rsid w:val="00D75CBB"/>
    <w:rsid w:val="00D75E94"/>
    <w:rsid w:val="00D76899"/>
    <w:rsid w:val="00D80318"/>
    <w:rsid w:val="00D80F13"/>
    <w:rsid w:val="00D812D8"/>
    <w:rsid w:val="00D81432"/>
    <w:rsid w:val="00D8191B"/>
    <w:rsid w:val="00D81A6E"/>
    <w:rsid w:val="00D826D0"/>
    <w:rsid w:val="00D8327C"/>
    <w:rsid w:val="00D8375F"/>
    <w:rsid w:val="00D83C4D"/>
    <w:rsid w:val="00D841AC"/>
    <w:rsid w:val="00D8517D"/>
    <w:rsid w:val="00D859E8"/>
    <w:rsid w:val="00D86194"/>
    <w:rsid w:val="00D866B1"/>
    <w:rsid w:val="00D871F9"/>
    <w:rsid w:val="00D873F4"/>
    <w:rsid w:val="00D906B3"/>
    <w:rsid w:val="00D90FC6"/>
    <w:rsid w:val="00D9181C"/>
    <w:rsid w:val="00D91CC2"/>
    <w:rsid w:val="00D92A35"/>
    <w:rsid w:val="00D92E9D"/>
    <w:rsid w:val="00D93C0E"/>
    <w:rsid w:val="00D93D95"/>
    <w:rsid w:val="00D93DFF"/>
    <w:rsid w:val="00D94C46"/>
    <w:rsid w:val="00D95EBC"/>
    <w:rsid w:val="00D95F6F"/>
    <w:rsid w:val="00D96007"/>
    <w:rsid w:val="00D9703B"/>
    <w:rsid w:val="00D976B5"/>
    <w:rsid w:val="00DA0300"/>
    <w:rsid w:val="00DA096F"/>
    <w:rsid w:val="00DA0A53"/>
    <w:rsid w:val="00DA0C11"/>
    <w:rsid w:val="00DA122F"/>
    <w:rsid w:val="00DA1D42"/>
    <w:rsid w:val="00DA1D55"/>
    <w:rsid w:val="00DA1DDF"/>
    <w:rsid w:val="00DA257F"/>
    <w:rsid w:val="00DA2701"/>
    <w:rsid w:val="00DA34DD"/>
    <w:rsid w:val="00DA3722"/>
    <w:rsid w:val="00DA42D0"/>
    <w:rsid w:val="00DA4E7A"/>
    <w:rsid w:val="00DA5C4E"/>
    <w:rsid w:val="00DA6010"/>
    <w:rsid w:val="00DA6202"/>
    <w:rsid w:val="00DA63AB"/>
    <w:rsid w:val="00DA7114"/>
    <w:rsid w:val="00DA75AB"/>
    <w:rsid w:val="00DA7A0F"/>
    <w:rsid w:val="00DB0A3E"/>
    <w:rsid w:val="00DB1F12"/>
    <w:rsid w:val="00DB3879"/>
    <w:rsid w:val="00DB3EF0"/>
    <w:rsid w:val="00DB528C"/>
    <w:rsid w:val="00DB5360"/>
    <w:rsid w:val="00DB5D45"/>
    <w:rsid w:val="00DB627D"/>
    <w:rsid w:val="00DB63F7"/>
    <w:rsid w:val="00DB64AA"/>
    <w:rsid w:val="00DB663A"/>
    <w:rsid w:val="00DB6F53"/>
    <w:rsid w:val="00DB76D5"/>
    <w:rsid w:val="00DB7CA0"/>
    <w:rsid w:val="00DC0A86"/>
    <w:rsid w:val="00DC1C10"/>
    <w:rsid w:val="00DC1F14"/>
    <w:rsid w:val="00DC25BD"/>
    <w:rsid w:val="00DC25DC"/>
    <w:rsid w:val="00DC271F"/>
    <w:rsid w:val="00DC2A31"/>
    <w:rsid w:val="00DC364D"/>
    <w:rsid w:val="00DC4287"/>
    <w:rsid w:val="00DC5EE7"/>
    <w:rsid w:val="00DC6127"/>
    <w:rsid w:val="00DC62F8"/>
    <w:rsid w:val="00DC66D8"/>
    <w:rsid w:val="00DC6CD0"/>
    <w:rsid w:val="00DC76F8"/>
    <w:rsid w:val="00DC7B21"/>
    <w:rsid w:val="00DD1E60"/>
    <w:rsid w:val="00DD24B2"/>
    <w:rsid w:val="00DD255E"/>
    <w:rsid w:val="00DD2C89"/>
    <w:rsid w:val="00DD2D9D"/>
    <w:rsid w:val="00DD3C04"/>
    <w:rsid w:val="00DD4023"/>
    <w:rsid w:val="00DD41F0"/>
    <w:rsid w:val="00DD4302"/>
    <w:rsid w:val="00DD4477"/>
    <w:rsid w:val="00DD4638"/>
    <w:rsid w:val="00DD4921"/>
    <w:rsid w:val="00DD5917"/>
    <w:rsid w:val="00DD6298"/>
    <w:rsid w:val="00DE1575"/>
    <w:rsid w:val="00DE1F6D"/>
    <w:rsid w:val="00DE281A"/>
    <w:rsid w:val="00DE314D"/>
    <w:rsid w:val="00DE478D"/>
    <w:rsid w:val="00DE4D03"/>
    <w:rsid w:val="00DE5A39"/>
    <w:rsid w:val="00DE6CCB"/>
    <w:rsid w:val="00DE7383"/>
    <w:rsid w:val="00DE758A"/>
    <w:rsid w:val="00DF11EC"/>
    <w:rsid w:val="00DF15CA"/>
    <w:rsid w:val="00DF17A2"/>
    <w:rsid w:val="00DF2D3D"/>
    <w:rsid w:val="00DF364C"/>
    <w:rsid w:val="00DF41CD"/>
    <w:rsid w:val="00DF4491"/>
    <w:rsid w:val="00DF525A"/>
    <w:rsid w:val="00DF57CC"/>
    <w:rsid w:val="00DF6072"/>
    <w:rsid w:val="00DF7411"/>
    <w:rsid w:val="00DF7D5C"/>
    <w:rsid w:val="00E014CD"/>
    <w:rsid w:val="00E01B17"/>
    <w:rsid w:val="00E02239"/>
    <w:rsid w:val="00E028FA"/>
    <w:rsid w:val="00E02913"/>
    <w:rsid w:val="00E0452E"/>
    <w:rsid w:val="00E04708"/>
    <w:rsid w:val="00E04CB1"/>
    <w:rsid w:val="00E057B0"/>
    <w:rsid w:val="00E06F74"/>
    <w:rsid w:val="00E07318"/>
    <w:rsid w:val="00E10154"/>
    <w:rsid w:val="00E1057B"/>
    <w:rsid w:val="00E12696"/>
    <w:rsid w:val="00E12F22"/>
    <w:rsid w:val="00E1306D"/>
    <w:rsid w:val="00E1390D"/>
    <w:rsid w:val="00E13C9D"/>
    <w:rsid w:val="00E14DCC"/>
    <w:rsid w:val="00E15158"/>
    <w:rsid w:val="00E16F09"/>
    <w:rsid w:val="00E170E1"/>
    <w:rsid w:val="00E174C6"/>
    <w:rsid w:val="00E20818"/>
    <w:rsid w:val="00E20C38"/>
    <w:rsid w:val="00E20D3C"/>
    <w:rsid w:val="00E20F80"/>
    <w:rsid w:val="00E23962"/>
    <w:rsid w:val="00E24181"/>
    <w:rsid w:val="00E244B1"/>
    <w:rsid w:val="00E2478F"/>
    <w:rsid w:val="00E257A8"/>
    <w:rsid w:val="00E25B87"/>
    <w:rsid w:val="00E25E03"/>
    <w:rsid w:val="00E2638B"/>
    <w:rsid w:val="00E26479"/>
    <w:rsid w:val="00E26F73"/>
    <w:rsid w:val="00E2703E"/>
    <w:rsid w:val="00E27EC9"/>
    <w:rsid w:val="00E3137C"/>
    <w:rsid w:val="00E3183E"/>
    <w:rsid w:val="00E31D1E"/>
    <w:rsid w:val="00E31F26"/>
    <w:rsid w:val="00E32124"/>
    <w:rsid w:val="00E3324E"/>
    <w:rsid w:val="00E3357E"/>
    <w:rsid w:val="00E36719"/>
    <w:rsid w:val="00E3794E"/>
    <w:rsid w:val="00E40C29"/>
    <w:rsid w:val="00E40F47"/>
    <w:rsid w:val="00E41647"/>
    <w:rsid w:val="00E41D91"/>
    <w:rsid w:val="00E429A5"/>
    <w:rsid w:val="00E42AC8"/>
    <w:rsid w:val="00E430C3"/>
    <w:rsid w:val="00E43C1C"/>
    <w:rsid w:val="00E43F9B"/>
    <w:rsid w:val="00E447D2"/>
    <w:rsid w:val="00E472CF"/>
    <w:rsid w:val="00E51519"/>
    <w:rsid w:val="00E526BC"/>
    <w:rsid w:val="00E52AD6"/>
    <w:rsid w:val="00E52F19"/>
    <w:rsid w:val="00E52FB8"/>
    <w:rsid w:val="00E53628"/>
    <w:rsid w:val="00E54ABE"/>
    <w:rsid w:val="00E54C69"/>
    <w:rsid w:val="00E55D2D"/>
    <w:rsid w:val="00E5600F"/>
    <w:rsid w:val="00E5602B"/>
    <w:rsid w:val="00E56409"/>
    <w:rsid w:val="00E5726A"/>
    <w:rsid w:val="00E572F7"/>
    <w:rsid w:val="00E5768E"/>
    <w:rsid w:val="00E6032B"/>
    <w:rsid w:val="00E604A5"/>
    <w:rsid w:val="00E609F5"/>
    <w:rsid w:val="00E611E2"/>
    <w:rsid w:val="00E615CB"/>
    <w:rsid w:val="00E61B6D"/>
    <w:rsid w:val="00E61BA4"/>
    <w:rsid w:val="00E61F50"/>
    <w:rsid w:val="00E6248F"/>
    <w:rsid w:val="00E633B8"/>
    <w:rsid w:val="00E64F86"/>
    <w:rsid w:val="00E657AC"/>
    <w:rsid w:val="00E66183"/>
    <w:rsid w:val="00E67C87"/>
    <w:rsid w:val="00E7046A"/>
    <w:rsid w:val="00E7047D"/>
    <w:rsid w:val="00E70D81"/>
    <w:rsid w:val="00E74D62"/>
    <w:rsid w:val="00E74DD2"/>
    <w:rsid w:val="00E75E22"/>
    <w:rsid w:val="00E76D91"/>
    <w:rsid w:val="00E76DA0"/>
    <w:rsid w:val="00E77F83"/>
    <w:rsid w:val="00E77FBC"/>
    <w:rsid w:val="00E81916"/>
    <w:rsid w:val="00E81EF8"/>
    <w:rsid w:val="00E81F41"/>
    <w:rsid w:val="00E83A3D"/>
    <w:rsid w:val="00E83BDB"/>
    <w:rsid w:val="00E83D0E"/>
    <w:rsid w:val="00E84321"/>
    <w:rsid w:val="00E84804"/>
    <w:rsid w:val="00E84825"/>
    <w:rsid w:val="00E84972"/>
    <w:rsid w:val="00E85B48"/>
    <w:rsid w:val="00E85ECA"/>
    <w:rsid w:val="00E87454"/>
    <w:rsid w:val="00E87799"/>
    <w:rsid w:val="00E87DF1"/>
    <w:rsid w:val="00E928A5"/>
    <w:rsid w:val="00E93510"/>
    <w:rsid w:val="00E93939"/>
    <w:rsid w:val="00E93B66"/>
    <w:rsid w:val="00E93B82"/>
    <w:rsid w:val="00E94209"/>
    <w:rsid w:val="00E9442C"/>
    <w:rsid w:val="00E947B7"/>
    <w:rsid w:val="00E94ADB"/>
    <w:rsid w:val="00E94C80"/>
    <w:rsid w:val="00E9564B"/>
    <w:rsid w:val="00E95C93"/>
    <w:rsid w:val="00E95E53"/>
    <w:rsid w:val="00E9688B"/>
    <w:rsid w:val="00E97198"/>
    <w:rsid w:val="00E97FCB"/>
    <w:rsid w:val="00EA0B4B"/>
    <w:rsid w:val="00EA2370"/>
    <w:rsid w:val="00EA3D6F"/>
    <w:rsid w:val="00EA4139"/>
    <w:rsid w:val="00EA415E"/>
    <w:rsid w:val="00EA49D8"/>
    <w:rsid w:val="00EA4A3E"/>
    <w:rsid w:val="00EA56AA"/>
    <w:rsid w:val="00EA5C22"/>
    <w:rsid w:val="00EA5CCF"/>
    <w:rsid w:val="00EA6779"/>
    <w:rsid w:val="00EA709F"/>
    <w:rsid w:val="00EA774A"/>
    <w:rsid w:val="00EA7C8F"/>
    <w:rsid w:val="00EB0752"/>
    <w:rsid w:val="00EB209D"/>
    <w:rsid w:val="00EB2741"/>
    <w:rsid w:val="00EB280C"/>
    <w:rsid w:val="00EB2E74"/>
    <w:rsid w:val="00EB3397"/>
    <w:rsid w:val="00EB340F"/>
    <w:rsid w:val="00EB512A"/>
    <w:rsid w:val="00EB6391"/>
    <w:rsid w:val="00EB67E0"/>
    <w:rsid w:val="00EB6C21"/>
    <w:rsid w:val="00EC01F4"/>
    <w:rsid w:val="00EC0691"/>
    <w:rsid w:val="00EC08AB"/>
    <w:rsid w:val="00EC0C2F"/>
    <w:rsid w:val="00EC0D71"/>
    <w:rsid w:val="00EC21DF"/>
    <w:rsid w:val="00EC2243"/>
    <w:rsid w:val="00EC2542"/>
    <w:rsid w:val="00EC2CA7"/>
    <w:rsid w:val="00EC2D45"/>
    <w:rsid w:val="00EC2EEA"/>
    <w:rsid w:val="00EC37AE"/>
    <w:rsid w:val="00EC3D74"/>
    <w:rsid w:val="00EC4ABC"/>
    <w:rsid w:val="00EC4ED6"/>
    <w:rsid w:val="00EC509E"/>
    <w:rsid w:val="00EC544D"/>
    <w:rsid w:val="00EC5503"/>
    <w:rsid w:val="00EC6A07"/>
    <w:rsid w:val="00EC7583"/>
    <w:rsid w:val="00ED0B53"/>
    <w:rsid w:val="00ED0FA0"/>
    <w:rsid w:val="00ED27C4"/>
    <w:rsid w:val="00ED3876"/>
    <w:rsid w:val="00ED3BF5"/>
    <w:rsid w:val="00ED56FD"/>
    <w:rsid w:val="00ED617E"/>
    <w:rsid w:val="00ED6358"/>
    <w:rsid w:val="00ED64B1"/>
    <w:rsid w:val="00ED64DC"/>
    <w:rsid w:val="00ED6EE5"/>
    <w:rsid w:val="00ED7D53"/>
    <w:rsid w:val="00ED7EDF"/>
    <w:rsid w:val="00EE067D"/>
    <w:rsid w:val="00EE1170"/>
    <w:rsid w:val="00EE1878"/>
    <w:rsid w:val="00EE1D2E"/>
    <w:rsid w:val="00EE2003"/>
    <w:rsid w:val="00EE304B"/>
    <w:rsid w:val="00EE4073"/>
    <w:rsid w:val="00EE4C79"/>
    <w:rsid w:val="00EE5B29"/>
    <w:rsid w:val="00EE5D95"/>
    <w:rsid w:val="00EE6C52"/>
    <w:rsid w:val="00EE74EE"/>
    <w:rsid w:val="00EF0009"/>
    <w:rsid w:val="00EF002B"/>
    <w:rsid w:val="00EF057B"/>
    <w:rsid w:val="00EF0ACF"/>
    <w:rsid w:val="00EF139E"/>
    <w:rsid w:val="00EF1863"/>
    <w:rsid w:val="00EF27AC"/>
    <w:rsid w:val="00EF2DE2"/>
    <w:rsid w:val="00EF37C5"/>
    <w:rsid w:val="00EF404D"/>
    <w:rsid w:val="00EF40C4"/>
    <w:rsid w:val="00EF43E6"/>
    <w:rsid w:val="00EF4475"/>
    <w:rsid w:val="00EF4798"/>
    <w:rsid w:val="00EF4DB0"/>
    <w:rsid w:val="00EF50BB"/>
    <w:rsid w:val="00EF52E1"/>
    <w:rsid w:val="00EF68F6"/>
    <w:rsid w:val="00F01457"/>
    <w:rsid w:val="00F018ED"/>
    <w:rsid w:val="00F01D92"/>
    <w:rsid w:val="00F02714"/>
    <w:rsid w:val="00F02998"/>
    <w:rsid w:val="00F02F15"/>
    <w:rsid w:val="00F03DF5"/>
    <w:rsid w:val="00F0485C"/>
    <w:rsid w:val="00F0501B"/>
    <w:rsid w:val="00F05638"/>
    <w:rsid w:val="00F058C8"/>
    <w:rsid w:val="00F05985"/>
    <w:rsid w:val="00F0669A"/>
    <w:rsid w:val="00F06CF1"/>
    <w:rsid w:val="00F07F1D"/>
    <w:rsid w:val="00F1047D"/>
    <w:rsid w:val="00F10A35"/>
    <w:rsid w:val="00F1130F"/>
    <w:rsid w:val="00F11970"/>
    <w:rsid w:val="00F11C13"/>
    <w:rsid w:val="00F12314"/>
    <w:rsid w:val="00F12CDC"/>
    <w:rsid w:val="00F1362E"/>
    <w:rsid w:val="00F13B6B"/>
    <w:rsid w:val="00F13C92"/>
    <w:rsid w:val="00F140C3"/>
    <w:rsid w:val="00F142AC"/>
    <w:rsid w:val="00F143B9"/>
    <w:rsid w:val="00F1474D"/>
    <w:rsid w:val="00F14C80"/>
    <w:rsid w:val="00F151C4"/>
    <w:rsid w:val="00F158AD"/>
    <w:rsid w:val="00F166C3"/>
    <w:rsid w:val="00F16B8E"/>
    <w:rsid w:val="00F16BD1"/>
    <w:rsid w:val="00F20107"/>
    <w:rsid w:val="00F20256"/>
    <w:rsid w:val="00F206DD"/>
    <w:rsid w:val="00F20B52"/>
    <w:rsid w:val="00F20CB1"/>
    <w:rsid w:val="00F20DBE"/>
    <w:rsid w:val="00F214D2"/>
    <w:rsid w:val="00F22AD9"/>
    <w:rsid w:val="00F234A0"/>
    <w:rsid w:val="00F2359E"/>
    <w:rsid w:val="00F24306"/>
    <w:rsid w:val="00F254CC"/>
    <w:rsid w:val="00F263C5"/>
    <w:rsid w:val="00F27041"/>
    <w:rsid w:val="00F278F2"/>
    <w:rsid w:val="00F308A7"/>
    <w:rsid w:val="00F323A2"/>
    <w:rsid w:val="00F32573"/>
    <w:rsid w:val="00F32697"/>
    <w:rsid w:val="00F348E2"/>
    <w:rsid w:val="00F35040"/>
    <w:rsid w:val="00F3675C"/>
    <w:rsid w:val="00F36EFD"/>
    <w:rsid w:val="00F372CF"/>
    <w:rsid w:val="00F376D1"/>
    <w:rsid w:val="00F37796"/>
    <w:rsid w:val="00F40118"/>
    <w:rsid w:val="00F40432"/>
    <w:rsid w:val="00F41279"/>
    <w:rsid w:val="00F41A1F"/>
    <w:rsid w:val="00F41B99"/>
    <w:rsid w:val="00F426EB"/>
    <w:rsid w:val="00F429AB"/>
    <w:rsid w:val="00F43BC7"/>
    <w:rsid w:val="00F440BE"/>
    <w:rsid w:val="00F44407"/>
    <w:rsid w:val="00F44EAA"/>
    <w:rsid w:val="00F458AC"/>
    <w:rsid w:val="00F467E7"/>
    <w:rsid w:val="00F47C98"/>
    <w:rsid w:val="00F47DEA"/>
    <w:rsid w:val="00F47E62"/>
    <w:rsid w:val="00F51166"/>
    <w:rsid w:val="00F51DD6"/>
    <w:rsid w:val="00F51F59"/>
    <w:rsid w:val="00F52CBF"/>
    <w:rsid w:val="00F53FB6"/>
    <w:rsid w:val="00F547EF"/>
    <w:rsid w:val="00F55040"/>
    <w:rsid w:val="00F5540B"/>
    <w:rsid w:val="00F55B67"/>
    <w:rsid w:val="00F55EB3"/>
    <w:rsid w:val="00F56566"/>
    <w:rsid w:val="00F573A4"/>
    <w:rsid w:val="00F615A4"/>
    <w:rsid w:val="00F62C25"/>
    <w:rsid w:val="00F636CC"/>
    <w:rsid w:val="00F63E3C"/>
    <w:rsid w:val="00F64082"/>
    <w:rsid w:val="00F64111"/>
    <w:rsid w:val="00F643B7"/>
    <w:rsid w:val="00F645EC"/>
    <w:rsid w:val="00F65753"/>
    <w:rsid w:val="00F657C2"/>
    <w:rsid w:val="00F657DA"/>
    <w:rsid w:val="00F66189"/>
    <w:rsid w:val="00F66D45"/>
    <w:rsid w:val="00F67377"/>
    <w:rsid w:val="00F674F5"/>
    <w:rsid w:val="00F6755F"/>
    <w:rsid w:val="00F67B9F"/>
    <w:rsid w:val="00F70194"/>
    <w:rsid w:val="00F7189C"/>
    <w:rsid w:val="00F720E9"/>
    <w:rsid w:val="00F723C1"/>
    <w:rsid w:val="00F72D65"/>
    <w:rsid w:val="00F731B9"/>
    <w:rsid w:val="00F73477"/>
    <w:rsid w:val="00F73551"/>
    <w:rsid w:val="00F74FF8"/>
    <w:rsid w:val="00F75C87"/>
    <w:rsid w:val="00F761C7"/>
    <w:rsid w:val="00F76A6B"/>
    <w:rsid w:val="00F77BB9"/>
    <w:rsid w:val="00F802B0"/>
    <w:rsid w:val="00F805E9"/>
    <w:rsid w:val="00F81075"/>
    <w:rsid w:val="00F81088"/>
    <w:rsid w:val="00F810D3"/>
    <w:rsid w:val="00F81420"/>
    <w:rsid w:val="00F8163E"/>
    <w:rsid w:val="00F83174"/>
    <w:rsid w:val="00F83251"/>
    <w:rsid w:val="00F83A22"/>
    <w:rsid w:val="00F83AAD"/>
    <w:rsid w:val="00F84F8F"/>
    <w:rsid w:val="00F86370"/>
    <w:rsid w:val="00F8688E"/>
    <w:rsid w:val="00F86C6C"/>
    <w:rsid w:val="00F86DF4"/>
    <w:rsid w:val="00F8790A"/>
    <w:rsid w:val="00F87ACC"/>
    <w:rsid w:val="00F92178"/>
    <w:rsid w:val="00F92C35"/>
    <w:rsid w:val="00F93E0F"/>
    <w:rsid w:val="00F96474"/>
    <w:rsid w:val="00F965A5"/>
    <w:rsid w:val="00F96813"/>
    <w:rsid w:val="00FA027E"/>
    <w:rsid w:val="00FA0392"/>
    <w:rsid w:val="00FA0D52"/>
    <w:rsid w:val="00FA0FC8"/>
    <w:rsid w:val="00FA11C8"/>
    <w:rsid w:val="00FA12E6"/>
    <w:rsid w:val="00FA1346"/>
    <w:rsid w:val="00FA1F2A"/>
    <w:rsid w:val="00FA26CD"/>
    <w:rsid w:val="00FA4BF0"/>
    <w:rsid w:val="00FA514C"/>
    <w:rsid w:val="00FA514D"/>
    <w:rsid w:val="00FA6456"/>
    <w:rsid w:val="00FA6A98"/>
    <w:rsid w:val="00FA6D15"/>
    <w:rsid w:val="00FA73BE"/>
    <w:rsid w:val="00FB016C"/>
    <w:rsid w:val="00FB0496"/>
    <w:rsid w:val="00FB0ADC"/>
    <w:rsid w:val="00FB0B60"/>
    <w:rsid w:val="00FB0F4D"/>
    <w:rsid w:val="00FB167F"/>
    <w:rsid w:val="00FB1FA4"/>
    <w:rsid w:val="00FB382C"/>
    <w:rsid w:val="00FB40F9"/>
    <w:rsid w:val="00FB40FC"/>
    <w:rsid w:val="00FB4D92"/>
    <w:rsid w:val="00FB4FC3"/>
    <w:rsid w:val="00FB536D"/>
    <w:rsid w:val="00FB549D"/>
    <w:rsid w:val="00FB5685"/>
    <w:rsid w:val="00FB7334"/>
    <w:rsid w:val="00FB7637"/>
    <w:rsid w:val="00FB77F9"/>
    <w:rsid w:val="00FC0BCE"/>
    <w:rsid w:val="00FC1236"/>
    <w:rsid w:val="00FC17EA"/>
    <w:rsid w:val="00FC20B4"/>
    <w:rsid w:val="00FC2E53"/>
    <w:rsid w:val="00FC3164"/>
    <w:rsid w:val="00FC558A"/>
    <w:rsid w:val="00FC5666"/>
    <w:rsid w:val="00FC6048"/>
    <w:rsid w:val="00FC65D5"/>
    <w:rsid w:val="00FC663E"/>
    <w:rsid w:val="00FC688A"/>
    <w:rsid w:val="00FC6C67"/>
    <w:rsid w:val="00FC6D00"/>
    <w:rsid w:val="00FC71A2"/>
    <w:rsid w:val="00FD0C25"/>
    <w:rsid w:val="00FD22DF"/>
    <w:rsid w:val="00FD2A14"/>
    <w:rsid w:val="00FD637D"/>
    <w:rsid w:val="00FD6460"/>
    <w:rsid w:val="00FD6693"/>
    <w:rsid w:val="00FE0056"/>
    <w:rsid w:val="00FE0FD9"/>
    <w:rsid w:val="00FE1698"/>
    <w:rsid w:val="00FE264E"/>
    <w:rsid w:val="00FE2B50"/>
    <w:rsid w:val="00FE4102"/>
    <w:rsid w:val="00FE4BB5"/>
    <w:rsid w:val="00FE5C22"/>
    <w:rsid w:val="00FE5C2C"/>
    <w:rsid w:val="00FE6168"/>
    <w:rsid w:val="00FE636D"/>
    <w:rsid w:val="00FE7C74"/>
    <w:rsid w:val="00FF0515"/>
    <w:rsid w:val="00FF09B0"/>
    <w:rsid w:val="00FF0C57"/>
    <w:rsid w:val="00FF111F"/>
    <w:rsid w:val="00FF1BA2"/>
    <w:rsid w:val="00FF3014"/>
    <w:rsid w:val="00FF3E76"/>
    <w:rsid w:val="00FF4113"/>
    <w:rsid w:val="00FF4135"/>
    <w:rsid w:val="00FF46D5"/>
    <w:rsid w:val="00FF50BE"/>
    <w:rsid w:val="00FF5C75"/>
    <w:rsid w:val="00FF5F14"/>
    <w:rsid w:val="00FF67EA"/>
    <w:rsid w:val="00FF7087"/>
    <w:rsid w:val="00FF7249"/>
    <w:rsid w:val="00FF7BE8"/>
    <w:rsid w:val="011B60C4"/>
    <w:rsid w:val="011E6FF2"/>
    <w:rsid w:val="01207B0A"/>
    <w:rsid w:val="01366D4C"/>
    <w:rsid w:val="016476D4"/>
    <w:rsid w:val="01715407"/>
    <w:rsid w:val="01E464B8"/>
    <w:rsid w:val="021C29C7"/>
    <w:rsid w:val="022B0E5C"/>
    <w:rsid w:val="022E3E22"/>
    <w:rsid w:val="023A28FF"/>
    <w:rsid w:val="02512DC5"/>
    <w:rsid w:val="02656F54"/>
    <w:rsid w:val="028D5D9D"/>
    <w:rsid w:val="02A66735"/>
    <w:rsid w:val="02F4445A"/>
    <w:rsid w:val="03333615"/>
    <w:rsid w:val="03632E30"/>
    <w:rsid w:val="03950458"/>
    <w:rsid w:val="039B791C"/>
    <w:rsid w:val="03E5668B"/>
    <w:rsid w:val="03FE39A5"/>
    <w:rsid w:val="040A1451"/>
    <w:rsid w:val="0433224A"/>
    <w:rsid w:val="046822F8"/>
    <w:rsid w:val="047E0DA1"/>
    <w:rsid w:val="048A7C5B"/>
    <w:rsid w:val="04A17C63"/>
    <w:rsid w:val="04BF35A7"/>
    <w:rsid w:val="04CA7A84"/>
    <w:rsid w:val="051A6F66"/>
    <w:rsid w:val="052C0449"/>
    <w:rsid w:val="05544B21"/>
    <w:rsid w:val="0566089E"/>
    <w:rsid w:val="05670BEC"/>
    <w:rsid w:val="057B28FA"/>
    <w:rsid w:val="05A34A52"/>
    <w:rsid w:val="05B0602F"/>
    <w:rsid w:val="05D5530F"/>
    <w:rsid w:val="06096073"/>
    <w:rsid w:val="06190FCC"/>
    <w:rsid w:val="061F04BE"/>
    <w:rsid w:val="063237EF"/>
    <w:rsid w:val="06343B0A"/>
    <w:rsid w:val="064E34E8"/>
    <w:rsid w:val="06A66B16"/>
    <w:rsid w:val="06A961F0"/>
    <w:rsid w:val="06B96E76"/>
    <w:rsid w:val="06EA7085"/>
    <w:rsid w:val="06FF1447"/>
    <w:rsid w:val="07287466"/>
    <w:rsid w:val="0747309E"/>
    <w:rsid w:val="07481B68"/>
    <w:rsid w:val="076E606B"/>
    <w:rsid w:val="07950DFE"/>
    <w:rsid w:val="07C15475"/>
    <w:rsid w:val="07D764C6"/>
    <w:rsid w:val="07EF33C4"/>
    <w:rsid w:val="07F6438B"/>
    <w:rsid w:val="08287B33"/>
    <w:rsid w:val="088D288E"/>
    <w:rsid w:val="08CB7BA3"/>
    <w:rsid w:val="08EE143D"/>
    <w:rsid w:val="08F55335"/>
    <w:rsid w:val="09242161"/>
    <w:rsid w:val="093336F5"/>
    <w:rsid w:val="09583A2E"/>
    <w:rsid w:val="095879E9"/>
    <w:rsid w:val="096B7D90"/>
    <w:rsid w:val="096D47E3"/>
    <w:rsid w:val="0979333B"/>
    <w:rsid w:val="097E5D15"/>
    <w:rsid w:val="09900371"/>
    <w:rsid w:val="09BC05EC"/>
    <w:rsid w:val="09C01BCB"/>
    <w:rsid w:val="09F44C55"/>
    <w:rsid w:val="0A160752"/>
    <w:rsid w:val="0A1E0C88"/>
    <w:rsid w:val="0A34559A"/>
    <w:rsid w:val="0A371230"/>
    <w:rsid w:val="0A943608"/>
    <w:rsid w:val="0B156206"/>
    <w:rsid w:val="0B32067B"/>
    <w:rsid w:val="0B3F48B7"/>
    <w:rsid w:val="0B482BB9"/>
    <w:rsid w:val="0B5021D6"/>
    <w:rsid w:val="0B577298"/>
    <w:rsid w:val="0B64049F"/>
    <w:rsid w:val="0B772A1C"/>
    <w:rsid w:val="0BB772BD"/>
    <w:rsid w:val="0BC6733A"/>
    <w:rsid w:val="0BCD76F4"/>
    <w:rsid w:val="0BE2187B"/>
    <w:rsid w:val="0BF4406D"/>
    <w:rsid w:val="0C166903"/>
    <w:rsid w:val="0C264809"/>
    <w:rsid w:val="0C3C28EC"/>
    <w:rsid w:val="0C5B56DD"/>
    <w:rsid w:val="0C6D18FE"/>
    <w:rsid w:val="0C7764BE"/>
    <w:rsid w:val="0CE44F4D"/>
    <w:rsid w:val="0CE75980"/>
    <w:rsid w:val="0D3A7C60"/>
    <w:rsid w:val="0D3C7FC3"/>
    <w:rsid w:val="0D5834B1"/>
    <w:rsid w:val="0D620B19"/>
    <w:rsid w:val="0D961FC5"/>
    <w:rsid w:val="0D9E6986"/>
    <w:rsid w:val="0DE50B8B"/>
    <w:rsid w:val="0DE9706A"/>
    <w:rsid w:val="0DEE12FB"/>
    <w:rsid w:val="0E0367E9"/>
    <w:rsid w:val="0E0632DA"/>
    <w:rsid w:val="0E1E46A1"/>
    <w:rsid w:val="0E3270CE"/>
    <w:rsid w:val="0E3D0029"/>
    <w:rsid w:val="0E6D2458"/>
    <w:rsid w:val="0E6F74B3"/>
    <w:rsid w:val="0E744B2C"/>
    <w:rsid w:val="0E910E05"/>
    <w:rsid w:val="0E941A1C"/>
    <w:rsid w:val="0E9B4C74"/>
    <w:rsid w:val="0EA26CB7"/>
    <w:rsid w:val="0EDC08A6"/>
    <w:rsid w:val="0EE07E46"/>
    <w:rsid w:val="0EE71826"/>
    <w:rsid w:val="0EFE5203"/>
    <w:rsid w:val="0F060119"/>
    <w:rsid w:val="0F2978F8"/>
    <w:rsid w:val="0F8604FF"/>
    <w:rsid w:val="0F9272FD"/>
    <w:rsid w:val="0FA933C0"/>
    <w:rsid w:val="10102F12"/>
    <w:rsid w:val="10127C77"/>
    <w:rsid w:val="10166681"/>
    <w:rsid w:val="101C3C8A"/>
    <w:rsid w:val="10383F9B"/>
    <w:rsid w:val="104C71CD"/>
    <w:rsid w:val="105B33D4"/>
    <w:rsid w:val="106106BD"/>
    <w:rsid w:val="10621F2A"/>
    <w:rsid w:val="106C0B1D"/>
    <w:rsid w:val="10B846C4"/>
    <w:rsid w:val="10C15974"/>
    <w:rsid w:val="10D52C8F"/>
    <w:rsid w:val="10F2358E"/>
    <w:rsid w:val="110D37D1"/>
    <w:rsid w:val="112761B1"/>
    <w:rsid w:val="113373E5"/>
    <w:rsid w:val="114F1D45"/>
    <w:rsid w:val="11537A88"/>
    <w:rsid w:val="11643A43"/>
    <w:rsid w:val="118F05F7"/>
    <w:rsid w:val="119D0440"/>
    <w:rsid w:val="11A56EF3"/>
    <w:rsid w:val="11B328A8"/>
    <w:rsid w:val="11C41501"/>
    <w:rsid w:val="11E54C9F"/>
    <w:rsid w:val="11EA1F0A"/>
    <w:rsid w:val="121363D7"/>
    <w:rsid w:val="12337EC6"/>
    <w:rsid w:val="12792632"/>
    <w:rsid w:val="12890ACB"/>
    <w:rsid w:val="12A56C5C"/>
    <w:rsid w:val="12AD2923"/>
    <w:rsid w:val="12AD5A91"/>
    <w:rsid w:val="12B17531"/>
    <w:rsid w:val="12CB18A0"/>
    <w:rsid w:val="12FD25E3"/>
    <w:rsid w:val="130C4392"/>
    <w:rsid w:val="13291286"/>
    <w:rsid w:val="134D6463"/>
    <w:rsid w:val="135978AF"/>
    <w:rsid w:val="1385078D"/>
    <w:rsid w:val="13927DD4"/>
    <w:rsid w:val="13BB777D"/>
    <w:rsid w:val="13C40818"/>
    <w:rsid w:val="13F566D8"/>
    <w:rsid w:val="140C761D"/>
    <w:rsid w:val="142906E4"/>
    <w:rsid w:val="14680169"/>
    <w:rsid w:val="147238D3"/>
    <w:rsid w:val="147D17AD"/>
    <w:rsid w:val="14B95E54"/>
    <w:rsid w:val="14E21F76"/>
    <w:rsid w:val="14ED31E8"/>
    <w:rsid w:val="15112A82"/>
    <w:rsid w:val="1550218B"/>
    <w:rsid w:val="15D371E2"/>
    <w:rsid w:val="15D91EBF"/>
    <w:rsid w:val="15FC62BD"/>
    <w:rsid w:val="160503CB"/>
    <w:rsid w:val="160E6061"/>
    <w:rsid w:val="166A70B6"/>
    <w:rsid w:val="169D1326"/>
    <w:rsid w:val="169E711F"/>
    <w:rsid w:val="16A24E38"/>
    <w:rsid w:val="16A34E1F"/>
    <w:rsid w:val="16A448E1"/>
    <w:rsid w:val="16BD4BC1"/>
    <w:rsid w:val="16C25DA4"/>
    <w:rsid w:val="16D276A1"/>
    <w:rsid w:val="170F5684"/>
    <w:rsid w:val="17212123"/>
    <w:rsid w:val="17316C6D"/>
    <w:rsid w:val="17571F2E"/>
    <w:rsid w:val="17652D93"/>
    <w:rsid w:val="17751C24"/>
    <w:rsid w:val="178A3AD7"/>
    <w:rsid w:val="17946C2E"/>
    <w:rsid w:val="179A033A"/>
    <w:rsid w:val="17A64698"/>
    <w:rsid w:val="17AE7804"/>
    <w:rsid w:val="17BD72D1"/>
    <w:rsid w:val="17C96DB2"/>
    <w:rsid w:val="17DC2B1C"/>
    <w:rsid w:val="180059C8"/>
    <w:rsid w:val="18020A1B"/>
    <w:rsid w:val="18207265"/>
    <w:rsid w:val="183B3024"/>
    <w:rsid w:val="183E7C78"/>
    <w:rsid w:val="1890336F"/>
    <w:rsid w:val="190017FB"/>
    <w:rsid w:val="191827B5"/>
    <w:rsid w:val="195720DF"/>
    <w:rsid w:val="195D3039"/>
    <w:rsid w:val="1980314C"/>
    <w:rsid w:val="198E217E"/>
    <w:rsid w:val="199031F5"/>
    <w:rsid w:val="199B5E06"/>
    <w:rsid w:val="19A63276"/>
    <w:rsid w:val="19DA602C"/>
    <w:rsid w:val="19E44576"/>
    <w:rsid w:val="1A0C2386"/>
    <w:rsid w:val="1A19040E"/>
    <w:rsid w:val="1A1B4EBB"/>
    <w:rsid w:val="1A39548E"/>
    <w:rsid w:val="1A7D0323"/>
    <w:rsid w:val="1A875B07"/>
    <w:rsid w:val="1AA50C28"/>
    <w:rsid w:val="1AAB787A"/>
    <w:rsid w:val="1AD473DF"/>
    <w:rsid w:val="1AFF2A2E"/>
    <w:rsid w:val="1B09181C"/>
    <w:rsid w:val="1B4346C9"/>
    <w:rsid w:val="1B573B36"/>
    <w:rsid w:val="1B6F6D6A"/>
    <w:rsid w:val="1B740D26"/>
    <w:rsid w:val="1B914166"/>
    <w:rsid w:val="1B9334AA"/>
    <w:rsid w:val="1BD6553D"/>
    <w:rsid w:val="1BF5174F"/>
    <w:rsid w:val="1C3E30E2"/>
    <w:rsid w:val="1C3F55BC"/>
    <w:rsid w:val="1C40226B"/>
    <w:rsid w:val="1C6A3ED7"/>
    <w:rsid w:val="1C81576F"/>
    <w:rsid w:val="1C931540"/>
    <w:rsid w:val="1C9438E4"/>
    <w:rsid w:val="1CA0249E"/>
    <w:rsid w:val="1CE448A8"/>
    <w:rsid w:val="1CE8084C"/>
    <w:rsid w:val="1D0F7552"/>
    <w:rsid w:val="1D25579E"/>
    <w:rsid w:val="1D2F2AB4"/>
    <w:rsid w:val="1D86351C"/>
    <w:rsid w:val="1D8C5B58"/>
    <w:rsid w:val="1DF343E7"/>
    <w:rsid w:val="1E2A47F4"/>
    <w:rsid w:val="1E4E5CDA"/>
    <w:rsid w:val="1E841690"/>
    <w:rsid w:val="1E8953D0"/>
    <w:rsid w:val="1E9F73B7"/>
    <w:rsid w:val="1EB5255F"/>
    <w:rsid w:val="1EF25090"/>
    <w:rsid w:val="1F00066F"/>
    <w:rsid w:val="1F1518B5"/>
    <w:rsid w:val="1F6101EB"/>
    <w:rsid w:val="1F6A61A1"/>
    <w:rsid w:val="1FBC4D16"/>
    <w:rsid w:val="1FBC76AD"/>
    <w:rsid w:val="1FEF3071"/>
    <w:rsid w:val="1FF916E4"/>
    <w:rsid w:val="20095AE1"/>
    <w:rsid w:val="203B6286"/>
    <w:rsid w:val="204B3A63"/>
    <w:rsid w:val="209E2481"/>
    <w:rsid w:val="20D9162C"/>
    <w:rsid w:val="20EA5FF2"/>
    <w:rsid w:val="212367E1"/>
    <w:rsid w:val="216134C5"/>
    <w:rsid w:val="2164266C"/>
    <w:rsid w:val="218A09E3"/>
    <w:rsid w:val="218B12E2"/>
    <w:rsid w:val="21CF69FD"/>
    <w:rsid w:val="21F84574"/>
    <w:rsid w:val="22043309"/>
    <w:rsid w:val="220A614E"/>
    <w:rsid w:val="2220553A"/>
    <w:rsid w:val="22283C64"/>
    <w:rsid w:val="22925F36"/>
    <w:rsid w:val="229C0B63"/>
    <w:rsid w:val="22B2588C"/>
    <w:rsid w:val="22BB40EC"/>
    <w:rsid w:val="22CF2CE6"/>
    <w:rsid w:val="22D56C52"/>
    <w:rsid w:val="22E36792"/>
    <w:rsid w:val="22E9422E"/>
    <w:rsid w:val="22FD3099"/>
    <w:rsid w:val="23324671"/>
    <w:rsid w:val="23395878"/>
    <w:rsid w:val="233F526A"/>
    <w:rsid w:val="23561D07"/>
    <w:rsid w:val="23795A37"/>
    <w:rsid w:val="238748E8"/>
    <w:rsid w:val="23F066A4"/>
    <w:rsid w:val="243A0633"/>
    <w:rsid w:val="24424FB0"/>
    <w:rsid w:val="24553187"/>
    <w:rsid w:val="245E07C6"/>
    <w:rsid w:val="24676BDC"/>
    <w:rsid w:val="246F652F"/>
    <w:rsid w:val="247544F0"/>
    <w:rsid w:val="248F27AB"/>
    <w:rsid w:val="24DD43B4"/>
    <w:rsid w:val="250749B9"/>
    <w:rsid w:val="251D5A9C"/>
    <w:rsid w:val="25367F91"/>
    <w:rsid w:val="254352E4"/>
    <w:rsid w:val="25C92794"/>
    <w:rsid w:val="25DE6DF0"/>
    <w:rsid w:val="261C18A0"/>
    <w:rsid w:val="263B66CB"/>
    <w:rsid w:val="264671EC"/>
    <w:rsid w:val="265E685B"/>
    <w:rsid w:val="266B3399"/>
    <w:rsid w:val="26A15BDC"/>
    <w:rsid w:val="26A526DC"/>
    <w:rsid w:val="26A63B72"/>
    <w:rsid w:val="26AE16FD"/>
    <w:rsid w:val="26B17556"/>
    <w:rsid w:val="26D9491E"/>
    <w:rsid w:val="26D95D14"/>
    <w:rsid w:val="26EC030B"/>
    <w:rsid w:val="26FB6E7B"/>
    <w:rsid w:val="27144E0F"/>
    <w:rsid w:val="273B2D65"/>
    <w:rsid w:val="27441EF5"/>
    <w:rsid w:val="275F00DC"/>
    <w:rsid w:val="27630C0D"/>
    <w:rsid w:val="2763465F"/>
    <w:rsid w:val="276534EA"/>
    <w:rsid w:val="278D0C9D"/>
    <w:rsid w:val="27EA082B"/>
    <w:rsid w:val="27F12E9E"/>
    <w:rsid w:val="280147D4"/>
    <w:rsid w:val="280A588F"/>
    <w:rsid w:val="282219D0"/>
    <w:rsid w:val="28244898"/>
    <w:rsid w:val="283D3484"/>
    <w:rsid w:val="284A636C"/>
    <w:rsid w:val="285A0E99"/>
    <w:rsid w:val="28CC695E"/>
    <w:rsid w:val="28D95810"/>
    <w:rsid w:val="29171B73"/>
    <w:rsid w:val="291C111B"/>
    <w:rsid w:val="294D0915"/>
    <w:rsid w:val="294D321E"/>
    <w:rsid w:val="29615227"/>
    <w:rsid w:val="298605E7"/>
    <w:rsid w:val="298F65F8"/>
    <w:rsid w:val="29B900D5"/>
    <w:rsid w:val="29B94EBA"/>
    <w:rsid w:val="29FF4569"/>
    <w:rsid w:val="2A136EA9"/>
    <w:rsid w:val="2A1800BA"/>
    <w:rsid w:val="2A1F4553"/>
    <w:rsid w:val="2A2D470E"/>
    <w:rsid w:val="2A956C70"/>
    <w:rsid w:val="2AB96F12"/>
    <w:rsid w:val="2ADA644C"/>
    <w:rsid w:val="2B0379D1"/>
    <w:rsid w:val="2B121C22"/>
    <w:rsid w:val="2B1A6253"/>
    <w:rsid w:val="2B2B0594"/>
    <w:rsid w:val="2B6969E4"/>
    <w:rsid w:val="2B7D7783"/>
    <w:rsid w:val="2BA3140C"/>
    <w:rsid w:val="2BC65711"/>
    <w:rsid w:val="2C457944"/>
    <w:rsid w:val="2C4B0CAE"/>
    <w:rsid w:val="2C6963F3"/>
    <w:rsid w:val="2C8A34B1"/>
    <w:rsid w:val="2CA52B95"/>
    <w:rsid w:val="2CD77097"/>
    <w:rsid w:val="2CE91C4C"/>
    <w:rsid w:val="2CF32427"/>
    <w:rsid w:val="2CFF066C"/>
    <w:rsid w:val="2D217394"/>
    <w:rsid w:val="2D4314AB"/>
    <w:rsid w:val="2D535215"/>
    <w:rsid w:val="2D631EDB"/>
    <w:rsid w:val="2D6F31A8"/>
    <w:rsid w:val="2D841DFC"/>
    <w:rsid w:val="2D8A0748"/>
    <w:rsid w:val="2DC00706"/>
    <w:rsid w:val="2E0F2B31"/>
    <w:rsid w:val="2E1E7AD9"/>
    <w:rsid w:val="2E2D6A82"/>
    <w:rsid w:val="2E405B57"/>
    <w:rsid w:val="2E4A6F9E"/>
    <w:rsid w:val="2E595BB5"/>
    <w:rsid w:val="2E7252A0"/>
    <w:rsid w:val="2EA72D69"/>
    <w:rsid w:val="2ECB772B"/>
    <w:rsid w:val="2F4270ED"/>
    <w:rsid w:val="2F4A4125"/>
    <w:rsid w:val="2FA0642A"/>
    <w:rsid w:val="2FAC4CF0"/>
    <w:rsid w:val="2FC26A9B"/>
    <w:rsid w:val="2FC55529"/>
    <w:rsid w:val="2FEA115F"/>
    <w:rsid w:val="30110DE2"/>
    <w:rsid w:val="30207DF1"/>
    <w:rsid w:val="30210DEC"/>
    <w:rsid w:val="30297444"/>
    <w:rsid w:val="307331DB"/>
    <w:rsid w:val="30755CD7"/>
    <w:rsid w:val="30896D24"/>
    <w:rsid w:val="30A8314E"/>
    <w:rsid w:val="30B36A06"/>
    <w:rsid w:val="30D57603"/>
    <w:rsid w:val="30D85A19"/>
    <w:rsid w:val="31321617"/>
    <w:rsid w:val="31445686"/>
    <w:rsid w:val="31880C30"/>
    <w:rsid w:val="31AA428D"/>
    <w:rsid w:val="31E3399A"/>
    <w:rsid w:val="3212751E"/>
    <w:rsid w:val="32152ECD"/>
    <w:rsid w:val="32277E22"/>
    <w:rsid w:val="322B1ABC"/>
    <w:rsid w:val="323B2146"/>
    <w:rsid w:val="32537679"/>
    <w:rsid w:val="32847649"/>
    <w:rsid w:val="32D15453"/>
    <w:rsid w:val="333953DF"/>
    <w:rsid w:val="334700E7"/>
    <w:rsid w:val="335E433E"/>
    <w:rsid w:val="336E4B1E"/>
    <w:rsid w:val="33761D33"/>
    <w:rsid w:val="33821C4E"/>
    <w:rsid w:val="33C41E41"/>
    <w:rsid w:val="33E63231"/>
    <w:rsid w:val="34261AF2"/>
    <w:rsid w:val="3454129D"/>
    <w:rsid w:val="346D1713"/>
    <w:rsid w:val="34C86A26"/>
    <w:rsid w:val="34DB1568"/>
    <w:rsid w:val="353D7F83"/>
    <w:rsid w:val="35451E58"/>
    <w:rsid w:val="354C01C6"/>
    <w:rsid w:val="355E7CA7"/>
    <w:rsid w:val="3592207D"/>
    <w:rsid w:val="359E21D5"/>
    <w:rsid w:val="35AF21C9"/>
    <w:rsid w:val="35C641AE"/>
    <w:rsid w:val="35C824CB"/>
    <w:rsid w:val="35E10FA4"/>
    <w:rsid w:val="361231BE"/>
    <w:rsid w:val="361C2B47"/>
    <w:rsid w:val="364801DC"/>
    <w:rsid w:val="366D49ED"/>
    <w:rsid w:val="36B17A28"/>
    <w:rsid w:val="36B41147"/>
    <w:rsid w:val="36C5295A"/>
    <w:rsid w:val="372805E8"/>
    <w:rsid w:val="37295F6A"/>
    <w:rsid w:val="37435A18"/>
    <w:rsid w:val="374455F9"/>
    <w:rsid w:val="37517CD5"/>
    <w:rsid w:val="37622D10"/>
    <w:rsid w:val="377F0B81"/>
    <w:rsid w:val="37D8170F"/>
    <w:rsid w:val="37E82428"/>
    <w:rsid w:val="37EE3E26"/>
    <w:rsid w:val="38083B66"/>
    <w:rsid w:val="380C3863"/>
    <w:rsid w:val="38137C6C"/>
    <w:rsid w:val="3845656E"/>
    <w:rsid w:val="38887767"/>
    <w:rsid w:val="389749D2"/>
    <w:rsid w:val="38B643C2"/>
    <w:rsid w:val="390E5EBF"/>
    <w:rsid w:val="393649BA"/>
    <w:rsid w:val="39726574"/>
    <w:rsid w:val="398E3AF7"/>
    <w:rsid w:val="398E43A7"/>
    <w:rsid w:val="39931E71"/>
    <w:rsid w:val="39A405D1"/>
    <w:rsid w:val="39A81D2D"/>
    <w:rsid w:val="39B931D7"/>
    <w:rsid w:val="39F74BA5"/>
    <w:rsid w:val="39FC5AAC"/>
    <w:rsid w:val="3A0A25D5"/>
    <w:rsid w:val="3A0A53FE"/>
    <w:rsid w:val="3A2847D2"/>
    <w:rsid w:val="3AAD38DE"/>
    <w:rsid w:val="3ADD73E7"/>
    <w:rsid w:val="3B2F72DB"/>
    <w:rsid w:val="3B6E0E96"/>
    <w:rsid w:val="3B85046E"/>
    <w:rsid w:val="3BBA7996"/>
    <w:rsid w:val="3C027232"/>
    <w:rsid w:val="3C04346C"/>
    <w:rsid w:val="3C524497"/>
    <w:rsid w:val="3C5B4AA2"/>
    <w:rsid w:val="3C9E7B59"/>
    <w:rsid w:val="3CA2589D"/>
    <w:rsid w:val="3CAB2677"/>
    <w:rsid w:val="3CC07619"/>
    <w:rsid w:val="3CC166E8"/>
    <w:rsid w:val="3CF65BC2"/>
    <w:rsid w:val="3D2F3524"/>
    <w:rsid w:val="3D4F2773"/>
    <w:rsid w:val="3D512286"/>
    <w:rsid w:val="3D87333D"/>
    <w:rsid w:val="3DA57D84"/>
    <w:rsid w:val="3DA866B5"/>
    <w:rsid w:val="3DA90DA4"/>
    <w:rsid w:val="3DD96B03"/>
    <w:rsid w:val="3DE508B2"/>
    <w:rsid w:val="3E1416FC"/>
    <w:rsid w:val="3E211206"/>
    <w:rsid w:val="3E505054"/>
    <w:rsid w:val="3E52684D"/>
    <w:rsid w:val="3E8409D1"/>
    <w:rsid w:val="3EA47CC1"/>
    <w:rsid w:val="3EB72B54"/>
    <w:rsid w:val="3EB8389C"/>
    <w:rsid w:val="3EC11071"/>
    <w:rsid w:val="3EC53E00"/>
    <w:rsid w:val="3ECA2888"/>
    <w:rsid w:val="3EEC283E"/>
    <w:rsid w:val="3F284ABC"/>
    <w:rsid w:val="3F340AE9"/>
    <w:rsid w:val="3F431DFA"/>
    <w:rsid w:val="3F8769CB"/>
    <w:rsid w:val="3F8C508F"/>
    <w:rsid w:val="3F8C5D8F"/>
    <w:rsid w:val="3FB86B84"/>
    <w:rsid w:val="3FBB4C11"/>
    <w:rsid w:val="40162BA8"/>
    <w:rsid w:val="404E1296"/>
    <w:rsid w:val="40826936"/>
    <w:rsid w:val="40BD57DF"/>
    <w:rsid w:val="40D038D9"/>
    <w:rsid w:val="40D16C1F"/>
    <w:rsid w:val="40DA3242"/>
    <w:rsid w:val="40E52E63"/>
    <w:rsid w:val="410A6E2E"/>
    <w:rsid w:val="413872C8"/>
    <w:rsid w:val="41422428"/>
    <w:rsid w:val="41545867"/>
    <w:rsid w:val="41AC2F41"/>
    <w:rsid w:val="41B929DF"/>
    <w:rsid w:val="41C4627B"/>
    <w:rsid w:val="41CC4B69"/>
    <w:rsid w:val="41DF6428"/>
    <w:rsid w:val="41EC0960"/>
    <w:rsid w:val="41FB27AE"/>
    <w:rsid w:val="42125082"/>
    <w:rsid w:val="42194BCB"/>
    <w:rsid w:val="423C76BC"/>
    <w:rsid w:val="428E6D0E"/>
    <w:rsid w:val="431E19A4"/>
    <w:rsid w:val="43252782"/>
    <w:rsid w:val="43461977"/>
    <w:rsid w:val="434E199A"/>
    <w:rsid w:val="435E6138"/>
    <w:rsid w:val="436F6B72"/>
    <w:rsid w:val="438F39B4"/>
    <w:rsid w:val="43A22DDE"/>
    <w:rsid w:val="43DE6DD5"/>
    <w:rsid w:val="43ED2593"/>
    <w:rsid w:val="440849F9"/>
    <w:rsid w:val="441223D3"/>
    <w:rsid w:val="441D0503"/>
    <w:rsid w:val="4465680F"/>
    <w:rsid w:val="44663A8C"/>
    <w:rsid w:val="44726B97"/>
    <w:rsid w:val="44B377EF"/>
    <w:rsid w:val="44B40123"/>
    <w:rsid w:val="44CB1CA3"/>
    <w:rsid w:val="44E629DA"/>
    <w:rsid w:val="44F0275C"/>
    <w:rsid w:val="45250609"/>
    <w:rsid w:val="45356EC9"/>
    <w:rsid w:val="45365B7D"/>
    <w:rsid w:val="45385DC2"/>
    <w:rsid w:val="455D5AA7"/>
    <w:rsid w:val="457E653E"/>
    <w:rsid w:val="457F3251"/>
    <w:rsid w:val="45A7023B"/>
    <w:rsid w:val="45F9523A"/>
    <w:rsid w:val="4618176A"/>
    <w:rsid w:val="462801EA"/>
    <w:rsid w:val="46352244"/>
    <w:rsid w:val="467C48B8"/>
    <w:rsid w:val="46A02B92"/>
    <w:rsid w:val="46B0157F"/>
    <w:rsid w:val="46DC7A34"/>
    <w:rsid w:val="471549C2"/>
    <w:rsid w:val="474D674C"/>
    <w:rsid w:val="475B1E40"/>
    <w:rsid w:val="478F70E2"/>
    <w:rsid w:val="47D93B3C"/>
    <w:rsid w:val="47E25116"/>
    <w:rsid w:val="47F36DEA"/>
    <w:rsid w:val="481903DC"/>
    <w:rsid w:val="48244227"/>
    <w:rsid w:val="482A507D"/>
    <w:rsid w:val="4837068B"/>
    <w:rsid w:val="483F3792"/>
    <w:rsid w:val="48B00368"/>
    <w:rsid w:val="48D81826"/>
    <w:rsid w:val="48FB2EFD"/>
    <w:rsid w:val="495A0CAC"/>
    <w:rsid w:val="496610EE"/>
    <w:rsid w:val="499E6DEB"/>
    <w:rsid w:val="49B87FE3"/>
    <w:rsid w:val="49C01457"/>
    <w:rsid w:val="49D56585"/>
    <w:rsid w:val="4A8204BA"/>
    <w:rsid w:val="4A8B7C2C"/>
    <w:rsid w:val="4ACC6DEF"/>
    <w:rsid w:val="4AD46071"/>
    <w:rsid w:val="4B4614E8"/>
    <w:rsid w:val="4B564211"/>
    <w:rsid w:val="4B921482"/>
    <w:rsid w:val="4BAF4AED"/>
    <w:rsid w:val="4BE0196E"/>
    <w:rsid w:val="4BE90D9B"/>
    <w:rsid w:val="4BF25DC9"/>
    <w:rsid w:val="4C3D2543"/>
    <w:rsid w:val="4C586A34"/>
    <w:rsid w:val="4C606CDC"/>
    <w:rsid w:val="4C760E14"/>
    <w:rsid w:val="4C7958F2"/>
    <w:rsid w:val="4C834F37"/>
    <w:rsid w:val="4C9B5863"/>
    <w:rsid w:val="4CAC5519"/>
    <w:rsid w:val="4CAD0D88"/>
    <w:rsid w:val="4CB3561F"/>
    <w:rsid w:val="4CD76308"/>
    <w:rsid w:val="4CEC0C42"/>
    <w:rsid w:val="4D1523D8"/>
    <w:rsid w:val="4D3D02E6"/>
    <w:rsid w:val="4D4863E7"/>
    <w:rsid w:val="4D633A7D"/>
    <w:rsid w:val="4D8B22EB"/>
    <w:rsid w:val="4DA22905"/>
    <w:rsid w:val="4DE805F1"/>
    <w:rsid w:val="4DF3347D"/>
    <w:rsid w:val="4E1131F6"/>
    <w:rsid w:val="4E177064"/>
    <w:rsid w:val="4E1F2065"/>
    <w:rsid w:val="4E304110"/>
    <w:rsid w:val="4E635E94"/>
    <w:rsid w:val="4E685436"/>
    <w:rsid w:val="4E7520E4"/>
    <w:rsid w:val="4E9C58C3"/>
    <w:rsid w:val="4EB27D4F"/>
    <w:rsid w:val="4EB44330"/>
    <w:rsid w:val="4F11111B"/>
    <w:rsid w:val="4F1257BA"/>
    <w:rsid w:val="4F3F4946"/>
    <w:rsid w:val="4F627041"/>
    <w:rsid w:val="4F72459E"/>
    <w:rsid w:val="4F8053FC"/>
    <w:rsid w:val="4F9111A6"/>
    <w:rsid w:val="4F971A21"/>
    <w:rsid w:val="4FA02656"/>
    <w:rsid w:val="4FF91AB2"/>
    <w:rsid w:val="50250673"/>
    <w:rsid w:val="503A4311"/>
    <w:rsid w:val="50611CD6"/>
    <w:rsid w:val="508544A0"/>
    <w:rsid w:val="50D72489"/>
    <w:rsid w:val="513B51D8"/>
    <w:rsid w:val="517F5754"/>
    <w:rsid w:val="51AD394F"/>
    <w:rsid w:val="51DC6B68"/>
    <w:rsid w:val="521E6805"/>
    <w:rsid w:val="523E342D"/>
    <w:rsid w:val="526A5663"/>
    <w:rsid w:val="52A36090"/>
    <w:rsid w:val="52C533D7"/>
    <w:rsid w:val="52DA5A00"/>
    <w:rsid w:val="52F87F54"/>
    <w:rsid w:val="53191BD8"/>
    <w:rsid w:val="53D1600F"/>
    <w:rsid w:val="53D36D59"/>
    <w:rsid w:val="53F1786A"/>
    <w:rsid w:val="53F74F19"/>
    <w:rsid w:val="5448499A"/>
    <w:rsid w:val="5453574E"/>
    <w:rsid w:val="545425B0"/>
    <w:rsid w:val="54733E3E"/>
    <w:rsid w:val="547D540F"/>
    <w:rsid w:val="54835765"/>
    <w:rsid w:val="54AA48BC"/>
    <w:rsid w:val="554076FE"/>
    <w:rsid w:val="556971D6"/>
    <w:rsid w:val="557A3DCE"/>
    <w:rsid w:val="55965937"/>
    <w:rsid w:val="55AF412E"/>
    <w:rsid w:val="55D53BC5"/>
    <w:rsid w:val="55F629D4"/>
    <w:rsid w:val="56222B52"/>
    <w:rsid w:val="562F49D4"/>
    <w:rsid w:val="563733C6"/>
    <w:rsid w:val="568913CC"/>
    <w:rsid w:val="569D5E4B"/>
    <w:rsid w:val="56C02EC5"/>
    <w:rsid w:val="56CE7427"/>
    <w:rsid w:val="574C26DA"/>
    <w:rsid w:val="574F541A"/>
    <w:rsid w:val="575136EE"/>
    <w:rsid w:val="575D1691"/>
    <w:rsid w:val="57784EF5"/>
    <w:rsid w:val="577E2647"/>
    <w:rsid w:val="57B27F05"/>
    <w:rsid w:val="57E22E7A"/>
    <w:rsid w:val="58001510"/>
    <w:rsid w:val="58417549"/>
    <w:rsid w:val="58CC7975"/>
    <w:rsid w:val="58DA3CDB"/>
    <w:rsid w:val="59252C90"/>
    <w:rsid w:val="59431968"/>
    <w:rsid w:val="597C1D6D"/>
    <w:rsid w:val="59B47F65"/>
    <w:rsid w:val="59E66CC0"/>
    <w:rsid w:val="5AA31307"/>
    <w:rsid w:val="5AE26C03"/>
    <w:rsid w:val="5AF01C06"/>
    <w:rsid w:val="5B2829B8"/>
    <w:rsid w:val="5B381AD3"/>
    <w:rsid w:val="5B5437AD"/>
    <w:rsid w:val="5B5A4B3C"/>
    <w:rsid w:val="5BE537D4"/>
    <w:rsid w:val="5C090A3C"/>
    <w:rsid w:val="5C34408B"/>
    <w:rsid w:val="5C631A75"/>
    <w:rsid w:val="5C6F7D5D"/>
    <w:rsid w:val="5C9C31C1"/>
    <w:rsid w:val="5CC95B00"/>
    <w:rsid w:val="5CD526CC"/>
    <w:rsid w:val="5CE61B6B"/>
    <w:rsid w:val="5CF01FDC"/>
    <w:rsid w:val="5CFD2024"/>
    <w:rsid w:val="5D120341"/>
    <w:rsid w:val="5D6B6E06"/>
    <w:rsid w:val="5D6C32B8"/>
    <w:rsid w:val="5D8C1A3B"/>
    <w:rsid w:val="5D8F1C80"/>
    <w:rsid w:val="5D921D90"/>
    <w:rsid w:val="5DCC1AF5"/>
    <w:rsid w:val="5DCF25A2"/>
    <w:rsid w:val="5E0429B5"/>
    <w:rsid w:val="5E2A1226"/>
    <w:rsid w:val="5E3D1E49"/>
    <w:rsid w:val="5E475A1D"/>
    <w:rsid w:val="5E504F85"/>
    <w:rsid w:val="5E9B2359"/>
    <w:rsid w:val="5EBB3B43"/>
    <w:rsid w:val="5EBD046A"/>
    <w:rsid w:val="5EC81BF4"/>
    <w:rsid w:val="5ED76A99"/>
    <w:rsid w:val="5EDE3A4B"/>
    <w:rsid w:val="5F064435"/>
    <w:rsid w:val="5F120616"/>
    <w:rsid w:val="5F1A6ABC"/>
    <w:rsid w:val="5F232064"/>
    <w:rsid w:val="5F645F89"/>
    <w:rsid w:val="5F700DD2"/>
    <w:rsid w:val="5F7929FD"/>
    <w:rsid w:val="5F9F342E"/>
    <w:rsid w:val="5FC808D3"/>
    <w:rsid w:val="6008126F"/>
    <w:rsid w:val="602277B4"/>
    <w:rsid w:val="60504520"/>
    <w:rsid w:val="608F69C0"/>
    <w:rsid w:val="60905211"/>
    <w:rsid w:val="609A4D89"/>
    <w:rsid w:val="60A1795D"/>
    <w:rsid w:val="60B00540"/>
    <w:rsid w:val="60C56EFB"/>
    <w:rsid w:val="60DD6815"/>
    <w:rsid w:val="60E2185B"/>
    <w:rsid w:val="6102237C"/>
    <w:rsid w:val="611F3077"/>
    <w:rsid w:val="61245C3D"/>
    <w:rsid w:val="615352D3"/>
    <w:rsid w:val="61747A77"/>
    <w:rsid w:val="61B07454"/>
    <w:rsid w:val="61B204A1"/>
    <w:rsid w:val="61B825BC"/>
    <w:rsid w:val="61C64385"/>
    <w:rsid w:val="61D37C8C"/>
    <w:rsid w:val="61F029FF"/>
    <w:rsid w:val="61F47559"/>
    <w:rsid w:val="62007D8B"/>
    <w:rsid w:val="62132462"/>
    <w:rsid w:val="624C0E8E"/>
    <w:rsid w:val="626B41CD"/>
    <w:rsid w:val="62A509FF"/>
    <w:rsid w:val="62C84A81"/>
    <w:rsid w:val="62CF719E"/>
    <w:rsid w:val="631321A0"/>
    <w:rsid w:val="63170B2B"/>
    <w:rsid w:val="633839B4"/>
    <w:rsid w:val="63784673"/>
    <w:rsid w:val="638D2974"/>
    <w:rsid w:val="64076927"/>
    <w:rsid w:val="64095351"/>
    <w:rsid w:val="6417181C"/>
    <w:rsid w:val="64185C60"/>
    <w:rsid w:val="64385605"/>
    <w:rsid w:val="643A5879"/>
    <w:rsid w:val="646B1B68"/>
    <w:rsid w:val="646F19F0"/>
    <w:rsid w:val="64751D6C"/>
    <w:rsid w:val="647B624F"/>
    <w:rsid w:val="649D5FA6"/>
    <w:rsid w:val="64B24842"/>
    <w:rsid w:val="64C46030"/>
    <w:rsid w:val="64C50DDA"/>
    <w:rsid w:val="64DA64C0"/>
    <w:rsid w:val="64DC06C7"/>
    <w:rsid w:val="64ED406F"/>
    <w:rsid w:val="64F41B5D"/>
    <w:rsid w:val="64FF74A9"/>
    <w:rsid w:val="65225FC5"/>
    <w:rsid w:val="65332685"/>
    <w:rsid w:val="655D27A8"/>
    <w:rsid w:val="65B77329"/>
    <w:rsid w:val="65BD6BD7"/>
    <w:rsid w:val="65D95D54"/>
    <w:rsid w:val="65DD5B02"/>
    <w:rsid w:val="65E25E59"/>
    <w:rsid w:val="6601232A"/>
    <w:rsid w:val="66AF4BBF"/>
    <w:rsid w:val="66C33289"/>
    <w:rsid w:val="67096682"/>
    <w:rsid w:val="6743194F"/>
    <w:rsid w:val="6784366C"/>
    <w:rsid w:val="67B048A5"/>
    <w:rsid w:val="67FE0782"/>
    <w:rsid w:val="68196658"/>
    <w:rsid w:val="6837248C"/>
    <w:rsid w:val="685238A0"/>
    <w:rsid w:val="687D2EAB"/>
    <w:rsid w:val="689E250C"/>
    <w:rsid w:val="68FB4358"/>
    <w:rsid w:val="6908207B"/>
    <w:rsid w:val="69177A24"/>
    <w:rsid w:val="69260639"/>
    <w:rsid w:val="695232F6"/>
    <w:rsid w:val="69BD4C13"/>
    <w:rsid w:val="69C80622"/>
    <w:rsid w:val="6A116D0D"/>
    <w:rsid w:val="6A3D7C76"/>
    <w:rsid w:val="6A532242"/>
    <w:rsid w:val="6A6947B3"/>
    <w:rsid w:val="6A7E68A8"/>
    <w:rsid w:val="6A932E7C"/>
    <w:rsid w:val="6A9359EA"/>
    <w:rsid w:val="6ABD6F1D"/>
    <w:rsid w:val="6ACF380B"/>
    <w:rsid w:val="6AF431BB"/>
    <w:rsid w:val="6B1747F7"/>
    <w:rsid w:val="6B361AC9"/>
    <w:rsid w:val="6B47139F"/>
    <w:rsid w:val="6B566699"/>
    <w:rsid w:val="6B745286"/>
    <w:rsid w:val="6BBE1707"/>
    <w:rsid w:val="6BC9192D"/>
    <w:rsid w:val="6BCB3442"/>
    <w:rsid w:val="6BD62361"/>
    <w:rsid w:val="6BF550B3"/>
    <w:rsid w:val="6C07719B"/>
    <w:rsid w:val="6C1664CB"/>
    <w:rsid w:val="6C1D6D9A"/>
    <w:rsid w:val="6C442980"/>
    <w:rsid w:val="6C486FA6"/>
    <w:rsid w:val="6C767BAE"/>
    <w:rsid w:val="6C837788"/>
    <w:rsid w:val="6CB00099"/>
    <w:rsid w:val="6CEB47B0"/>
    <w:rsid w:val="6CF71C06"/>
    <w:rsid w:val="6D095C70"/>
    <w:rsid w:val="6D1F0F6A"/>
    <w:rsid w:val="6D2154B9"/>
    <w:rsid w:val="6D2C4685"/>
    <w:rsid w:val="6D321474"/>
    <w:rsid w:val="6D526541"/>
    <w:rsid w:val="6D68298E"/>
    <w:rsid w:val="6DC87B16"/>
    <w:rsid w:val="6DE26FC4"/>
    <w:rsid w:val="6DE70D91"/>
    <w:rsid w:val="6DEB41BC"/>
    <w:rsid w:val="6E0748EF"/>
    <w:rsid w:val="6E2129A1"/>
    <w:rsid w:val="6E4731EF"/>
    <w:rsid w:val="6E661D1D"/>
    <w:rsid w:val="6E701A14"/>
    <w:rsid w:val="6E7B6E4B"/>
    <w:rsid w:val="6EAB5982"/>
    <w:rsid w:val="6EEE586F"/>
    <w:rsid w:val="6F44041F"/>
    <w:rsid w:val="6F4C5F8B"/>
    <w:rsid w:val="6F4E57C6"/>
    <w:rsid w:val="6F582C5E"/>
    <w:rsid w:val="6F787F8C"/>
    <w:rsid w:val="6FAF4FFE"/>
    <w:rsid w:val="6FC45EB3"/>
    <w:rsid w:val="6FD26F3F"/>
    <w:rsid w:val="6FDC54B1"/>
    <w:rsid w:val="6FE91DE9"/>
    <w:rsid w:val="6FED725F"/>
    <w:rsid w:val="70027CBA"/>
    <w:rsid w:val="701233CB"/>
    <w:rsid w:val="7024268C"/>
    <w:rsid w:val="703F45D4"/>
    <w:rsid w:val="704226D6"/>
    <w:rsid w:val="704C1C0C"/>
    <w:rsid w:val="706728F0"/>
    <w:rsid w:val="708064B5"/>
    <w:rsid w:val="70925BF6"/>
    <w:rsid w:val="70992AD8"/>
    <w:rsid w:val="709B392A"/>
    <w:rsid w:val="70AF785C"/>
    <w:rsid w:val="70E91428"/>
    <w:rsid w:val="70E95364"/>
    <w:rsid w:val="70EA3BFE"/>
    <w:rsid w:val="710215FC"/>
    <w:rsid w:val="711968D9"/>
    <w:rsid w:val="71671AB6"/>
    <w:rsid w:val="71DC2BCC"/>
    <w:rsid w:val="71F72C8D"/>
    <w:rsid w:val="72066A07"/>
    <w:rsid w:val="72154C41"/>
    <w:rsid w:val="721E2B5F"/>
    <w:rsid w:val="72616F6C"/>
    <w:rsid w:val="72711689"/>
    <w:rsid w:val="72A41E3F"/>
    <w:rsid w:val="72C37512"/>
    <w:rsid w:val="72C44EA7"/>
    <w:rsid w:val="72E32133"/>
    <w:rsid w:val="732E0739"/>
    <w:rsid w:val="733F2932"/>
    <w:rsid w:val="73501722"/>
    <w:rsid w:val="73755B24"/>
    <w:rsid w:val="739E35C0"/>
    <w:rsid w:val="73B51E75"/>
    <w:rsid w:val="73CA2AD1"/>
    <w:rsid w:val="73D92D70"/>
    <w:rsid w:val="73E40DAD"/>
    <w:rsid w:val="74041A55"/>
    <w:rsid w:val="740B52DF"/>
    <w:rsid w:val="74187805"/>
    <w:rsid w:val="741A0DD6"/>
    <w:rsid w:val="741C6B32"/>
    <w:rsid w:val="74561EEC"/>
    <w:rsid w:val="745D4CA2"/>
    <w:rsid w:val="74A52F54"/>
    <w:rsid w:val="74A63B39"/>
    <w:rsid w:val="74B129FA"/>
    <w:rsid w:val="75040EF4"/>
    <w:rsid w:val="750532A6"/>
    <w:rsid w:val="75085E41"/>
    <w:rsid w:val="753D0713"/>
    <w:rsid w:val="753E3135"/>
    <w:rsid w:val="755E1F27"/>
    <w:rsid w:val="75842A89"/>
    <w:rsid w:val="76194050"/>
    <w:rsid w:val="76257441"/>
    <w:rsid w:val="76474DCD"/>
    <w:rsid w:val="764C7A74"/>
    <w:rsid w:val="7653001E"/>
    <w:rsid w:val="766227CA"/>
    <w:rsid w:val="76852F5D"/>
    <w:rsid w:val="76BC3B4D"/>
    <w:rsid w:val="76C258C2"/>
    <w:rsid w:val="76C34A9E"/>
    <w:rsid w:val="76E4426B"/>
    <w:rsid w:val="76F17A29"/>
    <w:rsid w:val="772A5E9A"/>
    <w:rsid w:val="775A081A"/>
    <w:rsid w:val="77797EDF"/>
    <w:rsid w:val="77A638D1"/>
    <w:rsid w:val="77BB54CF"/>
    <w:rsid w:val="784F6DF1"/>
    <w:rsid w:val="786D0F18"/>
    <w:rsid w:val="7897265F"/>
    <w:rsid w:val="789B283C"/>
    <w:rsid w:val="78A42797"/>
    <w:rsid w:val="78DB623D"/>
    <w:rsid w:val="78F32400"/>
    <w:rsid w:val="78F83F8D"/>
    <w:rsid w:val="790327D9"/>
    <w:rsid w:val="790A52F2"/>
    <w:rsid w:val="794F0BCE"/>
    <w:rsid w:val="79DE1521"/>
    <w:rsid w:val="79E35351"/>
    <w:rsid w:val="7A1A0171"/>
    <w:rsid w:val="7A1B43DE"/>
    <w:rsid w:val="7A3255E5"/>
    <w:rsid w:val="7A5A7C13"/>
    <w:rsid w:val="7AD56B43"/>
    <w:rsid w:val="7B0730B9"/>
    <w:rsid w:val="7B230486"/>
    <w:rsid w:val="7B331D1A"/>
    <w:rsid w:val="7B506994"/>
    <w:rsid w:val="7BA448FC"/>
    <w:rsid w:val="7BBD0AA3"/>
    <w:rsid w:val="7BC37F7B"/>
    <w:rsid w:val="7BE55007"/>
    <w:rsid w:val="7BEC3136"/>
    <w:rsid w:val="7BF15DF6"/>
    <w:rsid w:val="7C175D41"/>
    <w:rsid w:val="7C2D2698"/>
    <w:rsid w:val="7C5B0754"/>
    <w:rsid w:val="7C7622DD"/>
    <w:rsid w:val="7C776EA4"/>
    <w:rsid w:val="7C9C67B2"/>
    <w:rsid w:val="7CBF4067"/>
    <w:rsid w:val="7CCB60C1"/>
    <w:rsid w:val="7CD25AD9"/>
    <w:rsid w:val="7D1B3CD3"/>
    <w:rsid w:val="7D1F0177"/>
    <w:rsid w:val="7D274928"/>
    <w:rsid w:val="7D2C652F"/>
    <w:rsid w:val="7D6E50DA"/>
    <w:rsid w:val="7D805566"/>
    <w:rsid w:val="7DA43CC8"/>
    <w:rsid w:val="7DF132DE"/>
    <w:rsid w:val="7DF2563A"/>
    <w:rsid w:val="7DF57FB2"/>
    <w:rsid w:val="7DF71E2D"/>
    <w:rsid w:val="7E043DA8"/>
    <w:rsid w:val="7E1F6DD3"/>
    <w:rsid w:val="7E4A24AC"/>
    <w:rsid w:val="7E5C45A3"/>
    <w:rsid w:val="7E9B4B97"/>
    <w:rsid w:val="7EFB3DBC"/>
    <w:rsid w:val="7F3E404B"/>
    <w:rsid w:val="7F60410E"/>
    <w:rsid w:val="7F7F231A"/>
    <w:rsid w:val="7FA77AA0"/>
    <w:rsid w:val="7FDB599C"/>
    <w:rsid w:val="7FED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2"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6"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6"/>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line="377" w:lineRule="auto"/>
      <w:outlineLvl w:val="3"/>
    </w:pPr>
    <w:rPr>
      <w:rFonts w:ascii="Calibri Light" w:hAnsi="Calibri Light"/>
      <w:b/>
      <w:bCs/>
      <w:sz w:val="24"/>
      <w:szCs w:val="28"/>
    </w:rPr>
  </w:style>
  <w:style w:type="paragraph" w:styleId="6">
    <w:name w:val="heading 5"/>
    <w:basedOn w:val="1"/>
    <w:next w:val="1"/>
    <w:link w:val="51"/>
    <w:qFormat/>
    <w:uiPriority w:val="0"/>
    <w:pPr>
      <w:keepNext/>
      <w:keepLines/>
      <w:spacing w:before="280" w:after="290" w:line="376" w:lineRule="auto"/>
      <w:outlineLvl w:val="4"/>
    </w:pPr>
    <w:rPr>
      <w:b/>
      <w:bCs/>
      <w:color w:val="000000"/>
      <w:kern w:val="0"/>
      <w:sz w:val="28"/>
      <w:szCs w:val="28"/>
    </w:rPr>
  </w:style>
  <w:style w:type="paragraph" w:styleId="7">
    <w:name w:val="heading 6"/>
    <w:basedOn w:val="1"/>
    <w:next w:val="1"/>
    <w:link w:val="52"/>
    <w:qFormat/>
    <w:uiPriority w:val="0"/>
    <w:pPr>
      <w:keepNext/>
      <w:keepLines/>
      <w:spacing w:before="120" w:after="120" w:line="319" w:lineRule="auto"/>
      <w:outlineLvl w:val="5"/>
    </w:pPr>
    <w:rPr>
      <w:rFonts w:ascii="Calibri Light" w:hAnsi="Calibri Light" w:eastAsia="黑体"/>
      <w:b/>
      <w:bCs/>
      <w:sz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0"/>
    <w:pPr>
      <w:ind w:left="1260"/>
      <w:jc w:val="left"/>
    </w:pPr>
    <w:rPr>
      <w:sz w:val="18"/>
      <w:szCs w:val="18"/>
    </w:rPr>
  </w:style>
  <w:style w:type="paragraph" w:styleId="9">
    <w:name w:val="table of authorities"/>
    <w:basedOn w:val="1"/>
    <w:next w:val="1"/>
    <w:unhideWhenUsed/>
    <w:qFormat/>
    <w:uiPriority w:val="99"/>
    <w:pPr>
      <w:ind w:left="420" w:leftChars="200"/>
    </w:pPr>
    <w:rPr>
      <w:rFonts w:ascii="等线" w:hAnsi="等线" w:eastAsia="等线"/>
      <w:szCs w:val="21"/>
    </w:rPr>
  </w:style>
  <w:style w:type="paragraph" w:styleId="10">
    <w:name w:val="Normal Indent"/>
    <w:basedOn w:val="1"/>
    <w:next w:val="1"/>
    <w:qFormat/>
    <w:uiPriority w:val="0"/>
    <w:pPr>
      <w:adjustRightInd w:val="0"/>
      <w:spacing w:line="312" w:lineRule="atLeast"/>
      <w:ind w:firstLine="420"/>
      <w:textAlignment w:val="baseline"/>
    </w:pPr>
  </w:style>
  <w:style w:type="paragraph" w:styleId="11">
    <w:name w:val="Document Map"/>
    <w:basedOn w:val="1"/>
    <w:semiHidden/>
    <w:qFormat/>
    <w:uiPriority w:val="0"/>
    <w:pPr>
      <w:shd w:val="clear" w:color="auto" w:fill="000080"/>
    </w:pPr>
  </w:style>
  <w:style w:type="paragraph" w:styleId="12">
    <w:name w:val="annotation text"/>
    <w:basedOn w:val="1"/>
    <w:link w:val="53"/>
    <w:qFormat/>
    <w:uiPriority w:val="0"/>
    <w:pPr>
      <w:jc w:val="left"/>
    </w:pPr>
  </w:style>
  <w:style w:type="paragraph" w:styleId="13">
    <w:name w:val="Body Text 3"/>
    <w:basedOn w:val="1"/>
    <w:qFormat/>
    <w:uiPriority w:val="0"/>
    <w:pPr>
      <w:autoSpaceDE w:val="0"/>
      <w:autoSpaceDN w:val="0"/>
      <w:adjustRightInd w:val="0"/>
      <w:jc w:val="center"/>
    </w:pPr>
    <w:rPr>
      <w:kern w:val="0"/>
      <w:sz w:val="20"/>
      <w:szCs w:val="20"/>
    </w:rPr>
  </w:style>
  <w:style w:type="paragraph" w:styleId="14">
    <w:name w:val="Body Text"/>
    <w:basedOn w:val="1"/>
    <w:next w:val="15"/>
    <w:link w:val="46"/>
    <w:qFormat/>
    <w:uiPriority w:val="0"/>
    <w:pPr>
      <w:spacing w:after="120"/>
    </w:pPr>
  </w:style>
  <w:style w:type="paragraph" w:styleId="15">
    <w:name w:val="Body Text First Indent"/>
    <w:basedOn w:val="14"/>
    <w:next w:val="16"/>
    <w:qFormat/>
    <w:uiPriority w:val="0"/>
    <w:pPr>
      <w:ind w:firstLine="420"/>
    </w:pPr>
  </w:style>
  <w:style w:type="paragraph" w:styleId="16">
    <w:name w:val="toc 6"/>
    <w:basedOn w:val="1"/>
    <w:next w:val="1"/>
    <w:semiHidden/>
    <w:qFormat/>
    <w:uiPriority w:val="0"/>
    <w:pPr>
      <w:ind w:left="1050"/>
      <w:jc w:val="left"/>
    </w:pPr>
    <w:rPr>
      <w:sz w:val="18"/>
      <w:szCs w:val="18"/>
    </w:rPr>
  </w:style>
  <w:style w:type="paragraph" w:styleId="17">
    <w:name w:val="Body Text Indent"/>
    <w:basedOn w:val="1"/>
    <w:next w:val="1"/>
    <w:link w:val="54"/>
    <w:qFormat/>
    <w:uiPriority w:val="6"/>
    <w:pPr>
      <w:spacing w:after="120"/>
      <w:ind w:left="420" w:leftChars="200"/>
    </w:pPr>
  </w:style>
  <w:style w:type="paragraph" w:styleId="18">
    <w:name w:val="Block Text"/>
    <w:basedOn w:val="1"/>
    <w:qFormat/>
    <w:uiPriority w:val="0"/>
    <w:pPr>
      <w:adjustRightInd w:val="0"/>
      <w:spacing w:line="300" w:lineRule="auto"/>
      <w:ind w:left="958" w:right="-120" w:rightChars="-120"/>
      <w:jc w:val="left"/>
    </w:pPr>
    <w:rPr>
      <w:rFonts w:ascii="宋体" w:hAnsi="宋体"/>
      <w:sz w:val="28"/>
    </w:rPr>
  </w:style>
  <w:style w:type="paragraph" w:styleId="19">
    <w:name w:val="index 4"/>
    <w:basedOn w:val="1"/>
    <w:next w:val="1"/>
    <w:unhideWhenUsed/>
    <w:qFormat/>
    <w:uiPriority w:val="99"/>
    <w:pPr>
      <w:ind w:left="600" w:leftChars="600"/>
    </w:pPr>
    <w:rPr>
      <w:rFonts w:ascii="Verdana" w:hAnsi="Verdana"/>
    </w:rPr>
  </w:style>
  <w:style w:type="paragraph" w:styleId="20">
    <w:name w:val="toc 5"/>
    <w:basedOn w:val="1"/>
    <w:next w:val="1"/>
    <w:semiHidden/>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55"/>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3">
    <w:name w:val="toc 8"/>
    <w:basedOn w:val="1"/>
    <w:next w:val="1"/>
    <w:semiHidden/>
    <w:qFormat/>
    <w:uiPriority w:val="0"/>
    <w:pPr>
      <w:ind w:left="1470"/>
      <w:jc w:val="left"/>
    </w:pPr>
    <w:rPr>
      <w:sz w:val="18"/>
      <w:szCs w:val="18"/>
    </w:rPr>
  </w:style>
  <w:style w:type="paragraph" w:styleId="24">
    <w:name w:val="Date"/>
    <w:basedOn w:val="1"/>
    <w:next w:val="1"/>
    <w:link w:val="56"/>
    <w:qFormat/>
    <w:uiPriority w:val="7"/>
    <w:rPr>
      <w:color w:val="000000"/>
      <w:kern w:val="1"/>
      <w:sz w:val="30"/>
      <w:szCs w:val="20"/>
    </w:rPr>
  </w:style>
  <w:style w:type="paragraph" w:styleId="25">
    <w:name w:val="Body Text Indent 2"/>
    <w:basedOn w:val="1"/>
    <w:link w:val="57"/>
    <w:qFormat/>
    <w:uiPriority w:val="6"/>
    <w:pPr>
      <w:spacing w:after="120" w:line="480" w:lineRule="auto"/>
      <w:ind w:left="420" w:leftChars="200"/>
    </w:pPr>
  </w:style>
  <w:style w:type="paragraph" w:styleId="26">
    <w:name w:val="Balloon Text"/>
    <w:basedOn w:val="1"/>
    <w:link w:val="58"/>
    <w:qFormat/>
    <w:uiPriority w:val="6"/>
    <w:rPr>
      <w:sz w:val="18"/>
      <w:szCs w:val="18"/>
    </w:rPr>
  </w:style>
  <w:style w:type="paragraph" w:styleId="27">
    <w:name w:val="footer"/>
    <w:basedOn w:val="1"/>
    <w:link w:val="59"/>
    <w:qFormat/>
    <w:uiPriority w:val="6"/>
    <w:pPr>
      <w:tabs>
        <w:tab w:val="center" w:pos="4153"/>
        <w:tab w:val="right" w:pos="8306"/>
      </w:tabs>
      <w:snapToGrid w:val="0"/>
      <w:jc w:val="left"/>
    </w:pPr>
    <w:rPr>
      <w:sz w:val="18"/>
      <w:szCs w:val="18"/>
    </w:rPr>
  </w:style>
  <w:style w:type="paragraph" w:styleId="28">
    <w:name w:val="header"/>
    <w:basedOn w:val="1"/>
    <w:link w:val="60"/>
    <w:qFormat/>
    <w:uiPriority w:val="2"/>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semiHidden/>
    <w:qFormat/>
    <w:uiPriority w:val="0"/>
    <w:pPr>
      <w:ind w:left="630"/>
      <w:jc w:val="left"/>
    </w:pPr>
    <w:rPr>
      <w:sz w:val="18"/>
      <w:szCs w:val="18"/>
    </w:rPr>
  </w:style>
  <w:style w:type="paragraph" w:styleId="31">
    <w:name w:val="List"/>
    <w:basedOn w:val="1"/>
    <w:qFormat/>
    <w:uiPriority w:val="99"/>
    <w:pPr>
      <w:ind w:left="200" w:hanging="200" w:hangingChars="200"/>
    </w:pPr>
  </w:style>
  <w:style w:type="paragraph" w:styleId="32">
    <w:name w:val="Body Text Indent 3"/>
    <w:basedOn w:val="1"/>
    <w:link w:val="61"/>
    <w:qFormat/>
    <w:uiPriority w:val="6"/>
    <w:pPr>
      <w:spacing w:after="120"/>
      <w:ind w:left="420" w:leftChars="200"/>
    </w:pPr>
    <w:rPr>
      <w:sz w:val="16"/>
      <w:szCs w:val="16"/>
    </w:rPr>
  </w:style>
  <w:style w:type="paragraph" w:styleId="33">
    <w:name w:val="toc 2"/>
    <w:basedOn w:val="1"/>
    <w:next w:val="1"/>
    <w:qFormat/>
    <w:uiPriority w:val="39"/>
    <w:pPr>
      <w:ind w:left="210"/>
      <w:jc w:val="left"/>
    </w:pPr>
    <w:rPr>
      <w:smallCaps/>
      <w:sz w:val="20"/>
      <w:szCs w:val="20"/>
    </w:rPr>
  </w:style>
  <w:style w:type="paragraph" w:styleId="34">
    <w:name w:val="toc 9"/>
    <w:basedOn w:val="1"/>
    <w:next w:val="1"/>
    <w:semiHidden/>
    <w:qFormat/>
    <w:uiPriority w:val="0"/>
    <w:pPr>
      <w:ind w:left="1680"/>
      <w:jc w:val="left"/>
    </w:pPr>
    <w:rPr>
      <w:sz w:val="18"/>
      <w:szCs w:val="18"/>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2"/>
    <w:qFormat/>
    <w:uiPriority w:val="0"/>
    <w:pPr>
      <w:spacing w:before="240" w:after="60"/>
      <w:jc w:val="center"/>
      <w:outlineLvl w:val="0"/>
    </w:pPr>
    <w:rPr>
      <w:rFonts w:ascii="Cambria" w:hAnsi="Cambria"/>
      <w:b/>
      <w:bCs/>
      <w:sz w:val="32"/>
      <w:szCs w:val="32"/>
    </w:rPr>
  </w:style>
  <w:style w:type="paragraph" w:styleId="37">
    <w:name w:val="annotation subject"/>
    <w:basedOn w:val="12"/>
    <w:next w:val="12"/>
    <w:link w:val="63"/>
    <w:qFormat/>
    <w:uiPriority w:val="0"/>
    <w:rPr>
      <w:b/>
      <w:bCs/>
    </w:rPr>
  </w:style>
  <w:style w:type="paragraph" w:styleId="38">
    <w:name w:val="Body Text First Indent 2"/>
    <w:basedOn w:val="17"/>
    <w:qFormat/>
    <w:uiPriority w:val="0"/>
    <w:pPr>
      <w:ind w:firstLine="420"/>
    </w:pPr>
    <w:rPr>
      <w:rFonts w:cs="宋体"/>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7"/>
    <w:rPr>
      <w:b/>
    </w:rPr>
  </w:style>
  <w:style w:type="character" w:styleId="43">
    <w:name w:val="page number"/>
    <w:qFormat/>
    <w:uiPriority w:val="6"/>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 字符"/>
    <w:link w:val="14"/>
    <w:qFormat/>
    <w:uiPriority w:val="0"/>
    <w:rPr>
      <w:kern w:val="2"/>
      <w:sz w:val="21"/>
      <w:szCs w:val="24"/>
    </w:rPr>
  </w:style>
  <w:style w:type="character" w:customStyle="1" w:styleId="47">
    <w:name w:val="标题 1 字符"/>
    <w:link w:val="2"/>
    <w:qFormat/>
    <w:uiPriority w:val="6"/>
    <w:rPr>
      <w:b/>
      <w:bCs/>
      <w:kern w:val="44"/>
      <w:sz w:val="44"/>
      <w:szCs w:val="44"/>
    </w:rPr>
  </w:style>
  <w:style w:type="character" w:customStyle="1" w:styleId="48">
    <w:name w:val="标题 2 字符"/>
    <w:link w:val="3"/>
    <w:qFormat/>
    <w:uiPriority w:val="9"/>
    <w:rPr>
      <w:rFonts w:ascii="Arial" w:hAnsi="Arial" w:eastAsia="黑体"/>
      <w:b/>
      <w:bCs/>
      <w:kern w:val="2"/>
      <w:sz w:val="32"/>
      <w:szCs w:val="32"/>
    </w:rPr>
  </w:style>
  <w:style w:type="character" w:customStyle="1" w:styleId="49">
    <w:name w:val="标题 3 字符"/>
    <w:link w:val="4"/>
    <w:qFormat/>
    <w:uiPriority w:val="0"/>
    <w:rPr>
      <w:b/>
      <w:bCs/>
      <w:kern w:val="2"/>
      <w:sz w:val="32"/>
      <w:szCs w:val="32"/>
    </w:rPr>
  </w:style>
  <w:style w:type="character" w:customStyle="1" w:styleId="50">
    <w:name w:val="标题 4 字符"/>
    <w:link w:val="5"/>
    <w:qFormat/>
    <w:uiPriority w:val="0"/>
    <w:rPr>
      <w:rFonts w:ascii="Calibri Light" w:hAnsi="Calibri Light"/>
      <w:b/>
      <w:bCs/>
      <w:kern w:val="2"/>
      <w:sz w:val="24"/>
      <w:szCs w:val="28"/>
    </w:rPr>
  </w:style>
  <w:style w:type="character" w:customStyle="1" w:styleId="51">
    <w:name w:val="标题 5 字符"/>
    <w:link w:val="6"/>
    <w:qFormat/>
    <w:uiPriority w:val="0"/>
    <w:rPr>
      <w:b/>
      <w:bCs/>
      <w:color w:val="000000"/>
      <w:sz w:val="28"/>
      <w:szCs w:val="28"/>
    </w:rPr>
  </w:style>
  <w:style w:type="character" w:customStyle="1" w:styleId="52">
    <w:name w:val="标题 6 字符"/>
    <w:link w:val="7"/>
    <w:qFormat/>
    <w:uiPriority w:val="0"/>
    <w:rPr>
      <w:rFonts w:ascii="Calibri Light" w:hAnsi="Calibri Light" w:eastAsia="黑体"/>
      <w:b/>
      <w:bCs/>
      <w:kern w:val="2"/>
      <w:sz w:val="24"/>
      <w:szCs w:val="24"/>
    </w:rPr>
  </w:style>
  <w:style w:type="character" w:customStyle="1" w:styleId="53">
    <w:name w:val="批注文字 字符"/>
    <w:link w:val="12"/>
    <w:qFormat/>
    <w:uiPriority w:val="0"/>
    <w:rPr>
      <w:kern w:val="2"/>
      <w:sz w:val="21"/>
      <w:szCs w:val="24"/>
    </w:rPr>
  </w:style>
  <w:style w:type="character" w:customStyle="1" w:styleId="54">
    <w:name w:val="正文文本缩进 字符"/>
    <w:link w:val="17"/>
    <w:qFormat/>
    <w:uiPriority w:val="6"/>
    <w:rPr>
      <w:kern w:val="2"/>
      <w:sz w:val="21"/>
      <w:szCs w:val="24"/>
    </w:rPr>
  </w:style>
  <w:style w:type="character" w:customStyle="1" w:styleId="55">
    <w:name w:val="纯文本 字符"/>
    <w:link w:val="22"/>
    <w:qFormat/>
    <w:uiPriority w:val="0"/>
    <w:rPr>
      <w:rFonts w:ascii="宋体" w:hAnsi="Courier New" w:eastAsia="宋体"/>
      <w:sz w:val="21"/>
      <w:szCs w:val="21"/>
      <w:lang w:val="en-US" w:eastAsia="zh-CN" w:bidi="ar-SA"/>
    </w:rPr>
  </w:style>
  <w:style w:type="character" w:customStyle="1" w:styleId="56">
    <w:name w:val="日期 字符"/>
    <w:link w:val="24"/>
    <w:qFormat/>
    <w:uiPriority w:val="7"/>
    <w:rPr>
      <w:color w:val="000000"/>
      <w:kern w:val="1"/>
      <w:sz w:val="30"/>
    </w:rPr>
  </w:style>
  <w:style w:type="character" w:customStyle="1" w:styleId="57">
    <w:name w:val="正文文本缩进 2 字符"/>
    <w:link w:val="25"/>
    <w:qFormat/>
    <w:uiPriority w:val="6"/>
    <w:rPr>
      <w:kern w:val="2"/>
      <w:sz w:val="21"/>
      <w:szCs w:val="24"/>
    </w:rPr>
  </w:style>
  <w:style w:type="character" w:customStyle="1" w:styleId="58">
    <w:name w:val="批注框文本 字符"/>
    <w:link w:val="26"/>
    <w:qFormat/>
    <w:uiPriority w:val="6"/>
    <w:rPr>
      <w:kern w:val="2"/>
      <w:sz w:val="18"/>
      <w:szCs w:val="18"/>
    </w:rPr>
  </w:style>
  <w:style w:type="character" w:customStyle="1" w:styleId="59">
    <w:name w:val="页脚 字符"/>
    <w:link w:val="27"/>
    <w:qFormat/>
    <w:uiPriority w:val="6"/>
    <w:rPr>
      <w:kern w:val="2"/>
      <w:sz w:val="18"/>
      <w:szCs w:val="18"/>
    </w:rPr>
  </w:style>
  <w:style w:type="character" w:customStyle="1" w:styleId="60">
    <w:name w:val="页眉 字符"/>
    <w:link w:val="28"/>
    <w:qFormat/>
    <w:uiPriority w:val="2"/>
    <w:rPr>
      <w:kern w:val="2"/>
      <w:sz w:val="18"/>
      <w:szCs w:val="18"/>
    </w:rPr>
  </w:style>
  <w:style w:type="character" w:customStyle="1" w:styleId="61">
    <w:name w:val="正文文本缩进 3 字符"/>
    <w:link w:val="32"/>
    <w:qFormat/>
    <w:uiPriority w:val="6"/>
    <w:rPr>
      <w:kern w:val="2"/>
      <w:sz w:val="16"/>
      <w:szCs w:val="16"/>
    </w:rPr>
  </w:style>
  <w:style w:type="character" w:customStyle="1" w:styleId="62">
    <w:name w:val="标题 字符"/>
    <w:link w:val="36"/>
    <w:qFormat/>
    <w:uiPriority w:val="0"/>
    <w:rPr>
      <w:rFonts w:ascii="Cambria" w:hAnsi="Cambria" w:eastAsia="宋体"/>
      <w:b/>
      <w:bCs/>
      <w:kern w:val="2"/>
      <w:sz w:val="32"/>
      <w:szCs w:val="32"/>
      <w:lang w:val="en-US" w:eastAsia="zh-CN" w:bidi="ar-SA"/>
    </w:rPr>
  </w:style>
  <w:style w:type="character" w:customStyle="1" w:styleId="63">
    <w:name w:val="批注主题 字符"/>
    <w:link w:val="37"/>
    <w:qFormat/>
    <w:uiPriority w:val="0"/>
    <w:rPr>
      <w:b/>
      <w:bCs/>
      <w:kern w:val="2"/>
      <w:sz w:val="21"/>
      <w:szCs w:val="24"/>
    </w:rPr>
  </w:style>
  <w:style w:type="paragraph" w:customStyle="1" w:styleId="64">
    <w:name w:val="表格文字"/>
    <w:basedOn w:val="65"/>
    <w:next w:val="14"/>
    <w:link w:val="66"/>
    <w:qFormat/>
    <w:uiPriority w:val="0"/>
    <w:pPr>
      <w:jc w:val="left"/>
    </w:pPr>
    <w:rPr>
      <w:kern w:val="21"/>
      <w:szCs w:val="21"/>
    </w:rPr>
  </w:style>
  <w:style w:type="paragraph" w:customStyle="1" w:styleId="65">
    <w:name w:val="表格文字（两侧对齐）"/>
    <w:basedOn w:val="1"/>
    <w:qFormat/>
    <w:uiPriority w:val="0"/>
    <w:pPr>
      <w:snapToGrid w:val="0"/>
    </w:pPr>
    <w:rPr>
      <w:sz w:val="20"/>
      <w:szCs w:val="20"/>
    </w:rPr>
  </w:style>
  <w:style w:type="character" w:customStyle="1" w:styleId="66">
    <w:name w:val="表格文字 Char Char"/>
    <w:link w:val="64"/>
    <w:qFormat/>
    <w:uiPriority w:val="0"/>
    <w:rPr>
      <w:kern w:val="21"/>
      <w:sz w:val="21"/>
      <w:szCs w:val="21"/>
    </w:rPr>
  </w:style>
  <w:style w:type="character" w:customStyle="1" w:styleId="67">
    <w:name w:val="Char Char Char"/>
    <w:qFormat/>
    <w:uiPriority w:val="0"/>
    <w:rPr>
      <w:rFonts w:ascii="宋体" w:hAnsi="Courier New" w:eastAsia="宋体"/>
      <w:sz w:val="21"/>
      <w:lang w:val="en-US" w:eastAsia="zh-CN"/>
    </w:rPr>
  </w:style>
  <w:style w:type="character" w:customStyle="1" w:styleId="68">
    <w:name w:val="font01"/>
    <w:qFormat/>
    <w:uiPriority w:val="0"/>
    <w:rPr>
      <w:rFonts w:hint="eastAsia" w:ascii="宋体" w:hAnsi="宋体" w:eastAsia="宋体" w:cs="宋体"/>
      <w:b/>
      <w:color w:val="000000"/>
      <w:sz w:val="28"/>
      <w:szCs w:val="28"/>
      <w:u w:val="none"/>
    </w:rPr>
  </w:style>
  <w:style w:type="character" w:customStyle="1" w:styleId="69">
    <w:name w:val="标题2"/>
    <w:qFormat/>
    <w:uiPriority w:val="0"/>
    <w:rPr>
      <w:rFonts w:ascii="微软雅黑" w:hAnsi="微软雅黑" w:eastAsia="微软雅黑"/>
      <w:b/>
      <w:bCs/>
      <w:color w:val="0D0D0D"/>
      <w:sz w:val="24"/>
    </w:rPr>
  </w:style>
  <w:style w:type="character" w:customStyle="1" w:styleId="70">
    <w:name w:val="font31"/>
    <w:qFormat/>
    <w:uiPriority w:val="0"/>
    <w:rPr>
      <w:rFonts w:ascii="Calibri" w:hAnsi="Calibri" w:cs="Calibri"/>
      <w:color w:val="000000"/>
      <w:sz w:val="20"/>
      <w:szCs w:val="20"/>
      <w:u w:val="none"/>
    </w:rPr>
  </w:style>
  <w:style w:type="character" w:customStyle="1" w:styleId="71">
    <w:name w:val="纯文本 Char1"/>
    <w:qFormat/>
    <w:uiPriority w:val="0"/>
    <w:rPr>
      <w:rFonts w:ascii="宋体" w:hAnsi="Courier New" w:eastAsia="宋体"/>
      <w:sz w:val="21"/>
      <w:szCs w:val="21"/>
      <w:lang w:val="en-US" w:eastAsia="zh-CN" w:bidi="ar-SA"/>
    </w:rPr>
  </w:style>
  <w:style w:type="character" w:customStyle="1" w:styleId="72">
    <w:name w:val="纯文本 Char"/>
    <w:qFormat/>
    <w:uiPriority w:val="0"/>
    <w:rPr>
      <w:rFonts w:ascii="宋体" w:hAnsi="Courier New" w:eastAsia="宋体"/>
      <w:sz w:val="21"/>
      <w:szCs w:val="21"/>
      <w:lang w:val="en-US" w:eastAsia="zh-CN" w:bidi="ar-SA"/>
    </w:rPr>
  </w:style>
  <w:style w:type="character" w:customStyle="1" w:styleId="73">
    <w:name w:val="标题 2 Char"/>
    <w:qFormat/>
    <w:locked/>
    <w:uiPriority w:val="9"/>
    <w:rPr>
      <w:rFonts w:ascii="Arial" w:hAnsi="Arial" w:eastAsia="黑体"/>
      <w:b/>
      <w:bCs/>
      <w:kern w:val="2"/>
      <w:sz w:val="32"/>
      <w:szCs w:val="32"/>
      <w:lang w:val="en-US" w:eastAsia="zh-CN" w:bidi="ar-SA"/>
    </w:rPr>
  </w:style>
  <w:style w:type="character" w:customStyle="1" w:styleId="74">
    <w:name w:val="font41"/>
    <w:qFormat/>
    <w:uiPriority w:val="0"/>
    <w:rPr>
      <w:rFonts w:hint="eastAsia" w:ascii="宋体" w:hAnsi="宋体" w:eastAsia="宋体" w:cs="宋体"/>
      <w:b/>
      <w:color w:val="000000"/>
      <w:sz w:val="28"/>
      <w:szCs w:val="28"/>
      <w:u w:val="none"/>
    </w:rPr>
  </w:style>
  <w:style w:type="character" w:customStyle="1" w:styleId="75">
    <w:name w:val="NormalCharacter"/>
    <w:qFormat/>
    <w:uiPriority w:val="0"/>
    <w:rPr>
      <w:kern w:val="2"/>
      <w:sz w:val="21"/>
      <w:szCs w:val="24"/>
      <w:lang w:val="en-US" w:eastAsia="zh-CN" w:bidi="ar-SA"/>
    </w:rPr>
  </w:style>
  <w:style w:type="character" w:customStyle="1" w:styleId="76">
    <w:name w:val="aa1"/>
    <w:qFormat/>
    <w:uiPriority w:val="0"/>
    <w:rPr>
      <w:rFonts w:hint="default" w:ascii="_x000B__x000C_" w:hAnsi="_x000B__x000C_"/>
      <w:color w:val="000000"/>
      <w:sz w:val="20"/>
      <w:szCs w:val="20"/>
      <w:u w:val="none"/>
    </w:rPr>
  </w:style>
  <w:style w:type="character" w:customStyle="1" w:styleId="77">
    <w:name w:val="正文文本 Char"/>
    <w:qFormat/>
    <w:uiPriority w:val="0"/>
    <w:rPr>
      <w:kern w:val="2"/>
      <w:sz w:val="21"/>
      <w:szCs w:val="24"/>
    </w:rPr>
  </w:style>
  <w:style w:type="character" w:customStyle="1" w:styleId="78">
    <w:name w:val="页眉 Char1"/>
    <w:qFormat/>
    <w:uiPriority w:val="6"/>
    <w:rPr>
      <w:rFonts w:ascii="Times New Roman" w:hAnsi="Times New Roman" w:eastAsia="宋体" w:cs="Times New Roman"/>
      <w:color w:val="000000"/>
      <w:kern w:val="1"/>
      <w:sz w:val="18"/>
      <w:szCs w:val="18"/>
      <w:lang w:val="zh-CN"/>
    </w:rPr>
  </w:style>
  <w:style w:type="character" w:customStyle="1" w:styleId="79">
    <w:name w:val="font121"/>
    <w:qFormat/>
    <w:uiPriority w:val="0"/>
    <w:rPr>
      <w:rFonts w:ascii="Symbol" w:hAnsi="Symbol" w:cs="Symbol"/>
      <w:color w:val="000000"/>
      <w:sz w:val="20"/>
      <w:szCs w:val="20"/>
      <w:u w:val="none"/>
    </w:rPr>
  </w:style>
  <w:style w:type="character" w:customStyle="1" w:styleId="80">
    <w:name w:val="日期 Char1"/>
    <w:qFormat/>
    <w:uiPriority w:val="0"/>
    <w:rPr>
      <w:kern w:val="2"/>
      <w:sz w:val="21"/>
      <w:szCs w:val="24"/>
    </w:rPr>
  </w:style>
  <w:style w:type="character" w:customStyle="1" w:styleId="81">
    <w:name w:val="未处理的提及1"/>
    <w:unhideWhenUsed/>
    <w:qFormat/>
    <w:uiPriority w:val="99"/>
    <w:rPr>
      <w:color w:val="605E5C"/>
      <w:shd w:val="clear" w:color="auto" w:fill="E1DFDD"/>
    </w:rPr>
  </w:style>
  <w:style w:type="character" w:customStyle="1" w:styleId="82">
    <w:name w:val="Char Char"/>
    <w:qFormat/>
    <w:uiPriority w:val="0"/>
    <w:rPr>
      <w:rFonts w:ascii="宋体" w:hAnsi="Courier New" w:eastAsia="宋体"/>
      <w:sz w:val="21"/>
      <w:szCs w:val="21"/>
      <w:lang w:val="en-US" w:eastAsia="zh-CN" w:bidi="ar-SA"/>
    </w:rPr>
  </w:style>
  <w:style w:type="character" w:customStyle="1" w:styleId="83">
    <w:name w:val="无间隔 Char"/>
    <w:link w:val="84"/>
    <w:qFormat/>
    <w:locked/>
    <w:uiPriority w:val="0"/>
    <w:rPr>
      <w:sz w:val="24"/>
      <w:lang w:val="en-US" w:eastAsia="zh-CN" w:bidi="ar-SA"/>
    </w:rPr>
  </w:style>
  <w:style w:type="paragraph" w:customStyle="1" w:styleId="84">
    <w:name w:val="无间隔1"/>
    <w:link w:val="83"/>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85">
    <w:name w:val="font11"/>
    <w:qFormat/>
    <w:uiPriority w:val="0"/>
    <w:rPr>
      <w:rFonts w:hint="eastAsia" w:ascii="宋体" w:hAnsi="宋体" w:eastAsia="宋体" w:cs="宋体"/>
      <w:color w:val="000000"/>
      <w:sz w:val="12"/>
      <w:szCs w:val="12"/>
      <w:u w:val="none"/>
    </w:rPr>
  </w:style>
  <w:style w:type="character" w:customStyle="1" w:styleId="86">
    <w:name w:val="font101"/>
    <w:qFormat/>
    <w:uiPriority w:val="0"/>
    <w:rPr>
      <w:rFonts w:hint="eastAsia" w:ascii="宋体" w:hAnsi="宋体" w:eastAsia="宋体" w:cs="宋体"/>
      <w:color w:val="000000"/>
      <w:sz w:val="20"/>
      <w:szCs w:val="20"/>
      <w:u w:val="none"/>
    </w:rPr>
  </w:style>
  <w:style w:type="character" w:customStyle="1" w:styleId="87">
    <w:name w:val="textfont"/>
    <w:qFormat/>
    <w:uiPriority w:val="0"/>
  </w:style>
  <w:style w:type="character" w:customStyle="1" w:styleId="88">
    <w:name w:val="列出段落 字符"/>
    <w:link w:val="89"/>
    <w:qFormat/>
    <w:uiPriority w:val="34"/>
    <w:rPr>
      <w:kern w:val="2"/>
      <w:sz w:val="21"/>
    </w:rPr>
  </w:style>
  <w:style w:type="paragraph" w:customStyle="1" w:styleId="89">
    <w:name w:val="列出段落1"/>
    <w:basedOn w:val="1"/>
    <w:link w:val="88"/>
    <w:qFormat/>
    <w:uiPriority w:val="34"/>
    <w:pPr>
      <w:ind w:firstLine="420" w:firstLineChars="200"/>
    </w:pPr>
    <w:rPr>
      <w:szCs w:val="20"/>
    </w:rPr>
  </w:style>
  <w:style w:type="character" w:customStyle="1" w:styleId="90">
    <w:name w:val="bt11"/>
    <w:qFormat/>
    <w:uiPriority w:val="3"/>
    <w:rPr>
      <w:rFonts w:eastAsia="仿宋_GB2312"/>
      <w:b/>
      <w:color w:val="000000"/>
      <w:sz w:val="30"/>
      <w:szCs w:val="20"/>
      <w:u w:val="none"/>
    </w:rPr>
  </w:style>
  <w:style w:type="character" w:customStyle="1" w:styleId="91">
    <w:name w:val="标准正文格式 Char"/>
    <w:link w:val="92"/>
    <w:qFormat/>
    <w:uiPriority w:val="0"/>
    <w:rPr>
      <w:rFonts w:ascii="宋体" w:eastAsia="仿宋_GB2312" w:cs="宋体"/>
      <w:color w:val="000000"/>
      <w:sz w:val="24"/>
      <w:lang w:val="en-US" w:eastAsia="zh-CN" w:bidi="ar-SA"/>
    </w:rPr>
  </w:style>
  <w:style w:type="paragraph" w:customStyle="1" w:styleId="92">
    <w:name w:val="标准正文格式"/>
    <w:basedOn w:val="1"/>
    <w:link w:val="91"/>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93">
    <w:name w:val="font21"/>
    <w:qFormat/>
    <w:uiPriority w:val="0"/>
    <w:rPr>
      <w:rFonts w:hint="eastAsia" w:ascii="宋体" w:hAnsi="宋体" w:eastAsia="宋体" w:cs="宋体"/>
      <w:color w:val="000000"/>
      <w:sz w:val="18"/>
      <w:szCs w:val="18"/>
      <w:u w:val="none"/>
    </w:rPr>
  </w:style>
  <w:style w:type="character" w:customStyle="1" w:styleId="94">
    <w:name w:val="_Style 92"/>
    <w:qFormat/>
    <w:uiPriority w:val="32"/>
    <w:rPr>
      <w:b/>
      <w:bCs/>
      <w:smallCaps/>
      <w:color w:val="C0504D"/>
      <w:spacing w:val="5"/>
      <w:u w:val="single"/>
    </w:rPr>
  </w:style>
  <w:style w:type="character" w:customStyle="1" w:styleId="95">
    <w:name w:val="title-text"/>
    <w:qFormat/>
    <w:uiPriority w:val="0"/>
  </w:style>
  <w:style w:type="paragraph" w:customStyle="1" w:styleId="96">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97">
    <w:name w:val="纯文本1"/>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98">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99">
    <w:name w:val="保留正文"/>
    <w:basedOn w:val="14"/>
    <w:qFormat/>
    <w:uiPriority w:val="0"/>
    <w:pPr>
      <w:keepNext/>
      <w:spacing w:after="160"/>
    </w:pPr>
    <w:rPr>
      <w:szCs w:val="20"/>
    </w:rPr>
  </w:style>
  <w:style w:type="paragraph" w:customStyle="1" w:styleId="100">
    <w:name w:val="Char Char Char1"/>
    <w:basedOn w:val="1"/>
    <w:qFormat/>
    <w:uiPriority w:val="0"/>
    <w:rPr>
      <w:rFonts w:ascii="Tahoma" w:hAnsi="Tahoma"/>
      <w:sz w:val="24"/>
      <w:szCs w:val="20"/>
    </w:rPr>
  </w:style>
  <w:style w:type="paragraph" w:customStyle="1" w:styleId="101">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paragraph" w:customStyle="1" w:styleId="102">
    <w:name w:val="BodyText1I2"/>
    <w:basedOn w:val="103"/>
    <w:qFormat/>
    <w:uiPriority w:val="0"/>
    <w:pPr>
      <w:ind w:firstLine="420" w:firstLineChars="200"/>
    </w:pPr>
  </w:style>
  <w:style w:type="paragraph" w:customStyle="1" w:styleId="103">
    <w:name w:val="BodyTextIndent"/>
    <w:basedOn w:val="1"/>
    <w:qFormat/>
    <w:uiPriority w:val="0"/>
    <w:pPr>
      <w:spacing w:after="120"/>
      <w:ind w:left="420" w:leftChars="200"/>
    </w:pPr>
  </w:style>
  <w:style w:type="paragraph" w:customStyle="1" w:styleId="104">
    <w:name w:val="默认段落字体 Para Char"/>
    <w:basedOn w:val="1"/>
    <w:qFormat/>
    <w:uiPriority w:val="0"/>
    <w:rPr>
      <w:szCs w:val="20"/>
    </w:rPr>
  </w:style>
  <w:style w:type="paragraph" w:customStyle="1" w:styleId="105">
    <w:name w:val="my正文"/>
    <w:basedOn w:val="1"/>
    <w:qFormat/>
    <w:uiPriority w:val="0"/>
    <w:pPr>
      <w:spacing w:line="360" w:lineRule="auto"/>
      <w:ind w:firstLine="480" w:firstLineChars="200"/>
    </w:pPr>
    <w:rPr>
      <w:rFonts w:ascii="宋体" w:hAnsi="宋体"/>
      <w:sz w:val="24"/>
    </w:rPr>
  </w:style>
  <w:style w:type="paragraph" w:customStyle="1" w:styleId="106">
    <w:name w:val="Char Char Char Char Char Char Char"/>
    <w:basedOn w:val="1"/>
    <w:qFormat/>
    <w:uiPriority w:val="0"/>
    <w:rPr>
      <w:rFonts w:ascii="仿宋_GB2312" w:eastAsia="仿宋_GB2312"/>
      <w:b/>
      <w:sz w:val="32"/>
      <w:szCs w:val="32"/>
    </w:rPr>
  </w:style>
  <w:style w:type="paragraph" w:customStyle="1" w:styleId="107">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08">
    <w:name w:val="_Style 106"/>
    <w:unhideWhenUsed/>
    <w:qFormat/>
    <w:uiPriority w:val="99"/>
    <w:rPr>
      <w:rFonts w:ascii="Times New Roman" w:hAnsi="Times New Roman" w:eastAsia="宋体" w:cs="Times New Roman"/>
      <w:kern w:val="2"/>
      <w:sz w:val="21"/>
      <w:szCs w:val="24"/>
      <w:lang w:val="en-US" w:eastAsia="zh-CN" w:bidi="ar-SA"/>
    </w:rPr>
  </w:style>
  <w:style w:type="paragraph" w:customStyle="1" w:styleId="109">
    <w:name w:val="Char Char Char Char"/>
    <w:basedOn w:val="1"/>
    <w:qFormat/>
    <w:uiPriority w:val="0"/>
    <w:pPr>
      <w:spacing w:line="360" w:lineRule="auto"/>
      <w:ind w:firstLine="200" w:firstLineChars="200"/>
    </w:pPr>
    <w:rPr>
      <w:rFonts w:ascii="宋体" w:hAnsi="宋体" w:cs="宋体"/>
      <w:sz w:val="24"/>
    </w:rPr>
  </w:style>
  <w:style w:type="paragraph" w:customStyle="1" w:styleId="110">
    <w:name w:val="彩色列表1"/>
    <w:basedOn w:val="1"/>
    <w:qFormat/>
    <w:uiPriority w:val="34"/>
    <w:pPr>
      <w:ind w:firstLine="420" w:firstLineChars="200"/>
    </w:pPr>
  </w:style>
  <w:style w:type="paragraph" w:customStyle="1" w:styleId="111">
    <w:name w:val="Char1"/>
    <w:basedOn w:val="1"/>
    <w:qFormat/>
    <w:uiPriority w:val="0"/>
    <w:rPr>
      <w:rFonts w:ascii="仿宋_GB2312" w:eastAsia="仿宋_GB2312"/>
      <w:b/>
      <w:sz w:val="32"/>
      <w:szCs w:val="32"/>
    </w:rPr>
  </w:style>
  <w:style w:type="paragraph" w:customStyle="1" w:styleId="112">
    <w:name w:val="1111"/>
    <w:basedOn w:val="1"/>
    <w:qFormat/>
    <w:uiPriority w:val="0"/>
    <w:rPr>
      <w:sz w:val="18"/>
    </w:rPr>
  </w:style>
  <w:style w:type="paragraph" w:customStyle="1" w:styleId="113">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14">
    <w:name w:val="默认段落字体 Para Char Char Char Char Char Char Char"/>
    <w:basedOn w:val="1"/>
    <w:qFormat/>
    <w:uiPriority w:val="0"/>
    <w:rPr>
      <w:rFonts w:ascii="Tahoma" w:hAnsi="Tahoma"/>
      <w:sz w:val="24"/>
      <w:szCs w:val="20"/>
    </w:rPr>
  </w:style>
  <w:style w:type="paragraph" w:customStyle="1" w:styleId="115">
    <w:name w:val="Char Char Char Char Char Char Char Char Char1 Char"/>
    <w:basedOn w:val="1"/>
    <w:qFormat/>
    <w:uiPriority w:val="0"/>
    <w:pPr>
      <w:widowControl/>
      <w:jc w:val="left"/>
    </w:pPr>
    <w:rPr>
      <w:rFonts w:ascii="仿宋_GB2312" w:eastAsia="仿宋_GB2312"/>
      <w:b/>
      <w:kern w:val="0"/>
      <w:sz w:val="32"/>
      <w:szCs w:val="32"/>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_Style 5"/>
    <w:basedOn w:val="1"/>
    <w:qFormat/>
    <w:uiPriority w:val="99"/>
    <w:pPr>
      <w:spacing w:line="360" w:lineRule="auto"/>
      <w:ind w:firstLine="420" w:firstLineChars="200"/>
    </w:pPr>
  </w:style>
  <w:style w:type="paragraph" w:customStyle="1" w:styleId="118">
    <w:name w:val="列出段落2"/>
    <w:basedOn w:val="1"/>
    <w:qFormat/>
    <w:uiPriority w:val="34"/>
    <w:pPr>
      <w:spacing w:line="360" w:lineRule="auto"/>
      <w:ind w:firstLine="420" w:firstLineChars="200"/>
    </w:pPr>
    <w:rPr>
      <w:sz w:val="24"/>
      <w:szCs w:val="22"/>
    </w:rPr>
  </w:style>
  <w:style w:type="paragraph" w:customStyle="1" w:styleId="11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Table Paragraph"/>
    <w:basedOn w:val="1"/>
    <w:qFormat/>
    <w:uiPriority w:val="1"/>
    <w:pPr>
      <w:spacing w:line="500" w:lineRule="exact"/>
      <w:ind w:firstLine="360" w:firstLineChars="200"/>
    </w:pPr>
    <w:rPr>
      <w:rFonts w:ascii="宋体" w:hAnsi="宋体" w:cs="宋体"/>
      <w:sz w:val="24"/>
      <w:lang w:val="zh-CN" w:bidi="zh-CN"/>
    </w:rPr>
  </w:style>
  <w:style w:type="paragraph" w:customStyle="1" w:styleId="121">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22">
    <w:name w:val="列出段落3"/>
    <w:basedOn w:val="1"/>
    <w:qFormat/>
    <w:uiPriority w:val="34"/>
    <w:pPr>
      <w:spacing w:line="360" w:lineRule="auto"/>
      <w:ind w:firstLine="420" w:firstLineChars="200"/>
    </w:pPr>
    <w:rPr>
      <w:sz w:val="24"/>
      <w:szCs w:val="22"/>
    </w:rPr>
  </w:style>
  <w:style w:type="paragraph" w:customStyle="1" w:styleId="123">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24">
    <w:name w:val="_Style 13"/>
    <w:basedOn w:val="1"/>
    <w:next w:val="116"/>
    <w:qFormat/>
    <w:uiPriority w:val="7"/>
    <w:pPr>
      <w:ind w:firstLine="420"/>
    </w:pPr>
    <w:rPr>
      <w:color w:val="000000"/>
      <w:kern w:val="1"/>
    </w:rPr>
  </w:style>
  <w:style w:type="paragraph" w:customStyle="1" w:styleId="125">
    <w:name w:val="Pa3"/>
    <w:basedOn w:val="1"/>
    <w:next w:val="1"/>
    <w:qFormat/>
    <w:uiPriority w:val="99"/>
    <w:pPr>
      <w:widowControl/>
      <w:spacing w:line="141" w:lineRule="atLeast"/>
    </w:pPr>
    <w:rPr>
      <w:rFonts w:ascii="Univers 57 Condensed" w:eastAsia="Univers 57 Condensed"/>
      <w:sz w:val="24"/>
    </w:rPr>
  </w:style>
  <w:style w:type="paragraph" w:customStyle="1" w:styleId="1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Normal]"/>
    <w:qFormat/>
    <w:uiPriority w:val="0"/>
    <w:rPr>
      <w:rFonts w:ascii="宋体" w:hAnsi="宋体" w:eastAsia="宋体" w:cs="Times New Roman"/>
      <w:sz w:val="24"/>
      <w:szCs w:val="22"/>
      <w:lang w:val="zh-CN" w:eastAsia="zh-CN" w:bidi="ar-SA"/>
    </w:rPr>
  </w:style>
  <w:style w:type="paragraph" w:customStyle="1" w:styleId="12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29">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30">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3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32">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3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35">
    <w:name w:val="List Paragraph1"/>
    <w:basedOn w:val="1"/>
    <w:qFormat/>
    <w:uiPriority w:val="99"/>
    <w:pPr>
      <w:widowControl/>
      <w:ind w:firstLine="420" w:firstLineChars="200"/>
      <w:jc w:val="left"/>
    </w:pPr>
    <w:rPr>
      <w:rFonts w:ascii="宋体" w:hAnsi="宋体" w:cs="宋体"/>
      <w:kern w:val="0"/>
      <w:sz w:val="24"/>
    </w:rPr>
  </w:style>
  <w:style w:type="paragraph" w:customStyle="1" w:styleId="136">
    <w:name w:val="_Style 2"/>
    <w:basedOn w:val="1"/>
    <w:qFormat/>
    <w:uiPriority w:val="0"/>
    <w:pPr>
      <w:ind w:firstLine="420" w:firstLineChars="200"/>
    </w:pPr>
  </w:style>
  <w:style w:type="character" w:customStyle="1" w:styleId="137">
    <w:name w:val="标题1"/>
    <w:qFormat/>
    <w:uiPriority w:val="0"/>
  </w:style>
  <w:style w:type="paragraph" w:customStyle="1" w:styleId="13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9">
    <w:name w:val="正文缩进2"/>
    <w:basedOn w:val="1"/>
    <w:qFormat/>
    <w:uiPriority w:val="0"/>
    <w:pPr>
      <w:widowControl/>
      <w:ind w:firstLine="420"/>
      <w:jc w:val="left"/>
    </w:pPr>
    <w:rPr>
      <w:kern w:val="0"/>
      <w:szCs w:val="20"/>
    </w:rPr>
  </w:style>
  <w:style w:type="paragraph" w:customStyle="1" w:styleId="140">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1">
    <w:name w:val="area_1"/>
    <w:qFormat/>
    <w:uiPriority w:val="0"/>
    <w:rPr>
      <w:rFonts w:ascii="宋体" w:hAnsi="宋体"/>
      <w:sz w:val="24"/>
    </w:rPr>
  </w:style>
  <w:style w:type="paragraph" w:customStyle="1" w:styleId="142">
    <w:name w:val="List Paragraph2"/>
    <w:basedOn w:val="1"/>
    <w:qFormat/>
    <w:uiPriority w:val="34"/>
    <w:pPr>
      <w:ind w:firstLine="420" w:firstLineChars="200"/>
    </w:pPr>
  </w:style>
  <w:style w:type="paragraph" w:customStyle="1" w:styleId="143">
    <w:name w:val="_Style 30"/>
    <w:basedOn w:val="1"/>
    <w:next w:val="142"/>
    <w:qFormat/>
    <w:uiPriority w:val="34"/>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039DB-8E99-4897-82DD-D439EE406366}">
  <ds:schemaRefs/>
</ds:datastoreItem>
</file>

<file path=docProps/app.xml><?xml version="1.0" encoding="utf-8"?>
<Properties xmlns="http://schemas.openxmlformats.org/officeDocument/2006/extended-properties" xmlns:vt="http://schemas.openxmlformats.org/officeDocument/2006/docPropsVTypes">
  <Template>Normal</Template>
  <Pages>43</Pages>
  <Words>16807</Words>
  <Characters>18215</Characters>
  <Lines>205</Lines>
  <Paragraphs>57</Paragraphs>
  <TotalTime>13</TotalTime>
  <ScaleCrop>false</ScaleCrop>
  <LinksUpToDate>false</LinksUpToDate>
  <CharactersWithSpaces>19554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2025-04-14T06:42:00Z</dcterms:created>
  <dc:creator>system</dc:creator>
  <cp:lastModifiedBy>哲學</cp:lastModifiedBy>
  <cp:lastPrinted>2025-02-24T08:01:00Z</cp:lastPrinted>
  <dcterms:modified xsi:type="dcterms:W3CDTF">2025-06-19T01:12:37Z</dcterms:modified>
  <dc:title>温州市农业科学研究院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18E81A99C8CC4EA4A8F94146C3DDD841_13</vt:lpwstr>
  </property>
  <property fmtid="{D5CDD505-2E9C-101B-9397-08002B2CF9AE}" pid="4" name="GrammarlyDocumentId">
    <vt:lpwstr>3905950c1ecc2a95d1ca6fcaef28d652e3ffb9e8900a5c2ac096dbc92bfe8a1e</vt:lpwstr>
  </property>
  <property fmtid="{D5CDD505-2E9C-101B-9397-08002B2CF9AE}" pid="5" name="lcf76f155ced4ddcb4097134ff3c332f">
    <vt:lpwstr/>
  </property>
  <property fmtid="{D5CDD505-2E9C-101B-9397-08002B2CF9AE}" pid="6" name="TaxCatchAll">
    <vt:lpwstr/>
  </property>
  <property fmtid="{D5CDD505-2E9C-101B-9397-08002B2CF9AE}" pid="7" name="KSOTemplateDocerSaveRecord">
    <vt:lpwstr>eyJoZGlkIjoiMjllOTI4MDA4MjgwZDdiN2Q3Mzk5NjRkYTE5MjNjZmIiLCJ1c2VySWQiOiI2NzQ0ODY4OTMifQ==</vt:lpwstr>
  </property>
</Properties>
</file>