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cs="宋体"/>
          <w:b/>
          <w:bCs/>
          <w:spacing w:val="100"/>
          <w:sz w:val="72"/>
          <w:szCs w:val="72"/>
        </w:rPr>
      </w:pPr>
      <w:bookmarkStart w:id="20" w:name="_GoBack"/>
      <w:bookmarkEnd w:id="20"/>
      <w:r>
        <w:rPr>
          <w:rFonts w:hint="eastAsia" w:ascii="宋体" w:hAnsi="宋体" w:cs="宋体"/>
          <w:b/>
          <w:bCs/>
          <w:spacing w:val="100"/>
          <w:sz w:val="72"/>
          <w:szCs w:val="72"/>
        </w:rPr>
        <w:t xml:space="preserve"> </w:t>
      </w:r>
      <w:r>
        <w:rPr>
          <w:rFonts w:hint="eastAsia" w:ascii="宋体" w:hAnsi="宋体" w:cs="宋体"/>
          <w:b/>
          <w:bCs/>
          <w:spacing w:val="100"/>
          <w:sz w:val="72"/>
          <w:szCs w:val="72"/>
        </w:rPr>
        <w:tab/>
      </w:r>
      <w:r>
        <w:rPr>
          <w:rFonts w:hint="eastAsia" w:ascii="宋体" w:hAnsi="宋体" w:cs="宋体"/>
          <w:b/>
          <w:bCs/>
          <w:spacing w:val="100"/>
          <w:sz w:val="72"/>
          <w:szCs w:val="72"/>
        </w:rPr>
        <w:tab/>
      </w:r>
    </w:p>
    <w:p>
      <w:pPr>
        <w:jc w:val="center"/>
        <w:rPr>
          <w:rFonts w:hint="eastAsia" w:ascii="宋体" w:hAnsi="宋体" w:cs="宋体"/>
          <w:b/>
          <w:bCs/>
          <w:spacing w:val="100"/>
          <w:sz w:val="72"/>
          <w:szCs w:val="72"/>
        </w:rPr>
      </w:pPr>
      <w:r>
        <w:rPr>
          <w:rFonts w:hint="eastAsia" w:ascii="宋体" w:hAnsi="宋体" w:cs="宋体"/>
          <w:b/>
          <w:bCs/>
          <w:spacing w:val="100"/>
          <w:sz w:val="72"/>
          <w:szCs w:val="72"/>
        </w:rPr>
        <w:t>鹿城区政府集中采购</w:t>
      </w:r>
    </w:p>
    <w:p>
      <w:pPr>
        <w:jc w:val="center"/>
        <w:rPr>
          <w:rFonts w:hint="eastAsia" w:ascii="宋体" w:hAnsi="宋体" w:cs="宋体"/>
          <w:b/>
          <w:bCs/>
          <w:spacing w:val="26"/>
          <w:sz w:val="52"/>
        </w:rPr>
      </w:pPr>
    </w:p>
    <w:p>
      <w:pPr>
        <w:jc w:val="center"/>
        <w:rPr>
          <w:rFonts w:hint="eastAsia" w:ascii="宋体" w:hAnsi="宋体" w:cs="宋体"/>
          <w:b/>
          <w:bCs/>
          <w:spacing w:val="140"/>
          <w:sz w:val="72"/>
        </w:rPr>
      </w:pPr>
    </w:p>
    <w:p>
      <w:pPr>
        <w:jc w:val="center"/>
        <w:rPr>
          <w:rFonts w:hint="eastAsia" w:ascii="宋体" w:hAnsi="宋体" w:cs="宋体"/>
          <w:b/>
          <w:bCs/>
          <w:spacing w:val="140"/>
          <w:sz w:val="72"/>
        </w:rPr>
      </w:pPr>
    </w:p>
    <w:p>
      <w:pPr>
        <w:spacing w:line="900" w:lineRule="exact"/>
        <w:jc w:val="center"/>
        <w:rPr>
          <w:rFonts w:hint="eastAsia" w:ascii="宋体" w:hAnsi="宋体" w:cs="宋体"/>
          <w:b/>
          <w:bCs/>
          <w:spacing w:val="140"/>
          <w:sz w:val="84"/>
          <w:szCs w:val="84"/>
        </w:rPr>
      </w:pPr>
    </w:p>
    <w:p>
      <w:pPr>
        <w:spacing w:line="900" w:lineRule="exact"/>
        <w:jc w:val="center"/>
        <w:outlineLvl w:val="0"/>
        <w:rPr>
          <w:rFonts w:hint="eastAsia" w:ascii="宋体" w:hAnsi="宋体" w:cs="宋体"/>
          <w:b/>
          <w:bCs/>
          <w:spacing w:val="140"/>
          <w:sz w:val="72"/>
          <w:szCs w:val="72"/>
        </w:rPr>
      </w:pPr>
      <w:bookmarkStart w:id="0" w:name="_Toc1589"/>
      <w:r>
        <w:rPr>
          <w:rFonts w:hint="eastAsia" w:ascii="宋体" w:hAnsi="宋体" w:cs="宋体"/>
          <w:b/>
          <w:bCs/>
          <w:spacing w:val="140"/>
          <w:sz w:val="72"/>
          <w:szCs w:val="72"/>
        </w:rPr>
        <w:t>竞争性磋商文件</w:t>
      </w:r>
      <w:bookmarkEnd w:id="0"/>
    </w:p>
    <w:p>
      <w:pPr>
        <w:spacing w:line="900" w:lineRule="exact"/>
        <w:jc w:val="center"/>
        <w:rPr>
          <w:rFonts w:hint="eastAsia" w:ascii="宋体" w:hAnsi="宋体" w:cs="宋体"/>
          <w:b/>
          <w:bCs/>
          <w:spacing w:val="140"/>
          <w:sz w:val="72"/>
          <w:szCs w:val="72"/>
        </w:rPr>
      </w:pPr>
    </w:p>
    <w:p>
      <w:pPr>
        <w:pStyle w:val="3"/>
        <w:spacing w:before="0" w:after="0" w:line="450" w:lineRule="atLeast"/>
        <w:jc w:val="center"/>
        <w:rPr>
          <w:rFonts w:hint="eastAsia" w:ascii="宋体" w:hAnsi="宋体" w:cs="宋体"/>
          <w:spacing w:val="140"/>
          <w:kern w:val="2"/>
          <w:sz w:val="36"/>
          <w:szCs w:val="72"/>
        </w:rPr>
      </w:pPr>
      <w:bookmarkStart w:id="1" w:name="_Toc6334"/>
      <w:r>
        <w:rPr>
          <w:rFonts w:hint="eastAsia" w:ascii="宋体" w:hAnsi="宋体" w:cs="宋体"/>
          <w:spacing w:val="140"/>
          <w:kern w:val="2"/>
          <w:sz w:val="36"/>
          <w:szCs w:val="72"/>
        </w:rPr>
        <w:t>（中小企业预留份额项目）</w:t>
      </w:r>
      <w:bookmarkEnd w:id="1"/>
    </w:p>
    <w:p>
      <w:pPr>
        <w:spacing w:line="600" w:lineRule="exact"/>
        <w:jc w:val="center"/>
        <w:rPr>
          <w:rFonts w:hint="eastAsia" w:ascii="宋体" w:hAnsi="宋体" w:cs="宋体"/>
          <w:b/>
          <w:bCs/>
          <w:spacing w:val="140"/>
          <w:sz w:val="84"/>
          <w:szCs w:val="84"/>
        </w:rPr>
      </w:pPr>
    </w:p>
    <w:p>
      <w:pPr>
        <w:spacing w:line="400" w:lineRule="exact"/>
        <w:jc w:val="center"/>
        <w:rPr>
          <w:rFonts w:hint="eastAsia" w:ascii="宋体" w:hAnsi="宋体" w:cs="宋体"/>
          <w:b/>
          <w:bCs/>
          <w:sz w:val="32"/>
          <w:szCs w:val="32"/>
        </w:rPr>
      </w:pPr>
    </w:p>
    <w:p>
      <w:pPr>
        <w:jc w:val="center"/>
        <w:rPr>
          <w:rFonts w:hint="eastAsia" w:ascii="宋体" w:hAnsi="宋体" w:cs="宋体"/>
          <w:spacing w:val="40"/>
          <w:sz w:val="30"/>
          <w:szCs w:val="30"/>
        </w:rPr>
      </w:pPr>
    </w:p>
    <w:p>
      <w:pPr>
        <w:jc w:val="center"/>
        <w:rPr>
          <w:rFonts w:hint="eastAsia" w:ascii="宋体" w:hAnsi="宋体" w:cs="宋体"/>
          <w:spacing w:val="40"/>
          <w:sz w:val="30"/>
          <w:szCs w:val="30"/>
        </w:rPr>
      </w:pPr>
    </w:p>
    <w:p>
      <w:pPr>
        <w:jc w:val="center"/>
        <w:rPr>
          <w:rFonts w:hint="eastAsia" w:ascii="宋体" w:hAnsi="宋体" w:cs="宋体"/>
          <w:spacing w:val="40"/>
          <w:sz w:val="30"/>
          <w:szCs w:val="30"/>
        </w:rPr>
      </w:pPr>
    </w:p>
    <w:tbl>
      <w:tblPr>
        <w:tblStyle w:val="51"/>
        <w:tblW w:w="0" w:type="auto"/>
        <w:tblInd w:w="2235" w:type="dxa"/>
        <w:tblLayout w:type="fixed"/>
        <w:tblCellMar>
          <w:top w:w="0" w:type="dxa"/>
          <w:left w:w="108" w:type="dxa"/>
          <w:bottom w:w="0" w:type="dxa"/>
          <w:right w:w="108" w:type="dxa"/>
        </w:tblCellMar>
      </w:tblPr>
      <w:tblGrid>
        <w:gridCol w:w="1559"/>
        <w:gridCol w:w="3685"/>
      </w:tblGrid>
      <w:tr>
        <w:tblPrEx>
          <w:tblCellMar>
            <w:top w:w="0" w:type="dxa"/>
            <w:left w:w="108" w:type="dxa"/>
            <w:bottom w:w="0" w:type="dxa"/>
            <w:right w:w="108" w:type="dxa"/>
          </w:tblCellMar>
        </w:tblPrEx>
        <w:trPr>
          <w:wBefore w:w="0" w:type="dxa"/>
          <w:wAfter w:w="0" w:type="dxa"/>
          <w:trHeight w:val="453" w:hRule="atLeast"/>
        </w:trPr>
        <w:tc>
          <w:tcPr>
            <w:tcW w:w="1559" w:type="dxa"/>
            <w:noWrap w:val="0"/>
            <w:vAlign w:val="center"/>
          </w:tcPr>
          <w:p>
            <w:pPr>
              <w:rPr>
                <w:rFonts w:hint="eastAsia" w:ascii="宋体" w:hAnsi="宋体" w:cs="宋体"/>
                <w:b/>
                <w:sz w:val="28"/>
                <w:szCs w:val="28"/>
              </w:rPr>
            </w:pPr>
            <w:r>
              <w:rPr>
                <w:rFonts w:hint="eastAsia" w:ascii="宋体" w:hAnsi="宋体" w:cs="宋体"/>
                <w:b/>
                <w:sz w:val="28"/>
                <w:szCs w:val="28"/>
              </w:rPr>
              <w:t>项目编号：</w:t>
            </w:r>
          </w:p>
        </w:tc>
        <w:tc>
          <w:tcPr>
            <w:tcW w:w="3685" w:type="dxa"/>
            <w:noWrap w:val="0"/>
            <w:vAlign w:val="center"/>
          </w:tcPr>
          <w:p>
            <w:pPr>
              <w:rPr>
                <w:rFonts w:ascii="宋体" w:hAnsi="宋体" w:cs="宋体"/>
                <w:b/>
                <w:sz w:val="28"/>
                <w:szCs w:val="28"/>
              </w:rPr>
            </w:pPr>
            <w:r>
              <w:rPr>
                <w:rFonts w:hint="eastAsia" w:ascii="宋体" w:hAnsi="宋体" w:cs="宋体"/>
                <w:b/>
                <w:sz w:val="28"/>
                <w:szCs w:val="28"/>
              </w:rPr>
              <w:t>Z-GBLC20221109006</w:t>
            </w:r>
          </w:p>
        </w:tc>
      </w:tr>
      <w:tr>
        <w:tblPrEx>
          <w:tblCellMar>
            <w:top w:w="0" w:type="dxa"/>
            <w:left w:w="108" w:type="dxa"/>
            <w:bottom w:w="0" w:type="dxa"/>
            <w:right w:w="108" w:type="dxa"/>
          </w:tblCellMar>
        </w:tblPrEx>
        <w:trPr>
          <w:wBefore w:w="0" w:type="dxa"/>
          <w:wAfter w:w="0" w:type="dxa"/>
          <w:trHeight w:val="453" w:hRule="atLeast"/>
        </w:trPr>
        <w:tc>
          <w:tcPr>
            <w:tcW w:w="1559" w:type="dxa"/>
            <w:noWrap w:val="0"/>
            <w:vAlign w:val="center"/>
          </w:tcPr>
          <w:p>
            <w:pPr>
              <w:rPr>
                <w:rFonts w:hint="eastAsia" w:ascii="宋体" w:hAnsi="宋体" w:cs="宋体"/>
                <w:b/>
                <w:sz w:val="28"/>
                <w:szCs w:val="28"/>
              </w:rPr>
            </w:pPr>
            <w:r>
              <w:rPr>
                <w:rFonts w:hint="eastAsia" w:ascii="宋体" w:hAnsi="宋体" w:cs="宋体"/>
                <w:b/>
                <w:sz w:val="28"/>
                <w:szCs w:val="28"/>
              </w:rPr>
              <w:t>项目名称：</w:t>
            </w:r>
          </w:p>
        </w:tc>
        <w:tc>
          <w:tcPr>
            <w:tcW w:w="3685" w:type="dxa"/>
            <w:noWrap w:val="0"/>
            <w:vAlign w:val="center"/>
          </w:tcPr>
          <w:p>
            <w:pPr>
              <w:rPr>
                <w:rFonts w:hint="eastAsia" w:ascii="宋体" w:hAnsi="宋体" w:cs="宋体"/>
                <w:b/>
                <w:sz w:val="28"/>
                <w:szCs w:val="28"/>
              </w:rPr>
            </w:pPr>
            <w:r>
              <w:rPr>
                <w:rFonts w:hint="eastAsia" w:ascii="宋体" w:hAnsi="宋体" w:cs="宋体"/>
                <w:b/>
                <w:sz w:val="28"/>
                <w:szCs w:val="28"/>
              </w:rPr>
              <w:t>温州市公安局鹿城区双屿***业务技术用房办公家具采购</w:t>
            </w:r>
          </w:p>
        </w:tc>
      </w:tr>
      <w:tr>
        <w:tblPrEx>
          <w:tblCellMar>
            <w:top w:w="0" w:type="dxa"/>
            <w:left w:w="108" w:type="dxa"/>
            <w:bottom w:w="0" w:type="dxa"/>
            <w:right w:w="108" w:type="dxa"/>
          </w:tblCellMar>
        </w:tblPrEx>
        <w:trPr>
          <w:wBefore w:w="0" w:type="dxa"/>
          <w:wAfter w:w="0" w:type="dxa"/>
          <w:trHeight w:val="453" w:hRule="atLeast"/>
        </w:trPr>
        <w:tc>
          <w:tcPr>
            <w:tcW w:w="1559" w:type="dxa"/>
            <w:noWrap w:val="0"/>
            <w:vAlign w:val="center"/>
          </w:tcPr>
          <w:p>
            <w:pPr>
              <w:rPr>
                <w:rFonts w:hint="eastAsia" w:ascii="宋体" w:hAnsi="宋体" w:cs="宋体"/>
                <w:b/>
                <w:sz w:val="28"/>
                <w:szCs w:val="28"/>
              </w:rPr>
            </w:pPr>
            <w:r>
              <w:rPr>
                <w:rFonts w:hint="eastAsia" w:ascii="宋体" w:hAnsi="宋体" w:cs="宋体"/>
                <w:b/>
                <w:sz w:val="28"/>
                <w:szCs w:val="28"/>
              </w:rPr>
              <w:t>采购方式：</w:t>
            </w:r>
          </w:p>
        </w:tc>
        <w:tc>
          <w:tcPr>
            <w:tcW w:w="3685" w:type="dxa"/>
            <w:noWrap w:val="0"/>
            <w:vAlign w:val="center"/>
          </w:tcPr>
          <w:p>
            <w:pPr>
              <w:rPr>
                <w:rFonts w:hint="eastAsia" w:ascii="宋体" w:hAnsi="宋体" w:cs="宋体"/>
                <w:b/>
                <w:sz w:val="28"/>
                <w:szCs w:val="28"/>
              </w:rPr>
            </w:pPr>
            <w:r>
              <w:rPr>
                <w:rFonts w:hint="eastAsia" w:ascii="宋体" w:hAnsi="宋体" w:cs="宋体"/>
                <w:b/>
                <w:sz w:val="28"/>
                <w:szCs w:val="28"/>
              </w:rPr>
              <w:t>竞争性磋商</w:t>
            </w:r>
          </w:p>
        </w:tc>
      </w:tr>
    </w:tbl>
    <w:p>
      <w:pPr>
        <w:spacing w:line="600" w:lineRule="exact"/>
        <w:rPr>
          <w:rFonts w:hint="eastAsia" w:ascii="宋体" w:hAnsi="宋体" w:cs="宋体"/>
          <w:b/>
          <w:sz w:val="30"/>
          <w:szCs w:val="30"/>
        </w:rPr>
      </w:pPr>
    </w:p>
    <w:p>
      <w:pPr>
        <w:spacing w:line="600" w:lineRule="exact"/>
        <w:ind w:firstLine="904" w:firstLineChars="300"/>
        <w:jc w:val="center"/>
        <w:rPr>
          <w:rFonts w:hint="eastAsia" w:ascii="宋体" w:hAnsi="宋体" w:cs="宋体"/>
          <w:b/>
          <w:sz w:val="30"/>
          <w:szCs w:val="30"/>
        </w:rPr>
      </w:pPr>
    </w:p>
    <w:p>
      <w:pPr>
        <w:spacing w:line="600" w:lineRule="exact"/>
        <w:jc w:val="center"/>
        <w:outlineLvl w:val="0"/>
        <w:rPr>
          <w:rFonts w:hint="eastAsia" w:ascii="宋体" w:hAnsi="宋体" w:cs="宋体"/>
          <w:b/>
          <w:sz w:val="30"/>
          <w:szCs w:val="30"/>
        </w:rPr>
      </w:pPr>
      <w:bookmarkStart w:id="2" w:name="_Toc6995"/>
      <w:r>
        <w:rPr>
          <w:rFonts w:hint="eastAsia" w:ascii="宋体" w:hAnsi="宋体" w:cs="宋体"/>
          <w:b/>
          <w:sz w:val="30"/>
          <w:szCs w:val="30"/>
        </w:rPr>
        <w:t>采购代理机构: 温州市公共资源交易中心鹿城分中心</w:t>
      </w:r>
      <w:bookmarkEnd w:id="2"/>
    </w:p>
    <w:p>
      <w:pPr>
        <w:spacing w:line="600" w:lineRule="exact"/>
        <w:rPr>
          <w:rFonts w:hint="eastAsia" w:ascii="宋体" w:hAnsi="宋体" w:cs="宋体"/>
          <w:b/>
          <w:sz w:val="30"/>
          <w:szCs w:val="30"/>
        </w:rPr>
        <w:sectPr>
          <w:footerReference r:id="rId5" w:type="first"/>
          <w:footerReference r:id="rId3" w:type="default"/>
          <w:footerReference r:id="rId4" w:type="even"/>
          <w:pgSz w:w="11906" w:h="16838"/>
          <w:pgMar w:top="1134" w:right="1134" w:bottom="1134" w:left="1134" w:header="851" w:footer="992" w:gutter="0"/>
          <w:pgNumType w:start="0"/>
          <w:cols w:space="720" w:num="1"/>
          <w:docGrid w:linePitch="312" w:charSpace="0"/>
        </w:sectPr>
      </w:pPr>
    </w:p>
    <w:p>
      <w:pPr>
        <w:spacing w:line="360" w:lineRule="auto"/>
        <w:rPr>
          <w:rFonts w:hint="eastAsia" w:ascii="宋体" w:hAnsi="宋体" w:cs="宋体"/>
          <w:b/>
          <w:sz w:val="22"/>
          <w:szCs w:val="22"/>
        </w:rPr>
      </w:pPr>
    </w:p>
    <w:p>
      <w:pPr>
        <w:jc w:val="center"/>
        <w:rPr>
          <w:rFonts w:hint="eastAsia" w:ascii="宋体" w:hAnsi="宋体" w:cs="宋体"/>
          <w:szCs w:val="21"/>
        </w:rPr>
      </w:pPr>
      <w:r>
        <w:rPr>
          <w:rFonts w:hint="eastAsia" w:ascii="宋体" w:hAnsi="宋体" w:cs="宋体"/>
          <w:szCs w:val="21"/>
        </w:rPr>
        <w:t xml:space="preserve">                        </w:t>
      </w:r>
    </w:p>
    <w:p>
      <w:pPr>
        <w:jc w:val="center"/>
        <w:outlineLvl w:val="0"/>
        <w:rPr>
          <w:rFonts w:hint="eastAsia" w:ascii="宋体" w:hAnsi="宋体" w:cs="宋体"/>
          <w:b/>
          <w:bCs/>
          <w:sz w:val="36"/>
          <w:szCs w:val="36"/>
        </w:rPr>
      </w:pPr>
      <w:bookmarkStart w:id="3" w:name="_Toc11450"/>
      <w:r>
        <w:rPr>
          <w:rFonts w:hint="eastAsia" w:ascii="宋体" w:hAnsi="宋体" w:cs="宋体"/>
          <w:b/>
          <w:bCs/>
          <w:sz w:val="36"/>
          <w:szCs w:val="36"/>
        </w:rPr>
        <w:t>目    录</w:t>
      </w:r>
      <w:bookmarkEnd w:id="3"/>
    </w:p>
    <w:p>
      <w:pPr>
        <w:pStyle w:val="449"/>
        <w:tabs>
          <w:tab w:val="right" w:leader="dot" w:pos="9638"/>
        </w:tabs>
        <w:rPr>
          <w:highlight w:val="yellow"/>
        </w:rPr>
      </w:pPr>
      <w:r>
        <w:rPr>
          <w:rFonts w:hint="eastAsia" w:ascii="宋体" w:hAnsi="宋体" w:cs="宋体"/>
          <w:b/>
          <w:bCs/>
          <w:szCs w:val="21"/>
          <w:highlight w:val="yellow"/>
        </w:rPr>
        <w:fldChar w:fldCharType="begin"/>
      </w:r>
      <w:r>
        <w:rPr>
          <w:rFonts w:hint="eastAsia" w:ascii="宋体" w:hAnsi="宋体" w:cs="宋体"/>
          <w:b/>
          <w:bCs/>
          <w:szCs w:val="21"/>
          <w:highlight w:val="yellow"/>
        </w:rPr>
        <w:instrText xml:space="preserve">TOC \o "1-1" \h \u </w:instrText>
      </w:r>
      <w:r>
        <w:rPr>
          <w:rFonts w:hint="eastAsia" w:ascii="宋体" w:hAnsi="宋体" w:cs="宋体"/>
          <w:b/>
          <w:bCs/>
          <w:szCs w:val="21"/>
          <w:highlight w:val="yellow"/>
        </w:rPr>
        <w:fldChar w:fldCharType="separate"/>
      </w:r>
    </w:p>
    <w:p>
      <w:pPr>
        <w:pStyle w:val="449"/>
        <w:tabs>
          <w:tab w:val="right" w:leader="dot" w:pos="9638"/>
        </w:tabs>
        <w:spacing w:line="480" w:lineRule="auto"/>
        <w:rPr>
          <w:rFonts w:hint="eastAsia" w:ascii="宋体" w:hAnsi="宋体" w:cs="宋体"/>
          <w:sz w:val="24"/>
          <w:szCs w:val="24"/>
        </w:rPr>
      </w:pPr>
      <w:r>
        <w:rPr>
          <w:rFonts w:hint="eastAsia" w:ascii="宋体" w:hAnsi="宋体" w:cs="宋体"/>
          <w:bCs/>
          <w:sz w:val="24"/>
          <w:szCs w:val="24"/>
        </w:rPr>
        <w:fldChar w:fldCharType="begin"/>
      </w:r>
      <w:r>
        <w:rPr>
          <w:rFonts w:hint="eastAsia" w:ascii="宋体" w:hAnsi="宋体" w:cs="宋体"/>
          <w:bCs/>
          <w:sz w:val="24"/>
          <w:szCs w:val="24"/>
        </w:rPr>
        <w:instrText xml:space="preserve"> HYPERLINK \l _Toc5635 </w:instrText>
      </w:r>
      <w:r>
        <w:rPr>
          <w:rFonts w:hint="eastAsia" w:ascii="宋体" w:hAnsi="宋体" w:cs="宋体"/>
          <w:bCs/>
          <w:sz w:val="24"/>
          <w:szCs w:val="24"/>
        </w:rPr>
        <w:fldChar w:fldCharType="separate"/>
      </w:r>
      <w:r>
        <w:rPr>
          <w:rFonts w:hint="eastAsia" w:ascii="宋体" w:hAnsi="宋体" w:cs="宋体"/>
          <w:bCs/>
          <w:sz w:val="24"/>
          <w:szCs w:val="24"/>
        </w:rPr>
        <w:t>第一部分    采购公告</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_Toc5635 \h </w:instrText>
      </w:r>
      <w:r>
        <w:rPr>
          <w:rFonts w:hint="eastAsia" w:ascii="宋体" w:hAnsi="宋体" w:cs="宋体"/>
          <w:sz w:val="24"/>
          <w:szCs w:val="24"/>
        </w:rPr>
        <w:fldChar w:fldCharType="separate"/>
      </w:r>
      <w:r>
        <w:rPr>
          <w:rFonts w:hint="eastAsia" w:ascii="宋体" w:hAnsi="宋体" w:cs="宋体"/>
          <w:sz w:val="24"/>
          <w:szCs w:val="24"/>
        </w:rPr>
        <w:t>2</w:t>
      </w:r>
      <w:r>
        <w:rPr>
          <w:rFonts w:hint="eastAsia" w:ascii="宋体" w:hAnsi="宋体" w:cs="宋体"/>
          <w:sz w:val="24"/>
          <w:szCs w:val="24"/>
        </w:rPr>
        <w:fldChar w:fldCharType="end"/>
      </w:r>
      <w:r>
        <w:rPr>
          <w:rFonts w:hint="eastAsia" w:ascii="宋体" w:hAnsi="宋体" w:cs="宋体"/>
          <w:bCs/>
          <w:sz w:val="24"/>
          <w:szCs w:val="24"/>
        </w:rPr>
        <w:fldChar w:fldCharType="end"/>
      </w:r>
    </w:p>
    <w:p>
      <w:pPr>
        <w:pStyle w:val="449"/>
        <w:tabs>
          <w:tab w:val="right" w:leader="dot" w:pos="9638"/>
        </w:tabs>
        <w:spacing w:line="480" w:lineRule="auto"/>
        <w:rPr>
          <w:rFonts w:hint="eastAsia" w:ascii="宋体" w:hAnsi="宋体" w:cs="宋体"/>
          <w:sz w:val="24"/>
          <w:szCs w:val="24"/>
        </w:rPr>
      </w:pPr>
      <w:r>
        <w:rPr>
          <w:rFonts w:hint="eastAsia" w:ascii="宋体" w:hAnsi="宋体" w:cs="宋体"/>
          <w:bCs/>
          <w:sz w:val="24"/>
          <w:szCs w:val="24"/>
        </w:rPr>
        <w:fldChar w:fldCharType="begin"/>
      </w:r>
      <w:r>
        <w:rPr>
          <w:rFonts w:hint="eastAsia" w:ascii="宋体" w:hAnsi="宋体" w:cs="宋体"/>
          <w:bCs/>
          <w:sz w:val="24"/>
          <w:szCs w:val="24"/>
        </w:rPr>
        <w:instrText xml:space="preserve"> HYPERLINK \l _Toc1753 </w:instrText>
      </w:r>
      <w:r>
        <w:rPr>
          <w:rFonts w:hint="eastAsia" w:ascii="宋体" w:hAnsi="宋体" w:cs="宋体"/>
          <w:bCs/>
          <w:sz w:val="24"/>
          <w:szCs w:val="24"/>
        </w:rPr>
        <w:fldChar w:fldCharType="separate"/>
      </w:r>
      <w:r>
        <w:rPr>
          <w:rFonts w:hint="eastAsia" w:ascii="宋体" w:hAnsi="宋体" w:cs="宋体"/>
          <w:bCs/>
          <w:sz w:val="24"/>
          <w:szCs w:val="24"/>
        </w:rPr>
        <w:t>第二部分 磋商供应商须知前附表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_Toc1753 \h </w:instrText>
      </w:r>
      <w:r>
        <w:rPr>
          <w:rFonts w:hint="eastAsia" w:ascii="宋体" w:hAnsi="宋体" w:cs="宋体"/>
          <w:sz w:val="24"/>
          <w:szCs w:val="24"/>
        </w:rPr>
        <w:fldChar w:fldCharType="separate"/>
      </w:r>
      <w:r>
        <w:rPr>
          <w:rFonts w:hint="eastAsia" w:ascii="宋体" w:hAnsi="宋体" w:cs="宋体"/>
          <w:sz w:val="24"/>
          <w:szCs w:val="24"/>
        </w:rPr>
        <w:t>5</w:t>
      </w:r>
      <w:r>
        <w:rPr>
          <w:rFonts w:hint="eastAsia" w:ascii="宋体" w:hAnsi="宋体" w:cs="宋体"/>
          <w:sz w:val="24"/>
          <w:szCs w:val="24"/>
        </w:rPr>
        <w:fldChar w:fldCharType="end"/>
      </w:r>
      <w:r>
        <w:rPr>
          <w:rFonts w:hint="eastAsia" w:ascii="宋体" w:hAnsi="宋体" w:cs="宋体"/>
          <w:bCs/>
          <w:sz w:val="24"/>
          <w:szCs w:val="24"/>
        </w:rPr>
        <w:fldChar w:fldCharType="end"/>
      </w:r>
    </w:p>
    <w:p>
      <w:pPr>
        <w:pStyle w:val="449"/>
        <w:tabs>
          <w:tab w:val="right" w:leader="dot" w:pos="9638"/>
        </w:tabs>
        <w:spacing w:line="480" w:lineRule="auto"/>
        <w:rPr>
          <w:rFonts w:hint="eastAsia" w:ascii="宋体" w:hAnsi="宋体" w:cs="宋体"/>
          <w:sz w:val="24"/>
          <w:szCs w:val="24"/>
        </w:rPr>
      </w:pPr>
      <w:r>
        <w:rPr>
          <w:rFonts w:hint="eastAsia" w:ascii="宋体" w:hAnsi="宋体" w:cs="宋体"/>
          <w:bCs/>
          <w:sz w:val="24"/>
          <w:szCs w:val="24"/>
        </w:rPr>
        <w:fldChar w:fldCharType="begin"/>
      </w:r>
      <w:r>
        <w:rPr>
          <w:rFonts w:hint="eastAsia" w:ascii="宋体" w:hAnsi="宋体" w:cs="宋体"/>
          <w:bCs/>
          <w:sz w:val="24"/>
          <w:szCs w:val="24"/>
        </w:rPr>
        <w:instrText xml:space="preserve"> HYPERLINK \l _Toc1724 </w:instrText>
      </w:r>
      <w:r>
        <w:rPr>
          <w:rFonts w:hint="eastAsia" w:ascii="宋体" w:hAnsi="宋体" w:cs="宋体"/>
          <w:bCs/>
          <w:sz w:val="24"/>
          <w:szCs w:val="24"/>
        </w:rPr>
        <w:fldChar w:fldCharType="separate"/>
      </w:r>
      <w:r>
        <w:rPr>
          <w:rFonts w:hint="eastAsia" w:ascii="宋体" w:hAnsi="宋体" w:cs="宋体"/>
          <w:bCs/>
          <w:sz w:val="24"/>
          <w:szCs w:val="24"/>
        </w:rPr>
        <w:t>第三部分 磋商供应商须知</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_Toc1724 \h </w:instrText>
      </w:r>
      <w:r>
        <w:rPr>
          <w:rFonts w:hint="eastAsia" w:ascii="宋体" w:hAnsi="宋体" w:cs="宋体"/>
          <w:sz w:val="24"/>
          <w:szCs w:val="24"/>
        </w:rPr>
        <w:fldChar w:fldCharType="separate"/>
      </w:r>
      <w:r>
        <w:rPr>
          <w:rFonts w:hint="eastAsia" w:ascii="宋体" w:hAnsi="宋体" w:cs="宋体"/>
          <w:sz w:val="24"/>
          <w:szCs w:val="24"/>
        </w:rPr>
        <w:t>9</w:t>
      </w:r>
      <w:r>
        <w:rPr>
          <w:rFonts w:hint="eastAsia" w:ascii="宋体" w:hAnsi="宋体" w:cs="宋体"/>
          <w:sz w:val="24"/>
          <w:szCs w:val="24"/>
        </w:rPr>
        <w:fldChar w:fldCharType="end"/>
      </w:r>
      <w:r>
        <w:rPr>
          <w:rFonts w:hint="eastAsia" w:ascii="宋体" w:hAnsi="宋体" w:cs="宋体"/>
          <w:bCs/>
          <w:sz w:val="24"/>
          <w:szCs w:val="24"/>
        </w:rPr>
        <w:fldChar w:fldCharType="end"/>
      </w:r>
    </w:p>
    <w:p>
      <w:pPr>
        <w:pStyle w:val="449"/>
        <w:tabs>
          <w:tab w:val="right" w:leader="dot" w:pos="9638"/>
        </w:tabs>
        <w:spacing w:line="480" w:lineRule="auto"/>
        <w:rPr>
          <w:rFonts w:hint="eastAsia" w:ascii="宋体" w:hAnsi="宋体" w:cs="宋体"/>
          <w:sz w:val="24"/>
          <w:szCs w:val="24"/>
        </w:rPr>
      </w:pPr>
      <w:r>
        <w:rPr>
          <w:rFonts w:hint="eastAsia" w:ascii="宋体" w:hAnsi="宋体" w:cs="宋体"/>
          <w:bCs/>
          <w:sz w:val="24"/>
          <w:szCs w:val="24"/>
        </w:rPr>
        <w:fldChar w:fldCharType="begin"/>
      </w:r>
      <w:r>
        <w:rPr>
          <w:rFonts w:hint="eastAsia" w:ascii="宋体" w:hAnsi="宋体" w:cs="宋体"/>
          <w:bCs/>
          <w:sz w:val="24"/>
          <w:szCs w:val="24"/>
        </w:rPr>
        <w:instrText xml:space="preserve"> HYPERLINK \l _Toc24974 </w:instrText>
      </w:r>
      <w:r>
        <w:rPr>
          <w:rFonts w:hint="eastAsia" w:ascii="宋体" w:hAnsi="宋体" w:cs="宋体"/>
          <w:bCs/>
          <w:sz w:val="24"/>
          <w:szCs w:val="24"/>
        </w:rPr>
        <w:fldChar w:fldCharType="separate"/>
      </w:r>
      <w:r>
        <w:rPr>
          <w:rFonts w:hint="eastAsia" w:ascii="宋体" w:hAnsi="宋体" w:cs="宋体"/>
          <w:bCs/>
          <w:sz w:val="24"/>
          <w:szCs w:val="24"/>
        </w:rPr>
        <w:t>第四部分   磋商原则及方法</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_Toc24974 \h </w:instrText>
      </w:r>
      <w:r>
        <w:rPr>
          <w:rFonts w:hint="eastAsia" w:ascii="宋体" w:hAnsi="宋体" w:cs="宋体"/>
          <w:sz w:val="24"/>
          <w:szCs w:val="24"/>
        </w:rPr>
        <w:fldChar w:fldCharType="separate"/>
      </w:r>
      <w:r>
        <w:rPr>
          <w:rFonts w:hint="eastAsia" w:ascii="宋体" w:hAnsi="宋体" w:cs="宋体"/>
          <w:sz w:val="24"/>
          <w:szCs w:val="24"/>
        </w:rPr>
        <w:t>16</w:t>
      </w:r>
      <w:r>
        <w:rPr>
          <w:rFonts w:hint="eastAsia" w:ascii="宋体" w:hAnsi="宋体" w:cs="宋体"/>
          <w:sz w:val="24"/>
          <w:szCs w:val="24"/>
        </w:rPr>
        <w:fldChar w:fldCharType="end"/>
      </w:r>
      <w:r>
        <w:rPr>
          <w:rFonts w:hint="eastAsia" w:ascii="宋体" w:hAnsi="宋体" w:cs="宋体"/>
          <w:bCs/>
          <w:sz w:val="24"/>
          <w:szCs w:val="24"/>
        </w:rPr>
        <w:fldChar w:fldCharType="end"/>
      </w:r>
    </w:p>
    <w:p>
      <w:pPr>
        <w:pStyle w:val="449"/>
        <w:tabs>
          <w:tab w:val="right" w:leader="dot" w:pos="9638"/>
        </w:tabs>
        <w:spacing w:line="480" w:lineRule="auto"/>
        <w:rPr>
          <w:rFonts w:hint="eastAsia" w:ascii="宋体" w:hAnsi="宋体" w:cs="宋体"/>
          <w:sz w:val="24"/>
          <w:szCs w:val="24"/>
        </w:rPr>
      </w:pPr>
      <w:r>
        <w:rPr>
          <w:rFonts w:hint="eastAsia" w:ascii="宋体" w:hAnsi="宋体" w:cs="宋体"/>
          <w:bCs/>
          <w:sz w:val="24"/>
          <w:szCs w:val="24"/>
        </w:rPr>
        <w:fldChar w:fldCharType="begin"/>
      </w:r>
      <w:r>
        <w:rPr>
          <w:rFonts w:hint="eastAsia" w:ascii="宋体" w:hAnsi="宋体" w:cs="宋体"/>
          <w:bCs/>
          <w:sz w:val="24"/>
          <w:szCs w:val="24"/>
        </w:rPr>
        <w:instrText xml:space="preserve"> HYPERLINK \l _Toc3328 </w:instrText>
      </w:r>
      <w:r>
        <w:rPr>
          <w:rFonts w:hint="eastAsia" w:ascii="宋体" w:hAnsi="宋体" w:cs="宋体"/>
          <w:bCs/>
          <w:sz w:val="24"/>
          <w:szCs w:val="24"/>
        </w:rPr>
        <w:fldChar w:fldCharType="separate"/>
      </w:r>
      <w:r>
        <w:rPr>
          <w:rFonts w:hint="eastAsia" w:ascii="宋体" w:hAnsi="宋体" w:cs="宋体"/>
          <w:bCs/>
          <w:sz w:val="24"/>
          <w:szCs w:val="24"/>
        </w:rPr>
        <w:t>第五部分   采购需求</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_Toc3328 \h </w:instrText>
      </w:r>
      <w:r>
        <w:rPr>
          <w:rFonts w:hint="eastAsia" w:ascii="宋体" w:hAnsi="宋体" w:cs="宋体"/>
          <w:sz w:val="24"/>
          <w:szCs w:val="24"/>
        </w:rPr>
        <w:fldChar w:fldCharType="separate"/>
      </w:r>
      <w:r>
        <w:rPr>
          <w:rFonts w:hint="eastAsia" w:ascii="宋体" w:hAnsi="宋体" w:cs="宋体"/>
          <w:sz w:val="24"/>
          <w:szCs w:val="24"/>
        </w:rPr>
        <w:t>26</w:t>
      </w:r>
      <w:r>
        <w:rPr>
          <w:rFonts w:hint="eastAsia" w:ascii="宋体" w:hAnsi="宋体" w:cs="宋体"/>
          <w:sz w:val="24"/>
          <w:szCs w:val="24"/>
        </w:rPr>
        <w:fldChar w:fldCharType="end"/>
      </w:r>
      <w:r>
        <w:rPr>
          <w:rFonts w:hint="eastAsia" w:ascii="宋体" w:hAnsi="宋体" w:cs="宋体"/>
          <w:bCs/>
          <w:sz w:val="24"/>
          <w:szCs w:val="24"/>
        </w:rPr>
        <w:fldChar w:fldCharType="end"/>
      </w:r>
    </w:p>
    <w:p>
      <w:pPr>
        <w:pStyle w:val="449"/>
        <w:tabs>
          <w:tab w:val="right" w:leader="dot" w:pos="9638"/>
        </w:tabs>
        <w:spacing w:line="480" w:lineRule="auto"/>
        <w:rPr>
          <w:rFonts w:hint="eastAsia" w:ascii="宋体" w:hAnsi="宋体" w:cs="宋体"/>
          <w:sz w:val="24"/>
          <w:szCs w:val="24"/>
        </w:rPr>
      </w:pPr>
      <w:r>
        <w:rPr>
          <w:rFonts w:hint="eastAsia" w:ascii="宋体" w:hAnsi="宋体" w:cs="宋体"/>
          <w:bCs/>
          <w:sz w:val="24"/>
          <w:szCs w:val="24"/>
        </w:rPr>
        <w:fldChar w:fldCharType="begin"/>
      </w:r>
      <w:r>
        <w:rPr>
          <w:rFonts w:hint="eastAsia" w:ascii="宋体" w:hAnsi="宋体" w:cs="宋体"/>
          <w:bCs/>
          <w:sz w:val="24"/>
          <w:szCs w:val="24"/>
        </w:rPr>
        <w:instrText xml:space="preserve"> HYPERLINK \l _Toc9015 </w:instrText>
      </w:r>
      <w:r>
        <w:rPr>
          <w:rFonts w:hint="eastAsia" w:ascii="宋体" w:hAnsi="宋体" w:cs="宋体"/>
          <w:bCs/>
          <w:sz w:val="24"/>
          <w:szCs w:val="24"/>
        </w:rPr>
        <w:fldChar w:fldCharType="separate"/>
      </w:r>
      <w:r>
        <w:rPr>
          <w:rFonts w:hint="eastAsia" w:ascii="宋体" w:hAnsi="宋体" w:cs="宋体"/>
          <w:bCs/>
          <w:sz w:val="24"/>
          <w:szCs w:val="24"/>
        </w:rPr>
        <w:t>第六部分  合同主要条款</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_Toc9015 \h </w:instrText>
      </w:r>
      <w:r>
        <w:rPr>
          <w:rFonts w:hint="eastAsia" w:ascii="宋体" w:hAnsi="宋体" w:cs="宋体"/>
          <w:sz w:val="24"/>
          <w:szCs w:val="24"/>
        </w:rPr>
        <w:fldChar w:fldCharType="separate"/>
      </w:r>
      <w:r>
        <w:rPr>
          <w:rFonts w:hint="eastAsia" w:ascii="宋体" w:hAnsi="宋体" w:cs="宋体"/>
          <w:sz w:val="24"/>
          <w:szCs w:val="24"/>
        </w:rPr>
        <w:t>72</w:t>
      </w:r>
      <w:r>
        <w:rPr>
          <w:rFonts w:hint="eastAsia" w:ascii="宋体" w:hAnsi="宋体" w:cs="宋体"/>
          <w:sz w:val="24"/>
          <w:szCs w:val="24"/>
        </w:rPr>
        <w:fldChar w:fldCharType="end"/>
      </w:r>
      <w:r>
        <w:rPr>
          <w:rFonts w:hint="eastAsia" w:ascii="宋体" w:hAnsi="宋体" w:cs="宋体"/>
          <w:bCs/>
          <w:sz w:val="24"/>
          <w:szCs w:val="24"/>
        </w:rPr>
        <w:fldChar w:fldCharType="end"/>
      </w:r>
    </w:p>
    <w:p>
      <w:pPr>
        <w:pStyle w:val="449"/>
        <w:tabs>
          <w:tab w:val="right" w:leader="dot" w:pos="9638"/>
        </w:tabs>
        <w:spacing w:line="480" w:lineRule="auto"/>
        <w:rPr>
          <w:rFonts w:hint="eastAsia" w:ascii="宋体" w:hAnsi="宋体" w:cs="宋体"/>
          <w:sz w:val="24"/>
          <w:szCs w:val="24"/>
        </w:rPr>
      </w:pPr>
      <w:r>
        <w:rPr>
          <w:rFonts w:hint="eastAsia" w:ascii="宋体" w:hAnsi="宋体" w:cs="宋体"/>
          <w:bCs/>
          <w:sz w:val="24"/>
          <w:szCs w:val="24"/>
        </w:rPr>
        <w:fldChar w:fldCharType="begin"/>
      </w:r>
      <w:r>
        <w:rPr>
          <w:rFonts w:hint="eastAsia" w:ascii="宋体" w:hAnsi="宋体" w:cs="宋体"/>
          <w:bCs/>
          <w:sz w:val="24"/>
          <w:szCs w:val="24"/>
        </w:rPr>
        <w:instrText xml:space="preserve"> HYPERLINK \l _Toc16634 </w:instrText>
      </w:r>
      <w:r>
        <w:rPr>
          <w:rFonts w:hint="eastAsia" w:ascii="宋体" w:hAnsi="宋体" w:cs="宋体"/>
          <w:bCs/>
          <w:sz w:val="24"/>
          <w:szCs w:val="24"/>
        </w:rPr>
        <w:fldChar w:fldCharType="separate"/>
      </w:r>
      <w:r>
        <w:rPr>
          <w:rFonts w:hint="eastAsia" w:ascii="宋体" w:hAnsi="宋体" w:cs="宋体"/>
          <w:bCs/>
          <w:sz w:val="24"/>
          <w:szCs w:val="24"/>
        </w:rPr>
        <w:t>第七部分    磋商响应文件格式附件</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_Toc16634 \h </w:instrText>
      </w:r>
      <w:r>
        <w:rPr>
          <w:rFonts w:hint="eastAsia" w:ascii="宋体" w:hAnsi="宋体" w:cs="宋体"/>
          <w:sz w:val="24"/>
          <w:szCs w:val="24"/>
        </w:rPr>
        <w:fldChar w:fldCharType="separate"/>
      </w:r>
      <w:r>
        <w:rPr>
          <w:rFonts w:hint="eastAsia" w:ascii="宋体" w:hAnsi="宋体" w:cs="宋体"/>
          <w:sz w:val="24"/>
          <w:szCs w:val="24"/>
        </w:rPr>
        <w:t>77</w:t>
      </w:r>
      <w:r>
        <w:rPr>
          <w:rFonts w:hint="eastAsia" w:ascii="宋体" w:hAnsi="宋体" w:cs="宋体"/>
          <w:sz w:val="24"/>
          <w:szCs w:val="24"/>
        </w:rPr>
        <w:fldChar w:fldCharType="end"/>
      </w:r>
      <w:r>
        <w:rPr>
          <w:rFonts w:hint="eastAsia" w:ascii="宋体" w:hAnsi="宋体" w:cs="宋体"/>
          <w:bCs/>
          <w:sz w:val="24"/>
          <w:szCs w:val="24"/>
        </w:rPr>
        <w:fldChar w:fldCharType="end"/>
      </w:r>
    </w:p>
    <w:p>
      <w:pPr>
        <w:spacing w:line="560" w:lineRule="exact"/>
        <w:jc w:val="left"/>
        <w:rPr>
          <w:rFonts w:hint="eastAsia" w:ascii="宋体" w:hAnsi="宋体" w:cs="宋体"/>
          <w:bCs/>
          <w:szCs w:val="21"/>
        </w:rPr>
      </w:pPr>
      <w:r>
        <w:rPr>
          <w:rFonts w:hint="eastAsia" w:ascii="宋体" w:hAnsi="宋体" w:cs="宋体"/>
          <w:bCs/>
          <w:szCs w:val="21"/>
          <w:highlight w:val="yellow"/>
        </w:rPr>
        <w:fldChar w:fldCharType="end"/>
      </w:r>
    </w:p>
    <w:p>
      <w:pPr>
        <w:spacing w:line="560" w:lineRule="exact"/>
        <w:ind w:firstLine="420" w:firstLineChars="200"/>
        <w:jc w:val="left"/>
        <w:rPr>
          <w:rFonts w:hint="eastAsia" w:ascii="宋体" w:hAnsi="宋体" w:cs="宋体"/>
          <w:b/>
          <w:bCs/>
          <w:szCs w:val="21"/>
        </w:rPr>
      </w:pPr>
      <w:r>
        <w:rPr>
          <w:rFonts w:hint="eastAsia" w:ascii="宋体" w:hAnsi="宋体" w:cs="宋体"/>
          <w:bCs/>
          <w:szCs w:val="21"/>
          <w:u w:val="single"/>
        </w:rPr>
        <w:t>注：▲本竞争性磋商文件正文内容共106页（页码编制1-106），竞争性磋商文件中部分标“▲”且加下划线部分，为磋商的实质性要求，着重提醒各磋商供应商必须响应。各磋商供应商必须认真阅读和理解竞争性磋商文件中的每一个条款及要求，因误读竞争性磋商文件而造成的后果，采购人及采购代理机构概不负责。</w:t>
      </w:r>
    </w:p>
    <w:p>
      <w:pPr>
        <w:spacing w:line="240" w:lineRule="atLeast"/>
        <w:jc w:val="center"/>
        <w:rPr>
          <w:rFonts w:hint="eastAsia" w:ascii="宋体" w:hAnsi="宋体" w:cs="宋体"/>
          <w:b/>
          <w:szCs w:val="21"/>
        </w:rPr>
      </w:pPr>
    </w:p>
    <w:p>
      <w:pPr>
        <w:spacing w:line="240" w:lineRule="atLeast"/>
        <w:jc w:val="center"/>
        <w:rPr>
          <w:rFonts w:hint="eastAsia" w:ascii="宋体" w:hAnsi="宋体" w:cs="宋体"/>
          <w:b/>
          <w:szCs w:val="21"/>
        </w:rPr>
      </w:pPr>
    </w:p>
    <w:p>
      <w:pPr>
        <w:spacing w:line="240" w:lineRule="atLeast"/>
        <w:jc w:val="center"/>
        <w:rPr>
          <w:rFonts w:hint="eastAsia" w:ascii="宋体" w:hAnsi="宋体" w:cs="宋体"/>
          <w:b/>
          <w:szCs w:val="21"/>
        </w:rPr>
      </w:pPr>
    </w:p>
    <w:p>
      <w:pPr>
        <w:spacing w:line="240" w:lineRule="atLeast"/>
        <w:jc w:val="center"/>
        <w:rPr>
          <w:rFonts w:hint="eastAsia" w:ascii="宋体" w:hAnsi="宋体" w:cs="宋体"/>
          <w:b/>
          <w:szCs w:val="21"/>
        </w:rPr>
      </w:pPr>
    </w:p>
    <w:p>
      <w:pPr>
        <w:spacing w:line="240" w:lineRule="atLeast"/>
        <w:jc w:val="center"/>
        <w:rPr>
          <w:rFonts w:hint="eastAsia" w:ascii="宋体" w:hAnsi="宋体" w:cs="宋体"/>
          <w:b/>
          <w:szCs w:val="21"/>
        </w:rPr>
      </w:pPr>
    </w:p>
    <w:p>
      <w:pPr>
        <w:spacing w:line="240" w:lineRule="atLeast"/>
        <w:jc w:val="center"/>
        <w:rPr>
          <w:rFonts w:hint="eastAsia" w:ascii="宋体" w:hAnsi="宋体" w:cs="宋体"/>
          <w:b/>
          <w:szCs w:val="21"/>
        </w:rPr>
      </w:pPr>
    </w:p>
    <w:p>
      <w:pPr>
        <w:spacing w:line="240" w:lineRule="atLeast"/>
        <w:jc w:val="center"/>
        <w:rPr>
          <w:rFonts w:hint="eastAsia" w:ascii="宋体" w:hAnsi="宋体" w:cs="宋体"/>
          <w:b/>
          <w:szCs w:val="21"/>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spacing w:line="500" w:lineRule="exact"/>
        <w:jc w:val="center"/>
        <w:outlineLvl w:val="0"/>
        <w:rPr>
          <w:rFonts w:hint="eastAsia" w:ascii="宋体" w:hAnsi="宋体" w:cs="宋体"/>
          <w:color w:val="000000"/>
          <w:kern w:val="0"/>
          <w:sz w:val="18"/>
          <w:szCs w:val="18"/>
        </w:rPr>
      </w:pPr>
      <w:bookmarkStart w:id="4" w:name="_Toc5635"/>
      <w:r>
        <w:rPr>
          <w:rFonts w:hint="eastAsia" w:ascii="宋体" w:hAnsi="宋体" w:cs="宋体"/>
          <w:b/>
          <w:bCs/>
          <w:sz w:val="36"/>
          <w:szCs w:val="36"/>
        </w:rPr>
        <w:t>第一部分    采购公告</w:t>
      </w:r>
      <w:bookmarkEnd w:id="4"/>
    </w:p>
    <w:p>
      <w:pPr>
        <w:pStyle w:val="46"/>
        <w:spacing w:before="0" w:beforeAutospacing="0" w:after="0" w:afterAutospacing="0"/>
        <w:rPr>
          <w:rFonts w:hint="default" w:cs="宋体"/>
        </w:rPr>
      </w:pPr>
      <w:r>
        <w:rPr>
          <w:rFonts w:cs="宋体"/>
        </w:rPr>
        <w:t>项目概况</w:t>
      </w:r>
    </w:p>
    <w:p>
      <w:pPr>
        <w:pStyle w:val="46"/>
        <w:spacing w:before="0" w:beforeAutospacing="0" w:after="0" w:afterAutospacing="0"/>
        <w:ind w:firstLine="480" w:firstLineChars="200"/>
        <w:rPr>
          <w:rFonts w:cs="宋体"/>
        </w:rPr>
      </w:pPr>
      <w:r>
        <w:rPr>
          <w:rStyle w:val="99"/>
          <w:rFonts w:cs="宋体"/>
        </w:rPr>
        <w:t>温州市公安局鹿城区双屿***业务技术用房办公家具采购</w:t>
      </w:r>
      <w:r>
        <w:rPr>
          <w:rFonts w:cs="宋体"/>
        </w:rPr>
        <w:t>采购项目的潜在供应商应在</w:t>
      </w:r>
      <w:r>
        <w:rPr>
          <w:rStyle w:val="99"/>
          <w:rFonts w:ascii="宋体" w:hAnsi="宋体" w:cs="宋体"/>
        </w:rPr>
        <w:t>浙江政府采购网</w:t>
      </w:r>
      <w:r>
        <w:rPr>
          <w:rFonts w:cs="宋体"/>
        </w:rPr>
        <w:t>获取（下载）采购文件，并于</w:t>
      </w:r>
      <w:r>
        <w:rPr>
          <w:rStyle w:val="99"/>
          <w:rFonts w:ascii="宋体" w:hAnsi="宋体" w:cs="宋体"/>
        </w:rPr>
        <w:t xml:space="preserve">2022年 </w:t>
      </w:r>
      <w:r>
        <w:rPr>
          <w:rStyle w:val="99"/>
          <w:rFonts w:cs="宋体"/>
        </w:rPr>
        <w:t xml:space="preserve">11 </w:t>
      </w:r>
      <w:r>
        <w:rPr>
          <w:rStyle w:val="99"/>
          <w:rFonts w:ascii="宋体" w:hAnsi="宋体" w:cs="宋体"/>
        </w:rPr>
        <w:t xml:space="preserve"> 月 </w:t>
      </w:r>
      <w:r>
        <w:rPr>
          <w:rStyle w:val="99"/>
          <w:rFonts w:cs="宋体"/>
        </w:rPr>
        <w:t>2</w:t>
      </w:r>
      <w:r>
        <w:rPr>
          <w:rStyle w:val="99"/>
          <w:rFonts w:hint="eastAsia" w:cs="宋体"/>
          <w:lang w:val="en-US" w:eastAsia="zh-CN"/>
        </w:rPr>
        <w:t>9</w:t>
      </w:r>
      <w:r>
        <w:rPr>
          <w:rStyle w:val="99"/>
          <w:rFonts w:cs="宋体"/>
        </w:rPr>
        <w:t xml:space="preserve"> </w:t>
      </w:r>
      <w:r>
        <w:rPr>
          <w:rStyle w:val="99"/>
          <w:rFonts w:ascii="宋体" w:hAnsi="宋体" w:cs="宋体"/>
        </w:rPr>
        <w:t xml:space="preserve"> 日 09:30</w:t>
      </w:r>
      <w:r>
        <w:rPr>
          <w:rFonts w:cs="宋体"/>
        </w:rPr>
        <w:t>（北京时间）前提交（上传）响应文件。                            </w:t>
      </w:r>
    </w:p>
    <w:p>
      <w:pPr>
        <w:pStyle w:val="46"/>
        <w:spacing w:before="0" w:beforeAutospacing="0" w:after="0" w:afterAutospacing="0"/>
        <w:jc w:val="both"/>
        <w:rPr>
          <w:rStyle w:val="55"/>
          <w:rFonts w:ascii="宋体" w:hAnsi="宋体" w:cs="宋体"/>
        </w:rPr>
      </w:pPr>
    </w:p>
    <w:p>
      <w:pPr>
        <w:pStyle w:val="46"/>
        <w:spacing w:before="0" w:beforeAutospacing="0" w:after="0" w:afterAutospacing="0"/>
        <w:jc w:val="both"/>
        <w:rPr>
          <w:rFonts w:cs="宋体"/>
        </w:rPr>
      </w:pPr>
      <w:r>
        <w:rPr>
          <w:rStyle w:val="55"/>
          <w:rFonts w:ascii="宋体" w:hAnsi="宋体" w:cs="宋体"/>
        </w:rPr>
        <w:t>一、项目基本情况</w:t>
      </w:r>
    </w:p>
    <w:p>
      <w:pPr>
        <w:pStyle w:val="46"/>
        <w:spacing w:before="0" w:beforeAutospacing="0" w:after="0" w:afterAutospacing="0"/>
        <w:ind w:firstLine="480" w:firstLineChars="200"/>
        <w:jc w:val="left"/>
        <w:rPr>
          <w:rFonts w:cs="宋体"/>
        </w:rPr>
      </w:pPr>
      <w:r>
        <w:rPr>
          <w:rFonts w:hint="eastAsia" w:cs="宋体"/>
        </w:rPr>
        <w:t>项目编号：Z-GBLC20221109006</w:t>
      </w:r>
    </w:p>
    <w:p>
      <w:pPr>
        <w:pStyle w:val="46"/>
        <w:spacing w:before="0" w:beforeAutospacing="0" w:after="0" w:afterAutospacing="0"/>
        <w:ind w:firstLine="480" w:firstLineChars="200"/>
        <w:jc w:val="left"/>
        <w:rPr>
          <w:rFonts w:hint="eastAsia" w:cs="宋体"/>
        </w:rPr>
      </w:pPr>
      <w:r>
        <w:rPr>
          <w:rFonts w:hint="eastAsia" w:cs="宋体"/>
        </w:rPr>
        <w:t>项目名称：温州市公安局鹿城区双屿***业务技术用房办公家具采购</w:t>
      </w:r>
    </w:p>
    <w:p>
      <w:pPr>
        <w:pStyle w:val="46"/>
        <w:spacing w:before="0" w:beforeAutospacing="0" w:after="0" w:afterAutospacing="0"/>
        <w:ind w:firstLine="480" w:firstLineChars="200"/>
        <w:jc w:val="left"/>
        <w:rPr>
          <w:rFonts w:hint="eastAsia" w:cs="宋体"/>
        </w:rPr>
      </w:pPr>
      <w:r>
        <w:rPr>
          <w:rFonts w:hint="eastAsia" w:cs="宋体"/>
        </w:rPr>
        <w:t>采购方式：竞争性磋商</w:t>
      </w:r>
    </w:p>
    <w:p>
      <w:pPr>
        <w:pStyle w:val="46"/>
        <w:spacing w:before="0" w:beforeAutospacing="0" w:after="0" w:afterAutospacing="0"/>
        <w:ind w:firstLine="480" w:firstLineChars="200"/>
        <w:jc w:val="left"/>
        <w:rPr>
          <w:rFonts w:hint="eastAsia" w:cs="宋体"/>
        </w:rPr>
      </w:pPr>
      <w:r>
        <w:rPr>
          <w:rFonts w:hint="eastAsia" w:cs="宋体"/>
        </w:rPr>
        <w:t>预算金额（元）：480000</w:t>
      </w:r>
    </w:p>
    <w:p>
      <w:pPr>
        <w:pStyle w:val="46"/>
        <w:spacing w:before="0" w:beforeAutospacing="0" w:after="0" w:afterAutospacing="0"/>
        <w:ind w:firstLine="480" w:firstLineChars="200"/>
        <w:jc w:val="left"/>
        <w:rPr>
          <w:rFonts w:hint="eastAsia" w:cs="宋体"/>
        </w:rPr>
      </w:pPr>
      <w:r>
        <w:rPr>
          <w:rFonts w:hint="eastAsia" w:cs="宋体"/>
        </w:rPr>
        <w:t>最高限价（元）：/</w:t>
      </w:r>
    </w:p>
    <w:p>
      <w:pPr>
        <w:pStyle w:val="46"/>
        <w:spacing w:before="0" w:beforeAutospacing="0" w:after="0" w:afterAutospacing="0"/>
        <w:ind w:firstLine="480" w:firstLineChars="200"/>
        <w:jc w:val="left"/>
        <w:rPr>
          <w:rFonts w:hint="eastAsia" w:cs="宋体"/>
        </w:rPr>
      </w:pPr>
      <w:r>
        <w:rPr>
          <w:rFonts w:hint="eastAsia" w:cs="宋体"/>
        </w:rPr>
        <w:t>采购需求：</w:t>
      </w:r>
    </w:p>
    <w:p>
      <w:pPr>
        <w:pStyle w:val="46"/>
        <w:spacing w:before="0" w:beforeAutospacing="0" w:after="0" w:afterAutospacing="0"/>
        <w:ind w:firstLine="480" w:firstLineChars="200"/>
        <w:jc w:val="left"/>
        <w:rPr>
          <w:rFonts w:hint="eastAsia" w:cs="宋体"/>
        </w:rPr>
      </w:pPr>
      <w:r>
        <w:rPr>
          <w:rFonts w:hint="eastAsia" w:cs="宋体"/>
          <w:lang w:val="en-US" w:eastAsia="zh-CN"/>
        </w:rPr>
        <w:br w:type="textWrapping"/>
      </w:r>
      <w:r>
        <w:rPr>
          <w:rFonts w:hint="eastAsia" w:cs="宋体"/>
          <w:lang w:val="en-US" w:eastAsia="zh-CN"/>
        </w:rPr>
        <w:t>   数量：不限</w:t>
      </w:r>
    </w:p>
    <w:p>
      <w:pPr>
        <w:pStyle w:val="46"/>
        <w:spacing w:before="0" w:beforeAutospacing="0" w:after="0" w:afterAutospacing="0"/>
        <w:ind w:firstLine="480" w:firstLineChars="200"/>
        <w:jc w:val="left"/>
        <w:rPr>
          <w:rFonts w:cs="宋体"/>
        </w:rPr>
      </w:pPr>
      <w:r>
        <w:rPr>
          <w:rFonts w:hint="eastAsia" w:cs="宋体"/>
        </w:rPr>
        <w:t>预算金额（元）：480000</w:t>
      </w:r>
    </w:p>
    <w:p>
      <w:pPr>
        <w:pStyle w:val="46"/>
        <w:spacing w:before="0" w:beforeAutospacing="0" w:after="0" w:afterAutospacing="0"/>
        <w:ind w:firstLine="480" w:firstLineChars="200"/>
        <w:jc w:val="left"/>
        <w:rPr>
          <w:rFonts w:cs="宋体"/>
        </w:rPr>
      </w:pPr>
      <w:r>
        <w:rPr>
          <w:rFonts w:hint="eastAsia" w:cs="宋体"/>
        </w:rPr>
        <w:t>单位：项</w:t>
      </w:r>
    </w:p>
    <w:p>
      <w:pPr>
        <w:pStyle w:val="46"/>
        <w:spacing w:before="0" w:beforeAutospacing="0" w:after="0" w:afterAutospacing="0"/>
        <w:ind w:firstLine="480" w:firstLineChars="200"/>
        <w:jc w:val="left"/>
        <w:rPr>
          <w:rFonts w:cs="宋体"/>
        </w:rPr>
      </w:pPr>
      <w:r>
        <w:rPr>
          <w:rFonts w:hint="eastAsia" w:cs="宋体"/>
        </w:rPr>
        <w:t>简要规格描述：办公家具采购，具体内容详见采购内容</w:t>
      </w:r>
    </w:p>
    <w:p>
      <w:pPr>
        <w:pStyle w:val="46"/>
        <w:spacing w:before="0" w:beforeAutospacing="0" w:after="0" w:afterAutospacing="0"/>
        <w:ind w:firstLine="480" w:firstLineChars="200"/>
        <w:jc w:val="left"/>
        <w:rPr>
          <w:rFonts w:cs="宋体"/>
        </w:rPr>
      </w:pPr>
      <w:r>
        <w:rPr>
          <w:rFonts w:hint="eastAsia" w:cs="宋体"/>
        </w:rPr>
        <w:t>备注：</w:t>
      </w:r>
    </w:p>
    <w:p>
      <w:pPr>
        <w:pStyle w:val="46"/>
        <w:spacing w:before="0" w:beforeAutospacing="0" w:after="0" w:afterAutospacing="0"/>
        <w:ind w:firstLine="480" w:firstLineChars="200"/>
        <w:jc w:val="left"/>
        <w:rPr>
          <w:rFonts w:hint="eastAsia" w:cs="宋体"/>
        </w:rPr>
      </w:pPr>
      <w:r>
        <w:rPr>
          <w:rFonts w:hint="eastAsia" w:cs="宋体"/>
        </w:rPr>
        <w:t>合同履约期限：标项 1，详见采购文件</w:t>
      </w:r>
    </w:p>
    <w:p>
      <w:pPr>
        <w:pStyle w:val="46"/>
        <w:spacing w:before="0" w:beforeAutospacing="0" w:after="0" w:afterAutospacing="0"/>
        <w:ind w:firstLine="480" w:firstLineChars="200"/>
        <w:jc w:val="left"/>
        <w:rPr>
          <w:rFonts w:cs="宋体"/>
        </w:rPr>
      </w:pPr>
      <w:r>
        <w:rPr>
          <w:rFonts w:hint="eastAsia" w:cs="宋体"/>
        </w:rPr>
        <w:t>本项目（否）接受联合体投标。</w:t>
      </w:r>
    </w:p>
    <w:p>
      <w:pPr>
        <w:pStyle w:val="46"/>
        <w:spacing w:before="0" w:beforeAutospacing="0" w:after="0" w:afterAutospacing="0"/>
        <w:jc w:val="both"/>
        <w:rPr>
          <w:rFonts w:cs="宋体"/>
        </w:rPr>
      </w:pPr>
      <w:r>
        <w:rPr>
          <w:rStyle w:val="55"/>
          <w:rFonts w:ascii="宋体" w:hAnsi="宋体" w:cs="宋体"/>
        </w:rPr>
        <w:t>二、申请人的资格要求：</w:t>
      </w:r>
    </w:p>
    <w:p>
      <w:pPr>
        <w:pStyle w:val="46"/>
        <w:spacing w:before="0" w:beforeAutospacing="0" w:after="0" w:afterAutospacing="0"/>
        <w:ind w:firstLine="480" w:firstLineChars="200"/>
        <w:jc w:val="left"/>
        <w:rPr>
          <w:rFonts w:hint="eastAsia" w:cs="宋体"/>
        </w:rPr>
      </w:pPr>
      <w:r>
        <w:rPr>
          <w:rFonts w:hint="eastAsia" w:cs="宋体"/>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46"/>
        <w:spacing w:before="0" w:beforeAutospacing="0" w:after="0" w:afterAutospacing="0"/>
        <w:ind w:firstLine="480" w:firstLineChars="200"/>
        <w:jc w:val="left"/>
        <w:rPr>
          <w:rFonts w:hint="eastAsia" w:cs="宋体"/>
        </w:rPr>
      </w:pPr>
      <w:r>
        <w:rPr>
          <w:rFonts w:hint="eastAsia" w:cs="宋体"/>
        </w:rPr>
        <w:t>2.落实政府采购政策需满足的资格要求：标项1：供应商为中小企业/小微企业 </w:t>
      </w:r>
    </w:p>
    <w:p>
      <w:pPr>
        <w:pStyle w:val="46"/>
        <w:spacing w:before="0" w:beforeAutospacing="0" w:after="0" w:afterAutospacing="0"/>
        <w:ind w:firstLine="480" w:firstLineChars="200"/>
        <w:jc w:val="left"/>
        <w:rPr>
          <w:rFonts w:hint="eastAsia" w:cs="宋体"/>
        </w:rPr>
      </w:pPr>
      <w:r>
        <w:rPr>
          <w:rFonts w:hint="eastAsia" w:cs="宋体"/>
        </w:rPr>
        <w:t>3.本项目的特定资格要求：无</w:t>
      </w:r>
    </w:p>
    <w:p>
      <w:pPr>
        <w:pStyle w:val="46"/>
        <w:spacing w:before="0" w:beforeAutospacing="0" w:after="0" w:afterAutospacing="0"/>
        <w:jc w:val="both"/>
        <w:rPr>
          <w:rFonts w:cs="宋体"/>
        </w:rPr>
      </w:pPr>
      <w:r>
        <w:rPr>
          <w:rStyle w:val="55"/>
          <w:rFonts w:ascii="宋体" w:hAnsi="宋体" w:cs="宋体"/>
        </w:rPr>
        <w:t>三、获取（下载）采购文件</w:t>
      </w:r>
    </w:p>
    <w:p>
      <w:pPr>
        <w:pStyle w:val="46"/>
        <w:spacing w:before="0" w:beforeAutospacing="0" w:after="0" w:afterAutospacing="0"/>
        <w:ind w:firstLine="480" w:firstLineChars="200"/>
        <w:rPr>
          <w:rFonts w:cs="宋体"/>
        </w:rPr>
      </w:pPr>
      <w:r>
        <w:rPr>
          <w:rFonts w:cs="宋体"/>
        </w:rPr>
        <w:t xml:space="preserve">时间：/至2022年 11月 </w:t>
      </w:r>
      <w:r>
        <w:rPr>
          <w:rFonts w:hint="eastAsia" w:cs="宋体"/>
          <w:lang w:val="en-US" w:eastAsia="zh-CN"/>
        </w:rPr>
        <w:t>29</w:t>
      </w:r>
      <w:r>
        <w:rPr>
          <w:rFonts w:cs="宋体"/>
        </w:rPr>
        <w:t>日，每天上午00:00至12:00，下午12:00至23:59（北京时间，线上获取法定节假日均可，线下获取文件法定节假日除外）</w:t>
      </w:r>
    </w:p>
    <w:p>
      <w:pPr>
        <w:pStyle w:val="46"/>
        <w:spacing w:before="0" w:beforeAutospacing="0" w:after="0" w:afterAutospacing="0"/>
        <w:ind w:firstLine="480" w:firstLineChars="200"/>
        <w:rPr>
          <w:rFonts w:cs="宋体"/>
        </w:rPr>
      </w:pPr>
      <w:r>
        <w:rPr>
          <w:rFonts w:cs="宋体"/>
        </w:rPr>
        <w:t>地点（网址）：浙江政府采购网 </w:t>
      </w:r>
    </w:p>
    <w:p>
      <w:pPr>
        <w:pStyle w:val="46"/>
        <w:spacing w:before="0" w:beforeAutospacing="0" w:after="0" w:afterAutospacing="0"/>
        <w:ind w:firstLine="480" w:firstLineChars="200"/>
        <w:rPr>
          <w:rFonts w:cs="宋体"/>
        </w:rPr>
      </w:pPr>
      <w:r>
        <w:rPr>
          <w:rFonts w:cs="宋体"/>
        </w:rPr>
        <w:t>方式：供应商登录政采云平台https://www.zcygov.cn/在线申请获取采购文件（进入“项目采购”应用，在获取采购文件菜单中选择项目，申请获取采购文件） </w:t>
      </w:r>
    </w:p>
    <w:p>
      <w:pPr>
        <w:pStyle w:val="46"/>
        <w:spacing w:before="0" w:beforeAutospacing="0" w:after="0" w:afterAutospacing="0"/>
        <w:ind w:firstLine="480" w:firstLineChars="200"/>
        <w:rPr>
          <w:rFonts w:cs="宋体"/>
        </w:rPr>
      </w:pPr>
      <w:r>
        <w:rPr>
          <w:rFonts w:cs="宋体"/>
        </w:rPr>
        <w:t>售价（元）：0 </w:t>
      </w:r>
    </w:p>
    <w:p>
      <w:pPr>
        <w:pStyle w:val="46"/>
        <w:spacing w:before="0" w:beforeAutospacing="0" w:after="0" w:afterAutospacing="0"/>
        <w:jc w:val="both"/>
        <w:rPr>
          <w:rFonts w:cs="宋体"/>
        </w:rPr>
      </w:pPr>
      <w:r>
        <w:rPr>
          <w:rStyle w:val="55"/>
          <w:rFonts w:ascii="宋体" w:hAnsi="宋体" w:cs="宋体"/>
        </w:rPr>
        <w:t>四、响应文件提交（上传）</w:t>
      </w:r>
      <w:r>
        <w:rPr>
          <w:rFonts w:cs="宋体"/>
        </w:rPr>
        <w:t> </w:t>
      </w:r>
    </w:p>
    <w:p>
      <w:pPr>
        <w:pStyle w:val="46"/>
        <w:spacing w:before="0" w:beforeAutospacing="0" w:after="0" w:afterAutospacing="0"/>
        <w:ind w:firstLine="480" w:firstLineChars="200"/>
        <w:rPr>
          <w:rFonts w:cs="宋体"/>
        </w:rPr>
      </w:pPr>
      <w:r>
        <w:rPr>
          <w:rFonts w:cs="宋体"/>
        </w:rPr>
        <w:t>截止时间：2022年11 月2</w:t>
      </w:r>
      <w:r>
        <w:rPr>
          <w:rFonts w:hint="eastAsia" w:cs="宋体"/>
          <w:lang w:val="en-US" w:eastAsia="zh-CN"/>
        </w:rPr>
        <w:t>9</w:t>
      </w:r>
      <w:r>
        <w:rPr>
          <w:rFonts w:cs="宋体"/>
        </w:rPr>
        <w:t xml:space="preserve"> 日 09:30（北京时间）</w:t>
      </w:r>
    </w:p>
    <w:p>
      <w:pPr>
        <w:pStyle w:val="46"/>
        <w:spacing w:before="0" w:beforeAutospacing="0" w:after="0" w:afterAutospacing="0"/>
        <w:ind w:firstLine="480" w:firstLineChars="200"/>
        <w:rPr>
          <w:rFonts w:cs="宋体"/>
        </w:rPr>
      </w:pPr>
      <w:r>
        <w:rPr>
          <w:rFonts w:cs="宋体"/>
        </w:rPr>
        <w:t>地点（网址）：浙江政府采购网 </w:t>
      </w:r>
    </w:p>
    <w:p>
      <w:pPr>
        <w:pStyle w:val="46"/>
        <w:spacing w:before="0" w:beforeAutospacing="0" w:after="0" w:afterAutospacing="0"/>
        <w:jc w:val="both"/>
        <w:rPr>
          <w:rFonts w:cs="宋体"/>
        </w:rPr>
      </w:pPr>
      <w:r>
        <w:rPr>
          <w:rStyle w:val="55"/>
          <w:rFonts w:ascii="宋体" w:hAnsi="宋体" w:cs="宋体"/>
        </w:rPr>
        <w:t>五、响应文件开启</w:t>
      </w:r>
      <w:r>
        <w:rPr>
          <w:rFonts w:cs="宋体"/>
        </w:rPr>
        <w:t> </w:t>
      </w:r>
    </w:p>
    <w:p>
      <w:pPr>
        <w:pStyle w:val="46"/>
        <w:spacing w:before="0" w:beforeAutospacing="0" w:after="0" w:afterAutospacing="0"/>
        <w:ind w:firstLine="480" w:firstLineChars="200"/>
        <w:rPr>
          <w:rFonts w:cs="宋体"/>
        </w:rPr>
      </w:pPr>
      <w:r>
        <w:rPr>
          <w:rFonts w:cs="宋体"/>
        </w:rPr>
        <w:t>开启时间：</w:t>
      </w:r>
      <w:r>
        <w:rPr>
          <w:rStyle w:val="99"/>
          <w:rFonts w:ascii="宋体" w:hAnsi="宋体" w:cs="宋体"/>
        </w:rPr>
        <w:t>2022年</w:t>
      </w:r>
      <w:r>
        <w:rPr>
          <w:rStyle w:val="99"/>
          <w:rFonts w:cs="宋体"/>
        </w:rPr>
        <w:t xml:space="preserve"> 11</w:t>
      </w:r>
      <w:r>
        <w:rPr>
          <w:rStyle w:val="99"/>
          <w:rFonts w:ascii="宋体" w:hAnsi="宋体" w:cs="宋体"/>
        </w:rPr>
        <w:t xml:space="preserve"> 月</w:t>
      </w:r>
      <w:r>
        <w:rPr>
          <w:rStyle w:val="99"/>
          <w:rFonts w:cs="宋体"/>
        </w:rPr>
        <w:t xml:space="preserve"> 2</w:t>
      </w:r>
      <w:r>
        <w:rPr>
          <w:rStyle w:val="99"/>
          <w:rFonts w:hint="eastAsia" w:cs="宋体"/>
          <w:lang w:val="en-US" w:eastAsia="zh-CN"/>
        </w:rPr>
        <w:t>9</w:t>
      </w:r>
      <w:r>
        <w:rPr>
          <w:rStyle w:val="99"/>
          <w:rFonts w:ascii="宋体" w:hAnsi="宋体" w:cs="宋体"/>
        </w:rPr>
        <w:t xml:space="preserve"> 日 09:30</w:t>
      </w:r>
      <w:r>
        <w:rPr>
          <w:rFonts w:cs="宋体"/>
        </w:rPr>
        <w:t> （北京时间）</w:t>
      </w:r>
    </w:p>
    <w:p>
      <w:pPr>
        <w:pStyle w:val="46"/>
        <w:spacing w:before="0" w:beforeAutospacing="0" w:after="0" w:afterAutospacing="0"/>
        <w:ind w:firstLine="480" w:firstLineChars="200"/>
        <w:rPr>
          <w:rFonts w:cs="宋体"/>
          <w:highlight w:val="yellow"/>
        </w:rPr>
      </w:pPr>
      <w:r>
        <w:rPr>
          <w:rFonts w:cs="宋体"/>
        </w:rPr>
        <w:t>地点（网址）：</w:t>
      </w:r>
      <w:r>
        <w:rPr>
          <w:rFonts w:ascii="微软雅黑" w:hAnsi="微软雅黑" w:eastAsia="微软雅黑" w:cs="微软雅黑"/>
          <w:color w:val="171A1D"/>
          <w:sz w:val="21"/>
          <w:szCs w:val="21"/>
          <w:shd w:val="clear" w:color="auto" w:fill="FFFFFF"/>
        </w:rPr>
        <w:t>温州市公共资源交易中心鹿城分中心（本系统场地仅作参考，场地预定前请与中心经办人确认）开标2 </w:t>
      </w:r>
    </w:p>
    <w:p>
      <w:pPr>
        <w:pStyle w:val="46"/>
        <w:spacing w:before="0" w:beforeAutospacing="0" w:after="0" w:afterAutospacing="0"/>
        <w:jc w:val="both"/>
        <w:rPr>
          <w:rFonts w:cs="宋体"/>
        </w:rPr>
      </w:pPr>
      <w:r>
        <w:rPr>
          <w:rStyle w:val="55"/>
          <w:rFonts w:ascii="宋体" w:hAnsi="宋体" w:cs="宋体"/>
        </w:rPr>
        <w:t>六、公告期限</w:t>
      </w:r>
    </w:p>
    <w:p>
      <w:pPr>
        <w:pStyle w:val="46"/>
        <w:spacing w:before="0" w:beforeAutospacing="0" w:after="0" w:afterAutospacing="0"/>
        <w:ind w:firstLine="480" w:firstLineChars="200"/>
        <w:rPr>
          <w:rFonts w:cs="宋体"/>
        </w:rPr>
      </w:pPr>
      <w:r>
        <w:rPr>
          <w:rFonts w:cs="宋体"/>
        </w:rPr>
        <w:t>自本公告发布之日起3个工作日。</w:t>
      </w:r>
    </w:p>
    <w:p>
      <w:pPr>
        <w:pStyle w:val="46"/>
        <w:spacing w:before="0" w:beforeAutospacing="0" w:after="0" w:afterAutospacing="0"/>
        <w:jc w:val="both"/>
        <w:rPr>
          <w:rFonts w:cs="宋体"/>
        </w:rPr>
      </w:pPr>
      <w:r>
        <w:rPr>
          <w:rStyle w:val="55"/>
          <w:rFonts w:ascii="宋体" w:hAnsi="宋体" w:cs="宋体"/>
        </w:rPr>
        <w:t>七、其他补充事宜</w:t>
      </w:r>
      <w:r>
        <w:rPr>
          <w:rFonts w:cs="宋体"/>
        </w:rPr>
        <w:t> </w:t>
      </w:r>
    </w:p>
    <w:p>
      <w:pPr>
        <w:pStyle w:val="46"/>
        <w:spacing w:before="0" w:beforeAutospacing="0" w:after="0" w:afterAutospacing="0"/>
        <w:jc w:val="both"/>
        <w:rPr>
          <w:rStyle w:val="99"/>
          <w:rFonts w:ascii="宋体" w:hAnsi="宋体" w:cs="宋体"/>
        </w:rPr>
      </w:pPr>
      <w:r>
        <w:rPr>
          <w:rStyle w:val="99"/>
          <w:rFonts w:ascii="宋体" w:hAnsi="宋体" w:cs="宋体"/>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46"/>
        <w:spacing w:before="0" w:beforeAutospacing="0" w:after="0" w:afterAutospacing="0"/>
        <w:jc w:val="both"/>
        <w:rPr>
          <w:rStyle w:val="99"/>
          <w:rFonts w:ascii="宋体" w:hAnsi="宋体" w:cs="宋体"/>
        </w:rPr>
      </w:pPr>
      <w:r>
        <w:rPr>
          <w:rStyle w:val="99"/>
          <w:rFonts w:hint="eastAsia" w:ascii="宋体" w:hAnsi="宋体" w:cs="宋体"/>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pStyle w:val="46"/>
        <w:spacing w:before="0" w:beforeAutospacing="0" w:after="0" w:afterAutospacing="0"/>
        <w:jc w:val="both"/>
        <w:rPr>
          <w:rStyle w:val="99"/>
          <w:rFonts w:ascii="宋体" w:hAnsi="宋体" w:cs="宋体"/>
        </w:rPr>
      </w:pPr>
      <w:r>
        <w:rPr>
          <w:rStyle w:val="99"/>
          <w:rFonts w:hint="eastAsia" w:ascii="宋体" w:hAnsi="宋体" w:cs="宋体"/>
        </w:rPr>
        <w:t>3.其他事项：3.1质疑的提出：如有质疑，必须在政采云系统内或线下以书面形式向采购人、采购代理机构提出质疑（在法定质疑期内一次性提出针对同一采购程序环节的质疑），并与质疑联系人电话确认（涉及项目资格要求和采购需求内容的由采购人答复）。</w:t>
      </w:r>
      <w:r>
        <w:rPr>
          <w:rStyle w:val="99"/>
          <w:rFonts w:hint="eastAsia" w:ascii="宋体" w:hAnsi="宋体" w:cs="宋体"/>
        </w:rPr>
        <w:br w:type="textWrapping"/>
      </w:r>
      <w:r>
        <w:rPr>
          <w:rStyle w:val="99"/>
          <w:rFonts w:hint="eastAsia" w:ascii="宋体" w:hAnsi="宋体" w:cs="宋体"/>
        </w:rPr>
        <w:t>3.2投标说明：</w:t>
      </w:r>
      <w:r>
        <w:rPr>
          <w:rStyle w:val="99"/>
          <w:rFonts w:hint="eastAsia" w:ascii="宋体" w:hAnsi="宋体" w:cs="宋体"/>
        </w:rPr>
        <w:br w:type="textWrapping"/>
      </w:r>
      <w:r>
        <w:rPr>
          <w:rStyle w:val="99"/>
          <w:rFonts w:hint="eastAsia" w:ascii="宋体" w:hAnsi="宋体" w:cs="宋体"/>
        </w:rPr>
        <w:t>3.2.1 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r>
        <w:rPr>
          <w:rStyle w:val="99"/>
          <w:rFonts w:hint="eastAsia" w:ascii="宋体" w:hAnsi="宋体" w:cs="宋体"/>
        </w:rPr>
        <w:br w:type="textWrapping"/>
      </w:r>
      <w:r>
        <w:rPr>
          <w:rStyle w:val="99"/>
          <w:rFonts w:hint="eastAsia" w:ascii="宋体" w:hAnsi="宋体" w:cs="宋体"/>
        </w:rPr>
        <w:t>3.2.2 标前准备：各供应商必须在投标前成为“浙江省政府采购网”注册供应商，并完成CA数字证书办理。因未注册、未办理CA数字证书等原因造成无法投标或投标失败等后果由供应商自行承担。</w:t>
      </w:r>
      <w:r>
        <w:rPr>
          <w:rStyle w:val="99"/>
          <w:rFonts w:hint="eastAsia" w:ascii="宋体" w:hAnsi="宋体" w:cs="宋体"/>
        </w:rPr>
        <w:br w:type="textWrapping"/>
      </w:r>
      <w:r>
        <w:rPr>
          <w:rStyle w:val="99"/>
          <w:rFonts w:hint="eastAsia" w:ascii="宋体" w:hAnsi="宋体" w:cs="宋体"/>
        </w:rPr>
        <w:t>供应商将政采云电子交易客户端下载、安装完成后，可通过账号密码或CA登录客户端进行投标文件制作。在使用政采云投标客户端时，建议使用WIN7（64位）及以上操作系统。</w:t>
      </w:r>
      <w:r>
        <w:rPr>
          <w:rStyle w:val="99"/>
          <w:rFonts w:hint="eastAsia" w:ascii="宋体" w:hAnsi="宋体" w:cs="宋体"/>
        </w:rPr>
        <w:br w:type="textWrapping"/>
      </w:r>
      <w:r>
        <w:rPr>
          <w:rStyle w:val="99"/>
          <w:rFonts w:hint="eastAsia" w:ascii="宋体" w:hAnsi="宋体" w:cs="宋体"/>
        </w:rPr>
        <w:t>供应商先要申领CA，取得CA后需要在政采云平台进行绑定，CA相关操作可参考《CA申领操作指南》和《CA管理操作指南》。完成CA数字证书办理在资料齐全的情况下预计7个工作日左右，建议供应商获取招标文件后立即办理。</w:t>
      </w:r>
      <w:r>
        <w:rPr>
          <w:rStyle w:val="99"/>
          <w:rFonts w:hint="eastAsia" w:ascii="宋体" w:hAnsi="宋体" w:cs="宋体"/>
        </w:rPr>
        <w:br w:type="textWrapping"/>
      </w:r>
      <w:r>
        <w:rPr>
          <w:rStyle w:val="99"/>
          <w:rFonts w:hint="eastAsia" w:ascii="宋体" w:hAnsi="宋体" w:cs="宋体"/>
        </w:rPr>
        <w:t>《CA申领操作指南》：https://help.zcygov.cn/web/site_2/2018/11-29/2452.html</w:t>
      </w:r>
      <w:r>
        <w:rPr>
          <w:rStyle w:val="99"/>
          <w:rFonts w:hint="eastAsia" w:ascii="宋体" w:hAnsi="宋体" w:cs="宋体"/>
        </w:rPr>
        <w:br w:type="textWrapping"/>
      </w:r>
      <w:r>
        <w:rPr>
          <w:rStyle w:val="99"/>
          <w:rFonts w:hint="eastAsia" w:ascii="宋体" w:hAnsi="宋体" w:cs="宋体"/>
        </w:rPr>
        <w:t>《CA管理操作指南》：https://help.zcygov.cn/web/site_2/2019/08-20/3405.html</w:t>
      </w:r>
      <w:r>
        <w:rPr>
          <w:rStyle w:val="99"/>
          <w:rFonts w:hint="eastAsia" w:ascii="宋体" w:hAnsi="宋体" w:cs="宋体"/>
        </w:rPr>
        <w:br w:type="textWrapping"/>
      </w:r>
      <w:r>
        <w:rPr>
          <w:rStyle w:val="99"/>
          <w:rFonts w:hint="eastAsia" w:ascii="宋体" w:hAnsi="宋体" w:cs="宋体"/>
        </w:rPr>
        <w:t>《CA驱动和申领流程》:</w:t>
      </w:r>
      <w:r>
        <w:rPr>
          <w:rStyle w:val="99"/>
          <w:rFonts w:hint="eastAsia" w:ascii="宋体" w:hAnsi="宋体" w:cs="宋体"/>
        </w:rPr>
        <w:br w:type="textWrapping"/>
      </w:r>
      <w:r>
        <w:rPr>
          <w:rStyle w:val="99"/>
          <w:rFonts w:hint="eastAsia" w:ascii="宋体" w:hAnsi="宋体" w:cs="宋体"/>
        </w:rPr>
        <w:t>http://zfcg.czt.zj.gov.cn/bidClientTemplate/2019-05-27/12945.html</w:t>
      </w:r>
      <w:r>
        <w:rPr>
          <w:rStyle w:val="99"/>
          <w:rFonts w:hint="eastAsia" w:ascii="宋体" w:hAnsi="宋体" w:cs="宋体"/>
        </w:rPr>
        <w:br w:type="textWrapping"/>
      </w:r>
      <w:r>
        <w:rPr>
          <w:rStyle w:val="99"/>
          <w:rFonts w:hint="eastAsia" w:ascii="宋体" w:hAnsi="宋体" w:cs="宋体"/>
        </w:rPr>
        <w:t>3.2.3 投标人通过政采云平台电子投标工具制作投标文件，电子投标工具请供应商自行前往浙江省政府采购网下载并安装，（下载网址：http://zfcg.czt.zj.gov.cn/bidClientTemplate/2019-05-27/12946.html），</w:t>
      </w:r>
      <w:r>
        <w:rPr>
          <w:rStyle w:val="99"/>
          <w:rFonts w:hint="eastAsia" w:ascii="宋体" w:hAnsi="宋体" w:cs="宋体"/>
        </w:rPr>
        <w:br w:type="textWrapping"/>
      </w:r>
      <w:r>
        <w:rPr>
          <w:rStyle w:val="99"/>
          <w:rFonts w:hint="eastAsia" w:ascii="宋体" w:hAnsi="宋体" w:cs="宋体"/>
        </w:rPr>
        <w:t>电子投标具体流程详见：https://service.zcygov.cn/#/knowledges/CW1EtGwBFdiHxlNd6I3m/6IMVAG0BFdiHxlNdQ8Na</w:t>
      </w:r>
      <w:r>
        <w:rPr>
          <w:rStyle w:val="99"/>
          <w:rFonts w:hint="eastAsia" w:ascii="宋体" w:hAnsi="宋体" w:cs="宋体"/>
        </w:rPr>
        <w:br w:type="textWrapping"/>
      </w:r>
      <w:r>
        <w:rPr>
          <w:rStyle w:val="99"/>
          <w:rFonts w:hint="eastAsia" w:ascii="宋体" w:hAnsi="宋体" w:cs="宋体"/>
        </w:rPr>
        <w:t>3.3供应商只有在“政府采购云平台”完成获取采购文件申请并下载了采购文件后才视作依法获取采购文件（法律法规所指的供应商获取采购文件时间，以供应商完成获取采购文件申请后下载采购文件的时间为准）。</w:t>
      </w:r>
    </w:p>
    <w:p>
      <w:pPr>
        <w:pStyle w:val="46"/>
        <w:spacing w:before="0" w:beforeAutospacing="0" w:after="0" w:afterAutospacing="0"/>
        <w:jc w:val="both"/>
        <w:rPr>
          <w:rFonts w:cs="宋体"/>
        </w:rPr>
      </w:pPr>
      <w:r>
        <w:rPr>
          <w:rStyle w:val="55"/>
          <w:rFonts w:ascii="宋体" w:hAnsi="宋体" w:cs="宋体"/>
        </w:rPr>
        <w:t>八、凡对本次招标提出询问、质疑、投诉，请按以下方式联系</w:t>
      </w:r>
    </w:p>
    <w:p>
      <w:pPr>
        <w:pStyle w:val="46"/>
        <w:spacing w:before="0" w:beforeAutospacing="0" w:after="0" w:afterAutospacing="0"/>
        <w:rPr>
          <w:rStyle w:val="99"/>
          <w:rFonts w:ascii="宋体" w:hAnsi="宋体" w:cs="宋体"/>
        </w:rPr>
      </w:pPr>
      <w:r>
        <w:rPr>
          <w:rFonts w:cs="宋体"/>
        </w:rPr>
        <w:t>   </w:t>
      </w:r>
      <w:r>
        <w:rPr>
          <w:rStyle w:val="99"/>
          <w:rFonts w:ascii="宋体" w:hAnsi="宋体" w:cs="宋体"/>
        </w:rPr>
        <w:t xml:space="preserve">  1.采购人信息</w:t>
      </w:r>
    </w:p>
    <w:p>
      <w:pPr>
        <w:pStyle w:val="46"/>
        <w:spacing w:before="0" w:beforeAutospacing="0" w:after="0" w:afterAutospacing="0"/>
        <w:rPr>
          <w:rStyle w:val="99"/>
          <w:rFonts w:ascii="宋体" w:hAnsi="宋体" w:cs="宋体"/>
        </w:rPr>
      </w:pPr>
      <w:r>
        <w:rPr>
          <w:rStyle w:val="99"/>
          <w:rFonts w:ascii="宋体" w:hAnsi="宋体" w:cs="宋体"/>
        </w:rPr>
        <w:t>    名 称：温州市公安局鹿城区分局</w:t>
      </w:r>
    </w:p>
    <w:p>
      <w:pPr>
        <w:pStyle w:val="46"/>
        <w:spacing w:before="0" w:beforeAutospacing="0" w:after="0" w:afterAutospacing="0"/>
        <w:ind w:firstLine="720" w:firstLineChars="300"/>
        <w:rPr>
          <w:rStyle w:val="99"/>
          <w:rFonts w:ascii="宋体" w:hAnsi="宋体" w:cs="宋体"/>
        </w:rPr>
      </w:pPr>
      <w:r>
        <w:rPr>
          <w:rStyle w:val="99"/>
          <w:rFonts w:ascii="宋体" w:hAnsi="宋体" w:cs="宋体"/>
        </w:rPr>
        <w:t>地 址：浙江省温州市鹿城区勤奋路59号</w:t>
      </w:r>
    </w:p>
    <w:p>
      <w:pPr>
        <w:pStyle w:val="46"/>
        <w:spacing w:before="0" w:beforeAutospacing="0" w:after="0" w:afterAutospacing="0"/>
        <w:ind w:firstLine="720" w:firstLineChars="300"/>
        <w:rPr>
          <w:rStyle w:val="99"/>
          <w:rFonts w:ascii="宋体" w:hAnsi="宋体" w:cs="宋体"/>
        </w:rPr>
      </w:pPr>
      <w:r>
        <w:rPr>
          <w:rStyle w:val="99"/>
          <w:rFonts w:ascii="宋体" w:hAnsi="宋体" w:cs="宋体"/>
        </w:rPr>
        <w:t>传 真：/</w:t>
      </w:r>
    </w:p>
    <w:p>
      <w:pPr>
        <w:pStyle w:val="46"/>
        <w:spacing w:before="0" w:beforeAutospacing="0" w:after="0" w:afterAutospacing="0"/>
        <w:ind w:firstLine="720" w:firstLineChars="300"/>
        <w:rPr>
          <w:rStyle w:val="99"/>
          <w:rFonts w:ascii="宋体" w:hAnsi="宋体" w:cs="宋体"/>
        </w:rPr>
      </w:pPr>
      <w:r>
        <w:rPr>
          <w:rStyle w:val="99"/>
          <w:rFonts w:ascii="宋体" w:hAnsi="宋体" w:cs="宋体"/>
        </w:rPr>
        <w:t xml:space="preserve">项目联系人（询问）：曹高宇 </w:t>
      </w:r>
    </w:p>
    <w:p>
      <w:pPr>
        <w:pStyle w:val="46"/>
        <w:spacing w:before="0" w:beforeAutospacing="0" w:after="0" w:afterAutospacing="0"/>
        <w:ind w:firstLine="720" w:firstLineChars="300"/>
        <w:rPr>
          <w:rStyle w:val="99"/>
          <w:rFonts w:ascii="宋体" w:hAnsi="宋体" w:cs="宋体"/>
        </w:rPr>
      </w:pPr>
      <w:r>
        <w:rPr>
          <w:rStyle w:val="99"/>
          <w:rFonts w:ascii="宋体" w:hAnsi="宋体" w:cs="宋体"/>
        </w:rPr>
        <w:t xml:space="preserve">项目联系方式（询问）：0577-89990066  </w:t>
      </w:r>
    </w:p>
    <w:p>
      <w:pPr>
        <w:pStyle w:val="46"/>
        <w:spacing w:before="0" w:beforeAutospacing="0" w:after="0" w:afterAutospacing="0"/>
        <w:ind w:firstLine="720" w:firstLineChars="300"/>
        <w:rPr>
          <w:rStyle w:val="99"/>
          <w:rFonts w:ascii="宋体" w:hAnsi="宋体" w:cs="宋体"/>
        </w:rPr>
      </w:pPr>
      <w:r>
        <w:rPr>
          <w:rStyle w:val="99"/>
          <w:rFonts w:ascii="宋体" w:hAnsi="宋体" w:cs="宋体"/>
        </w:rPr>
        <w:t xml:space="preserve">质疑联系人：曹高宇 </w:t>
      </w:r>
    </w:p>
    <w:p>
      <w:pPr>
        <w:pStyle w:val="46"/>
        <w:spacing w:before="0" w:beforeAutospacing="0" w:after="0" w:afterAutospacing="0"/>
        <w:ind w:firstLine="720" w:firstLineChars="300"/>
        <w:rPr>
          <w:rStyle w:val="99"/>
          <w:rFonts w:ascii="宋体" w:hAnsi="宋体" w:cs="宋体"/>
        </w:rPr>
      </w:pPr>
      <w:r>
        <w:rPr>
          <w:rStyle w:val="99"/>
          <w:rFonts w:ascii="宋体" w:hAnsi="宋体" w:cs="宋体"/>
        </w:rPr>
        <w:t xml:space="preserve">质疑联系方式：0577-89990066 </w:t>
      </w:r>
    </w:p>
    <w:p>
      <w:pPr>
        <w:pStyle w:val="46"/>
        <w:spacing w:before="0" w:beforeAutospacing="0" w:after="0" w:afterAutospacing="0"/>
        <w:rPr>
          <w:rStyle w:val="99"/>
          <w:rFonts w:ascii="宋体" w:hAnsi="宋体" w:cs="宋体"/>
        </w:rPr>
      </w:pPr>
      <w:r>
        <w:rPr>
          <w:rStyle w:val="99"/>
          <w:rFonts w:ascii="宋体" w:hAnsi="宋体" w:cs="宋体"/>
        </w:rPr>
        <w:t> </w:t>
      </w:r>
    </w:p>
    <w:p>
      <w:pPr>
        <w:pStyle w:val="46"/>
        <w:spacing w:before="0" w:beforeAutospacing="0" w:after="0" w:afterAutospacing="0"/>
        <w:rPr>
          <w:rStyle w:val="99"/>
          <w:rFonts w:ascii="宋体" w:hAnsi="宋体" w:cs="宋体"/>
        </w:rPr>
      </w:pPr>
      <w:r>
        <w:rPr>
          <w:rStyle w:val="99"/>
          <w:rFonts w:ascii="宋体" w:hAnsi="宋体" w:cs="宋体"/>
        </w:rPr>
        <w:t>   </w:t>
      </w:r>
      <w:r>
        <w:rPr>
          <w:rStyle w:val="99"/>
          <w:rFonts w:ascii="宋体" w:hAnsi="宋体" w:cs="宋体"/>
        </w:rPr>
        <w:br w:type="textWrapping"/>
      </w:r>
      <w:r>
        <w:rPr>
          <w:rStyle w:val="99"/>
          <w:rFonts w:ascii="宋体" w:hAnsi="宋体" w:cs="宋体"/>
        </w:rPr>
        <w:t>    2.采购代理机构信息</w:t>
      </w:r>
    </w:p>
    <w:p>
      <w:pPr>
        <w:pStyle w:val="46"/>
        <w:spacing w:before="0" w:beforeAutospacing="0" w:after="0" w:afterAutospacing="0"/>
        <w:rPr>
          <w:rStyle w:val="99"/>
          <w:rFonts w:ascii="宋体" w:hAnsi="宋体" w:cs="宋体"/>
        </w:rPr>
      </w:pPr>
      <w:r>
        <w:rPr>
          <w:rStyle w:val="99"/>
          <w:rFonts w:ascii="宋体" w:hAnsi="宋体" w:cs="宋体"/>
        </w:rPr>
        <w:t>    名    称：温州市公共资源交易中心鹿城分中心 </w:t>
      </w:r>
    </w:p>
    <w:p>
      <w:pPr>
        <w:pStyle w:val="46"/>
        <w:spacing w:before="0" w:beforeAutospacing="0" w:after="0" w:afterAutospacing="0"/>
        <w:rPr>
          <w:rStyle w:val="99"/>
          <w:rFonts w:ascii="宋体" w:hAnsi="宋体" w:cs="宋体"/>
        </w:rPr>
      </w:pPr>
      <w:r>
        <w:rPr>
          <w:rStyle w:val="99"/>
          <w:rFonts w:ascii="宋体" w:hAnsi="宋体" w:cs="宋体"/>
        </w:rPr>
        <w:t>    地    址：温州市鹿城区宽带路18号 </w:t>
      </w:r>
    </w:p>
    <w:p>
      <w:pPr>
        <w:pStyle w:val="46"/>
        <w:spacing w:before="0" w:beforeAutospacing="0" w:after="0" w:afterAutospacing="0"/>
        <w:rPr>
          <w:rStyle w:val="99"/>
          <w:rFonts w:ascii="宋体" w:hAnsi="宋体" w:cs="宋体"/>
        </w:rPr>
      </w:pPr>
      <w:r>
        <w:rPr>
          <w:rStyle w:val="99"/>
          <w:rFonts w:ascii="宋体" w:hAnsi="宋体" w:cs="宋体"/>
        </w:rPr>
        <w:t>    传    真：  </w:t>
      </w:r>
    </w:p>
    <w:p>
      <w:pPr>
        <w:pStyle w:val="46"/>
        <w:spacing w:before="0" w:beforeAutospacing="0" w:after="0" w:afterAutospacing="0"/>
        <w:rPr>
          <w:rStyle w:val="99"/>
          <w:rFonts w:ascii="宋体" w:hAnsi="宋体" w:cs="宋体"/>
        </w:rPr>
      </w:pPr>
      <w:r>
        <w:rPr>
          <w:rStyle w:val="99"/>
          <w:rFonts w:ascii="宋体" w:hAnsi="宋体" w:cs="宋体"/>
        </w:rPr>
        <w:t>    项目联系人（询问）：杨女士 </w:t>
      </w:r>
    </w:p>
    <w:p>
      <w:pPr>
        <w:pStyle w:val="46"/>
        <w:spacing w:before="0" w:beforeAutospacing="0" w:after="0" w:afterAutospacing="0"/>
        <w:rPr>
          <w:rStyle w:val="99"/>
          <w:rFonts w:ascii="宋体" w:hAnsi="宋体" w:cs="宋体"/>
        </w:rPr>
      </w:pPr>
      <w:r>
        <w:rPr>
          <w:rStyle w:val="99"/>
          <w:rFonts w:ascii="宋体" w:hAnsi="宋体" w:cs="宋体"/>
        </w:rPr>
        <w:t>    项目联系方式（询问）：0577-88660186 </w:t>
      </w:r>
    </w:p>
    <w:p>
      <w:pPr>
        <w:pStyle w:val="46"/>
        <w:spacing w:before="0" w:beforeAutospacing="0" w:after="0" w:afterAutospacing="0"/>
        <w:rPr>
          <w:rStyle w:val="99"/>
          <w:rFonts w:ascii="宋体" w:hAnsi="宋体" w:cs="宋体"/>
        </w:rPr>
      </w:pPr>
      <w:r>
        <w:rPr>
          <w:rStyle w:val="99"/>
          <w:rFonts w:ascii="宋体" w:hAnsi="宋体" w:cs="宋体"/>
        </w:rPr>
        <w:t>    质疑联系人：王珊瑚 </w:t>
      </w:r>
    </w:p>
    <w:p>
      <w:pPr>
        <w:pStyle w:val="46"/>
        <w:spacing w:before="0" w:beforeAutospacing="0" w:after="0" w:afterAutospacing="0"/>
        <w:rPr>
          <w:rStyle w:val="99"/>
          <w:rFonts w:ascii="宋体" w:hAnsi="宋体" w:cs="宋体"/>
        </w:rPr>
      </w:pPr>
      <w:r>
        <w:rPr>
          <w:rStyle w:val="99"/>
          <w:rFonts w:ascii="宋体" w:hAnsi="宋体" w:cs="宋体"/>
        </w:rPr>
        <w:t>    质疑联系方式：0577-</w:t>
      </w:r>
      <w:r>
        <w:rPr>
          <w:rStyle w:val="99"/>
          <w:rFonts w:cs="宋体"/>
        </w:rPr>
        <w:t>55889817</w:t>
      </w:r>
      <w:r>
        <w:rPr>
          <w:rStyle w:val="99"/>
          <w:rFonts w:ascii="宋体" w:hAnsi="宋体" w:cs="宋体"/>
        </w:rPr>
        <w:t> </w:t>
      </w:r>
    </w:p>
    <w:p>
      <w:pPr>
        <w:pStyle w:val="46"/>
        <w:spacing w:before="0" w:beforeAutospacing="0" w:after="0" w:afterAutospacing="0"/>
        <w:rPr>
          <w:rStyle w:val="99"/>
          <w:rFonts w:ascii="宋体" w:hAnsi="宋体" w:cs="宋体"/>
        </w:rPr>
      </w:pPr>
      <w:r>
        <w:rPr>
          <w:rStyle w:val="99"/>
          <w:rFonts w:ascii="宋体" w:hAnsi="宋体" w:cs="宋体"/>
        </w:rPr>
        <w:t>   </w:t>
      </w:r>
      <w:r>
        <w:rPr>
          <w:rStyle w:val="99"/>
          <w:rFonts w:ascii="宋体" w:hAnsi="宋体" w:cs="宋体"/>
        </w:rPr>
        <w:br w:type="textWrapping"/>
      </w:r>
      <w:r>
        <w:rPr>
          <w:rStyle w:val="99"/>
          <w:rFonts w:ascii="宋体" w:hAnsi="宋体" w:cs="宋体"/>
        </w:rPr>
        <w:t>    3.同级政府采购监督管理部门</w:t>
      </w:r>
    </w:p>
    <w:p>
      <w:pPr>
        <w:pStyle w:val="46"/>
        <w:spacing w:before="0" w:beforeAutospacing="0" w:after="0" w:afterAutospacing="0"/>
        <w:rPr>
          <w:rStyle w:val="99"/>
          <w:rFonts w:ascii="宋体" w:hAnsi="宋体" w:cs="宋体"/>
        </w:rPr>
      </w:pPr>
      <w:r>
        <w:rPr>
          <w:rStyle w:val="99"/>
          <w:rFonts w:ascii="宋体" w:hAnsi="宋体" w:cs="宋体"/>
        </w:rPr>
        <w:t>    名    称：温州市鹿城区财政局 </w:t>
      </w:r>
    </w:p>
    <w:p>
      <w:pPr>
        <w:pStyle w:val="46"/>
        <w:spacing w:before="0" w:beforeAutospacing="0" w:after="0" w:afterAutospacing="0"/>
        <w:rPr>
          <w:rStyle w:val="99"/>
          <w:rFonts w:ascii="宋体" w:hAnsi="宋体" w:cs="宋体"/>
        </w:rPr>
      </w:pPr>
      <w:r>
        <w:rPr>
          <w:rStyle w:val="99"/>
          <w:rFonts w:ascii="宋体" w:hAnsi="宋体" w:cs="宋体"/>
        </w:rPr>
        <w:t>    地    址：/ </w:t>
      </w:r>
    </w:p>
    <w:p>
      <w:pPr>
        <w:pStyle w:val="46"/>
        <w:spacing w:before="0" w:beforeAutospacing="0" w:after="0" w:afterAutospacing="0"/>
        <w:rPr>
          <w:rStyle w:val="99"/>
          <w:rFonts w:ascii="宋体" w:hAnsi="宋体" w:cs="宋体"/>
        </w:rPr>
      </w:pPr>
      <w:r>
        <w:rPr>
          <w:rStyle w:val="99"/>
          <w:rFonts w:ascii="宋体" w:hAnsi="宋体" w:cs="宋体"/>
        </w:rPr>
        <w:t>    传    真：/ </w:t>
      </w:r>
    </w:p>
    <w:p>
      <w:pPr>
        <w:pStyle w:val="46"/>
        <w:spacing w:before="0" w:beforeAutospacing="0" w:after="0" w:afterAutospacing="0"/>
        <w:rPr>
          <w:rStyle w:val="99"/>
          <w:rFonts w:ascii="宋体" w:hAnsi="宋体" w:cs="宋体"/>
        </w:rPr>
      </w:pPr>
      <w:r>
        <w:rPr>
          <w:rStyle w:val="99"/>
          <w:rFonts w:ascii="宋体" w:hAnsi="宋体" w:cs="宋体"/>
        </w:rPr>
        <w:t>    联系人 ：黄女士\朱先生 </w:t>
      </w:r>
    </w:p>
    <w:p>
      <w:pPr>
        <w:pStyle w:val="46"/>
        <w:spacing w:before="0" w:beforeAutospacing="0" w:after="0" w:afterAutospacing="0"/>
        <w:rPr>
          <w:rStyle w:val="99"/>
          <w:rFonts w:ascii="宋体" w:hAnsi="宋体" w:cs="宋体"/>
        </w:rPr>
      </w:pPr>
      <w:r>
        <w:rPr>
          <w:rStyle w:val="99"/>
          <w:rFonts w:ascii="宋体" w:hAnsi="宋体" w:cs="宋体"/>
        </w:rPr>
        <w:t>    监督投诉电话：0577-88359173</w:t>
      </w:r>
    </w:p>
    <w:p>
      <w:pPr>
        <w:pStyle w:val="46"/>
        <w:spacing w:before="0" w:beforeAutospacing="0" w:after="0" w:afterAutospacing="0"/>
        <w:rPr>
          <w:rStyle w:val="99"/>
          <w:rFonts w:ascii="宋体" w:hAnsi="宋体" w:cs="宋体"/>
        </w:rPr>
      </w:pPr>
      <w:r>
        <w:rPr>
          <w:rStyle w:val="99"/>
          <w:rFonts w:ascii="宋体" w:hAnsi="宋体" w:cs="宋体"/>
        </w:rPr>
        <w:br w:type="textWrapping"/>
      </w:r>
      <w:r>
        <w:rPr>
          <w:rStyle w:val="99"/>
          <w:rFonts w:hint="default" w:ascii="宋体" w:hAnsi="宋体" w:cs="宋体"/>
        </w:rPr>
        <w:t> </w:t>
      </w:r>
      <w:r>
        <w:rPr>
          <w:rStyle w:val="99"/>
          <w:rFonts w:hint="default" w:ascii="宋体" w:hAnsi="宋体" w:cs="宋体"/>
        </w:rPr>
        <w:br w:type="textWrapping"/>
      </w:r>
      <w:r>
        <w:rPr>
          <w:rStyle w:val="99"/>
          <w:rFonts w:hint="default" w:ascii="宋体" w:hAnsi="宋体" w:cs="宋体"/>
        </w:rPr>
        <w:t> </w:t>
      </w:r>
    </w:p>
    <w:p>
      <w:pPr>
        <w:pStyle w:val="46"/>
        <w:spacing w:before="0" w:beforeAutospacing="0" w:after="0" w:afterAutospacing="0"/>
        <w:rPr>
          <w:rStyle w:val="99"/>
          <w:rFonts w:ascii="宋体" w:hAnsi="宋体" w:cs="宋体"/>
        </w:rPr>
      </w:pPr>
      <w:r>
        <w:rPr>
          <w:rStyle w:val="99"/>
          <w:rFonts w:ascii="宋体" w:hAnsi="宋体" w:cs="宋体"/>
        </w:rPr>
        <w:t>若对项目采购电子交易系统操作有疑问，可登录政采云（https://www.zcygov.cn/），点击右侧咨询小采，获取采小蜜智能服务管家帮助，或拨打政采云服务热线400-881-7190获取热线服务帮助。        </w:t>
      </w:r>
    </w:p>
    <w:p>
      <w:pPr>
        <w:pStyle w:val="46"/>
        <w:spacing w:before="0" w:beforeAutospacing="0" w:after="0" w:afterAutospacing="0"/>
        <w:rPr>
          <w:rStyle w:val="99"/>
          <w:rFonts w:ascii="宋体" w:hAnsi="宋体" w:cs="宋体"/>
        </w:rPr>
      </w:pPr>
      <w:r>
        <w:rPr>
          <w:rStyle w:val="99"/>
          <w:rFonts w:ascii="宋体" w:hAnsi="宋体" w:cs="宋体"/>
        </w:rPr>
        <w:t>CA问题联系电话（人工）：汇信CA 400-888-4636；天谷CA 400-087-8198。</w:t>
      </w:r>
    </w:p>
    <w:p>
      <w:pPr>
        <w:pStyle w:val="46"/>
        <w:spacing w:before="0" w:beforeAutospacing="0" w:after="0" w:afterAutospacing="0"/>
        <w:rPr>
          <w:rStyle w:val="99"/>
          <w:rFonts w:ascii="宋体" w:hAnsi="宋体" w:cs="宋体"/>
        </w:rPr>
      </w:pPr>
    </w:p>
    <w:p>
      <w:pPr>
        <w:spacing w:line="500" w:lineRule="exact"/>
        <w:jc w:val="center"/>
        <w:outlineLvl w:val="0"/>
        <w:rPr>
          <w:rFonts w:hint="eastAsia" w:ascii="宋体" w:hAnsi="宋体" w:cs="宋体"/>
          <w:b/>
          <w:bCs/>
          <w:sz w:val="36"/>
          <w:szCs w:val="36"/>
        </w:rPr>
      </w:pPr>
      <w:r>
        <w:rPr>
          <w:rFonts w:hint="eastAsia" w:ascii="宋体" w:hAnsi="宋体" w:cs="宋体"/>
          <w:color w:val="000000"/>
          <w:kern w:val="0"/>
          <w:sz w:val="20"/>
          <w:szCs w:val="18"/>
        </w:rPr>
        <w:t xml:space="preserve"> </w:t>
      </w:r>
      <w:r>
        <w:rPr>
          <w:rFonts w:hint="eastAsia" w:ascii="宋体" w:hAnsi="宋体" w:cs="宋体"/>
          <w:color w:val="000000"/>
          <w:kern w:val="0"/>
          <w:sz w:val="18"/>
          <w:szCs w:val="18"/>
        </w:rPr>
        <w:br w:type="page"/>
      </w:r>
      <w:bookmarkStart w:id="5" w:name="_Toc1753"/>
      <w:r>
        <w:rPr>
          <w:rFonts w:hint="eastAsia" w:ascii="宋体" w:hAnsi="宋体" w:cs="宋体"/>
          <w:b/>
          <w:bCs/>
          <w:sz w:val="36"/>
          <w:szCs w:val="36"/>
        </w:rPr>
        <w:t>第二部分 磋商供应商须知前附表</w:t>
      </w:r>
      <w:bookmarkEnd w:id="5"/>
    </w:p>
    <w:p>
      <w:pPr>
        <w:widowControl/>
        <w:jc w:val="left"/>
        <w:rPr>
          <w:rFonts w:hint="eastAsia" w:ascii="宋体" w:hAnsi="宋体" w:cs="宋体"/>
        </w:rPr>
      </w:pPr>
    </w:p>
    <w:tbl>
      <w:tblPr>
        <w:tblStyle w:val="51"/>
        <w:tblW w:w="93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1"/>
        <w:gridCol w:w="1964"/>
        <w:gridCol w:w="667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序号</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内  容</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ind w:firstLine="2280" w:firstLineChars="950"/>
              <w:rPr>
                <w:rFonts w:hint="eastAsia" w:ascii="宋体" w:hAnsi="宋体" w:cs="宋体"/>
                <w:sz w:val="24"/>
              </w:rPr>
            </w:pPr>
            <w:r>
              <w:rPr>
                <w:rFonts w:hint="eastAsia" w:ascii="宋体" w:hAnsi="宋体" w:cs="宋体"/>
                <w:sz w:val="24"/>
              </w:rPr>
              <w:t>要    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项目名称</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温州市公安局鹿城区双屿***业务技术用房办公家具采购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2</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采购方式</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kern w:val="0"/>
                <w:sz w:val="24"/>
              </w:rPr>
            </w:pPr>
            <w:r>
              <w:rPr>
                <w:rFonts w:hint="eastAsia" w:ascii="宋体" w:hAnsi="宋体" w:cs="宋体"/>
                <w:kern w:val="0"/>
                <w:sz w:val="24"/>
              </w:rPr>
              <w:t>竞争性磋商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3</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信用记录</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cs="宋体"/>
                <w:sz w:val="24"/>
              </w:rPr>
            </w:pPr>
            <w:r>
              <w:rPr>
                <w:rFonts w:hint="eastAsia" w:ascii="宋体" w:hAnsi="宋体" w:cs="宋体"/>
                <w:sz w:val="24"/>
              </w:rPr>
              <w:t>根据财库[2016]125号文件，通过“信用中国”网站（www.creditchina.gov.cn）、中国政府采购网（www.ccgp.gov.cn），以磋商当日网页查询记录为准。对列入失信被执行人、重大税收违法案件当事人名单、政府采购严重违法失信行为记录名单的供应商，其磋商将作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4</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小微企业有关政策</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ind w:firstLine="480" w:firstLineChars="200"/>
              <w:rPr>
                <w:rFonts w:hint="eastAsia" w:ascii="宋体" w:hAnsi="宋体" w:cs="宋体"/>
                <w:sz w:val="24"/>
              </w:rPr>
            </w:pPr>
            <w:r>
              <w:rPr>
                <w:rFonts w:hint="eastAsia" w:ascii="宋体" w:hAnsi="宋体" w:cs="宋体"/>
                <w:sz w:val="24"/>
              </w:rPr>
              <w:t>扶持中小企业（监狱企业、残疾人福利性单位）：</w:t>
            </w:r>
          </w:p>
          <w:p>
            <w:pPr>
              <w:snapToGrid w:val="0"/>
              <w:spacing w:line="360" w:lineRule="exact"/>
              <w:ind w:firstLine="480" w:firstLineChars="200"/>
              <w:rPr>
                <w:rFonts w:hint="eastAsia" w:ascii="宋体" w:hAnsi="宋体" w:cs="宋体"/>
                <w:sz w:val="24"/>
              </w:rPr>
            </w:pPr>
            <w:r>
              <w:rPr>
                <w:rFonts w:hint="eastAsia" w:ascii="宋体" w:hAnsi="宋体" w:cs="宋体"/>
                <w:sz w:val="24"/>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pPr>
              <w:snapToGrid w:val="0"/>
              <w:spacing w:line="360" w:lineRule="exact"/>
              <w:ind w:firstLine="480" w:firstLineChars="200"/>
              <w:rPr>
                <w:rFonts w:hint="eastAsia" w:ascii="宋体" w:hAnsi="宋体" w:cs="宋体"/>
                <w:sz w:val="24"/>
              </w:rPr>
            </w:pPr>
            <w:r>
              <w:rPr>
                <w:rFonts w:hint="eastAsia" w:ascii="宋体" w:hAnsi="宋体" w:cs="宋体"/>
                <w:sz w:val="24"/>
              </w:rPr>
              <w:t>（1）项目预算：</w:t>
            </w:r>
            <w:r>
              <w:rPr>
                <w:rFonts w:hint="eastAsia" w:ascii="宋体" w:hAnsi="宋体" w:cs="宋体"/>
                <w:sz w:val="24"/>
                <w:u w:val="single"/>
              </w:rPr>
              <w:t>48万元</w:t>
            </w:r>
          </w:p>
          <w:p>
            <w:pPr>
              <w:snapToGrid w:val="0"/>
              <w:spacing w:line="360" w:lineRule="exact"/>
              <w:ind w:firstLine="480" w:firstLineChars="200"/>
              <w:rPr>
                <w:rFonts w:hint="eastAsia" w:ascii="宋体" w:hAnsi="宋体" w:cs="宋体"/>
                <w:sz w:val="24"/>
              </w:rPr>
            </w:pPr>
            <w:r>
              <w:rPr>
                <w:rFonts w:hint="eastAsia" w:ascii="宋体" w:hAnsi="宋体" w:cs="宋体"/>
                <w:sz w:val="24"/>
              </w:rPr>
              <w:t>（2）项目属性：</w:t>
            </w:r>
            <w:r>
              <w:rPr>
                <w:rFonts w:hint="eastAsia" w:ascii="宋体" w:hAnsi="宋体" w:cs="宋体"/>
                <w:sz w:val="24"/>
                <w:u w:val="single"/>
              </w:rPr>
              <w:t>①货物类</w:t>
            </w:r>
            <w:r>
              <w:rPr>
                <w:rFonts w:hint="eastAsia" w:ascii="宋体" w:hAnsi="宋体" w:cs="宋体"/>
                <w:sz w:val="24"/>
              </w:rPr>
              <w:t>（①货物类/②服务类/③工程类）</w:t>
            </w:r>
          </w:p>
          <w:p>
            <w:pPr>
              <w:snapToGrid w:val="0"/>
              <w:spacing w:line="360" w:lineRule="exact"/>
              <w:ind w:firstLine="480" w:firstLineChars="200"/>
              <w:rPr>
                <w:rFonts w:hint="eastAsia" w:ascii="宋体" w:hAnsi="宋体" w:cs="宋体"/>
                <w:sz w:val="24"/>
              </w:rPr>
            </w:pPr>
            <w:r>
              <w:rPr>
                <w:rFonts w:hint="eastAsia" w:ascii="宋体" w:hAnsi="宋体" w:cs="宋体"/>
                <w:sz w:val="24"/>
              </w:rPr>
              <w:t>（3）项目对应的中小企业划分标准所属行业：</w:t>
            </w:r>
            <w:r>
              <w:rPr>
                <w:rFonts w:hint="eastAsia" w:ascii="宋体" w:hAnsi="宋体" w:cs="宋体"/>
                <w:sz w:val="24"/>
                <w:u w:val="single"/>
              </w:rPr>
              <w:t>工业</w:t>
            </w:r>
            <w:r>
              <w:rPr>
                <w:rFonts w:hint="eastAsia" w:ascii="宋体" w:hAnsi="宋体" w:cs="宋体"/>
                <w:sz w:val="24"/>
              </w:rPr>
              <w:t>（具体根据《中小企业划型标准规定》执行）</w:t>
            </w:r>
          </w:p>
          <w:p>
            <w:pPr>
              <w:snapToGrid w:val="0"/>
              <w:spacing w:line="360" w:lineRule="exact"/>
              <w:ind w:firstLine="480" w:firstLineChars="200"/>
              <w:rPr>
                <w:rFonts w:hint="eastAsia" w:ascii="宋体" w:hAnsi="宋体" w:cs="宋体"/>
                <w:sz w:val="24"/>
              </w:rPr>
            </w:pPr>
            <w:r>
              <w:rPr>
                <w:rFonts w:hint="eastAsia" w:ascii="宋体" w:hAnsi="宋体" w:cs="宋体"/>
                <w:sz w:val="24"/>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pPr>
              <w:snapToGrid w:val="0"/>
              <w:spacing w:line="360" w:lineRule="exact"/>
              <w:ind w:firstLine="480" w:firstLineChars="200"/>
              <w:rPr>
                <w:rFonts w:hint="eastAsia" w:ascii="宋体" w:hAnsi="宋体" w:cs="宋体"/>
                <w:sz w:val="24"/>
                <w:highlight w:val="yellow"/>
              </w:rPr>
            </w:pPr>
            <w:r>
              <w:rPr>
                <w:rFonts w:hint="eastAsia" w:ascii="宋体" w:hAnsi="宋体" w:cs="宋体"/>
                <w:sz w:val="24"/>
              </w:rPr>
              <w:t xml:space="preserve">（4）本项目 </w:t>
            </w:r>
            <w:r>
              <w:rPr>
                <w:rFonts w:hint="eastAsia" w:ascii="宋体" w:hAnsi="宋体" w:cs="宋体"/>
                <w:sz w:val="24"/>
                <w:u w:val="single"/>
              </w:rPr>
              <w:t>是</w:t>
            </w:r>
            <w:r>
              <w:rPr>
                <w:rFonts w:hint="eastAsia" w:ascii="宋体" w:hAnsi="宋体" w:cs="宋体"/>
                <w:sz w:val="24"/>
              </w:rPr>
              <w:t>（是/否）属于预留份额专门面向中小企业采购的项目。</w:t>
            </w:r>
          </w:p>
          <w:p>
            <w:pPr>
              <w:snapToGrid w:val="0"/>
              <w:spacing w:line="360" w:lineRule="exact"/>
              <w:ind w:firstLine="480" w:firstLineChars="200"/>
              <w:rPr>
                <w:rFonts w:hint="eastAsia" w:ascii="宋体" w:hAnsi="宋体" w:cs="宋体"/>
                <w:sz w:val="24"/>
              </w:rPr>
            </w:pPr>
            <w:r>
              <w:rPr>
                <w:rFonts w:hint="eastAsia" w:ascii="宋体" w:hAnsi="宋体" w:cs="宋体"/>
                <w:sz w:val="24"/>
              </w:rPr>
              <w:t>（5）上述第4项中确定为“是”的采购项目，预留份额通过（①）措施进行：</w:t>
            </w:r>
          </w:p>
          <w:p>
            <w:pPr>
              <w:snapToGrid w:val="0"/>
              <w:spacing w:line="360" w:lineRule="exact"/>
              <w:ind w:firstLine="480" w:firstLineChars="200"/>
              <w:rPr>
                <w:rFonts w:hint="eastAsia" w:ascii="宋体" w:hAnsi="宋体" w:cs="宋体"/>
                <w:sz w:val="24"/>
              </w:rPr>
            </w:pPr>
            <w:r>
              <w:rPr>
                <w:rFonts w:hint="eastAsia" w:ascii="宋体" w:hAnsi="宋体" w:cs="宋体"/>
                <w:sz w:val="24"/>
              </w:rPr>
              <w:t xml:space="preserve">①将采购项目整体或者设置采购包专门面向中小企业采购； </w:t>
            </w:r>
          </w:p>
          <w:p>
            <w:pPr>
              <w:snapToGrid w:val="0"/>
              <w:spacing w:line="360" w:lineRule="exact"/>
              <w:ind w:firstLine="480" w:firstLineChars="200"/>
              <w:rPr>
                <w:rFonts w:hint="eastAsia" w:ascii="宋体" w:hAnsi="宋体" w:cs="宋体"/>
                <w:sz w:val="24"/>
              </w:rPr>
            </w:pPr>
            <w:r>
              <w:rPr>
                <w:rFonts w:hint="eastAsia" w:ascii="宋体" w:hAnsi="宋体" w:cs="宋体"/>
                <w:sz w:val="24"/>
              </w:rPr>
              <w:t>②要求供应商以联合体形式参加采购活动，且联合体中中小企业承担的部分达到</w:t>
            </w:r>
            <w:r>
              <w:rPr>
                <w:rFonts w:hint="eastAsia" w:ascii="宋体" w:hAnsi="宋体" w:cs="宋体"/>
                <w:sz w:val="24"/>
                <w:u w:val="single"/>
              </w:rPr>
              <w:t xml:space="preserve"> / </w:t>
            </w:r>
            <w:r>
              <w:rPr>
                <w:rFonts w:hint="eastAsia" w:ascii="宋体" w:hAnsi="宋体" w:cs="宋体"/>
                <w:sz w:val="24"/>
              </w:rPr>
              <w:t xml:space="preserve">(比例)； </w:t>
            </w:r>
          </w:p>
          <w:p>
            <w:pPr>
              <w:snapToGrid w:val="0"/>
              <w:spacing w:line="360" w:lineRule="exact"/>
              <w:ind w:firstLine="480" w:firstLineChars="200"/>
              <w:rPr>
                <w:rFonts w:hint="eastAsia" w:ascii="宋体" w:hAnsi="宋体" w:cs="宋体"/>
                <w:sz w:val="24"/>
              </w:rPr>
            </w:pPr>
            <w:r>
              <w:rPr>
                <w:rFonts w:hint="eastAsia" w:ascii="宋体" w:hAnsi="宋体" w:cs="宋体"/>
                <w:sz w:val="24"/>
              </w:rPr>
              <w:t>③要求获得采购合同的供应商将采购项目中的 / (比例)分包给一家或者多家中小企业。</w:t>
            </w:r>
          </w:p>
          <w:p>
            <w:pPr>
              <w:widowControl/>
              <w:spacing w:line="360" w:lineRule="exact"/>
              <w:jc w:val="left"/>
              <w:rPr>
                <w:rFonts w:hint="eastAsia" w:ascii="宋体" w:hAnsi="宋体" w:cs="宋体"/>
                <w:b/>
                <w:sz w:val="24"/>
              </w:rPr>
            </w:pPr>
            <w:r>
              <w:rPr>
                <w:rFonts w:hint="eastAsia" w:ascii="宋体" w:hAnsi="宋体" w:cs="宋体"/>
                <w:sz w:val="24"/>
              </w:rPr>
              <w:t>专门面向中小企业采购的项目或者标项，不再执行价格评审优惠的扶持政策。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5</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质疑和澄清</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cs="宋体"/>
                <w:sz w:val="24"/>
              </w:rPr>
            </w:pPr>
            <w:r>
              <w:rPr>
                <w:rFonts w:hint="eastAsia" w:ascii="宋体" w:hAnsi="宋体" w:cs="宋体"/>
                <w:sz w:val="24"/>
              </w:rPr>
              <w:t>1、磋商供应商认为竞争性磋商文件、磋商过程、成交结果使自己的合法权益受到损害的，可以在知道或应知其权益受到损害之日起7个工作日内，以书面形式提交给接收质疑函联系部门，逾期不受理。质疑磋商供应商必须在法定质疑期内一次性提出针对同一采购程序（包括采购文件、采购过程、成交结果）环节的质疑。</w:t>
            </w:r>
          </w:p>
          <w:p>
            <w:pPr>
              <w:snapToGrid w:val="0"/>
              <w:spacing w:line="360" w:lineRule="exact"/>
              <w:jc w:val="left"/>
              <w:rPr>
                <w:rFonts w:hint="eastAsia" w:ascii="宋体" w:hAnsi="宋体" w:cs="宋体"/>
                <w:sz w:val="24"/>
              </w:rPr>
            </w:pPr>
            <w:r>
              <w:rPr>
                <w:rFonts w:hint="eastAsia" w:ascii="宋体" w:hAnsi="宋体" w:cs="宋体"/>
                <w:sz w:val="24"/>
              </w:rPr>
              <w:t>2、项目的书面澄清（更正）文件会在浙江省政府网上发布公告，同时政采云系统会向所有已按竞争性磋商文件规定方式获取竞争性磋商文件的潜在供应商发送更正提醒信息，潜在供应商请自行到浙江省政府采网上下载澄清（更正）文件。澄清（更正）文件是竞争性磋商文件重要组成部分，供应商应及时查看提醒信息，否则后果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6</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是否允许采购进口产品</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bookmarkStart w:id="6" w:name="PO_15528_PM042"/>
            <w:r>
              <w:rPr>
                <w:rFonts w:hint="eastAsia" w:ascii="宋体" w:hAnsi="宋体" w:cs="宋体"/>
                <w:sz w:val="24"/>
              </w:rPr>
              <w:t>不允许进口产品</w:t>
            </w:r>
            <w:bookmarkEnd w:id="6"/>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7</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是否允许转包与分包</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转包：否</w:t>
            </w:r>
          </w:p>
          <w:p>
            <w:pPr>
              <w:snapToGrid w:val="0"/>
              <w:spacing w:line="360" w:lineRule="exact"/>
              <w:jc w:val="left"/>
              <w:rPr>
                <w:rFonts w:hint="eastAsia" w:ascii="宋体" w:hAnsi="宋体" w:cs="宋体"/>
                <w:sz w:val="24"/>
              </w:rPr>
            </w:pPr>
            <w:r>
              <w:rPr>
                <w:rFonts w:hint="eastAsia" w:ascii="宋体" w:hAnsi="宋体" w:cs="宋体"/>
                <w:sz w:val="24"/>
              </w:rPr>
              <w:t>分包：</w:t>
            </w:r>
            <w:bookmarkStart w:id="7" w:name="PO_15528_PM044"/>
            <w:r>
              <w:rPr>
                <w:rFonts w:hint="eastAsia" w:ascii="宋体" w:hAnsi="宋体" w:cs="宋体"/>
                <w:sz w:val="24"/>
              </w:rPr>
              <w:t>不允许分包</w:t>
            </w:r>
            <w:bookmarkEnd w:id="7"/>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8</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是否接受联合体磋商</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9</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是否现场踏勘</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540"/>
              </w:tabs>
              <w:snapToGrid w:val="0"/>
              <w:spacing w:line="360" w:lineRule="exact"/>
              <w:rPr>
                <w:rFonts w:hint="eastAsia" w:ascii="宋体" w:hAnsi="宋体" w:cs="宋体"/>
                <w:sz w:val="24"/>
              </w:rPr>
            </w:pPr>
            <w:bookmarkStart w:id="8" w:name="PO_15528_PM040"/>
            <w:r>
              <w:rPr>
                <w:rFonts w:hint="eastAsia" w:ascii="宋体" w:hAnsi="宋体" w:cs="宋体"/>
                <w:sz w:val="24"/>
              </w:rPr>
              <w:t>采购人不组织现场踏勘；各</w:t>
            </w:r>
            <w:r>
              <w:rPr>
                <w:rFonts w:hint="eastAsia" w:ascii="宋体" w:hAnsi="宋体" w:cs="宋体"/>
                <w:color w:val="000000"/>
                <w:sz w:val="24"/>
              </w:rPr>
              <w:t>供应商</w:t>
            </w:r>
            <w:r>
              <w:rPr>
                <w:rFonts w:hint="eastAsia" w:ascii="宋体" w:hAnsi="宋体" w:cs="宋体"/>
                <w:sz w:val="24"/>
              </w:rPr>
              <w:t>可于磋商响应截止时间前自行到现场踏勘</w:t>
            </w:r>
            <w:bookmarkEnd w:id="8"/>
            <w:r>
              <w:rPr>
                <w:rFonts w:hint="eastAsia" w:ascii="宋体" w:hAnsi="宋体" w:cs="宋体"/>
                <w:sz w:val="24"/>
              </w:rPr>
              <w:t>，费用及责任风险自负。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10</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是否提供演示</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是否提供样品</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bookmarkStart w:id="9" w:name="PO_15528_PM043"/>
            <w:r>
              <w:rPr>
                <w:rFonts w:hint="eastAsia" w:ascii="宋体" w:hAnsi="宋体" w:cs="宋体"/>
                <w:sz w:val="24"/>
              </w:rPr>
              <w:t>要求提供样品</w:t>
            </w:r>
            <w:bookmarkEnd w:id="9"/>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12</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磋商保证金</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无须缴纳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13</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合同签订时间</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成交通知书发出后30日内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14</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履约保证金</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本项目不要求提供履约保证金。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15</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付款方式</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详见合同条款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16</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磋商响应文件有效期</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w:t>
            </w:r>
            <w:r>
              <w:rPr>
                <w:rFonts w:hint="eastAsia" w:ascii="宋体" w:hAnsi="宋体" w:cs="宋体"/>
                <w:sz w:val="24"/>
                <w:u w:val="single"/>
              </w:rPr>
              <w:t>自磋商之日起120天内磋商应保持有效。磋商有效期短于这个规定期限的磋商将视为未满足竞争性磋商文件实质性要求作无效响应处理。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17</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评审方法</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18</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exact"/>
              <w:ind w:left="-61" w:leftChars="-29"/>
              <w:rPr>
                <w:rFonts w:hint="eastAsia" w:ascii="宋体" w:hAnsi="宋体" w:cs="宋体"/>
                <w:sz w:val="24"/>
              </w:rPr>
            </w:pPr>
            <w:r>
              <w:rPr>
                <w:rFonts w:hint="eastAsia" w:ascii="宋体" w:hAnsi="宋体" w:cs="宋体"/>
                <w:sz w:val="24"/>
              </w:rPr>
              <w:t>磋商响应文件形式</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exact"/>
              <w:ind w:left="-61" w:leftChars="-29" w:right="105" w:rightChars="50"/>
              <w:rPr>
                <w:rFonts w:hint="eastAsia" w:ascii="宋体" w:hAnsi="宋体" w:cs="宋体"/>
                <w:sz w:val="24"/>
              </w:rPr>
            </w:pPr>
            <w:r>
              <w:rPr>
                <w:rFonts w:hint="eastAsia" w:ascii="宋体" w:hAnsi="宋体" w:cs="宋体"/>
                <w:sz w:val="24"/>
              </w:rPr>
              <w:t>电子磋商文件包括“电子加密磋商响应文件”和“备份磋商响应文件”，在磋商响应文件编制完成后同时生成。</w:t>
            </w:r>
          </w:p>
          <w:p>
            <w:pPr>
              <w:numPr>
                <w:ilvl w:val="0"/>
                <w:numId w:val="11"/>
              </w:numPr>
              <w:tabs>
                <w:tab w:val="left" w:pos="0"/>
              </w:tabs>
              <w:spacing w:line="360" w:lineRule="exact"/>
              <w:ind w:left="-61" w:leftChars="-29" w:right="105" w:rightChars="50"/>
              <w:rPr>
                <w:rFonts w:hint="eastAsia" w:ascii="宋体" w:hAnsi="宋体" w:cs="宋体"/>
                <w:sz w:val="24"/>
              </w:rPr>
            </w:pPr>
            <w:r>
              <w:rPr>
                <w:rFonts w:hint="eastAsia" w:ascii="宋体" w:hAnsi="宋体" w:cs="宋体"/>
                <w:sz w:val="24"/>
              </w:rPr>
              <w:t>“电子加密磋商响应文件”是指通过“政采云电子交易客户端”完成磋商响应文件编制后生成并加密的数据电文形式的磋商响应文件。</w:t>
            </w:r>
          </w:p>
          <w:p>
            <w:pPr>
              <w:numPr>
                <w:ilvl w:val="0"/>
                <w:numId w:val="11"/>
              </w:numPr>
              <w:tabs>
                <w:tab w:val="left" w:pos="0"/>
              </w:tabs>
              <w:spacing w:line="360" w:lineRule="exact"/>
              <w:ind w:left="-61" w:leftChars="-29"/>
              <w:rPr>
                <w:rFonts w:hint="eastAsia" w:ascii="宋体" w:hAnsi="宋体" w:cs="宋体"/>
                <w:sz w:val="24"/>
              </w:rPr>
            </w:pPr>
            <w:r>
              <w:rPr>
                <w:rFonts w:hint="eastAsia" w:ascii="宋体" w:hAnsi="宋体" w:cs="宋体"/>
                <w:sz w:val="24"/>
              </w:rPr>
              <w:t>“备份磋商响应文件”是指与“电子加密磋商响应文件”同时生成的数据电文形式的电子文件（备份磋商响应文件，用于磋商供应商的磋商响应文件解密异常时应急之用），其他方式编制的备份磋商响应文件视为无效备份磋商响应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19</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jc w:val="left"/>
              <w:textAlignment w:val="bottom"/>
              <w:rPr>
                <w:rFonts w:hint="eastAsia" w:ascii="宋体" w:hAnsi="宋体" w:cs="宋体"/>
                <w:sz w:val="24"/>
              </w:rPr>
            </w:pPr>
            <w:r>
              <w:rPr>
                <w:rFonts w:hint="eastAsia" w:ascii="宋体" w:hAnsi="宋体" w:cs="宋体"/>
                <w:sz w:val="24"/>
              </w:rPr>
              <w:t>磋商响应文件的接收</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rFonts w:hint="eastAsia" w:ascii="宋体" w:hAnsi="宋体" w:cs="宋体"/>
                <w:sz w:val="24"/>
              </w:rPr>
            </w:pPr>
            <w:r>
              <w:rPr>
                <w:rFonts w:hint="eastAsia" w:ascii="宋体" w:hAnsi="宋体" w:cs="宋体"/>
                <w:sz w:val="24"/>
              </w:rPr>
              <w:t>磋商响应文件分为电子磋商响应文件以及备份磋商响应文件。</w:t>
            </w:r>
          </w:p>
          <w:p>
            <w:pPr>
              <w:tabs>
                <w:tab w:val="left" w:pos="0"/>
              </w:tabs>
              <w:spacing w:line="360" w:lineRule="exact"/>
              <w:ind w:left="-61" w:leftChars="-29"/>
              <w:rPr>
                <w:rFonts w:hint="eastAsia" w:ascii="宋体" w:hAnsi="宋体" w:cs="宋体"/>
                <w:kern w:val="0"/>
                <w:sz w:val="24"/>
              </w:rPr>
            </w:pPr>
            <w:r>
              <w:rPr>
                <w:rFonts w:hint="eastAsia" w:ascii="宋体" w:hAnsi="宋体" w:cs="宋体"/>
                <w:sz w:val="24"/>
              </w:rPr>
              <w:t>1、</w:t>
            </w:r>
            <w:r>
              <w:rPr>
                <w:rFonts w:hint="eastAsia" w:ascii="宋体" w:hAnsi="宋体" w:cs="宋体"/>
                <w:kern w:val="0"/>
                <w:sz w:val="24"/>
              </w:rPr>
              <w:t>磋商供应商应当在2022年 11 月  2</w:t>
            </w:r>
            <w:r>
              <w:rPr>
                <w:rFonts w:hint="eastAsia" w:ascii="宋体" w:hAnsi="宋体" w:cs="宋体"/>
                <w:kern w:val="0"/>
                <w:sz w:val="24"/>
                <w:lang w:val="en-US" w:eastAsia="zh-CN"/>
              </w:rPr>
              <w:t>9</w:t>
            </w:r>
            <w:r>
              <w:rPr>
                <w:rFonts w:hint="eastAsia" w:ascii="宋体" w:hAnsi="宋体" w:cs="宋体"/>
                <w:kern w:val="0"/>
                <w:sz w:val="24"/>
              </w:rPr>
              <w:t xml:space="preserve"> 日9:30时整之前按照电子磋商要求将电子加密磋商响应文件上传到“政采云”平台，逾期或未上传成功的将导致无法磋商或磋商响应无效。</w:t>
            </w:r>
          </w:p>
          <w:p>
            <w:pPr>
              <w:pStyle w:val="27"/>
              <w:adjustRightInd w:val="0"/>
              <w:snapToGrid w:val="0"/>
              <w:spacing w:line="360" w:lineRule="exact"/>
              <w:rPr>
                <w:rFonts w:hint="eastAsia" w:hAnsi="宋体" w:cs="宋体"/>
                <w:kern w:val="0"/>
                <w:sz w:val="24"/>
                <w:szCs w:val="24"/>
              </w:rPr>
            </w:pPr>
            <w:r>
              <w:rPr>
                <w:rFonts w:hint="eastAsia" w:hAnsi="宋体" w:cs="宋体"/>
                <w:sz w:val="24"/>
                <w:szCs w:val="24"/>
              </w:rPr>
              <w:t>2</w:t>
            </w:r>
            <w:r>
              <w:rPr>
                <w:rFonts w:hint="eastAsia" w:hAnsi="宋体" w:cs="宋体"/>
                <w:kern w:val="0"/>
                <w:sz w:val="24"/>
                <w:szCs w:val="24"/>
              </w:rPr>
              <w:t>、磋商供应商应当在2022年  11 月 2</w:t>
            </w:r>
            <w:r>
              <w:rPr>
                <w:rFonts w:hint="eastAsia" w:hAnsi="宋体" w:cs="宋体"/>
                <w:kern w:val="0"/>
                <w:sz w:val="24"/>
                <w:szCs w:val="24"/>
                <w:lang w:val="en-US" w:eastAsia="zh-CN"/>
              </w:rPr>
              <w:t>9</w:t>
            </w:r>
            <w:r>
              <w:rPr>
                <w:rFonts w:hint="eastAsia" w:hAnsi="宋体" w:cs="宋体"/>
                <w:kern w:val="0"/>
                <w:sz w:val="24"/>
                <w:szCs w:val="24"/>
              </w:rPr>
              <w:t xml:space="preserve">  日9:30时整之前将在政采云平台上最后生成的</w:t>
            </w:r>
            <w:r>
              <w:rPr>
                <w:rFonts w:hint="eastAsia" w:hAnsi="宋体" w:cs="宋体"/>
                <w:b/>
                <w:kern w:val="0"/>
                <w:sz w:val="24"/>
                <w:szCs w:val="24"/>
              </w:rPr>
              <w:t>具备电子签章</w:t>
            </w:r>
            <w:r>
              <w:rPr>
                <w:rFonts w:hint="eastAsia" w:hAnsi="宋体" w:cs="宋体"/>
                <w:kern w:val="0"/>
                <w:sz w:val="24"/>
                <w:szCs w:val="24"/>
              </w:rPr>
              <w:t>的备份加密磋商响应文件（文件名备注后缀为“备份文件”四字的首字母）以电子邮件方式传送至温州市公共资源交易中心鹿城分中心邮箱（luchengcgzx@163.com），传送的备份电子磋商响应文件需打包压缩并加密，加密密码由磋商供应商自行保管，如备份电子磋商响应文件未加密，则磋商供应商需自行承担磋商响应文件提前泄密的风险。如政采云上电子磋商响应文件出现解密失败情况（磋商当日9:30-10:00期间进行解密），磋商供应商可按照自身意愿确认是否同意提供加密密码解密传送至温州市公共资源交易中心鹿城分中心邮箱的备份文件，并以备份文件作为替代电子磋商响应文件。如磋商供应商未按照规定时间（2022年 11  月 2</w:t>
            </w:r>
            <w:r>
              <w:rPr>
                <w:rFonts w:hint="eastAsia" w:hAnsi="宋体" w:cs="宋体"/>
                <w:kern w:val="0"/>
                <w:sz w:val="24"/>
                <w:szCs w:val="24"/>
                <w:lang w:val="en-US" w:eastAsia="zh-CN"/>
              </w:rPr>
              <w:t>9</w:t>
            </w:r>
            <w:r>
              <w:rPr>
                <w:rFonts w:hint="eastAsia" w:hAnsi="宋体" w:cs="宋体"/>
                <w:kern w:val="0"/>
                <w:sz w:val="24"/>
                <w:szCs w:val="24"/>
              </w:rPr>
              <w:t xml:space="preserve">  日9:30时整之前）及要求提供有效备份文件并解密成功，同时政采云上磋商响应文件解密失败的，将导致磋商无效。</w:t>
            </w:r>
          </w:p>
          <w:p>
            <w:pPr>
              <w:pStyle w:val="27"/>
              <w:adjustRightInd w:val="0"/>
              <w:snapToGrid w:val="0"/>
              <w:spacing w:line="360" w:lineRule="exact"/>
              <w:rPr>
                <w:rFonts w:hint="eastAsia" w:hAnsi="宋体" w:cs="宋体"/>
                <w:kern w:val="0"/>
                <w:sz w:val="24"/>
                <w:szCs w:val="24"/>
              </w:rPr>
            </w:pPr>
            <w:r>
              <w:rPr>
                <w:rFonts w:hint="eastAsia" w:hAnsi="宋体" w:cs="宋体"/>
                <w:kern w:val="0"/>
                <w:sz w:val="24"/>
                <w:szCs w:val="24"/>
              </w:rPr>
              <w:t>3、</w:t>
            </w:r>
            <w:r>
              <w:rPr>
                <w:rFonts w:hint="eastAsia" w:hAnsi="宋体" w:cs="宋体"/>
                <w:sz w:val="24"/>
                <w:szCs w:val="24"/>
              </w:rPr>
              <w:t>电子磋商响应文件与备份磋商响应文件必须同时生成且内容完全一致。</w:t>
            </w:r>
          </w:p>
          <w:p>
            <w:pPr>
              <w:adjustRightInd w:val="0"/>
              <w:snapToGrid w:val="0"/>
              <w:spacing w:line="360" w:lineRule="exact"/>
              <w:rPr>
                <w:rFonts w:hint="eastAsia" w:ascii="宋体" w:hAnsi="宋体" w:cs="宋体"/>
                <w:sz w:val="24"/>
              </w:rPr>
            </w:pPr>
            <w:r>
              <w:rPr>
                <w:rFonts w:hint="eastAsia" w:ascii="宋体" w:hAnsi="宋体" w:cs="宋体"/>
                <w:sz w:val="24"/>
              </w:rPr>
              <w:t>4、磋商响应文件的启用，按先后顺位分别为电子磋商响应文件、以电子邮件形式的备份磋商响应文件。在下一顺位的磋商响应文件启用时，前一顺位的磋商响应文件自动失效。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20</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采购代理机构代理费用</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0元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21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签章</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严格按照竞争性磋商文件第七部分磋商响应文件格式附件内容签章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22</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政采贷</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outlineLvl w:val="0"/>
              <w:rPr>
                <w:rFonts w:hint="eastAsia" w:ascii="宋体" w:hAnsi="宋体" w:cs="宋体"/>
                <w:sz w:val="24"/>
              </w:rPr>
            </w:pPr>
            <w:bookmarkStart w:id="10" w:name="_Toc24245"/>
            <w:r>
              <w:rPr>
                <w:rFonts w:hint="eastAsia" w:ascii="宋体" w:hAnsi="宋体" w:cs="宋体"/>
                <w:sz w:val="24"/>
              </w:rPr>
              <w:t>温州政府采购项目现已开通支持中小企业信用融资合作银行活动，如有需要请点击：https://ggzy.wzzbtb.com/wzcms/ggtz/50415.htm</w:t>
            </w:r>
            <w:bookmarkEnd w:id="1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23</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解释权</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宋体" w:hAnsi="宋体" w:cs="宋体"/>
                <w:sz w:val="24"/>
              </w:rPr>
            </w:pPr>
            <w:r>
              <w:rPr>
                <w:rFonts w:hint="eastAsia" w:ascii="宋体" w:hAnsi="宋体" w:cs="宋体"/>
                <w:sz w:val="24"/>
              </w:rPr>
              <w:t>构成本磋商文件的各个组成文件应互为解释，互为说明；如有不明确或不一致，构成合同文件组成内容的，以合同文件约定内容为准，且以专用合同条款约定的合同文件优先顺序解释；仅适用于采购阶段的约定，按采购公告、供应商须知、评标办法、磋商响应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cs="宋体"/>
                <w:sz w:val="24"/>
              </w:rPr>
            </w:pPr>
            <w:r>
              <w:rPr>
                <w:rFonts w:hint="eastAsia" w:ascii="宋体" w:hAnsi="宋体" w:cs="宋体"/>
                <w:sz w:val="24"/>
              </w:rPr>
              <w:t>24</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left"/>
              <w:rPr>
                <w:rFonts w:hint="eastAsia" w:ascii="宋体" w:hAnsi="宋体" w:cs="宋体"/>
                <w:sz w:val="24"/>
              </w:rPr>
            </w:pPr>
            <w:r>
              <w:rPr>
                <w:rFonts w:hint="eastAsia" w:ascii="宋体" w:hAnsi="宋体" w:cs="宋体"/>
                <w:sz w:val="24"/>
              </w:rPr>
              <w:t>注意事项</w:t>
            </w:r>
          </w:p>
        </w:tc>
        <w:tc>
          <w:tcPr>
            <w:tcW w:w="66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rPr>
                <w:rFonts w:hint="eastAsia" w:ascii="宋体" w:hAnsi="宋体" w:cs="宋体"/>
                <w:sz w:val="24"/>
              </w:rPr>
            </w:pPr>
            <w:r>
              <w:rPr>
                <w:rFonts w:hint="eastAsia" w:ascii="宋体" w:hAnsi="宋体" w:cs="宋体"/>
                <w:sz w:val="24"/>
              </w:rPr>
              <w:t>1.请务必确保磋商响应文件制作客户端为最新版本，旧版本可能导致磋商响应文件解密失败。</w:t>
            </w:r>
          </w:p>
          <w:p>
            <w:pPr>
              <w:adjustRightInd w:val="0"/>
              <w:snapToGrid w:val="0"/>
              <w:spacing w:line="360" w:lineRule="exact"/>
              <w:rPr>
                <w:rFonts w:hint="eastAsia" w:ascii="宋体" w:hAnsi="宋体" w:cs="宋体"/>
                <w:sz w:val="24"/>
              </w:rPr>
            </w:pPr>
            <w:r>
              <w:rPr>
                <w:rFonts w:hint="eastAsia" w:ascii="宋体" w:hAnsi="宋体" w:cs="宋体"/>
                <w:sz w:val="24"/>
              </w:rPr>
              <w:t>2.请务必确保磋商响应文件制作时所用的 CA 锁与磋商响应文件解密时的 CA 锁为同一把，否则可能导致磋商响应文件解密失败。</w:t>
            </w:r>
          </w:p>
        </w:tc>
      </w:tr>
    </w:tbl>
    <w:p>
      <w:pPr>
        <w:spacing w:line="500" w:lineRule="exact"/>
        <w:jc w:val="center"/>
        <w:outlineLvl w:val="0"/>
        <w:rPr>
          <w:rFonts w:hint="eastAsia" w:ascii="宋体" w:hAnsi="宋体" w:cs="宋体"/>
          <w:b/>
          <w:bCs/>
          <w:sz w:val="36"/>
          <w:szCs w:val="36"/>
        </w:rPr>
      </w:pPr>
      <w:r>
        <w:rPr>
          <w:rFonts w:hint="eastAsia" w:ascii="宋体" w:hAnsi="宋体" w:cs="宋体"/>
          <w:b/>
          <w:bCs/>
          <w:sz w:val="36"/>
          <w:szCs w:val="36"/>
        </w:rPr>
        <w:br w:type="page"/>
      </w:r>
      <w:bookmarkStart w:id="11" w:name="_Toc1724"/>
      <w:r>
        <w:rPr>
          <w:rFonts w:hint="eastAsia" w:ascii="宋体" w:hAnsi="宋体" w:cs="宋体"/>
          <w:b/>
          <w:bCs/>
          <w:sz w:val="36"/>
          <w:szCs w:val="36"/>
        </w:rPr>
        <w:t>第三部分 磋商供应商须知</w:t>
      </w:r>
      <w:bookmarkEnd w:id="11"/>
    </w:p>
    <w:p>
      <w:pPr>
        <w:widowControl/>
        <w:jc w:val="left"/>
        <w:rPr>
          <w:rFonts w:hint="eastAsia" w:ascii="宋体" w:hAnsi="宋体" w:cs="宋体"/>
        </w:rPr>
      </w:pPr>
    </w:p>
    <w:p>
      <w:pPr>
        <w:spacing w:line="500" w:lineRule="exact"/>
        <w:jc w:val="center"/>
        <w:rPr>
          <w:rFonts w:hint="eastAsia" w:ascii="宋体" w:hAnsi="宋体" w:cs="宋体"/>
          <w:b/>
          <w:bCs/>
          <w:sz w:val="36"/>
          <w:szCs w:val="36"/>
        </w:rPr>
      </w:pPr>
      <w:r>
        <w:rPr>
          <w:rFonts w:hint="eastAsia" w:ascii="宋体" w:hAnsi="宋体" w:cs="宋体"/>
          <w:b/>
          <w:bCs/>
          <w:sz w:val="36"/>
          <w:szCs w:val="36"/>
        </w:rPr>
        <w:t>一   总则</w:t>
      </w:r>
    </w:p>
    <w:p>
      <w:pPr>
        <w:widowControl/>
        <w:jc w:val="left"/>
        <w:rPr>
          <w:rFonts w:hint="eastAsia" w:ascii="宋体" w:hAnsi="宋体" w:cs="宋体"/>
        </w:rPr>
      </w:pPr>
    </w:p>
    <w:p>
      <w:pPr>
        <w:tabs>
          <w:tab w:val="left" w:pos="360"/>
        </w:tabs>
        <w:spacing w:line="360" w:lineRule="auto"/>
        <w:ind w:firstLine="480" w:firstLineChars="200"/>
        <w:rPr>
          <w:rFonts w:hint="eastAsia" w:ascii="宋体" w:hAnsi="宋体" w:cs="宋体"/>
          <w:sz w:val="24"/>
        </w:rPr>
      </w:pPr>
      <w:r>
        <w:rPr>
          <w:rFonts w:hint="eastAsia" w:ascii="宋体" w:hAnsi="宋体" w:cs="宋体"/>
          <w:sz w:val="24"/>
        </w:rPr>
        <w:t>本次磋商是按照《中华人民共和国政府采购法》、《中华人民共和国政府采购法实施条例》、《政府采购竞争性磋商采购方式管理暂行办法》等法律及有关法规组织和实施的。</w:t>
      </w:r>
    </w:p>
    <w:p>
      <w:pPr>
        <w:snapToGrid w:val="0"/>
        <w:spacing w:line="460" w:lineRule="exact"/>
        <w:ind w:firstLine="357" w:firstLineChars="148"/>
        <w:jc w:val="left"/>
        <w:outlineLvl w:val="1"/>
        <w:rPr>
          <w:rFonts w:hint="eastAsia" w:ascii="宋体" w:hAnsi="宋体" w:cs="宋体"/>
          <w:b/>
          <w:sz w:val="24"/>
        </w:rPr>
      </w:pPr>
      <w:r>
        <w:rPr>
          <w:rFonts w:hint="eastAsia" w:ascii="宋体" w:hAnsi="宋体" w:cs="宋体"/>
          <w:b/>
          <w:sz w:val="24"/>
        </w:rPr>
        <w:t>（一）适用范围</w:t>
      </w:r>
    </w:p>
    <w:p>
      <w:pPr>
        <w:snapToGrid w:val="0"/>
        <w:spacing w:line="460" w:lineRule="exact"/>
        <w:ind w:firstLine="480" w:firstLineChars="200"/>
        <w:rPr>
          <w:rFonts w:hint="eastAsia" w:ascii="宋体" w:hAnsi="宋体" w:cs="宋体"/>
          <w:sz w:val="24"/>
        </w:rPr>
      </w:pPr>
      <w:r>
        <w:rPr>
          <w:rFonts w:hint="eastAsia" w:ascii="宋体" w:hAnsi="宋体" w:cs="宋体"/>
          <w:sz w:val="24"/>
        </w:rPr>
        <w:t>仅适用于本次竞争性磋商文件中采购项目的磋商、响应、评审、定标、验收、合同履约、付款等行为（法律、法规另有规定的，从其规定）。</w:t>
      </w:r>
    </w:p>
    <w:p>
      <w:pPr>
        <w:snapToGrid w:val="0"/>
        <w:spacing w:before="120" w:beforeLines="50" w:line="460" w:lineRule="exact"/>
        <w:ind w:firstLine="354" w:firstLineChars="147"/>
        <w:jc w:val="left"/>
        <w:outlineLvl w:val="1"/>
        <w:rPr>
          <w:rFonts w:hint="eastAsia" w:ascii="宋体" w:hAnsi="宋体" w:cs="宋体"/>
          <w:b/>
          <w:sz w:val="24"/>
        </w:rPr>
      </w:pPr>
      <w:r>
        <w:rPr>
          <w:rFonts w:hint="eastAsia" w:ascii="宋体" w:hAnsi="宋体" w:cs="宋体"/>
          <w:b/>
          <w:sz w:val="24"/>
        </w:rPr>
        <w:t xml:space="preserve">（二）定义 </w:t>
      </w:r>
    </w:p>
    <w:p>
      <w:pPr>
        <w:snapToGrid w:val="0"/>
        <w:spacing w:line="460" w:lineRule="exact"/>
        <w:ind w:firstLine="480" w:firstLineChars="200"/>
        <w:rPr>
          <w:rFonts w:hint="eastAsia" w:ascii="宋体" w:hAnsi="宋体" w:cs="宋体"/>
          <w:sz w:val="24"/>
        </w:rPr>
      </w:pPr>
      <w:r>
        <w:rPr>
          <w:rFonts w:hint="eastAsia" w:ascii="宋体" w:hAnsi="宋体" w:cs="宋体"/>
          <w:sz w:val="24"/>
        </w:rPr>
        <w:t>1、“采购代理机构”系指组织本项目采购的温州市公共资源交易中心鹿城分中心。</w:t>
      </w:r>
    </w:p>
    <w:p>
      <w:pPr>
        <w:snapToGrid w:val="0"/>
        <w:spacing w:line="460" w:lineRule="exact"/>
        <w:ind w:firstLine="480" w:firstLineChars="200"/>
        <w:rPr>
          <w:rFonts w:hint="eastAsia" w:ascii="宋体" w:hAnsi="宋体" w:cs="宋体"/>
          <w:sz w:val="24"/>
        </w:rPr>
      </w:pPr>
      <w:r>
        <w:rPr>
          <w:rFonts w:hint="eastAsia" w:ascii="宋体" w:hAnsi="宋体" w:cs="宋体"/>
          <w:sz w:val="24"/>
        </w:rPr>
        <w:t>2、“磋商供应商”系指向采购代理机构提交磋商响应文件的单位或个人。</w:t>
      </w:r>
    </w:p>
    <w:p>
      <w:pPr>
        <w:snapToGrid w:val="0"/>
        <w:spacing w:line="460" w:lineRule="exact"/>
        <w:ind w:firstLine="480" w:firstLineChars="200"/>
        <w:rPr>
          <w:rFonts w:hint="eastAsia" w:ascii="宋体" w:hAnsi="宋体" w:cs="宋体"/>
          <w:sz w:val="24"/>
        </w:rPr>
      </w:pPr>
      <w:r>
        <w:rPr>
          <w:rFonts w:hint="eastAsia" w:ascii="宋体" w:hAnsi="宋体" w:cs="宋体"/>
          <w:sz w:val="24"/>
        </w:rPr>
        <w:t>3、“采购人” 系指委托采购代理机构采购本次货物、服务项目的国家机关、事业单位和团体组织。</w:t>
      </w:r>
    </w:p>
    <w:p>
      <w:pPr>
        <w:snapToGrid w:val="0"/>
        <w:spacing w:line="460" w:lineRule="exact"/>
        <w:ind w:firstLine="480" w:firstLineChars="200"/>
        <w:rPr>
          <w:rFonts w:hint="eastAsia" w:ascii="宋体" w:hAnsi="宋体" w:cs="宋体"/>
          <w:sz w:val="24"/>
        </w:rPr>
      </w:pPr>
      <w:r>
        <w:rPr>
          <w:rFonts w:hint="eastAsia" w:ascii="宋体" w:hAnsi="宋体" w:cs="宋体"/>
          <w:sz w:val="24"/>
        </w:rPr>
        <w:t>4、“货物”系指竞争性磋商文件规定磋商供应商须向采购人提供的一切材料、设备、机械、仪器仪表、工具及其它有关技术资料和文字材料。</w:t>
      </w:r>
    </w:p>
    <w:p>
      <w:pPr>
        <w:snapToGrid w:val="0"/>
        <w:spacing w:line="460" w:lineRule="exact"/>
        <w:ind w:firstLine="480" w:firstLineChars="200"/>
        <w:rPr>
          <w:rFonts w:hint="eastAsia" w:ascii="宋体" w:hAnsi="宋体" w:cs="宋体"/>
          <w:sz w:val="24"/>
        </w:rPr>
      </w:pPr>
      <w:r>
        <w:rPr>
          <w:rFonts w:hint="eastAsia" w:ascii="宋体" w:hAnsi="宋体" w:cs="宋体"/>
          <w:sz w:val="24"/>
        </w:rPr>
        <w:t>5、“服务”系指竞争性磋商文件规定磋商供应商须承担的劳务以及其他类似的义务。</w:t>
      </w:r>
    </w:p>
    <w:p>
      <w:pPr>
        <w:snapToGrid w:val="0"/>
        <w:spacing w:line="460" w:lineRule="exact"/>
        <w:ind w:firstLine="480" w:firstLineChars="200"/>
        <w:rPr>
          <w:rFonts w:hint="eastAsia" w:ascii="宋体" w:hAnsi="宋体" w:cs="宋体"/>
          <w:sz w:val="24"/>
        </w:rPr>
      </w:pPr>
      <w:r>
        <w:rPr>
          <w:rFonts w:hint="eastAsia" w:ascii="宋体" w:hAnsi="宋体" w:cs="宋体"/>
          <w:sz w:val="24"/>
        </w:rPr>
        <w:t>6、“项目”系指磋商供应商按竞争性磋商文件规定向采购人提供的需求总称。</w:t>
      </w:r>
    </w:p>
    <w:p>
      <w:pPr>
        <w:snapToGrid w:val="0"/>
        <w:spacing w:before="120" w:beforeLines="50" w:line="460" w:lineRule="exact"/>
        <w:ind w:firstLine="472" w:firstLineChars="196"/>
        <w:jc w:val="left"/>
        <w:outlineLvl w:val="1"/>
        <w:rPr>
          <w:rFonts w:hint="eastAsia" w:ascii="宋体" w:hAnsi="宋体" w:cs="宋体"/>
          <w:b/>
          <w:sz w:val="24"/>
        </w:rPr>
      </w:pPr>
      <w:r>
        <w:rPr>
          <w:rFonts w:hint="eastAsia" w:ascii="宋体" w:hAnsi="宋体" w:cs="宋体"/>
          <w:b/>
          <w:sz w:val="24"/>
        </w:rPr>
        <w:t>（三）磋商供应商及委托有关说明</w:t>
      </w:r>
    </w:p>
    <w:p>
      <w:pPr>
        <w:snapToGrid w:val="0"/>
        <w:spacing w:before="120" w:beforeLines="50" w:line="460" w:lineRule="exact"/>
        <w:ind w:firstLine="470" w:firstLineChars="196"/>
        <w:jc w:val="left"/>
        <w:outlineLvl w:val="1"/>
        <w:rPr>
          <w:rFonts w:hint="eastAsia" w:ascii="宋体" w:hAnsi="宋体" w:cs="宋体"/>
          <w:b/>
          <w:sz w:val="24"/>
        </w:rPr>
      </w:pPr>
      <w:r>
        <w:rPr>
          <w:rFonts w:hint="eastAsia" w:ascii="宋体" w:hAnsi="宋体" w:cs="宋体"/>
          <w:sz w:val="24"/>
        </w:rPr>
        <w:t>1、磋商供应商代表指全权代表磋商供应商参加磋商活动并签署磋商响应文件的人。如果磋商供应商代表不是法定代表人，须有《法定代表人授权书》见第七部分。</w:t>
      </w:r>
    </w:p>
    <w:p>
      <w:pPr>
        <w:pStyle w:val="27"/>
        <w:snapToGrid w:val="0"/>
        <w:spacing w:before="120" w:after="120" w:line="460" w:lineRule="exact"/>
        <w:ind w:left="2" w:leftChars="1" w:firstLine="480" w:firstLineChars="200"/>
        <w:rPr>
          <w:rFonts w:hint="eastAsia" w:hAnsi="宋体" w:cs="宋体"/>
          <w:sz w:val="24"/>
          <w:szCs w:val="24"/>
        </w:rPr>
      </w:pPr>
      <w:r>
        <w:rPr>
          <w:rFonts w:hint="eastAsia" w:hAnsi="宋体" w:cs="宋体"/>
          <w:sz w:val="24"/>
          <w:szCs w:val="24"/>
        </w:rPr>
        <w:t>2、磋商供应商磋商所使用的资格、信誉、荣誉、业绩与企业认证必须为本法人所拥有。磋商供应商磋商所使用的采购项目实施人员必须为磋商供应商员工（或磋商供应商控股公司正式员工）。</w:t>
      </w:r>
    </w:p>
    <w:p>
      <w:pPr>
        <w:pStyle w:val="27"/>
        <w:snapToGrid w:val="0"/>
        <w:spacing w:before="120" w:after="120" w:line="460" w:lineRule="exact"/>
        <w:ind w:left="2" w:leftChars="1" w:firstLine="480" w:firstLineChars="200"/>
        <w:rPr>
          <w:rFonts w:hint="eastAsia" w:hAnsi="宋体" w:cs="宋体"/>
          <w:sz w:val="24"/>
          <w:szCs w:val="24"/>
        </w:rPr>
      </w:pPr>
      <w:r>
        <w:rPr>
          <w:rFonts w:hint="eastAsia" w:hAnsi="宋体" w:cs="宋体"/>
          <w:sz w:val="24"/>
          <w:szCs w:val="24"/>
        </w:rPr>
        <w:t>3、以联合体形式参加政府采购活动的，联合体各方不得再单独参加或者与其他供应商另外组成联合体参加同一合同项下的政府采购活动。</w:t>
      </w:r>
    </w:p>
    <w:p>
      <w:pPr>
        <w:pStyle w:val="27"/>
        <w:snapToGrid w:val="0"/>
        <w:spacing w:before="120" w:after="120" w:line="460" w:lineRule="exact"/>
        <w:ind w:left="2" w:leftChars="1" w:firstLine="480" w:firstLineChars="200"/>
        <w:rPr>
          <w:rFonts w:hint="eastAsia" w:hAnsi="宋体" w:cs="宋体"/>
          <w:sz w:val="24"/>
          <w:szCs w:val="24"/>
        </w:rPr>
      </w:pPr>
      <w:r>
        <w:rPr>
          <w:rFonts w:hint="eastAsia" w:hAnsi="宋体" w:cs="宋体"/>
          <w:sz w:val="24"/>
          <w:szCs w:val="24"/>
        </w:rPr>
        <w:t>4、单位负责人为同一人或者存在直接控股、管理关系的不同供应商，不得参加同一合同项下的政府采购活动。</w:t>
      </w:r>
    </w:p>
    <w:p>
      <w:pPr>
        <w:pStyle w:val="27"/>
        <w:snapToGrid w:val="0"/>
        <w:spacing w:before="120" w:after="120" w:line="460" w:lineRule="exact"/>
        <w:ind w:left="2" w:leftChars="1" w:firstLine="480" w:firstLineChars="200"/>
        <w:rPr>
          <w:rFonts w:hint="eastAsia" w:hAnsi="宋体" w:cs="宋体"/>
          <w:sz w:val="24"/>
          <w:szCs w:val="24"/>
        </w:rPr>
      </w:pPr>
      <w:r>
        <w:rPr>
          <w:rFonts w:hint="eastAsia" w:hAnsi="宋体" w:cs="宋体"/>
          <w:sz w:val="24"/>
          <w:szCs w:val="24"/>
        </w:rPr>
        <w:t>5、为本项目提供整体设计、规范编制或者项目管理、监理、检测等服务的磋商供应商，不得参加本项目磋商活动。</w:t>
      </w:r>
    </w:p>
    <w:p>
      <w:pPr>
        <w:pStyle w:val="27"/>
        <w:snapToGrid w:val="0"/>
        <w:spacing w:before="120" w:after="120" w:line="460" w:lineRule="exact"/>
        <w:ind w:left="2" w:leftChars="1" w:firstLine="480" w:firstLineChars="200"/>
        <w:rPr>
          <w:rFonts w:hint="eastAsia" w:hAnsi="宋体" w:cs="宋体"/>
          <w:sz w:val="24"/>
          <w:szCs w:val="24"/>
        </w:rPr>
      </w:pPr>
      <w:r>
        <w:rPr>
          <w:rFonts w:hint="eastAsia" w:hAnsi="宋体" w:cs="宋体"/>
          <w:sz w:val="24"/>
          <w:szCs w:val="24"/>
        </w:rPr>
        <w:t>6、磋商供应商应仔细阅读竞争性磋商文件的所有内容，按照竞争性磋商文件的要求提交磋商响应文件，并对所提供的全部资料的真实性承担法律责任。</w:t>
      </w:r>
    </w:p>
    <w:p>
      <w:pPr>
        <w:snapToGrid w:val="0"/>
        <w:spacing w:before="120" w:beforeLines="50" w:line="460" w:lineRule="exact"/>
        <w:ind w:firstLine="472" w:firstLineChars="196"/>
        <w:jc w:val="left"/>
        <w:outlineLvl w:val="1"/>
        <w:rPr>
          <w:rFonts w:hint="eastAsia" w:ascii="宋体" w:hAnsi="宋体" w:cs="宋体"/>
          <w:b/>
          <w:sz w:val="24"/>
        </w:rPr>
      </w:pPr>
      <w:r>
        <w:rPr>
          <w:rFonts w:hint="eastAsia" w:ascii="宋体" w:hAnsi="宋体" w:cs="宋体"/>
          <w:b/>
          <w:sz w:val="24"/>
        </w:rPr>
        <w:t>（四）磋商费用</w:t>
      </w:r>
    </w:p>
    <w:p>
      <w:pPr>
        <w:snapToGrid w:val="0"/>
        <w:spacing w:before="120" w:beforeLines="50" w:line="460" w:lineRule="exact"/>
        <w:ind w:firstLine="470" w:firstLineChars="196"/>
        <w:jc w:val="left"/>
        <w:outlineLvl w:val="1"/>
        <w:rPr>
          <w:rFonts w:hint="eastAsia" w:ascii="宋体" w:hAnsi="宋体" w:cs="宋体"/>
          <w:b/>
          <w:sz w:val="24"/>
        </w:rPr>
      </w:pPr>
      <w:r>
        <w:rPr>
          <w:rFonts w:hint="eastAsia" w:ascii="宋体" w:hAnsi="宋体" w:cs="宋体"/>
          <w:sz w:val="24"/>
        </w:rPr>
        <w:t>不论磋商结果如何，磋商供应商均应自行承担所有与磋商有关的全部费用。</w:t>
      </w:r>
    </w:p>
    <w:p>
      <w:pPr>
        <w:spacing w:before="100" w:beforeAutospacing="1" w:after="100" w:afterAutospacing="1" w:line="440" w:lineRule="exact"/>
        <w:jc w:val="center"/>
        <w:rPr>
          <w:rFonts w:hint="eastAsia" w:ascii="宋体" w:hAnsi="宋体" w:cs="宋体"/>
          <w:b/>
          <w:sz w:val="24"/>
        </w:rPr>
      </w:pPr>
      <w:r>
        <w:rPr>
          <w:rFonts w:hint="eastAsia" w:ascii="宋体" w:hAnsi="宋体" w:cs="宋体"/>
          <w:b/>
          <w:bCs/>
          <w:sz w:val="36"/>
          <w:szCs w:val="36"/>
        </w:rPr>
        <w:t>二 质疑、澄清（更正）</w:t>
      </w:r>
    </w:p>
    <w:p>
      <w:pPr>
        <w:snapToGrid w:val="0"/>
        <w:spacing w:before="120" w:beforeLines="50" w:line="360" w:lineRule="auto"/>
        <w:ind w:firstLine="472" w:firstLineChars="196"/>
        <w:jc w:val="left"/>
        <w:outlineLvl w:val="1"/>
        <w:rPr>
          <w:rFonts w:hint="eastAsia" w:ascii="宋体" w:hAnsi="宋体" w:cs="宋体"/>
          <w:b/>
          <w:sz w:val="24"/>
        </w:rPr>
      </w:pPr>
      <w:r>
        <w:rPr>
          <w:rFonts w:hint="eastAsia" w:ascii="宋体" w:hAnsi="宋体" w:cs="宋体"/>
          <w:b/>
          <w:sz w:val="24"/>
        </w:rPr>
        <w:t>（一）质疑</w:t>
      </w:r>
    </w:p>
    <w:p>
      <w:pPr>
        <w:snapToGrid w:val="0"/>
        <w:spacing w:before="120" w:beforeLines="50" w:line="360" w:lineRule="auto"/>
        <w:ind w:firstLine="470" w:firstLineChars="196"/>
        <w:jc w:val="left"/>
        <w:outlineLvl w:val="1"/>
        <w:rPr>
          <w:rFonts w:hint="eastAsia" w:ascii="宋体" w:hAnsi="宋体" w:cs="宋体"/>
          <w:b/>
          <w:sz w:val="24"/>
        </w:rPr>
      </w:pPr>
      <w:r>
        <w:rPr>
          <w:rFonts w:hint="eastAsia" w:ascii="宋体" w:hAnsi="宋体" w:cs="宋体"/>
          <w:sz w:val="24"/>
        </w:rPr>
        <w:t>1、磋商供应商认为竞争性磋商文件、磋商过程、成交结果使自己的合法权益受到损害的，可以在知道或应知其权益受到损害之日起起7个工作日内，以书面形式提交给接收质疑函联系部</w:t>
      </w:r>
      <w:r>
        <w:rPr>
          <w:rFonts w:hint="eastAsia" w:ascii="宋体" w:hAnsi="宋体" w:cs="宋体"/>
          <w:kern w:val="0"/>
          <w:sz w:val="24"/>
        </w:rPr>
        <w:t>门，</w:t>
      </w:r>
      <w:r>
        <w:rPr>
          <w:rFonts w:hint="eastAsia" w:ascii="宋体" w:hAnsi="宋体" w:cs="宋体"/>
          <w:sz w:val="24"/>
        </w:rPr>
        <w:t>逾期不予受理。质疑磋商供应商必须在法定质疑期内一次性提出针对同一采购程序（包括采购文件、采购过程、成交结果）环节的质疑。</w:t>
      </w:r>
    </w:p>
    <w:p>
      <w:pPr>
        <w:widowControl/>
        <w:spacing w:line="360" w:lineRule="auto"/>
        <w:ind w:firstLine="480" w:firstLineChars="200"/>
        <w:jc w:val="left"/>
        <w:rPr>
          <w:rFonts w:hint="eastAsia" w:ascii="宋体" w:hAnsi="宋体" w:cs="宋体"/>
          <w:sz w:val="24"/>
        </w:rPr>
      </w:pPr>
      <w:r>
        <w:rPr>
          <w:rFonts w:hint="eastAsia" w:ascii="宋体" w:hAnsi="宋体" w:cs="宋体"/>
          <w:sz w:val="24"/>
        </w:rPr>
        <w:t>2、质疑应当以书面形式提出，格式见《政府采购质疑和投诉办法》（财政部令第94号）附件范本，下载网址：浙江政府采购网(www.zjzfcg.gov.cn)，位置：“首页-下载专区-质疑投诉模板”。供应商提出质疑应当提交质疑函和必要的证明材料。质疑函应当包括下列内容：</w:t>
      </w:r>
    </w:p>
    <w:p>
      <w:pPr>
        <w:widowControl/>
        <w:spacing w:line="360" w:lineRule="auto"/>
        <w:ind w:firstLine="480" w:firstLineChars="200"/>
        <w:jc w:val="left"/>
        <w:rPr>
          <w:rFonts w:hint="eastAsia" w:ascii="宋体" w:hAnsi="宋体" w:cs="宋体"/>
          <w:sz w:val="24"/>
        </w:rPr>
      </w:pPr>
      <w:r>
        <w:rPr>
          <w:rFonts w:hint="eastAsia" w:ascii="宋体" w:hAnsi="宋体" w:cs="宋体"/>
          <w:sz w:val="24"/>
        </w:rPr>
        <w:t>a供应商的姓名或者名称、地址、邮编、联系人及联系电话；</w:t>
      </w:r>
    </w:p>
    <w:p>
      <w:pPr>
        <w:widowControl/>
        <w:spacing w:line="360" w:lineRule="auto"/>
        <w:ind w:firstLine="480" w:firstLineChars="200"/>
        <w:jc w:val="left"/>
        <w:rPr>
          <w:rFonts w:hint="eastAsia" w:ascii="宋体" w:hAnsi="宋体" w:cs="宋体"/>
          <w:sz w:val="24"/>
        </w:rPr>
      </w:pPr>
      <w:r>
        <w:rPr>
          <w:rFonts w:hint="eastAsia" w:ascii="宋体" w:hAnsi="宋体" w:cs="宋体"/>
          <w:sz w:val="24"/>
        </w:rPr>
        <w:t>b质疑项目的名称、编号；</w:t>
      </w:r>
    </w:p>
    <w:p>
      <w:pPr>
        <w:widowControl/>
        <w:spacing w:line="360" w:lineRule="auto"/>
        <w:ind w:firstLine="480" w:firstLineChars="200"/>
        <w:jc w:val="left"/>
        <w:rPr>
          <w:rFonts w:hint="eastAsia" w:ascii="宋体" w:hAnsi="宋体" w:cs="宋体"/>
          <w:sz w:val="24"/>
        </w:rPr>
      </w:pPr>
      <w:r>
        <w:rPr>
          <w:rFonts w:hint="eastAsia" w:ascii="宋体" w:hAnsi="宋体" w:cs="宋体"/>
          <w:sz w:val="24"/>
        </w:rPr>
        <w:t>c具体、明确的质疑事项和与质疑事项相关的请求；</w:t>
      </w:r>
    </w:p>
    <w:p>
      <w:pPr>
        <w:widowControl/>
        <w:spacing w:line="360" w:lineRule="auto"/>
        <w:ind w:firstLine="480" w:firstLineChars="200"/>
        <w:jc w:val="left"/>
        <w:rPr>
          <w:rFonts w:hint="eastAsia" w:ascii="宋体" w:hAnsi="宋体" w:cs="宋体"/>
          <w:sz w:val="24"/>
        </w:rPr>
      </w:pPr>
      <w:r>
        <w:rPr>
          <w:rFonts w:hint="eastAsia" w:ascii="宋体" w:hAnsi="宋体" w:cs="宋体"/>
          <w:sz w:val="24"/>
        </w:rPr>
        <w:t>d事实依据；</w:t>
      </w:r>
    </w:p>
    <w:p>
      <w:pPr>
        <w:widowControl/>
        <w:spacing w:line="360" w:lineRule="auto"/>
        <w:ind w:firstLine="480" w:firstLineChars="200"/>
        <w:jc w:val="left"/>
        <w:rPr>
          <w:rFonts w:hint="eastAsia" w:ascii="宋体" w:hAnsi="宋体" w:cs="宋体"/>
          <w:sz w:val="24"/>
        </w:rPr>
      </w:pPr>
      <w:r>
        <w:rPr>
          <w:rFonts w:hint="eastAsia" w:ascii="宋体" w:hAnsi="宋体" w:cs="宋体"/>
          <w:sz w:val="24"/>
        </w:rPr>
        <w:t>e必要的法律依据；</w:t>
      </w:r>
    </w:p>
    <w:p>
      <w:pPr>
        <w:widowControl/>
        <w:spacing w:line="360" w:lineRule="auto"/>
        <w:ind w:firstLine="480" w:firstLineChars="200"/>
        <w:jc w:val="left"/>
        <w:rPr>
          <w:rFonts w:hint="eastAsia" w:ascii="宋体" w:hAnsi="宋体" w:cs="宋体"/>
          <w:sz w:val="24"/>
        </w:rPr>
      </w:pPr>
      <w:r>
        <w:rPr>
          <w:rFonts w:hint="eastAsia" w:ascii="宋体" w:hAnsi="宋体" w:cs="宋体"/>
          <w:sz w:val="24"/>
        </w:rPr>
        <w:t>f提出质疑的日期。</w:t>
      </w:r>
    </w:p>
    <w:p>
      <w:pPr>
        <w:snapToGrid w:val="0"/>
        <w:spacing w:line="360" w:lineRule="auto"/>
        <w:ind w:firstLine="472" w:firstLineChars="197"/>
        <w:jc w:val="left"/>
        <w:outlineLvl w:val="1"/>
        <w:rPr>
          <w:rFonts w:hint="eastAsia"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或者盖章，并加盖公章。质疑应明确阐述竞争性磋商文件、采购过程或成交结果中使自己合法权益受到损害的实质性内容，提供相关事实、依据和证据及其来源或线索，便于有关单位调查、答复和处理, 质疑函不符合《政府采购质疑和投诉办法》相关规定的，应在规定期限内补齐的，采购人自收到补齐材料之日起受理；逾期未补齐的，按自动撤回质疑处理。</w:t>
      </w:r>
    </w:p>
    <w:p>
      <w:pPr>
        <w:adjustRightInd w:val="0"/>
        <w:snapToGrid w:val="0"/>
        <w:spacing w:before="50" w:after="50" w:line="360" w:lineRule="auto"/>
        <w:ind w:firstLine="482" w:firstLineChars="200"/>
        <w:rPr>
          <w:rFonts w:hint="eastAsia" w:ascii="宋体" w:hAnsi="宋体" w:cs="宋体"/>
          <w:b/>
          <w:sz w:val="24"/>
        </w:rPr>
      </w:pPr>
      <w:r>
        <w:rPr>
          <w:rFonts w:hint="eastAsia" w:ascii="宋体" w:hAnsi="宋体" w:cs="宋体"/>
          <w:b/>
          <w:sz w:val="24"/>
        </w:rPr>
        <w:t>（二）竞争性磋商文件的澄清（更正）</w:t>
      </w:r>
    </w:p>
    <w:p>
      <w:pPr>
        <w:adjustRightInd w:val="0"/>
        <w:snapToGrid w:val="0"/>
        <w:spacing w:before="50" w:after="50" w:line="360" w:lineRule="auto"/>
        <w:ind w:firstLine="480" w:firstLineChars="200"/>
        <w:rPr>
          <w:rFonts w:hint="eastAsia" w:ascii="宋体" w:hAnsi="宋体" w:cs="宋体"/>
          <w:sz w:val="24"/>
        </w:rPr>
      </w:pPr>
      <w:r>
        <w:rPr>
          <w:rFonts w:hint="eastAsia" w:ascii="宋体" w:hAnsi="宋体" w:cs="宋体"/>
          <w:sz w:val="24"/>
        </w:rPr>
        <w:t>1、无论是采购代理机构根据需要主动对竞争性磋商文件进行必要澄清，或是根据磋商供应商的要求对竞争性磋商文件做出澄清，采购代理机构的书面澄清（更正）文件会在“浙江省政府采购网”上发布公告，同时政采云系统会向所有已按竞争性磋商文件规定方式获取竞争性磋商文件的潜在供应商发送更正提醒信息，潜在供应商请自行到“浙江省政府采购网”上下载澄清（更正）文件。澄清（更正）文件是竞争性磋商文件重要组成部分，供应商应及时查看提醒信息，否则后果自负。</w:t>
      </w:r>
    </w:p>
    <w:p>
      <w:pPr>
        <w:adjustRightInd w:val="0"/>
        <w:snapToGrid w:val="0"/>
        <w:spacing w:before="50" w:after="50" w:line="360" w:lineRule="auto"/>
        <w:ind w:firstLine="480" w:firstLineChars="200"/>
        <w:rPr>
          <w:rFonts w:hint="eastAsia" w:ascii="宋体" w:hAnsi="宋体" w:cs="宋体"/>
          <w:sz w:val="24"/>
        </w:rPr>
      </w:pPr>
      <w:r>
        <w:rPr>
          <w:rFonts w:hint="eastAsia" w:ascii="宋体" w:hAnsi="宋体" w:cs="宋体"/>
          <w:sz w:val="24"/>
        </w:rPr>
        <w:t>2、当竞争性磋商文件与澄清（更正）文件就同一内容的表述不一致时，以最后发出的书面文件为准。</w:t>
      </w:r>
    </w:p>
    <w:p>
      <w:pPr>
        <w:spacing w:before="100" w:beforeAutospacing="1" w:after="100" w:afterAutospacing="1" w:line="440" w:lineRule="exact"/>
        <w:jc w:val="center"/>
        <w:rPr>
          <w:rFonts w:hint="eastAsia" w:ascii="宋体" w:hAnsi="宋体" w:cs="宋体"/>
          <w:b/>
          <w:bCs/>
          <w:sz w:val="36"/>
          <w:szCs w:val="36"/>
        </w:rPr>
      </w:pPr>
      <w:r>
        <w:rPr>
          <w:rFonts w:hint="eastAsia" w:ascii="宋体" w:hAnsi="宋体" w:cs="宋体"/>
          <w:b/>
          <w:bCs/>
          <w:sz w:val="36"/>
          <w:szCs w:val="36"/>
        </w:rPr>
        <w:t>三   磋商响应文件的编制</w:t>
      </w:r>
    </w:p>
    <w:p>
      <w:pPr>
        <w:numPr>
          <w:ilvl w:val="0"/>
          <w:numId w:val="12"/>
        </w:numPr>
        <w:snapToGrid w:val="0"/>
        <w:spacing w:line="360" w:lineRule="auto"/>
        <w:jc w:val="left"/>
        <w:rPr>
          <w:rFonts w:hint="eastAsia" w:ascii="宋体" w:hAnsi="宋体" w:cs="宋体"/>
          <w:b/>
          <w:sz w:val="24"/>
        </w:rPr>
      </w:pPr>
      <w:r>
        <w:rPr>
          <w:rFonts w:hint="eastAsia" w:ascii="宋体" w:hAnsi="宋体" w:cs="宋体"/>
          <w:b/>
          <w:sz w:val="24"/>
        </w:rPr>
        <w:t>磋商响应文件的形式和效力</w:t>
      </w:r>
    </w:p>
    <w:p>
      <w:pPr>
        <w:snapToGrid w:val="0"/>
        <w:spacing w:line="360" w:lineRule="auto"/>
        <w:ind w:firstLine="470" w:firstLineChars="196"/>
        <w:jc w:val="left"/>
        <w:rPr>
          <w:rFonts w:hint="eastAsia" w:ascii="宋体" w:hAnsi="宋体" w:cs="宋体"/>
          <w:sz w:val="24"/>
        </w:rPr>
      </w:pPr>
      <w:r>
        <w:rPr>
          <w:rFonts w:hint="eastAsia" w:ascii="宋体" w:hAnsi="宋体" w:cs="宋体"/>
          <w:sz w:val="24"/>
        </w:rPr>
        <w:t>电子磋商文包括“电子加密磋商响应文件”和“备份磋商响应文件”，在磋商响应文件编制完成后同时生成。</w:t>
      </w:r>
    </w:p>
    <w:p>
      <w:pPr>
        <w:snapToGrid w:val="0"/>
        <w:spacing w:line="360" w:lineRule="auto"/>
        <w:ind w:firstLine="470" w:firstLineChars="196"/>
        <w:jc w:val="left"/>
        <w:rPr>
          <w:rFonts w:hint="eastAsia" w:ascii="宋体" w:hAnsi="宋体" w:cs="宋体"/>
          <w:b/>
          <w:sz w:val="24"/>
        </w:rPr>
      </w:pPr>
      <w:r>
        <w:rPr>
          <w:rFonts w:hint="eastAsia" w:ascii="宋体" w:hAnsi="宋体" w:cs="宋体"/>
          <w:sz w:val="24"/>
        </w:rPr>
        <w:t>1、“电子加密磋商响应文件”是指通过“政采云电子交易客户端”完成磋商响应文件编制后生成并加密的数据电文形式的磋商响应文件。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备份磋商响应文件”是指与“电子加密磋商响应文件”同时生成的数据电文形式的电子文件（备份标书，用于磋商供应商标书解密异常时应急使用），其他方式编制的备份磋商响应文件视为无效备份磋商响应文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3、磋商响应文件的效力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磋商响应文件的启用，按先后顺位分别为电子磋商响应文件、以电子邮件形式的备份磋商响应文件。在下一顺位的磋商响应文件启用时，前一顺位的磋商响应文件自动失效。</w:t>
      </w:r>
    </w:p>
    <w:p>
      <w:pPr>
        <w:widowControl/>
        <w:spacing w:line="360" w:lineRule="auto"/>
        <w:ind w:firstLine="472" w:firstLineChars="196"/>
        <w:jc w:val="left"/>
        <w:rPr>
          <w:rFonts w:hint="eastAsia" w:ascii="宋体" w:hAnsi="宋体" w:cs="宋体"/>
          <w:b/>
          <w:sz w:val="24"/>
        </w:rPr>
      </w:pPr>
      <w:r>
        <w:rPr>
          <w:rFonts w:hint="eastAsia" w:ascii="宋体" w:hAnsi="宋体" w:cs="宋体"/>
          <w:b/>
          <w:sz w:val="24"/>
        </w:rPr>
        <w:t>（二）磋商响应文件的语言及度量衡单位</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磋商响应文件以及磋商供应商与采购代理机构、采购人就有关磋商事宜的所有来往函电，均应以中文简体字书写。除签名、盖章、专用名称等特殊情形外，磋商响应文件中以中文汉语以外的文字表述部分视同未提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2、磋商计量单位，竞争性磋商文件已有明确规定的，使用竞争性磋商文件规定的计量单位；竞争性磋商文件没有规定的，应采用中华人民共和国法定计量单位。</w:t>
      </w:r>
    </w:p>
    <w:p>
      <w:pPr>
        <w:spacing w:line="360" w:lineRule="auto"/>
        <w:ind w:firstLine="482" w:firstLineChars="200"/>
        <w:rPr>
          <w:rFonts w:hint="eastAsia" w:ascii="宋体" w:hAnsi="宋体" w:cs="宋体"/>
          <w:b/>
          <w:sz w:val="24"/>
        </w:rPr>
      </w:pPr>
      <w:r>
        <w:rPr>
          <w:rFonts w:hint="eastAsia" w:ascii="宋体" w:hAnsi="宋体" w:cs="宋体"/>
          <w:b/>
          <w:sz w:val="24"/>
        </w:rPr>
        <w:t>（三）对磋商响应文件的要求</w:t>
      </w:r>
    </w:p>
    <w:p>
      <w:pPr>
        <w:tabs>
          <w:tab w:val="left" w:pos="1985"/>
        </w:tabs>
        <w:spacing w:line="420" w:lineRule="exact"/>
        <w:ind w:firstLine="480" w:firstLineChars="200"/>
        <w:rPr>
          <w:rFonts w:hint="eastAsia" w:ascii="宋体" w:hAnsi="宋体" w:cs="宋体"/>
          <w:sz w:val="24"/>
          <w:u w:val="single"/>
        </w:rPr>
      </w:pPr>
      <w:r>
        <w:rPr>
          <w:rFonts w:hint="eastAsia" w:ascii="宋体" w:hAnsi="宋体" w:cs="宋体"/>
          <w:sz w:val="24"/>
        </w:rPr>
        <w:t>1、磋商供应商应仔细阅读竞争性磋商文件，了解竞争性磋商文件的要求，在完全了解磋商项目的技术要求和商务要求后，编制磋商响应文件。</w:t>
      </w:r>
      <w:r>
        <w:rPr>
          <w:rFonts w:hint="eastAsia" w:ascii="宋体" w:hAnsi="宋体" w:cs="宋体"/>
          <w:sz w:val="24"/>
          <w:u w:val="single"/>
        </w:rPr>
        <w:t>▲磋商供应商没有按照竞争性磋商响应文件要求提交全部资料，或者没有对竞争性磋商文件各个方面做出明确响应，导致磋商被拒绝的风险由磋商供应商自行承担。</w:t>
      </w:r>
    </w:p>
    <w:p>
      <w:pPr>
        <w:pStyle w:val="44"/>
        <w:spacing w:after="0" w:line="360" w:lineRule="auto"/>
        <w:ind w:firstLine="480" w:firstLineChars="200"/>
        <w:textAlignment w:val="baseline"/>
        <w:rPr>
          <w:rFonts w:hint="eastAsia" w:ascii="宋体" w:hAnsi="宋体" w:cs="宋体"/>
          <w:sz w:val="24"/>
          <w:lang w:val="en-US" w:eastAsia="zh-CN"/>
        </w:rPr>
      </w:pPr>
    </w:p>
    <w:p>
      <w:pPr>
        <w:pStyle w:val="44"/>
        <w:spacing w:after="0" w:line="360" w:lineRule="auto"/>
        <w:ind w:firstLine="480" w:firstLineChars="200"/>
        <w:textAlignment w:val="baseline"/>
        <w:rPr>
          <w:rFonts w:hint="eastAsia" w:ascii="宋体" w:hAnsi="宋体" w:cs="宋体"/>
          <w:sz w:val="24"/>
          <w:lang w:val="en-US" w:eastAsia="zh-CN"/>
        </w:rPr>
      </w:pPr>
      <w:r>
        <w:rPr>
          <w:rFonts w:hint="eastAsia" w:ascii="宋体" w:hAnsi="宋体" w:cs="宋体"/>
          <w:sz w:val="24"/>
          <w:lang w:val="en-US" w:eastAsia="zh-CN"/>
        </w:rPr>
        <w:t>2、在竞争性磋商文件对技术要求中，磋商供应商必须充分应答和满足用户的强制性的需求，如“标“▲”且加下划线部分，否则将导致无效响应。</w:t>
      </w:r>
    </w:p>
    <w:p>
      <w:pPr>
        <w:spacing w:line="360" w:lineRule="auto"/>
        <w:ind w:firstLine="480" w:firstLineChars="200"/>
        <w:rPr>
          <w:rFonts w:hint="eastAsia" w:ascii="宋体" w:hAnsi="宋体" w:cs="宋体"/>
          <w:sz w:val="24"/>
        </w:rPr>
      </w:pPr>
      <w:r>
        <w:rPr>
          <w:rFonts w:hint="eastAsia" w:ascii="宋体" w:hAnsi="宋体" w:cs="宋体"/>
          <w:sz w:val="24"/>
        </w:rPr>
        <w:t>3、编制的磋商响应文件对竞争性磋商文件中有关条款未提出异议的，均被视为接受和同意。</w:t>
      </w:r>
    </w:p>
    <w:p>
      <w:pPr>
        <w:spacing w:line="360" w:lineRule="auto"/>
        <w:ind w:firstLine="480" w:firstLineChars="200"/>
        <w:rPr>
          <w:rFonts w:hint="eastAsia" w:ascii="宋体" w:hAnsi="宋体" w:cs="宋体"/>
          <w:sz w:val="24"/>
        </w:rPr>
      </w:pPr>
      <w:r>
        <w:rPr>
          <w:rFonts w:hint="eastAsia" w:ascii="宋体" w:hAnsi="宋体" w:cs="宋体"/>
          <w:sz w:val="24"/>
          <w:u w:val="single"/>
        </w:rPr>
        <w:t>4、▲磋商供应商应保证所提供文件资料的真实性，所有文件资料必须是针对本次磋商的。如发现磋商供应商提供了虚假文件资料，其磋商将被拒绝，并自行承担相应的法律责任。</w:t>
      </w:r>
    </w:p>
    <w:p>
      <w:pPr>
        <w:spacing w:line="360" w:lineRule="auto"/>
        <w:ind w:firstLine="480" w:firstLineChars="200"/>
        <w:rPr>
          <w:rFonts w:hint="eastAsia" w:ascii="宋体" w:hAnsi="宋体" w:cs="宋体"/>
        </w:rPr>
      </w:pPr>
      <w:r>
        <w:rPr>
          <w:rFonts w:hint="eastAsia" w:ascii="宋体" w:hAnsi="宋体" w:cs="宋体"/>
          <w:sz w:val="24"/>
        </w:rPr>
        <w:t>5、竞争性磋商响应文件中若为实质性要求和条件的证明材料必须提供。非实质性要求和条件的证明材料则各磋商供应商根据自身情况提供，若因未提供而造成不利评审的风险则由各磋商供应商自行承担。</w:t>
      </w:r>
    </w:p>
    <w:p>
      <w:pPr>
        <w:spacing w:line="360" w:lineRule="auto"/>
        <w:ind w:firstLine="361" w:firstLineChars="150"/>
        <w:rPr>
          <w:rFonts w:hint="eastAsia" w:ascii="宋体" w:hAnsi="宋体" w:cs="宋体"/>
          <w:b/>
          <w:sz w:val="24"/>
        </w:rPr>
      </w:pPr>
      <w:r>
        <w:rPr>
          <w:rFonts w:hint="eastAsia" w:ascii="宋体" w:hAnsi="宋体" w:cs="宋体"/>
          <w:b/>
          <w:sz w:val="24"/>
        </w:rPr>
        <w:t>（四）磋商响应文件的组成</w:t>
      </w:r>
    </w:p>
    <w:p>
      <w:pPr>
        <w:adjustRightInd w:val="0"/>
        <w:snapToGrid w:val="0"/>
        <w:spacing w:line="360" w:lineRule="auto"/>
        <w:ind w:firstLine="480" w:firstLineChars="200"/>
        <w:rPr>
          <w:rFonts w:hint="eastAsia" w:ascii="宋体" w:hAnsi="宋体" w:cs="宋体"/>
          <w:b/>
          <w:sz w:val="24"/>
        </w:rPr>
      </w:pPr>
      <w:r>
        <w:rPr>
          <w:rFonts w:hint="eastAsia" w:ascii="宋体" w:hAnsi="宋体" w:cs="宋体"/>
          <w:sz w:val="24"/>
        </w:rPr>
        <w:t>磋商响应文件组成均为资格文件、商务技术文件、报价文件三部份组成。</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1、资格文件目录</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（1）法定代表人授权书</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（2）磋商供应商情况表</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3）提供有效的营业执照扫描件；事业单位的，则提供有效的《事业单位法人证书》扫描件；如分公司参与磋商的，还须符合浙财采监〔2013〕24号《关于规范政府采购供应商资格设定及资格审查的通知》第六条规定提供相关材料。</w:t>
      </w:r>
    </w:p>
    <w:p>
      <w:pPr>
        <w:snapToGrid w:val="0"/>
        <w:spacing w:line="360" w:lineRule="auto"/>
        <w:ind w:firstLine="472" w:firstLineChars="196"/>
        <w:jc w:val="left"/>
        <w:rPr>
          <w:rFonts w:hint="eastAsia" w:ascii="宋体" w:hAnsi="宋体"/>
          <w:b/>
          <w:bCs/>
          <w:sz w:val="24"/>
        </w:rPr>
      </w:pPr>
      <w:r>
        <w:rPr>
          <w:rFonts w:hint="eastAsia" w:ascii="宋体" w:hAnsi="宋体" w:cs="宋体"/>
          <w:b/>
          <w:sz w:val="24"/>
        </w:rPr>
        <w:t>（4）</w:t>
      </w:r>
      <w:r>
        <w:rPr>
          <w:rFonts w:hint="eastAsia" w:ascii="宋体" w:hAnsi="宋体"/>
          <w:b/>
          <w:bCs/>
          <w:sz w:val="24"/>
        </w:rPr>
        <w:t>无重大违法记录且具有良好商业信誉和健全的财务会计制度声明书</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（5）具有履行合同所必需的场地、设备和专业技术能力的承诺函</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（6）依法缴纳税收和社会保障资金的承诺函</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（7）单位负责人为同一人或者存在直接控股、管理关系的不同供应商，不得参加同一合同项下的政府采购活动承诺函</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（8）磋商供应商人不属于公益一类事业单位承诺函</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（9）政府采购活动现场确认声明书</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（10）中小企业声明函</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（11）磋商供应商其他资质证书、认证证书、社保证明等扫描件（如需）</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2、商务技术文件目录</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（1）磋商响应供应商综合情况</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（2）同类项目业绩</w:t>
      </w:r>
    </w:p>
    <w:p>
      <w:pPr>
        <w:snapToGrid w:val="0"/>
        <w:spacing w:line="360" w:lineRule="auto"/>
        <w:ind w:firstLine="472" w:firstLineChars="196"/>
        <w:jc w:val="left"/>
        <w:rPr>
          <w:rFonts w:hint="eastAsia"/>
        </w:rPr>
      </w:pPr>
      <w:r>
        <w:rPr>
          <w:rFonts w:hint="eastAsia" w:ascii="宋体" w:hAnsi="宋体" w:cs="宋体"/>
          <w:b/>
          <w:sz w:val="24"/>
        </w:rPr>
        <w:t>（3）货物配置清单（不含价格）</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（4）技术及商务偏离表</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（5）供采购人选购的备品备件及维保期期满后相关维修配件清单一览表</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（6）产品附件、备品备件和专用工具清单（如有）</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（7）生产设备</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（8）交货及安装方案</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（9）主要产品的环保性、稳定性、安全性</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（10）主要原材料的环保性、稳定性、安全性</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（11）售后服务</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（12）节能环保产品声明函（如有提供）</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（13）节能（环保）产品清单（如有提供）</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（14）磋商样品</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（15）磋商供应商认为需要的其他技术资料</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3、报价文件目录</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（1）</w:t>
      </w:r>
      <w:r>
        <w:rPr>
          <w:rFonts w:hint="eastAsia" w:ascii="宋体" w:hAnsi="宋体" w:cs="宋体"/>
          <w:b/>
          <w:sz w:val="24"/>
        </w:rPr>
        <w:tab/>
      </w:r>
      <w:r>
        <w:rPr>
          <w:rFonts w:hint="eastAsia" w:ascii="宋体" w:hAnsi="宋体" w:cs="宋体"/>
          <w:b/>
          <w:sz w:val="24"/>
        </w:rPr>
        <w:t>报价一览表</w:t>
      </w:r>
    </w:p>
    <w:p>
      <w:pPr>
        <w:snapToGrid w:val="0"/>
        <w:spacing w:line="360" w:lineRule="auto"/>
        <w:ind w:firstLine="472" w:firstLineChars="196"/>
        <w:jc w:val="left"/>
        <w:rPr>
          <w:rFonts w:hint="eastAsia" w:ascii="宋体" w:hAnsi="宋体" w:cs="宋体"/>
          <w:b/>
          <w:sz w:val="24"/>
        </w:rPr>
      </w:pPr>
      <w:r>
        <w:rPr>
          <w:rFonts w:hint="eastAsia" w:ascii="宋体" w:hAnsi="宋体" w:cs="宋体"/>
          <w:b/>
          <w:sz w:val="24"/>
        </w:rPr>
        <w:t>（2）</w:t>
      </w:r>
      <w:r>
        <w:rPr>
          <w:rFonts w:hint="eastAsia" w:ascii="宋体" w:hAnsi="宋体" w:cs="宋体"/>
          <w:b/>
          <w:sz w:val="24"/>
        </w:rPr>
        <w:tab/>
      </w:r>
      <w:r>
        <w:rPr>
          <w:rFonts w:hint="eastAsia" w:ascii="宋体" w:hAnsi="宋体" w:cs="宋体"/>
          <w:b/>
          <w:sz w:val="24"/>
        </w:rPr>
        <w:t>分项报价表</w:t>
      </w:r>
    </w:p>
    <w:p>
      <w:pPr>
        <w:snapToGrid w:val="0"/>
        <w:spacing w:line="360" w:lineRule="auto"/>
        <w:ind w:firstLine="472" w:firstLineChars="196"/>
        <w:jc w:val="left"/>
        <w:rPr>
          <w:rFonts w:hint="eastAsia" w:ascii="宋体" w:hAnsi="宋体" w:cs="宋体"/>
          <w:sz w:val="24"/>
          <w:u w:val="single"/>
        </w:rPr>
      </w:pPr>
      <w:r>
        <w:rPr>
          <w:rFonts w:hint="eastAsia" w:ascii="宋体" w:hAnsi="宋体" w:cs="宋体"/>
          <w:b/>
          <w:sz w:val="24"/>
        </w:rPr>
        <w:t>注：</w:t>
      </w:r>
      <w:r>
        <w:rPr>
          <w:rFonts w:hint="eastAsia" w:ascii="宋体" w:hAnsi="宋体" w:cs="宋体"/>
          <w:sz w:val="24"/>
          <w:u w:val="single"/>
        </w:rPr>
        <w:t>▲法定代表人授权书、报价一览表、分项报价表必须按竞争性磋商文件格式要求正确签署并加盖磋商供应商公章。资格文件、商务技术文件中不得出现项目报价信息，否则将作无效响应处理。</w:t>
      </w:r>
    </w:p>
    <w:p>
      <w:pPr>
        <w:spacing w:line="360" w:lineRule="auto"/>
        <w:ind w:left="359" w:leftChars="171"/>
        <w:outlineLvl w:val="0"/>
        <w:rPr>
          <w:rFonts w:hint="eastAsia" w:ascii="宋体" w:hAnsi="宋体" w:cs="宋体"/>
          <w:b/>
          <w:sz w:val="24"/>
        </w:rPr>
      </w:pPr>
      <w:bookmarkStart w:id="12" w:name="_Toc13250"/>
      <w:r>
        <w:rPr>
          <w:rFonts w:hint="eastAsia" w:ascii="宋体" w:hAnsi="宋体" w:cs="宋体"/>
          <w:b/>
          <w:sz w:val="24"/>
        </w:rPr>
        <w:t>（五）磋商响应文件格式</w:t>
      </w:r>
      <w:bookmarkEnd w:id="12"/>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磋商供应商提交的磋商响应文件应当使用竞争性磋商文件所提供的磋商响应文件格式，表格格式在不改变格式内容的情况下可自行制作。磋商供应商不按上述要求制作和编排而导致竞争性磋商响应文件被误读或查找不到有效文件是磋商供应商的风险。</w:t>
      </w:r>
    </w:p>
    <w:p>
      <w:pPr>
        <w:adjustRightInd w:val="0"/>
        <w:snapToGrid w:val="0"/>
        <w:spacing w:line="360" w:lineRule="auto"/>
        <w:ind w:firstLine="482" w:firstLineChars="200"/>
        <w:rPr>
          <w:rFonts w:hint="eastAsia" w:ascii="宋体" w:hAnsi="宋体" w:cs="宋体"/>
          <w:b/>
          <w:bCs/>
          <w:sz w:val="24"/>
        </w:rPr>
      </w:pPr>
      <w:r>
        <w:rPr>
          <w:rFonts w:hint="eastAsia" w:ascii="宋体" w:hAnsi="宋体" w:cs="宋体"/>
          <w:b/>
          <w:bCs/>
          <w:sz w:val="24"/>
        </w:rPr>
        <w:t>（六）磋商报价</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u w:val="single"/>
        </w:rPr>
        <w:t>▲磋商报价是指卖方在正确地完全履行合同义务后买方应支付给卖方所有的货物价款，即设备费、材料费、安装调试费、施工费、税金、运输及运输保险费、装卸费、验收费（含第三方验收）、搬运费、质保期内维修保护费、备品备件费、特殊工具费、技术服务费、售后服务费、培训费、政策性文件规定及合同包含的所有风险、责任等全部费用，实行固定费用总包干，磋商供应商应根据上述因素自行考虑含入总价。</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u w:val="single"/>
        </w:rPr>
        <w:t>▲所有磋商均以人民币报价。</w:t>
      </w:r>
      <w:r>
        <w:rPr>
          <w:rFonts w:hint="eastAsia" w:ascii="宋体" w:hAnsi="宋体" w:cs="宋体"/>
          <w:sz w:val="24"/>
        </w:rPr>
        <w:t>磋商供应商如需外汇购入某些货物，须折合成人民币计入磋商报价中。</w:t>
      </w:r>
    </w:p>
    <w:p>
      <w:pPr>
        <w:adjustRightInd w:val="0"/>
        <w:snapToGrid w:val="0"/>
        <w:spacing w:line="360" w:lineRule="auto"/>
        <w:ind w:firstLine="480" w:firstLineChars="200"/>
        <w:rPr>
          <w:rFonts w:hint="eastAsia" w:ascii="宋体" w:hAnsi="宋体" w:cs="宋体"/>
        </w:rPr>
      </w:pPr>
      <w:r>
        <w:rPr>
          <w:rFonts w:hint="eastAsia" w:ascii="宋体" w:hAnsi="宋体" w:cs="宋体"/>
          <w:sz w:val="24"/>
        </w:rPr>
        <w:t>3、▲</w:t>
      </w:r>
      <w:r>
        <w:rPr>
          <w:rFonts w:hint="eastAsia" w:ascii="宋体" w:hAnsi="宋体" w:cs="宋体"/>
          <w:sz w:val="24"/>
          <w:u w:val="single"/>
        </w:rPr>
        <w:t>采购代理机构和采购人不接受任何选择报价，对每一项只允许一个报价。</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4、磋商供应商所报的磋商价在合同执行过程中是固定不变的，不得以任何理由予以变更。任何包含价格调整的要求，将被认为是非实质性响应磋商而予以拒绝。</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5、所有的磋商报价均为货物或服务到买方指定的工地价。</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6、最低报价不能作为成交的保证。</w:t>
      </w:r>
    </w:p>
    <w:p>
      <w:pPr>
        <w:adjustRightInd w:val="0"/>
        <w:snapToGrid w:val="0"/>
        <w:spacing w:line="360" w:lineRule="auto"/>
        <w:ind w:firstLine="482" w:firstLineChars="200"/>
        <w:rPr>
          <w:rFonts w:hint="eastAsia" w:ascii="宋体" w:hAnsi="宋体" w:cs="宋体"/>
          <w:b/>
          <w:bCs/>
          <w:sz w:val="24"/>
        </w:rPr>
      </w:pPr>
      <w:r>
        <w:rPr>
          <w:rFonts w:hint="eastAsia" w:ascii="宋体" w:hAnsi="宋体" w:cs="宋体"/>
          <w:b/>
          <w:bCs/>
          <w:sz w:val="24"/>
        </w:rPr>
        <w:t>（七）磋商有效期</w:t>
      </w:r>
    </w:p>
    <w:p>
      <w:pPr>
        <w:adjustRightInd w:val="0"/>
        <w:snapToGrid w:val="0"/>
        <w:spacing w:line="360" w:lineRule="auto"/>
        <w:ind w:firstLine="480" w:firstLineChars="200"/>
        <w:rPr>
          <w:rFonts w:hint="eastAsia" w:ascii="宋体" w:hAnsi="宋体" w:cs="宋体"/>
          <w:sz w:val="24"/>
          <w:u w:val="single"/>
        </w:rPr>
      </w:pPr>
      <w:r>
        <w:rPr>
          <w:rFonts w:hint="eastAsia" w:ascii="宋体" w:hAnsi="宋体" w:cs="宋体"/>
          <w:sz w:val="24"/>
        </w:rPr>
        <w:t>1、</w:t>
      </w:r>
      <w:r>
        <w:rPr>
          <w:rFonts w:hint="eastAsia" w:ascii="宋体" w:hAnsi="宋体" w:cs="宋体"/>
          <w:sz w:val="24"/>
          <w:u w:val="single"/>
        </w:rPr>
        <w:t>▲自开标之日起</w:t>
      </w:r>
      <w:r>
        <w:rPr>
          <w:rFonts w:hint="eastAsia" w:ascii="宋体" w:hAnsi="宋体" w:cs="宋体"/>
          <w:bCs/>
          <w:sz w:val="24"/>
          <w:u w:val="single"/>
        </w:rPr>
        <w:t>120</w:t>
      </w:r>
      <w:r>
        <w:rPr>
          <w:rFonts w:hint="eastAsia" w:ascii="宋体" w:hAnsi="宋体" w:cs="宋体"/>
          <w:sz w:val="24"/>
          <w:u w:val="single"/>
        </w:rPr>
        <w:t>天内磋商应保持有效。磋商有效期短于这个规定期限的磋商将视为未满足竞争性磋商文件实质性要求作无效响应处理。</w:t>
      </w:r>
    </w:p>
    <w:p>
      <w:pPr>
        <w:adjustRightInd w:val="0"/>
        <w:snapToGrid w:val="0"/>
        <w:spacing w:line="360" w:lineRule="auto"/>
        <w:ind w:firstLine="480" w:firstLineChars="200"/>
        <w:rPr>
          <w:rFonts w:hint="eastAsia" w:ascii="宋体" w:hAnsi="宋体" w:cs="宋体"/>
          <w:b/>
          <w:sz w:val="24"/>
        </w:rPr>
      </w:pPr>
      <w:r>
        <w:rPr>
          <w:rFonts w:hint="eastAsia" w:ascii="宋体" w:hAnsi="宋体" w:cs="宋体"/>
          <w:sz w:val="24"/>
        </w:rPr>
        <w:t>2、特殊情况下，在原磋商有效期截止前，采购人可与磋商供应商协商延长磋商有效期，这种要求和答复均以书面形式进行。磋商供应商可拒绝接受延期要求，同意延长磋商有效期的磋商供应商不得修改磋商响应文件。</w:t>
      </w:r>
    </w:p>
    <w:p>
      <w:pPr>
        <w:spacing w:before="100" w:beforeAutospacing="1" w:after="100" w:afterAutospacing="1" w:line="360" w:lineRule="auto"/>
        <w:jc w:val="center"/>
        <w:rPr>
          <w:rFonts w:hint="eastAsia" w:ascii="宋体" w:hAnsi="宋体" w:cs="宋体"/>
          <w:sz w:val="36"/>
          <w:szCs w:val="36"/>
        </w:rPr>
      </w:pPr>
      <w:r>
        <w:rPr>
          <w:rFonts w:hint="eastAsia" w:ascii="宋体" w:hAnsi="宋体" w:cs="宋体"/>
          <w:b/>
          <w:bCs/>
          <w:sz w:val="36"/>
          <w:szCs w:val="36"/>
        </w:rPr>
        <w:t>四   磋商响应文件的递交</w:t>
      </w:r>
    </w:p>
    <w:p>
      <w:pPr>
        <w:widowControl/>
        <w:spacing w:line="360" w:lineRule="auto"/>
        <w:ind w:firstLine="361" w:firstLineChars="150"/>
        <w:jc w:val="left"/>
        <w:rPr>
          <w:rFonts w:hint="eastAsia" w:ascii="宋体" w:hAnsi="宋体" w:cs="宋体"/>
          <w:b/>
          <w:sz w:val="24"/>
        </w:rPr>
      </w:pPr>
      <w:r>
        <w:rPr>
          <w:rFonts w:hint="eastAsia" w:ascii="宋体" w:hAnsi="宋体" w:cs="宋体"/>
          <w:b/>
          <w:sz w:val="24"/>
        </w:rPr>
        <w:t>（一）磋商响应文件的递交</w:t>
      </w:r>
    </w:p>
    <w:p>
      <w:pPr>
        <w:tabs>
          <w:tab w:val="left" w:pos="315"/>
        </w:tabs>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1、电子磋商响应文件上传的地点和截止时间</w:t>
      </w:r>
    </w:p>
    <w:p>
      <w:pPr>
        <w:spacing w:line="360" w:lineRule="auto"/>
        <w:ind w:firstLine="480" w:firstLineChars="200"/>
        <w:rPr>
          <w:rFonts w:hint="eastAsia" w:ascii="宋体" w:hAnsi="宋体" w:cs="宋体"/>
          <w:sz w:val="24"/>
        </w:rPr>
      </w:pPr>
      <w:r>
        <w:rPr>
          <w:rFonts w:hint="eastAsia" w:ascii="宋体" w:hAnsi="宋体" w:cs="宋体"/>
          <w:sz w:val="24"/>
        </w:rPr>
        <w:t>供应商应于</w:t>
      </w:r>
      <w:r>
        <w:rPr>
          <w:rFonts w:hint="eastAsia" w:ascii="宋体" w:hAnsi="宋体" w:cs="宋体"/>
          <w:kern w:val="0"/>
          <w:sz w:val="24"/>
        </w:rPr>
        <w:t>2022年 11月2</w:t>
      </w:r>
      <w:r>
        <w:rPr>
          <w:rFonts w:hint="eastAsia" w:ascii="宋体" w:hAnsi="宋体" w:cs="宋体"/>
          <w:kern w:val="0"/>
          <w:sz w:val="24"/>
          <w:lang w:val="en-US" w:eastAsia="zh-CN"/>
        </w:rPr>
        <w:t>9</w:t>
      </w:r>
      <w:r>
        <w:rPr>
          <w:rFonts w:hint="eastAsia" w:ascii="宋体" w:hAnsi="宋体" w:cs="宋体"/>
          <w:kern w:val="0"/>
          <w:sz w:val="24"/>
        </w:rPr>
        <w:t xml:space="preserve"> 日9:30时整之前</w:t>
      </w:r>
      <w:r>
        <w:rPr>
          <w:rFonts w:hint="eastAsia" w:ascii="宋体" w:hAnsi="宋体" w:cs="宋体"/>
          <w:sz w:val="24"/>
        </w:rPr>
        <w:t>在政采云上自行加密上传电子磋商响应文件，逾期上传或未按要求上传的磋商响应文件将予以拒收。</w:t>
      </w:r>
    </w:p>
    <w:p>
      <w:pPr>
        <w:tabs>
          <w:tab w:val="left" w:pos="315"/>
        </w:tabs>
        <w:adjustRightInd w:val="0"/>
        <w:snapToGrid w:val="0"/>
        <w:spacing w:line="360" w:lineRule="auto"/>
        <w:ind w:firstLine="480" w:firstLineChars="200"/>
        <w:rPr>
          <w:rFonts w:hint="eastAsia" w:ascii="宋体" w:hAnsi="宋体" w:cs="宋体"/>
          <w:bCs/>
          <w:sz w:val="24"/>
          <w:u w:val="single"/>
        </w:rPr>
      </w:pPr>
      <w:r>
        <w:rPr>
          <w:rFonts w:hint="eastAsia" w:ascii="宋体" w:hAnsi="宋体" w:cs="宋体"/>
          <w:bCs/>
          <w:sz w:val="24"/>
        </w:rPr>
        <w:t>2、迟交的磋商响应文件</w:t>
      </w:r>
    </w:p>
    <w:p>
      <w:pPr>
        <w:tabs>
          <w:tab w:val="left" w:pos="315"/>
        </w:tabs>
        <w:adjustRightInd w:val="0"/>
        <w:snapToGrid w:val="0"/>
        <w:spacing w:line="360" w:lineRule="auto"/>
        <w:ind w:firstLine="456" w:firstLineChars="200"/>
        <w:rPr>
          <w:rFonts w:hint="eastAsia" w:ascii="宋体" w:hAnsi="宋体" w:cs="宋体"/>
          <w:spacing w:val="-6"/>
          <w:sz w:val="24"/>
        </w:rPr>
      </w:pPr>
      <w:r>
        <w:rPr>
          <w:rFonts w:hint="eastAsia" w:ascii="宋体" w:hAnsi="宋体" w:cs="宋体"/>
          <w:spacing w:val="-6"/>
          <w:sz w:val="24"/>
        </w:rPr>
        <w:t>采购代理机构在规定的磋商响应截止时间以后政采云平台将不接收磋商响应文件。</w:t>
      </w:r>
    </w:p>
    <w:p>
      <w:pPr>
        <w:spacing w:line="360" w:lineRule="auto"/>
        <w:ind w:firstLine="482" w:firstLineChars="200"/>
        <w:rPr>
          <w:rFonts w:hint="eastAsia" w:ascii="宋体" w:hAnsi="宋体" w:cs="宋体"/>
          <w:b/>
          <w:sz w:val="24"/>
        </w:rPr>
      </w:pPr>
      <w:r>
        <w:rPr>
          <w:rFonts w:hint="eastAsia" w:ascii="宋体" w:hAnsi="宋体" w:cs="宋体"/>
          <w:b/>
          <w:bCs/>
          <w:sz w:val="24"/>
        </w:rPr>
        <w:t>（二）</w:t>
      </w:r>
      <w:r>
        <w:rPr>
          <w:rFonts w:hint="eastAsia" w:ascii="宋体" w:hAnsi="宋体" w:cs="宋体"/>
          <w:b/>
          <w:sz w:val="24"/>
        </w:rPr>
        <w:t>磋商响应文件解密</w:t>
      </w:r>
    </w:p>
    <w:p>
      <w:pPr>
        <w:spacing w:line="360" w:lineRule="auto"/>
        <w:ind w:firstLine="456" w:firstLineChars="200"/>
        <w:rPr>
          <w:rFonts w:hint="eastAsia" w:ascii="宋体" w:hAnsi="宋体" w:cs="宋体"/>
          <w:sz w:val="24"/>
        </w:rPr>
      </w:pPr>
      <w:r>
        <w:rPr>
          <w:rFonts w:hint="eastAsia" w:ascii="宋体" w:hAnsi="宋体" w:cs="宋体"/>
          <w:spacing w:val="-6"/>
          <w:sz w:val="24"/>
        </w:rPr>
        <w:t>磋商响应截止时间</w:t>
      </w:r>
      <w:r>
        <w:rPr>
          <w:rFonts w:hint="eastAsia" w:ascii="宋体" w:hAnsi="宋体" w:cs="宋体"/>
          <w:sz w:val="24"/>
        </w:rPr>
        <w:t>后半小时内（</w:t>
      </w:r>
      <w:r>
        <w:rPr>
          <w:rFonts w:hint="eastAsia" w:ascii="宋体" w:hAnsi="宋体" w:cs="宋体"/>
          <w:kern w:val="0"/>
          <w:sz w:val="24"/>
        </w:rPr>
        <w:t>2022年11 月2</w:t>
      </w:r>
      <w:r>
        <w:rPr>
          <w:rFonts w:hint="eastAsia" w:ascii="宋体" w:hAnsi="宋体" w:cs="宋体"/>
          <w:kern w:val="0"/>
          <w:sz w:val="24"/>
          <w:lang w:val="en-US" w:eastAsia="zh-CN"/>
        </w:rPr>
        <w:t>9</w:t>
      </w:r>
      <w:r>
        <w:rPr>
          <w:rFonts w:hint="eastAsia" w:ascii="宋体" w:hAnsi="宋体" w:cs="宋体"/>
          <w:kern w:val="0"/>
          <w:sz w:val="24"/>
        </w:rPr>
        <w:t xml:space="preserve"> 日</w:t>
      </w:r>
      <w:r>
        <w:rPr>
          <w:rFonts w:hint="eastAsia" w:ascii="宋体" w:hAnsi="宋体" w:cs="宋体"/>
          <w:sz w:val="24"/>
        </w:rPr>
        <w:t>10:00前）供应商可以登录“政采云”平台，用“项目采购-开标评审”功能进行解密磋商响应文件，待所有磋商响应文件解密后开始评审。若供应商在规定时间内（</w:t>
      </w:r>
      <w:r>
        <w:rPr>
          <w:rFonts w:hint="eastAsia" w:ascii="宋体" w:hAnsi="宋体" w:cs="宋体"/>
          <w:kern w:val="0"/>
          <w:sz w:val="24"/>
        </w:rPr>
        <w:t>2022年11月</w:t>
      </w:r>
      <w:r>
        <w:rPr>
          <w:rFonts w:hint="eastAsia" w:ascii="宋体" w:hAnsi="宋体" w:cs="宋体"/>
          <w:kern w:val="0"/>
          <w:sz w:val="24"/>
          <w:lang w:val="en-US" w:eastAsia="zh-CN"/>
        </w:rPr>
        <w:t>29</w:t>
      </w:r>
      <w:r>
        <w:rPr>
          <w:rFonts w:hint="eastAsia" w:ascii="宋体" w:hAnsi="宋体" w:cs="宋体"/>
          <w:kern w:val="0"/>
          <w:sz w:val="24"/>
        </w:rPr>
        <w:t>日</w:t>
      </w:r>
      <w:r>
        <w:rPr>
          <w:rFonts w:hint="eastAsia" w:ascii="宋体" w:hAnsi="宋体" w:cs="宋体"/>
          <w:sz w:val="24"/>
        </w:rPr>
        <w:t>上午10:00前）无法解密或解密失败，将导致磋商无效或失败。</w:t>
      </w:r>
    </w:p>
    <w:p>
      <w:pPr>
        <w:pStyle w:val="27"/>
        <w:adjustRightInd w:val="0"/>
        <w:snapToGrid w:val="0"/>
        <w:spacing w:line="360" w:lineRule="auto"/>
        <w:ind w:firstLine="482" w:firstLineChars="200"/>
        <w:rPr>
          <w:rFonts w:hint="eastAsia" w:hAnsi="宋体" w:cs="宋体"/>
          <w:b/>
          <w:kern w:val="0"/>
          <w:sz w:val="24"/>
          <w:szCs w:val="24"/>
        </w:rPr>
      </w:pPr>
      <w:r>
        <w:rPr>
          <w:rFonts w:hint="eastAsia" w:hAnsi="宋体" w:cs="宋体"/>
          <w:b/>
          <w:kern w:val="0"/>
          <w:sz w:val="24"/>
          <w:szCs w:val="24"/>
        </w:rPr>
        <w:t>注：为确保采购项目顺利实施，避免因政采云上电子磋商响应文件解密失败导致磋商供应商磋商无效，磋商供应商可在</w:t>
      </w:r>
      <w:r>
        <w:rPr>
          <w:rFonts w:hint="eastAsia" w:hAnsi="宋体" w:cs="宋体"/>
          <w:kern w:val="0"/>
          <w:sz w:val="24"/>
        </w:rPr>
        <w:t>2022年 11月2</w:t>
      </w:r>
      <w:r>
        <w:rPr>
          <w:rFonts w:hint="eastAsia" w:hAnsi="宋体" w:cs="宋体"/>
          <w:kern w:val="0"/>
          <w:sz w:val="24"/>
          <w:lang w:val="en-US" w:eastAsia="zh-CN"/>
        </w:rPr>
        <w:t>9</w:t>
      </w:r>
      <w:r>
        <w:rPr>
          <w:rFonts w:hint="eastAsia" w:hAnsi="宋体" w:cs="宋体"/>
          <w:kern w:val="0"/>
          <w:sz w:val="24"/>
        </w:rPr>
        <w:t>日9:30</w:t>
      </w:r>
      <w:r>
        <w:rPr>
          <w:rFonts w:hint="eastAsia" w:hAnsi="宋体" w:cs="宋体"/>
          <w:b/>
          <w:kern w:val="0"/>
          <w:sz w:val="24"/>
          <w:szCs w:val="24"/>
        </w:rPr>
        <w:t>时整之前将在政采云平台上最后生成的具备电子签章的备份加密磋商响应文件（文件名后缀为“备份文件”四字的首字母）以电子邮件方式传送至温州市公共资源交易中心鹿城分中心邮箱（</w:t>
      </w:r>
      <w:r>
        <w:rPr>
          <w:rFonts w:hint="eastAsia" w:hAnsi="宋体" w:cs="宋体"/>
          <w:kern w:val="0"/>
          <w:sz w:val="24"/>
          <w:szCs w:val="24"/>
        </w:rPr>
        <w:t>luchengcgzx@163.com</w:t>
      </w:r>
      <w:r>
        <w:rPr>
          <w:rFonts w:hint="eastAsia" w:hAnsi="宋体" w:cs="宋体"/>
          <w:b/>
          <w:kern w:val="0"/>
          <w:sz w:val="24"/>
          <w:szCs w:val="24"/>
        </w:rPr>
        <w:t>），传送的备份电子磋商响应文件需打包压缩并加密，加密密码由磋商供应商自行保管，如备份电子磋商响应文件未加密，则磋商供应商需自行承担磋商响应文件提前泄密的风险。如政采云上电子磋商响应文件出现解密失败情况（磋商当日9:30-10:00期间进行解密），磋商供应商可按照自身意愿确认是否同意提供加密密码解密传送至温州市公共资源交易中心鹿城分中心邮箱的备份文件，并以备份文件作为替代电子磋商响应文件，如磋商供应商未按照规定时间（</w:t>
      </w:r>
      <w:r>
        <w:rPr>
          <w:rFonts w:hint="eastAsia" w:hAnsi="宋体" w:cs="宋体"/>
          <w:kern w:val="0"/>
          <w:sz w:val="24"/>
        </w:rPr>
        <w:t>2022年  11 月 2</w:t>
      </w:r>
      <w:r>
        <w:rPr>
          <w:rFonts w:hint="eastAsia" w:hAnsi="宋体" w:cs="宋体"/>
          <w:kern w:val="0"/>
          <w:sz w:val="24"/>
          <w:lang w:val="en-US" w:eastAsia="zh-CN"/>
        </w:rPr>
        <w:t>9</w:t>
      </w:r>
      <w:r>
        <w:rPr>
          <w:rFonts w:hint="eastAsia" w:hAnsi="宋体" w:cs="宋体"/>
          <w:kern w:val="0"/>
          <w:sz w:val="24"/>
        </w:rPr>
        <w:t xml:space="preserve">  日</w:t>
      </w:r>
      <w:r>
        <w:rPr>
          <w:rFonts w:hint="eastAsia" w:hAnsi="宋体" w:cs="宋体"/>
          <w:b/>
          <w:kern w:val="0"/>
          <w:sz w:val="24"/>
          <w:szCs w:val="24"/>
        </w:rPr>
        <w:t>9:30时整之前）及要求提供有效备份文件，同时政采云上磋商响应文件解密失败的，将导致磋商响应无效。电子磋商响应文件与备份磋商响应文件必须同时生成且内容完全一致。</w:t>
      </w:r>
    </w:p>
    <w:p>
      <w:pPr>
        <w:spacing w:line="360" w:lineRule="auto"/>
        <w:ind w:firstLine="354" w:firstLineChars="147"/>
        <w:rPr>
          <w:rFonts w:hint="eastAsia" w:ascii="宋体" w:hAnsi="宋体" w:cs="宋体"/>
          <w:b/>
          <w:bCs/>
          <w:sz w:val="24"/>
          <w:u w:val="single"/>
        </w:rPr>
      </w:pPr>
      <w:r>
        <w:rPr>
          <w:rFonts w:hint="eastAsia" w:ascii="宋体" w:hAnsi="宋体" w:cs="宋体"/>
          <w:b/>
          <w:sz w:val="24"/>
        </w:rPr>
        <w:t>（三）</w:t>
      </w:r>
      <w:r>
        <w:rPr>
          <w:rFonts w:hint="eastAsia" w:ascii="宋体" w:hAnsi="宋体" w:cs="宋体"/>
          <w:b/>
          <w:bCs/>
          <w:sz w:val="24"/>
        </w:rPr>
        <w:t xml:space="preserve"> 磋商响应文件的补充、修改与撤回</w:t>
      </w:r>
    </w:p>
    <w:p>
      <w:pPr>
        <w:tabs>
          <w:tab w:val="left" w:pos="315"/>
        </w:tabs>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1、磋商供应商在提交磋商响应文件以后，在规定的磋商响应截止时间之前，可以以重新补充修改或撤回已上传的磋商响应文件，补充、修改的内容为磋商响应文件的组成部分。</w:t>
      </w:r>
    </w:p>
    <w:p>
      <w:pPr>
        <w:tabs>
          <w:tab w:val="left" w:pos="315"/>
        </w:tabs>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2、在磋商响应截止时间之后，磋商供应商不得对其磋商做任何修改。</w:t>
      </w:r>
    </w:p>
    <w:p>
      <w:pPr>
        <w:pStyle w:val="9"/>
        <w:spacing w:line="360" w:lineRule="auto"/>
        <w:ind w:firstLine="470" w:firstLineChars="196"/>
        <w:rPr>
          <w:rFonts w:hint="eastAsia" w:ascii="宋体" w:hAnsi="宋体" w:cs="宋体"/>
        </w:rPr>
      </w:pPr>
      <w:r>
        <w:rPr>
          <w:rFonts w:hint="eastAsia" w:ascii="宋体" w:hAnsi="宋体" w:cs="宋体"/>
          <w:sz w:val="24"/>
        </w:rPr>
        <w:t>3、从磋商响应截止时间至磋商供应商在磋商响应文件格式中确定的磋商有效期期满这段时间内，磋商供应商不得撤回其磋商。</w:t>
      </w: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tabs>
          <w:tab w:val="left" w:pos="360"/>
          <w:tab w:val="left" w:pos="540"/>
          <w:tab w:val="left" w:pos="1260"/>
        </w:tabs>
        <w:spacing w:before="100" w:beforeAutospacing="1" w:after="100" w:afterAutospacing="1" w:line="440" w:lineRule="exact"/>
        <w:jc w:val="center"/>
        <w:outlineLvl w:val="0"/>
        <w:rPr>
          <w:rFonts w:hint="eastAsia" w:ascii="宋体" w:hAnsi="宋体" w:cs="宋体"/>
          <w:sz w:val="36"/>
          <w:szCs w:val="36"/>
        </w:rPr>
      </w:pPr>
      <w:r>
        <w:rPr>
          <w:rFonts w:hint="eastAsia" w:ascii="宋体" w:hAnsi="宋体" w:cs="宋体"/>
          <w:b/>
          <w:bCs/>
          <w:sz w:val="36"/>
          <w:szCs w:val="36"/>
        </w:rPr>
        <w:br w:type="page"/>
      </w:r>
      <w:bookmarkStart w:id="13" w:name="_Toc24974"/>
      <w:r>
        <w:rPr>
          <w:rFonts w:hint="eastAsia" w:ascii="宋体" w:hAnsi="宋体" w:cs="宋体"/>
          <w:b/>
          <w:bCs/>
          <w:sz w:val="36"/>
          <w:szCs w:val="36"/>
        </w:rPr>
        <w:t>第四部分   磋商原则及方法</w:t>
      </w:r>
      <w:bookmarkEnd w:id="13"/>
    </w:p>
    <w:p>
      <w:pPr>
        <w:spacing w:line="360" w:lineRule="auto"/>
        <w:ind w:firstLine="482" w:firstLineChars="200"/>
        <w:rPr>
          <w:rFonts w:hint="eastAsia" w:ascii="宋体" w:hAnsi="宋体" w:cs="宋体"/>
          <w:b/>
          <w:bCs/>
          <w:sz w:val="24"/>
        </w:rPr>
      </w:pPr>
      <w:r>
        <w:rPr>
          <w:rFonts w:hint="eastAsia" w:ascii="宋体" w:hAnsi="宋体" w:cs="宋体"/>
          <w:b/>
          <w:bCs/>
          <w:sz w:val="24"/>
        </w:rPr>
        <w:t xml:space="preserve">（一）磋商小组                                                                                                                                                                                                                               </w:t>
      </w:r>
    </w:p>
    <w:p>
      <w:pPr>
        <w:spacing w:line="360" w:lineRule="auto"/>
        <w:ind w:firstLine="480" w:firstLineChars="200"/>
        <w:rPr>
          <w:rFonts w:hint="eastAsia" w:ascii="宋体" w:hAnsi="宋体" w:cs="宋体"/>
          <w:bCs/>
          <w:sz w:val="24"/>
        </w:rPr>
      </w:pPr>
      <w:r>
        <w:rPr>
          <w:rFonts w:hint="eastAsia" w:ascii="宋体" w:hAnsi="宋体" w:cs="宋体"/>
          <w:bCs/>
          <w:sz w:val="24"/>
        </w:rPr>
        <w:t>1、采购代理机构依法组建磋商小组，磋商小组的成员在评审过程中必须严格遵守《政府采购法》等有关法律、法规的规定。</w:t>
      </w:r>
    </w:p>
    <w:p>
      <w:pPr>
        <w:spacing w:line="360" w:lineRule="auto"/>
        <w:ind w:firstLine="480" w:firstLineChars="200"/>
        <w:rPr>
          <w:rFonts w:hint="eastAsia" w:ascii="宋体" w:hAnsi="宋体" w:cs="宋体"/>
          <w:sz w:val="24"/>
        </w:rPr>
      </w:pPr>
      <w:r>
        <w:rPr>
          <w:rFonts w:hint="eastAsia" w:ascii="宋体" w:hAnsi="宋体" w:cs="宋体"/>
          <w:sz w:val="24"/>
        </w:rPr>
        <w:t>2、评审过程中遇到特殊情况，由磋商小组遵循公开、公正原则，采取投票方式按照少数服从多数原则决定。</w:t>
      </w:r>
    </w:p>
    <w:p>
      <w:pPr>
        <w:spacing w:line="360" w:lineRule="auto"/>
        <w:ind w:firstLine="482" w:firstLineChars="200"/>
        <w:rPr>
          <w:rFonts w:hint="eastAsia" w:ascii="宋体" w:hAnsi="宋体" w:cs="宋体"/>
          <w:b/>
          <w:bCs/>
          <w:sz w:val="24"/>
        </w:rPr>
      </w:pPr>
      <w:r>
        <w:rPr>
          <w:rFonts w:hint="eastAsia" w:ascii="宋体" w:hAnsi="宋体" w:cs="宋体"/>
          <w:b/>
          <w:bCs/>
          <w:sz w:val="24"/>
        </w:rPr>
        <w:t>（二）评审过程的保密性</w:t>
      </w:r>
    </w:p>
    <w:p>
      <w:pPr>
        <w:spacing w:line="360" w:lineRule="auto"/>
        <w:ind w:firstLine="480" w:firstLineChars="200"/>
        <w:rPr>
          <w:rFonts w:hint="eastAsia" w:ascii="宋体" w:hAnsi="宋体" w:cs="宋体"/>
          <w:bCs/>
          <w:sz w:val="24"/>
        </w:rPr>
      </w:pPr>
      <w:r>
        <w:rPr>
          <w:rFonts w:hint="eastAsia" w:ascii="宋体" w:hAnsi="宋体" w:cs="宋体"/>
          <w:bCs/>
          <w:sz w:val="24"/>
        </w:rPr>
        <w:t>1、磋商开始后直至向成交人授予合同时止，凡与评审有关的资料均不得向磋商供应商及与评审无关人员透露。磋商供应商不得以任何方式干扰招磋商工作的进行，一经发现其磋商响应文件将被拒绝。</w:t>
      </w:r>
    </w:p>
    <w:p>
      <w:pPr>
        <w:spacing w:line="360" w:lineRule="auto"/>
        <w:ind w:firstLine="480" w:firstLineChars="200"/>
        <w:rPr>
          <w:rFonts w:hint="eastAsia" w:ascii="宋体" w:hAnsi="宋体" w:cs="宋体"/>
          <w:sz w:val="24"/>
        </w:rPr>
      </w:pPr>
      <w:r>
        <w:rPr>
          <w:rFonts w:hint="eastAsia" w:ascii="宋体" w:hAnsi="宋体" w:cs="宋体"/>
          <w:sz w:val="24"/>
        </w:rPr>
        <w:t>2、磋商开始后，直至成交公告发出且质疑期届满止，凡属于对磋商响应文件的审查、澄清、评价和比较等有关的资料以及成交候选人的推荐情况等与评审有关的任何情况均严格保密。</w:t>
      </w:r>
    </w:p>
    <w:p>
      <w:pPr>
        <w:spacing w:line="360" w:lineRule="auto"/>
        <w:ind w:firstLine="480" w:firstLineChars="200"/>
        <w:rPr>
          <w:rFonts w:hint="eastAsia" w:ascii="宋体" w:hAnsi="宋体" w:cs="宋体"/>
          <w:sz w:val="24"/>
        </w:rPr>
      </w:pPr>
      <w:r>
        <w:rPr>
          <w:rFonts w:hint="eastAsia" w:ascii="宋体" w:hAnsi="宋体" w:cs="宋体"/>
          <w:sz w:val="24"/>
        </w:rPr>
        <w:t>3、成交人确认后，采购人不对未成交人就评审过程以及未能成交原因作出任何解释。未成交人不得向磋商小组成员或其他有关人员索问评审过程的全部情况。</w:t>
      </w:r>
    </w:p>
    <w:p>
      <w:pPr>
        <w:spacing w:line="360" w:lineRule="auto"/>
        <w:ind w:firstLine="480" w:firstLineChars="200"/>
        <w:rPr>
          <w:rFonts w:hint="eastAsia" w:ascii="宋体" w:hAnsi="宋体" w:cs="宋体"/>
          <w:spacing w:val="-4"/>
          <w:sz w:val="24"/>
        </w:rPr>
      </w:pPr>
      <w:r>
        <w:rPr>
          <w:rFonts w:hint="eastAsia" w:ascii="宋体" w:hAnsi="宋体" w:cs="宋体"/>
          <w:sz w:val="24"/>
        </w:rPr>
        <w:t>4、</w:t>
      </w:r>
      <w:r>
        <w:rPr>
          <w:rFonts w:hint="eastAsia" w:ascii="宋体" w:hAnsi="宋体" w:cs="宋体"/>
          <w:spacing w:val="-4"/>
          <w:sz w:val="24"/>
        </w:rPr>
        <w:t>为保证定标的公正性，在评审过程中，评审成员不得与磋商供应商私人交换意见。在磋商工作结束后，凡与评审情况有接触的任何人不得也不应将评审情况扩散出评审成员之外。磋商小组必须严格遵守保密规定，不得索贿受贿，不得接受吃请和礼品，不得参加影响公正评审的有关活动。</w:t>
      </w:r>
    </w:p>
    <w:p>
      <w:pPr>
        <w:spacing w:line="360" w:lineRule="auto"/>
        <w:ind w:firstLine="480" w:firstLineChars="200"/>
        <w:rPr>
          <w:rFonts w:hint="eastAsia" w:ascii="宋体" w:hAnsi="宋体" w:cs="宋体"/>
          <w:sz w:val="24"/>
        </w:rPr>
      </w:pPr>
      <w:r>
        <w:rPr>
          <w:rFonts w:hint="eastAsia" w:ascii="宋体" w:hAnsi="宋体" w:cs="宋体"/>
          <w:sz w:val="24"/>
        </w:rPr>
        <w:t>5、磋商小组不向未成交人解释未成交原因，不退还磋商响应文件。</w:t>
      </w:r>
    </w:p>
    <w:p>
      <w:pPr>
        <w:spacing w:line="360" w:lineRule="auto"/>
        <w:ind w:firstLine="482" w:firstLineChars="200"/>
        <w:rPr>
          <w:rFonts w:hint="eastAsia" w:ascii="宋体" w:hAnsi="宋体" w:cs="宋体"/>
          <w:b/>
          <w:sz w:val="24"/>
        </w:rPr>
      </w:pPr>
      <w:r>
        <w:rPr>
          <w:rFonts w:hint="eastAsia" w:ascii="宋体" w:hAnsi="宋体" w:cs="宋体"/>
          <w:b/>
          <w:sz w:val="24"/>
        </w:rPr>
        <w:t>（三）磋商响应文件的资格性和符合性评审</w:t>
      </w:r>
    </w:p>
    <w:p>
      <w:pPr>
        <w:spacing w:line="360" w:lineRule="auto"/>
        <w:ind w:firstLine="482" w:firstLineChars="200"/>
        <w:rPr>
          <w:rFonts w:hint="eastAsia" w:ascii="宋体" w:hAnsi="宋体" w:cs="宋体"/>
          <w:b/>
          <w:sz w:val="24"/>
        </w:rPr>
      </w:pPr>
      <w:r>
        <w:rPr>
          <w:rFonts w:hint="eastAsia" w:ascii="宋体" w:hAnsi="宋体" w:cs="宋体"/>
          <w:b/>
          <w:sz w:val="24"/>
        </w:rPr>
        <w:t>1、磋商开始后，采购人代表依法对磋商供应商的资格进行审查。</w:t>
      </w:r>
    </w:p>
    <w:p>
      <w:pPr>
        <w:spacing w:line="360" w:lineRule="auto"/>
        <w:ind w:firstLine="480" w:firstLineChars="200"/>
        <w:rPr>
          <w:rFonts w:hint="eastAsia" w:ascii="宋体" w:hAnsi="宋体" w:cs="宋体"/>
          <w:sz w:val="24"/>
        </w:rPr>
      </w:pPr>
      <w:r>
        <w:rPr>
          <w:rFonts w:hint="eastAsia" w:ascii="宋体" w:hAnsi="宋体" w:cs="宋体"/>
          <w:sz w:val="24"/>
        </w:rPr>
        <w:t>2、评审时，磋商小组将首先评定每份磋商响应文件是否在实质上响应了竞争性磋商文件的要求。所谓实质上响应，是指磋商响应文件应与竞争性磋商文件的所有实质性条款、条件和要求相符，无显著差异。</w:t>
      </w:r>
    </w:p>
    <w:p>
      <w:pPr>
        <w:spacing w:line="360" w:lineRule="auto"/>
        <w:ind w:firstLine="480" w:firstLineChars="200"/>
        <w:rPr>
          <w:rFonts w:hint="eastAsia" w:ascii="宋体" w:hAnsi="宋体" w:cs="宋体"/>
          <w:sz w:val="24"/>
        </w:rPr>
      </w:pPr>
      <w:r>
        <w:rPr>
          <w:rFonts w:hint="eastAsia" w:ascii="宋体" w:hAnsi="宋体" w:cs="宋体"/>
          <w:sz w:val="24"/>
        </w:rPr>
        <w:t>3、磋商小组决定磋商的实质性要求只根据磋商响应文件本身的内容，而不寻求外部的证据。磋商供应商不得通过修正或撤消不合要求的偏离或保留，从而使其磋商成为实质上响应的磋商。</w:t>
      </w:r>
    </w:p>
    <w:p>
      <w:pPr>
        <w:spacing w:line="360" w:lineRule="auto"/>
        <w:ind w:firstLine="480" w:firstLineChars="200"/>
        <w:rPr>
          <w:rFonts w:hint="eastAsia" w:ascii="宋体" w:hAnsi="宋体" w:cs="宋体"/>
          <w:bCs/>
          <w:sz w:val="24"/>
        </w:rPr>
      </w:pPr>
      <w:r>
        <w:rPr>
          <w:rFonts w:hint="eastAsia" w:ascii="宋体" w:hAnsi="宋体" w:cs="宋体"/>
          <w:bCs/>
          <w:sz w:val="24"/>
        </w:rPr>
        <w:t>4、评审委员按照竞争性磋商文件中规定的评审方法和标准，对符合性审查合格的磋商响应文件进行商务和技术评估，综合比较与评价。</w:t>
      </w:r>
    </w:p>
    <w:p>
      <w:pPr>
        <w:spacing w:line="360" w:lineRule="auto"/>
        <w:ind w:firstLine="482" w:firstLineChars="200"/>
        <w:rPr>
          <w:rFonts w:hint="eastAsia" w:ascii="宋体" w:hAnsi="宋体" w:cs="宋体"/>
          <w:b/>
          <w:bCs/>
          <w:sz w:val="24"/>
        </w:rPr>
      </w:pPr>
      <w:r>
        <w:rPr>
          <w:rFonts w:hint="eastAsia" w:ascii="宋体" w:hAnsi="宋体" w:cs="宋体"/>
          <w:b/>
          <w:bCs/>
          <w:sz w:val="24"/>
        </w:rPr>
        <w:t>（四）磋商</w:t>
      </w:r>
    </w:p>
    <w:p>
      <w:pPr>
        <w:spacing w:line="360" w:lineRule="auto"/>
        <w:ind w:firstLine="480" w:firstLineChars="200"/>
        <w:rPr>
          <w:rFonts w:hint="eastAsia" w:ascii="宋体" w:hAnsi="宋体" w:cs="宋体"/>
          <w:sz w:val="24"/>
        </w:rPr>
      </w:pPr>
      <w:r>
        <w:rPr>
          <w:rFonts w:hint="eastAsia" w:ascii="宋体" w:hAnsi="宋体" w:cs="宋体"/>
          <w:sz w:val="24"/>
        </w:rPr>
        <w:t>1、本项目实行电子评审，磋商供应商无需前往磋商评审现场，只需在规定时间内在政采云平台上上传电子磋商响应文件。</w:t>
      </w:r>
    </w:p>
    <w:p>
      <w:pPr>
        <w:spacing w:line="360" w:lineRule="auto"/>
        <w:ind w:firstLine="480" w:firstLineChars="200"/>
        <w:rPr>
          <w:rFonts w:hint="eastAsia" w:ascii="宋体" w:hAnsi="宋体" w:cs="宋体"/>
          <w:sz w:val="24"/>
        </w:rPr>
      </w:pPr>
      <w:r>
        <w:rPr>
          <w:rFonts w:hint="eastAsia" w:ascii="宋体" w:hAnsi="宋体" w:cs="宋体"/>
          <w:sz w:val="24"/>
        </w:rPr>
        <w:t>2、电子评审</w:t>
      </w:r>
    </w:p>
    <w:p>
      <w:pPr>
        <w:spacing w:line="360" w:lineRule="auto"/>
        <w:ind w:firstLine="480" w:firstLineChars="200"/>
        <w:rPr>
          <w:rFonts w:hint="eastAsia" w:ascii="宋体" w:hAnsi="宋体" w:cs="宋体"/>
          <w:sz w:val="24"/>
        </w:rPr>
      </w:pPr>
      <w:r>
        <w:rPr>
          <w:rFonts w:hint="eastAsia" w:ascii="宋体" w:hAnsi="宋体" w:cs="宋体"/>
          <w:sz w:val="24"/>
        </w:rPr>
        <w:t xml:space="preserve">磋商响应截止时间后的半小时内（磋商当日上午9:30-10:00时），由各磋商供应商自行对电子磋商响应文件进行解密（请各磋商供应商务必在规定时间内完成电子磋商响应文件的解密工作，在电子磋商评审期间，磋商供应商（授权代表）需确保在各自所在的区域具备上网的技术条件并保持网络及联系方式畅通），同时为避免出现意外，建议全程由一台电脑进行操作（包括标书制作、上传、解密等），中途不要更换电脑； </w:t>
      </w:r>
    </w:p>
    <w:p>
      <w:pPr>
        <w:spacing w:line="360" w:lineRule="auto"/>
        <w:ind w:firstLine="482" w:firstLineChars="200"/>
        <w:rPr>
          <w:rFonts w:hint="eastAsia" w:ascii="宋体" w:hAnsi="宋体" w:cs="宋体"/>
          <w:b/>
          <w:sz w:val="24"/>
          <w:shd w:val="pct10" w:color="auto" w:fill="FFFFFF"/>
        </w:rPr>
      </w:pPr>
      <w:r>
        <w:rPr>
          <w:rFonts w:hint="eastAsia" w:ascii="宋体" w:hAnsi="宋体" w:cs="宋体"/>
          <w:b/>
          <w:sz w:val="24"/>
          <w:shd w:val="pct10" w:color="auto" w:fill="FFFFFF"/>
        </w:rPr>
        <w:t>特别说明：政采云公司如对电子化开标（磋商）及评审程序有调整的，按调整后的程序操作。</w:t>
      </w:r>
    </w:p>
    <w:p>
      <w:pPr>
        <w:spacing w:line="360" w:lineRule="auto"/>
        <w:ind w:firstLine="480" w:firstLineChars="200"/>
        <w:rPr>
          <w:rFonts w:hint="eastAsia" w:ascii="宋体" w:hAnsi="宋体" w:cs="宋体"/>
          <w:sz w:val="24"/>
        </w:rPr>
      </w:pPr>
      <w:r>
        <w:rPr>
          <w:rFonts w:hint="eastAsia" w:ascii="宋体" w:hAnsi="宋体" w:cs="宋体"/>
          <w:sz w:val="24"/>
        </w:rPr>
        <w:t>3、磋商小组所有成员应当集中与单一供应商分别进行磋商（最多不超过二轮），并给予所有参加磋商的供应商平等的磋商机会。</w:t>
      </w:r>
    </w:p>
    <w:p>
      <w:pPr>
        <w:spacing w:line="360" w:lineRule="auto"/>
        <w:ind w:firstLine="480" w:firstLineChars="200"/>
        <w:rPr>
          <w:rFonts w:hint="eastAsia" w:ascii="宋体" w:hAnsi="宋体" w:cs="宋体"/>
          <w:sz w:val="24"/>
        </w:rPr>
      </w:pPr>
      <w:r>
        <w:rPr>
          <w:rFonts w:hint="eastAsia" w:ascii="宋体" w:hAnsi="宋体" w:cs="宋体"/>
          <w:sz w:val="24"/>
        </w:rPr>
        <w:t>4、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pPr>
        <w:spacing w:line="360" w:lineRule="auto"/>
        <w:ind w:firstLine="480" w:firstLineChars="200"/>
        <w:rPr>
          <w:rFonts w:hint="eastAsia" w:ascii="宋体" w:hAnsi="宋体" w:cs="宋体"/>
          <w:sz w:val="24"/>
        </w:rPr>
      </w:pPr>
      <w:r>
        <w:rPr>
          <w:rFonts w:hint="eastAsia" w:ascii="宋体" w:hAnsi="宋体" w:cs="宋体"/>
          <w:sz w:val="24"/>
        </w:rPr>
        <w:t>供应商应当按照磋商文件的变动情况和磋商小组的要求重新提交磋商响应文件，并由其法定代表人或授权代表签字或者加盖公章。</w:t>
      </w:r>
    </w:p>
    <w:p>
      <w:pPr>
        <w:spacing w:line="360" w:lineRule="auto"/>
        <w:ind w:firstLine="482" w:firstLineChars="200"/>
        <w:rPr>
          <w:rFonts w:hint="eastAsia" w:ascii="宋体" w:hAnsi="宋体" w:cs="宋体"/>
          <w:b/>
          <w:bCs/>
          <w:sz w:val="24"/>
        </w:rPr>
      </w:pPr>
      <w:r>
        <w:rPr>
          <w:rFonts w:hint="eastAsia" w:ascii="宋体" w:hAnsi="宋体" w:cs="宋体"/>
          <w:b/>
          <w:bCs/>
          <w:sz w:val="24"/>
        </w:rPr>
        <w:t>（五）</w:t>
      </w:r>
      <w:r>
        <w:rPr>
          <w:rFonts w:hint="eastAsia" w:ascii="宋体" w:hAnsi="宋体" w:cs="宋体"/>
          <w:b/>
          <w:sz w:val="24"/>
        </w:rPr>
        <w:t>磋商响应文件的</w:t>
      </w:r>
      <w:r>
        <w:rPr>
          <w:rFonts w:hint="eastAsia" w:ascii="宋体" w:hAnsi="宋体" w:cs="宋体"/>
          <w:b/>
          <w:bCs/>
          <w:sz w:val="24"/>
        </w:rPr>
        <w:t>澄清</w:t>
      </w:r>
    </w:p>
    <w:p>
      <w:pPr>
        <w:spacing w:line="360" w:lineRule="auto"/>
        <w:ind w:firstLine="480" w:firstLineChars="200"/>
        <w:rPr>
          <w:rFonts w:hint="eastAsia" w:ascii="宋体" w:hAnsi="宋体" w:cs="宋体"/>
          <w:sz w:val="24"/>
        </w:rPr>
      </w:pPr>
      <w:r>
        <w:rPr>
          <w:rFonts w:hint="eastAsia" w:ascii="宋体" w:hAnsi="宋体" w:cs="宋体"/>
          <w:sz w:val="24"/>
        </w:rPr>
        <w:t>1、在评审期间，磋商小组可以在政采云平台在线询标或其他有效形式要求磋商供应商对同一份磋商响应文件含义不明确、对同类问题表述不一致或者有明显文字和计算错误的内容作必要的澄清、说明或补正。磋商供应商应采用在线回复或其他有效形式在询标规定时间内进行澄清或说明（需盖电子签章或实体公章），但澄清、说明或补正内容不得超出磋商响应文件的范围或者改变磋商响应文件的实质性内容。磋商小组要求供应商澄清、说明或者更正磋商响应文件应当以书面形式作出。供应商的澄清、说明或者更正应当由法定代表人或其授权代表签字或者加盖公章。</w:t>
      </w:r>
    </w:p>
    <w:p>
      <w:pPr>
        <w:spacing w:line="360" w:lineRule="auto"/>
        <w:ind w:firstLine="480" w:firstLineChars="200"/>
        <w:rPr>
          <w:rFonts w:hint="eastAsia" w:ascii="宋体" w:hAnsi="宋体" w:cs="宋体"/>
          <w:sz w:val="24"/>
        </w:rPr>
      </w:pPr>
      <w:r>
        <w:rPr>
          <w:rFonts w:hint="eastAsia" w:ascii="宋体" w:hAnsi="宋体" w:cs="宋体"/>
          <w:sz w:val="24"/>
        </w:rPr>
        <w:t>2、如果磋商供应商代表拒绝按磋商小组要求在政采云平台作出在线回复且无其他有效回复方式的，磋商小组可以视情况对其做出无效响应处理。</w:t>
      </w:r>
    </w:p>
    <w:p>
      <w:pPr>
        <w:spacing w:line="360" w:lineRule="auto"/>
        <w:ind w:firstLine="482" w:firstLineChars="200"/>
        <w:rPr>
          <w:rFonts w:hint="eastAsia" w:ascii="宋体" w:hAnsi="宋体" w:cs="宋体"/>
          <w:b/>
          <w:sz w:val="24"/>
        </w:rPr>
      </w:pPr>
      <w:r>
        <w:rPr>
          <w:rFonts w:hint="eastAsia" w:ascii="宋体" w:hAnsi="宋体" w:cs="宋体"/>
          <w:b/>
          <w:sz w:val="24"/>
        </w:rPr>
        <w:t>（六）报价</w:t>
      </w:r>
    </w:p>
    <w:p>
      <w:pPr>
        <w:spacing w:line="360" w:lineRule="auto"/>
        <w:ind w:firstLine="480" w:firstLineChars="200"/>
        <w:rPr>
          <w:rFonts w:hint="eastAsia" w:ascii="宋体" w:hAnsi="宋体" w:cs="宋体"/>
          <w:sz w:val="24"/>
        </w:rPr>
      </w:pPr>
      <w:r>
        <w:rPr>
          <w:rFonts w:hint="eastAsia" w:ascii="宋体" w:hAnsi="宋体" w:cs="宋体"/>
          <w:sz w:val="24"/>
        </w:rPr>
        <w:t>1、磋商文件能够详细列明采购标的的技术、服务要求的，磋商结束后，磋商小组应当要求所有实质性响应的供应商在规定时间内提交最后报价，提交最后报价的供应商不得少于3家。</w:t>
      </w:r>
    </w:p>
    <w:p>
      <w:pPr>
        <w:spacing w:line="360" w:lineRule="auto"/>
        <w:ind w:firstLine="480" w:firstLineChars="200"/>
        <w:rPr>
          <w:rFonts w:hint="eastAsia" w:ascii="宋体" w:hAnsi="宋体" w:cs="宋体"/>
          <w:sz w:val="24"/>
        </w:rPr>
      </w:pPr>
      <w:r>
        <w:rPr>
          <w:rFonts w:hint="eastAsia" w:ascii="宋体" w:hAnsi="宋体" w:cs="宋体"/>
          <w:sz w:val="24"/>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提交最后报价。</w:t>
      </w:r>
    </w:p>
    <w:p>
      <w:pPr>
        <w:spacing w:line="360" w:lineRule="auto"/>
        <w:ind w:firstLine="480" w:firstLineChars="200"/>
        <w:rPr>
          <w:rFonts w:hint="eastAsia" w:ascii="宋体" w:hAnsi="宋体" w:cs="宋体"/>
          <w:sz w:val="24"/>
        </w:rPr>
      </w:pPr>
      <w:r>
        <w:rPr>
          <w:rFonts w:hint="eastAsia" w:ascii="宋体" w:hAnsi="宋体" w:cs="宋体"/>
          <w:sz w:val="24"/>
        </w:rPr>
        <w:t>2、根据项目情况采购代理机构可组织多轮报价，供应商参与报价，以最终报价为准。供应商需要在规定的报价时间内进行报价。若在规定报价时间内，供应商因CA锁等原因无法报价，供应商可在规定时间内将线下材料(签字盖章的报价文件)递交给采购代理机构，由采购代理机构替供应商录入报价金额。</w:t>
      </w:r>
    </w:p>
    <w:p>
      <w:pPr>
        <w:spacing w:line="360" w:lineRule="auto"/>
        <w:ind w:firstLine="480" w:firstLineChars="200"/>
        <w:rPr>
          <w:rFonts w:hint="eastAsia" w:ascii="宋体" w:hAnsi="宋体" w:cs="宋体"/>
          <w:sz w:val="24"/>
        </w:rPr>
      </w:pPr>
      <w:r>
        <w:rPr>
          <w:rFonts w:hint="eastAsia" w:ascii="宋体" w:hAnsi="宋体" w:cs="宋体"/>
          <w:sz w:val="24"/>
        </w:rPr>
        <w:t>3、所有二次报价、磋商及询标流程，均在线上完成，请各供应商务必不要离开电脑太久，并留意手机短信。（请提前检查“政采云”内，关于“项目采购”的岗位权限是否已勾选上。如有问题，请致电400-8817190）</w:t>
      </w:r>
    </w:p>
    <w:p>
      <w:pPr>
        <w:spacing w:line="360" w:lineRule="auto"/>
        <w:ind w:firstLine="480" w:firstLineChars="200"/>
        <w:rPr>
          <w:rFonts w:hint="eastAsia" w:ascii="宋体" w:hAnsi="宋体" w:cs="宋体"/>
          <w:sz w:val="24"/>
        </w:rPr>
      </w:pPr>
      <w:r>
        <w:rPr>
          <w:rFonts w:hint="eastAsia" w:ascii="宋体" w:hAnsi="宋体" w:cs="宋体"/>
          <w:sz w:val="24"/>
        </w:rPr>
        <w:t>4、已提交磋商响应文件的供应商，在提交最后报价之前，可以根据磋商情况退出磋商。</w:t>
      </w:r>
    </w:p>
    <w:p>
      <w:pPr>
        <w:spacing w:line="360" w:lineRule="auto"/>
        <w:ind w:firstLine="480" w:firstLineChars="200"/>
        <w:rPr>
          <w:rFonts w:hint="eastAsia" w:ascii="宋体" w:hAnsi="宋体" w:cs="宋体"/>
          <w:sz w:val="24"/>
        </w:rPr>
      </w:pPr>
      <w:r>
        <w:rPr>
          <w:rFonts w:hint="eastAsia" w:ascii="宋体" w:hAnsi="宋体" w:cs="宋体"/>
          <w:sz w:val="24"/>
        </w:rPr>
        <w:t>5、经磋商确定最终采购需求和提交最后报价的供应商后，由磋商小组采用综合评分法对提交最后报价的供应商的磋商响应文件和最后报价进行综合评分。</w:t>
      </w:r>
    </w:p>
    <w:p>
      <w:pPr>
        <w:spacing w:line="360" w:lineRule="auto"/>
        <w:ind w:firstLine="482" w:firstLineChars="200"/>
        <w:rPr>
          <w:rFonts w:hint="eastAsia" w:ascii="宋体" w:hAnsi="宋体" w:cs="宋体"/>
          <w:b/>
          <w:bCs/>
          <w:sz w:val="24"/>
          <w:u w:val="single"/>
        </w:rPr>
      </w:pPr>
      <w:r>
        <w:rPr>
          <w:rFonts w:hint="eastAsia" w:ascii="宋体" w:hAnsi="宋体" w:cs="宋体"/>
          <w:b/>
          <w:bCs/>
          <w:sz w:val="24"/>
        </w:rPr>
        <w:t>（七）</w:t>
      </w:r>
      <w:r>
        <w:rPr>
          <w:rFonts w:hint="eastAsia" w:ascii="宋体" w:hAnsi="宋体" w:cs="宋体"/>
          <w:sz w:val="24"/>
          <w:u w:val="single"/>
        </w:rPr>
        <w:t>▲</w:t>
      </w:r>
      <w:r>
        <w:rPr>
          <w:rFonts w:hint="eastAsia" w:ascii="宋体" w:hAnsi="宋体" w:cs="宋体"/>
          <w:b/>
          <w:bCs/>
          <w:sz w:val="24"/>
          <w:u w:val="single"/>
        </w:rPr>
        <w:t>磋商响应无效</w:t>
      </w:r>
    </w:p>
    <w:p>
      <w:pPr>
        <w:spacing w:line="360" w:lineRule="auto"/>
        <w:ind w:firstLine="480" w:firstLineChars="200"/>
        <w:rPr>
          <w:rFonts w:hint="eastAsia" w:ascii="宋体" w:hAnsi="宋体" w:cs="宋体"/>
          <w:bCs/>
          <w:sz w:val="24"/>
          <w:u w:val="single"/>
        </w:rPr>
      </w:pPr>
      <w:r>
        <w:rPr>
          <w:rFonts w:hint="eastAsia" w:ascii="宋体" w:hAnsi="宋体" w:cs="宋体"/>
          <w:bCs/>
          <w:sz w:val="24"/>
          <w:u w:val="single"/>
        </w:rPr>
        <w:t>磋商供应商存在下列情况之一的，磋商响应无效：</w:t>
      </w:r>
    </w:p>
    <w:p>
      <w:pPr>
        <w:spacing w:line="360" w:lineRule="auto"/>
        <w:ind w:firstLine="480" w:firstLineChars="200"/>
        <w:rPr>
          <w:rFonts w:hint="eastAsia" w:ascii="宋体" w:hAnsi="宋体" w:cs="宋体"/>
          <w:bCs/>
          <w:sz w:val="24"/>
          <w:u w:val="single"/>
        </w:rPr>
      </w:pPr>
      <w:r>
        <w:rPr>
          <w:rFonts w:hint="eastAsia" w:ascii="宋体" w:hAnsi="宋体" w:cs="宋体"/>
          <w:bCs/>
          <w:sz w:val="24"/>
          <w:u w:val="single"/>
        </w:rPr>
        <w:t>（1）磋商响应文件未按竞争性磋商文件要求签署、盖章的（含电子签章）；</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（2）电子磋商响应文件解密失败的，且未在规定时间内提交备份磋商响应文件；</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（3）磋商供应商代表没有法定代表人合法、有效委托的；</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（4）无法定代表人签字（盖章）或其授权代表签字的；</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 xml:space="preserve">（5）不具备竞争性磋商文件中规定的资格要求的； </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（6）明显不符合竞争性磋商文件中主要技术规格、技术标准的；</w:t>
      </w:r>
    </w:p>
    <w:p>
      <w:pPr>
        <w:spacing w:line="360" w:lineRule="auto"/>
        <w:ind w:firstLine="480" w:firstLineChars="200"/>
        <w:rPr>
          <w:rFonts w:hint="eastAsia" w:ascii="宋体" w:hAnsi="宋体" w:cs="宋体"/>
          <w:b/>
          <w:bCs/>
          <w:sz w:val="24"/>
          <w:u w:val="single"/>
        </w:rPr>
      </w:pPr>
      <w:r>
        <w:rPr>
          <w:rFonts w:hint="eastAsia" w:ascii="宋体" w:hAnsi="宋体" w:cs="宋体"/>
          <w:sz w:val="24"/>
          <w:u w:val="single"/>
        </w:rPr>
        <w:t>（7）磋商需求中要求提供的产品属于节能清单中政府强制采购节能产品品目的，磋商供应商未提供该清单内产品的；</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（8）磋商响应文件主要内容不全或关键字迹模糊无法辨认的；</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（9）磋商响应文件中提供虚假材料、技术指标及参数；</w:t>
      </w:r>
    </w:p>
    <w:p>
      <w:pPr>
        <w:spacing w:line="360" w:lineRule="auto"/>
        <w:ind w:firstLine="480" w:firstLineChars="200"/>
        <w:rPr>
          <w:rFonts w:hint="eastAsia" w:ascii="宋体" w:hAnsi="宋体" w:cs="宋体"/>
          <w:bCs/>
          <w:sz w:val="24"/>
          <w:u w:val="single"/>
        </w:rPr>
      </w:pPr>
      <w:r>
        <w:rPr>
          <w:rFonts w:hint="eastAsia" w:ascii="宋体" w:hAnsi="宋体" w:cs="宋体"/>
          <w:bCs/>
          <w:sz w:val="24"/>
          <w:u w:val="single"/>
        </w:rPr>
        <w:t>（10）商务资信文件或技术文件中出现磋商价格信息的；</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（11）报价超过竞争性磋商文件中规定的预算金额或最高限价；</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（12）</w:t>
      </w:r>
      <w:r>
        <w:rPr>
          <w:rFonts w:hint="eastAsia" w:ascii="宋体" w:hAnsi="宋体" w:cs="宋体"/>
          <w:sz w:val="24"/>
          <w:u w:val="single"/>
        </w:rPr>
        <w:t>标项以赠送方式参与磋商的；</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（13）磋商响应文件含有采购人不能接受的附加条件的；</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（14）磋商供应商的报价明显低于其他通过符合性审查磋商供应商的报价，有可能影响产品质量或者不能诚信履约的，应磋商小组要求未在评审现场合理的时间内提供书面说明及相关证明材料；</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（15）在参加本项目政府采购活动前三年内有重大违法记录或在指定的信用信息查询渠道及截止时间前列入失信被执行人名单、重大税收违法案件当事人名单、政府采购严重违法失信行为记录名单的；</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（16）不同磋商供应商的磋商响应文件由同一单位或者个人编制；</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（17）不同磋商供应商委托同一单位或者个人办理磋商事宜；</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（18）不同磋商供应商的磋商响应文件载明的项目管理成员或者联系人员为同一人；</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（19）不同磋商供应商的磋商响应文件异常一致或者磋商报价呈规律性差异；</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（20）不同磋商供应商的磋商响应文件相互混装或相关签章混用的；</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（21）违反公平竞争的原则，存在恶意串通，妨碍其他磋商供应商的竞争行为，损害采购人或者其他磋商供应商的合法权益的；</w:t>
      </w:r>
    </w:p>
    <w:p>
      <w:pPr>
        <w:spacing w:line="360" w:lineRule="auto"/>
        <w:ind w:firstLine="480" w:firstLineChars="200"/>
        <w:rPr>
          <w:rFonts w:hint="eastAsia" w:ascii="宋体" w:hAnsi="宋体" w:cs="宋体"/>
          <w:bCs/>
          <w:sz w:val="24"/>
          <w:u w:val="single"/>
        </w:rPr>
      </w:pPr>
      <w:r>
        <w:rPr>
          <w:rFonts w:hint="eastAsia" w:ascii="宋体" w:hAnsi="宋体" w:cs="宋体"/>
          <w:bCs/>
          <w:sz w:val="24"/>
          <w:u w:val="single"/>
        </w:rPr>
        <w:t>（22）磋商供应商递交两份及以上内容不同的磋商响应文件，或在一份磋商响应文件中对同一磋商项目报有两个及以上磋商总价，且未声明哪个有效（按竞争性磋商文件规定的提交备选磋商方案的除外）。</w:t>
      </w:r>
    </w:p>
    <w:p>
      <w:pPr>
        <w:spacing w:line="360" w:lineRule="auto"/>
        <w:ind w:firstLine="480" w:firstLineChars="200"/>
        <w:rPr>
          <w:rFonts w:hint="eastAsia" w:ascii="宋体" w:hAnsi="宋体" w:cs="宋体"/>
          <w:b/>
          <w:bCs/>
          <w:sz w:val="24"/>
          <w:u w:val="single"/>
        </w:rPr>
      </w:pPr>
      <w:r>
        <w:rPr>
          <w:rFonts w:hint="eastAsia" w:ascii="宋体" w:hAnsi="宋体" w:cs="宋体"/>
          <w:bCs/>
          <w:sz w:val="24"/>
          <w:u w:val="single"/>
        </w:rPr>
        <w:t>（23）法律、法规和竞争性磋商文件规定的其他无效情形。</w:t>
      </w:r>
    </w:p>
    <w:p>
      <w:pPr>
        <w:spacing w:line="360" w:lineRule="auto"/>
        <w:ind w:firstLine="482" w:firstLineChars="200"/>
        <w:rPr>
          <w:rFonts w:hint="eastAsia" w:ascii="宋体" w:hAnsi="宋体" w:cs="宋体"/>
          <w:b/>
          <w:bCs/>
          <w:sz w:val="24"/>
        </w:rPr>
      </w:pPr>
      <w:r>
        <w:rPr>
          <w:rFonts w:hint="eastAsia" w:ascii="宋体" w:hAnsi="宋体" w:cs="宋体"/>
          <w:b/>
          <w:bCs/>
          <w:sz w:val="24"/>
        </w:rPr>
        <w:t>注：以上有（16）至（20）情形之一的，还应视为磋商供应商串通磋商，并报同级财政部门处理。</w:t>
      </w:r>
    </w:p>
    <w:p>
      <w:pPr>
        <w:spacing w:line="360" w:lineRule="auto"/>
        <w:ind w:firstLine="482" w:firstLineChars="200"/>
        <w:rPr>
          <w:rFonts w:hint="eastAsia" w:ascii="宋体" w:hAnsi="宋体" w:cs="宋体"/>
          <w:b/>
          <w:bCs/>
          <w:sz w:val="24"/>
        </w:rPr>
      </w:pPr>
      <w:r>
        <w:rPr>
          <w:rFonts w:hint="eastAsia" w:ascii="宋体" w:hAnsi="宋体" w:cs="宋体"/>
          <w:b/>
          <w:bCs/>
          <w:sz w:val="24"/>
        </w:rPr>
        <w:t>（八）报价修正</w:t>
      </w:r>
    </w:p>
    <w:p>
      <w:pPr>
        <w:spacing w:line="360" w:lineRule="auto"/>
        <w:ind w:firstLine="480" w:firstLineChars="200"/>
        <w:rPr>
          <w:rFonts w:hint="eastAsia" w:ascii="宋体" w:hAnsi="宋体" w:cs="宋体"/>
          <w:bCs/>
          <w:sz w:val="24"/>
        </w:rPr>
      </w:pPr>
      <w:r>
        <w:rPr>
          <w:rFonts w:hint="eastAsia" w:ascii="宋体" w:hAnsi="宋体" w:cs="宋体"/>
          <w:bCs/>
          <w:sz w:val="24"/>
        </w:rPr>
        <w:t>报价文件出现前后不一致的，按照下列规定修正：</w:t>
      </w:r>
    </w:p>
    <w:p>
      <w:pPr>
        <w:spacing w:line="360" w:lineRule="auto"/>
        <w:ind w:firstLine="480" w:firstLineChars="200"/>
        <w:rPr>
          <w:rFonts w:hint="eastAsia" w:ascii="宋体" w:hAnsi="宋体" w:cs="宋体"/>
          <w:bCs/>
          <w:sz w:val="24"/>
        </w:rPr>
      </w:pPr>
      <w:r>
        <w:rPr>
          <w:rFonts w:hint="eastAsia" w:ascii="宋体" w:hAnsi="宋体" w:cs="宋体"/>
          <w:bCs/>
          <w:sz w:val="24"/>
        </w:rPr>
        <w:t>（1） 磋商响应文件中报价一览表内容与分项报价表内容不一致的，以报价一览表为准；</w:t>
      </w:r>
    </w:p>
    <w:p>
      <w:pPr>
        <w:spacing w:line="360" w:lineRule="auto"/>
        <w:ind w:firstLine="480" w:firstLineChars="200"/>
        <w:rPr>
          <w:rFonts w:hint="eastAsia" w:ascii="宋体" w:hAnsi="宋体" w:cs="宋体"/>
          <w:bCs/>
          <w:sz w:val="24"/>
        </w:rPr>
      </w:pPr>
      <w:r>
        <w:rPr>
          <w:rFonts w:hint="eastAsia" w:ascii="宋体" w:hAnsi="宋体" w:cs="宋体"/>
          <w:bCs/>
          <w:sz w:val="24"/>
        </w:rPr>
        <w:t>（2） 大写金额和小写金额不一致的，以大写金额为准；</w:t>
      </w:r>
    </w:p>
    <w:p>
      <w:pPr>
        <w:spacing w:line="360" w:lineRule="auto"/>
        <w:ind w:firstLine="480" w:firstLineChars="200"/>
        <w:rPr>
          <w:rFonts w:hint="eastAsia" w:ascii="宋体" w:hAnsi="宋体" w:cs="宋体"/>
          <w:bCs/>
          <w:sz w:val="24"/>
        </w:rPr>
      </w:pPr>
      <w:r>
        <w:rPr>
          <w:rFonts w:hint="eastAsia" w:ascii="宋体" w:hAnsi="宋体" w:cs="宋体"/>
          <w:bCs/>
          <w:sz w:val="24"/>
        </w:rPr>
        <w:t>（3） 单价金额小数点或者百分比有明显错位的，以报价一览表的总价为准，并修改单价；</w:t>
      </w:r>
    </w:p>
    <w:p>
      <w:pPr>
        <w:spacing w:line="360" w:lineRule="auto"/>
        <w:ind w:firstLine="480" w:firstLineChars="200"/>
        <w:rPr>
          <w:rFonts w:hint="eastAsia" w:ascii="宋体" w:hAnsi="宋体" w:cs="宋体"/>
          <w:bCs/>
          <w:sz w:val="24"/>
        </w:rPr>
      </w:pPr>
      <w:r>
        <w:rPr>
          <w:rFonts w:hint="eastAsia" w:ascii="宋体" w:hAnsi="宋体" w:cs="宋体"/>
          <w:bCs/>
          <w:sz w:val="24"/>
        </w:rPr>
        <w:t>（4） 总价金额与按单价汇总金额不一致的，以单价金额计算结果为准。</w:t>
      </w:r>
    </w:p>
    <w:p>
      <w:pPr>
        <w:spacing w:line="360" w:lineRule="auto"/>
        <w:ind w:firstLine="482" w:firstLineChars="200"/>
        <w:rPr>
          <w:rFonts w:hint="eastAsia" w:ascii="宋体" w:hAnsi="宋体" w:cs="宋体"/>
          <w:b/>
          <w:bCs/>
          <w:sz w:val="24"/>
        </w:rPr>
      </w:pPr>
      <w:r>
        <w:rPr>
          <w:rFonts w:hint="eastAsia" w:ascii="宋体" w:hAnsi="宋体" w:cs="宋体"/>
          <w:b/>
          <w:bCs/>
          <w:sz w:val="24"/>
        </w:rPr>
        <w:t>注：同时出现两种以上不一致的，按照前款规定的顺序修正。</w:t>
      </w:r>
      <w:r>
        <w:rPr>
          <w:rFonts w:hint="eastAsia" w:ascii="宋体" w:hAnsi="宋体" w:cs="宋体"/>
          <w:sz w:val="24"/>
        </w:rPr>
        <w:t>修正后的报价</w:t>
      </w:r>
      <w:r>
        <w:rPr>
          <w:rFonts w:hint="eastAsia" w:ascii="宋体" w:hAnsi="宋体" w:cs="宋体"/>
          <w:bCs/>
          <w:sz w:val="24"/>
        </w:rPr>
        <w:t>应当采用书面形式，并加盖公章或电子ca签章，或者由法定代表人或其授权的代表签字进行确认</w:t>
      </w:r>
      <w:r>
        <w:rPr>
          <w:rFonts w:hint="eastAsia" w:ascii="宋体" w:hAnsi="宋体" w:cs="宋体"/>
          <w:sz w:val="24"/>
        </w:rPr>
        <w:t>。</w:t>
      </w:r>
      <w:r>
        <w:rPr>
          <w:rFonts w:hint="eastAsia" w:ascii="宋体" w:hAnsi="宋体" w:cs="宋体"/>
          <w:b/>
          <w:bCs/>
          <w:sz w:val="24"/>
        </w:rPr>
        <w:t>如磋商供应商不接受对其价格错误进行修正，其磋商按响应无效处理。</w:t>
      </w:r>
    </w:p>
    <w:p>
      <w:pPr>
        <w:spacing w:line="360" w:lineRule="auto"/>
        <w:ind w:firstLine="482" w:firstLineChars="200"/>
        <w:rPr>
          <w:rFonts w:hint="eastAsia" w:ascii="宋体" w:hAnsi="宋体" w:cs="宋体"/>
          <w:b/>
          <w:bCs/>
          <w:sz w:val="24"/>
        </w:rPr>
      </w:pPr>
      <w:r>
        <w:rPr>
          <w:rFonts w:hint="eastAsia" w:ascii="宋体" w:hAnsi="宋体" w:cs="宋体"/>
          <w:b/>
          <w:bCs/>
          <w:sz w:val="24"/>
        </w:rPr>
        <w:t>（九）错误修正</w:t>
      </w:r>
    </w:p>
    <w:p>
      <w:pPr>
        <w:spacing w:line="360" w:lineRule="auto"/>
        <w:ind w:firstLine="480" w:firstLineChars="200"/>
        <w:rPr>
          <w:rFonts w:hint="eastAsia" w:ascii="宋体" w:hAnsi="宋体" w:cs="宋体"/>
          <w:b/>
          <w:bCs/>
          <w:sz w:val="24"/>
          <w:u w:val="single"/>
        </w:rPr>
      </w:pPr>
      <w:r>
        <w:rPr>
          <w:rFonts w:hint="eastAsia" w:ascii="宋体" w:hAnsi="宋体" w:cs="宋体"/>
          <w:sz w:val="24"/>
        </w:rPr>
        <w:t>1、对不同文字文本磋商响应文件的解释发生异义的，以中文文本为准。</w:t>
      </w:r>
    </w:p>
    <w:p>
      <w:pPr>
        <w:spacing w:line="360" w:lineRule="auto"/>
        <w:ind w:firstLine="600" w:firstLineChars="250"/>
        <w:rPr>
          <w:rFonts w:hint="eastAsia" w:ascii="宋体" w:hAnsi="宋体" w:cs="宋体"/>
          <w:b/>
          <w:bCs/>
          <w:sz w:val="24"/>
          <w:u w:val="single"/>
        </w:rPr>
      </w:pPr>
      <w:r>
        <w:rPr>
          <w:rFonts w:hint="eastAsia" w:ascii="宋体" w:hAnsi="宋体" w:cs="宋体"/>
          <w:sz w:val="24"/>
        </w:rPr>
        <w:t>2、客户端填写的《报价一览表》与以pdf格式上传文件中的《报价一览表》不一致的，应以Pdf格式上传文件中的为准。</w:t>
      </w:r>
    </w:p>
    <w:p>
      <w:pPr>
        <w:spacing w:line="360" w:lineRule="auto"/>
        <w:ind w:firstLine="482" w:firstLineChars="200"/>
        <w:rPr>
          <w:rFonts w:hint="eastAsia" w:ascii="宋体" w:hAnsi="宋体" w:cs="宋体"/>
          <w:b/>
          <w:bCs/>
          <w:sz w:val="24"/>
        </w:rPr>
      </w:pPr>
      <w:r>
        <w:rPr>
          <w:rFonts w:hint="eastAsia" w:ascii="宋体" w:hAnsi="宋体" w:cs="宋体"/>
          <w:b/>
          <w:bCs/>
          <w:sz w:val="24"/>
        </w:rPr>
        <w:t>（十）磋商小组在做出任何一项磋商无效决定前，都应当严格遵循以下程序：</w:t>
      </w:r>
    </w:p>
    <w:p>
      <w:pPr>
        <w:spacing w:line="360" w:lineRule="auto"/>
        <w:ind w:firstLine="480" w:firstLineChars="200"/>
        <w:rPr>
          <w:rFonts w:hint="eastAsia" w:ascii="宋体" w:hAnsi="宋体" w:cs="宋体"/>
          <w:sz w:val="24"/>
        </w:rPr>
      </w:pPr>
      <w:r>
        <w:rPr>
          <w:rFonts w:hint="eastAsia" w:ascii="宋体" w:hAnsi="宋体" w:cs="宋体"/>
          <w:sz w:val="24"/>
        </w:rPr>
        <w:t>1、要求当事磋商供应商作相应的答辩；</w:t>
      </w:r>
    </w:p>
    <w:p>
      <w:pPr>
        <w:spacing w:line="360" w:lineRule="auto"/>
        <w:ind w:firstLine="480" w:firstLineChars="200"/>
        <w:rPr>
          <w:rFonts w:hint="eastAsia" w:ascii="宋体" w:hAnsi="宋体" w:cs="宋体"/>
          <w:sz w:val="24"/>
        </w:rPr>
      </w:pPr>
      <w:r>
        <w:rPr>
          <w:rFonts w:hint="eastAsia" w:ascii="宋体" w:hAnsi="宋体" w:cs="宋体"/>
          <w:sz w:val="24"/>
        </w:rPr>
        <w:t>2、在充分讨论的基础上集体表决；</w:t>
      </w:r>
    </w:p>
    <w:p>
      <w:pPr>
        <w:spacing w:line="360" w:lineRule="auto"/>
        <w:ind w:firstLine="480" w:firstLineChars="200"/>
        <w:rPr>
          <w:rFonts w:hint="eastAsia" w:ascii="宋体" w:hAnsi="宋体" w:cs="宋体"/>
          <w:sz w:val="24"/>
        </w:rPr>
      </w:pPr>
      <w:r>
        <w:rPr>
          <w:rFonts w:hint="eastAsia" w:ascii="宋体" w:hAnsi="宋体" w:cs="宋体"/>
          <w:sz w:val="24"/>
        </w:rPr>
        <w:t>3、磋商小组意见不一致时，采取投票方式按照少数服从多数原则决定。</w:t>
      </w:r>
    </w:p>
    <w:p>
      <w:pPr>
        <w:spacing w:line="360" w:lineRule="auto"/>
        <w:ind w:firstLine="482" w:firstLineChars="200"/>
        <w:rPr>
          <w:rFonts w:hint="eastAsia" w:ascii="宋体" w:hAnsi="宋体" w:cs="宋体"/>
          <w:b/>
          <w:bCs/>
          <w:sz w:val="24"/>
        </w:rPr>
      </w:pPr>
      <w:r>
        <w:rPr>
          <w:rFonts w:hint="eastAsia" w:ascii="宋体" w:hAnsi="宋体" w:cs="宋体"/>
          <w:b/>
          <w:bCs/>
          <w:sz w:val="24"/>
        </w:rPr>
        <w:t>（十一）评审办法</w:t>
      </w:r>
    </w:p>
    <w:p>
      <w:pPr>
        <w:spacing w:line="360" w:lineRule="auto"/>
        <w:ind w:firstLine="480" w:firstLineChars="200"/>
        <w:rPr>
          <w:rFonts w:hint="eastAsia" w:ascii="宋体" w:hAnsi="宋体" w:cs="宋体"/>
          <w:sz w:val="24"/>
        </w:rPr>
      </w:pPr>
      <w:r>
        <w:rPr>
          <w:rFonts w:hint="eastAsia" w:ascii="宋体" w:hAnsi="宋体" w:cs="宋体"/>
          <w:sz w:val="24"/>
        </w:rPr>
        <w:t>本评审办法采用综合评分法，技术资信分70分（权值70%），报价30分（权值30 %）。满足竞争性磋商文件全部实质性要求，且按照评审因素的量化指标评审得分最高的磋商供应商，将被推荐为成交候选人。</w:t>
      </w:r>
    </w:p>
    <w:p>
      <w:pPr>
        <w:spacing w:line="360" w:lineRule="auto"/>
        <w:ind w:firstLine="482" w:firstLineChars="200"/>
        <w:rPr>
          <w:rFonts w:hint="eastAsia" w:ascii="宋体" w:hAnsi="宋体" w:cs="宋体"/>
          <w:b/>
          <w:sz w:val="24"/>
        </w:rPr>
      </w:pPr>
      <w:r>
        <w:rPr>
          <w:rFonts w:hint="eastAsia" w:ascii="宋体" w:hAnsi="宋体" w:cs="宋体"/>
          <w:b/>
          <w:sz w:val="24"/>
        </w:rPr>
        <w:t>（十二）评分细则</w:t>
      </w:r>
    </w:p>
    <w:p>
      <w:pPr>
        <w:spacing w:line="360" w:lineRule="auto"/>
        <w:ind w:firstLine="480" w:firstLineChars="200"/>
        <w:rPr>
          <w:rFonts w:hint="eastAsia" w:ascii="宋体" w:hAnsi="宋体" w:cs="宋体"/>
          <w:sz w:val="24"/>
        </w:rPr>
      </w:pPr>
      <w:r>
        <w:rPr>
          <w:rFonts w:hint="eastAsia" w:ascii="宋体" w:hAnsi="宋体" w:cs="宋体"/>
          <w:sz w:val="24"/>
        </w:rPr>
        <w:t>1.  技术资信分的评定（70分）</w:t>
      </w:r>
    </w:p>
    <w:p>
      <w:pPr>
        <w:spacing w:line="360" w:lineRule="auto"/>
        <w:ind w:firstLine="480" w:firstLineChars="200"/>
        <w:rPr>
          <w:rFonts w:hint="eastAsia" w:ascii="宋体" w:hAnsi="宋体" w:cs="宋体"/>
          <w:sz w:val="24"/>
        </w:rPr>
      </w:pPr>
      <w:r>
        <w:rPr>
          <w:rFonts w:hint="eastAsia" w:ascii="宋体" w:hAnsi="宋体" w:cs="宋体"/>
          <w:sz w:val="24"/>
        </w:rPr>
        <w:t>各评委成员按下列评分项目进行评判，每人一张评分计算票，并记名。磋商响应文件各项评分内容由磋商小组成员各自评分，如某张票的一个因素项目超过规定的范围，则该张票无效。各磋商小组成员对各磋商供应商的各项评分内容评分的合计的算术平均值为各磋商供应商技术资信分得分（小数点后按四舍五入保留2位）。</w:t>
      </w:r>
    </w:p>
    <w:p>
      <w:pPr>
        <w:spacing w:line="360" w:lineRule="auto"/>
        <w:ind w:firstLine="480" w:firstLineChars="200"/>
        <w:rPr>
          <w:rFonts w:hint="eastAsia" w:ascii="宋体" w:hAnsi="宋体" w:cs="宋体"/>
          <w:sz w:val="24"/>
        </w:rPr>
      </w:pPr>
    </w:p>
    <w:tbl>
      <w:tblPr>
        <w:tblStyle w:val="51"/>
        <w:tblW w:w="48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40"/>
        <w:gridCol w:w="5737"/>
        <w:gridCol w:w="977"/>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7" w:hRule="atLeast"/>
        </w:trPr>
        <w:tc>
          <w:tcPr>
            <w:tcW w:w="289" w:type="pct"/>
            <w:noWrap w:val="0"/>
            <w:vAlign w:val="center"/>
          </w:tcPr>
          <w:p>
            <w:pPr>
              <w:autoSpaceDE w:val="0"/>
              <w:autoSpaceDN w:val="0"/>
              <w:adjustRightInd w:val="0"/>
              <w:jc w:val="center"/>
              <w:textAlignment w:val="bottom"/>
              <w:rPr>
                <w:rFonts w:ascii="宋体" w:cs="Arial"/>
                <w:b/>
              </w:rPr>
            </w:pPr>
            <w:r>
              <w:rPr>
                <w:rFonts w:hint="eastAsia" w:ascii="宋体" w:cs="Arial"/>
              </w:rPr>
              <w:t>序号</w:t>
            </w:r>
          </w:p>
        </w:tc>
        <w:tc>
          <w:tcPr>
            <w:tcW w:w="645" w:type="pct"/>
            <w:noWrap w:val="0"/>
            <w:vAlign w:val="center"/>
          </w:tcPr>
          <w:p>
            <w:pPr>
              <w:autoSpaceDE w:val="0"/>
              <w:autoSpaceDN w:val="0"/>
              <w:adjustRightInd w:val="0"/>
              <w:jc w:val="center"/>
              <w:textAlignment w:val="bottom"/>
              <w:rPr>
                <w:rFonts w:ascii="宋体" w:cs="Arial"/>
                <w:b/>
              </w:rPr>
            </w:pPr>
            <w:r>
              <w:rPr>
                <w:rFonts w:hint="eastAsia" w:ascii="宋体" w:cs="Arial"/>
              </w:rPr>
              <w:t>评定项目</w:t>
            </w:r>
          </w:p>
        </w:tc>
        <w:tc>
          <w:tcPr>
            <w:tcW w:w="2983" w:type="pct"/>
            <w:noWrap w:val="0"/>
            <w:vAlign w:val="center"/>
          </w:tcPr>
          <w:p>
            <w:pPr>
              <w:autoSpaceDE w:val="0"/>
              <w:autoSpaceDN w:val="0"/>
              <w:adjustRightInd w:val="0"/>
              <w:jc w:val="center"/>
              <w:textAlignment w:val="bottom"/>
              <w:rPr>
                <w:rFonts w:ascii="宋体" w:cs="Arial"/>
                <w:b/>
              </w:rPr>
            </w:pPr>
            <w:r>
              <w:rPr>
                <w:rFonts w:hint="eastAsia" w:ascii="宋体" w:cs="Arial"/>
              </w:rPr>
              <w:t>评分标准</w:t>
            </w:r>
          </w:p>
        </w:tc>
        <w:tc>
          <w:tcPr>
            <w:tcW w:w="508" w:type="pct"/>
            <w:noWrap w:val="0"/>
            <w:vAlign w:val="center"/>
          </w:tcPr>
          <w:p>
            <w:pPr>
              <w:autoSpaceDE w:val="0"/>
              <w:autoSpaceDN w:val="0"/>
              <w:adjustRightInd w:val="0"/>
              <w:jc w:val="center"/>
              <w:textAlignment w:val="bottom"/>
              <w:rPr>
                <w:rFonts w:ascii="宋体" w:cs="Arial"/>
                <w:b/>
              </w:rPr>
            </w:pPr>
            <w:r>
              <w:rPr>
                <w:rFonts w:hint="eastAsia" w:ascii="宋体" w:cs="Arial"/>
              </w:rPr>
              <w:t>分值（分）</w:t>
            </w:r>
          </w:p>
        </w:tc>
        <w:tc>
          <w:tcPr>
            <w:tcW w:w="575" w:type="pct"/>
            <w:noWrap w:val="0"/>
            <w:vAlign w:val="center"/>
          </w:tcPr>
          <w:p>
            <w:pPr>
              <w:autoSpaceDE w:val="0"/>
              <w:autoSpaceDN w:val="0"/>
              <w:adjustRightInd w:val="0"/>
              <w:jc w:val="center"/>
              <w:textAlignment w:val="bottom"/>
              <w:rPr>
                <w:rFonts w:ascii="宋体" w:cs="Arial"/>
                <w:b/>
              </w:rPr>
            </w:pPr>
            <w:r>
              <w:rPr>
                <w:rFonts w:hint="eastAsia" w:ascii="宋体" w:cs="Aria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84" w:hRule="atLeast"/>
        </w:trPr>
        <w:tc>
          <w:tcPr>
            <w:tcW w:w="289" w:type="pct"/>
            <w:vMerge w:val="restart"/>
            <w:noWrap w:val="0"/>
            <w:vAlign w:val="center"/>
          </w:tcPr>
          <w:p>
            <w:pPr>
              <w:autoSpaceDE w:val="0"/>
              <w:autoSpaceDN w:val="0"/>
              <w:adjustRightInd w:val="0"/>
              <w:jc w:val="center"/>
              <w:textAlignment w:val="bottom"/>
              <w:rPr>
                <w:rFonts w:ascii="宋体" w:cs="Arial"/>
                <w:b/>
              </w:rPr>
            </w:pPr>
            <w:r>
              <w:rPr>
                <w:rFonts w:hint="eastAsia" w:ascii="宋体" w:cs="Arial"/>
              </w:rPr>
              <w:t>1</w:t>
            </w:r>
          </w:p>
        </w:tc>
        <w:tc>
          <w:tcPr>
            <w:tcW w:w="645" w:type="pct"/>
            <w:vMerge w:val="restart"/>
            <w:noWrap w:val="0"/>
            <w:vAlign w:val="center"/>
          </w:tcPr>
          <w:p>
            <w:pPr>
              <w:autoSpaceDE w:val="0"/>
              <w:autoSpaceDN w:val="0"/>
              <w:adjustRightInd w:val="0"/>
              <w:jc w:val="center"/>
              <w:textAlignment w:val="bottom"/>
              <w:rPr>
                <w:rFonts w:ascii="宋体" w:cs="Arial"/>
                <w:b/>
              </w:rPr>
            </w:pPr>
            <w:r>
              <w:rPr>
                <w:rFonts w:hint="eastAsia" w:ascii="宋体" w:cs="Arial"/>
              </w:rPr>
              <w:t>磋商响应供应商综合情况</w:t>
            </w:r>
          </w:p>
        </w:tc>
        <w:tc>
          <w:tcPr>
            <w:tcW w:w="2983" w:type="pct"/>
            <w:noWrap w:val="0"/>
            <w:vAlign w:val="center"/>
          </w:tcPr>
          <w:p>
            <w:pPr>
              <w:autoSpaceDE w:val="0"/>
              <w:autoSpaceDN w:val="0"/>
              <w:adjustRightInd w:val="0"/>
              <w:textAlignment w:val="bottom"/>
              <w:rPr>
                <w:rFonts w:ascii="宋体" w:cs="Arial"/>
                <w:b/>
              </w:rPr>
            </w:pPr>
            <w:r>
              <w:rPr>
                <w:rFonts w:hint="eastAsia" w:ascii="宋体" w:cs="Arial"/>
              </w:rPr>
              <w:t>磋商响应供应商具有ISO9001企业质量体系认证证书、ISO</w:t>
            </w:r>
            <w:r>
              <w:rPr>
                <w:rFonts w:ascii="宋体" w:cs="Arial"/>
              </w:rPr>
              <w:t>14001</w:t>
            </w:r>
            <w:r>
              <w:rPr>
                <w:rFonts w:hint="eastAsia" w:ascii="宋体" w:cs="Arial"/>
              </w:rPr>
              <w:t>企业环境管理体系认证证书、</w:t>
            </w:r>
            <w:r>
              <w:rPr>
                <w:rFonts w:ascii="宋体" w:cs="Arial"/>
              </w:rPr>
              <w:t>ISO45001</w:t>
            </w:r>
            <w:r>
              <w:rPr>
                <w:rFonts w:hint="eastAsia" w:ascii="宋体" w:cs="Arial"/>
              </w:rPr>
              <w:t>职业健康安全管理体系认证证书，每个证书在有效期内的得1分，最高得3分。</w:t>
            </w:r>
          </w:p>
          <w:p>
            <w:pPr>
              <w:autoSpaceDE w:val="0"/>
              <w:autoSpaceDN w:val="0"/>
              <w:adjustRightInd w:val="0"/>
              <w:textAlignment w:val="bottom"/>
              <w:rPr>
                <w:rFonts w:ascii="宋体" w:cs="Arial"/>
                <w:b/>
              </w:rPr>
            </w:pPr>
            <w:r>
              <w:rPr>
                <w:rFonts w:hint="eastAsia" w:ascii="宋体" w:cs="Arial"/>
              </w:rPr>
              <w:t>（注：以上证书须覆盖范围：办公家具、公寓家具、餐厅家具。提供原件扫描件加盖磋商响应供应商公章，否则不得分。）</w:t>
            </w:r>
          </w:p>
        </w:tc>
        <w:tc>
          <w:tcPr>
            <w:tcW w:w="508" w:type="pct"/>
            <w:noWrap w:val="0"/>
            <w:vAlign w:val="center"/>
          </w:tcPr>
          <w:p>
            <w:pPr>
              <w:autoSpaceDE w:val="0"/>
              <w:autoSpaceDN w:val="0"/>
              <w:adjustRightInd w:val="0"/>
              <w:jc w:val="center"/>
              <w:textAlignment w:val="bottom"/>
              <w:rPr>
                <w:rFonts w:hint="eastAsia" w:ascii="宋体" w:cs="Arial"/>
                <w:b/>
              </w:rPr>
            </w:pPr>
            <w:r>
              <w:rPr>
                <w:rFonts w:hint="eastAsia" w:ascii="宋体" w:cs="Arial"/>
              </w:rPr>
              <w:t>3</w:t>
            </w:r>
          </w:p>
        </w:tc>
        <w:tc>
          <w:tcPr>
            <w:tcW w:w="575" w:type="pct"/>
            <w:noWrap w:val="0"/>
            <w:vAlign w:val="center"/>
          </w:tcPr>
          <w:p>
            <w:pPr>
              <w:autoSpaceDE w:val="0"/>
              <w:autoSpaceDN w:val="0"/>
              <w:adjustRightInd w:val="0"/>
              <w:jc w:val="center"/>
              <w:textAlignment w:val="bottom"/>
              <w:rPr>
                <w:rFonts w:ascii="宋体" w:cs="Arial"/>
              </w:rP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7" w:hRule="atLeast"/>
        </w:trPr>
        <w:tc>
          <w:tcPr>
            <w:tcW w:w="289" w:type="pct"/>
            <w:vMerge w:val="continue"/>
            <w:noWrap w:val="0"/>
            <w:vAlign w:val="center"/>
          </w:tcPr>
          <w:p>
            <w:pPr>
              <w:autoSpaceDE w:val="0"/>
              <w:autoSpaceDN w:val="0"/>
              <w:adjustRightInd w:val="0"/>
              <w:jc w:val="center"/>
              <w:textAlignment w:val="bottom"/>
            </w:pPr>
          </w:p>
        </w:tc>
        <w:tc>
          <w:tcPr>
            <w:tcW w:w="645" w:type="pct"/>
            <w:vMerge w:val="continue"/>
            <w:noWrap w:val="0"/>
            <w:vAlign w:val="center"/>
          </w:tcPr>
          <w:p>
            <w:pPr>
              <w:autoSpaceDE w:val="0"/>
              <w:autoSpaceDN w:val="0"/>
              <w:adjustRightInd w:val="0"/>
              <w:textAlignment w:val="bottom"/>
            </w:pPr>
          </w:p>
        </w:tc>
        <w:tc>
          <w:tcPr>
            <w:tcW w:w="2983" w:type="pct"/>
            <w:noWrap w:val="0"/>
            <w:vAlign w:val="center"/>
          </w:tcPr>
          <w:p>
            <w:pPr>
              <w:autoSpaceDE w:val="0"/>
              <w:autoSpaceDN w:val="0"/>
              <w:adjustRightInd w:val="0"/>
              <w:textAlignment w:val="bottom"/>
              <w:rPr>
                <w:rFonts w:hint="eastAsia" w:ascii="宋体" w:cs="Arial"/>
              </w:rPr>
            </w:pPr>
            <w:r>
              <w:rPr>
                <w:rFonts w:hint="eastAsia" w:ascii="宋体" w:cs="Arial"/>
              </w:rPr>
              <w:t>磋商响应供应商具有CQC中国环保产品认证证书（认证须含木制办公家具、木制公寓家具、沙发）的得2分。</w:t>
            </w:r>
          </w:p>
        </w:tc>
        <w:tc>
          <w:tcPr>
            <w:tcW w:w="508" w:type="pct"/>
            <w:noWrap w:val="0"/>
            <w:vAlign w:val="center"/>
          </w:tcPr>
          <w:p>
            <w:pPr>
              <w:autoSpaceDE w:val="0"/>
              <w:autoSpaceDN w:val="0"/>
              <w:adjustRightInd w:val="0"/>
              <w:jc w:val="center"/>
              <w:textAlignment w:val="bottom"/>
              <w:rPr>
                <w:rFonts w:hint="eastAsia" w:ascii="宋体" w:cs="Arial"/>
              </w:rPr>
            </w:pPr>
            <w:r>
              <w:rPr>
                <w:rFonts w:hint="eastAsia" w:ascii="宋体" w:cs="Arial"/>
              </w:rPr>
              <w:t>2</w:t>
            </w:r>
          </w:p>
        </w:tc>
        <w:tc>
          <w:tcPr>
            <w:tcW w:w="575" w:type="pct"/>
            <w:noWrap w:val="0"/>
            <w:vAlign w:val="center"/>
          </w:tcPr>
          <w:p>
            <w:pPr>
              <w:autoSpaceDE w:val="0"/>
              <w:autoSpaceDN w:val="0"/>
              <w:adjustRightInd w:val="0"/>
              <w:textAlignment w:val="bottom"/>
              <w:rPr>
                <w:rFonts w:hint="eastAsia" w:ascii="宋体" w:cs="Arial"/>
              </w:rP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7" w:hRule="atLeast"/>
        </w:trPr>
        <w:tc>
          <w:tcPr>
            <w:tcW w:w="289" w:type="pct"/>
            <w:vMerge w:val="continue"/>
            <w:noWrap w:val="0"/>
            <w:vAlign w:val="center"/>
          </w:tcPr>
          <w:p>
            <w:pPr>
              <w:autoSpaceDE w:val="0"/>
              <w:autoSpaceDN w:val="0"/>
              <w:adjustRightInd w:val="0"/>
              <w:jc w:val="center"/>
              <w:textAlignment w:val="bottom"/>
            </w:pPr>
          </w:p>
        </w:tc>
        <w:tc>
          <w:tcPr>
            <w:tcW w:w="645" w:type="pct"/>
            <w:vMerge w:val="continue"/>
            <w:noWrap w:val="0"/>
            <w:vAlign w:val="center"/>
          </w:tcPr>
          <w:p>
            <w:pPr>
              <w:autoSpaceDE w:val="0"/>
              <w:autoSpaceDN w:val="0"/>
              <w:adjustRightInd w:val="0"/>
              <w:textAlignment w:val="bottom"/>
            </w:pPr>
          </w:p>
        </w:tc>
        <w:tc>
          <w:tcPr>
            <w:tcW w:w="2983" w:type="pct"/>
            <w:noWrap w:val="0"/>
            <w:vAlign w:val="center"/>
          </w:tcPr>
          <w:p>
            <w:pPr>
              <w:autoSpaceDE w:val="0"/>
              <w:autoSpaceDN w:val="0"/>
              <w:adjustRightInd w:val="0"/>
              <w:textAlignment w:val="bottom"/>
              <w:rPr>
                <w:rFonts w:hint="eastAsia" w:ascii="宋体" w:cs="Arial"/>
              </w:rPr>
            </w:pPr>
            <w:r>
              <w:rPr>
                <w:rFonts w:hint="eastAsia" w:ascii="宋体" w:cs="Arial"/>
              </w:rPr>
              <w:t>磋商响应供应商具备CEC家具产品环保卫士认证证书、低VOCs家具产品认证证书，每提供一份得1分，最高得2分；（认证范围包含木家具、软体家具、金属家具）</w:t>
            </w:r>
          </w:p>
        </w:tc>
        <w:tc>
          <w:tcPr>
            <w:tcW w:w="508" w:type="pct"/>
            <w:noWrap w:val="0"/>
            <w:vAlign w:val="center"/>
          </w:tcPr>
          <w:p>
            <w:pPr>
              <w:autoSpaceDE w:val="0"/>
              <w:autoSpaceDN w:val="0"/>
              <w:adjustRightInd w:val="0"/>
              <w:jc w:val="center"/>
              <w:textAlignment w:val="bottom"/>
              <w:rPr>
                <w:rFonts w:ascii="宋体" w:cs="Arial"/>
              </w:rPr>
            </w:pPr>
            <w:r>
              <w:rPr>
                <w:rFonts w:hint="eastAsia" w:ascii="宋体" w:cs="Arial"/>
              </w:rPr>
              <w:t>2</w:t>
            </w:r>
          </w:p>
        </w:tc>
        <w:tc>
          <w:tcPr>
            <w:tcW w:w="575" w:type="pct"/>
            <w:noWrap w:val="0"/>
            <w:vAlign w:val="center"/>
          </w:tcPr>
          <w:p>
            <w:pPr>
              <w:autoSpaceDE w:val="0"/>
              <w:autoSpaceDN w:val="0"/>
              <w:adjustRightInd w:val="0"/>
              <w:textAlignment w:val="bottom"/>
              <w:rPr>
                <w:rFonts w:hint="eastAsia" w:ascii="宋体" w:cs="Arial"/>
              </w:rP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47" w:hRule="atLeast"/>
        </w:trPr>
        <w:tc>
          <w:tcPr>
            <w:tcW w:w="289" w:type="pct"/>
            <w:noWrap w:val="0"/>
            <w:vAlign w:val="center"/>
          </w:tcPr>
          <w:p>
            <w:pPr>
              <w:autoSpaceDE w:val="0"/>
              <w:autoSpaceDN w:val="0"/>
              <w:adjustRightInd w:val="0"/>
              <w:jc w:val="center"/>
              <w:textAlignment w:val="bottom"/>
              <w:rPr>
                <w:rFonts w:ascii="宋体" w:cs="Arial"/>
                <w:b/>
              </w:rPr>
            </w:pPr>
            <w:r>
              <w:rPr>
                <w:rFonts w:hint="eastAsia" w:ascii="宋体" w:cs="Arial"/>
              </w:rPr>
              <w:t>2</w:t>
            </w:r>
          </w:p>
        </w:tc>
        <w:tc>
          <w:tcPr>
            <w:tcW w:w="645" w:type="pct"/>
            <w:noWrap w:val="0"/>
            <w:vAlign w:val="center"/>
          </w:tcPr>
          <w:p>
            <w:pPr>
              <w:autoSpaceDE w:val="0"/>
              <w:autoSpaceDN w:val="0"/>
              <w:adjustRightInd w:val="0"/>
              <w:textAlignment w:val="bottom"/>
              <w:rPr>
                <w:rFonts w:hint="eastAsia" w:ascii="宋体" w:cs="Arial"/>
              </w:rPr>
            </w:pPr>
            <w:r>
              <w:rPr>
                <w:rFonts w:hint="eastAsia" w:ascii="宋体" w:hAnsi="宋体" w:cs="宋体"/>
                <w:sz w:val="24"/>
              </w:rPr>
              <w:t>同类项目业绩</w:t>
            </w:r>
          </w:p>
        </w:tc>
        <w:tc>
          <w:tcPr>
            <w:tcW w:w="2983" w:type="pct"/>
            <w:noWrap w:val="0"/>
            <w:vAlign w:val="center"/>
          </w:tcPr>
          <w:p>
            <w:pPr>
              <w:autoSpaceDE w:val="0"/>
              <w:autoSpaceDN w:val="0"/>
              <w:adjustRightInd w:val="0"/>
              <w:textAlignment w:val="bottom"/>
              <w:rPr>
                <w:rFonts w:hint="eastAsia" w:ascii="宋体" w:cs="Arial"/>
              </w:rPr>
            </w:pPr>
            <w:r>
              <w:rPr>
                <w:rFonts w:hint="eastAsia" w:ascii="宋体" w:cs="Arial"/>
              </w:rPr>
              <w:t>磋商响应供应商自2020年1月1日以来（以合同签订时间为准）每具有一份家具项目的业绩得1分，最高得3分。</w:t>
            </w:r>
          </w:p>
          <w:p>
            <w:pPr>
              <w:autoSpaceDE w:val="0"/>
              <w:autoSpaceDN w:val="0"/>
              <w:adjustRightInd w:val="0"/>
              <w:textAlignment w:val="bottom"/>
              <w:rPr>
                <w:rFonts w:hint="eastAsia" w:ascii="宋体" w:cs="Arial"/>
              </w:rPr>
            </w:pPr>
            <w:r>
              <w:rPr>
                <w:rFonts w:hint="eastAsia" w:ascii="宋体" w:hAnsi="Times New Roman" w:cs="Arial"/>
              </w:rPr>
              <w:t>（提供客户联系方式、采购合同扫描件加盖供应商公章，资料提供不齐全不得分；只计算磋商供应商业绩，其子公司、母公司业绩不计分; 业绩的有效性由评委认定。）</w:t>
            </w:r>
          </w:p>
        </w:tc>
        <w:tc>
          <w:tcPr>
            <w:tcW w:w="508" w:type="pct"/>
            <w:noWrap w:val="0"/>
            <w:vAlign w:val="center"/>
          </w:tcPr>
          <w:p>
            <w:pPr>
              <w:autoSpaceDE w:val="0"/>
              <w:autoSpaceDN w:val="0"/>
              <w:adjustRightInd w:val="0"/>
              <w:jc w:val="center"/>
              <w:textAlignment w:val="bottom"/>
              <w:rPr>
                <w:rFonts w:hint="eastAsia" w:ascii="宋体" w:cs="Arial"/>
                <w:b/>
                <w:bCs/>
              </w:rPr>
            </w:pPr>
            <w:r>
              <w:rPr>
                <w:rFonts w:hint="eastAsia" w:ascii="宋体" w:cs="Arial"/>
              </w:rPr>
              <w:t>3</w:t>
            </w:r>
          </w:p>
        </w:tc>
        <w:tc>
          <w:tcPr>
            <w:tcW w:w="575" w:type="pct"/>
            <w:noWrap w:val="0"/>
            <w:vAlign w:val="center"/>
          </w:tcPr>
          <w:p>
            <w:pPr>
              <w:autoSpaceDE w:val="0"/>
              <w:autoSpaceDN w:val="0"/>
              <w:adjustRightInd w:val="0"/>
              <w:jc w:val="center"/>
              <w:textAlignment w:val="bottom"/>
              <w:rPr>
                <w:rFonts w:ascii="宋体" w:cs="Arial"/>
              </w:rP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 w:hRule="atLeast"/>
        </w:trPr>
        <w:tc>
          <w:tcPr>
            <w:tcW w:w="289" w:type="pct"/>
            <w:noWrap w:val="0"/>
            <w:vAlign w:val="center"/>
          </w:tcPr>
          <w:p>
            <w:pPr>
              <w:autoSpaceDE w:val="0"/>
              <w:autoSpaceDN w:val="0"/>
              <w:adjustRightInd w:val="0"/>
              <w:jc w:val="center"/>
              <w:textAlignment w:val="bottom"/>
              <w:rPr>
                <w:rFonts w:ascii="宋体" w:cs="Arial"/>
                <w:b/>
              </w:rPr>
            </w:pPr>
            <w:r>
              <w:rPr>
                <w:rFonts w:hint="eastAsia" w:ascii="宋体" w:cs="Arial"/>
              </w:rPr>
              <w:t>3</w:t>
            </w:r>
          </w:p>
        </w:tc>
        <w:tc>
          <w:tcPr>
            <w:tcW w:w="645" w:type="pct"/>
            <w:noWrap w:val="0"/>
            <w:vAlign w:val="center"/>
          </w:tcPr>
          <w:p>
            <w:pPr>
              <w:autoSpaceDE w:val="0"/>
              <w:autoSpaceDN w:val="0"/>
              <w:adjustRightInd w:val="0"/>
              <w:textAlignment w:val="bottom"/>
              <w:rPr>
                <w:rFonts w:hint="eastAsia" w:ascii="宋体" w:cs="Arial"/>
              </w:rPr>
            </w:pPr>
            <w:r>
              <w:rPr>
                <w:rFonts w:hint="eastAsia" w:ascii="宋体" w:cs="Arial"/>
              </w:rPr>
              <w:t>生产设备</w:t>
            </w:r>
          </w:p>
        </w:tc>
        <w:tc>
          <w:tcPr>
            <w:tcW w:w="2983" w:type="pct"/>
            <w:noWrap w:val="0"/>
            <w:vAlign w:val="center"/>
          </w:tcPr>
          <w:p>
            <w:pPr>
              <w:autoSpaceDE w:val="0"/>
              <w:autoSpaceDN w:val="0"/>
              <w:adjustRightInd w:val="0"/>
              <w:textAlignment w:val="bottom"/>
              <w:rPr>
                <w:rFonts w:hint="eastAsia" w:ascii="宋体" w:cs="Arial"/>
              </w:rPr>
            </w:pPr>
            <w:r>
              <w:rPr>
                <w:rFonts w:hint="eastAsia" w:ascii="宋体" w:cs="Arial"/>
              </w:rPr>
              <w:t>磋商响应供应商提供核心专业生产设备和检验设备的购置发票扫描件，满足核心生产设备的得8分，缺一项扣0.5分，扣完为止。</w:t>
            </w:r>
          </w:p>
          <w:p>
            <w:pPr>
              <w:autoSpaceDE w:val="0"/>
              <w:autoSpaceDN w:val="0"/>
              <w:adjustRightInd w:val="0"/>
              <w:textAlignment w:val="bottom"/>
              <w:rPr>
                <w:rFonts w:hint="eastAsia" w:ascii="宋体" w:cs="Arial"/>
              </w:rPr>
            </w:pPr>
            <w:r>
              <w:rPr>
                <w:rFonts w:hint="eastAsia" w:ascii="宋体" w:cs="Arial"/>
              </w:rPr>
              <w:t>核心生产设备按品类，具体要求如下：全自动封边机、电脑裁板锯、数控钻孔中心、全程数控CNC电脑加工中心、数控榫头机、平刨、压刨、横截锯机、纵截锯机、铰链耐久寿命试验机、柜类稳定性试验机、滑轨疲劳试验机、万能材料试验机、盐雾试验机、漆膜冲击试验机、电热鼓风干燥箱。</w:t>
            </w:r>
          </w:p>
          <w:p>
            <w:pPr>
              <w:autoSpaceDE w:val="0"/>
              <w:autoSpaceDN w:val="0"/>
              <w:adjustRightInd w:val="0"/>
              <w:textAlignment w:val="bottom"/>
              <w:rPr>
                <w:rFonts w:hint="eastAsia" w:ascii="宋体" w:cs="Arial"/>
              </w:rPr>
            </w:pPr>
            <w:r>
              <w:rPr>
                <w:rFonts w:hint="eastAsia" w:ascii="宋体" w:cs="Arial"/>
              </w:rPr>
              <w:t>注：须按以上顺序提供相应设备的实景照片以及发票扫描件加盖磋商响应供应商公章，提供的设备名称叫法不一致，实则为同种设备或同种更先进的设备，需提供证明材料经评委会一致认可可以得分。</w:t>
            </w:r>
          </w:p>
        </w:tc>
        <w:tc>
          <w:tcPr>
            <w:tcW w:w="508" w:type="pct"/>
            <w:noWrap w:val="0"/>
            <w:vAlign w:val="center"/>
          </w:tcPr>
          <w:p>
            <w:pPr>
              <w:autoSpaceDE w:val="0"/>
              <w:autoSpaceDN w:val="0"/>
              <w:adjustRightInd w:val="0"/>
              <w:jc w:val="center"/>
              <w:textAlignment w:val="bottom"/>
              <w:rPr>
                <w:rFonts w:ascii="宋体" w:cs="Arial"/>
                <w:b/>
                <w:bCs/>
              </w:rPr>
            </w:pPr>
            <w:r>
              <w:rPr>
                <w:rFonts w:hint="eastAsia" w:ascii="宋体" w:cs="Arial"/>
                <w:color w:val="000000"/>
              </w:rPr>
              <w:t>8</w:t>
            </w:r>
          </w:p>
        </w:tc>
        <w:tc>
          <w:tcPr>
            <w:tcW w:w="575" w:type="pct"/>
            <w:noWrap w:val="0"/>
            <w:vAlign w:val="center"/>
          </w:tcPr>
          <w:p>
            <w:pPr>
              <w:autoSpaceDE w:val="0"/>
              <w:autoSpaceDN w:val="0"/>
              <w:adjustRightInd w:val="0"/>
              <w:jc w:val="center"/>
              <w:textAlignment w:val="bottom"/>
              <w:rPr>
                <w:rFonts w:ascii="宋体" w:cs="Arial"/>
              </w:rP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4" w:hRule="atLeast"/>
        </w:trPr>
        <w:tc>
          <w:tcPr>
            <w:tcW w:w="289" w:type="pct"/>
            <w:noWrap w:val="0"/>
            <w:vAlign w:val="center"/>
          </w:tcPr>
          <w:p>
            <w:pPr>
              <w:autoSpaceDE w:val="0"/>
              <w:autoSpaceDN w:val="0"/>
              <w:adjustRightInd w:val="0"/>
              <w:jc w:val="center"/>
              <w:textAlignment w:val="bottom"/>
              <w:rPr>
                <w:rFonts w:ascii="宋体" w:cs="Arial"/>
                <w:b/>
              </w:rPr>
            </w:pPr>
            <w:r>
              <w:rPr>
                <w:rFonts w:ascii="宋体" w:cs="Arial"/>
              </w:rPr>
              <w:t>4</w:t>
            </w:r>
          </w:p>
        </w:tc>
        <w:tc>
          <w:tcPr>
            <w:tcW w:w="645" w:type="pct"/>
            <w:noWrap w:val="0"/>
            <w:vAlign w:val="center"/>
          </w:tcPr>
          <w:p>
            <w:pPr>
              <w:autoSpaceDE w:val="0"/>
              <w:autoSpaceDN w:val="0"/>
              <w:adjustRightInd w:val="0"/>
              <w:jc w:val="center"/>
              <w:textAlignment w:val="bottom"/>
              <w:rPr>
                <w:rFonts w:ascii="宋体" w:cs="Arial"/>
                <w:b/>
              </w:rPr>
            </w:pPr>
            <w:r>
              <w:rPr>
                <w:rFonts w:ascii="宋体" w:cs="Arial"/>
                <w:bCs/>
              </w:rPr>
              <w:t>交货及安装方案</w:t>
            </w:r>
          </w:p>
        </w:tc>
        <w:tc>
          <w:tcPr>
            <w:tcW w:w="2983" w:type="pct"/>
            <w:noWrap w:val="0"/>
            <w:vAlign w:val="center"/>
          </w:tcPr>
          <w:p>
            <w:pPr>
              <w:autoSpaceDE w:val="0"/>
              <w:autoSpaceDN w:val="0"/>
              <w:adjustRightInd w:val="0"/>
              <w:textAlignment w:val="bottom"/>
              <w:rPr>
                <w:rFonts w:hint="eastAsia" w:ascii="宋体" w:cs="Arial"/>
              </w:rPr>
            </w:pPr>
            <w:r>
              <w:rPr>
                <w:rFonts w:hint="eastAsia" w:ascii="宋体" w:cs="Arial"/>
              </w:rPr>
              <w:t>提供完善的交货及安装方案，根据方案可行性、方案步骤完整程度、交货过程、交货周期长短、安装方案合理性等进行综合打分。</w:t>
            </w:r>
          </w:p>
          <w:p>
            <w:pPr>
              <w:autoSpaceDE w:val="0"/>
              <w:autoSpaceDN w:val="0"/>
              <w:adjustRightInd w:val="0"/>
              <w:textAlignment w:val="bottom"/>
              <w:rPr>
                <w:rFonts w:hint="eastAsia" w:ascii="宋体" w:cs="Arial"/>
              </w:rPr>
            </w:pPr>
            <w:r>
              <w:rPr>
                <w:rFonts w:hint="eastAsia" w:ascii="宋体" w:cs="Arial"/>
              </w:rPr>
              <w:t>针对本项目的交货及安装方案优于采购需求的得6分；</w:t>
            </w:r>
          </w:p>
          <w:p>
            <w:pPr>
              <w:autoSpaceDE w:val="0"/>
              <w:autoSpaceDN w:val="0"/>
              <w:adjustRightInd w:val="0"/>
              <w:textAlignment w:val="bottom"/>
              <w:rPr>
                <w:rFonts w:hint="eastAsia" w:ascii="宋体" w:cs="Arial"/>
              </w:rPr>
            </w:pPr>
            <w:r>
              <w:rPr>
                <w:rFonts w:hint="eastAsia" w:ascii="宋体" w:cs="Arial"/>
              </w:rPr>
              <w:t>针对本项目的</w:t>
            </w:r>
            <w:r>
              <w:rPr>
                <w:rFonts w:ascii="宋体" w:cs="Arial"/>
                <w:bCs/>
              </w:rPr>
              <w:t>交货及安装方案</w:t>
            </w:r>
            <w:r>
              <w:rPr>
                <w:rFonts w:hint="eastAsia" w:ascii="宋体" w:cs="Arial"/>
                <w:bCs/>
              </w:rPr>
              <w:t>完全满足采购需求的得5分；</w:t>
            </w:r>
          </w:p>
          <w:p>
            <w:pPr>
              <w:autoSpaceDE w:val="0"/>
              <w:autoSpaceDN w:val="0"/>
              <w:adjustRightInd w:val="0"/>
              <w:textAlignment w:val="bottom"/>
              <w:rPr>
                <w:rFonts w:ascii="宋体" w:cs="Arial"/>
              </w:rPr>
            </w:pPr>
            <w:r>
              <w:rPr>
                <w:rFonts w:hint="eastAsia" w:ascii="宋体" w:cs="Arial"/>
              </w:rPr>
              <w:t>针对本项目的交货及安装方案较满足采购需求的得4分；</w:t>
            </w:r>
          </w:p>
          <w:p>
            <w:pPr>
              <w:autoSpaceDE w:val="0"/>
              <w:autoSpaceDN w:val="0"/>
              <w:adjustRightInd w:val="0"/>
              <w:textAlignment w:val="bottom"/>
              <w:rPr>
                <w:rFonts w:ascii="宋体" w:cs="Arial"/>
              </w:rPr>
            </w:pPr>
            <w:r>
              <w:rPr>
                <w:rFonts w:hint="eastAsia" w:ascii="宋体" w:cs="Arial"/>
              </w:rPr>
              <w:t>针对本项目的交货及安装方案基本满足采购需求的得3分；</w:t>
            </w:r>
          </w:p>
          <w:p>
            <w:pPr>
              <w:autoSpaceDE w:val="0"/>
              <w:autoSpaceDN w:val="0"/>
              <w:adjustRightInd w:val="0"/>
              <w:textAlignment w:val="bottom"/>
              <w:rPr>
                <w:rFonts w:ascii="宋体" w:cs="Arial"/>
              </w:rPr>
            </w:pPr>
            <w:r>
              <w:rPr>
                <w:rFonts w:hint="eastAsia" w:ascii="宋体" w:cs="Arial"/>
              </w:rPr>
              <w:t>针对本项目的交货及安装方案大部分不满足采购需求的得2分；</w:t>
            </w:r>
          </w:p>
          <w:p>
            <w:pPr>
              <w:autoSpaceDE w:val="0"/>
              <w:autoSpaceDN w:val="0"/>
              <w:adjustRightInd w:val="0"/>
              <w:textAlignment w:val="bottom"/>
              <w:rPr>
                <w:rFonts w:hint="eastAsia" w:ascii="宋体" w:cs="Arial"/>
              </w:rPr>
            </w:pPr>
            <w:r>
              <w:rPr>
                <w:rFonts w:hint="eastAsia" w:ascii="宋体" w:cs="Arial"/>
              </w:rPr>
              <w:t>针对本项目的交货及安装方案完全不满足采购需求的得1分；</w:t>
            </w:r>
          </w:p>
          <w:p>
            <w:pPr>
              <w:autoSpaceDE w:val="0"/>
              <w:autoSpaceDN w:val="0"/>
              <w:adjustRightInd w:val="0"/>
              <w:textAlignment w:val="bottom"/>
              <w:rPr>
                <w:rFonts w:ascii="宋体" w:cs="Arial"/>
              </w:rPr>
            </w:pPr>
            <w:r>
              <w:rPr>
                <w:rFonts w:hint="eastAsia" w:ascii="宋体" w:cs="Arial"/>
              </w:rPr>
              <w:t>未提供本项目的交货及安装方案的得0分。</w:t>
            </w:r>
          </w:p>
        </w:tc>
        <w:tc>
          <w:tcPr>
            <w:tcW w:w="508" w:type="pct"/>
            <w:noWrap w:val="0"/>
            <w:vAlign w:val="center"/>
          </w:tcPr>
          <w:p>
            <w:pPr>
              <w:autoSpaceDE w:val="0"/>
              <w:autoSpaceDN w:val="0"/>
              <w:adjustRightInd w:val="0"/>
              <w:jc w:val="center"/>
              <w:textAlignment w:val="bottom"/>
              <w:rPr>
                <w:rFonts w:ascii="宋体" w:cs="Arial"/>
                <w:bCs/>
              </w:rPr>
            </w:pPr>
            <w:r>
              <w:rPr>
                <w:rFonts w:hint="eastAsia" w:ascii="宋体" w:cs="Arial"/>
                <w:bCs/>
              </w:rPr>
              <w:t>6</w:t>
            </w:r>
          </w:p>
        </w:tc>
        <w:tc>
          <w:tcPr>
            <w:tcW w:w="575" w:type="pct"/>
            <w:noWrap w:val="0"/>
            <w:vAlign w:val="center"/>
          </w:tcPr>
          <w:p>
            <w:pPr>
              <w:autoSpaceDE w:val="0"/>
              <w:autoSpaceDN w:val="0"/>
              <w:adjustRightInd w:val="0"/>
              <w:jc w:val="center"/>
              <w:textAlignment w:val="bottom"/>
              <w:rPr>
                <w:rFonts w:ascii="宋体" w:cs="Arial"/>
              </w:rPr>
            </w:pPr>
            <w:r>
              <w:rPr>
                <w:rFonts w:hint="eastAsia" w:ascii="宋体" w:cs="Arial"/>
              </w:rPr>
              <w:t>主观评分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47" w:hRule="atLeast"/>
        </w:trPr>
        <w:tc>
          <w:tcPr>
            <w:tcW w:w="289" w:type="pct"/>
            <w:vMerge w:val="restart"/>
            <w:noWrap w:val="0"/>
            <w:vAlign w:val="center"/>
          </w:tcPr>
          <w:p>
            <w:pPr>
              <w:autoSpaceDE w:val="0"/>
              <w:autoSpaceDN w:val="0"/>
              <w:adjustRightInd w:val="0"/>
              <w:jc w:val="center"/>
              <w:textAlignment w:val="bottom"/>
              <w:rPr>
                <w:rFonts w:ascii="宋体" w:cs="Arial"/>
                <w:b/>
              </w:rPr>
            </w:pPr>
            <w:r>
              <w:rPr>
                <w:rFonts w:ascii="宋体" w:cs="Arial"/>
              </w:rPr>
              <w:t>5</w:t>
            </w:r>
          </w:p>
        </w:tc>
        <w:tc>
          <w:tcPr>
            <w:tcW w:w="645" w:type="pct"/>
            <w:vMerge w:val="restart"/>
            <w:noWrap w:val="0"/>
            <w:vAlign w:val="center"/>
          </w:tcPr>
          <w:p>
            <w:pPr>
              <w:autoSpaceDE w:val="0"/>
              <w:autoSpaceDN w:val="0"/>
              <w:adjustRightInd w:val="0"/>
              <w:jc w:val="center"/>
              <w:textAlignment w:val="bottom"/>
              <w:rPr>
                <w:rFonts w:ascii="宋体" w:cs="Arial"/>
                <w:b/>
              </w:rPr>
            </w:pPr>
            <w:r>
              <w:rPr>
                <w:rFonts w:hint="eastAsia" w:ascii="宋体" w:cs="Arial"/>
                <w:bCs/>
              </w:rPr>
              <w:t>主要产品的环保性、稳定性、安全性</w:t>
            </w:r>
          </w:p>
        </w:tc>
        <w:tc>
          <w:tcPr>
            <w:tcW w:w="2983" w:type="pct"/>
            <w:noWrap w:val="0"/>
            <w:vAlign w:val="center"/>
          </w:tcPr>
          <w:p>
            <w:pPr>
              <w:autoSpaceDE w:val="0"/>
              <w:autoSpaceDN w:val="0"/>
              <w:adjustRightInd w:val="0"/>
              <w:textAlignment w:val="bottom"/>
              <w:rPr>
                <w:rFonts w:hint="eastAsia" w:ascii="宋体" w:hAnsi="Times New Roman" w:cs="Arial"/>
              </w:rPr>
            </w:pPr>
            <w:r>
              <w:rPr>
                <w:rFonts w:hint="eastAsia" w:ascii="宋体" w:hAnsi="Times New Roman" w:cs="Arial"/>
              </w:rPr>
              <w:t>1.磋商响应供应商提供一年内同类成品检测报告（最高得4分）</w:t>
            </w:r>
          </w:p>
          <w:p>
            <w:pPr>
              <w:autoSpaceDE w:val="0"/>
              <w:autoSpaceDN w:val="0"/>
              <w:adjustRightInd w:val="0"/>
              <w:textAlignment w:val="bottom"/>
              <w:rPr>
                <w:rFonts w:hint="eastAsia" w:ascii="宋体" w:hAnsi="Times New Roman" w:cs="Arial"/>
              </w:rPr>
            </w:pPr>
            <w:r>
              <w:rPr>
                <w:rFonts w:hint="eastAsia" w:ascii="宋体" w:hAnsi="Times New Roman" w:cs="Arial"/>
              </w:rPr>
              <w:t>（1）沙发：符合GB/T 1952.1-2012、GB/T 35607-2017、GB 18584-2001标准，力学性能、理化性能符合要求，甲醛释放量（1m³以上气候舱法）≤0.02mg/m³；苯、甲苯、二甲苯、总挥发性有机化合物（TVOC）未检出。符合标准要求的得1分，不满足的此项不得分；</w:t>
            </w:r>
          </w:p>
          <w:p>
            <w:pPr>
              <w:autoSpaceDE w:val="0"/>
              <w:autoSpaceDN w:val="0"/>
              <w:adjustRightInd w:val="0"/>
              <w:textAlignment w:val="bottom"/>
              <w:rPr>
                <w:rFonts w:hint="eastAsia" w:ascii="宋体" w:hAnsi="Times New Roman" w:cs="Arial"/>
              </w:rPr>
            </w:pPr>
            <w:r>
              <w:rPr>
                <w:rFonts w:hint="eastAsia" w:ascii="宋体" w:hAnsi="Times New Roman" w:cs="Arial"/>
              </w:rPr>
              <w:t>（2）木制办公桌：符合GB/T 3324-2017、GB/T 35607-2017、GB 18584-2001标准，力学性能、理化性能符合要求，甲醛释放量≤0.1mg/L；苯、甲苯、二甲苯、总挥发性有机化合物（TVOC）未检出。符合标准要求的得1分，不满足的此项不得分；</w:t>
            </w:r>
          </w:p>
          <w:p>
            <w:pPr>
              <w:autoSpaceDE w:val="0"/>
              <w:autoSpaceDN w:val="0"/>
              <w:adjustRightInd w:val="0"/>
              <w:textAlignment w:val="bottom"/>
              <w:rPr>
                <w:rFonts w:hint="eastAsia" w:ascii="宋体" w:hAnsi="Times New Roman" w:cs="Arial"/>
              </w:rPr>
            </w:pPr>
            <w:r>
              <w:rPr>
                <w:rFonts w:hint="eastAsia" w:ascii="宋体" w:hAnsi="Times New Roman" w:cs="Arial"/>
              </w:rPr>
              <w:t>（3）办公椅：符合QB/T2280-2016、GB/T 35607-2017、GB 18580-2017标准，力学性能、理化性能符合要求，甲醛释放量≤0.018mg/m³；苯、甲苯、二甲苯、总挥发性有机化合物（TVOC）未检出，阻燃性能达1级,符合标准要求的得1分，不满足的此项不得分；</w:t>
            </w:r>
          </w:p>
          <w:p>
            <w:pPr>
              <w:autoSpaceDE w:val="0"/>
              <w:autoSpaceDN w:val="0"/>
              <w:adjustRightInd w:val="0"/>
              <w:textAlignment w:val="bottom"/>
              <w:rPr>
                <w:rFonts w:hint="eastAsia" w:ascii="宋体" w:hAnsi="Times New Roman" w:cs="Arial"/>
              </w:rPr>
            </w:pPr>
            <w:r>
              <w:rPr>
                <w:rFonts w:hint="eastAsia" w:ascii="宋体" w:hAnsi="Times New Roman" w:cs="Arial"/>
              </w:rPr>
              <w:t>（4）床：GB/T 3324-2017 、GB/T 35607-2017 、GB 18584-2001标准， 力学性能、理化性能符合要求，甲醛释放量≤0.1mg/L；苯、甲苯、二甲苯、总挥发性有机化合物（TVOC）未检出。符合标准要求的得1分，不满足的此项不得分；</w:t>
            </w:r>
          </w:p>
          <w:p>
            <w:pPr>
              <w:autoSpaceDE w:val="0"/>
              <w:autoSpaceDN w:val="0"/>
              <w:adjustRightInd w:val="0"/>
              <w:textAlignment w:val="bottom"/>
              <w:rPr>
                <w:rFonts w:ascii="宋体" w:hAnsi="Times New Roman" w:cs="Arial"/>
              </w:rPr>
            </w:pPr>
            <w:r>
              <w:rPr>
                <w:rFonts w:hint="eastAsia" w:ascii="宋体" w:hAnsi="Times New Roman" w:cs="Arial"/>
                <w:b/>
                <w:bCs/>
              </w:rPr>
              <w:t>注：</w:t>
            </w:r>
            <w:r>
              <w:rPr>
                <w:rFonts w:hint="eastAsia" w:ascii="宋体" w:hAnsi="Times New Roman" w:cs="Arial"/>
              </w:rPr>
              <w:t>以上出具的检测（验）报告必须由具备家具成品及其原辅材料检测能力并通过国家计量认证（CMA资质）的第三方检测机构提供，且要求时间在开标日前一年内。</w:t>
            </w:r>
          </w:p>
        </w:tc>
        <w:tc>
          <w:tcPr>
            <w:tcW w:w="508" w:type="pct"/>
            <w:noWrap w:val="0"/>
            <w:vAlign w:val="center"/>
          </w:tcPr>
          <w:p>
            <w:pPr>
              <w:autoSpaceDE w:val="0"/>
              <w:autoSpaceDN w:val="0"/>
              <w:adjustRightInd w:val="0"/>
              <w:jc w:val="center"/>
              <w:textAlignment w:val="bottom"/>
              <w:rPr>
                <w:rFonts w:ascii="宋体" w:cs="Arial"/>
                <w:bCs/>
              </w:rPr>
            </w:pPr>
            <w:r>
              <w:rPr>
                <w:rFonts w:hint="eastAsia" w:ascii="宋体" w:cs="Arial"/>
                <w:bCs/>
              </w:rPr>
              <w:t>4</w:t>
            </w:r>
          </w:p>
        </w:tc>
        <w:tc>
          <w:tcPr>
            <w:tcW w:w="575" w:type="pct"/>
            <w:noWrap w:val="0"/>
            <w:vAlign w:val="center"/>
          </w:tcPr>
          <w:p>
            <w:pPr>
              <w:autoSpaceDE w:val="0"/>
              <w:autoSpaceDN w:val="0"/>
              <w:adjustRightInd w:val="0"/>
              <w:jc w:val="center"/>
              <w:textAlignment w:val="bottom"/>
              <w:rPr>
                <w:rFonts w:ascii="宋体" w:cs="Arial"/>
              </w:rP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22" w:hRule="atLeast"/>
        </w:trPr>
        <w:tc>
          <w:tcPr>
            <w:tcW w:w="289" w:type="pct"/>
            <w:vMerge w:val="continue"/>
            <w:noWrap w:val="0"/>
            <w:vAlign w:val="center"/>
          </w:tcPr>
          <w:p>
            <w:pPr>
              <w:autoSpaceDE w:val="0"/>
              <w:autoSpaceDN w:val="0"/>
              <w:adjustRightInd w:val="0"/>
              <w:jc w:val="center"/>
              <w:textAlignment w:val="bottom"/>
              <w:rPr>
                <w:rFonts w:ascii="宋体" w:cs="Arial"/>
              </w:rPr>
            </w:pPr>
          </w:p>
        </w:tc>
        <w:tc>
          <w:tcPr>
            <w:tcW w:w="645" w:type="pct"/>
            <w:vMerge w:val="continue"/>
            <w:noWrap w:val="0"/>
            <w:vAlign w:val="center"/>
          </w:tcPr>
          <w:p>
            <w:pPr>
              <w:autoSpaceDE w:val="0"/>
              <w:autoSpaceDN w:val="0"/>
              <w:adjustRightInd w:val="0"/>
              <w:jc w:val="center"/>
              <w:textAlignment w:val="bottom"/>
              <w:rPr>
                <w:rFonts w:hint="eastAsia" w:ascii="宋体" w:cs="Arial"/>
                <w:bCs/>
              </w:rPr>
            </w:pPr>
          </w:p>
        </w:tc>
        <w:tc>
          <w:tcPr>
            <w:tcW w:w="2983" w:type="pct"/>
            <w:noWrap w:val="0"/>
            <w:vAlign w:val="top"/>
          </w:tcPr>
          <w:p>
            <w:pPr>
              <w:autoSpaceDE w:val="0"/>
              <w:autoSpaceDN w:val="0"/>
              <w:adjustRightInd w:val="0"/>
              <w:textAlignment w:val="bottom"/>
              <w:rPr>
                <w:rFonts w:hint="eastAsia" w:ascii="宋体" w:hAnsi="Times New Roman" w:cs="Arial"/>
              </w:rPr>
            </w:pPr>
            <w:r>
              <w:rPr>
                <w:rFonts w:hint="eastAsia" w:ascii="宋体" w:hAnsi="Times New Roman" w:cs="Arial"/>
              </w:rPr>
              <w:t>2、磋商响应供应商提供有效期内的符合GB 20286-2006《公共场所阻燃制品及组件燃烧性能要求和标识》的检测报告及证书，提供一份得1分，最高3分。</w:t>
            </w:r>
          </w:p>
        </w:tc>
        <w:tc>
          <w:tcPr>
            <w:tcW w:w="508" w:type="pct"/>
            <w:noWrap w:val="0"/>
            <w:vAlign w:val="center"/>
          </w:tcPr>
          <w:p>
            <w:pPr>
              <w:autoSpaceDE w:val="0"/>
              <w:autoSpaceDN w:val="0"/>
              <w:adjustRightInd w:val="0"/>
              <w:jc w:val="center"/>
              <w:textAlignment w:val="bottom"/>
              <w:rPr>
                <w:rFonts w:hint="eastAsia" w:ascii="宋体" w:cs="Arial"/>
                <w:bCs/>
              </w:rPr>
            </w:pPr>
            <w:r>
              <w:rPr>
                <w:rFonts w:hint="eastAsia" w:ascii="宋体" w:cs="Arial"/>
                <w:bCs/>
              </w:rPr>
              <w:t>3</w:t>
            </w:r>
          </w:p>
        </w:tc>
        <w:tc>
          <w:tcPr>
            <w:tcW w:w="575" w:type="pct"/>
            <w:noWrap w:val="0"/>
            <w:vAlign w:val="center"/>
          </w:tcPr>
          <w:p>
            <w:pPr>
              <w:jc w:val="cente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40" w:hRule="atLeast"/>
        </w:trPr>
        <w:tc>
          <w:tcPr>
            <w:tcW w:w="289" w:type="pct"/>
            <w:vMerge w:val="continue"/>
            <w:noWrap w:val="0"/>
            <w:vAlign w:val="center"/>
          </w:tcPr>
          <w:p>
            <w:pPr>
              <w:autoSpaceDE w:val="0"/>
              <w:autoSpaceDN w:val="0"/>
              <w:adjustRightInd w:val="0"/>
              <w:jc w:val="center"/>
              <w:textAlignment w:val="bottom"/>
              <w:rPr>
                <w:rFonts w:ascii="宋体" w:cs="Arial"/>
              </w:rPr>
            </w:pPr>
          </w:p>
        </w:tc>
        <w:tc>
          <w:tcPr>
            <w:tcW w:w="645" w:type="pct"/>
            <w:vMerge w:val="continue"/>
            <w:noWrap w:val="0"/>
            <w:vAlign w:val="center"/>
          </w:tcPr>
          <w:p>
            <w:pPr>
              <w:autoSpaceDE w:val="0"/>
              <w:autoSpaceDN w:val="0"/>
              <w:adjustRightInd w:val="0"/>
              <w:jc w:val="center"/>
              <w:textAlignment w:val="bottom"/>
              <w:rPr>
                <w:rFonts w:hint="eastAsia" w:ascii="宋体" w:cs="Arial"/>
                <w:bCs/>
              </w:rPr>
            </w:pPr>
          </w:p>
        </w:tc>
        <w:tc>
          <w:tcPr>
            <w:tcW w:w="2983" w:type="pct"/>
            <w:noWrap w:val="0"/>
            <w:vAlign w:val="top"/>
          </w:tcPr>
          <w:p>
            <w:pPr>
              <w:autoSpaceDE w:val="0"/>
              <w:autoSpaceDN w:val="0"/>
              <w:adjustRightInd w:val="0"/>
              <w:textAlignment w:val="bottom"/>
              <w:rPr>
                <w:rFonts w:hint="eastAsia" w:ascii="宋体" w:hAnsi="Times New Roman" w:cs="Arial"/>
              </w:rPr>
            </w:pPr>
            <w:r>
              <w:rPr>
                <w:rFonts w:hint="eastAsia" w:ascii="宋体" w:hAnsi="Times New Roman" w:cs="Arial"/>
              </w:rPr>
              <w:t>3、磋商响应供应商提供有效期内的符合GB 8624-2012《建筑材料及制品燃烧性能分级》且燃烧性能达到难燃B1级的检测报告及证书，提供一份得1分，最高3分。</w:t>
            </w:r>
          </w:p>
        </w:tc>
        <w:tc>
          <w:tcPr>
            <w:tcW w:w="508" w:type="pct"/>
            <w:noWrap w:val="0"/>
            <w:vAlign w:val="center"/>
          </w:tcPr>
          <w:p>
            <w:pPr>
              <w:autoSpaceDE w:val="0"/>
              <w:autoSpaceDN w:val="0"/>
              <w:adjustRightInd w:val="0"/>
              <w:jc w:val="center"/>
              <w:textAlignment w:val="bottom"/>
              <w:rPr>
                <w:rFonts w:hint="eastAsia" w:ascii="宋体" w:cs="Arial"/>
                <w:bCs/>
              </w:rPr>
            </w:pPr>
            <w:r>
              <w:rPr>
                <w:rFonts w:hint="eastAsia" w:ascii="宋体" w:cs="Arial"/>
                <w:bCs/>
              </w:rPr>
              <w:t>3</w:t>
            </w:r>
          </w:p>
        </w:tc>
        <w:tc>
          <w:tcPr>
            <w:tcW w:w="575" w:type="pct"/>
            <w:noWrap w:val="0"/>
            <w:vAlign w:val="center"/>
          </w:tcPr>
          <w:p>
            <w:pPr>
              <w:jc w:val="cente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40" w:hRule="atLeast"/>
        </w:trPr>
        <w:tc>
          <w:tcPr>
            <w:tcW w:w="289" w:type="pct"/>
            <w:vMerge w:val="continue"/>
            <w:noWrap w:val="0"/>
            <w:vAlign w:val="center"/>
          </w:tcPr>
          <w:p>
            <w:pPr>
              <w:autoSpaceDE w:val="0"/>
              <w:autoSpaceDN w:val="0"/>
              <w:adjustRightInd w:val="0"/>
              <w:jc w:val="center"/>
              <w:textAlignment w:val="bottom"/>
              <w:rPr>
                <w:rFonts w:ascii="宋体" w:cs="Arial"/>
              </w:rPr>
            </w:pPr>
          </w:p>
        </w:tc>
        <w:tc>
          <w:tcPr>
            <w:tcW w:w="645" w:type="pct"/>
            <w:vMerge w:val="continue"/>
            <w:noWrap w:val="0"/>
            <w:vAlign w:val="center"/>
          </w:tcPr>
          <w:p>
            <w:pPr>
              <w:autoSpaceDE w:val="0"/>
              <w:autoSpaceDN w:val="0"/>
              <w:adjustRightInd w:val="0"/>
              <w:jc w:val="center"/>
              <w:textAlignment w:val="bottom"/>
              <w:rPr>
                <w:rFonts w:hint="eastAsia" w:ascii="宋体" w:cs="Arial"/>
                <w:bCs/>
              </w:rPr>
            </w:pPr>
          </w:p>
        </w:tc>
        <w:tc>
          <w:tcPr>
            <w:tcW w:w="2983" w:type="pct"/>
            <w:noWrap w:val="0"/>
            <w:vAlign w:val="top"/>
          </w:tcPr>
          <w:p>
            <w:pPr>
              <w:autoSpaceDE w:val="0"/>
              <w:autoSpaceDN w:val="0"/>
              <w:adjustRightInd w:val="0"/>
              <w:textAlignment w:val="bottom"/>
              <w:rPr>
                <w:rFonts w:hint="eastAsia" w:ascii="宋体" w:cs="Arial"/>
              </w:rPr>
            </w:pPr>
            <w:r>
              <w:rPr>
                <w:rFonts w:hint="eastAsia" w:ascii="宋体" w:hAnsi="Times New Roman" w:cs="Arial"/>
              </w:rPr>
              <w:t>4、提供产品检验类别为产品质量监督抽查的有三年甲醛释放量≤0.3mg/L的得1分；有四年甲醛释放量≤0.3mg/L的得2分；有五年甲醛释放量≤0.3mg/L的得3分。</w:t>
            </w:r>
          </w:p>
        </w:tc>
        <w:tc>
          <w:tcPr>
            <w:tcW w:w="508" w:type="pct"/>
            <w:noWrap w:val="0"/>
            <w:vAlign w:val="center"/>
          </w:tcPr>
          <w:p>
            <w:pPr>
              <w:autoSpaceDE w:val="0"/>
              <w:autoSpaceDN w:val="0"/>
              <w:adjustRightInd w:val="0"/>
              <w:jc w:val="center"/>
              <w:textAlignment w:val="bottom"/>
              <w:rPr>
                <w:rFonts w:hint="eastAsia" w:ascii="宋体" w:cs="Arial"/>
                <w:bCs/>
              </w:rPr>
            </w:pPr>
            <w:r>
              <w:rPr>
                <w:rFonts w:hint="eastAsia" w:ascii="宋体" w:cs="Arial"/>
                <w:bCs/>
              </w:rPr>
              <w:t>3</w:t>
            </w:r>
          </w:p>
        </w:tc>
        <w:tc>
          <w:tcPr>
            <w:tcW w:w="575" w:type="pct"/>
            <w:noWrap w:val="0"/>
            <w:vAlign w:val="center"/>
          </w:tcPr>
          <w:p>
            <w:pPr>
              <w:jc w:val="cente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68" w:hRule="atLeast"/>
        </w:trPr>
        <w:tc>
          <w:tcPr>
            <w:tcW w:w="289" w:type="pct"/>
            <w:noWrap w:val="0"/>
            <w:vAlign w:val="center"/>
          </w:tcPr>
          <w:p>
            <w:pPr>
              <w:autoSpaceDE w:val="0"/>
              <w:autoSpaceDN w:val="0"/>
              <w:adjustRightInd w:val="0"/>
              <w:jc w:val="center"/>
              <w:textAlignment w:val="bottom"/>
              <w:rPr>
                <w:rFonts w:ascii="宋体" w:cs="Arial"/>
                <w:b/>
              </w:rPr>
            </w:pPr>
            <w:r>
              <w:rPr>
                <w:rFonts w:ascii="宋体" w:cs="Arial"/>
              </w:rPr>
              <w:t>6</w:t>
            </w:r>
          </w:p>
        </w:tc>
        <w:tc>
          <w:tcPr>
            <w:tcW w:w="645" w:type="pct"/>
            <w:noWrap w:val="0"/>
            <w:vAlign w:val="center"/>
          </w:tcPr>
          <w:p>
            <w:pPr>
              <w:autoSpaceDE w:val="0"/>
              <w:autoSpaceDN w:val="0"/>
              <w:adjustRightInd w:val="0"/>
              <w:textAlignment w:val="bottom"/>
              <w:rPr>
                <w:rFonts w:hint="eastAsia" w:ascii="宋体" w:hAnsi="Times New Roman" w:cs="Arial"/>
              </w:rPr>
            </w:pPr>
            <w:r>
              <w:rPr>
                <w:rFonts w:hint="eastAsia" w:ascii="宋体" w:hAnsi="Times New Roman" w:cs="Arial"/>
              </w:rPr>
              <w:t>主要原材料的环保性、稳定性、安全性</w:t>
            </w:r>
          </w:p>
        </w:tc>
        <w:tc>
          <w:tcPr>
            <w:tcW w:w="2983" w:type="pct"/>
            <w:noWrap w:val="0"/>
            <w:vAlign w:val="center"/>
          </w:tcPr>
          <w:p>
            <w:pPr>
              <w:autoSpaceDE w:val="0"/>
              <w:autoSpaceDN w:val="0"/>
              <w:adjustRightInd w:val="0"/>
              <w:textAlignment w:val="bottom"/>
              <w:rPr>
                <w:rFonts w:hint="eastAsia" w:ascii="宋体" w:hAnsi="Times New Roman" w:cs="Arial"/>
              </w:rPr>
            </w:pPr>
            <w:r>
              <w:rPr>
                <w:rFonts w:hint="eastAsia" w:ascii="宋体" w:hAnsi="Times New Roman" w:cs="Arial"/>
              </w:rPr>
              <w:t>磋商响应供应商提供一年内原材料检测报告（最高得6分）</w:t>
            </w:r>
          </w:p>
          <w:p>
            <w:pPr>
              <w:autoSpaceDE w:val="0"/>
              <w:autoSpaceDN w:val="0"/>
              <w:adjustRightInd w:val="0"/>
              <w:textAlignment w:val="bottom"/>
              <w:rPr>
                <w:rFonts w:hint="eastAsia" w:ascii="宋体" w:hAnsi="Times New Roman" w:cs="Arial"/>
              </w:rPr>
            </w:pPr>
            <w:r>
              <w:rPr>
                <w:rFonts w:hint="eastAsia" w:ascii="宋体" w:hAnsi="Times New Roman" w:cs="Arial"/>
              </w:rPr>
              <w:t>1.实木颗粒板，符合GB/T15102-2017《浸渍胶膜纸饰面纤维板和实木颗粒板》、GB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；总挥发性化合物（TVOC）释放率≤0.08mg/（㎡.h）（72H）；全部符合得1分，否则不得分；</w:t>
            </w:r>
          </w:p>
          <w:p>
            <w:pPr>
              <w:autoSpaceDE w:val="0"/>
              <w:autoSpaceDN w:val="0"/>
              <w:adjustRightInd w:val="0"/>
              <w:textAlignment w:val="bottom"/>
              <w:rPr>
                <w:rFonts w:hint="eastAsia" w:ascii="宋体" w:hAnsi="Times New Roman" w:cs="Arial"/>
              </w:rPr>
            </w:pPr>
            <w:r>
              <w:rPr>
                <w:rFonts w:hint="eastAsia" w:ascii="宋体" w:hAnsi="Times New Roman" w:cs="Arial"/>
              </w:rPr>
              <w:t>2.中纤板，符合质量符合GB/T11718-2009《中密度纤维板》、GB/T35601-2017《绿色产品评价 人造板和木质地板》标准，含水率≤9%，甲醛释放量≤0.025mg/m3，苯、甲苯、二甲苯、总挥发性有机化合物（TVOC）未检出；防火性能符合GB8624-2012《建筑材料及制品燃烧性能分级》达到B1级，完全符合要求得2分；</w:t>
            </w:r>
          </w:p>
          <w:p>
            <w:pPr>
              <w:autoSpaceDE w:val="0"/>
              <w:autoSpaceDN w:val="0"/>
              <w:adjustRightInd w:val="0"/>
              <w:textAlignment w:val="bottom"/>
              <w:rPr>
                <w:rFonts w:hint="eastAsia" w:ascii="宋体" w:hAnsi="Times New Roman" w:cs="Arial"/>
              </w:rPr>
            </w:pPr>
            <w:r>
              <w:rPr>
                <w:rFonts w:hint="eastAsia" w:ascii="宋体" w:hAnsi="Times New Roman" w:cs="Arial"/>
              </w:rPr>
              <w:t>3.油漆：符合GB/T18581-2020要求，VOC含量未检出，甲醛含量未检出，苯、甲苯、二甲苯含乙苯未检出，完全符合要求得1分；</w:t>
            </w:r>
          </w:p>
          <w:p>
            <w:pPr>
              <w:autoSpaceDE w:val="0"/>
              <w:autoSpaceDN w:val="0"/>
              <w:adjustRightInd w:val="0"/>
              <w:textAlignment w:val="bottom"/>
              <w:rPr>
                <w:rFonts w:hint="eastAsia" w:ascii="宋体" w:hAnsi="Times New Roman" w:cs="Arial"/>
              </w:rPr>
            </w:pPr>
            <w:r>
              <w:rPr>
                <w:rFonts w:hint="eastAsia" w:ascii="宋体" w:hAnsi="Times New Roman" w:cs="Arial"/>
              </w:rPr>
              <w:t>4.冷轧钢板：符合GB/T3325-2017、QB/T3826-1999，其中耐腐蚀达到10级，重金属未检出，附着力达到0级，全部符合得1分，否则不得分；</w:t>
            </w:r>
          </w:p>
          <w:p>
            <w:pPr>
              <w:autoSpaceDE w:val="0"/>
              <w:autoSpaceDN w:val="0"/>
              <w:adjustRightInd w:val="0"/>
              <w:textAlignment w:val="bottom"/>
              <w:rPr>
                <w:rFonts w:hint="eastAsia" w:ascii="宋体" w:hAnsi="Times New Roman" w:cs="Arial"/>
              </w:rPr>
            </w:pPr>
            <w:r>
              <w:rPr>
                <w:rFonts w:hint="eastAsia" w:ascii="宋体" w:hAnsi="Times New Roman" w:cs="Arial"/>
              </w:rPr>
              <w:t>5.超纤皮：符合GB/T16799-2018《家具用皮革》，其中游离甲醛未检出;摩擦色牢度≥4级；撕裂力≥60N；禁用偶氮染料未检出;可萃取的重金属铅、镉未检出，全部符合得1分，否则不得分</w:t>
            </w:r>
          </w:p>
        </w:tc>
        <w:tc>
          <w:tcPr>
            <w:tcW w:w="508" w:type="pct"/>
            <w:noWrap w:val="0"/>
            <w:vAlign w:val="center"/>
          </w:tcPr>
          <w:p>
            <w:pPr>
              <w:autoSpaceDE w:val="0"/>
              <w:autoSpaceDN w:val="0"/>
              <w:adjustRightInd w:val="0"/>
              <w:jc w:val="center"/>
              <w:textAlignment w:val="bottom"/>
              <w:rPr>
                <w:rFonts w:hint="eastAsia" w:ascii="宋体" w:cs="Arial"/>
                <w:b/>
              </w:rPr>
            </w:pPr>
            <w:r>
              <w:rPr>
                <w:rFonts w:hint="eastAsia" w:ascii="宋体" w:cs="Arial"/>
                <w:bCs/>
              </w:rPr>
              <w:t>6</w:t>
            </w:r>
          </w:p>
        </w:tc>
        <w:tc>
          <w:tcPr>
            <w:tcW w:w="575" w:type="pct"/>
            <w:noWrap w:val="0"/>
            <w:vAlign w:val="center"/>
          </w:tcPr>
          <w:p>
            <w:pPr>
              <w:autoSpaceDE w:val="0"/>
              <w:autoSpaceDN w:val="0"/>
              <w:adjustRightInd w:val="0"/>
              <w:jc w:val="center"/>
              <w:textAlignment w:val="bottom"/>
              <w:rPr>
                <w:rFonts w:ascii="宋体" w:cs="Arial"/>
              </w:rP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73" w:hRule="atLeast"/>
        </w:trPr>
        <w:tc>
          <w:tcPr>
            <w:tcW w:w="289" w:type="pct"/>
            <w:noWrap w:val="0"/>
            <w:vAlign w:val="center"/>
          </w:tcPr>
          <w:p>
            <w:pPr>
              <w:autoSpaceDE w:val="0"/>
              <w:autoSpaceDN w:val="0"/>
              <w:adjustRightInd w:val="0"/>
              <w:jc w:val="center"/>
              <w:textAlignment w:val="bottom"/>
              <w:rPr>
                <w:rFonts w:ascii="宋体" w:cs="Arial"/>
                <w:b/>
              </w:rPr>
            </w:pPr>
            <w:r>
              <w:rPr>
                <w:rFonts w:ascii="宋体" w:cs="Arial"/>
              </w:rPr>
              <w:t>7</w:t>
            </w:r>
          </w:p>
        </w:tc>
        <w:tc>
          <w:tcPr>
            <w:tcW w:w="645" w:type="pct"/>
            <w:noWrap w:val="0"/>
            <w:vAlign w:val="center"/>
          </w:tcPr>
          <w:p>
            <w:pPr>
              <w:autoSpaceDE w:val="0"/>
              <w:autoSpaceDN w:val="0"/>
              <w:adjustRightInd w:val="0"/>
              <w:textAlignment w:val="bottom"/>
              <w:rPr>
                <w:rFonts w:hint="eastAsia" w:ascii="宋体" w:hAnsi="Times New Roman" w:cs="Arial"/>
              </w:rPr>
            </w:pPr>
            <w:r>
              <w:rPr>
                <w:rFonts w:hint="eastAsia" w:ascii="宋体" w:hAnsi="Times New Roman" w:cs="Arial"/>
              </w:rPr>
              <w:t>售后服务</w:t>
            </w:r>
          </w:p>
        </w:tc>
        <w:tc>
          <w:tcPr>
            <w:tcW w:w="2983" w:type="pct"/>
            <w:noWrap w:val="0"/>
            <w:vAlign w:val="center"/>
          </w:tcPr>
          <w:p>
            <w:pPr>
              <w:autoSpaceDE w:val="0"/>
              <w:autoSpaceDN w:val="0"/>
              <w:adjustRightInd w:val="0"/>
              <w:textAlignment w:val="bottom"/>
              <w:rPr>
                <w:rFonts w:hint="eastAsia" w:ascii="宋体" w:hAnsi="Times New Roman" w:cs="Arial"/>
              </w:rPr>
            </w:pPr>
            <w:r>
              <w:rPr>
                <w:rFonts w:hint="eastAsia" w:ascii="宋体" w:hAnsi="Times New Roman" w:cs="Arial"/>
              </w:rPr>
              <w:t>针对磋商响应供应商承诺的售后响应时间</w:t>
            </w:r>
            <w:r>
              <w:rPr>
                <w:rFonts w:hint="eastAsia" w:ascii="宋体" w:hAnsi="Times New Roman" w:cs="Arial"/>
                <w:lang w:eastAsia="zh-CN"/>
              </w:rPr>
              <w:t>、</w:t>
            </w:r>
            <w:r>
              <w:rPr>
                <w:rFonts w:hint="eastAsia" w:ascii="宋体" w:hAnsi="Times New Roman" w:cs="Arial"/>
              </w:rPr>
              <w:t>售后服务承诺、售后服务人员及工具配备情况的科学性、合理性、可行性，进行综合评分。</w:t>
            </w:r>
          </w:p>
          <w:p>
            <w:pPr>
              <w:autoSpaceDE w:val="0"/>
              <w:autoSpaceDN w:val="0"/>
              <w:adjustRightInd w:val="0"/>
              <w:textAlignment w:val="bottom"/>
              <w:rPr>
                <w:rFonts w:hint="eastAsia" w:ascii="宋体" w:hAnsi="Times New Roman" w:cs="Arial"/>
              </w:rPr>
            </w:pPr>
            <w:r>
              <w:rPr>
                <w:rFonts w:hint="eastAsia" w:ascii="宋体" w:hAnsi="Times New Roman" w:cs="Arial"/>
              </w:rPr>
              <w:t>售后服务优于采购需求的得6分；</w:t>
            </w:r>
          </w:p>
          <w:p>
            <w:pPr>
              <w:autoSpaceDE w:val="0"/>
              <w:autoSpaceDN w:val="0"/>
              <w:adjustRightInd w:val="0"/>
              <w:textAlignment w:val="bottom"/>
              <w:rPr>
                <w:rFonts w:hint="eastAsia" w:ascii="宋体" w:hAnsi="Times New Roman" w:cs="Arial"/>
              </w:rPr>
            </w:pPr>
            <w:r>
              <w:rPr>
                <w:rFonts w:hint="eastAsia" w:ascii="宋体" w:hAnsi="Times New Roman" w:cs="Arial"/>
              </w:rPr>
              <w:t>售后服务完全满足采购需求的得5分；</w:t>
            </w:r>
          </w:p>
          <w:p>
            <w:pPr>
              <w:autoSpaceDE w:val="0"/>
              <w:autoSpaceDN w:val="0"/>
              <w:adjustRightInd w:val="0"/>
              <w:textAlignment w:val="bottom"/>
              <w:rPr>
                <w:rFonts w:hint="eastAsia" w:ascii="宋体" w:hAnsi="Times New Roman" w:cs="Arial"/>
              </w:rPr>
            </w:pPr>
            <w:r>
              <w:rPr>
                <w:rFonts w:hint="eastAsia" w:ascii="宋体" w:hAnsi="Times New Roman" w:cs="Arial"/>
              </w:rPr>
              <w:t>售后服务较满足采购需求的得4分；</w:t>
            </w:r>
          </w:p>
          <w:p>
            <w:pPr>
              <w:autoSpaceDE w:val="0"/>
              <w:autoSpaceDN w:val="0"/>
              <w:adjustRightInd w:val="0"/>
              <w:textAlignment w:val="bottom"/>
              <w:rPr>
                <w:rFonts w:hint="eastAsia" w:ascii="宋体" w:hAnsi="Times New Roman" w:cs="Arial"/>
              </w:rPr>
            </w:pPr>
            <w:r>
              <w:rPr>
                <w:rFonts w:hint="eastAsia" w:ascii="宋体" w:hAnsi="Times New Roman" w:cs="Arial"/>
              </w:rPr>
              <w:t>售后服务基本满足采购需求的得3分；</w:t>
            </w:r>
          </w:p>
          <w:p>
            <w:pPr>
              <w:autoSpaceDE w:val="0"/>
              <w:autoSpaceDN w:val="0"/>
              <w:adjustRightInd w:val="0"/>
              <w:textAlignment w:val="bottom"/>
              <w:rPr>
                <w:rFonts w:ascii="宋体" w:hAnsi="Times New Roman" w:cs="Arial"/>
              </w:rPr>
            </w:pPr>
            <w:r>
              <w:rPr>
                <w:rFonts w:hint="eastAsia" w:ascii="宋体" w:hAnsi="Times New Roman" w:cs="Arial"/>
              </w:rPr>
              <w:t>售后服务大部分不满足采购需求的得2分</w:t>
            </w:r>
          </w:p>
          <w:p>
            <w:pPr>
              <w:autoSpaceDE w:val="0"/>
              <w:autoSpaceDN w:val="0"/>
              <w:adjustRightInd w:val="0"/>
              <w:textAlignment w:val="bottom"/>
              <w:rPr>
                <w:rFonts w:hint="eastAsia" w:ascii="宋体" w:hAnsi="Times New Roman" w:cs="Arial"/>
              </w:rPr>
            </w:pPr>
            <w:r>
              <w:rPr>
                <w:rFonts w:hint="eastAsia" w:ascii="宋体" w:hAnsi="Times New Roman" w:cs="Arial"/>
              </w:rPr>
              <w:t>售后服务完全不满足的得1分；</w:t>
            </w:r>
          </w:p>
          <w:p>
            <w:pPr>
              <w:autoSpaceDE w:val="0"/>
              <w:autoSpaceDN w:val="0"/>
              <w:adjustRightInd w:val="0"/>
              <w:textAlignment w:val="bottom"/>
              <w:rPr>
                <w:rFonts w:hint="eastAsia" w:ascii="宋体" w:hAnsi="Times New Roman" w:cs="Arial"/>
              </w:rPr>
            </w:pPr>
            <w:r>
              <w:rPr>
                <w:rFonts w:hint="eastAsia" w:ascii="宋体" w:hAnsi="Times New Roman" w:cs="Arial"/>
              </w:rPr>
              <w:t>未提供售后服务的得0分。</w:t>
            </w:r>
          </w:p>
        </w:tc>
        <w:tc>
          <w:tcPr>
            <w:tcW w:w="508" w:type="pct"/>
            <w:noWrap w:val="0"/>
            <w:vAlign w:val="center"/>
          </w:tcPr>
          <w:p>
            <w:pPr>
              <w:autoSpaceDE w:val="0"/>
              <w:autoSpaceDN w:val="0"/>
              <w:adjustRightInd w:val="0"/>
              <w:jc w:val="center"/>
              <w:textAlignment w:val="bottom"/>
              <w:rPr>
                <w:rFonts w:hint="eastAsia" w:ascii="宋体" w:cs="Arial"/>
                <w:b/>
              </w:rPr>
            </w:pPr>
            <w:r>
              <w:rPr>
                <w:rFonts w:hint="eastAsia" w:ascii="宋体" w:cs="Arial"/>
              </w:rPr>
              <w:t>6</w:t>
            </w:r>
          </w:p>
        </w:tc>
        <w:tc>
          <w:tcPr>
            <w:tcW w:w="575" w:type="pct"/>
            <w:noWrap w:val="0"/>
            <w:vAlign w:val="center"/>
          </w:tcPr>
          <w:p>
            <w:pPr>
              <w:autoSpaceDE w:val="0"/>
              <w:autoSpaceDN w:val="0"/>
              <w:adjustRightInd w:val="0"/>
              <w:jc w:val="center"/>
              <w:textAlignment w:val="bottom"/>
              <w:rPr>
                <w:rFonts w:ascii="宋体" w:cs="Arial"/>
              </w:rPr>
            </w:pPr>
            <w:r>
              <w:rPr>
                <w:rFonts w:hint="eastAsia" w:ascii="宋体" w:cs="Arial"/>
              </w:rPr>
              <w:t>主观评分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73" w:hRule="atLeast"/>
        </w:trPr>
        <w:tc>
          <w:tcPr>
            <w:tcW w:w="289" w:type="pct"/>
            <w:noWrap w:val="0"/>
            <w:vAlign w:val="center"/>
          </w:tcPr>
          <w:p>
            <w:pPr>
              <w:autoSpaceDE w:val="0"/>
              <w:autoSpaceDN w:val="0"/>
              <w:adjustRightInd w:val="0"/>
              <w:jc w:val="center"/>
              <w:textAlignment w:val="bottom"/>
              <w:rPr>
                <w:rFonts w:ascii="宋体" w:cs="Arial"/>
              </w:rPr>
            </w:pPr>
            <w:r>
              <w:rPr>
                <w:rFonts w:ascii="宋体" w:cs="Arial"/>
              </w:rPr>
              <w:t>8</w:t>
            </w:r>
          </w:p>
        </w:tc>
        <w:tc>
          <w:tcPr>
            <w:tcW w:w="645" w:type="pct"/>
            <w:noWrap w:val="0"/>
            <w:vAlign w:val="center"/>
          </w:tcPr>
          <w:p>
            <w:pPr>
              <w:autoSpaceDE w:val="0"/>
              <w:autoSpaceDN w:val="0"/>
              <w:adjustRightInd w:val="0"/>
              <w:textAlignment w:val="bottom"/>
              <w:rPr>
                <w:rFonts w:hint="eastAsia" w:ascii="宋体" w:hAnsi="Times New Roman" w:cs="Arial"/>
              </w:rPr>
            </w:pPr>
            <w:r>
              <w:rPr>
                <w:rFonts w:hint="eastAsia" w:ascii="宋体" w:hAnsi="Times New Roman" w:cs="Arial"/>
              </w:rPr>
              <w:t>政策分节能环保</w:t>
            </w:r>
          </w:p>
        </w:tc>
        <w:tc>
          <w:tcPr>
            <w:tcW w:w="2983" w:type="pct"/>
            <w:noWrap w:val="0"/>
            <w:vAlign w:val="center"/>
          </w:tcPr>
          <w:p>
            <w:pPr>
              <w:autoSpaceDE w:val="0"/>
              <w:autoSpaceDN w:val="0"/>
              <w:adjustRightInd w:val="0"/>
              <w:textAlignment w:val="bottom"/>
              <w:rPr>
                <w:rFonts w:hint="eastAsia" w:ascii="宋体" w:hAnsi="Times New Roman" w:cs="Arial"/>
              </w:rPr>
            </w:pPr>
            <w:r>
              <w:rPr>
                <w:rFonts w:hint="eastAsia" w:ascii="宋体" w:hAnsi="Times New Roman" w:cs="Arial"/>
              </w:rPr>
              <w:t>环境标志产品评审。磋商产品列入财政部、生态环境部等部门发布的“环境标志产品品目清单”，且获得指定认证机构出具的环境标志产品认证证书的，认证单元含人造板类家具、软体家具、钢木家具、金属家具、实木家具全部提供的得3分，缺一项扣1分。</w:t>
            </w:r>
            <w:r>
              <w:rPr>
                <w:rFonts w:hint="eastAsia" w:ascii="宋体" w:cs="Arial"/>
              </w:rPr>
              <w:t>说明：响应文件中必须提供附件《节能环保产品声明函》、《节能（环保）产品清单》及所提供相关产品对应的认证证书扫描件，否则不予给分。</w:t>
            </w:r>
          </w:p>
        </w:tc>
        <w:tc>
          <w:tcPr>
            <w:tcW w:w="508" w:type="pct"/>
            <w:noWrap w:val="0"/>
            <w:vAlign w:val="center"/>
          </w:tcPr>
          <w:p>
            <w:pPr>
              <w:autoSpaceDE w:val="0"/>
              <w:autoSpaceDN w:val="0"/>
              <w:adjustRightInd w:val="0"/>
              <w:jc w:val="center"/>
              <w:textAlignment w:val="bottom"/>
              <w:rPr>
                <w:rFonts w:hint="eastAsia" w:ascii="宋体" w:cs="Arial"/>
              </w:rPr>
            </w:pPr>
            <w:r>
              <w:rPr>
                <w:rFonts w:hint="eastAsia" w:ascii="宋体" w:cs="Arial"/>
              </w:rPr>
              <w:t>3</w:t>
            </w:r>
          </w:p>
        </w:tc>
        <w:tc>
          <w:tcPr>
            <w:tcW w:w="575" w:type="pct"/>
            <w:noWrap w:val="0"/>
            <w:vAlign w:val="center"/>
          </w:tcPr>
          <w:p>
            <w:pPr>
              <w:autoSpaceDE w:val="0"/>
              <w:autoSpaceDN w:val="0"/>
              <w:adjustRightInd w:val="0"/>
              <w:jc w:val="center"/>
              <w:textAlignment w:val="bottom"/>
              <w:rPr>
                <w:rFonts w:ascii="宋体" w:cs="Arial"/>
              </w:rPr>
            </w:pPr>
            <w:r>
              <w:rPr>
                <w:rFonts w:hint="eastAsia" w:ascii="宋体" w:cs="Arial"/>
              </w:rPr>
              <w:t>客观评分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73" w:hRule="atLeast"/>
        </w:trPr>
        <w:tc>
          <w:tcPr>
            <w:tcW w:w="289" w:type="pct"/>
            <w:vMerge w:val="restart"/>
            <w:noWrap w:val="0"/>
            <w:vAlign w:val="center"/>
          </w:tcPr>
          <w:p>
            <w:pPr>
              <w:autoSpaceDE w:val="0"/>
              <w:autoSpaceDN w:val="0"/>
              <w:adjustRightInd w:val="0"/>
              <w:jc w:val="center"/>
              <w:textAlignment w:val="bottom"/>
              <w:rPr>
                <w:rFonts w:hint="eastAsia" w:ascii="宋体" w:cs="Arial"/>
              </w:rPr>
            </w:pPr>
            <w:r>
              <w:rPr>
                <w:rFonts w:hint="eastAsia" w:ascii="宋体" w:cs="Arial"/>
              </w:rPr>
              <w:t>9</w:t>
            </w:r>
          </w:p>
        </w:tc>
        <w:tc>
          <w:tcPr>
            <w:tcW w:w="645" w:type="pct"/>
            <w:vMerge w:val="restart"/>
            <w:noWrap w:val="0"/>
            <w:vAlign w:val="center"/>
          </w:tcPr>
          <w:p>
            <w:pPr>
              <w:autoSpaceDE w:val="0"/>
              <w:autoSpaceDN w:val="0"/>
              <w:adjustRightInd w:val="0"/>
              <w:jc w:val="center"/>
              <w:textAlignment w:val="bottom"/>
              <w:rPr>
                <w:rFonts w:hint="eastAsia" w:ascii="宋体" w:hAnsi="Courier New"/>
              </w:rPr>
            </w:pPr>
            <w:r>
              <w:rPr>
                <w:rFonts w:hint="eastAsia" w:ascii="宋体" w:hAnsi="Courier New"/>
              </w:rPr>
              <w:t>磋商样品</w:t>
            </w:r>
          </w:p>
        </w:tc>
        <w:tc>
          <w:tcPr>
            <w:tcW w:w="2983" w:type="pct"/>
            <w:noWrap w:val="0"/>
            <w:vAlign w:val="center"/>
          </w:tcPr>
          <w:p>
            <w:pPr>
              <w:pStyle w:val="27"/>
              <w:adjustRightInd w:val="0"/>
              <w:snapToGrid w:val="0"/>
              <w:rPr>
                <w:rFonts w:hAnsi="Times New Roman" w:cs="Arial"/>
                <w:kern w:val="0"/>
                <w:sz w:val="22"/>
                <w:szCs w:val="22"/>
              </w:rPr>
            </w:pPr>
            <w:r>
              <w:rPr>
                <w:rFonts w:hAnsi="Times New Roman" w:cs="Arial"/>
                <w:kern w:val="0"/>
                <w:sz w:val="22"/>
                <w:szCs w:val="22"/>
              </w:rPr>
              <w:t>根据样品</w:t>
            </w:r>
            <w:r>
              <w:rPr>
                <w:rFonts w:hint="eastAsia" w:hAnsi="Times New Roman" w:cs="Arial"/>
                <w:kern w:val="0"/>
                <w:sz w:val="22"/>
                <w:szCs w:val="22"/>
              </w:rPr>
              <w:t>的</w:t>
            </w:r>
            <w:r>
              <w:rPr>
                <w:rFonts w:hAnsi="Times New Roman" w:cs="Arial"/>
                <w:kern w:val="0"/>
                <w:sz w:val="22"/>
                <w:szCs w:val="22"/>
              </w:rPr>
              <w:t>制作工艺水平及</w:t>
            </w:r>
            <w:r>
              <w:rPr>
                <w:rFonts w:hint="eastAsia" w:hAnsi="Times New Roman" w:cs="Arial"/>
                <w:kern w:val="0"/>
                <w:sz w:val="22"/>
                <w:szCs w:val="22"/>
              </w:rPr>
              <w:t>装配</w:t>
            </w:r>
            <w:r>
              <w:rPr>
                <w:rFonts w:hAnsi="Times New Roman" w:cs="Arial"/>
                <w:kern w:val="0"/>
                <w:sz w:val="22"/>
                <w:szCs w:val="22"/>
              </w:rPr>
              <w:t>水平进行</w:t>
            </w:r>
            <w:r>
              <w:rPr>
                <w:rFonts w:hint="eastAsia" w:hAnsi="Times New Roman" w:cs="Arial"/>
                <w:kern w:val="0"/>
                <w:sz w:val="22"/>
                <w:szCs w:val="22"/>
              </w:rPr>
              <w:t>综合</w:t>
            </w:r>
            <w:r>
              <w:rPr>
                <w:rFonts w:hAnsi="Times New Roman" w:cs="Arial"/>
                <w:kern w:val="0"/>
                <w:sz w:val="22"/>
                <w:szCs w:val="22"/>
              </w:rPr>
              <w:t>打分。</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w:t>
            </w:r>
            <w:r>
              <w:rPr>
                <w:rFonts w:hAnsi="Times New Roman" w:cs="Arial"/>
                <w:kern w:val="0"/>
                <w:sz w:val="22"/>
                <w:szCs w:val="22"/>
              </w:rPr>
              <w:t>制作工艺水平及</w:t>
            </w:r>
            <w:r>
              <w:rPr>
                <w:rFonts w:hint="eastAsia" w:hAnsi="Times New Roman" w:cs="Arial"/>
                <w:kern w:val="0"/>
                <w:sz w:val="22"/>
                <w:szCs w:val="22"/>
              </w:rPr>
              <w:t>装配</w:t>
            </w:r>
            <w:r>
              <w:rPr>
                <w:rFonts w:hAnsi="Times New Roman" w:cs="Arial"/>
                <w:kern w:val="0"/>
                <w:sz w:val="22"/>
                <w:szCs w:val="22"/>
              </w:rPr>
              <w:t>水平</w:t>
            </w:r>
            <w:r>
              <w:rPr>
                <w:rFonts w:hint="eastAsia" w:hAnsi="Times New Roman" w:cs="Arial"/>
                <w:kern w:val="0"/>
                <w:sz w:val="22"/>
                <w:szCs w:val="22"/>
              </w:rPr>
              <w:t>优于采购需求的得6分；</w:t>
            </w:r>
          </w:p>
          <w:p>
            <w:pPr>
              <w:pStyle w:val="27"/>
              <w:adjustRightInd w:val="0"/>
              <w:snapToGrid w:val="0"/>
              <w:rPr>
                <w:rFonts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w:t>
            </w:r>
            <w:r>
              <w:rPr>
                <w:rFonts w:hAnsi="Times New Roman" w:cs="Arial"/>
                <w:kern w:val="0"/>
                <w:sz w:val="22"/>
                <w:szCs w:val="22"/>
              </w:rPr>
              <w:t>制作工艺水平及</w:t>
            </w:r>
            <w:r>
              <w:rPr>
                <w:rFonts w:hint="eastAsia" w:hAnsi="Times New Roman" w:cs="Arial"/>
                <w:kern w:val="0"/>
                <w:sz w:val="22"/>
                <w:szCs w:val="22"/>
              </w:rPr>
              <w:t>装配</w:t>
            </w:r>
            <w:r>
              <w:rPr>
                <w:rFonts w:hAnsi="Times New Roman" w:cs="Arial"/>
                <w:kern w:val="0"/>
                <w:sz w:val="22"/>
                <w:szCs w:val="22"/>
              </w:rPr>
              <w:t>水平</w:t>
            </w:r>
            <w:r>
              <w:rPr>
                <w:rFonts w:hint="eastAsia" w:hAnsi="Times New Roman" w:cs="Arial"/>
                <w:kern w:val="0"/>
                <w:sz w:val="22"/>
                <w:szCs w:val="22"/>
              </w:rPr>
              <w:t>完全满足采购需求的得5分；</w:t>
            </w:r>
          </w:p>
          <w:p>
            <w:pPr>
              <w:pStyle w:val="27"/>
              <w:adjustRightInd w:val="0"/>
              <w:snapToGrid w:val="0"/>
              <w:rPr>
                <w:rFonts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w:t>
            </w:r>
            <w:r>
              <w:rPr>
                <w:rFonts w:hAnsi="Times New Roman" w:cs="Arial"/>
                <w:kern w:val="0"/>
                <w:sz w:val="22"/>
                <w:szCs w:val="22"/>
              </w:rPr>
              <w:t>制作工艺水平及</w:t>
            </w:r>
            <w:r>
              <w:rPr>
                <w:rFonts w:hint="eastAsia" w:hAnsi="Times New Roman" w:cs="Arial"/>
                <w:kern w:val="0"/>
                <w:sz w:val="22"/>
                <w:szCs w:val="22"/>
              </w:rPr>
              <w:t>装配</w:t>
            </w:r>
            <w:r>
              <w:rPr>
                <w:rFonts w:hAnsi="Times New Roman" w:cs="Arial"/>
                <w:kern w:val="0"/>
                <w:sz w:val="22"/>
                <w:szCs w:val="22"/>
              </w:rPr>
              <w:t>水平</w:t>
            </w:r>
            <w:r>
              <w:rPr>
                <w:rFonts w:hint="eastAsia" w:cs="Arial"/>
              </w:rPr>
              <w:t>较满足采购需求的得4分；</w:t>
            </w:r>
          </w:p>
          <w:p>
            <w:pPr>
              <w:pStyle w:val="27"/>
              <w:adjustRightInd w:val="0"/>
              <w:snapToGrid w:val="0"/>
              <w:rPr>
                <w:rFonts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w:t>
            </w:r>
            <w:r>
              <w:rPr>
                <w:rFonts w:hAnsi="Times New Roman" w:cs="Arial"/>
                <w:kern w:val="0"/>
                <w:sz w:val="22"/>
                <w:szCs w:val="22"/>
              </w:rPr>
              <w:t>制作工艺水平及</w:t>
            </w:r>
            <w:r>
              <w:rPr>
                <w:rFonts w:hint="eastAsia" w:hAnsi="Times New Roman" w:cs="Arial"/>
                <w:kern w:val="0"/>
                <w:sz w:val="22"/>
                <w:szCs w:val="22"/>
              </w:rPr>
              <w:t>装配</w:t>
            </w:r>
            <w:r>
              <w:rPr>
                <w:rFonts w:hAnsi="Times New Roman" w:cs="Arial"/>
                <w:kern w:val="0"/>
                <w:sz w:val="22"/>
                <w:szCs w:val="22"/>
              </w:rPr>
              <w:t>水平</w:t>
            </w:r>
            <w:r>
              <w:rPr>
                <w:rFonts w:hint="eastAsia" w:cs="Arial"/>
              </w:rPr>
              <w:t>基本满足采购需求的得3分；</w:t>
            </w:r>
          </w:p>
          <w:p>
            <w:pPr>
              <w:pStyle w:val="27"/>
              <w:adjustRightInd w:val="0"/>
              <w:snapToGrid w:val="0"/>
              <w:rPr>
                <w:rFonts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w:t>
            </w:r>
            <w:r>
              <w:rPr>
                <w:rFonts w:hAnsi="Times New Roman" w:cs="Arial"/>
                <w:kern w:val="0"/>
                <w:sz w:val="22"/>
                <w:szCs w:val="22"/>
              </w:rPr>
              <w:t>制作工艺水平及</w:t>
            </w:r>
            <w:r>
              <w:rPr>
                <w:rFonts w:hint="eastAsia" w:hAnsi="Times New Roman" w:cs="Arial"/>
                <w:kern w:val="0"/>
                <w:sz w:val="22"/>
                <w:szCs w:val="22"/>
              </w:rPr>
              <w:t>装配</w:t>
            </w:r>
            <w:r>
              <w:rPr>
                <w:rFonts w:hAnsi="Times New Roman" w:cs="Arial"/>
                <w:kern w:val="0"/>
                <w:sz w:val="22"/>
                <w:szCs w:val="22"/>
              </w:rPr>
              <w:t>水平</w:t>
            </w:r>
            <w:r>
              <w:rPr>
                <w:rFonts w:hint="eastAsia" w:cs="Arial"/>
              </w:rPr>
              <w:t>大部分不满足采购需求的得2分；</w:t>
            </w:r>
          </w:p>
          <w:p>
            <w:pPr>
              <w:pStyle w:val="27"/>
              <w:adjustRightInd w:val="0"/>
              <w:snapToGrid w:val="0"/>
              <w:rPr>
                <w:rFonts w:hint="eastAsia" w:cs="Arial"/>
              </w:rPr>
            </w:pPr>
            <w:r>
              <w:rPr>
                <w:rFonts w:hAnsi="Times New Roman" w:cs="Arial"/>
                <w:kern w:val="0"/>
                <w:sz w:val="22"/>
                <w:szCs w:val="22"/>
              </w:rPr>
              <w:t>样品</w:t>
            </w:r>
            <w:r>
              <w:rPr>
                <w:rFonts w:hint="eastAsia" w:hAnsi="Times New Roman" w:cs="Arial"/>
                <w:kern w:val="0"/>
                <w:sz w:val="22"/>
                <w:szCs w:val="22"/>
              </w:rPr>
              <w:t>的</w:t>
            </w:r>
            <w:r>
              <w:rPr>
                <w:rFonts w:hAnsi="Times New Roman" w:cs="Arial"/>
                <w:kern w:val="0"/>
                <w:sz w:val="22"/>
                <w:szCs w:val="22"/>
              </w:rPr>
              <w:t>制作工艺水平及</w:t>
            </w:r>
            <w:r>
              <w:rPr>
                <w:rFonts w:hint="eastAsia" w:hAnsi="Times New Roman" w:cs="Arial"/>
                <w:kern w:val="0"/>
                <w:sz w:val="22"/>
                <w:szCs w:val="22"/>
              </w:rPr>
              <w:t>装配</w:t>
            </w:r>
            <w:r>
              <w:rPr>
                <w:rFonts w:hAnsi="Times New Roman" w:cs="Arial"/>
                <w:kern w:val="0"/>
                <w:sz w:val="22"/>
                <w:szCs w:val="22"/>
              </w:rPr>
              <w:t>水平</w:t>
            </w:r>
            <w:r>
              <w:rPr>
                <w:rFonts w:hint="eastAsia" w:cs="Arial"/>
              </w:rPr>
              <w:t>完全不满足采购需求的得1分；</w:t>
            </w:r>
          </w:p>
          <w:p>
            <w:pPr>
              <w:pStyle w:val="27"/>
              <w:adjustRightInd w:val="0"/>
              <w:snapToGrid w:val="0"/>
              <w:rPr>
                <w:rFonts w:hint="eastAsia" w:hAnsi="Times New Roman" w:cs="Arial"/>
                <w:kern w:val="0"/>
                <w:sz w:val="22"/>
                <w:szCs w:val="22"/>
              </w:rPr>
            </w:pPr>
            <w:r>
              <w:rPr>
                <w:rFonts w:hint="eastAsia" w:cs="Arial"/>
              </w:rPr>
              <w:t>未提供</w:t>
            </w:r>
            <w:r>
              <w:rPr>
                <w:rFonts w:hAnsi="Times New Roman" w:cs="Arial"/>
                <w:kern w:val="0"/>
                <w:sz w:val="22"/>
                <w:szCs w:val="22"/>
              </w:rPr>
              <w:t>样品</w:t>
            </w:r>
            <w:r>
              <w:rPr>
                <w:rFonts w:hint="eastAsia" w:hAnsi="Times New Roman" w:cs="Arial"/>
                <w:kern w:val="0"/>
                <w:sz w:val="22"/>
                <w:szCs w:val="22"/>
              </w:rPr>
              <w:t>的得0分。</w:t>
            </w:r>
          </w:p>
        </w:tc>
        <w:tc>
          <w:tcPr>
            <w:tcW w:w="508" w:type="pct"/>
            <w:noWrap w:val="0"/>
            <w:vAlign w:val="center"/>
          </w:tcPr>
          <w:p>
            <w:pPr>
              <w:autoSpaceDE w:val="0"/>
              <w:autoSpaceDN w:val="0"/>
              <w:adjustRightInd w:val="0"/>
              <w:jc w:val="center"/>
              <w:textAlignment w:val="bottom"/>
              <w:rPr>
                <w:rFonts w:ascii="宋体" w:cs="Arial"/>
              </w:rPr>
            </w:pPr>
            <w:r>
              <w:rPr>
                <w:rFonts w:hint="eastAsia" w:ascii="宋体" w:cs="Arial"/>
              </w:rPr>
              <w:t>6</w:t>
            </w:r>
          </w:p>
        </w:tc>
        <w:tc>
          <w:tcPr>
            <w:tcW w:w="575" w:type="pct"/>
            <w:noWrap w:val="0"/>
            <w:vAlign w:val="center"/>
          </w:tcPr>
          <w:p>
            <w:pPr>
              <w:autoSpaceDE w:val="0"/>
              <w:autoSpaceDN w:val="0"/>
              <w:adjustRightInd w:val="0"/>
              <w:jc w:val="center"/>
              <w:textAlignment w:val="bottom"/>
              <w:rPr>
                <w:rFonts w:hint="eastAsia" w:ascii="宋体" w:cs="Arial"/>
              </w:rPr>
            </w:pPr>
            <w:r>
              <w:rPr>
                <w:rFonts w:hint="eastAsia" w:hAnsi="Times New Roman" w:cs="Arial"/>
                <w:kern w:val="0"/>
                <w:sz w:val="22"/>
                <w:szCs w:val="22"/>
              </w:rPr>
              <w:t>主观</w:t>
            </w:r>
            <w:r>
              <w:rPr>
                <w:rFonts w:hint="eastAsia" w:ascii="宋体" w:cs="Arial"/>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73" w:hRule="atLeast"/>
        </w:trPr>
        <w:tc>
          <w:tcPr>
            <w:tcW w:w="289" w:type="pct"/>
            <w:vMerge w:val="continue"/>
            <w:noWrap w:val="0"/>
            <w:vAlign w:val="top"/>
          </w:tcPr>
          <w:p>
            <w:pPr>
              <w:autoSpaceDE w:val="0"/>
              <w:autoSpaceDN w:val="0"/>
              <w:adjustRightInd w:val="0"/>
              <w:jc w:val="center"/>
              <w:textAlignment w:val="bottom"/>
              <w:rPr>
                <w:rFonts w:hint="eastAsia" w:ascii="宋体" w:cs="Arial"/>
              </w:rPr>
            </w:pPr>
          </w:p>
        </w:tc>
        <w:tc>
          <w:tcPr>
            <w:tcW w:w="645" w:type="pct"/>
            <w:vMerge w:val="continue"/>
            <w:noWrap w:val="0"/>
            <w:vAlign w:val="top"/>
          </w:tcPr>
          <w:p>
            <w:pPr>
              <w:autoSpaceDE w:val="0"/>
              <w:autoSpaceDN w:val="0"/>
              <w:adjustRightInd w:val="0"/>
              <w:jc w:val="center"/>
              <w:textAlignment w:val="bottom"/>
              <w:rPr>
                <w:rFonts w:hint="eastAsia" w:ascii="宋体" w:hAnsi="Courier New"/>
              </w:rPr>
            </w:pPr>
          </w:p>
        </w:tc>
        <w:tc>
          <w:tcPr>
            <w:tcW w:w="2983" w:type="pct"/>
            <w:noWrap w:val="0"/>
            <w:vAlign w:val="center"/>
          </w:tcPr>
          <w:p>
            <w:pPr>
              <w:pStyle w:val="27"/>
              <w:adjustRightInd w:val="0"/>
              <w:snapToGrid w:val="0"/>
              <w:rPr>
                <w:rFonts w:hAnsi="Times New Roman" w:cs="Arial"/>
                <w:kern w:val="0"/>
                <w:sz w:val="22"/>
                <w:szCs w:val="22"/>
              </w:rPr>
            </w:pPr>
            <w:r>
              <w:rPr>
                <w:rFonts w:hAnsi="Times New Roman" w:cs="Arial"/>
                <w:kern w:val="0"/>
                <w:sz w:val="22"/>
                <w:szCs w:val="22"/>
              </w:rPr>
              <w:t>根据样品</w:t>
            </w:r>
            <w:r>
              <w:rPr>
                <w:rFonts w:hint="eastAsia" w:hAnsi="Times New Roman" w:cs="Arial"/>
                <w:kern w:val="0"/>
                <w:sz w:val="22"/>
                <w:szCs w:val="22"/>
              </w:rPr>
              <w:t>的主要材料质量、五金配件质量、外观及规格尺寸情况</w:t>
            </w:r>
            <w:r>
              <w:rPr>
                <w:rFonts w:hAnsi="Times New Roman" w:cs="Arial"/>
                <w:kern w:val="0"/>
                <w:sz w:val="22"/>
                <w:szCs w:val="22"/>
              </w:rPr>
              <w:t>进行打分</w:t>
            </w:r>
            <w:r>
              <w:rPr>
                <w:rFonts w:hint="eastAsia" w:hAnsi="Times New Roman" w:cs="Arial"/>
                <w:kern w:val="0"/>
                <w:sz w:val="22"/>
                <w:szCs w:val="22"/>
              </w:rPr>
              <w:t>。</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的主要材料质量、五金配件质量、外观及规格尺寸优于采购需求的得6分；</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的主要材料质量、五金配件质量、外观及规格尺寸完全满足采购需求的得5分；</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的主要材料质量、五金配件质量、外观及规格尺寸</w:t>
            </w:r>
            <w:r>
              <w:rPr>
                <w:rFonts w:hint="eastAsia" w:cs="Arial"/>
              </w:rPr>
              <w:t>较满足采购需求的得4分；</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的主要材料质量、五金配件质量、外观及规格尺寸</w:t>
            </w:r>
            <w:r>
              <w:rPr>
                <w:rFonts w:hint="eastAsia" w:cs="Arial"/>
              </w:rPr>
              <w:t>基本满足采购需求的得3分；</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的主要材料质量、五金配件质量、外观及规格尺寸</w:t>
            </w:r>
            <w:r>
              <w:rPr>
                <w:rFonts w:hint="eastAsia" w:cs="Arial"/>
              </w:rPr>
              <w:t>大部分不满足采购需求的得2分；</w:t>
            </w:r>
          </w:p>
          <w:p>
            <w:pPr>
              <w:pStyle w:val="27"/>
              <w:adjustRightInd w:val="0"/>
              <w:snapToGrid w:val="0"/>
              <w:rPr>
                <w:rFonts w:hint="eastAsia" w:cs="Arial"/>
              </w:rPr>
            </w:pPr>
            <w:r>
              <w:rPr>
                <w:rFonts w:hAnsi="Times New Roman" w:cs="Arial"/>
                <w:kern w:val="0"/>
                <w:sz w:val="22"/>
                <w:szCs w:val="22"/>
              </w:rPr>
              <w:t>样品</w:t>
            </w:r>
            <w:r>
              <w:rPr>
                <w:rFonts w:hint="eastAsia" w:hAnsi="Times New Roman" w:cs="Arial"/>
                <w:kern w:val="0"/>
                <w:sz w:val="22"/>
                <w:szCs w:val="22"/>
              </w:rPr>
              <w:t>的主要材料质量、五金配件质量、外观及规格尺寸</w:t>
            </w:r>
            <w:r>
              <w:rPr>
                <w:rFonts w:hint="eastAsia" w:cs="Arial"/>
              </w:rPr>
              <w:t>完全不满足采购需求的得1分；</w:t>
            </w:r>
          </w:p>
          <w:p>
            <w:pPr>
              <w:pStyle w:val="27"/>
              <w:adjustRightInd w:val="0"/>
              <w:snapToGrid w:val="0"/>
              <w:rPr>
                <w:rFonts w:hint="eastAsia"/>
              </w:rPr>
            </w:pPr>
            <w:r>
              <w:rPr>
                <w:rFonts w:hint="eastAsia" w:cs="Arial"/>
              </w:rPr>
              <w:t>未提供</w:t>
            </w:r>
            <w:r>
              <w:rPr>
                <w:rFonts w:hAnsi="Times New Roman" w:cs="Arial"/>
                <w:kern w:val="0"/>
                <w:sz w:val="22"/>
                <w:szCs w:val="22"/>
              </w:rPr>
              <w:t>样品</w:t>
            </w:r>
            <w:r>
              <w:rPr>
                <w:rFonts w:hint="eastAsia" w:hAnsi="Times New Roman" w:cs="Arial"/>
                <w:kern w:val="0"/>
                <w:sz w:val="22"/>
                <w:szCs w:val="22"/>
              </w:rPr>
              <w:t>的得0分。</w:t>
            </w:r>
          </w:p>
        </w:tc>
        <w:tc>
          <w:tcPr>
            <w:tcW w:w="508" w:type="pct"/>
            <w:noWrap w:val="0"/>
            <w:vAlign w:val="center"/>
          </w:tcPr>
          <w:p>
            <w:pPr>
              <w:autoSpaceDE w:val="0"/>
              <w:autoSpaceDN w:val="0"/>
              <w:adjustRightInd w:val="0"/>
              <w:jc w:val="center"/>
              <w:textAlignment w:val="bottom"/>
              <w:rPr>
                <w:rFonts w:hint="eastAsia" w:ascii="宋体" w:cs="Arial"/>
              </w:rPr>
            </w:pPr>
          </w:p>
          <w:p>
            <w:pPr>
              <w:autoSpaceDE w:val="0"/>
              <w:autoSpaceDN w:val="0"/>
              <w:adjustRightInd w:val="0"/>
              <w:jc w:val="center"/>
              <w:textAlignment w:val="bottom"/>
              <w:rPr>
                <w:rFonts w:ascii="宋体" w:cs="Arial"/>
              </w:rPr>
            </w:pPr>
            <w:r>
              <w:rPr>
                <w:rFonts w:hint="eastAsia" w:ascii="宋体" w:cs="Arial"/>
              </w:rPr>
              <w:t>6</w:t>
            </w:r>
          </w:p>
        </w:tc>
        <w:tc>
          <w:tcPr>
            <w:tcW w:w="575" w:type="pct"/>
            <w:noWrap w:val="0"/>
            <w:vAlign w:val="center"/>
          </w:tcPr>
          <w:p>
            <w:pPr>
              <w:autoSpaceDE w:val="0"/>
              <w:autoSpaceDN w:val="0"/>
              <w:adjustRightInd w:val="0"/>
              <w:jc w:val="center"/>
              <w:textAlignment w:val="bottom"/>
              <w:rPr>
                <w:rFonts w:hint="eastAsia" w:ascii="宋体" w:cs="Arial"/>
              </w:rPr>
            </w:pPr>
            <w:r>
              <w:rPr>
                <w:rFonts w:hint="eastAsia" w:hAnsi="Times New Roman" w:cs="Arial"/>
                <w:kern w:val="0"/>
                <w:sz w:val="22"/>
                <w:szCs w:val="22"/>
              </w:rPr>
              <w:t>主观</w:t>
            </w:r>
            <w:r>
              <w:rPr>
                <w:rFonts w:hint="eastAsia" w:ascii="宋体" w:cs="Arial"/>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73" w:hRule="atLeast"/>
        </w:trPr>
        <w:tc>
          <w:tcPr>
            <w:tcW w:w="289" w:type="pct"/>
            <w:vMerge w:val="continue"/>
            <w:noWrap w:val="0"/>
            <w:vAlign w:val="top"/>
          </w:tcPr>
          <w:p>
            <w:pPr>
              <w:autoSpaceDE w:val="0"/>
              <w:autoSpaceDN w:val="0"/>
              <w:adjustRightInd w:val="0"/>
              <w:jc w:val="center"/>
              <w:textAlignment w:val="bottom"/>
              <w:rPr>
                <w:rFonts w:hint="eastAsia" w:ascii="宋体" w:cs="Arial"/>
                <w:highlight w:val="yellow"/>
              </w:rPr>
            </w:pPr>
          </w:p>
        </w:tc>
        <w:tc>
          <w:tcPr>
            <w:tcW w:w="645" w:type="pct"/>
            <w:vMerge w:val="continue"/>
            <w:noWrap w:val="0"/>
            <w:vAlign w:val="top"/>
          </w:tcPr>
          <w:p>
            <w:pPr>
              <w:autoSpaceDE w:val="0"/>
              <w:autoSpaceDN w:val="0"/>
              <w:adjustRightInd w:val="0"/>
              <w:jc w:val="center"/>
              <w:textAlignment w:val="bottom"/>
              <w:rPr>
                <w:rFonts w:hint="eastAsia" w:ascii="宋体" w:hAnsi="Courier New"/>
                <w:highlight w:val="yellow"/>
              </w:rPr>
            </w:pPr>
          </w:p>
        </w:tc>
        <w:tc>
          <w:tcPr>
            <w:tcW w:w="2983" w:type="pct"/>
            <w:noWrap w:val="0"/>
            <w:vAlign w:val="center"/>
          </w:tcPr>
          <w:p>
            <w:pPr>
              <w:pStyle w:val="27"/>
              <w:adjustRightInd w:val="0"/>
              <w:snapToGrid w:val="0"/>
              <w:rPr>
                <w:rFonts w:hAnsi="Times New Roman" w:cs="Arial"/>
                <w:kern w:val="0"/>
                <w:sz w:val="22"/>
                <w:szCs w:val="22"/>
              </w:rPr>
            </w:pPr>
            <w:r>
              <w:rPr>
                <w:rFonts w:hAnsi="Times New Roman" w:cs="Arial"/>
                <w:kern w:val="0"/>
                <w:sz w:val="22"/>
                <w:szCs w:val="22"/>
              </w:rPr>
              <w:t>根据样品</w:t>
            </w:r>
            <w:r>
              <w:rPr>
                <w:rFonts w:hint="eastAsia" w:hAnsi="Times New Roman" w:cs="Arial"/>
                <w:kern w:val="0"/>
                <w:sz w:val="22"/>
                <w:szCs w:val="22"/>
              </w:rPr>
              <w:t>的实用性、功能性、安全性、舒适性</w:t>
            </w:r>
            <w:r>
              <w:rPr>
                <w:rFonts w:hAnsi="Times New Roman" w:cs="Arial"/>
                <w:kern w:val="0"/>
                <w:sz w:val="22"/>
                <w:szCs w:val="22"/>
              </w:rPr>
              <w:t>进行打分</w:t>
            </w:r>
            <w:r>
              <w:rPr>
                <w:rFonts w:hint="eastAsia" w:hAnsi="Times New Roman" w:cs="Arial"/>
                <w:kern w:val="0"/>
                <w:sz w:val="22"/>
                <w:szCs w:val="22"/>
              </w:rPr>
              <w:t>。</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的实用性、功能性、安全性、舒适性优于采购需求的得6分；</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的实用性、功能性、安全性、舒适性完全满足采购需求的得5分；</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的实用性、功能性、安全性、舒适性</w:t>
            </w:r>
            <w:r>
              <w:rPr>
                <w:rFonts w:hint="eastAsia" w:cs="Arial"/>
              </w:rPr>
              <w:t>较满足采购需求的得4分；</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的实用性、功能性、安全性、舒适性</w:t>
            </w:r>
            <w:r>
              <w:rPr>
                <w:rFonts w:hint="eastAsia" w:cs="Arial"/>
              </w:rPr>
              <w:t>基本满足采购需求的得3分；</w:t>
            </w:r>
          </w:p>
          <w:p>
            <w:pPr>
              <w:pStyle w:val="27"/>
              <w:adjustRightInd w:val="0"/>
              <w:snapToGrid w:val="0"/>
              <w:rPr>
                <w:rFonts w:hint="eastAsia" w:hAnsi="Times New Roman" w:cs="Arial"/>
                <w:kern w:val="0"/>
                <w:sz w:val="22"/>
                <w:szCs w:val="22"/>
              </w:rPr>
            </w:pPr>
            <w:r>
              <w:rPr>
                <w:rFonts w:hAnsi="Times New Roman" w:cs="Arial"/>
                <w:kern w:val="0"/>
                <w:sz w:val="22"/>
                <w:szCs w:val="22"/>
              </w:rPr>
              <w:t>样品</w:t>
            </w:r>
            <w:r>
              <w:rPr>
                <w:rFonts w:hint="eastAsia" w:hAnsi="Times New Roman" w:cs="Arial"/>
                <w:kern w:val="0"/>
                <w:sz w:val="22"/>
                <w:szCs w:val="22"/>
              </w:rPr>
              <w:t>的实用性、功能性、安全性、舒适性</w:t>
            </w:r>
            <w:r>
              <w:rPr>
                <w:rFonts w:hint="eastAsia" w:cs="Arial"/>
              </w:rPr>
              <w:t>大部分不满足采购需求的得2分；</w:t>
            </w:r>
          </w:p>
          <w:p>
            <w:pPr>
              <w:pStyle w:val="27"/>
              <w:adjustRightInd w:val="0"/>
              <w:snapToGrid w:val="0"/>
              <w:rPr>
                <w:rFonts w:hint="eastAsia" w:cs="Arial"/>
              </w:rPr>
            </w:pPr>
            <w:r>
              <w:rPr>
                <w:rFonts w:hAnsi="Times New Roman" w:cs="Arial"/>
                <w:kern w:val="0"/>
                <w:sz w:val="22"/>
                <w:szCs w:val="22"/>
              </w:rPr>
              <w:t>样品</w:t>
            </w:r>
            <w:r>
              <w:rPr>
                <w:rFonts w:hint="eastAsia" w:hAnsi="Times New Roman" w:cs="Arial"/>
                <w:kern w:val="0"/>
                <w:sz w:val="22"/>
                <w:szCs w:val="22"/>
              </w:rPr>
              <w:t>的实用性、功能性、安全性、舒适性</w:t>
            </w:r>
            <w:r>
              <w:rPr>
                <w:rFonts w:hint="eastAsia" w:cs="Arial"/>
              </w:rPr>
              <w:t>完全不满足采购需求的得1分；</w:t>
            </w:r>
          </w:p>
          <w:p>
            <w:pPr>
              <w:pStyle w:val="27"/>
              <w:adjustRightInd w:val="0"/>
              <w:snapToGrid w:val="0"/>
              <w:rPr>
                <w:rFonts w:hint="eastAsia" w:hAnsi="Times New Roman" w:cs="Arial"/>
                <w:kern w:val="0"/>
                <w:sz w:val="22"/>
                <w:szCs w:val="22"/>
              </w:rPr>
            </w:pPr>
            <w:r>
              <w:rPr>
                <w:rFonts w:hint="eastAsia" w:cs="Arial"/>
              </w:rPr>
              <w:t>未提供</w:t>
            </w:r>
            <w:r>
              <w:rPr>
                <w:rFonts w:hAnsi="Times New Roman" w:cs="Arial"/>
                <w:kern w:val="0"/>
                <w:sz w:val="22"/>
                <w:szCs w:val="22"/>
              </w:rPr>
              <w:t>样品</w:t>
            </w:r>
            <w:r>
              <w:rPr>
                <w:rFonts w:hint="eastAsia" w:hAnsi="Times New Roman" w:cs="Arial"/>
                <w:kern w:val="0"/>
                <w:sz w:val="22"/>
                <w:szCs w:val="22"/>
              </w:rPr>
              <w:t>的得0分。</w:t>
            </w:r>
          </w:p>
        </w:tc>
        <w:tc>
          <w:tcPr>
            <w:tcW w:w="508" w:type="pct"/>
            <w:noWrap w:val="0"/>
            <w:vAlign w:val="center"/>
          </w:tcPr>
          <w:p>
            <w:pPr>
              <w:autoSpaceDE w:val="0"/>
              <w:autoSpaceDN w:val="0"/>
              <w:adjustRightInd w:val="0"/>
              <w:jc w:val="center"/>
              <w:textAlignment w:val="bottom"/>
              <w:rPr>
                <w:rFonts w:hint="eastAsia" w:ascii="宋体" w:cs="Arial"/>
              </w:rPr>
            </w:pPr>
          </w:p>
          <w:p>
            <w:pPr>
              <w:autoSpaceDE w:val="0"/>
              <w:autoSpaceDN w:val="0"/>
              <w:adjustRightInd w:val="0"/>
              <w:jc w:val="center"/>
              <w:textAlignment w:val="bottom"/>
              <w:rPr>
                <w:rFonts w:ascii="宋体" w:cs="Arial"/>
              </w:rPr>
            </w:pPr>
            <w:r>
              <w:rPr>
                <w:rFonts w:hint="eastAsia" w:ascii="宋体" w:cs="Arial"/>
              </w:rPr>
              <w:t>6</w:t>
            </w:r>
          </w:p>
        </w:tc>
        <w:tc>
          <w:tcPr>
            <w:tcW w:w="575" w:type="pct"/>
            <w:noWrap w:val="0"/>
            <w:vAlign w:val="center"/>
          </w:tcPr>
          <w:p>
            <w:pPr>
              <w:autoSpaceDE w:val="0"/>
              <w:autoSpaceDN w:val="0"/>
              <w:adjustRightInd w:val="0"/>
              <w:jc w:val="center"/>
              <w:textAlignment w:val="bottom"/>
              <w:rPr>
                <w:rFonts w:hint="eastAsia" w:ascii="宋体" w:cs="Arial"/>
                <w:highlight w:val="yellow"/>
              </w:rPr>
            </w:pPr>
            <w:r>
              <w:rPr>
                <w:rFonts w:hint="eastAsia" w:hAnsi="Times New Roman" w:cs="Arial"/>
                <w:kern w:val="0"/>
                <w:sz w:val="22"/>
                <w:szCs w:val="22"/>
              </w:rPr>
              <w:t>主观</w:t>
            </w:r>
            <w:r>
              <w:rPr>
                <w:rFonts w:hint="eastAsia" w:ascii="宋体" w:cs="Arial"/>
              </w:rPr>
              <w:t>评分</w:t>
            </w:r>
          </w:p>
        </w:tc>
      </w:tr>
    </w:tbl>
    <w:p>
      <w:pPr>
        <w:spacing w:line="360" w:lineRule="auto"/>
        <w:ind w:firstLine="480" w:firstLineChars="200"/>
        <w:rPr>
          <w:rFonts w:hint="eastAsia" w:ascii="宋体" w:hAnsi="宋体" w:cs="宋体"/>
          <w:sz w:val="24"/>
        </w:rPr>
      </w:pPr>
      <w:r>
        <w:rPr>
          <w:rFonts w:hint="eastAsia" w:ascii="宋体" w:hAnsi="宋体" w:cs="宋体"/>
          <w:sz w:val="24"/>
        </w:rPr>
        <w:t>2.报价评分（30分）：</w:t>
      </w:r>
    </w:p>
    <w:p>
      <w:pPr>
        <w:spacing w:line="360" w:lineRule="auto"/>
        <w:ind w:firstLine="480" w:firstLineChars="200"/>
        <w:rPr>
          <w:rFonts w:hint="eastAsia" w:ascii="宋体" w:hAnsi="宋体" w:cs="宋体"/>
          <w:sz w:val="24"/>
        </w:rPr>
      </w:pPr>
      <w:r>
        <w:rPr>
          <w:rFonts w:hint="eastAsia" w:ascii="宋体" w:hAnsi="宋体" w:cs="宋体"/>
          <w:sz w:val="24"/>
        </w:rPr>
        <w:t>满足竞争性磋商文件要求且磋商报价最低的磋商价为评审基准价，其余磋商供应商磋商报价与该基准价对比，计算出报价评分值（小数点后按四舍五入保留2位）：</w:t>
      </w:r>
    </w:p>
    <w:p>
      <w:pPr>
        <w:spacing w:line="360" w:lineRule="auto"/>
        <w:ind w:firstLine="480" w:firstLineChars="200"/>
        <w:rPr>
          <w:rFonts w:hint="eastAsia" w:ascii="宋体" w:hAnsi="宋体" w:cs="宋体"/>
          <w:sz w:val="24"/>
        </w:rPr>
      </w:pPr>
      <w:r>
        <w:rPr>
          <w:rFonts w:hint="eastAsia" w:ascii="宋体" w:hAnsi="宋体" w:cs="宋体"/>
          <w:sz w:val="24"/>
        </w:rPr>
        <w:t>（1）有效磋商供应商的磋商报价等于评审基准价时其报价分为满分；</w:t>
      </w:r>
    </w:p>
    <w:p>
      <w:pPr>
        <w:spacing w:line="360" w:lineRule="auto"/>
        <w:ind w:firstLine="480" w:firstLineChars="200"/>
        <w:rPr>
          <w:rFonts w:hint="eastAsia" w:ascii="宋体" w:hAnsi="宋体" w:cs="宋体"/>
          <w:sz w:val="24"/>
        </w:rPr>
      </w:pPr>
      <w:r>
        <w:rPr>
          <w:rFonts w:hint="eastAsia" w:ascii="宋体" w:hAnsi="宋体" w:cs="宋体"/>
          <w:sz w:val="24"/>
        </w:rPr>
        <w:t>（2）其他磋商供应商的价格分按以下公式计算：</w:t>
      </w:r>
    </w:p>
    <w:p>
      <w:pPr>
        <w:spacing w:line="360" w:lineRule="auto"/>
        <w:ind w:firstLine="482" w:firstLineChars="200"/>
        <w:rPr>
          <w:rFonts w:hint="eastAsia" w:ascii="宋体" w:hAnsi="宋体" w:cs="宋体"/>
          <w:b/>
          <w:sz w:val="24"/>
        </w:rPr>
      </w:pPr>
      <w:r>
        <w:rPr>
          <w:rFonts w:hint="eastAsia" w:ascii="宋体" w:hAnsi="宋体" w:cs="宋体"/>
          <w:b/>
          <w:sz w:val="24"/>
        </w:rPr>
        <w:t>磋商报价得分=（评审基准价/磋商供应商最终的磋商报价）× 价格权值 ×100</w:t>
      </w:r>
    </w:p>
    <w:p>
      <w:pPr>
        <w:spacing w:line="360" w:lineRule="auto"/>
        <w:ind w:firstLine="480" w:firstLineChars="200"/>
        <w:rPr>
          <w:rFonts w:hint="eastAsia" w:ascii="宋体" w:hAnsi="宋体" w:cs="宋体"/>
          <w:sz w:val="24"/>
        </w:rPr>
      </w:pPr>
      <w:r>
        <w:rPr>
          <w:rFonts w:hint="eastAsia" w:ascii="宋体" w:hAnsi="宋体" w:cs="宋体"/>
          <w:sz w:val="24"/>
        </w:rPr>
        <w:t>3.有效磋商供应商的综合得分为技术资信分和磋商报价分的总和。</w:t>
      </w:r>
    </w:p>
    <w:p>
      <w:pPr>
        <w:widowControl/>
        <w:spacing w:line="360" w:lineRule="auto"/>
        <w:jc w:val="left"/>
        <w:rPr>
          <w:rFonts w:hint="eastAsia" w:ascii="宋体" w:hAnsi="宋体" w:cs="宋体"/>
          <w:sz w:val="24"/>
        </w:rPr>
      </w:pPr>
    </w:p>
    <w:p>
      <w:pPr>
        <w:spacing w:line="360" w:lineRule="auto"/>
        <w:ind w:firstLine="241" w:firstLineChars="100"/>
        <w:rPr>
          <w:rFonts w:hint="eastAsia" w:ascii="宋体" w:hAnsi="宋体" w:cs="宋体"/>
          <w:b/>
          <w:bCs/>
          <w:sz w:val="24"/>
        </w:rPr>
      </w:pPr>
      <w:r>
        <w:rPr>
          <w:rFonts w:hint="eastAsia" w:ascii="宋体" w:hAnsi="宋体" w:cs="宋体"/>
          <w:b/>
          <w:bCs/>
          <w:sz w:val="24"/>
        </w:rPr>
        <w:t>（十三）确定成交人</w:t>
      </w:r>
    </w:p>
    <w:p>
      <w:pPr>
        <w:adjustRightInd w:val="0"/>
        <w:snapToGrid w:val="0"/>
        <w:spacing w:line="360" w:lineRule="auto"/>
        <w:ind w:firstLine="480" w:firstLineChars="200"/>
        <w:rPr>
          <w:rFonts w:hint="eastAsia" w:ascii="宋体" w:hAnsi="宋体" w:cs="宋体"/>
          <w:b/>
          <w:sz w:val="24"/>
        </w:rPr>
      </w:pPr>
      <w:r>
        <w:rPr>
          <w:rFonts w:hint="eastAsia" w:ascii="宋体" w:hAnsi="宋体" w:cs="宋体"/>
          <w:sz w:val="24"/>
        </w:rPr>
        <w:t>1、本次磋商由磋商小组确定成交候选人（竞争性磋商文件另有规定的除外）。</w:t>
      </w:r>
    </w:p>
    <w:p>
      <w:pPr>
        <w:adjustRightInd w:val="0"/>
        <w:snapToGrid w:val="0"/>
        <w:spacing w:line="360" w:lineRule="auto"/>
        <w:ind w:firstLine="480" w:firstLineChars="200"/>
        <w:rPr>
          <w:rFonts w:hint="eastAsia" w:ascii="宋体" w:hAnsi="宋体" w:cs="宋体"/>
          <w:b/>
          <w:sz w:val="24"/>
        </w:rPr>
      </w:pPr>
      <w:r>
        <w:rPr>
          <w:rFonts w:hint="eastAsia" w:ascii="宋体" w:hAnsi="宋体" w:cs="宋体"/>
          <w:sz w:val="24"/>
        </w:rPr>
        <w:t>2、评审结果按评审后得分由高到低顺序排列。得分相同的，按磋商报价由低到高顺序排列。得分且磋商报价相同的并列，由采购人自行确定成交人。磋商响应文件满足竞争性磋商文件全部实质性要求，且按照评审因素的量化指标评审得分最高的磋商供应商为排名第一的成交候选人，排名第二做为第二成交候选人。</w:t>
      </w:r>
    </w:p>
    <w:p>
      <w:pPr>
        <w:spacing w:line="360" w:lineRule="auto"/>
        <w:ind w:firstLine="241" w:firstLineChars="100"/>
        <w:rPr>
          <w:rFonts w:hint="eastAsia" w:ascii="宋体" w:hAnsi="宋体" w:cs="宋体"/>
          <w:b/>
          <w:bCs/>
          <w:sz w:val="24"/>
        </w:rPr>
      </w:pPr>
      <w:r>
        <w:rPr>
          <w:rFonts w:hint="eastAsia" w:ascii="宋体" w:hAnsi="宋体" w:cs="宋体"/>
          <w:b/>
          <w:bCs/>
          <w:sz w:val="24"/>
        </w:rPr>
        <w:t>（十四）授予合同</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1、成交公告</w:t>
      </w:r>
    </w:p>
    <w:p>
      <w:pPr>
        <w:adjustRightInd w:val="0"/>
        <w:snapToGrid w:val="0"/>
        <w:spacing w:line="360" w:lineRule="auto"/>
        <w:ind w:firstLine="480" w:firstLineChars="200"/>
        <w:rPr>
          <w:rFonts w:hint="eastAsia" w:ascii="宋体" w:hAnsi="宋体" w:cs="宋体"/>
          <w:sz w:val="24"/>
        </w:rPr>
      </w:pPr>
      <w:r>
        <w:rPr>
          <w:rFonts w:hint="eastAsia" w:ascii="宋体" w:hAnsi="宋体" w:cs="宋体"/>
          <w:bCs/>
          <w:sz w:val="24"/>
        </w:rPr>
        <w:t>磋商小组确定的成交候选人将在“浙江省政府采购网”上公告。</w:t>
      </w:r>
    </w:p>
    <w:p>
      <w:pPr>
        <w:adjustRightInd w:val="0"/>
        <w:snapToGrid w:val="0"/>
        <w:spacing w:line="360" w:lineRule="auto"/>
        <w:ind w:firstLine="480" w:firstLineChars="200"/>
        <w:rPr>
          <w:rFonts w:hint="eastAsia" w:ascii="宋体" w:hAnsi="宋体" w:cs="宋体"/>
          <w:sz w:val="24"/>
        </w:rPr>
      </w:pPr>
      <w:r>
        <w:rPr>
          <w:rFonts w:hint="eastAsia" w:ascii="宋体" w:hAnsi="宋体" w:cs="宋体"/>
          <w:bCs/>
          <w:sz w:val="24"/>
        </w:rPr>
        <w:t>2、成交通知</w:t>
      </w:r>
    </w:p>
    <w:p>
      <w:pPr>
        <w:adjustRightInd w:val="0"/>
        <w:snapToGrid w:val="0"/>
        <w:spacing w:line="360" w:lineRule="auto"/>
        <w:ind w:firstLine="480" w:firstLineChars="200"/>
        <w:rPr>
          <w:rFonts w:hint="eastAsia" w:ascii="宋体" w:hAnsi="宋体" w:cs="宋体"/>
          <w:sz w:val="24"/>
        </w:rPr>
      </w:pPr>
      <w:r>
        <w:rPr>
          <w:rFonts w:hint="eastAsia" w:ascii="宋体" w:hAnsi="宋体" w:cs="宋体"/>
          <w:bCs/>
          <w:sz w:val="24"/>
        </w:rPr>
        <w:t>（1）</w:t>
      </w:r>
      <w:r>
        <w:rPr>
          <w:rFonts w:hint="eastAsia" w:ascii="宋体" w:hAnsi="宋体" w:cs="宋体"/>
          <w:sz w:val="24"/>
        </w:rPr>
        <w:t>成交人确定后，采购代理机构在政采云平台向成交人签发《成交通知书》。</w:t>
      </w:r>
    </w:p>
    <w:p>
      <w:pPr>
        <w:adjustRightInd w:val="0"/>
        <w:snapToGrid w:val="0"/>
        <w:spacing w:line="360" w:lineRule="auto"/>
        <w:ind w:firstLine="480" w:firstLineChars="200"/>
        <w:rPr>
          <w:rFonts w:hint="eastAsia" w:ascii="宋体" w:hAnsi="宋体" w:cs="宋体"/>
          <w:sz w:val="24"/>
        </w:rPr>
      </w:pPr>
      <w:r>
        <w:rPr>
          <w:rFonts w:hint="eastAsia" w:ascii="宋体" w:hAnsi="宋体" w:cs="宋体"/>
          <w:bCs/>
          <w:sz w:val="24"/>
        </w:rPr>
        <w:t>（2）</w:t>
      </w:r>
      <w:r>
        <w:rPr>
          <w:rFonts w:hint="eastAsia" w:ascii="宋体" w:hAnsi="宋体" w:cs="宋体"/>
          <w:sz w:val="24"/>
        </w:rPr>
        <w:t>成交通知书是合同的一个组成部分,对采购人和成交人均具有同等法律效力。</w:t>
      </w:r>
    </w:p>
    <w:p>
      <w:pPr>
        <w:spacing w:line="360" w:lineRule="auto"/>
        <w:ind w:firstLine="480" w:firstLineChars="200"/>
        <w:rPr>
          <w:rFonts w:hint="eastAsia" w:ascii="宋体" w:hAnsi="宋体" w:cs="宋体"/>
          <w:bCs/>
          <w:sz w:val="24"/>
        </w:rPr>
      </w:pPr>
      <w:r>
        <w:rPr>
          <w:rFonts w:hint="eastAsia" w:ascii="宋体" w:hAnsi="宋体" w:cs="宋体"/>
          <w:bCs/>
          <w:sz w:val="24"/>
        </w:rPr>
        <w:t>3、签订合同</w:t>
      </w:r>
    </w:p>
    <w:p>
      <w:pPr>
        <w:spacing w:line="360" w:lineRule="auto"/>
        <w:ind w:firstLine="480" w:firstLineChars="200"/>
        <w:rPr>
          <w:rFonts w:hint="eastAsia" w:ascii="宋体" w:hAnsi="宋体" w:cs="宋体"/>
          <w:bCs/>
          <w:sz w:val="24"/>
        </w:rPr>
      </w:pPr>
      <w:r>
        <w:rPr>
          <w:rFonts w:hint="eastAsia" w:ascii="宋体" w:hAnsi="宋体" w:cs="宋体"/>
          <w:sz w:val="24"/>
        </w:rPr>
        <w:t>（1）成交人自接到《成交通知书》后应在三十天内与采购人签订合同。</w:t>
      </w:r>
    </w:p>
    <w:p>
      <w:pPr>
        <w:spacing w:line="360" w:lineRule="auto"/>
        <w:ind w:firstLine="480" w:firstLineChars="200"/>
        <w:rPr>
          <w:rFonts w:hint="eastAsia" w:ascii="宋体" w:hAnsi="宋体" w:cs="宋体"/>
          <w:bCs/>
          <w:sz w:val="24"/>
        </w:rPr>
      </w:pPr>
      <w:r>
        <w:rPr>
          <w:rFonts w:hint="eastAsia" w:ascii="宋体" w:hAnsi="宋体" w:cs="宋体"/>
          <w:sz w:val="24"/>
        </w:rPr>
        <w:t>（2）竞争性磋商文件、成交人的磋商响应文件、评审过程中磋商供应商在澄清时作出的承诺及其澄清文件等，均为签订合同的依据。</w:t>
      </w:r>
    </w:p>
    <w:p>
      <w:pPr>
        <w:spacing w:line="360" w:lineRule="auto"/>
        <w:ind w:firstLine="480" w:firstLineChars="200"/>
        <w:rPr>
          <w:rFonts w:hint="eastAsia" w:ascii="宋体" w:hAnsi="宋体" w:cs="宋体"/>
          <w:bCs/>
          <w:sz w:val="24"/>
        </w:rPr>
      </w:pPr>
      <w:r>
        <w:rPr>
          <w:rFonts w:hint="eastAsia" w:ascii="宋体" w:hAnsi="宋体" w:cs="宋体"/>
          <w:sz w:val="24"/>
        </w:rPr>
        <w:t>（3）成交人不遵守竞争性磋商文件和磋商响应文件的要约及承诺而擅自修改报价，或在接到《成交通知书》后借故拖延、拒签合同而造成超过规定时间的，将取消该磋商供应商的成交资格。在此情况下，采购人和采购代理机构可重新进行磋商，对受影响的磋商供应商不承担任何责任。</w:t>
      </w:r>
    </w:p>
    <w:p>
      <w:pPr>
        <w:spacing w:line="360" w:lineRule="auto"/>
        <w:ind w:firstLine="480" w:firstLineChars="200"/>
        <w:rPr>
          <w:rFonts w:hint="eastAsia" w:ascii="宋体" w:hAnsi="宋体" w:cs="宋体"/>
          <w:bCs/>
          <w:sz w:val="24"/>
        </w:rPr>
      </w:pPr>
      <w:r>
        <w:rPr>
          <w:rFonts w:hint="eastAsia" w:ascii="宋体" w:hAnsi="宋体" w:cs="宋体"/>
          <w:bCs/>
          <w:sz w:val="24"/>
        </w:rPr>
        <w:t>4、履约验收</w:t>
      </w:r>
    </w:p>
    <w:p>
      <w:pPr>
        <w:widowControl/>
        <w:spacing w:line="360" w:lineRule="auto"/>
        <w:jc w:val="left"/>
        <w:rPr>
          <w:rFonts w:hint="eastAsia" w:ascii="宋体" w:hAnsi="宋体" w:cs="宋体"/>
          <w:bCs/>
          <w:sz w:val="24"/>
        </w:rPr>
      </w:pPr>
      <w:r>
        <w:rPr>
          <w:rFonts w:hint="eastAsia" w:ascii="宋体" w:hAnsi="宋体" w:cs="宋体"/>
          <w:b/>
          <w:bCs/>
          <w:sz w:val="24"/>
        </w:rPr>
        <w:t>采购人根据竞争性磋商文件、成交人的磋商响应文件、合同等材料及时组织验收，并严把质量关。</w:t>
      </w:r>
    </w:p>
    <w:p>
      <w:pPr>
        <w:spacing w:line="360" w:lineRule="auto"/>
        <w:ind w:firstLine="241" w:firstLineChars="100"/>
        <w:rPr>
          <w:rFonts w:hint="eastAsia" w:ascii="宋体" w:hAnsi="宋体" w:cs="宋体"/>
          <w:b/>
          <w:bCs/>
          <w:sz w:val="24"/>
        </w:rPr>
      </w:pPr>
      <w:r>
        <w:rPr>
          <w:rFonts w:hint="eastAsia" w:ascii="宋体" w:hAnsi="宋体" w:cs="宋体"/>
          <w:b/>
          <w:bCs/>
          <w:sz w:val="24"/>
        </w:rPr>
        <w:t>（十五）可中止电子交易活动的情形</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采购过程中出现以下情形，导致电子交易平台无法正常运行，或者无法保证电子交易的公平、公正和安全时，采购代理机构可中止电子交易活动：</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（一）电子交易平台发生故障而无法登录访问的； </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（二）电子交易平台应用或数据库出现错误，不能进行正常操作的；</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（三）电子交易平台发现严重安全漏洞，有潜在泄密危险的；</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（四）病毒发作导致不能进行正常操作的； </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（五）其他无法保证电子交易的公平、公正和安全的情况。</w:t>
      </w:r>
    </w:p>
    <w:p>
      <w:pPr>
        <w:spacing w:line="360" w:lineRule="auto"/>
        <w:ind w:firstLine="480" w:firstLineChars="200"/>
        <w:rPr>
          <w:rFonts w:hint="eastAsia" w:ascii="宋体" w:hAnsi="宋体" w:cs="宋体"/>
          <w:sz w:val="24"/>
          <w:shd w:val="clear" w:color="auto" w:fill="FFFFFF"/>
        </w:rPr>
      </w:pPr>
      <w:r>
        <w:rPr>
          <w:rFonts w:hint="eastAsia" w:ascii="宋体" w:hAnsi="宋体" w:cs="宋体"/>
          <w:sz w:val="24"/>
          <w:shd w:val="clear" w:color="auto" w:fill="FFFFFF"/>
        </w:rPr>
        <w:t>出现前款规定情形，不影响采购公平、公正性的，采购代理机构可以待上述情形消除后继续组织电子交易活动，也可以决定某些环节以纸质形式进行；影响或可能影响采购公平、公正性的，应当重新采购。</w:t>
      </w:r>
    </w:p>
    <w:p>
      <w:pPr>
        <w:numPr>
          <w:ilvl w:val="0"/>
          <w:numId w:val="13"/>
        </w:numPr>
        <w:spacing w:line="360" w:lineRule="auto"/>
        <w:jc w:val="center"/>
        <w:outlineLvl w:val="0"/>
        <w:rPr>
          <w:rFonts w:hint="eastAsia" w:ascii="宋体" w:hAnsi="宋体" w:cs="宋体"/>
          <w:b/>
          <w:bCs/>
          <w:sz w:val="36"/>
          <w:szCs w:val="36"/>
        </w:rPr>
      </w:pPr>
      <w:r>
        <w:rPr>
          <w:rFonts w:hint="eastAsia" w:ascii="宋体" w:hAnsi="宋体" w:cs="宋体"/>
          <w:b/>
          <w:bCs/>
          <w:sz w:val="36"/>
          <w:szCs w:val="21"/>
        </w:rPr>
        <w:br w:type="page"/>
      </w:r>
      <w:bookmarkStart w:id="14" w:name="_Toc3328"/>
      <w:r>
        <w:rPr>
          <w:rFonts w:hint="eastAsia" w:ascii="宋体" w:hAnsi="宋体" w:cs="宋体"/>
          <w:b/>
          <w:bCs/>
          <w:sz w:val="36"/>
          <w:szCs w:val="36"/>
        </w:rPr>
        <w:t xml:space="preserve">  采购需求</w:t>
      </w:r>
      <w:bookmarkEnd w:id="14"/>
    </w:p>
    <w:p>
      <w:pPr>
        <w:widowControl/>
        <w:snapToGrid w:val="0"/>
        <w:spacing w:line="460" w:lineRule="exact"/>
        <w:jc w:val="left"/>
        <w:rPr>
          <w:rFonts w:ascii="宋体" w:hAnsi="宋体"/>
          <w:b/>
          <w:color w:val="000000"/>
          <w:sz w:val="22"/>
        </w:rPr>
      </w:pPr>
      <w:r>
        <w:rPr>
          <w:rFonts w:ascii="宋体" w:hAnsi="宋体"/>
          <w:b/>
          <w:color w:val="000000"/>
          <w:sz w:val="22"/>
        </w:rPr>
        <w:t>一、采购总说明</w:t>
      </w:r>
    </w:p>
    <w:p>
      <w:pPr>
        <w:pStyle w:val="27"/>
        <w:adjustRightInd w:val="0"/>
        <w:snapToGrid w:val="0"/>
        <w:spacing w:line="460" w:lineRule="exact"/>
        <w:ind w:firstLine="482"/>
        <w:rPr>
          <w:rFonts w:hint="eastAsia" w:hAnsi="宋体"/>
          <w:color w:val="000000"/>
          <w:sz w:val="22"/>
          <w:szCs w:val="22"/>
        </w:rPr>
      </w:pPr>
      <w:r>
        <w:rPr>
          <w:rFonts w:hint="eastAsia" w:hAnsi="宋体"/>
          <w:color w:val="000000"/>
          <w:sz w:val="22"/>
          <w:szCs w:val="22"/>
        </w:rPr>
        <w:t>1.1本技术规范要求提出的是最低限度的基本技术要求，并未对所有技术细节作出规定，供应商应提供符合本技术要求和国家标准、行业标准的优质产品。</w:t>
      </w:r>
    </w:p>
    <w:p>
      <w:pPr>
        <w:pStyle w:val="27"/>
        <w:adjustRightInd w:val="0"/>
        <w:snapToGrid w:val="0"/>
        <w:spacing w:line="460" w:lineRule="exact"/>
        <w:ind w:firstLine="482"/>
        <w:rPr>
          <w:rFonts w:hint="eastAsia" w:hAnsi="宋体"/>
          <w:color w:val="000000"/>
          <w:sz w:val="22"/>
          <w:szCs w:val="22"/>
        </w:rPr>
      </w:pPr>
      <w:r>
        <w:rPr>
          <w:rFonts w:hint="eastAsia" w:hAnsi="宋体"/>
          <w:color w:val="000000"/>
          <w:sz w:val="22"/>
          <w:szCs w:val="22"/>
        </w:rPr>
        <w:t>1.2供应商产品与本技术要求不一致时，供应商应在磋商响应文件中予以说明，并由评标委员会鉴定供应商产品能否达到要求。如供应商没有在磋商响应文件中提出异议，则视为供应商提供的产品完全按照本采购文件要求。</w:t>
      </w:r>
    </w:p>
    <w:p>
      <w:pPr>
        <w:pStyle w:val="27"/>
        <w:adjustRightInd w:val="0"/>
        <w:snapToGrid w:val="0"/>
        <w:spacing w:line="460" w:lineRule="exact"/>
        <w:ind w:firstLine="482"/>
        <w:rPr>
          <w:rFonts w:hint="eastAsia" w:hAnsi="宋体"/>
          <w:color w:val="000000"/>
          <w:sz w:val="22"/>
          <w:szCs w:val="22"/>
        </w:rPr>
      </w:pPr>
      <w:r>
        <w:rPr>
          <w:rFonts w:hint="eastAsia" w:hAnsi="宋体"/>
          <w:color w:val="000000"/>
          <w:sz w:val="22"/>
          <w:szCs w:val="22"/>
        </w:rPr>
        <w:t>2、技术要求及标准的执行</w:t>
      </w:r>
    </w:p>
    <w:p>
      <w:pPr>
        <w:pStyle w:val="27"/>
        <w:adjustRightInd w:val="0"/>
        <w:snapToGrid w:val="0"/>
        <w:spacing w:line="460" w:lineRule="exact"/>
        <w:ind w:firstLine="482"/>
        <w:rPr>
          <w:rFonts w:hint="eastAsia" w:hAnsi="宋体"/>
          <w:color w:val="000000"/>
          <w:sz w:val="22"/>
          <w:szCs w:val="22"/>
        </w:rPr>
      </w:pPr>
      <w:r>
        <w:rPr>
          <w:rFonts w:hint="eastAsia" w:hAnsi="宋体"/>
          <w:color w:val="000000"/>
          <w:sz w:val="22"/>
          <w:szCs w:val="22"/>
        </w:rPr>
        <w:t>供应商提供的产品应标明所执行的质量标准，若同一标准已颁发新标准，则按最新标准执行。若同一产品同时有几个标准（国际标准、国家标准、行业标准、企业标准等），则按最高层次的标准执行。</w:t>
      </w:r>
    </w:p>
    <w:p>
      <w:pPr>
        <w:autoSpaceDE w:val="0"/>
        <w:autoSpaceDN w:val="0"/>
        <w:snapToGrid w:val="0"/>
        <w:spacing w:line="460" w:lineRule="exact"/>
        <w:ind w:firstLine="440" w:firstLineChars="200"/>
        <w:textAlignment w:val="bottom"/>
        <w:rPr>
          <w:rFonts w:hint="eastAsia" w:hAnsi="宋体"/>
          <w:color w:val="000000"/>
          <w:sz w:val="22"/>
          <w:szCs w:val="22"/>
        </w:rPr>
      </w:pPr>
      <w:r>
        <w:rPr>
          <w:rFonts w:hint="eastAsia" w:hAnsi="宋体"/>
          <w:color w:val="000000"/>
          <w:sz w:val="22"/>
          <w:szCs w:val="22"/>
        </w:rPr>
        <w:t>供应商须按国家有关规定及标准完成本次采购产品的供货、运输、装卸、就位、安装、调试、技术培训、检验、通过有关部门验收、维保期服务、产品终身维修等各项工作，并保证磋商产品使用的安全性能与检测结果的可靠性。如成交，成交供应商及制造商对成交产品使用的安全性能与可靠性负全部责任。成交供应商须随产品提供使用说明书与维保卡。供应商提供相关数据与说明，磋商响应文件须对下列要求作出实质性回应。</w:t>
      </w:r>
    </w:p>
    <w:p>
      <w:pPr>
        <w:autoSpaceDE w:val="0"/>
        <w:autoSpaceDN w:val="0"/>
        <w:snapToGrid w:val="0"/>
        <w:spacing w:line="460" w:lineRule="exact"/>
        <w:textAlignment w:val="bottom"/>
        <w:rPr>
          <w:rFonts w:hint="eastAsia" w:ascii="宋体" w:hAnsi="宋体" w:cs="宋体"/>
          <w:b/>
          <w:bCs/>
          <w:sz w:val="32"/>
          <w:szCs w:val="32"/>
        </w:rPr>
      </w:pPr>
      <w:r>
        <w:rPr>
          <w:rFonts w:hint="eastAsia" w:ascii="宋体" w:hAnsi="宋体" w:cs="宋体"/>
          <w:b/>
          <w:bCs/>
          <w:sz w:val="22"/>
          <w:szCs w:val="22"/>
        </w:rPr>
        <w:t>二、采购内容及规格参数</w:t>
      </w:r>
      <w:r>
        <w:rPr>
          <w:rFonts w:hint="eastAsia" w:ascii="宋体" w:hAnsi="宋体" w:cs="宋体"/>
          <w:b/>
          <w:sz w:val="22"/>
          <w:szCs w:val="22"/>
        </w:rPr>
        <w:t>（</w:t>
      </w:r>
      <w:r>
        <w:rPr>
          <w:rFonts w:hint="eastAsia" w:ascii="宋体" w:hAnsi="宋体" w:cs="宋体"/>
          <w:b/>
          <w:sz w:val="22"/>
          <w:szCs w:val="22"/>
          <w:u w:val="single"/>
        </w:rPr>
        <w:t>以下所有参数是为了对拟磋商的货物的技术指标和功能要求更好的说明，欢迎其他能满足本项目技术需求且性能相当的产品参加。产品性能是否相当由评标委员会按少数服从多数原则认定。</w:t>
      </w:r>
      <w:r>
        <w:rPr>
          <w:rFonts w:hint="eastAsia" w:ascii="宋体" w:hAnsi="宋体" w:cs="宋体"/>
          <w:b/>
          <w:sz w:val="22"/>
          <w:szCs w:val="22"/>
        </w:rPr>
        <w:t>）</w:t>
      </w:r>
    </w:p>
    <w:p>
      <w:pPr>
        <w:pStyle w:val="3"/>
        <w:spacing w:before="0" w:after="0" w:line="360" w:lineRule="auto"/>
        <w:rPr>
          <w:rFonts w:hint="eastAsia" w:ascii="宋体" w:hAnsi="宋体" w:cs="宋体"/>
          <w:sz w:val="28"/>
          <w:szCs w:val="28"/>
          <w:lang w:val="en-US" w:eastAsia="zh-CN"/>
        </w:rPr>
      </w:pPr>
      <w:bookmarkStart w:id="15" w:name="_Toc12762"/>
    </w:p>
    <w:p>
      <w:pPr>
        <w:pStyle w:val="3"/>
        <w:spacing w:before="0" w:after="0" w:line="360" w:lineRule="auto"/>
        <w:rPr>
          <w:rFonts w:hint="eastAsia" w:ascii="宋体" w:hAnsi="宋体" w:cs="宋体"/>
          <w:sz w:val="28"/>
          <w:szCs w:val="28"/>
          <w:lang w:val="en-US" w:eastAsia="zh-CN"/>
        </w:rPr>
      </w:pPr>
    </w:p>
    <w:p>
      <w:pPr>
        <w:pStyle w:val="3"/>
        <w:spacing w:before="0" w:after="0" w:line="360" w:lineRule="auto"/>
        <w:rPr>
          <w:rFonts w:hint="eastAsia" w:ascii="宋体" w:hAnsi="宋体" w:cs="宋体"/>
          <w:sz w:val="28"/>
          <w:szCs w:val="28"/>
          <w:lang w:val="en-US" w:eastAsia="zh-CN"/>
        </w:rPr>
      </w:pPr>
    </w:p>
    <w:p>
      <w:pPr>
        <w:pStyle w:val="3"/>
        <w:spacing w:before="0" w:after="0" w:line="360" w:lineRule="auto"/>
        <w:rPr>
          <w:rFonts w:hint="eastAsia" w:ascii="宋体" w:hAnsi="宋体" w:cs="宋体"/>
          <w:sz w:val="28"/>
          <w:szCs w:val="28"/>
          <w:lang w:val="en-US" w:eastAsia="zh-CN"/>
        </w:rPr>
      </w:pPr>
    </w:p>
    <w:p>
      <w:pPr>
        <w:pStyle w:val="3"/>
        <w:spacing w:before="0" w:after="0" w:line="360" w:lineRule="auto"/>
        <w:rPr>
          <w:rFonts w:hint="eastAsia" w:ascii="宋体" w:hAnsi="宋体" w:cs="宋体"/>
          <w:sz w:val="28"/>
          <w:szCs w:val="28"/>
          <w:lang w:val="en-US" w:eastAsia="zh-CN"/>
        </w:rPr>
      </w:pPr>
    </w:p>
    <w:p>
      <w:pPr>
        <w:pStyle w:val="3"/>
        <w:spacing w:before="0" w:after="0" w:line="360" w:lineRule="auto"/>
        <w:rPr>
          <w:rFonts w:hint="eastAsia" w:ascii="宋体" w:hAnsi="宋体" w:cs="宋体"/>
          <w:sz w:val="28"/>
          <w:szCs w:val="28"/>
          <w:lang w:val="en-US" w:eastAsia="zh-CN"/>
        </w:rPr>
      </w:pPr>
    </w:p>
    <w:p>
      <w:pPr>
        <w:rPr>
          <w:rFonts w:hint="eastAsia" w:ascii="宋体" w:hAnsi="宋体" w:cs="宋体"/>
          <w:sz w:val="28"/>
          <w:szCs w:val="28"/>
        </w:rPr>
      </w:pPr>
    </w:p>
    <w:p>
      <w:pPr>
        <w:pStyle w:val="3"/>
        <w:spacing w:before="0" w:after="0" w:line="360" w:lineRule="auto"/>
        <w:rPr>
          <w:rFonts w:hint="eastAsia" w:ascii="宋体" w:hAnsi="宋体" w:cs="宋体"/>
          <w:sz w:val="28"/>
          <w:szCs w:val="28"/>
          <w:lang w:val="en-US" w:eastAsia="zh-CN"/>
        </w:rPr>
        <w:sectPr>
          <w:headerReference r:id="rId6" w:type="default"/>
          <w:pgSz w:w="11906" w:h="16838"/>
          <w:pgMar w:top="1134" w:right="1134" w:bottom="686" w:left="1134" w:header="851" w:footer="992" w:gutter="0"/>
          <w:pgNumType w:start="1"/>
          <w:cols w:space="720" w:num="1"/>
          <w:docGrid w:linePitch="312" w:charSpace="0"/>
        </w:sectPr>
      </w:pPr>
    </w:p>
    <w:p>
      <w:pPr>
        <w:rPr>
          <w:rFonts w:hint="eastAsia"/>
        </w:rPr>
      </w:pPr>
    </w:p>
    <w:p>
      <w:pPr>
        <w:pStyle w:val="3"/>
        <w:spacing w:before="0" w:after="0" w:line="360" w:lineRule="auto"/>
        <w:rPr>
          <w:rFonts w:hint="eastAsia" w:ascii="宋体" w:hAnsi="宋体" w:cs="宋体"/>
          <w:sz w:val="28"/>
          <w:szCs w:val="28"/>
        </w:rPr>
      </w:pPr>
      <w:r>
        <w:rPr>
          <w:rFonts w:hint="eastAsia" w:ascii="宋体" w:hAnsi="宋体" w:cs="宋体"/>
          <w:sz w:val="28"/>
          <w:szCs w:val="28"/>
          <w:lang w:val="en-US" w:eastAsia="zh-CN"/>
        </w:rPr>
        <w:t>（一）、</w:t>
      </w:r>
      <w:r>
        <w:rPr>
          <w:rFonts w:hint="eastAsia" w:ascii="宋体" w:hAnsi="宋体" w:cs="宋体"/>
          <w:sz w:val="28"/>
          <w:szCs w:val="28"/>
        </w:rPr>
        <w:t>采购内容详细要求</w:t>
      </w:r>
      <w:bookmarkEnd w:id="15"/>
    </w:p>
    <w:tbl>
      <w:tblPr>
        <w:tblStyle w:val="51"/>
        <w:tblW w:w="13604" w:type="dxa"/>
        <w:jc w:val="center"/>
        <w:tblLayout w:type="fixed"/>
        <w:tblCellMar>
          <w:top w:w="0" w:type="dxa"/>
          <w:left w:w="108" w:type="dxa"/>
          <w:bottom w:w="0" w:type="dxa"/>
          <w:right w:w="108" w:type="dxa"/>
        </w:tblCellMar>
      </w:tblPr>
      <w:tblGrid>
        <w:gridCol w:w="321"/>
        <w:gridCol w:w="581"/>
        <w:gridCol w:w="1034"/>
        <w:gridCol w:w="1505"/>
        <w:gridCol w:w="4643"/>
        <w:gridCol w:w="655"/>
        <w:gridCol w:w="628"/>
        <w:gridCol w:w="674"/>
        <w:gridCol w:w="572"/>
        <w:gridCol w:w="2991"/>
      </w:tblGrid>
      <w:tr>
        <w:tblPrEx>
          <w:tblCellMar>
            <w:top w:w="0" w:type="dxa"/>
            <w:left w:w="108" w:type="dxa"/>
            <w:bottom w:w="0" w:type="dxa"/>
            <w:right w:w="108" w:type="dxa"/>
          </w:tblCellMar>
        </w:tblPrEx>
        <w:trPr>
          <w:trHeight w:val="72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581"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hint="eastAsia" w:ascii="宋体" w:hAnsi="宋体" w:cs="宋体"/>
                <w:color w:val="000000"/>
                <w:sz w:val="22"/>
                <w:szCs w:val="22"/>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名称/型号</w:t>
            </w:r>
          </w:p>
        </w:tc>
        <w:tc>
          <w:tcPr>
            <w:tcW w:w="15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规格</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材质</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颜色</w:t>
            </w:r>
            <w:r>
              <w:rPr>
                <w:rFonts w:hint="eastAsia" w:ascii="微软雅黑" w:hAnsi="微软雅黑" w:eastAsia="微软雅黑" w:cs="微软雅黑"/>
                <w:color w:val="000000"/>
                <w:kern w:val="0"/>
                <w:sz w:val="18"/>
                <w:szCs w:val="18"/>
                <w:lang w:bidi="ar"/>
              </w:rPr>
              <w:br w:type="textWrapping"/>
            </w:r>
          </w:p>
        </w:tc>
        <w:tc>
          <w:tcPr>
            <w:tcW w:w="6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单位</w:t>
            </w:r>
            <w:r>
              <w:rPr>
                <w:rFonts w:hint="eastAsia" w:ascii="微软雅黑" w:hAnsi="微软雅黑" w:eastAsia="微软雅黑" w:cs="微软雅黑"/>
                <w:color w:val="000000"/>
                <w:kern w:val="0"/>
                <w:sz w:val="18"/>
                <w:szCs w:val="18"/>
                <w:lang w:bidi="ar"/>
              </w:rPr>
              <w:br w:type="textWrapping"/>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数量</w:t>
            </w:r>
            <w:r>
              <w:rPr>
                <w:rFonts w:hint="eastAsia" w:ascii="微软雅黑" w:hAnsi="微软雅黑" w:eastAsia="微软雅黑" w:cs="微软雅黑"/>
                <w:color w:val="000000"/>
                <w:kern w:val="0"/>
                <w:sz w:val="18"/>
                <w:szCs w:val="18"/>
                <w:lang w:bidi="ar"/>
              </w:rPr>
              <w:br w:type="textWrapping"/>
            </w:r>
          </w:p>
        </w:tc>
        <w:tc>
          <w:tcPr>
            <w:tcW w:w="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备注</w:t>
            </w:r>
            <w:r>
              <w:rPr>
                <w:rFonts w:hint="eastAsia" w:ascii="微软雅黑" w:hAnsi="微软雅黑" w:eastAsia="微软雅黑" w:cs="微软雅黑"/>
                <w:color w:val="000000"/>
                <w:kern w:val="0"/>
                <w:sz w:val="18"/>
                <w:szCs w:val="18"/>
                <w:lang w:bidi="ar"/>
              </w:rPr>
              <w:br w:type="textWrapping"/>
            </w:r>
          </w:p>
        </w:tc>
        <w:tc>
          <w:tcPr>
            <w:tcW w:w="29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图片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2"/>
                <w:szCs w:val="12"/>
                <w:lang w:bidi="ar"/>
              </w:rPr>
              <w:t>Pic</w:t>
            </w:r>
          </w:p>
        </w:tc>
      </w:tr>
      <w:tr>
        <w:tblPrEx>
          <w:tblCellMar>
            <w:top w:w="0" w:type="dxa"/>
            <w:left w:w="108" w:type="dxa"/>
            <w:bottom w:w="0" w:type="dxa"/>
            <w:right w:w="108" w:type="dxa"/>
          </w:tblCellMar>
        </w:tblPrEx>
        <w:trPr>
          <w:trHeight w:val="40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cs="宋体"/>
                <w:color w:val="000000"/>
                <w:sz w:val="22"/>
                <w:szCs w:val="22"/>
              </w:rPr>
            </w:pPr>
          </w:p>
        </w:tc>
        <w:tc>
          <w:tcPr>
            <w:tcW w:w="581"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区域</w:t>
            </w:r>
          </w:p>
        </w:tc>
        <w:tc>
          <w:tcPr>
            <w:tcW w:w="12702" w:type="dxa"/>
            <w:gridSpan w:val="8"/>
            <w:tcBorders>
              <w:top w:val="single" w:color="000000" w:sz="4" w:space="0"/>
              <w:left w:val="single" w:color="000000" w:sz="4" w:space="0"/>
              <w:bottom w:val="single" w:color="000000" w:sz="4" w:space="0"/>
              <w:right w:val="single" w:color="000000" w:sz="4" w:space="0"/>
            </w:tcBorders>
            <w:shd w:val="clear" w:color="auto" w:fill="92D050"/>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二层</w:t>
            </w:r>
          </w:p>
        </w:tc>
      </w:tr>
      <w:tr>
        <w:tblPrEx>
          <w:tblCellMar>
            <w:top w:w="0" w:type="dxa"/>
            <w:left w:w="108" w:type="dxa"/>
            <w:bottom w:w="0" w:type="dxa"/>
            <w:right w:w="108" w:type="dxa"/>
          </w:tblCellMar>
        </w:tblPrEx>
        <w:trPr>
          <w:trHeight w:val="40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cs="宋体"/>
                <w:color w:val="000000"/>
                <w:sz w:val="22"/>
                <w:szCs w:val="22"/>
              </w:rPr>
            </w:pPr>
          </w:p>
        </w:tc>
        <w:tc>
          <w:tcPr>
            <w:tcW w:w="581"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jc w:val="center"/>
              <w:rPr>
                <w:rFonts w:hint="eastAsia" w:ascii="微软雅黑" w:hAnsi="微软雅黑" w:eastAsia="微软雅黑" w:cs="微软雅黑"/>
                <w:color w:val="000000"/>
                <w:sz w:val="18"/>
                <w:szCs w:val="18"/>
              </w:rPr>
            </w:pPr>
          </w:p>
        </w:tc>
        <w:tc>
          <w:tcPr>
            <w:tcW w:w="12702" w:type="dxa"/>
            <w:gridSpan w:val="8"/>
            <w:tcBorders>
              <w:top w:val="single" w:color="000000" w:sz="4" w:space="0"/>
              <w:left w:val="single" w:color="000000" w:sz="4" w:space="0"/>
              <w:bottom w:val="single" w:color="000000" w:sz="4" w:space="0"/>
              <w:right w:val="single" w:color="000000" w:sz="4" w:space="0"/>
            </w:tcBorders>
            <w:shd w:val="clear" w:color="auto" w:fill="92D050"/>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办公区</w:t>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w:t>
            </w:r>
          </w:p>
        </w:tc>
        <w:tc>
          <w:tcPr>
            <w:tcW w:w="581" w:type="dxa"/>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所长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1600*800*760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1、基材：均采用中密度纤维板，E0级标准，质量符合GB/T11718-2009《中密度纤维板》、HJ571-2010《环境标志产品技术要求 人造板要求及其制品》标准，含水率≤9%，甲醛释放量≤0.038mg/m3；总挥发性化合物（TVOC）释放率≤0.08mg/（㎡.h）（72H）；静曲强度≥32MPa；内结合强度≥0.48MPa；表面结合强度≥1.14MPa；吸水厚度膨胀率≤12%。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2、面材：面板可选双面贴A级优质木皮，厚度为0.6mm，木皮纹理颜色一致，无结疤，无瑕疵。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3、五金件: 采用阻尼铰链，质量符合QB/T 2189-2013 ，其中耐久性测试80000次；家具锁，电镀件外露表面经12h的中性盐雾试验（QB/T 3826-1999）后，外观评级≥9级，表面无锈蚀痕迹、鼓泡、开裂、毛刺、露底。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4、油漆：选用环保净味油漆，质量符合GB/T18581-2020《木器涂料中有害物质限量》，其中VOC含量、甲醛含量、苯系物总和含量均未检出,五底三面工艺制作，色泽美观、不变色、光滑耐磨。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功能：带走线功能，预留隐藏式走线槽.</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677545</wp:posOffset>
                  </wp:positionV>
                  <wp:extent cx="1734820" cy="1696720"/>
                  <wp:effectExtent l="0" t="0" r="17780" b="17780"/>
                  <wp:wrapNone/>
                  <wp:docPr id="1" name="图片_16"/>
                  <wp:cNvGraphicFramePr/>
                  <a:graphic xmlns:a="http://schemas.openxmlformats.org/drawingml/2006/main">
                    <a:graphicData uri="http://schemas.openxmlformats.org/drawingml/2006/picture">
                      <pic:pic xmlns:pic="http://schemas.openxmlformats.org/drawingml/2006/picture">
                        <pic:nvPicPr>
                          <pic:cNvPr id="1" name="图片_16"/>
                          <pic:cNvPicPr/>
                        </pic:nvPicPr>
                        <pic:blipFill>
                          <a:blip r:embed="rId15"/>
                          <a:stretch>
                            <a:fillRect/>
                          </a:stretch>
                        </pic:blipFill>
                        <pic:spPr>
                          <a:xfrm>
                            <a:off x="0" y="0"/>
                            <a:ext cx="1734820" cy="1696720"/>
                          </a:xfrm>
                          <a:prstGeom prst="rect">
                            <a:avLst/>
                          </a:prstGeom>
                          <a:noFill/>
                          <a:ln>
                            <a:noFill/>
                          </a:ln>
                        </pic:spPr>
                      </pic:pic>
                    </a:graphicData>
                  </a:graphic>
                </wp:anchor>
              </w:drawing>
            </w:r>
          </w:p>
        </w:tc>
      </w:tr>
    </w:tbl>
    <w:p>
      <w:pPr>
        <w:widowControl/>
        <w:jc w:val="center"/>
        <w:textAlignment w:val="center"/>
        <w:rPr>
          <w:rFonts w:hint="eastAsia" w:ascii="宋体" w:hAnsi="宋体" w:cs="宋体"/>
          <w:color w:val="000000"/>
          <w:kern w:val="0"/>
          <w:sz w:val="22"/>
          <w:szCs w:val="22"/>
          <w:lang w:bidi="ar"/>
        </w:rPr>
        <w:sectPr>
          <w:footerReference r:id="rId7" w:type="default"/>
          <w:pgSz w:w="16838" w:h="11906" w:orient="landscape"/>
          <w:pgMar w:top="1134" w:right="1134" w:bottom="1134" w:left="686" w:header="851" w:footer="992" w:gutter="0"/>
          <w:cols w:space="720" w:num="1"/>
          <w:docGrid w:linePitch="312" w:charSpace="0"/>
        </w:sectPr>
      </w:pPr>
    </w:p>
    <w:tbl>
      <w:tblPr>
        <w:tblStyle w:val="51"/>
        <w:tblW w:w="13604" w:type="dxa"/>
        <w:jc w:val="center"/>
        <w:tblLayout w:type="fixed"/>
        <w:tblCellMar>
          <w:top w:w="0" w:type="dxa"/>
          <w:left w:w="108" w:type="dxa"/>
          <w:bottom w:w="0" w:type="dxa"/>
          <w:right w:w="108" w:type="dxa"/>
        </w:tblCellMar>
      </w:tblPr>
      <w:tblGrid>
        <w:gridCol w:w="321"/>
        <w:gridCol w:w="581"/>
        <w:gridCol w:w="1034"/>
        <w:gridCol w:w="1505"/>
        <w:gridCol w:w="4643"/>
        <w:gridCol w:w="655"/>
        <w:gridCol w:w="628"/>
        <w:gridCol w:w="674"/>
        <w:gridCol w:w="572"/>
        <w:gridCol w:w="2991"/>
      </w:tblGrid>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w:t>
            </w:r>
          </w:p>
        </w:tc>
        <w:tc>
          <w:tcPr>
            <w:tcW w:w="581" w:type="dxa"/>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2、内部：18mm厚单层连体弯板，无虫蚀、腐朽材，木材经四面刨光处理，结合部位无松动。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4、扶手：铁电镀手架连体扶手，配皮扶手面。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5、底座及机动：蝴蝶底盘带原位锁定功能，性能优良；85#电镀汽杆，坚固耐用，升降、倾仰。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6、脚架：纯实木饰面扶手及350铝合金高脚，PU（φ50MM）黑色轮万向轮，质地坚硬。</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0288" behindDoc="0" locked="0" layoutInCell="1" allowOverlap="1">
                  <wp:simplePos x="0" y="0"/>
                  <wp:positionH relativeFrom="column">
                    <wp:posOffset>426085</wp:posOffset>
                  </wp:positionH>
                  <wp:positionV relativeFrom="paragraph">
                    <wp:posOffset>1113790</wp:posOffset>
                  </wp:positionV>
                  <wp:extent cx="807085" cy="1068705"/>
                  <wp:effectExtent l="0" t="0" r="12065" b="17145"/>
                  <wp:wrapNone/>
                  <wp:docPr id="2" name="图片_19"/>
                  <wp:cNvGraphicFramePr/>
                  <a:graphic xmlns:a="http://schemas.openxmlformats.org/drawingml/2006/main">
                    <a:graphicData uri="http://schemas.openxmlformats.org/drawingml/2006/picture">
                      <pic:pic xmlns:pic="http://schemas.openxmlformats.org/drawingml/2006/picture">
                        <pic:nvPicPr>
                          <pic:cNvPr id="2" name="图片_19"/>
                          <pic:cNvPicPr/>
                        </pic:nvPicPr>
                        <pic:blipFill>
                          <a:blip r:embed="rId16"/>
                          <a:stretch>
                            <a:fillRect/>
                          </a:stretch>
                        </pic:blipFill>
                        <pic:spPr>
                          <a:xfrm>
                            <a:off x="0" y="0"/>
                            <a:ext cx="807085" cy="10687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教导员</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W1600*D750*H760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落地柜: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W550*D750*H692</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1、基材：均采用实木颗粒板符合GB18580-2017，甲醛释放量≤0.124mg/m³及台面中纤板符合GB 18584-2001斜边结合混搭设计,E1级标准。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2、面材：采用树脂浸渍纸（MFC）贴面。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4、五金件 : 采用阻尼铰链，质量符合QB/T 2189-2013 ，其中耐久性测试80000次；三节滚珠滑轨，质量符合QB/T 2454-2013，其中耐久性测试80000次；家具锁，电镀件外露表面经12h的中性盐雾试验（QB/T 3826-1999）后，外观评级≥9级，表面无锈蚀痕迹、鼓泡、开裂、毛刺、露底。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5、斜边油漆：选用环保净味油漆，质量符合GB/T18581-2020《木器涂料中有害物质限量》，其中VOC含量、甲醛含量、苯系物总和含量均未检出,五底三面工艺制作，色泽美观、不变色、光滑耐磨。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6、功能特征：台面45°双色斜边及隐藏式中抽设计，带走线功能，预留隐藏式走线槽。</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1312" behindDoc="0" locked="0" layoutInCell="1" allowOverlap="1">
                  <wp:simplePos x="0" y="0"/>
                  <wp:positionH relativeFrom="column">
                    <wp:posOffset>248920</wp:posOffset>
                  </wp:positionH>
                  <wp:positionV relativeFrom="paragraph">
                    <wp:posOffset>858520</wp:posOffset>
                  </wp:positionV>
                  <wp:extent cx="1353820" cy="1074420"/>
                  <wp:effectExtent l="0" t="0" r="17780" b="11430"/>
                  <wp:wrapNone/>
                  <wp:docPr id="3" name="图片_5"/>
                  <wp:cNvGraphicFramePr/>
                  <a:graphic xmlns:a="http://schemas.openxmlformats.org/drawingml/2006/main">
                    <a:graphicData uri="http://schemas.openxmlformats.org/drawingml/2006/picture">
                      <pic:pic xmlns:pic="http://schemas.openxmlformats.org/drawingml/2006/picture">
                        <pic:nvPicPr>
                          <pic:cNvPr id="3" name="图片_5"/>
                          <pic:cNvPicPr/>
                        </pic:nvPicPr>
                        <pic:blipFill>
                          <a:blip r:embed="rId17"/>
                          <a:stretch>
                            <a:fillRect/>
                          </a:stretch>
                        </pic:blipFill>
                        <pic:spPr>
                          <a:xfrm>
                            <a:off x="0" y="0"/>
                            <a:ext cx="1353820" cy="10744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2、内部：18mm厚单层连体弯板，无虫蚀、腐朽材，木材经四面刨光处理，结合部位无松动。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4、扶手：铁电镀手架连体扶手，配皮扶手面。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5、底座及机动：蝴蝶底盘带原位锁定功能，性能优良；85#电镀汽杆，坚固耐用，升降、倾仰。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6、脚架：纯实木饰面扶手及350铝合金高脚，PU（φ50MM）黑色轮万向轮，质地坚硬。</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2336" behindDoc="0" locked="0" layoutInCell="1" allowOverlap="1">
                  <wp:simplePos x="0" y="0"/>
                  <wp:positionH relativeFrom="column">
                    <wp:posOffset>309880</wp:posOffset>
                  </wp:positionH>
                  <wp:positionV relativeFrom="paragraph">
                    <wp:posOffset>1185545</wp:posOffset>
                  </wp:positionV>
                  <wp:extent cx="1123315" cy="1363980"/>
                  <wp:effectExtent l="0" t="0" r="635" b="7620"/>
                  <wp:wrapNone/>
                  <wp:docPr id="4" name="图片_19_SpCnt_1"/>
                  <wp:cNvGraphicFramePr/>
                  <a:graphic xmlns:a="http://schemas.openxmlformats.org/drawingml/2006/main">
                    <a:graphicData uri="http://schemas.openxmlformats.org/drawingml/2006/picture">
                      <pic:pic xmlns:pic="http://schemas.openxmlformats.org/drawingml/2006/picture">
                        <pic:nvPicPr>
                          <pic:cNvPr id="4" name="图片_19_SpCnt_1"/>
                          <pic:cNvPicPr/>
                        </pic:nvPicPr>
                        <pic:blipFill>
                          <a:blip r:embed="rId16"/>
                          <a:stretch>
                            <a:fillRect/>
                          </a:stretch>
                        </pic:blipFill>
                        <pic:spPr>
                          <a:xfrm>
                            <a:off x="0" y="0"/>
                            <a:ext cx="1123315" cy="13639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w:t>
            </w:r>
          </w:p>
        </w:tc>
        <w:tc>
          <w:tcPr>
            <w:tcW w:w="581" w:type="dxa"/>
            <w:vMerge w:val="restart"/>
            <w:tcBorders>
              <w:top w:val="single" w:color="000000" w:sz="4" w:space="0"/>
              <w:left w:val="single" w:color="auto" w:sz="4" w:space="0"/>
              <w:bottom w:val="nil"/>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副所长</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W1600*D750*H760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落地柜: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W550*D750*H692</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1、基材：均采用实木颗粒板符合GB18580-2017，甲醛释放量≤0.124mg/m³及台面中纤板符合GB 18584-2001斜边结合混搭设计,E1级标准。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2、面材：采用树脂浸渍纸（MFC）贴面。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4、五金件 : 采用阻尼铰链，质量符合QB/T 2189-2013 ，其中耐久性测试80000次；三节滚珠滑轨，质量符合QB/T 2454-2013，其中耐久性测试80000次；家具锁，电镀件外露表面经12h的中性盐雾试验（QB/T 3826-1999）后，外观评级≥9级，表面无锈蚀痕迹、鼓泡、开裂、毛刺、露底。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5、斜边油漆：选用环保净味油漆，质量符合GB/T18581-2020《木器涂料中有害物质限量》，其中VOC含量、甲醛含量、苯系物总和含量均未检出,五底三面工艺制作，色泽美观、不变色、光滑耐磨。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6、功能特征：台面45°双色斜边及隐藏式中抽设计，带走线功能，预留隐藏式走线槽。</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3360" behindDoc="0" locked="0" layoutInCell="1" allowOverlap="1">
                  <wp:simplePos x="0" y="0"/>
                  <wp:positionH relativeFrom="column">
                    <wp:posOffset>135890</wp:posOffset>
                  </wp:positionH>
                  <wp:positionV relativeFrom="paragraph">
                    <wp:posOffset>487045</wp:posOffset>
                  </wp:positionV>
                  <wp:extent cx="1423670" cy="1558290"/>
                  <wp:effectExtent l="0" t="0" r="5080" b="3810"/>
                  <wp:wrapNone/>
                  <wp:docPr id="5" name="图片_5_SpCnt_1"/>
                  <wp:cNvGraphicFramePr/>
                  <a:graphic xmlns:a="http://schemas.openxmlformats.org/drawingml/2006/main">
                    <a:graphicData uri="http://schemas.openxmlformats.org/drawingml/2006/picture">
                      <pic:pic xmlns:pic="http://schemas.openxmlformats.org/drawingml/2006/picture">
                        <pic:nvPicPr>
                          <pic:cNvPr id="5" name="图片_5_SpCnt_1"/>
                          <pic:cNvPicPr/>
                        </pic:nvPicPr>
                        <pic:blipFill>
                          <a:blip r:embed="rId17"/>
                          <a:stretch>
                            <a:fillRect/>
                          </a:stretch>
                        </pic:blipFill>
                        <pic:spPr>
                          <a:xfrm>
                            <a:off x="0" y="0"/>
                            <a:ext cx="1423670" cy="15582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w:t>
            </w:r>
          </w:p>
        </w:tc>
        <w:tc>
          <w:tcPr>
            <w:tcW w:w="581" w:type="dxa"/>
            <w:vMerge w:val="continue"/>
            <w:tcBorders>
              <w:top w:val="single" w:color="000000" w:sz="4" w:space="0"/>
              <w:left w:val="single" w:color="auto" w:sz="4" w:space="0"/>
              <w:bottom w:val="nil"/>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2、内部：实木弯板，无虫蚀、腐朽材，木材经四面刨光处理，结合部位无松动。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4、底座及机动：蝴蝶式底盘，性能优良；协强三级气杆，升降、倾仰，磨砂扶手支架，扶手接触面软包。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5、脚架：半径350mm方形大尺寸电镀五星脚，直径60mm大尺寸PU万向轮，质地坚硬。</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4384" behindDoc="0" locked="0" layoutInCell="1" allowOverlap="1">
                  <wp:simplePos x="0" y="0"/>
                  <wp:positionH relativeFrom="column">
                    <wp:posOffset>231775</wp:posOffset>
                  </wp:positionH>
                  <wp:positionV relativeFrom="paragraph">
                    <wp:posOffset>305435</wp:posOffset>
                  </wp:positionV>
                  <wp:extent cx="1102995" cy="1541780"/>
                  <wp:effectExtent l="0" t="0" r="1905" b="1270"/>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8"/>
                          <a:stretch>
                            <a:fillRect/>
                          </a:stretch>
                        </pic:blipFill>
                        <pic:spPr>
                          <a:xfrm>
                            <a:off x="0" y="0"/>
                            <a:ext cx="1102995" cy="15417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社区民警办公区</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highlight w:val="red"/>
                <w:lang w:bidi="ar"/>
              </w:rPr>
              <w:t>办公桌</w:t>
            </w:r>
            <w:r>
              <w:rPr>
                <w:rFonts w:hint="eastAsia" w:ascii="微软雅黑" w:hAnsi="微软雅黑" w:eastAsia="微软雅黑" w:cs="微软雅黑"/>
                <w:color w:val="000000"/>
                <w:kern w:val="0"/>
                <w:sz w:val="18"/>
                <w:szCs w:val="18"/>
                <w:highlight w:val="red"/>
                <w:lang w:bidi="ar"/>
              </w:rPr>
              <w:br w:type="textWrapping"/>
            </w:r>
            <w:r>
              <w:rPr>
                <w:rFonts w:hint="eastAsia" w:ascii="微软雅黑" w:hAnsi="微软雅黑" w:eastAsia="微软雅黑" w:cs="微软雅黑"/>
                <w:color w:val="000000"/>
                <w:kern w:val="0"/>
                <w:sz w:val="18"/>
                <w:szCs w:val="18"/>
                <w:highlight w:val="red"/>
                <w:lang w:bidi="ar"/>
              </w:rPr>
              <w:t>（提供样品）</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W1500*D1380*H750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落地柜: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W400*D1380*H625</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抽屉三改四·</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5408" behindDoc="0" locked="0" layoutInCell="1" allowOverlap="1">
                  <wp:simplePos x="0" y="0"/>
                  <wp:positionH relativeFrom="column">
                    <wp:posOffset>150495</wp:posOffset>
                  </wp:positionH>
                  <wp:positionV relativeFrom="paragraph">
                    <wp:posOffset>1214120</wp:posOffset>
                  </wp:positionV>
                  <wp:extent cx="1459230" cy="1329055"/>
                  <wp:effectExtent l="0" t="0" r="7620" b="4445"/>
                  <wp:wrapNone/>
                  <wp:docPr id="7" name="图片_23"/>
                  <wp:cNvGraphicFramePr/>
                  <a:graphic xmlns:a="http://schemas.openxmlformats.org/drawingml/2006/main">
                    <a:graphicData uri="http://schemas.openxmlformats.org/drawingml/2006/picture">
                      <pic:pic xmlns:pic="http://schemas.openxmlformats.org/drawingml/2006/picture">
                        <pic:nvPicPr>
                          <pic:cNvPr id="7" name="图片_23"/>
                          <pic:cNvPicPr/>
                        </pic:nvPicPr>
                        <pic:blipFill>
                          <a:blip r:embed="rId19"/>
                          <a:stretch>
                            <a:fillRect/>
                          </a:stretch>
                        </pic:blipFill>
                        <pic:spPr>
                          <a:xfrm>
                            <a:off x="0" y="0"/>
                            <a:ext cx="1459230" cy="13290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6432" behindDoc="0" locked="0" layoutInCell="1" allowOverlap="1">
                  <wp:simplePos x="0" y="0"/>
                  <wp:positionH relativeFrom="column">
                    <wp:posOffset>374015</wp:posOffset>
                  </wp:positionH>
                  <wp:positionV relativeFrom="paragraph">
                    <wp:posOffset>84455</wp:posOffset>
                  </wp:positionV>
                  <wp:extent cx="861060" cy="1034415"/>
                  <wp:effectExtent l="0" t="0" r="15240" b="13335"/>
                  <wp:wrapNone/>
                  <wp:docPr id="8" name="图片_14"/>
                  <wp:cNvGraphicFramePr/>
                  <a:graphic xmlns:a="http://schemas.openxmlformats.org/drawingml/2006/main">
                    <a:graphicData uri="http://schemas.openxmlformats.org/drawingml/2006/picture">
                      <pic:pic xmlns:pic="http://schemas.openxmlformats.org/drawingml/2006/picture">
                        <pic:nvPicPr>
                          <pic:cNvPr id="8" name="图片_14"/>
                          <pic:cNvPicPr/>
                        </pic:nvPicPr>
                        <pic:blipFill>
                          <a:blip r:embed="rId20"/>
                          <a:stretch>
                            <a:fillRect/>
                          </a:stretch>
                        </pic:blipFill>
                        <pic:spPr>
                          <a:xfrm>
                            <a:off x="0" y="0"/>
                            <a:ext cx="861060" cy="10344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调解室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调解桌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2400*1200*760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7456" behindDoc="0" locked="0" layoutInCell="1" allowOverlap="1">
                  <wp:simplePos x="0" y="0"/>
                  <wp:positionH relativeFrom="column">
                    <wp:posOffset>173355</wp:posOffset>
                  </wp:positionH>
                  <wp:positionV relativeFrom="paragraph">
                    <wp:posOffset>984250</wp:posOffset>
                  </wp:positionV>
                  <wp:extent cx="1324610" cy="962025"/>
                  <wp:effectExtent l="0" t="0" r="8890" b="9525"/>
                  <wp:wrapNone/>
                  <wp:docPr id="9" name="图片_29"/>
                  <wp:cNvGraphicFramePr/>
                  <a:graphic xmlns:a="http://schemas.openxmlformats.org/drawingml/2006/main">
                    <a:graphicData uri="http://schemas.openxmlformats.org/drawingml/2006/picture">
                      <pic:pic xmlns:pic="http://schemas.openxmlformats.org/drawingml/2006/picture">
                        <pic:nvPicPr>
                          <pic:cNvPr id="9" name="图片_29"/>
                          <pic:cNvPicPr/>
                        </pic:nvPicPr>
                        <pic:blipFill>
                          <a:blip r:embed="rId21"/>
                          <a:stretch>
                            <a:fillRect/>
                          </a:stretch>
                        </pic:blipFill>
                        <pic:spPr>
                          <a:xfrm>
                            <a:off x="0" y="0"/>
                            <a:ext cx="1324610" cy="962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8480" behindDoc="0" locked="0" layoutInCell="1" allowOverlap="1">
                  <wp:simplePos x="0" y="0"/>
                  <wp:positionH relativeFrom="column">
                    <wp:posOffset>490855</wp:posOffset>
                  </wp:positionH>
                  <wp:positionV relativeFrom="paragraph">
                    <wp:posOffset>207645</wp:posOffset>
                  </wp:positionV>
                  <wp:extent cx="708660" cy="958215"/>
                  <wp:effectExtent l="0" t="0" r="15240" b="13335"/>
                  <wp:wrapNone/>
                  <wp:docPr id="10" name="图片_14_SpCnt_1"/>
                  <wp:cNvGraphicFramePr/>
                  <a:graphic xmlns:a="http://schemas.openxmlformats.org/drawingml/2006/main">
                    <a:graphicData uri="http://schemas.openxmlformats.org/drawingml/2006/picture">
                      <pic:pic xmlns:pic="http://schemas.openxmlformats.org/drawingml/2006/picture">
                        <pic:nvPicPr>
                          <pic:cNvPr id="10" name="图片_14_SpCnt_1"/>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内勤办公室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W1400*D700*H760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落地柜: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W450*D700*H692</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1、基材：均采用实木颗粒板符合GB18580-2017，甲醛释放量≤0.124mg/m³及台面中纤板符合GB 18584-2001斜边结合混搭设计,E1级标准。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2、面材：采用树脂浸渍纸（MFC）贴面。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69504" behindDoc="0" locked="0" layoutInCell="1" allowOverlap="1">
                  <wp:simplePos x="0" y="0"/>
                  <wp:positionH relativeFrom="column">
                    <wp:posOffset>4798060</wp:posOffset>
                  </wp:positionH>
                  <wp:positionV relativeFrom="paragraph">
                    <wp:posOffset>498475</wp:posOffset>
                  </wp:positionV>
                  <wp:extent cx="1325245" cy="1213485"/>
                  <wp:effectExtent l="0" t="0" r="8255" b="5715"/>
                  <wp:wrapNone/>
                  <wp:docPr id="11" name="图片_4"/>
                  <wp:cNvGraphicFramePr/>
                  <a:graphic xmlns:a="http://schemas.openxmlformats.org/drawingml/2006/main">
                    <a:graphicData uri="http://schemas.openxmlformats.org/drawingml/2006/picture">
                      <pic:pic xmlns:pic="http://schemas.openxmlformats.org/drawingml/2006/picture">
                        <pic:nvPicPr>
                          <pic:cNvPr id="11" name="图片_4"/>
                          <pic:cNvPicPr/>
                        </pic:nvPicPr>
                        <pic:blipFill>
                          <a:blip r:embed="rId22"/>
                          <a:stretch>
                            <a:fillRect/>
                          </a:stretch>
                        </pic:blipFill>
                        <pic:spPr>
                          <a:xfrm>
                            <a:off x="0" y="0"/>
                            <a:ext cx="1325245" cy="1213485"/>
                          </a:xfrm>
                          <a:prstGeom prst="rect">
                            <a:avLst/>
                          </a:prstGeom>
                          <a:noFill/>
                          <a:ln>
                            <a:noFill/>
                          </a:ln>
                        </pic:spPr>
                      </pic:pic>
                    </a:graphicData>
                  </a:graphic>
                </wp:anchor>
              </w:drawing>
            </w:r>
            <w:r>
              <w:rPr>
                <w:rFonts w:hint="eastAsia" w:ascii="微软雅黑" w:hAnsi="微软雅黑" w:eastAsia="微软雅黑" w:cs="微软雅黑"/>
                <w:color w:val="000000"/>
                <w:kern w:val="0"/>
                <w:sz w:val="18"/>
                <w:szCs w:val="18"/>
                <w:lang w:bidi="ar"/>
              </w:rPr>
              <w:t>4、五金件 : 采用阻尼铰链，质量符合QB/T 2189-2013 ，其中耐久性测试80000次；三节滚珠滑轨，质量符合QB/T 2454-2013，其中耐久性测试80000次；家具锁，电镀件外露表面经12h的中性盐雾试验（QB/T 3826-1999）后，外观评级≥9级，表面无锈蚀痕迹、鼓泡、开裂、毛刺、露底。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5、斜边油漆：选用环保净味油漆，质量符合GB/T18581-2020《木器涂料中有害物质限量》，其中VOC含量、甲醛含量、苯系物总和含量均未检出,五底三面工艺制作，色泽美观、不变色、光滑耐磨。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6、功能特征：台面45°双色斜边及隐藏式中抽设计，带走线功能，预留隐藏式走线槽。</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位</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70528" behindDoc="0" locked="0" layoutInCell="1" allowOverlap="1">
                  <wp:simplePos x="0" y="0"/>
                  <wp:positionH relativeFrom="column">
                    <wp:posOffset>473075</wp:posOffset>
                  </wp:positionH>
                  <wp:positionV relativeFrom="paragraph">
                    <wp:posOffset>160655</wp:posOffset>
                  </wp:positionV>
                  <wp:extent cx="708660" cy="958215"/>
                  <wp:effectExtent l="0" t="0" r="15240" b="13335"/>
                  <wp:wrapNone/>
                  <wp:docPr id="12" name="图片_14_SpCnt_2"/>
                  <wp:cNvGraphicFramePr/>
                  <a:graphic xmlns:a="http://schemas.openxmlformats.org/drawingml/2006/main">
                    <a:graphicData uri="http://schemas.openxmlformats.org/drawingml/2006/picture">
                      <pic:pic xmlns:pic="http://schemas.openxmlformats.org/drawingml/2006/picture">
                        <pic:nvPicPr>
                          <pic:cNvPr id="12" name="图片_14_SpCnt_2"/>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13</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定制资料柜</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900*450*2000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1、基材：均采用实木颗粒板符合GB18580-2017，甲醛释放量≤0.124mg/m³及台面中纤板符合GB 18584-2001斜边结合混搭设计,E1级标准。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2、面材：采用树脂浸渍纸（MFC）贴面。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4、五金件 : 采用阻尼铰链，质量符合QB/T 2189-2013 ，其中耐久性测试80000次；三节滚珠滑轨，质量符合QB/T 2454-2013，其中耐久性测试80000次；家具锁，电镀件外露表面经12h的中性盐雾试验（QB/T 3826-1999）后，外观评级≥9级，表面无锈蚀痕迹、鼓泡、开裂、毛刺、露底。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5、斜边油漆：选用环保净味油漆，质量符合GB/T18581-2020《木器涂料中有害物质限量》，其中VOC含量、甲醛含量、苯系物总和含量均未检出,五底三面工艺制作，色泽美观、不变色、光滑耐磨。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6、功能特征：台面45°双色斜边及隐藏式中抽设计，带走线功能，预留隐藏式走线槽。</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nil"/>
              <w:bottom w:val="single" w:color="000000" w:sz="4" w:space="0"/>
              <w:right w:val="nil"/>
            </w:tcBorders>
            <w:noWrap w:val="0"/>
            <w:vAlign w:val="center"/>
          </w:tcPr>
          <w:p>
            <w:pPr>
              <w:widowControl/>
              <w:jc w:val="left"/>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drawing>
                <wp:anchor distT="0" distB="0" distL="114300" distR="114300" simplePos="0" relativeHeight="251671552" behindDoc="0" locked="0" layoutInCell="1" allowOverlap="1">
                  <wp:simplePos x="0" y="0"/>
                  <wp:positionH relativeFrom="column">
                    <wp:posOffset>377825</wp:posOffset>
                  </wp:positionH>
                  <wp:positionV relativeFrom="paragraph">
                    <wp:posOffset>524510</wp:posOffset>
                  </wp:positionV>
                  <wp:extent cx="1151255" cy="1558290"/>
                  <wp:effectExtent l="0" t="0" r="10795" b="3810"/>
                  <wp:wrapNone/>
                  <wp:docPr id="13" name="图片_45"/>
                  <wp:cNvGraphicFramePr/>
                  <a:graphic xmlns:a="http://schemas.openxmlformats.org/drawingml/2006/main">
                    <a:graphicData uri="http://schemas.openxmlformats.org/drawingml/2006/picture">
                      <pic:pic xmlns:pic="http://schemas.openxmlformats.org/drawingml/2006/picture">
                        <pic:nvPicPr>
                          <pic:cNvPr id="13" name="图片_45"/>
                          <pic:cNvPicPr/>
                        </pic:nvPicPr>
                        <pic:blipFill>
                          <a:blip r:embed="rId23"/>
                          <a:stretch>
                            <a:fillRect/>
                          </a:stretch>
                        </pic:blipFill>
                        <pic:spPr>
                          <a:xfrm>
                            <a:off x="0" y="0"/>
                            <a:ext cx="1151255" cy="15582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14</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会商室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会商桌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3200*1200*760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72576" behindDoc="0" locked="0" layoutInCell="1" allowOverlap="1">
                  <wp:simplePos x="0" y="0"/>
                  <wp:positionH relativeFrom="column">
                    <wp:posOffset>126365</wp:posOffset>
                  </wp:positionH>
                  <wp:positionV relativeFrom="paragraph">
                    <wp:posOffset>1770380</wp:posOffset>
                  </wp:positionV>
                  <wp:extent cx="1389380" cy="879475"/>
                  <wp:effectExtent l="0" t="0" r="1270" b="15875"/>
                  <wp:wrapNone/>
                  <wp:docPr id="14" name="图片_29_SpCnt_1"/>
                  <wp:cNvGraphicFramePr/>
                  <a:graphic xmlns:a="http://schemas.openxmlformats.org/drawingml/2006/main">
                    <a:graphicData uri="http://schemas.openxmlformats.org/drawingml/2006/picture">
                      <pic:pic xmlns:pic="http://schemas.openxmlformats.org/drawingml/2006/picture">
                        <pic:nvPicPr>
                          <pic:cNvPr id="14" name="图片_29_SpCnt_1"/>
                          <pic:cNvPicPr/>
                        </pic:nvPicPr>
                        <pic:blipFill>
                          <a:blip r:embed="rId21"/>
                          <a:stretch>
                            <a:fillRect/>
                          </a:stretch>
                        </pic:blipFill>
                        <pic:spPr>
                          <a:xfrm>
                            <a:off x="0" y="0"/>
                            <a:ext cx="1389380" cy="8794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73600" behindDoc="0" locked="0" layoutInCell="1" allowOverlap="1">
                  <wp:simplePos x="0" y="0"/>
                  <wp:positionH relativeFrom="column">
                    <wp:posOffset>391160</wp:posOffset>
                  </wp:positionH>
                  <wp:positionV relativeFrom="paragraph">
                    <wp:posOffset>166370</wp:posOffset>
                  </wp:positionV>
                  <wp:extent cx="843280" cy="1005205"/>
                  <wp:effectExtent l="0" t="0" r="13970" b="4445"/>
                  <wp:wrapNone/>
                  <wp:docPr id="15" name="图片_14_SpCnt_3"/>
                  <wp:cNvGraphicFramePr/>
                  <a:graphic xmlns:a="http://schemas.openxmlformats.org/drawingml/2006/main">
                    <a:graphicData uri="http://schemas.openxmlformats.org/drawingml/2006/picture">
                      <pic:pic xmlns:pic="http://schemas.openxmlformats.org/drawingml/2006/picture">
                        <pic:nvPicPr>
                          <pic:cNvPr id="15" name="图片_14_SpCnt_3"/>
                          <pic:cNvPicPr/>
                        </pic:nvPicPr>
                        <pic:blipFill>
                          <a:blip r:embed="rId20"/>
                          <a:stretch>
                            <a:fillRect/>
                          </a:stretch>
                        </pic:blipFill>
                        <pic:spPr>
                          <a:xfrm>
                            <a:off x="0" y="0"/>
                            <a:ext cx="843280" cy="10052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16</w:t>
            </w:r>
          </w:p>
        </w:tc>
        <w:tc>
          <w:tcPr>
            <w:tcW w:w="581" w:type="dxa"/>
            <w:vMerge w:val="restart"/>
            <w:tcBorders>
              <w:top w:val="single" w:color="000000" w:sz="4" w:space="0"/>
              <w:left w:val="single" w:color="auto" w:sz="4" w:space="0"/>
              <w:bottom w:val="nil"/>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打击民警办公区</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W1500*D1380*H750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落地柜: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W400*D1380*H625</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抽屉三改四·</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74624" behindDoc="0" locked="0" layoutInCell="1" allowOverlap="1">
                  <wp:simplePos x="0" y="0"/>
                  <wp:positionH relativeFrom="column">
                    <wp:posOffset>302895</wp:posOffset>
                  </wp:positionH>
                  <wp:positionV relativeFrom="paragraph">
                    <wp:posOffset>1287145</wp:posOffset>
                  </wp:positionV>
                  <wp:extent cx="1300480" cy="1306195"/>
                  <wp:effectExtent l="0" t="0" r="13970" b="8255"/>
                  <wp:wrapNone/>
                  <wp:docPr id="16" name="图片_23_SpCnt_1"/>
                  <wp:cNvGraphicFramePr/>
                  <a:graphic xmlns:a="http://schemas.openxmlformats.org/drawingml/2006/main">
                    <a:graphicData uri="http://schemas.openxmlformats.org/drawingml/2006/picture">
                      <pic:pic xmlns:pic="http://schemas.openxmlformats.org/drawingml/2006/picture">
                        <pic:nvPicPr>
                          <pic:cNvPr id="16" name="图片_23_SpCnt_1"/>
                          <pic:cNvPicPr/>
                        </pic:nvPicPr>
                        <pic:blipFill>
                          <a:blip r:embed="rId19"/>
                          <a:stretch>
                            <a:fillRect/>
                          </a:stretch>
                        </pic:blipFill>
                        <pic:spPr>
                          <a:xfrm>
                            <a:off x="0" y="0"/>
                            <a:ext cx="1300480" cy="13061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17</w:t>
            </w:r>
          </w:p>
        </w:tc>
        <w:tc>
          <w:tcPr>
            <w:tcW w:w="581" w:type="dxa"/>
            <w:vMerge w:val="continue"/>
            <w:tcBorders>
              <w:top w:val="single" w:color="000000" w:sz="4" w:space="0"/>
              <w:left w:val="single" w:color="auto" w:sz="4" w:space="0"/>
              <w:bottom w:val="nil"/>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75648" behindDoc="0" locked="0" layoutInCell="1" allowOverlap="1">
                  <wp:simplePos x="0" y="0"/>
                  <wp:positionH relativeFrom="column">
                    <wp:posOffset>437515</wp:posOffset>
                  </wp:positionH>
                  <wp:positionV relativeFrom="paragraph">
                    <wp:posOffset>131445</wp:posOffset>
                  </wp:positionV>
                  <wp:extent cx="708660" cy="958215"/>
                  <wp:effectExtent l="0" t="0" r="15240" b="13335"/>
                  <wp:wrapNone/>
                  <wp:docPr id="17" name="图片_14_SpCnt_4"/>
                  <wp:cNvGraphicFramePr/>
                  <a:graphic xmlns:a="http://schemas.openxmlformats.org/drawingml/2006/main">
                    <a:graphicData uri="http://schemas.openxmlformats.org/drawingml/2006/picture">
                      <pic:pic xmlns:pic="http://schemas.openxmlformats.org/drawingml/2006/picture">
                        <pic:nvPicPr>
                          <pic:cNvPr id="17" name="图片_14_SpCnt_4"/>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18</w:t>
            </w:r>
          </w:p>
        </w:tc>
        <w:tc>
          <w:tcPr>
            <w:tcW w:w="581" w:type="dxa"/>
            <w:vMerge w:val="continue"/>
            <w:tcBorders>
              <w:top w:val="single" w:color="000000" w:sz="4" w:space="0"/>
              <w:left w:val="single" w:color="auto" w:sz="4" w:space="0"/>
              <w:bottom w:val="nil"/>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沙发</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两人位</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3、打底：高弹力弹簧及专用弹性绷带作托承。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4、内部：硬杂木实木框架，无虫蚀、腐朽材，木材经四面刨光处理，结合部位无松动。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5、主体榫结构，内部衬垫物干燥卫生，无腐烂变质、无夹杂泥沙及金属杂物，高强度S形弹簧和高弹力绷带。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6、脚架：实木材质，表面环保净味油漆喷涂。</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76672" behindDoc="0" locked="0" layoutInCell="1" allowOverlap="1">
                  <wp:simplePos x="0" y="0"/>
                  <wp:positionH relativeFrom="column">
                    <wp:posOffset>212725</wp:posOffset>
                  </wp:positionH>
                  <wp:positionV relativeFrom="paragraph">
                    <wp:posOffset>514985</wp:posOffset>
                  </wp:positionV>
                  <wp:extent cx="1304925" cy="677545"/>
                  <wp:effectExtent l="0" t="0" r="9525" b="8255"/>
                  <wp:wrapNone/>
                  <wp:docPr id="18" name="图片_16_SpCnt_1"/>
                  <wp:cNvGraphicFramePr/>
                  <a:graphic xmlns:a="http://schemas.openxmlformats.org/drawingml/2006/main">
                    <a:graphicData uri="http://schemas.openxmlformats.org/drawingml/2006/picture">
                      <pic:pic xmlns:pic="http://schemas.openxmlformats.org/drawingml/2006/picture">
                        <pic:nvPicPr>
                          <pic:cNvPr id="18" name="图片_16_SpCnt_1"/>
                          <pic:cNvPicPr/>
                        </pic:nvPicPr>
                        <pic:blipFill>
                          <a:blip r:embed="rId24"/>
                          <a:stretch>
                            <a:fillRect/>
                          </a:stretch>
                        </pic:blipFill>
                        <pic:spPr>
                          <a:xfrm>
                            <a:off x="0" y="0"/>
                            <a:ext cx="1304925" cy="6775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85"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19</w:t>
            </w:r>
          </w:p>
        </w:tc>
        <w:tc>
          <w:tcPr>
            <w:tcW w:w="581"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区域</w:t>
            </w:r>
          </w:p>
        </w:tc>
        <w:tc>
          <w:tcPr>
            <w:tcW w:w="12702" w:type="dxa"/>
            <w:gridSpan w:val="8"/>
            <w:tcBorders>
              <w:top w:val="single" w:color="000000" w:sz="4" w:space="0"/>
              <w:left w:val="single" w:color="000000" w:sz="4" w:space="0"/>
              <w:bottom w:val="single" w:color="000000" w:sz="4" w:space="0"/>
              <w:right w:val="single" w:color="000000" w:sz="4" w:space="0"/>
            </w:tcBorders>
            <w:shd w:val="clear" w:color="auto" w:fill="92D050"/>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一层</w:t>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20</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办公室3</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W1500*D1380*H750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落地柜: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W400*D1380*H625</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抽屉三改四·</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77696" behindDoc="0" locked="0" layoutInCell="1" allowOverlap="1">
                  <wp:simplePos x="0" y="0"/>
                  <wp:positionH relativeFrom="column">
                    <wp:posOffset>189230</wp:posOffset>
                  </wp:positionH>
                  <wp:positionV relativeFrom="paragraph">
                    <wp:posOffset>1050290</wp:posOffset>
                  </wp:positionV>
                  <wp:extent cx="1324610" cy="1141730"/>
                  <wp:effectExtent l="0" t="0" r="8890" b="1270"/>
                  <wp:wrapNone/>
                  <wp:docPr id="19" name="图片_23_SpCnt_2"/>
                  <wp:cNvGraphicFramePr/>
                  <a:graphic xmlns:a="http://schemas.openxmlformats.org/drawingml/2006/main">
                    <a:graphicData uri="http://schemas.openxmlformats.org/drawingml/2006/picture">
                      <pic:pic xmlns:pic="http://schemas.openxmlformats.org/drawingml/2006/picture">
                        <pic:nvPicPr>
                          <pic:cNvPr id="19" name="图片_23_SpCnt_2"/>
                          <pic:cNvPicPr/>
                        </pic:nvPicPr>
                        <pic:blipFill>
                          <a:blip r:embed="rId19"/>
                          <a:stretch>
                            <a:fillRect/>
                          </a:stretch>
                        </pic:blipFill>
                        <pic:spPr>
                          <a:xfrm>
                            <a:off x="0" y="0"/>
                            <a:ext cx="1324610" cy="11417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6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21</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78720" behindDoc="0" locked="0" layoutInCell="1" allowOverlap="1">
                  <wp:simplePos x="0" y="0"/>
                  <wp:positionH relativeFrom="column">
                    <wp:posOffset>402590</wp:posOffset>
                  </wp:positionH>
                  <wp:positionV relativeFrom="paragraph">
                    <wp:posOffset>107950</wp:posOffset>
                  </wp:positionV>
                  <wp:extent cx="708660" cy="958215"/>
                  <wp:effectExtent l="0" t="0" r="15240" b="13335"/>
                  <wp:wrapNone/>
                  <wp:docPr id="20" name="图片_14_SpCnt_5"/>
                  <wp:cNvGraphicFramePr/>
                  <a:graphic xmlns:a="http://schemas.openxmlformats.org/drawingml/2006/main">
                    <a:graphicData uri="http://schemas.openxmlformats.org/drawingml/2006/picture">
                      <pic:pic xmlns:pic="http://schemas.openxmlformats.org/drawingml/2006/picture">
                        <pic:nvPicPr>
                          <pic:cNvPr id="20" name="图片_14_SpCnt_5"/>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22</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法制民警办公室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W1500*D1380*H750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落地柜: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W400*D1380*H625</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抽屉三改四·</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79744" behindDoc="0" locked="0" layoutInCell="1" allowOverlap="1">
                  <wp:simplePos x="0" y="0"/>
                  <wp:positionH relativeFrom="column">
                    <wp:posOffset>197485</wp:posOffset>
                  </wp:positionH>
                  <wp:positionV relativeFrom="paragraph">
                    <wp:posOffset>1264285</wp:posOffset>
                  </wp:positionV>
                  <wp:extent cx="1300480" cy="1130300"/>
                  <wp:effectExtent l="0" t="0" r="13970" b="12700"/>
                  <wp:wrapNone/>
                  <wp:docPr id="21" name="图片_23_SpCnt_3"/>
                  <wp:cNvGraphicFramePr/>
                  <a:graphic xmlns:a="http://schemas.openxmlformats.org/drawingml/2006/main">
                    <a:graphicData uri="http://schemas.openxmlformats.org/drawingml/2006/picture">
                      <pic:pic xmlns:pic="http://schemas.openxmlformats.org/drawingml/2006/picture">
                        <pic:nvPicPr>
                          <pic:cNvPr id="21" name="图片_23_SpCnt_3"/>
                          <pic:cNvPicPr/>
                        </pic:nvPicPr>
                        <pic:blipFill>
                          <a:blip r:embed="rId19"/>
                          <a:stretch>
                            <a:fillRect/>
                          </a:stretch>
                        </pic:blipFill>
                        <pic:spPr>
                          <a:xfrm>
                            <a:off x="0" y="0"/>
                            <a:ext cx="1300480" cy="11303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23</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0768" behindDoc="0" locked="0" layoutInCell="1" allowOverlap="1">
                  <wp:simplePos x="0" y="0"/>
                  <wp:positionH relativeFrom="column">
                    <wp:posOffset>514350</wp:posOffset>
                  </wp:positionH>
                  <wp:positionV relativeFrom="paragraph">
                    <wp:posOffset>143510</wp:posOffset>
                  </wp:positionV>
                  <wp:extent cx="708660" cy="958215"/>
                  <wp:effectExtent l="0" t="0" r="15240" b="13335"/>
                  <wp:wrapNone/>
                  <wp:docPr id="22" name="图片_14_SpCnt_6"/>
                  <wp:cNvGraphicFramePr/>
                  <a:graphic xmlns:a="http://schemas.openxmlformats.org/drawingml/2006/main">
                    <a:graphicData uri="http://schemas.openxmlformats.org/drawingml/2006/picture">
                      <pic:pic xmlns:pic="http://schemas.openxmlformats.org/drawingml/2006/picture">
                        <pic:nvPicPr>
                          <pic:cNvPr id="22" name="图片_14_SpCnt_6"/>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85"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24</w:t>
            </w:r>
          </w:p>
        </w:tc>
        <w:tc>
          <w:tcPr>
            <w:tcW w:w="581"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区域</w:t>
            </w:r>
          </w:p>
        </w:tc>
        <w:tc>
          <w:tcPr>
            <w:tcW w:w="12702" w:type="dxa"/>
            <w:gridSpan w:val="8"/>
            <w:tcBorders>
              <w:top w:val="single" w:color="000000" w:sz="4" w:space="0"/>
              <w:left w:val="single" w:color="000000" w:sz="4" w:space="0"/>
              <w:bottom w:val="single" w:color="000000" w:sz="4" w:space="0"/>
              <w:right w:val="single" w:color="000000" w:sz="4" w:space="0"/>
            </w:tcBorders>
            <w:shd w:val="clear" w:color="auto" w:fill="92D050"/>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一层</w:t>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25</w:t>
            </w:r>
          </w:p>
        </w:tc>
        <w:tc>
          <w:tcPr>
            <w:tcW w:w="581" w:type="dxa"/>
            <w:vMerge w:val="restart"/>
            <w:tcBorders>
              <w:top w:val="single" w:color="000000" w:sz="4" w:space="0"/>
              <w:left w:val="single" w:color="auto" w:sz="4" w:space="0"/>
              <w:bottom w:val="nil"/>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作战指挥室</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桌子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3600*800*760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1、基材：均采用中密度纤维板，E1级标准，优质胡桃木木皮贴面。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2、油漆：选用环保油漆,，五底三面工艺制作，非显孔亚光，两面均衡油饰,漆膜附着力达到1级，达到色泽美观、不变色、光滑耐磨、手感好，保证油漆面光洁平整。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3、五金配件：采用优质五金配件锁具、轨道、合页等，表面无锈蚀痕迹、鼓泡、开裂、露底，塑料散热网带穿线功能。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4、功能特征：多功能走线功能，斜边式拉手代替原有五金拉手更显简洁。</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10.8</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1792" behindDoc="0" locked="0" layoutInCell="1" allowOverlap="1">
                  <wp:simplePos x="0" y="0"/>
                  <wp:positionH relativeFrom="column">
                    <wp:posOffset>79375</wp:posOffset>
                  </wp:positionH>
                  <wp:positionV relativeFrom="paragraph">
                    <wp:posOffset>506730</wp:posOffset>
                  </wp:positionV>
                  <wp:extent cx="1433195" cy="1078865"/>
                  <wp:effectExtent l="0" t="0" r="14605" b="6985"/>
                  <wp:wrapNone/>
                  <wp:docPr id="23" name="图片_11"/>
                  <wp:cNvGraphicFramePr/>
                  <a:graphic xmlns:a="http://schemas.openxmlformats.org/drawingml/2006/main">
                    <a:graphicData uri="http://schemas.openxmlformats.org/drawingml/2006/picture">
                      <pic:pic xmlns:pic="http://schemas.openxmlformats.org/drawingml/2006/picture">
                        <pic:nvPicPr>
                          <pic:cNvPr id="23" name="图片_11"/>
                          <pic:cNvPicPr/>
                        </pic:nvPicPr>
                        <pic:blipFill>
                          <a:blip r:embed="rId25"/>
                          <a:stretch>
                            <a:fillRect/>
                          </a:stretch>
                        </pic:blipFill>
                        <pic:spPr>
                          <a:xfrm>
                            <a:off x="0" y="0"/>
                            <a:ext cx="1433195" cy="10788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26</w:t>
            </w:r>
          </w:p>
        </w:tc>
        <w:tc>
          <w:tcPr>
            <w:tcW w:w="581" w:type="dxa"/>
            <w:vMerge w:val="continue"/>
            <w:tcBorders>
              <w:top w:val="single" w:color="000000" w:sz="4" w:space="0"/>
              <w:left w:val="single" w:color="auto" w:sz="4" w:space="0"/>
              <w:bottom w:val="nil"/>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采用优质网布饰面检测符合GB/T2912.1-2009、GB/T7573-2009、GB/T3922-2013、GB/T3920-2008、GB18401-2010，GB/T17592-2011，其中甲醛含量符合B类要求，PH值＞4.0，色牢度达5级，无异味，可分解芳香胺染料未检出，阻燃性能符合GB17927.1-2011且达I级，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4、底座及机动：中央平衡倾仰底盘，性能优良；静态锁定，倾仰弹力调节，可调节腰靠。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5、扶手脚架：PP面固定扶手及尼龙五星脚，尼龙黑色轮万向轮，质地坚硬。</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2816" behindDoc="0" locked="0" layoutInCell="1" allowOverlap="1">
                  <wp:simplePos x="0" y="0"/>
                  <wp:positionH relativeFrom="column">
                    <wp:posOffset>286385</wp:posOffset>
                  </wp:positionH>
                  <wp:positionV relativeFrom="paragraph">
                    <wp:posOffset>949325</wp:posOffset>
                  </wp:positionV>
                  <wp:extent cx="1066165" cy="1315085"/>
                  <wp:effectExtent l="0" t="0" r="635" b="18415"/>
                  <wp:wrapNone/>
                  <wp:docPr id="24" name="图片_14_SpCnt_7"/>
                  <wp:cNvGraphicFramePr/>
                  <a:graphic xmlns:a="http://schemas.openxmlformats.org/drawingml/2006/main">
                    <a:graphicData uri="http://schemas.openxmlformats.org/drawingml/2006/picture">
                      <pic:pic xmlns:pic="http://schemas.openxmlformats.org/drawingml/2006/picture">
                        <pic:nvPicPr>
                          <pic:cNvPr id="24" name="图片_14_SpCnt_7"/>
                          <pic:cNvPicPr/>
                        </pic:nvPicPr>
                        <pic:blipFill>
                          <a:blip r:embed="rId26"/>
                          <a:stretch>
                            <a:fillRect/>
                          </a:stretch>
                        </pic:blipFill>
                        <pic:spPr>
                          <a:xfrm>
                            <a:off x="0" y="0"/>
                            <a:ext cx="1066165" cy="13150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27</w:t>
            </w:r>
          </w:p>
        </w:tc>
        <w:tc>
          <w:tcPr>
            <w:tcW w:w="581" w:type="dxa"/>
            <w:vMerge w:val="continue"/>
            <w:tcBorders>
              <w:top w:val="single" w:color="000000" w:sz="4" w:space="0"/>
              <w:left w:val="single" w:color="auto" w:sz="4" w:space="0"/>
              <w:bottom w:val="nil"/>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矮柜</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800*400*800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3840" behindDoc="0" locked="0" layoutInCell="1" allowOverlap="1">
                  <wp:simplePos x="0" y="0"/>
                  <wp:positionH relativeFrom="column">
                    <wp:posOffset>393700</wp:posOffset>
                  </wp:positionH>
                  <wp:positionV relativeFrom="paragraph">
                    <wp:posOffset>520700</wp:posOffset>
                  </wp:positionV>
                  <wp:extent cx="1033145" cy="1111250"/>
                  <wp:effectExtent l="0" t="0" r="14605" b="12700"/>
                  <wp:wrapNone/>
                  <wp:docPr id="25" name="图片_3"/>
                  <wp:cNvGraphicFramePr/>
                  <a:graphic xmlns:a="http://schemas.openxmlformats.org/drawingml/2006/main">
                    <a:graphicData uri="http://schemas.openxmlformats.org/drawingml/2006/picture">
                      <pic:pic xmlns:pic="http://schemas.openxmlformats.org/drawingml/2006/picture">
                        <pic:nvPicPr>
                          <pic:cNvPr id="25" name="图片_3"/>
                          <pic:cNvPicPr/>
                        </pic:nvPicPr>
                        <pic:blipFill>
                          <a:blip r:embed="rId27"/>
                          <a:stretch>
                            <a:fillRect/>
                          </a:stretch>
                        </pic:blipFill>
                        <pic:spPr>
                          <a:xfrm>
                            <a:off x="0" y="0"/>
                            <a:ext cx="1033145" cy="11112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接警大厅</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采用优质网布饰面检测符合GB/T2912.1-2009、GB/T7573-2009、GB/T3922-2013、GB/T3920-2008、GB18401-2010，GB/T17592-2011，其中甲醛含量符合B类要求，PH值＞4.0，色牢度达5级，无异味，可分解芳香胺染料未检出，阻燃性能符合GB17927.1-2011且达I级，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4、底座及机动：中央平衡倾仰底盘，性能优良；静态锁定，倾仰弹力调节，可调节腰靠。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5、扶手脚架：PP面固定扶手及尼龙五星脚，尼龙黑色轮万向轮，质地坚硬。</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4864" behindDoc="0" locked="0" layoutInCell="1" allowOverlap="1">
                  <wp:simplePos x="0" y="0"/>
                  <wp:positionH relativeFrom="column">
                    <wp:posOffset>327025</wp:posOffset>
                  </wp:positionH>
                  <wp:positionV relativeFrom="paragraph">
                    <wp:posOffset>791845</wp:posOffset>
                  </wp:positionV>
                  <wp:extent cx="1030605" cy="1550035"/>
                  <wp:effectExtent l="0" t="0" r="17145" b="12065"/>
                  <wp:wrapNone/>
                  <wp:docPr id="26" name="图片_14_SpCnt_8"/>
                  <wp:cNvGraphicFramePr/>
                  <a:graphic xmlns:a="http://schemas.openxmlformats.org/drawingml/2006/main">
                    <a:graphicData uri="http://schemas.openxmlformats.org/drawingml/2006/picture">
                      <pic:pic xmlns:pic="http://schemas.openxmlformats.org/drawingml/2006/picture">
                        <pic:nvPicPr>
                          <pic:cNvPr id="26" name="图片_14_SpCnt_8"/>
                          <pic:cNvPicPr/>
                        </pic:nvPicPr>
                        <pic:blipFill>
                          <a:blip r:embed="rId20"/>
                          <a:stretch>
                            <a:fillRect/>
                          </a:stretch>
                        </pic:blipFill>
                        <pic:spPr>
                          <a:xfrm>
                            <a:off x="0" y="0"/>
                            <a:ext cx="1030605" cy="15500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29</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采用优质网布饰面检测符合GB/T2912.1-2009、GB/T7573-2009、GB/T3922-2013、GB/T3920-2008、GB18401-2010，GB/T17592-2011，其中甲醛含量符合B类要求，PH值＞4.0，色牢度达5级，无异味，可分解芳香胺染料未检出，阻燃性能符合GB17927.1-2011且达I级，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4、底座及机动：中央平衡倾仰底盘，性能优良；静态锁定，倾仰弹力调节，可调节腰靠。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5、扶手脚架：PP面固定扶手及尼龙五星脚，尼龙黑色轮万向轮，质地坚硬。</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5888" behindDoc="0" locked="0" layoutInCell="1" allowOverlap="1">
                  <wp:simplePos x="0" y="0"/>
                  <wp:positionH relativeFrom="column">
                    <wp:posOffset>300990</wp:posOffset>
                  </wp:positionH>
                  <wp:positionV relativeFrom="paragraph">
                    <wp:posOffset>1022985</wp:posOffset>
                  </wp:positionV>
                  <wp:extent cx="1123950" cy="1485900"/>
                  <wp:effectExtent l="0" t="0" r="0" b="0"/>
                  <wp:wrapNone/>
                  <wp:docPr id="27" name="图片_15"/>
                  <wp:cNvGraphicFramePr/>
                  <a:graphic xmlns:a="http://schemas.openxmlformats.org/drawingml/2006/main">
                    <a:graphicData uri="http://schemas.openxmlformats.org/drawingml/2006/picture">
                      <pic:pic xmlns:pic="http://schemas.openxmlformats.org/drawingml/2006/picture">
                        <pic:nvPicPr>
                          <pic:cNvPr id="27" name="图片_15"/>
                          <pic:cNvPicPr/>
                        </pic:nvPicPr>
                        <pic:blipFill>
                          <a:blip r:embed="rId28"/>
                          <a:stretch>
                            <a:fillRect/>
                          </a:stretch>
                        </pic:blipFill>
                        <pic:spPr>
                          <a:xfrm>
                            <a:off x="0" y="0"/>
                            <a:ext cx="1123950" cy="14859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30</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等候椅</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四人位</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1、座背椅板为PU材质，一体模具成型，内置铁架+弹簧，铁架采用10*20*2.0mm厚冷轧方管冲压焊接成型。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扶手脚采用1.2mm厚冷轧钢板，冲压、焊接成型，打磨抛光，除油除锈后表面静电喷粉处理。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3、承重支架采用5.0mm冷轧钢板，冲压、焊接成型，打磨抛光，除油除锈后表面静电喷粉处理。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4、承重梁采用直径60mm、厚度2.5mm六角钢管钻孔加工成型，除油除锈后表面静电喷粉处理。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5、调节脚垫：采用黑色PP脚垫，显得更加沉稳大方。</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6912" behindDoc="0" locked="0" layoutInCell="1" allowOverlap="1">
                  <wp:simplePos x="0" y="0"/>
                  <wp:positionH relativeFrom="column">
                    <wp:posOffset>119380</wp:posOffset>
                  </wp:positionH>
                  <wp:positionV relativeFrom="paragraph">
                    <wp:posOffset>327660</wp:posOffset>
                  </wp:positionV>
                  <wp:extent cx="1362075" cy="1167765"/>
                  <wp:effectExtent l="0" t="0" r="9525" b="13335"/>
                  <wp:wrapNone/>
                  <wp:docPr id="28" name="图片_1_SpCnt_1"/>
                  <wp:cNvGraphicFramePr/>
                  <a:graphic xmlns:a="http://schemas.openxmlformats.org/drawingml/2006/main">
                    <a:graphicData uri="http://schemas.openxmlformats.org/drawingml/2006/picture">
                      <pic:pic xmlns:pic="http://schemas.openxmlformats.org/drawingml/2006/picture">
                        <pic:nvPicPr>
                          <pic:cNvPr id="28" name="图片_1_SpCnt_1"/>
                          <pic:cNvPicPr/>
                        </pic:nvPicPr>
                        <pic:blipFill>
                          <a:blip r:embed="rId29"/>
                          <a:stretch>
                            <a:fillRect/>
                          </a:stretch>
                        </pic:blipFill>
                        <pic:spPr>
                          <a:xfrm>
                            <a:off x="0" y="0"/>
                            <a:ext cx="1362075" cy="11677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31</w:t>
            </w:r>
          </w:p>
        </w:tc>
        <w:tc>
          <w:tcPr>
            <w:tcW w:w="581" w:type="dxa"/>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装备室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柜子</w:t>
            </w:r>
          </w:p>
        </w:tc>
        <w:tc>
          <w:tcPr>
            <w:tcW w:w="15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900*550*1800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宝钢0.7mm冷轧钢板经剪切，冲压，折弯，焊接，装配而成；接触人体部分均采用翻边工艺，杜绝快口，不易伤手；采用世界顶尖，无味，无污染，粉末静电喷塑；产品经过脱脂、纯净水清洗、加温除油磷化、表调、干燥工艺，确保表面不含油污及锈蚀；具有耐阳光强射，不易褪色而且易于清洗；焊接部分采用高标准熔接焊，表面平整光洁；表面涂层坚固耐用，耐冲压，耐腐蚀，防潮不易变形。</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7936" behindDoc="0" locked="0" layoutInCell="1" allowOverlap="1">
                  <wp:simplePos x="0" y="0"/>
                  <wp:positionH relativeFrom="column">
                    <wp:posOffset>311150</wp:posOffset>
                  </wp:positionH>
                  <wp:positionV relativeFrom="paragraph">
                    <wp:posOffset>50800</wp:posOffset>
                  </wp:positionV>
                  <wp:extent cx="894715" cy="1156335"/>
                  <wp:effectExtent l="0" t="0" r="635" b="5715"/>
                  <wp:wrapNone/>
                  <wp:docPr id="29" name="图片_23_SpCnt_4"/>
                  <wp:cNvGraphicFramePr/>
                  <a:graphic xmlns:a="http://schemas.openxmlformats.org/drawingml/2006/main">
                    <a:graphicData uri="http://schemas.openxmlformats.org/drawingml/2006/picture">
                      <pic:pic xmlns:pic="http://schemas.openxmlformats.org/drawingml/2006/picture">
                        <pic:nvPicPr>
                          <pic:cNvPr id="29" name="图片_23_SpCnt_4"/>
                          <pic:cNvPicPr/>
                        </pic:nvPicPr>
                        <pic:blipFill>
                          <a:blip r:embed="rId30"/>
                          <a:stretch>
                            <a:fillRect/>
                          </a:stretch>
                        </pic:blipFill>
                        <pic:spPr>
                          <a:xfrm>
                            <a:off x="0" y="0"/>
                            <a:ext cx="894715" cy="11563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32</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案卷整理</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定制长桌</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3514*600*760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4、脚架：均为方形钢管框架结构，表面采用静电喷涂。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直边台面，台面与钢架之间悬浮10mm，台面ABS材料线盒可选配电源、网络、USB等，并具有隐藏式走线功能，门字形钢脚，张弛有度，塑料调节脚防水功能且视觉效果具备悬浮感，斜边式拉手代替原有五金拉手更显简洁，内含一块可调高度活动层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6、配件:采用优质五金配件锁具、合页、连接件等，表面无锈蚀痕迹、鼓泡、开裂、毛刺、露底。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3.154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8960" behindDoc="0" locked="0" layoutInCell="1" allowOverlap="1">
                  <wp:simplePos x="0" y="0"/>
                  <wp:positionH relativeFrom="column">
                    <wp:posOffset>120015</wp:posOffset>
                  </wp:positionH>
                  <wp:positionV relativeFrom="paragraph">
                    <wp:posOffset>883285</wp:posOffset>
                  </wp:positionV>
                  <wp:extent cx="1312545" cy="1084580"/>
                  <wp:effectExtent l="0" t="0" r="1905" b="1270"/>
                  <wp:wrapNone/>
                  <wp:docPr id="30" name="图片_22"/>
                  <wp:cNvGraphicFramePr/>
                  <a:graphic xmlns:a="http://schemas.openxmlformats.org/drawingml/2006/main">
                    <a:graphicData uri="http://schemas.openxmlformats.org/drawingml/2006/picture">
                      <pic:pic xmlns:pic="http://schemas.openxmlformats.org/drawingml/2006/picture">
                        <pic:nvPicPr>
                          <pic:cNvPr id="30" name="图片_22"/>
                          <pic:cNvPicPr/>
                        </pic:nvPicPr>
                        <pic:blipFill>
                          <a:blip r:embed="rId31"/>
                          <a:stretch>
                            <a:fillRect/>
                          </a:stretch>
                        </pic:blipFill>
                        <pic:spPr>
                          <a:xfrm>
                            <a:off x="0" y="0"/>
                            <a:ext cx="1312545" cy="10845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33</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1、面料：采用优质网布饰面，厚度适中。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4、底座及机动：中央平衡倾仰底盘，性能优良；静态锁定，倾仰弹力调节，可调节腰靠。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5、扶手脚架：PP面固定扶手及尼龙五星脚，尼龙黑色轮万向轮，质地坚硬。</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89984" behindDoc="0" locked="0" layoutInCell="1" allowOverlap="1">
                  <wp:simplePos x="0" y="0"/>
                  <wp:positionH relativeFrom="column">
                    <wp:posOffset>558800</wp:posOffset>
                  </wp:positionH>
                  <wp:positionV relativeFrom="paragraph">
                    <wp:posOffset>307975</wp:posOffset>
                  </wp:positionV>
                  <wp:extent cx="532765" cy="717550"/>
                  <wp:effectExtent l="0" t="0" r="635" b="6350"/>
                  <wp:wrapNone/>
                  <wp:docPr id="31" name="图片_14_SpCnt_9"/>
                  <wp:cNvGraphicFramePr/>
                  <a:graphic xmlns:a="http://schemas.openxmlformats.org/drawingml/2006/main">
                    <a:graphicData uri="http://schemas.openxmlformats.org/drawingml/2006/picture">
                      <pic:pic xmlns:pic="http://schemas.openxmlformats.org/drawingml/2006/picture">
                        <pic:nvPicPr>
                          <pic:cNvPr id="31" name="图片_14_SpCnt_9"/>
                          <pic:cNvPicPr/>
                        </pic:nvPicPr>
                        <pic:blipFill>
                          <a:blip r:embed="rId32"/>
                          <a:stretch>
                            <a:fillRect/>
                          </a:stretch>
                        </pic:blipFill>
                        <pic:spPr>
                          <a:xfrm>
                            <a:off x="0" y="0"/>
                            <a:ext cx="532765" cy="7175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34</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整理桌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2000*1000*760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91008" behindDoc="0" locked="0" layoutInCell="1" allowOverlap="1">
                  <wp:simplePos x="0" y="0"/>
                  <wp:positionH relativeFrom="column">
                    <wp:posOffset>149860</wp:posOffset>
                  </wp:positionH>
                  <wp:positionV relativeFrom="paragraph">
                    <wp:posOffset>1348740</wp:posOffset>
                  </wp:positionV>
                  <wp:extent cx="1336040" cy="808990"/>
                  <wp:effectExtent l="0" t="0" r="16510" b="10160"/>
                  <wp:wrapNone/>
                  <wp:docPr id="32" name="图片_29_SpCnt_2"/>
                  <wp:cNvGraphicFramePr/>
                  <a:graphic xmlns:a="http://schemas.openxmlformats.org/drawingml/2006/main">
                    <a:graphicData uri="http://schemas.openxmlformats.org/drawingml/2006/picture">
                      <pic:pic xmlns:pic="http://schemas.openxmlformats.org/drawingml/2006/picture">
                        <pic:nvPicPr>
                          <pic:cNvPr id="32" name="图片_29_SpCnt_2"/>
                          <pic:cNvPicPr/>
                        </pic:nvPicPr>
                        <pic:blipFill>
                          <a:blip r:embed="rId21"/>
                          <a:stretch>
                            <a:fillRect/>
                          </a:stretch>
                        </pic:blipFill>
                        <pic:spPr>
                          <a:xfrm>
                            <a:off x="0" y="0"/>
                            <a:ext cx="1336040" cy="8089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35</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班前椅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3、1.8厚电镀扁管扶手连体架，配扪皮扶手面。</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92032" behindDoc="0" locked="0" layoutInCell="1" allowOverlap="1">
                  <wp:simplePos x="0" y="0"/>
                  <wp:positionH relativeFrom="column">
                    <wp:posOffset>339725</wp:posOffset>
                  </wp:positionH>
                  <wp:positionV relativeFrom="paragraph">
                    <wp:posOffset>244475</wp:posOffset>
                  </wp:positionV>
                  <wp:extent cx="796925" cy="964565"/>
                  <wp:effectExtent l="0" t="0" r="3175" b="6985"/>
                  <wp:wrapNone/>
                  <wp:docPr id="33" name="图片_21"/>
                  <wp:cNvGraphicFramePr/>
                  <a:graphic xmlns:a="http://schemas.openxmlformats.org/drawingml/2006/main">
                    <a:graphicData uri="http://schemas.openxmlformats.org/drawingml/2006/picture">
                      <pic:pic xmlns:pic="http://schemas.openxmlformats.org/drawingml/2006/picture">
                        <pic:nvPicPr>
                          <pic:cNvPr id="33" name="图片_21"/>
                          <pic:cNvPicPr/>
                        </pic:nvPicPr>
                        <pic:blipFill>
                          <a:blip r:embed="rId33"/>
                          <a:stretch>
                            <a:fillRect/>
                          </a:stretch>
                        </pic:blipFill>
                        <pic:spPr>
                          <a:xfrm>
                            <a:off x="0" y="0"/>
                            <a:ext cx="796925" cy="9645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36</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会商室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会商桌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2000*1000*760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93056" behindDoc="0" locked="0" layoutInCell="1" allowOverlap="1">
                  <wp:simplePos x="0" y="0"/>
                  <wp:positionH relativeFrom="column">
                    <wp:posOffset>144145</wp:posOffset>
                  </wp:positionH>
                  <wp:positionV relativeFrom="paragraph">
                    <wp:posOffset>1255395</wp:posOffset>
                  </wp:positionV>
                  <wp:extent cx="1306830" cy="914400"/>
                  <wp:effectExtent l="0" t="0" r="7620" b="0"/>
                  <wp:wrapNone/>
                  <wp:docPr id="34" name="图片_29_SpCnt_3"/>
                  <wp:cNvGraphicFramePr/>
                  <a:graphic xmlns:a="http://schemas.openxmlformats.org/drawingml/2006/main">
                    <a:graphicData uri="http://schemas.openxmlformats.org/drawingml/2006/picture">
                      <pic:pic xmlns:pic="http://schemas.openxmlformats.org/drawingml/2006/picture">
                        <pic:nvPicPr>
                          <pic:cNvPr id="34" name="图片_29_SpCnt_3"/>
                          <pic:cNvPicPr/>
                        </pic:nvPicPr>
                        <pic:blipFill>
                          <a:blip r:embed="rId21"/>
                          <a:stretch>
                            <a:fillRect/>
                          </a:stretch>
                        </pic:blipFill>
                        <pic:spPr>
                          <a:xfrm>
                            <a:off x="0" y="0"/>
                            <a:ext cx="1306830" cy="9144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37</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94080" behindDoc="0" locked="0" layoutInCell="1" allowOverlap="1">
                  <wp:simplePos x="0" y="0"/>
                  <wp:positionH relativeFrom="column">
                    <wp:posOffset>520065</wp:posOffset>
                  </wp:positionH>
                  <wp:positionV relativeFrom="paragraph">
                    <wp:posOffset>160655</wp:posOffset>
                  </wp:positionV>
                  <wp:extent cx="708660" cy="958215"/>
                  <wp:effectExtent l="0" t="0" r="15240" b="13335"/>
                  <wp:wrapNone/>
                  <wp:docPr id="35" name="图片_14_SpCnt_10"/>
                  <wp:cNvGraphicFramePr/>
                  <a:graphic xmlns:a="http://schemas.openxmlformats.org/drawingml/2006/main">
                    <a:graphicData uri="http://schemas.openxmlformats.org/drawingml/2006/picture">
                      <pic:pic xmlns:pic="http://schemas.openxmlformats.org/drawingml/2006/picture">
                        <pic:nvPicPr>
                          <pic:cNvPr id="35" name="图片_14_SpCnt_10"/>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38</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茶水柜</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1200*400*850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斜边式拉手代替原有五金拉手更显简洁，环保ABS材料台面线盒（可选配电源、网络、USB）及散热网，静电喷涂方形钢管横梁，并具有隐藏式走线功能，八字形木脚，四平八稳，并且容易清洁使心情愉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6、配件:采用优质五金配件锁具、轨道、合页、连接件等，表面无锈蚀痕迹、鼓泡、开裂、毛刺、露底。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95104" behindDoc="0" locked="0" layoutInCell="1" allowOverlap="1">
                  <wp:simplePos x="0" y="0"/>
                  <wp:positionH relativeFrom="column">
                    <wp:posOffset>184785</wp:posOffset>
                  </wp:positionH>
                  <wp:positionV relativeFrom="paragraph">
                    <wp:posOffset>1017905</wp:posOffset>
                  </wp:positionV>
                  <wp:extent cx="1217930" cy="1108075"/>
                  <wp:effectExtent l="0" t="0" r="1270" b="15875"/>
                  <wp:wrapNone/>
                  <wp:docPr id="36" name="图片_124"/>
                  <wp:cNvGraphicFramePr/>
                  <a:graphic xmlns:a="http://schemas.openxmlformats.org/drawingml/2006/main">
                    <a:graphicData uri="http://schemas.openxmlformats.org/drawingml/2006/picture">
                      <pic:pic xmlns:pic="http://schemas.openxmlformats.org/drawingml/2006/picture">
                        <pic:nvPicPr>
                          <pic:cNvPr id="36" name="图片_124"/>
                          <pic:cNvPicPr/>
                        </pic:nvPicPr>
                        <pic:blipFill>
                          <a:blip r:embed="rId34"/>
                          <a:stretch>
                            <a:fillRect/>
                          </a:stretch>
                        </pic:blipFill>
                        <pic:spPr>
                          <a:xfrm>
                            <a:off x="0" y="0"/>
                            <a:ext cx="1217930" cy="11080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39</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民警值班室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96128" behindDoc="0" locked="0" layoutInCell="1" allowOverlap="1">
                  <wp:simplePos x="0" y="0"/>
                  <wp:positionH relativeFrom="column">
                    <wp:posOffset>128905</wp:posOffset>
                  </wp:positionH>
                  <wp:positionV relativeFrom="paragraph">
                    <wp:posOffset>975360</wp:posOffset>
                  </wp:positionV>
                  <wp:extent cx="1457960" cy="1007110"/>
                  <wp:effectExtent l="0" t="0" r="8890" b="2540"/>
                  <wp:wrapNone/>
                  <wp:docPr id="37" name="图片_19_SpCnt_2"/>
                  <wp:cNvGraphicFramePr/>
                  <a:graphic xmlns:a="http://schemas.openxmlformats.org/drawingml/2006/main">
                    <a:graphicData uri="http://schemas.openxmlformats.org/drawingml/2006/picture">
                      <pic:pic xmlns:pic="http://schemas.openxmlformats.org/drawingml/2006/picture">
                        <pic:nvPicPr>
                          <pic:cNvPr id="37" name="图片_19_SpCnt_2"/>
                          <pic:cNvPicPr/>
                        </pic:nvPicPr>
                        <pic:blipFill>
                          <a:blip r:embed="rId35"/>
                          <a:stretch>
                            <a:fillRect/>
                          </a:stretch>
                        </pic:blipFill>
                        <pic:spPr>
                          <a:xfrm>
                            <a:off x="0" y="0"/>
                            <a:ext cx="1457960" cy="10071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40</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床垫</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1、采用优质品牌。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2、正面7层面料：1层阻燃针织面料，2层三维无胶棉19mm,200g/㎡，3层圆泡海绵15mm,20kg/m³，4层无纺布35g/㎡，5层耐磨纤维棉300g/㎡，6层耐磨纤维棉300g/㎡，7层无纺布35g/㎡。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3、反面3层面料：1层圆泡海绵15mm,20kg/m³，2层三维无胶棉19mm,200g/㎡，3层阻燃针织面料。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4、围边3层面料：1层阻燃针织面料，2层圆泡海绵7mm,20kg/m³，3层无纺布35g/㎡。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5、弹簧床芯：独立袋装弹簧，材质70#碳钢 ，线径2.0mm，160mm弹簧高度，材质70#碳钢线径5.0mm围边钢丝，M型支力簧护边，长边5个，宽边３个（按比例）护边数量。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6、床簧耐久测试达10万次/无损，床垫面料经防螨抗菌处理，弹簧内胆经整体热处理， 全部材料为全新原料。  </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97152" behindDoc="0" locked="0" layoutInCell="1" allowOverlap="1">
                  <wp:simplePos x="0" y="0"/>
                  <wp:positionH relativeFrom="column">
                    <wp:posOffset>-8255</wp:posOffset>
                  </wp:positionH>
                  <wp:positionV relativeFrom="paragraph">
                    <wp:posOffset>993775</wp:posOffset>
                  </wp:positionV>
                  <wp:extent cx="1532255" cy="915035"/>
                  <wp:effectExtent l="0" t="0" r="10795" b="18415"/>
                  <wp:wrapNone/>
                  <wp:docPr id="38" name="图片_2"/>
                  <wp:cNvGraphicFramePr/>
                  <a:graphic xmlns:a="http://schemas.openxmlformats.org/drawingml/2006/main">
                    <a:graphicData uri="http://schemas.openxmlformats.org/drawingml/2006/picture">
                      <pic:pic xmlns:pic="http://schemas.openxmlformats.org/drawingml/2006/picture">
                        <pic:nvPicPr>
                          <pic:cNvPr id="38" name="图片_2"/>
                          <pic:cNvPicPr/>
                        </pic:nvPicPr>
                        <pic:blipFill>
                          <a:blip r:embed="rId36"/>
                          <a:stretch>
                            <a:fillRect/>
                          </a:stretch>
                        </pic:blipFill>
                        <pic:spPr>
                          <a:xfrm>
                            <a:off x="0" y="0"/>
                            <a:ext cx="1532255" cy="9150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41</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床头柜</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450*500*480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98176" behindDoc="0" locked="0" layoutInCell="1" allowOverlap="1">
                  <wp:simplePos x="0" y="0"/>
                  <wp:positionH relativeFrom="column">
                    <wp:posOffset>134620</wp:posOffset>
                  </wp:positionH>
                  <wp:positionV relativeFrom="paragraph">
                    <wp:posOffset>612775</wp:posOffset>
                  </wp:positionV>
                  <wp:extent cx="1178560" cy="1208405"/>
                  <wp:effectExtent l="0" t="0" r="2540" b="10795"/>
                  <wp:wrapNone/>
                  <wp:docPr id="39" name="图片_21_SpCnt_1"/>
                  <wp:cNvGraphicFramePr/>
                  <a:graphic xmlns:a="http://schemas.openxmlformats.org/drawingml/2006/main">
                    <a:graphicData uri="http://schemas.openxmlformats.org/drawingml/2006/picture">
                      <pic:pic xmlns:pic="http://schemas.openxmlformats.org/drawingml/2006/picture">
                        <pic:nvPicPr>
                          <pic:cNvPr id="39" name="图片_21_SpCnt_1"/>
                          <pic:cNvPicPr/>
                        </pic:nvPicPr>
                        <pic:blipFill>
                          <a:blip r:embed="rId37"/>
                          <a:stretch>
                            <a:fillRect/>
                          </a:stretch>
                        </pic:blipFill>
                        <pic:spPr>
                          <a:xfrm>
                            <a:off x="0" y="0"/>
                            <a:ext cx="1178560" cy="12084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42</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写字桌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1200*500*760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1、板材基材：选用E0级实木颗粒板，质量符合GB/T15102-2017《浸渍胶膜纸饰面纤维板和实木颗粒板》、GB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2、板材贴面：采用树脂浸渍纸（MFC）贴面。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4、五金件：采用阻尼铰链，质量符合QB/T 2189-2013 ，其中耐久性测试80000次；三节滚珠滑轨，质量符合QB/T 24542013，其中耐久性测试80000次；表面无锈蚀痕迹、鼓泡、开裂、毛刺、露底。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699200" behindDoc="0" locked="0" layoutInCell="1" allowOverlap="1">
                  <wp:simplePos x="0" y="0"/>
                  <wp:positionH relativeFrom="column">
                    <wp:posOffset>129540</wp:posOffset>
                  </wp:positionH>
                  <wp:positionV relativeFrom="paragraph">
                    <wp:posOffset>1282700</wp:posOffset>
                  </wp:positionV>
                  <wp:extent cx="1232535" cy="1209675"/>
                  <wp:effectExtent l="0" t="0" r="5715" b="9525"/>
                  <wp:wrapNone/>
                  <wp:docPr id="40" name="图片_4_SpCnt_1"/>
                  <wp:cNvGraphicFramePr/>
                  <a:graphic xmlns:a="http://schemas.openxmlformats.org/drawingml/2006/main">
                    <a:graphicData uri="http://schemas.openxmlformats.org/drawingml/2006/picture">
                      <pic:pic xmlns:pic="http://schemas.openxmlformats.org/drawingml/2006/picture">
                        <pic:nvPicPr>
                          <pic:cNvPr id="40" name="图片_4_SpCnt_1"/>
                          <pic:cNvPicPr/>
                        </pic:nvPicPr>
                        <pic:blipFill>
                          <a:blip r:embed="rId38"/>
                          <a:stretch>
                            <a:fillRect/>
                          </a:stretch>
                        </pic:blipFill>
                        <pic:spPr>
                          <a:xfrm>
                            <a:off x="0" y="0"/>
                            <a:ext cx="1232535" cy="1209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43</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写字椅</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座垫面料：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2、座垫泡绵：环保型高密度、高回弹PU泡绵，符合QB/T1952.1-2012《软体家具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3、脚架：纯实木脚架，质地坚硬，纹理自然清晰。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4、油漆：选用环保净味油漆，质量符合GB/T18581-2020《木器涂料中有害物质限量》，其中VOC含量、甲醛含量、苯系物总和含量均未检出,五底三面工艺制作，色泽美观、不变色、光滑耐磨。</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0224" behindDoc="0" locked="0" layoutInCell="1" allowOverlap="1">
                  <wp:simplePos x="0" y="0"/>
                  <wp:positionH relativeFrom="column">
                    <wp:posOffset>248920</wp:posOffset>
                  </wp:positionH>
                  <wp:positionV relativeFrom="paragraph">
                    <wp:posOffset>718185</wp:posOffset>
                  </wp:positionV>
                  <wp:extent cx="922655" cy="1275080"/>
                  <wp:effectExtent l="0" t="0" r="10795" b="1270"/>
                  <wp:wrapNone/>
                  <wp:docPr id="41" name="Picture_1024"/>
                  <wp:cNvGraphicFramePr/>
                  <a:graphic xmlns:a="http://schemas.openxmlformats.org/drawingml/2006/main">
                    <a:graphicData uri="http://schemas.openxmlformats.org/drawingml/2006/picture">
                      <pic:pic xmlns:pic="http://schemas.openxmlformats.org/drawingml/2006/picture">
                        <pic:nvPicPr>
                          <pic:cNvPr id="41" name="Picture_1024"/>
                          <pic:cNvPicPr/>
                        </pic:nvPicPr>
                        <pic:blipFill>
                          <a:blip r:embed="rId39"/>
                          <a:stretch>
                            <a:fillRect/>
                          </a:stretch>
                        </pic:blipFill>
                        <pic:spPr>
                          <a:xfrm>
                            <a:off x="0" y="0"/>
                            <a:ext cx="922655" cy="12750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44</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协警值班室</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床（上下铺）</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1、材质部分：采用实木床采用优质橡胶木全实木。材质纹理细腻，表面结疤少，坚韧耐潮.。木料须经二次烘干处理，含水率低于12%，保证不开裂、不扭曲、不变形。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五金紧固件采用国标标准材料。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艺部分：制作上以传统榫卯工艺做法为主，尽量减少各种胶类材料与五金配件的使用，环保安全可靠，坚固耐用。所有触手可及类锐处均做安全处理，床铺制作工艺与结构应具有整体组装功能设计，增加产品使用的稳固安全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3、油漆部分：油漆采用家具专用环保油漆。采用五底三面工艺。表面光滑，不流挂，无颗粒现象。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【详细参数：4480*1000*2150mm】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1、学生公寓床采用木料规格：立柱70*55mm ；前床杠120*35 mm ；后床杠120*35 mm，横栏120*35 mm ；上铺床栏60*35 mm ；床栏齿60*28 mm,床头3根，前栏5根；从床头靠木料处一直延伸到爬梯，与爬梯立柱连接持平。上铺底面离地面净高1725mm；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2、床板为厚度15 mm的山木条，床板间缝拼接小于或等于10mm，保持透气性；5条45mm*35mm实木档，上铺床板下封E0级5mm橡胶木多层板。四面刨光，四边倒角处理。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3、楼梯：每床半扶栏空缺处设计一个爬梯，爬梯立柱两侧设计上楼抓手孔，楼梯宽度450mm，踏板厚25mm,设计防滑槽。</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1248" behindDoc="0" locked="0" layoutInCell="1" allowOverlap="1">
                  <wp:simplePos x="0" y="0"/>
                  <wp:positionH relativeFrom="column">
                    <wp:posOffset>248920</wp:posOffset>
                  </wp:positionH>
                  <wp:positionV relativeFrom="paragraph">
                    <wp:posOffset>1527810</wp:posOffset>
                  </wp:positionV>
                  <wp:extent cx="1224280" cy="1231900"/>
                  <wp:effectExtent l="0" t="0" r="13970" b="6350"/>
                  <wp:wrapNone/>
                  <wp:docPr id="42" name="图片_1_SpCnt_2"/>
                  <wp:cNvGraphicFramePr/>
                  <a:graphic xmlns:a="http://schemas.openxmlformats.org/drawingml/2006/main">
                    <a:graphicData uri="http://schemas.openxmlformats.org/drawingml/2006/picture">
                      <pic:pic xmlns:pic="http://schemas.openxmlformats.org/drawingml/2006/picture">
                        <pic:nvPicPr>
                          <pic:cNvPr id="42" name="图片_1_SpCnt_2"/>
                          <pic:cNvPicPr/>
                        </pic:nvPicPr>
                        <pic:blipFill>
                          <a:blip r:embed="rId40"/>
                          <a:stretch>
                            <a:fillRect/>
                          </a:stretch>
                        </pic:blipFill>
                        <pic:spPr>
                          <a:xfrm>
                            <a:off x="0" y="0"/>
                            <a:ext cx="1224280" cy="12319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45</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柜子</w:t>
            </w:r>
          </w:p>
        </w:tc>
        <w:tc>
          <w:tcPr>
            <w:tcW w:w="15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800*550*2000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2272" behindDoc="0" locked="0" layoutInCell="1" allowOverlap="1">
                  <wp:simplePos x="0" y="0"/>
                  <wp:positionH relativeFrom="column">
                    <wp:posOffset>328930</wp:posOffset>
                  </wp:positionH>
                  <wp:positionV relativeFrom="paragraph">
                    <wp:posOffset>628015</wp:posOffset>
                  </wp:positionV>
                  <wp:extent cx="912495" cy="1148715"/>
                  <wp:effectExtent l="0" t="0" r="1905" b="13335"/>
                  <wp:wrapNone/>
                  <wp:docPr id="43" name="图片_23_SpCnt_5"/>
                  <wp:cNvGraphicFramePr/>
                  <a:graphic xmlns:a="http://schemas.openxmlformats.org/drawingml/2006/main">
                    <a:graphicData uri="http://schemas.openxmlformats.org/drawingml/2006/picture">
                      <pic:pic xmlns:pic="http://schemas.openxmlformats.org/drawingml/2006/picture">
                        <pic:nvPicPr>
                          <pic:cNvPr id="43" name="图片_23_SpCnt_5"/>
                          <pic:cNvPicPr/>
                        </pic:nvPicPr>
                        <pic:blipFill>
                          <a:blip r:embed="rId41"/>
                          <a:stretch>
                            <a:fillRect/>
                          </a:stretch>
                        </pic:blipFill>
                        <pic:spPr>
                          <a:xfrm>
                            <a:off x="0" y="0"/>
                            <a:ext cx="912495" cy="11487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46</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询（讯）问室</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询问桌</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1600*700*760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3、打底：高弹力弹簧及专用弹性绷带作托承。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4、内部：钢制金属框架，无虫蚀、腐朽材，木材经四面刨光处理，结合部位无松动。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5、功能：手动靠背倾仰脚踏回弹结构，配制茶杯位。</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3296" behindDoc="0" locked="0" layoutInCell="1" allowOverlap="1">
                  <wp:simplePos x="0" y="0"/>
                  <wp:positionH relativeFrom="column">
                    <wp:posOffset>100330</wp:posOffset>
                  </wp:positionH>
                  <wp:positionV relativeFrom="paragraph">
                    <wp:posOffset>1096010</wp:posOffset>
                  </wp:positionV>
                  <wp:extent cx="1668780" cy="1540510"/>
                  <wp:effectExtent l="0" t="0" r="7620" b="2540"/>
                  <wp:wrapNone/>
                  <wp:docPr id="44" name="图片_48"/>
                  <wp:cNvGraphicFramePr/>
                  <a:graphic xmlns:a="http://schemas.openxmlformats.org/drawingml/2006/main">
                    <a:graphicData uri="http://schemas.openxmlformats.org/drawingml/2006/picture">
                      <pic:pic xmlns:pic="http://schemas.openxmlformats.org/drawingml/2006/picture">
                        <pic:nvPicPr>
                          <pic:cNvPr id="44" name="图片_48"/>
                          <pic:cNvPicPr/>
                        </pic:nvPicPr>
                        <pic:blipFill>
                          <a:blip r:embed="rId42"/>
                          <a:stretch>
                            <a:fillRect/>
                          </a:stretch>
                        </pic:blipFill>
                        <pic:spPr>
                          <a:xfrm>
                            <a:off x="0" y="0"/>
                            <a:ext cx="1668780" cy="15405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47</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询问椅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3、打底：高弹力弹簧及专用弹性绷带作托承。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4、内部：钢制金属框架，无虫蚀、腐朽材，木材经四面刨光处理，结合部位无松动。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5、功能：手动靠背倾仰脚踏回弹结构，配制茶杯位。</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48</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被审椅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3、打底：高弹力弹簧及专用弹性绷带作托承。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4、内部：钢制金属框架，无虫蚀、腐朽材，木材经四面刨光处理，结合部位无松动。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5、功能：手动靠背倾仰脚踏回弹结构，配制茶杯位。</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49</w:t>
            </w:r>
          </w:p>
        </w:tc>
        <w:tc>
          <w:tcPr>
            <w:tcW w:w="581" w:type="dxa"/>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醒酒区</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醒酒椅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3、打底：高弹力弹簧及专用弹性绷带作托承。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4、内部：钢制金属框架，无虫蚀、腐朽材，木材经四面刨光处理，结合部位无松动。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5、功能：手动靠背倾仰脚踏回弹结构，配制茶杯位。</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4320" behindDoc="0" locked="0" layoutInCell="1" allowOverlap="1">
                  <wp:simplePos x="0" y="0"/>
                  <wp:positionH relativeFrom="column">
                    <wp:posOffset>313055</wp:posOffset>
                  </wp:positionH>
                  <wp:positionV relativeFrom="paragraph">
                    <wp:posOffset>601345</wp:posOffset>
                  </wp:positionV>
                  <wp:extent cx="981710" cy="1353820"/>
                  <wp:effectExtent l="0" t="0" r="8890" b="17780"/>
                  <wp:wrapNone/>
                  <wp:docPr id="45" name="图片_1_SpCnt_3"/>
                  <wp:cNvGraphicFramePr/>
                  <a:graphic xmlns:a="http://schemas.openxmlformats.org/drawingml/2006/main">
                    <a:graphicData uri="http://schemas.openxmlformats.org/drawingml/2006/picture">
                      <pic:pic xmlns:pic="http://schemas.openxmlformats.org/drawingml/2006/picture">
                        <pic:nvPicPr>
                          <pic:cNvPr id="45" name="图片_1_SpCnt_3"/>
                          <pic:cNvPicPr/>
                        </pic:nvPicPr>
                        <pic:blipFill>
                          <a:blip r:embed="rId43"/>
                          <a:stretch>
                            <a:fillRect/>
                          </a:stretch>
                        </pic:blipFill>
                        <pic:spPr>
                          <a:xfrm>
                            <a:off x="0" y="0"/>
                            <a:ext cx="981710" cy="13538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50</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看守区</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看守台</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1400*600*760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3、打底：高弹力弹簧及专用弹性绷带作托承。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4、内部：钢制金属框架，无虫蚀、腐朽材，木材经四面刨光处理，结合部位无松动。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5、功能：手动靠背倾仰脚踏回弹结构，配制茶杯位。</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vMerge w:val="restart"/>
            <w:tcBorders>
              <w:top w:val="single" w:color="000000" w:sz="4" w:space="0"/>
              <w:left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5344" behindDoc="0" locked="0" layoutInCell="1" allowOverlap="1">
                  <wp:simplePos x="0" y="0"/>
                  <wp:positionH relativeFrom="column">
                    <wp:posOffset>175895</wp:posOffset>
                  </wp:positionH>
                  <wp:positionV relativeFrom="paragraph">
                    <wp:posOffset>1886585</wp:posOffset>
                  </wp:positionV>
                  <wp:extent cx="1440180" cy="1109345"/>
                  <wp:effectExtent l="0" t="0" r="7620" b="14605"/>
                  <wp:wrapNone/>
                  <wp:docPr id="46" name="图片_67"/>
                  <wp:cNvGraphicFramePr/>
                  <a:graphic xmlns:a="http://schemas.openxmlformats.org/drawingml/2006/main">
                    <a:graphicData uri="http://schemas.openxmlformats.org/drawingml/2006/picture">
                      <pic:pic xmlns:pic="http://schemas.openxmlformats.org/drawingml/2006/picture">
                        <pic:nvPicPr>
                          <pic:cNvPr id="46" name="图片_67"/>
                          <pic:cNvPicPr/>
                        </pic:nvPicPr>
                        <pic:blipFill>
                          <a:blip r:embed="rId44"/>
                          <a:stretch>
                            <a:fillRect/>
                          </a:stretch>
                        </pic:blipFill>
                        <pic:spPr>
                          <a:xfrm>
                            <a:off x="0" y="0"/>
                            <a:ext cx="1440180" cy="11093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51</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3、打底：高弹力弹簧及专用弹性绷带作托承。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4、内部：钢制金属框架，无虫蚀、腐朽材，木材经四面刨光处理，结合部位无松动。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5、功能：手动靠背倾仰脚踏回弹结构，配制茶杯位。</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vMerge w:val="continue"/>
            <w:tcBorders>
              <w:left w:val="single" w:color="000000" w:sz="4" w:space="0"/>
              <w:bottom w:val="single" w:color="000000" w:sz="4" w:space="0"/>
              <w:right w:val="single" w:color="000000" w:sz="4" w:space="0"/>
            </w:tcBorders>
            <w:noWrap w:val="0"/>
            <w:vAlign w:val="center"/>
          </w:tcPr>
          <w:p>
            <w:pPr>
              <w:jc w:val="left"/>
              <w:rPr>
                <w:rFonts w:hint="eastAsia"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52</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信息采集</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桌子</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1400*700*760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4、五金件：采用阻尼铰链，质量符合QB/T 2189-2013 ，其中耐久性测试80000次；表面无锈蚀痕迹、鼓泡、开裂、毛刺、露底。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6368" behindDoc="0" locked="0" layoutInCell="1" allowOverlap="1">
                  <wp:simplePos x="0" y="0"/>
                  <wp:positionH relativeFrom="column">
                    <wp:posOffset>174625</wp:posOffset>
                  </wp:positionH>
                  <wp:positionV relativeFrom="paragraph">
                    <wp:posOffset>299085</wp:posOffset>
                  </wp:positionV>
                  <wp:extent cx="1394460" cy="876935"/>
                  <wp:effectExtent l="0" t="0" r="15240" b="18415"/>
                  <wp:wrapNone/>
                  <wp:docPr id="47" name="图片_87"/>
                  <wp:cNvGraphicFramePr/>
                  <a:graphic xmlns:a="http://schemas.openxmlformats.org/drawingml/2006/main">
                    <a:graphicData uri="http://schemas.openxmlformats.org/drawingml/2006/picture">
                      <pic:pic xmlns:pic="http://schemas.openxmlformats.org/drawingml/2006/picture">
                        <pic:nvPicPr>
                          <pic:cNvPr id="47" name="图片_87"/>
                          <pic:cNvPicPr/>
                        </pic:nvPicPr>
                        <pic:blipFill>
                          <a:blip r:embed="rId45"/>
                          <a:stretch>
                            <a:fillRect/>
                          </a:stretch>
                        </pic:blipFill>
                        <pic:spPr>
                          <a:xfrm>
                            <a:off x="0" y="0"/>
                            <a:ext cx="1394460" cy="8769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53</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7392" behindDoc="0" locked="0" layoutInCell="1" allowOverlap="1">
                  <wp:simplePos x="0" y="0"/>
                  <wp:positionH relativeFrom="column">
                    <wp:posOffset>320675</wp:posOffset>
                  </wp:positionH>
                  <wp:positionV relativeFrom="paragraph">
                    <wp:posOffset>107950</wp:posOffset>
                  </wp:positionV>
                  <wp:extent cx="708660" cy="958215"/>
                  <wp:effectExtent l="0" t="0" r="15240" b="13335"/>
                  <wp:wrapNone/>
                  <wp:docPr id="48" name="图片_14_SpCnt_11"/>
                  <wp:cNvGraphicFramePr/>
                  <a:graphic xmlns:a="http://schemas.openxmlformats.org/drawingml/2006/main">
                    <a:graphicData uri="http://schemas.openxmlformats.org/drawingml/2006/picture">
                      <pic:pic xmlns:pic="http://schemas.openxmlformats.org/drawingml/2006/picture">
                        <pic:nvPicPr>
                          <pic:cNvPr id="48" name="图片_14_SpCnt_11"/>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54</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快办区/会商区</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调解桌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2400*1200*760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8416" behindDoc="0" locked="0" layoutInCell="1" allowOverlap="1">
                  <wp:simplePos x="0" y="0"/>
                  <wp:positionH relativeFrom="column">
                    <wp:posOffset>226060</wp:posOffset>
                  </wp:positionH>
                  <wp:positionV relativeFrom="paragraph">
                    <wp:posOffset>1325245</wp:posOffset>
                  </wp:positionV>
                  <wp:extent cx="1148715" cy="574675"/>
                  <wp:effectExtent l="0" t="0" r="13335" b="15875"/>
                  <wp:wrapNone/>
                  <wp:docPr id="49" name="图片_29_SpCnt_4"/>
                  <wp:cNvGraphicFramePr/>
                  <a:graphic xmlns:a="http://schemas.openxmlformats.org/drawingml/2006/main">
                    <a:graphicData uri="http://schemas.openxmlformats.org/drawingml/2006/picture">
                      <pic:pic xmlns:pic="http://schemas.openxmlformats.org/drawingml/2006/picture">
                        <pic:nvPicPr>
                          <pic:cNvPr id="49" name="图片_29_SpCnt_4"/>
                          <pic:cNvPicPr/>
                        </pic:nvPicPr>
                        <pic:blipFill>
                          <a:blip r:embed="rId21"/>
                          <a:stretch>
                            <a:fillRect/>
                          </a:stretch>
                        </pic:blipFill>
                        <pic:spPr>
                          <a:xfrm>
                            <a:off x="0" y="0"/>
                            <a:ext cx="1148715" cy="574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55</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09440" behindDoc="0" locked="0" layoutInCell="1" allowOverlap="1">
                  <wp:simplePos x="0" y="0"/>
                  <wp:positionH relativeFrom="column">
                    <wp:posOffset>320675</wp:posOffset>
                  </wp:positionH>
                  <wp:positionV relativeFrom="paragraph">
                    <wp:posOffset>107950</wp:posOffset>
                  </wp:positionV>
                  <wp:extent cx="708660" cy="958215"/>
                  <wp:effectExtent l="0" t="0" r="15240" b="13335"/>
                  <wp:wrapNone/>
                  <wp:docPr id="50" name="图片_14_SpCnt_12"/>
                  <wp:cNvGraphicFramePr/>
                  <a:graphic xmlns:a="http://schemas.openxmlformats.org/drawingml/2006/main">
                    <a:graphicData uri="http://schemas.openxmlformats.org/drawingml/2006/picture">
                      <pic:pic xmlns:pic="http://schemas.openxmlformats.org/drawingml/2006/picture">
                        <pic:nvPicPr>
                          <pic:cNvPr id="50" name="图片_14_SpCnt_12"/>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56</w:t>
            </w:r>
          </w:p>
        </w:tc>
        <w:tc>
          <w:tcPr>
            <w:tcW w:w="581" w:type="dxa"/>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物品寄存</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柜子</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850*600*1800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宝钢0.7mm冷轧钢板经剪切，冲压，折弯，焊接，装配而成；接触人体部分均采用翻边工艺，杜绝快口，不易伤手；采用世界顶尖，无味，无污染，粉末静电喷塑；产品经过脱脂、纯净水清洗、加温除油磷化、表调、干燥工艺，确保表面不含油污及锈蚀；具有耐阳光强射，不易褪色而且易于清洗；焊接部分采用高标准熔接焊，表面平整光洁；表面涂层坚固耐用，耐冲压，耐腐蚀，防潮不易变形。</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0464" behindDoc="0" locked="0" layoutInCell="1" allowOverlap="1">
                  <wp:simplePos x="0" y="0"/>
                  <wp:positionH relativeFrom="column">
                    <wp:posOffset>203200</wp:posOffset>
                  </wp:positionH>
                  <wp:positionV relativeFrom="paragraph">
                    <wp:posOffset>232410</wp:posOffset>
                  </wp:positionV>
                  <wp:extent cx="938530" cy="1153795"/>
                  <wp:effectExtent l="0" t="0" r="13970" b="8255"/>
                  <wp:wrapNone/>
                  <wp:docPr id="51" name="图片_60"/>
                  <wp:cNvGraphicFramePr/>
                  <a:graphic xmlns:a="http://schemas.openxmlformats.org/drawingml/2006/main">
                    <a:graphicData uri="http://schemas.openxmlformats.org/drawingml/2006/picture">
                      <pic:pic xmlns:pic="http://schemas.openxmlformats.org/drawingml/2006/picture">
                        <pic:nvPicPr>
                          <pic:cNvPr id="51" name="图片_60"/>
                          <pic:cNvPicPr/>
                        </pic:nvPicPr>
                        <pic:blipFill>
                          <a:blip r:embed="rId46"/>
                          <a:stretch>
                            <a:fillRect/>
                          </a:stretch>
                        </pic:blipFill>
                        <pic:spPr>
                          <a:xfrm>
                            <a:off x="0" y="0"/>
                            <a:ext cx="938530" cy="11537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57</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办证大厅</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1、面料：采用优质网布饰面，厚度适中。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4、底座及机动：中央平衡倾仰底盘，性能优良；静态锁定，倾仰弹力调节，可调节腰靠。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5、扶手脚架：PP面固定扶手及尼龙五星脚，尼龙黑色轮万向轮，质地坚硬。</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1488" behindDoc="0" locked="0" layoutInCell="1" allowOverlap="1">
                  <wp:simplePos x="0" y="0"/>
                  <wp:positionH relativeFrom="column">
                    <wp:posOffset>570865</wp:posOffset>
                  </wp:positionH>
                  <wp:positionV relativeFrom="paragraph">
                    <wp:posOffset>683260</wp:posOffset>
                  </wp:positionV>
                  <wp:extent cx="532765" cy="717550"/>
                  <wp:effectExtent l="0" t="0" r="635" b="6350"/>
                  <wp:wrapNone/>
                  <wp:docPr id="52" name="图片_14_SpCnt_13"/>
                  <wp:cNvGraphicFramePr/>
                  <a:graphic xmlns:a="http://schemas.openxmlformats.org/drawingml/2006/main">
                    <a:graphicData uri="http://schemas.openxmlformats.org/drawingml/2006/picture">
                      <pic:pic xmlns:pic="http://schemas.openxmlformats.org/drawingml/2006/picture">
                        <pic:nvPicPr>
                          <pic:cNvPr id="52" name="图片_14_SpCnt_13"/>
                          <pic:cNvPicPr/>
                        </pic:nvPicPr>
                        <pic:blipFill>
                          <a:blip r:embed="rId32"/>
                          <a:stretch>
                            <a:fillRect/>
                          </a:stretch>
                        </pic:blipFill>
                        <pic:spPr>
                          <a:xfrm>
                            <a:off x="0" y="0"/>
                            <a:ext cx="532765" cy="7175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58</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等候椅</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四人位</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1、座背椅板为PU材质，一体模具成型，内置铁架+弹簧，铁架采用10*20*2.0mm厚冷轧方管冲压焊接成型。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扶手脚采用1.2mm厚冷轧钢板，冲压、焊接成型，打磨抛光，除油除锈后表面静电喷粉处理。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3、承重支架采用5.0mm冷轧钢板，冲压、焊接成型，打磨抛光，除油除锈后表面静电喷粉处理。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4、承重梁采用直径60mm、厚度2.5mm六角钢管钻孔加工成型，除油除锈后表面静电喷粉处理。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5、调节脚垫：采用黑色PP脚垫，显得更加沉稳大方。</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2512" behindDoc="0" locked="0" layoutInCell="1" allowOverlap="1">
                  <wp:simplePos x="0" y="0"/>
                  <wp:positionH relativeFrom="column">
                    <wp:posOffset>101600</wp:posOffset>
                  </wp:positionH>
                  <wp:positionV relativeFrom="paragraph">
                    <wp:posOffset>31750</wp:posOffset>
                  </wp:positionV>
                  <wp:extent cx="1356360" cy="1068705"/>
                  <wp:effectExtent l="0" t="0" r="15240" b="17145"/>
                  <wp:wrapNone/>
                  <wp:docPr id="53" name="图片_1_SpCnt_4"/>
                  <wp:cNvGraphicFramePr/>
                  <a:graphic xmlns:a="http://schemas.openxmlformats.org/drawingml/2006/main">
                    <a:graphicData uri="http://schemas.openxmlformats.org/drawingml/2006/picture">
                      <pic:pic xmlns:pic="http://schemas.openxmlformats.org/drawingml/2006/picture">
                        <pic:nvPicPr>
                          <pic:cNvPr id="53" name="图片_1_SpCnt_4"/>
                          <pic:cNvPicPr/>
                        </pic:nvPicPr>
                        <pic:blipFill>
                          <a:blip r:embed="rId47"/>
                          <a:stretch>
                            <a:fillRect/>
                          </a:stretch>
                        </pic:blipFill>
                        <pic:spPr>
                          <a:xfrm>
                            <a:off x="0" y="0"/>
                            <a:ext cx="1356360" cy="10687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59</w:t>
            </w:r>
          </w:p>
        </w:tc>
        <w:tc>
          <w:tcPr>
            <w:tcW w:w="581" w:type="dxa"/>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鹿邻灵</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等候椅</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三人位</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1、座背椅板为PU材质，一体模具成型，内置铁架+弹簧，铁架采用10*20*2.0mm厚冷轧方管冲压焊接成型。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扶手脚采用1.2mm厚冷轧钢板，冲压、焊接成型，打磨抛光，除油除锈后表面静电喷粉处理。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3、承重支架采用5.0mm冷轧钢板，冲压、焊接成型，打磨抛光，除油除锈后表面静电喷粉处理。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4、承重梁采用直径60mm、厚度2.5mm六角钢管钻孔加工成型，除油除锈后表面静电喷粉处理。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5、调节脚垫：采用黑色PP脚垫，显得更加沉稳大方。</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3536" behindDoc="0" locked="0" layoutInCell="1" allowOverlap="1">
                  <wp:simplePos x="0" y="0"/>
                  <wp:positionH relativeFrom="column">
                    <wp:posOffset>187325</wp:posOffset>
                  </wp:positionH>
                  <wp:positionV relativeFrom="paragraph">
                    <wp:posOffset>67945</wp:posOffset>
                  </wp:positionV>
                  <wp:extent cx="1270635" cy="1068705"/>
                  <wp:effectExtent l="0" t="0" r="5715" b="17145"/>
                  <wp:wrapNone/>
                  <wp:docPr id="54" name="图片_1_SpCnt_5"/>
                  <wp:cNvGraphicFramePr/>
                  <a:graphic xmlns:a="http://schemas.openxmlformats.org/drawingml/2006/main">
                    <a:graphicData uri="http://schemas.openxmlformats.org/drawingml/2006/picture">
                      <pic:pic xmlns:pic="http://schemas.openxmlformats.org/drawingml/2006/picture">
                        <pic:nvPicPr>
                          <pic:cNvPr id="54" name="图片_1_SpCnt_5"/>
                          <pic:cNvPicPr/>
                        </pic:nvPicPr>
                        <pic:blipFill>
                          <a:blip r:embed="rId48"/>
                          <a:stretch>
                            <a:fillRect/>
                          </a:stretch>
                        </pic:blipFill>
                        <pic:spPr>
                          <a:xfrm>
                            <a:off x="0" y="0"/>
                            <a:ext cx="1270635" cy="10687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60</w:t>
            </w:r>
          </w:p>
        </w:tc>
        <w:tc>
          <w:tcPr>
            <w:tcW w:w="581" w:type="dxa"/>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档案室</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档案柜</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2400*400*2260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宝钢0.7mm冷轧钢板经剪切，冲压，折弯，焊接，装配而成；接触人体部分均采用翻边工艺，杜绝快口，不易伤手；采用世界顶尖，无味，无污染，粉末静电喷塑；产品经过脱脂、纯净水清洗、加温除油磷化、表调、干燥工艺，确保表面不含油污及锈蚀；具有耐阳光强射，不易褪色而且易于清洗；焊接部分采用高标准熔接焊，表面平整光洁；表面涂层坚固耐用，耐冲压，耐腐蚀，防潮不易变形。</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立方米</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4560" behindDoc="0" locked="0" layoutInCell="1" allowOverlap="1">
                  <wp:simplePos x="0" y="0"/>
                  <wp:positionH relativeFrom="column">
                    <wp:posOffset>92075</wp:posOffset>
                  </wp:positionH>
                  <wp:positionV relativeFrom="paragraph">
                    <wp:posOffset>231775</wp:posOffset>
                  </wp:positionV>
                  <wp:extent cx="1365885" cy="798830"/>
                  <wp:effectExtent l="0" t="0" r="5715" b="1270"/>
                  <wp:wrapNone/>
                  <wp:docPr id="55" name="图片_1_SpCnt_6"/>
                  <wp:cNvGraphicFramePr/>
                  <a:graphic xmlns:a="http://schemas.openxmlformats.org/drawingml/2006/main">
                    <a:graphicData uri="http://schemas.openxmlformats.org/drawingml/2006/picture">
                      <pic:pic xmlns:pic="http://schemas.openxmlformats.org/drawingml/2006/picture">
                        <pic:nvPicPr>
                          <pic:cNvPr id="55" name="图片_1_SpCnt_6"/>
                          <pic:cNvPicPr/>
                        </pic:nvPicPr>
                        <pic:blipFill>
                          <a:blip r:embed="rId49"/>
                          <a:stretch>
                            <a:fillRect/>
                          </a:stretch>
                        </pic:blipFill>
                        <pic:spPr>
                          <a:xfrm>
                            <a:off x="0" y="0"/>
                            <a:ext cx="1365885" cy="7988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61</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档案管理室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桌子</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W1500*D1380*H750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落地柜: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W400*D1380*H625</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位</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抽屉三改四·</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5584" behindDoc="0" locked="0" layoutInCell="1" allowOverlap="1">
                  <wp:simplePos x="0" y="0"/>
                  <wp:positionH relativeFrom="column">
                    <wp:posOffset>213995</wp:posOffset>
                  </wp:positionH>
                  <wp:positionV relativeFrom="paragraph">
                    <wp:posOffset>1304290</wp:posOffset>
                  </wp:positionV>
                  <wp:extent cx="1096010" cy="808355"/>
                  <wp:effectExtent l="0" t="0" r="8890" b="10795"/>
                  <wp:wrapNone/>
                  <wp:docPr id="56" name="图片_23_SpCnt_6"/>
                  <wp:cNvGraphicFramePr/>
                  <a:graphic xmlns:a="http://schemas.openxmlformats.org/drawingml/2006/main">
                    <a:graphicData uri="http://schemas.openxmlformats.org/drawingml/2006/picture">
                      <pic:pic xmlns:pic="http://schemas.openxmlformats.org/drawingml/2006/picture">
                        <pic:nvPicPr>
                          <pic:cNvPr id="56" name="图片_23_SpCnt_6"/>
                          <pic:cNvPicPr/>
                        </pic:nvPicPr>
                        <pic:blipFill>
                          <a:blip r:embed="rId19"/>
                          <a:stretch>
                            <a:fillRect/>
                          </a:stretch>
                        </pic:blipFill>
                        <pic:spPr>
                          <a:xfrm>
                            <a:off x="0" y="0"/>
                            <a:ext cx="1096010" cy="8083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62</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6608" behindDoc="0" locked="0" layoutInCell="1" allowOverlap="1">
                  <wp:simplePos x="0" y="0"/>
                  <wp:positionH relativeFrom="column">
                    <wp:posOffset>320675</wp:posOffset>
                  </wp:positionH>
                  <wp:positionV relativeFrom="paragraph">
                    <wp:posOffset>107950</wp:posOffset>
                  </wp:positionV>
                  <wp:extent cx="708660" cy="958215"/>
                  <wp:effectExtent l="0" t="0" r="15240" b="13335"/>
                  <wp:wrapNone/>
                  <wp:docPr id="57" name="图片_14_SpCnt_14"/>
                  <wp:cNvGraphicFramePr/>
                  <a:graphic xmlns:a="http://schemas.openxmlformats.org/drawingml/2006/main">
                    <a:graphicData uri="http://schemas.openxmlformats.org/drawingml/2006/picture">
                      <pic:pic xmlns:pic="http://schemas.openxmlformats.org/drawingml/2006/picture">
                        <pic:nvPicPr>
                          <pic:cNvPr id="57" name="图片_14_SpCnt_14"/>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63</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拍照室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桌子</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1400*700*760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w:t>
            </w: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7632" behindDoc="0" locked="0" layoutInCell="1" allowOverlap="1">
                  <wp:simplePos x="0" y="0"/>
                  <wp:positionH relativeFrom="column">
                    <wp:posOffset>4770120</wp:posOffset>
                  </wp:positionH>
                  <wp:positionV relativeFrom="paragraph">
                    <wp:posOffset>260350</wp:posOffset>
                  </wp:positionV>
                  <wp:extent cx="1394460" cy="876935"/>
                  <wp:effectExtent l="0" t="0" r="15240" b="18415"/>
                  <wp:wrapNone/>
                  <wp:docPr id="58" name="图片_87_SpCnt_1"/>
                  <wp:cNvGraphicFramePr/>
                  <a:graphic xmlns:a="http://schemas.openxmlformats.org/drawingml/2006/main">
                    <a:graphicData uri="http://schemas.openxmlformats.org/drawingml/2006/picture">
                      <pic:pic xmlns:pic="http://schemas.openxmlformats.org/drawingml/2006/picture">
                        <pic:nvPicPr>
                          <pic:cNvPr id="58" name="图片_87_SpCnt_1"/>
                          <pic:cNvPicPr/>
                        </pic:nvPicPr>
                        <pic:blipFill>
                          <a:blip r:embed="rId45"/>
                          <a:stretch>
                            <a:fillRect/>
                          </a:stretch>
                        </pic:blipFill>
                        <pic:spPr>
                          <a:xfrm>
                            <a:off x="0" y="0"/>
                            <a:ext cx="1394460" cy="876935"/>
                          </a:xfrm>
                          <a:prstGeom prst="rect">
                            <a:avLst/>
                          </a:prstGeom>
                          <a:noFill/>
                          <a:ln>
                            <a:noFill/>
                          </a:ln>
                        </pic:spPr>
                      </pic:pic>
                    </a:graphicData>
                  </a:graphic>
                </wp:anchor>
              </w:drawing>
            </w:r>
            <w:r>
              <w:rPr>
                <w:rFonts w:hint="eastAsia" w:ascii="微软雅黑" w:hAnsi="微软雅黑" w:eastAsia="微软雅黑" w:cs="微软雅黑"/>
                <w:color w:val="000000"/>
                <w:kern w:val="0"/>
                <w:sz w:val="18"/>
                <w:szCs w:val="18"/>
                <w:lang w:bidi="ar"/>
              </w:rPr>
              <w:t>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4、五金件：采用阻尼铰链，质量符合QB/T 2189-2013 ，其中耐久性测试80000次；表面无锈蚀痕迹、鼓泡、开裂、毛刺、露底。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64</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1、靠背和扶手：均采用白色全新料加纤框架，透气网布；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2、座包：采用一体成型定型海绵，透气网布；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3、脚架：2.0mm厚度的A3钢材喷白色弓形架。</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8656" behindDoc="0" locked="0" layoutInCell="1" allowOverlap="1">
                  <wp:simplePos x="0" y="0"/>
                  <wp:positionH relativeFrom="column">
                    <wp:posOffset>426085</wp:posOffset>
                  </wp:positionH>
                  <wp:positionV relativeFrom="paragraph">
                    <wp:posOffset>107950</wp:posOffset>
                  </wp:positionV>
                  <wp:extent cx="708660" cy="958215"/>
                  <wp:effectExtent l="0" t="0" r="15240" b="13335"/>
                  <wp:wrapNone/>
                  <wp:docPr id="59" name="图片_14_SpCnt_15"/>
                  <wp:cNvGraphicFramePr/>
                  <a:graphic xmlns:a="http://schemas.openxmlformats.org/drawingml/2006/main">
                    <a:graphicData uri="http://schemas.openxmlformats.org/drawingml/2006/picture">
                      <pic:pic xmlns:pic="http://schemas.openxmlformats.org/drawingml/2006/picture">
                        <pic:nvPicPr>
                          <pic:cNvPr id="59" name="图片_14_SpCnt_15"/>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65</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包厢</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餐桌</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φ2800*760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1、基材：均采用中密度纤维板。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2、面材：面板可选双面贴A级优质（胡桃木、樱桃木、柚木、榉木）木皮，厚度为0.6mm，木皮宽度≥200mm ，木皮纹理颜色一致，无结疤，无瑕疵。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3、配件:采用优质五金配件锁具、轨道、合页等，表面无锈蚀痕迹、鼓泡、开裂、毛刺、露底。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油漆：选用环保油漆,五底三面工艺制作，非显孔亚光，两面均衡油饰,漆膜附着力达到1级，达到色泽美观、不变色、光滑耐磨、手感好，保证油漆面光洁平整，屏蔽密封环保，杜绝出现鼓泡、脱漆等不良现象。</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66</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餐椅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1、基材：均采用中密度纤维板。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2、面材：面板可选双面贴A级优质（胡桃木、樱桃木、柚木、榉木）木皮，厚度为0.6mm，木皮宽度≥200mm ，木皮纹理颜色一致，无结疤，无瑕疵。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3、配件:采用优质五金配件锁具、轨道、合页等，表面无锈蚀痕迹、鼓泡、开裂、毛刺、露底。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油漆：选用环保油漆,五底三面工艺制作，非显孔亚光，两面均衡油饰,漆膜附着力达到1级，达到色泽美观、不变色、光滑耐磨、手感好，保证油漆面光洁平整，屏蔽密封环保，杜绝出现鼓泡、脱漆等不良现象。</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19680" behindDoc="0" locked="0" layoutInCell="1" allowOverlap="1">
                  <wp:simplePos x="0" y="0"/>
                  <wp:positionH relativeFrom="column">
                    <wp:posOffset>438150</wp:posOffset>
                  </wp:positionH>
                  <wp:positionV relativeFrom="paragraph">
                    <wp:posOffset>243205</wp:posOffset>
                  </wp:positionV>
                  <wp:extent cx="1482725" cy="1365250"/>
                  <wp:effectExtent l="0" t="0" r="3175" b="6350"/>
                  <wp:wrapNone/>
                  <wp:docPr id="60" name="图片_2_SpCnt_1"/>
                  <wp:cNvGraphicFramePr/>
                  <a:graphic xmlns:a="http://schemas.openxmlformats.org/drawingml/2006/main">
                    <a:graphicData uri="http://schemas.openxmlformats.org/drawingml/2006/picture">
                      <pic:pic xmlns:pic="http://schemas.openxmlformats.org/drawingml/2006/picture">
                        <pic:nvPicPr>
                          <pic:cNvPr id="60" name="图片_2_SpCnt_1"/>
                          <pic:cNvPicPr/>
                        </pic:nvPicPr>
                        <pic:blipFill>
                          <a:blip r:embed="rId50"/>
                          <a:stretch>
                            <a:fillRect/>
                          </a:stretch>
                        </pic:blipFill>
                        <pic:spPr>
                          <a:xfrm>
                            <a:off x="0" y="0"/>
                            <a:ext cx="1482725" cy="1365250"/>
                          </a:xfrm>
                          <a:prstGeom prst="rect">
                            <a:avLst/>
                          </a:prstGeom>
                          <a:noFill/>
                          <a:ln>
                            <a:noFill/>
                          </a:ln>
                        </pic:spPr>
                      </pic:pic>
                    </a:graphicData>
                  </a:graphic>
                </wp:anchor>
              </w:drawing>
            </w:r>
          </w:p>
        </w:tc>
        <w:tc>
          <w:tcPr>
            <w:tcW w:w="2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67</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茶水柜</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1200*400*850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斜边式拉手代替原有五金拉手更显简洁，环保ABS材料台面线盒（可选配电源、网络、USB）及散热网，静电喷涂方形钢管横梁，并具有隐藏式走线功能，八字形木脚，四平八稳，并且容易清洁使心情愉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6、配件:采用优质五金配件锁具、轨道、合页、连接件等，表面无锈蚀痕迹、鼓泡、开裂、毛刺、露底。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0704" behindDoc="0" locked="0" layoutInCell="1" allowOverlap="1">
                  <wp:simplePos x="0" y="0"/>
                  <wp:positionH relativeFrom="column">
                    <wp:posOffset>243205</wp:posOffset>
                  </wp:positionH>
                  <wp:positionV relativeFrom="paragraph">
                    <wp:posOffset>776605</wp:posOffset>
                  </wp:positionV>
                  <wp:extent cx="1141095" cy="1255395"/>
                  <wp:effectExtent l="0" t="0" r="1905" b="1905"/>
                  <wp:wrapNone/>
                  <wp:docPr id="61" name="图片_150"/>
                  <wp:cNvGraphicFramePr/>
                  <a:graphic xmlns:a="http://schemas.openxmlformats.org/drawingml/2006/main">
                    <a:graphicData uri="http://schemas.openxmlformats.org/drawingml/2006/picture">
                      <pic:pic xmlns:pic="http://schemas.openxmlformats.org/drawingml/2006/picture">
                        <pic:nvPicPr>
                          <pic:cNvPr id="61" name="图片_150"/>
                          <pic:cNvPicPr/>
                        </pic:nvPicPr>
                        <pic:blipFill>
                          <a:blip r:embed="rId34"/>
                          <a:stretch>
                            <a:fillRect/>
                          </a:stretch>
                        </pic:blipFill>
                        <pic:spPr>
                          <a:xfrm>
                            <a:off x="0" y="0"/>
                            <a:ext cx="1141095" cy="12553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68</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就餐区</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餐桌（含玻璃转盘）</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1600*800*760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1、基材：采用E0级实木多层板，质量符合符合GB/T 9846-2015 《普通胶合板》、GB 18580-2017 《室内装饰装修材料 人造板及其制品中甲醛释放限量》、HJ571-2010《环境标志产品技术要求 人造板要求及其制品》标准，甲醛释放量≤0.015mg/m³，总挥发有机化合物（TVOC）释放率≤0.08mg/（㎡·h）（72H）。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2、贴面：面板可选双面贴A级优质木皮，厚度为0.6mm，木皮纹理颜色一致，无结疤，无瑕疵。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3、油漆：选用环保净味油漆，质量符合GB/T18581-2020《木器涂料中有害物质限量》，其中VOC含量、甲醛含量、苯系物总和含量均未检出,五底三面工艺制作，色泽美观、不变色、光滑耐磨。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4、下架：选用冷轧钢材，经脱脂、水洗、酸洗、水洗中和、表调、磷化、干 燥等工艺处理，表面粉末涂料静电喷涂处理。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5、台面带玻璃转盘。</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1728" behindDoc="0" locked="0" layoutInCell="1" allowOverlap="1">
                  <wp:simplePos x="0" y="0"/>
                  <wp:positionH relativeFrom="column">
                    <wp:posOffset>106680</wp:posOffset>
                  </wp:positionH>
                  <wp:positionV relativeFrom="paragraph">
                    <wp:posOffset>1158875</wp:posOffset>
                  </wp:positionV>
                  <wp:extent cx="1292860" cy="975360"/>
                  <wp:effectExtent l="0" t="0" r="2540" b="15240"/>
                  <wp:wrapNone/>
                  <wp:docPr id="62" name="图片_122"/>
                  <wp:cNvGraphicFramePr/>
                  <a:graphic xmlns:a="http://schemas.openxmlformats.org/drawingml/2006/main">
                    <a:graphicData uri="http://schemas.openxmlformats.org/drawingml/2006/picture">
                      <pic:pic xmlns:pic="http://schemas.openxmlformats.org/drawingml/2006/picture">
                        <pic:nvPicPr>
                          <pic:cNvPr id="62" name="图片_122"/>
                          <pic:cNvPicPr/>
                        </pic:nvPicPr>
                        <pic:blipFill>
                          <a:blip r:embed="rId51"/>
                          <a:stretch>
                            <a:fillRect/>
                          </a:stretch>
                        </pic:blipFill>
                        <pic:spPr>
                          <a:xfrm>
                            <a:off x="0" y="0"/>
                            <a:ext cx="1292860" cy="9753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69</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餐椅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采用优质布艺饰面检测符合GB/T2912.1-2009、GB/T7573-2009、GB/T3922-2013、GB/T3920-2008、GB18401-2010，GB/T17592-2011，其中甲醛含量符合B类要求，PH值＞4.0，色牢度达5级，无异味，可分解芳香胺染料未检出，阻燃性能符合GB17927.1-2011且达I级，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3、框架：选用冷轧钢材，经脱脂、水洗、酸洗、水洗中和、表调、磷化、干 燥等工艺处理，表面粉末涂料静电喷涂处理。</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2752" behindDoc="0" locked="0" layoutInCell="1" allowOverlap="1">
                  <wp:simplePos x="0" y="0"/>
                  <wp:positionH relativeFrom="column">
                    <wp:posOffset>348615</wp:posOffset>
                  </wp:positionH>
                  <wp:positionV relativeFrom="paragraph">
                    <wp:posOffset>425450</wp:posOffset>
                  </wp:positionV>
                  <wp:extent cx="909320" cy="915035"/>
                  <wp:effectExtent l="0" t="0" r="5080" b="18415"/>
                  <wp:wrapNone/>
                  <wp:docPr id="63" name="图片_27"/>
                  <wp:cNvGraphicFramePr/>
                  <a:graphic xmlns:a="http://schemas.openxmlformats.org/drawingml/2006/main">
                    <a:graphicData uri="http://schemas.openxmlformats.org/drawingml/2006/picture">
                      <pic:pic xmlns:pic="http://schemas.openxmlformats.org/drawingml/2006/picture">
                        <pic:nvPicPr>
                          <pic:cNvPr id="63" name="图片_27"/>
                          <pic:cNvPicPr/>
                        </pic:nvPicPr>
                        <pic:blipFill>
                          <a:blip r:embed="rId52"/>
                          <a:stretch>
                            <a:fillRect/>
                          </a:stretch>
                        </pic:blipFill>
                        <pic:spPr>
                          <a:xfrm>
                            <a:off x="0" y="0"/>
                            <a:ext cx="909320" cy="9150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70</w:t>
            </w:r>
          </w:p>
        </w:tc>
        <w:tc>
          <w:tcPr>
            <w:tcW w:w="581"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jc w:val="center"/>
              <w:rPr>
                <w:rFonts w:hint="eastAsia" w:ascii="微软雅黑" w:hAnsi="微软雅黑" w:eastAsia="微软雅黑" w:cs="微软雅黑"/>
                <w:color w:val="000000"/>
                <w:sz w:val="18"/>
                <w:szCs w:val="18"/>
              </w:rPr>
            </w:pPr>
          </w:p>
        </w:tc>
        <w:tc>
          <w:tcPr>
            <w:tcW w:w="12702" w:type="dxa"/>
            <w:gridSpan w:val="8"/>
            <w:tcBorders>
              <w:top w:val="single" w:color="000000" w:sz="4" w:space="0"/>
              <w:left w:val="single" w:color="000000" w:sz="4" w:space="0"/>
              <w:bottom w:val="single" w:color="000000" w:sz="4" w:space="0"/>
              <w:right w:val="single" w:color="000000" w:sz="4" w:space="0"/>
            </w:tcBorders>
            <w:shd w:val="clear" w:color="auto" w:fill="92D050"/>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二层</w:t>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71</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党建活动室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会商桌</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3400*1200*760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2、贴面：采用树脂浸渍纸（MFC）贴面。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3、封边：加厚PVC封边，质量符合QB/T4463-2013《家具用封边条技术要求》标准，耐开裂性（耐龟裂性）≥1级；耐老化：无开裂。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3776" behindDoc="0" locked="0" layoutInCell="1" allowOverlap="1">
                  <wp:simplePos x="0" y="0"/>
                  <wp:positionH relativeFrom="column">
                    <wp:posOffset>226060</wp:posOffset>
                  </wp:positionH>
                  <wp:positionV relativeFrom="paragraph">
                    <wp:posOffset>1823720</wp:posOffset>
                  </wp:positionV>
                  <wp:extent cx="1148715" cy="574675"/>
                  <wp:effectExtent l="0" t="0" r="13335" b="15875"/>
                  <wp:wrapNone/>
                  <wp:docPr id="64" name="图片_29_SpCnt_5"/>
                  <wp:cNvGraphicFramePr/>
                  <a:graphic xmlns:a="http://schemas.openxmlformats.org/drawingml/2006/main">
                    <a:graphicData uri="http://schemas.openxmlformats.org/drawingml/2006/picture">
                      <pic:pic xmlns:pic="http://schemas.openxmlformats.org/drawingml/2006/picture">
                        <pic:nvPicPr>
                          <pic:cNvPr id="64" name="图片_29_SpCnt_5"/>
                          <pic:cNvPicPr/>
                        </pic:nvPicPr>
                        <pic:blipFill>
                          <a:blip r:embed="rId21"/>
                          <a:stretch>
                            <a:fillRect/>
                          </a:stretch>
                        </pic:blipFill>
                        <pic:spPr>
                          <a:xfrm>
                            <a:off x="0" y="0"/>
                            <a:ext cx="1148715" cy="574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72</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14"/>
              </w:numPr>
              <w:jc w:val="left"/>
              <w:textAlignment w:val="center"/>
              <w:rPr>
                <w:rFonts w:hint="eastAsia"/>
              </w:rPr>
            </w:pPr>
            <w:r>
              <w:rPr>
                <w:rFonts w:hint="eastAsia"/>
              </w:rPr>
              <w:t>靠背和扶手：均采用白色全新料加纤框架，透气网布；</w:t>
            </w:r>
            <w:r>
              <w:rPr>
                <w:rFonts w:hint="eastAsia"/>
              </w:rPr>
              <w:br w:type="textWrapping"/>
            </w:r>
            <w:r>
              <w:rPr>
                <w:rFonts w:hint="eastAsia"/>
              </w:rPr>
              <w:t>2、座包：采用一体成型定型海绵，透气网布；</w:t>
            </w:r>
            <w:r>
              <w:rPr>
                <w:rFonts w:hint="eastAsia"/>
              </w:rPr>
              <w:br w:type="textWrapping"/>
            </w:r>
            <w:r>
              <w:rPr>
                <w:rFonts w:hint="eastAsia"/>
              </w:rPr>
              <w:t>3、脚架：2.0mm厚度的A3钢材喷白色弓形架。</w:t>
            </w:r>
          </w:p>
          <w:p>
            <w:pPr>
              <w:pStyle w:val="2"/>
              <w:spacing w:before="120"/>
              <w:ind w:firstLine="0"/>
              <w:rPr>
                <w:rFonts w:hint="eastAsia"/>
              </w:rPr>
            </w:pPr>
          </w:p>
          <w:p>
            <w:pPr>
              <w:pStyle w:val="2"/>
              <w:spacing w:before="120"/>
              <w:ind w:firstLine="0"/>
              <w:rPr>
                <w:rFonts w:hint="eastAsia"/>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4800" behindDoc="0" locked="0" layoutInCell="1" allowOverlap="1">
                  <wp:simplePos x="0" y="0"/>
                  <wp:positionH relativeFrom="column">
                    <wp:posOffset>414655</wp:posOffset>
                  </wp:positionH>
                  <wp:positionV relativeFrom="paragraph">
                    <wp:posOffset>32385</wp:posOffset>
                  </wp:positionV>
                  <wp:extent cx="708660" cy="958215"/>
                  <wp:effectExtent l="0" t="0" r="15240" b="13335"/>
                  <wp:wrapNone/>
                  <wp:docPr id="65" name="图片_14_SpCnt_16"/>
                  <wp:cNvGraphicFramePr/>
                  <a:graphic xmlns:a="http://schemas.openxmlformats.org/drawingml/2006/main">
                    <a:graphicData uri="http://schemas.openxmlformats.org/drawingml/2006/picture">
                      <pic:pic xmlns:pic="http://schemas.openxmlformats.org/drawingml/2006/picture">
                        <pic:nvPicPr>
                          <pic:cNvPr id="65" name="图片_14_SpCnt_16"/>
                          <pic:cNvPicPr/>
                        </pic:nvPicPr>
                        <pic:blipFill>
                          <a:blip r:embed="rId20"/>
                          <a:stretch>
                            <a:fillRect/>
                          </a:stretch>
                        </pic:blipFill>
                        <pic:spPr>
                          <a:xfrm>
                            <a:off x="0" y="0"/>
                            <a:ext cx="708660" cy="958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6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73</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阅览室</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阅览桌</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1800*800*760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1.整体为天然实木白蜡木，环保等级在E0级以上且甲醛释放量趋于0，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2.表面为天然木蜡油涂装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3.桌面为20mm厚</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5824" behindDoc="0" locked="0" layoutInCell="1" allowOverlap="1">
                  <wp:simplePos x="0" y="0"/>
                  <wp:positionH relativeFrom="column">
                    <wp:posOffset>199390</wp:posOffset>
                  </wp:positionH>
                  <wp:positionV relativeFrom="paragraph">
                    <wp:posOffset>1187450</wp:posOffset>
                  </wp:positionV>
                  <wp:extent cx="1404620" cy="907415"/>
                  <wp:effectExtent l="0" t="0" r="5080" b="6985"/>
                  <wp:wrapNone/>
                  <wp:docPr id="66" name="图片_68"/>
                  <wp:cNvGraphicFramePr/>
                  <a:graphic xmlns:a="http://schemas.openxmlformats.org/drawingml/2006/main">
                    <a:graphicData uri="http://schemas.openxmlformats.org/drawingml/2006/picture">
                      <pic:pic xmlns:pic="http://schemas.openxmlformats.org/drawingml/2006/picture">
                        <pic:nvPicPr>
                          <pic:cNvPr id="66" name="图片_68"/>
                          <pic:cNvPicPr/>
                        </pic:nvPicPr>
                        <pic:blipFill>
                          <a:blip r:embed="rId53"/>
                          <a:stretch>
                            <a:fillRect/>
                          </a:stretch>
                        </pic:blipFill>
                        <pic:spPr>
                          <a:xfrm>
                            <a:off x="0" y="0"/>
                            <a:ext cx="1404620" cy="9074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6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74</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1000*800*760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1.整体为天然实木白蜡木，环保等级在E0级以上且甲醛释放量趋于0，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2.表面为天然木蜡油涂装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3.桌面为20mm厚</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146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75</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阅览椅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PP塑料一体成形座靠，支撑脚采用E0标准的原生态白蜡木实木，含水率≤3%，甲醛释放量趋于0，含水率，物理力学性能符合GB/T 3324-2008标准规定。</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76</w:t>
            </w:r>
          </w:p>
        </w:tc>
        <w:tc>
          <w:tcPr>
            <w:tcW w:w="581" w:type="dxa"/>
            <w:vMerge w:val="restart"/>
            <w:tcBorders>
              <w:top w:val="single" w:color="000000" w:sz="4" w:space="0"/>
              <w:left w:val="single" w:color="auto" w:sz="4" w:space="0"/>
              <w:bottom w:val="nil"/>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会议室（90M</w:t>
            </w:r>
            <w:r>
              <w:rPr>
                <w:rFonts w:hint="eastAsia" w:ascii="微软雅黑" w:hAnsi="微软雅黑" w:eastAsia="微软雅黑" w:cs="微软雅黑"/>
                <w:color w:val="000000"/>
                <w:kern w:val="0"/>
                <w:sz w:val="18"/>
                <w:szCs w:val="18"/>
                <w:vertAlign w:val="superscript"/>
                <w:lang w:bidi="ar"/>
              </w:rPr>
              <w:t>2</w:t>
            </w:r>
            <w:r>
              <w:rPr>
                <w:rFonts w:hint="eastAsia" w:ascii="微软雅黑" w:hAnsi="微软雅黑" w:eastAsia="微软雅黑" w:cs="微软雅黑"/>
                <w:color w:val="000000"/>
                <w:kern w:val="0"/>
                <w:sz w:val="18"/>
                <w:szCs w:val="18"/>
                <w:lang w:bidi="ar"/>
              </w:rPr>
              <w:t>）</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会议桌</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6500*2400*760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1、基材：均采用中密度纤维板，E0级标准，质量符合GB/T11718-2009《中密度纤维板》、HJ571-2010《环境标志产品技术要求 人造板要求及其制品》标准，含水率≤9%，甲醛释放量≤0.038mg/m3；总挥发性化合物（TVOC）释放率≤0.08mg/（㎡.h）（72H）；静曲强度≥32MPa；内结合强度≥0.48MPa；表面结合强度≥1.14MPa；吸水厚度膨胀率≤12%。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2、面材：面板可选双面贴A级优质木皮，厚度为0.6mm，木皮纹理颜色一致，无结疤，无瑕疵。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3、五金件:采用优质五金五金件锁具、轨道、合页等，表面无锈蚀痕迹、鼓泡、开裂、毛刺、露底。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4、油漆：选用环保净味油漆，质量符合GB/T18581-2020《木器涂料中有害物质限量》，其中VOC含量、甲醛含量、苯系物总和含量均未检出,五底三面工艺制作，色泽美观、不变色、光滑耐磨。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5、功能：带走线功能，预留隐藏式走线槽.</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6848" behindDoc="0" locked="0" layoutInCell="1" allowOverlap="1">
                  <wp:simplePos x="0" y="0"/>
                  <wp:positionH relativeFrom="column">
                    <wp:posOffset>250825</wp:posOffset>
                  </wp:positionH>
                  <wp:positionV relativeFrom="paragraph">
                    <wp:posOffset>750570</wp:posOffset>
                  </wp:positionV>
                  <wp:extent cx="1195070" cy="855345"/>
                  <wp:effectExtent l="0" t="0" r="5080" b="1905"/>
                  <wp:wrapNone/>
                  <wp:docPr id="67" name="图片_69"/>
                  <wp:cNvGraphicFramePr/>
                  <a:graphic xmlns:a="http://schemas.openxmlformats.org/drawingml/2006/main">
                    <a:graphicData uri="http://schemas.openxmlformats.org/drawingml/2006/picture">
                      <pic:pic xmlns:pic="http://schemas.openxmlformats.org/drawingml/2006/picture">
                        <pic:nvPicPr>
                          <pic:cNvPr id="67" name="图片_69"/>
                          <pic:cNvPicPr/>
                        </pic:nvPicPr>
                        <pic:blipFill>
                          <a:blip r:embed="rId54"/>
                          <a:stretch>
                            <a:fillRect/>
                          </a:stretch>
                        </pic:blipFill>
                        <pic:spPr>
                          <a:xfrm>
                            <a:off x="0" y="0"/>
                            <a:ext cx="1195070" cy="8553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77</w:t>
            </w:r>
          </w:p>
        </w:tc>
        <w:tc>
          <w:tcPr>
            <w:tcW w:w="581" w:type="dxa"/>
            <w:vMerge w:val="continue"/>
            <w:tcBorders>
              <w:top w:val="single" w:color="000000" w:sz="4" w:space="0"/>
              <w:left w:val="single" w:color="auto" w:sz="4" w:space="0"/>
              <w:bottom w:val="nil"/>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会议椅</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3、1.8厚电镀扁管扶手连体架，配扪皮扶手面。</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7872" behindDoc="0" locked="0" layoutInCell="1" allowOverlap="1">
                  <wp:simplePos x="0" y="0"/>
                  <wp:positionH relativeFrom="column">
                    <wp:posOffset>351790</wp:posOffset>
                  </wp:positionH>
                  <wp:positionV relativeFrom="paragraph">
                    <wp:posOffset>513715</wp:posOffset>
                  </wp:positionV>
                  <wp:extent cx="824865" cy="1092200"/>
                  <wp:effectExtent l="0" t="0" r="13335" b="12700"/>
                  <wp:wrapNone/>
                  <wp:docPr id="68" name="图片_96"/>
                  <wp:cNvGraphicFramePr/>
                  <a:graphic xmlns:a="http://schemas.openxmlformats.org/drawingml/2006/main">
                    <a:graphicData uri="http://schemas.openxmlformats.org/drawingml/2006/picture">
                      <pic:pic xmlns:pic="http://schemas.openxmlformats.org/drawingml/2006/picture">
                        <pic:nvPicPr>
                          <pic:cNvPr id="68" name="图片_96"/>
                          <pic:cNvPicPr/>
                        </pic:nvPicPr>
                        <pic:blipFill>
                          <a:blip r:embed="rId55"/>
                          <a:stretch>
                            <a:fillRect/>
                          </a:stretch>
                        </pic:blipFill>
                        <pic:spPr>
                          <a:xfrm>
                            <a:off x="0" y="0"/>
                            <a:ext cx="824865" cy="1092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78</w:t>
            </w:r>
          </w:p>
        </w:tc>
        <w:tc>
          <w:tcPr>
            <w:tcW w:w="581" w:type="dxa"/>
            <w:vMerge w:val="continue"/>
            <w:tcBorders>
              <w:top w:val="single" w:color="000000" w:sz="4" w:space="0"/>
              <w:left w:val="single" w:color="auto" w:sz="4" w:space="0"/>
              <w:bottom w:val="nil"/>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矮柜</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800*400*800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斜边式拉手代替原有五金拉手更显简洁，环保ABS材料台面线盒（可选配电源、网络、USB）及散热网，静电喷涂方形钢管横梁，并具有隐藏式走线功能，八字形木脚，四平八稳，并且容易清洁使心情愉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6、配件:采用优质五金配件锁具、轨道、合页、连接件等，表面无锈蚀痕迹、鼓泡、开裂、毛刺、露底。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8896" behindDoc="0" locked="0" layoutInCell="1" allowOverlap="1">
                  <wp:simplePos x="0" y="0"/>
                  <wp:positionH relativeFrom="column">
                    <wp:posOffset>399415</wp:posOffset>
                  </wp:positionH>
                  <wp:positionV relativeFrom="paragraph">
                    <wp:posOffset>612775</wp:posOffset>
                  </wp:positionV>
                  <wp:extent cx="692785" cy="831215"/>
                  <wp:effectExtent l="0" t="0" r="12065" b="6985"/>
                  <wp:wrapNone/>
                  <wp:docPr id="69" name="图片_3_SpCnt_1"/>
                  <wp:cNvGraphicFramePr/>
                  <a:graphic xmlns:a="http://schemas.openxmlformats.org/drawingml/2006/main">
                    <a:graphicData uri="http://schemas.openxmlformats.org/drawingml/2006/picture">
                      <pic:pic xmlns:pic="http://schemas.openxmlformats.org/drawingml/2006/picture">
                        <pic:nvPicPr>
                          <pic:cNvPr id="69" name="图片_3_SpCnt_1"/>
                          <pic:cNvPicPr/>
                        </pic:nvPicPr>
                        <pic:blipFill>
                          <a:blip r:embed="rId27"/>
                          <a:stretch>
                            <a:fillRect/>
                          </a:stretch>
                        </pic:blipFill>
                        <pic:spPr>
                          <a:xfrm>
                            <a:off x="0" y="0"/>
                            <a:ext cx="692785" cy="831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79</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休息区</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休息桌</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φ800*760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1、台面基材：均采用中密度纤维板，E0级标准，质量符合GB/T11718-2009《中密度纤维板》、HJ571-2010《环境标志产品技术要求 人造板要求及其制品》标准，含水率≤9%，甲醛释放量≤0.038mg/m3；总挥发性化合物（TVOC）释放率≤0.08mg/（㎡.h）（72H）；静曲强度≥32MPa；内结合强度≥0.48MPa；表面结合强度≥1.14MPa；吸水厚度膨胀率≤12%。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2、台面面材：面板可选双面贴A级优质水曲柳木皮，厚度为0.6mm，木皮纹理颜色一致，无结疤，无瑕疵。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3、脚架：实木脚架，质地坚硬，纹理自然清晰。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4、油漆：选用环保净味油漆，质量符合GB/T18581-2020《木器涂料中有害物质限量》，其中VOC含量、甲醛含量、苯系物总和含量均未检出,五底三面工艺制作，色泽美观、不变色、光滑耐磨。</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29920" behindDoc="0" locked="0" layoutInCell="1" allowOverlap="1">
                  <wp:simplePos x="0" y="0"/>
                  <wp:positionH relativeFrom="column">
                    <wp:posOffset>407670</wp:posOffset>
                  </wp:positionH>
                  <wp:positionV relativeFrom="paragraph">
                    <wp:posOffset>808990</wp:posOffset>
                  </wp:positionV>
                  <wp:extent cx="843280" cy="1041400"/>
                  <wp:effectExtent l="0" t="0" r="13970" b="6350"/>
                  <wp:wrapNone/>
                  <wp:docPr id="70" name="Picture_209"/>
                  <wp:cNvGraphicFramePr/>
                  <a:graphic xmlns:a="http://schemas.openxmlformats.org/drawingml/2006/main">
                    <a:graphicData uri="http://schemas.openxmlformats.org/drawingml/2006/picture">
                      <pic:pic xmlns:pic="http://schemas.openxmlformats.org/drawingml/2006/picture">
                        <pic:nvPicPr>
                          <pic:cNvPr id="70" name="Picture_209"/>
                          <pic:cNvPicPr/>
                        </pic:nvPicPr>
                        <pic:blipFill>
                          <a:blip r:embed="rId56"/>
                          <a:stretch>
                            <a:fillRect/>
                          </a:stretch>
                        </pic:blipFill>
                        <pic:spPr>
                          <a:xfrm>
                            <a:off x="0" y="0"/>
                            <a:ext cx="843280" cy="10414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80</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0"/>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highlight w:val="red"/>
                <w:lang w:bidi="ar"/>
              </w:rPr>
              <w:t>休息椅</w:t>
            </w:r>
            <w:r>
              <w:rPr>
                <w:rFonts w:hint="eastAsia" w:ascii="微软雅黑" w:hAnsi="微软雅黑" w:eastAsia="微软雅黑" w:cs="微软雅黑"/>
                <w:color w:val="000000"/>
                <w:kern w:val="0"/>
                <w:sz w:val="18"/>
                <w:szCs w:val="18"/>
                <w:highlight w:val="red"/>
                <w:lang w:bidi="ar"/>
              </w:rPr>
              <w:br w:type="textWrapping"/>
            </w:r>
            <w:r>
              <w:rPr>
                <w:rFonts w:hint="eastAsia" w:ascii="微软雅黑" w:hAnsi="微软雅黑" w:eastAsia="微软雅黑" w:cs="微软雅黑"/>
                <w:color w:val="000000"/>
                <w:kern w:val="0"/>
                <w:sz w:val="18"/>
                <w:szCs w:val="18"/>
                <w:highlight w:val="red"/>
                <w:lang w:bidi="ar"/>
              </w:rPr>
              <w:t>（提供样品）</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565*590*840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面料：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3、脚架：纯实木脚架，质地坚硬、油漆处理工艺，纹理自然清晰。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4、油漆：选用环保净味油漆，质量符合GB/T18581-2020《木器涂料中有害物质限量》，其中VOC含量、甲醛含量、苯系物总和含量均未检出,五底三面工艺制作，色泽美观、不变色、光滑耐磨。</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30944" behindDoc="0" locked="0" layoutInCell="1" allowOverlap="1">
                  <wp:simplePos x="0" y="0"/>
                  <wp:positionH relativeFrom="column">
                    <wp:posOffset>398145</wp:posOffset>
                  </wp:positionH>
                  <wp:positionV relativeFrom="paragraph">
                    <wp:posOffset>499745</wp:posOffset>
                  </wp:positionV>
                  <wp:extent cx="858520" cy="1011555"/>
                  <wp:effectExtent l="0" t="0" r="17780" b="17145"/>
                  <wp:wrapNone/>
                  <wp:docPr id="71" name="图片_31"/>
                  <wp:cNvGraphicFramePr/>
                  <a:graphic xmlns:a="http://schemas.openxmlformats.org/drawingml/2006/main">
                    <a:graphicData uri="http://schemas.openxmlformats.org/drawingml/2006/picture">
                      <pic:pic xmlns:pic="http://schemas.openxmlformats.org/drawingml/2006/picture">
                        <pic:nvPicPr>
                          <pic:cNvPr id="71" name="图片_31"/>
                          <pic:cNvPicPr/>
                        </pic:nvPicPr>
                        <pic:blipFill>
                          <a:blip r:embed="rId57"/>
                          <a:stretch>
                            <a:fillRect/>
                          </a:stretch>
                        </pic:blipFill>
                        <pic:spPr>
                          <a:xfrm>
                            <a:off x="0" y="0"/>
                            <a:ext cx="858520" cy="10115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81</w:t>
            </w:r>
          </w:p>
        </w:tc>
        <w:tc>
          <w:tcPr>
            <w:tcW w:w="581" w:type="dxa"/>
            <w:vMerge w:val="restart"/>
            <w:tcBorders>
              <w:top w:val="single" w:color="000000" w:sz="4" w:space="0"/>
              <w:left w:val="single" w:color="auto" w:sz="4" w:space="0"/>
              <w:bottom w:val="single" w:color="000000" w:sz="4" w:space="0"/>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男备勤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31968" behindDoc="0" locked="0" layoutInCell="1" allowOverlap="1">
                  <wp:simplePos x="0" y="0"/>
                  <wp:positionH relativeFrom="column">
                    <wp:posOffset>76200</wp:posOffset>
                  </wp:positionH>
                  <wp:positionV relativeFrom="paragraph">
                    <wp:posOffset>201930</wp:posOffset>
                  </wp:positionV>
                  <wp:extent cx="1381760" cy="925195"/>
                  <wp:effectExtent l="0" t="0" r="8890" b="8255"/>
                  <wp:wrapNone/>
                  <wp:docPr id="72" name="图片_38"/>
                  <wp:cNvGraphicFramePr/>
                  <a:graphic xmlns:a="http://schemas.openxmlformats.org/drawingml/2006/main">
                    <a:graphicData uri="http://schemas.openxmlformats.org/drawingml/2006/picture">
                      <pic:pic xmlns:pic="http://schemas.openxmlformats.org/drawingml/2006/picture">
                        <pic:nvPicPr>
                          <pic:cNvPr id="72" name="图片_38"/>
                          <pic:cNvPicPr/>
                        </pic:nvPicPr>
                        <pic:blipFill>
                          <a:blip r:embed="rId35"/>
                          <a:stretch>
                            <a:fillRect/>
                          </a:stretch>
                        </pic:blipFill>
                        <pic:spPr>
                          <a:xfrm>
                            <a:off x="0" y="0"/>
                            <a:ext cx="1381760" cy="9251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82</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床垫</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1、采用优质品牌。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2、正面7层面料：1层阻燃针织面料，2层三维无胶棉19mm,200g/㎡，3层圆泡海绵15mm,20kg/m³，4层无纺布35g/㎡，5层耐磨纤维棉300g/㎡，6层耐磨纤维棉300g/㎡，7层无纺布35g/㎡。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3、反面3层面料：1层圆泡海绵15mm,20kg/m³，2层三维无胶棉19mm,200g/㎡，3层阻燃针织面料。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4、围边3层面料：1层阻燃针织面料，2层圆泡海绵7mm,20kg/m³，3层无纺布35g/㎡。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5、弹簧床芯：独立袋装弹簧，材质70#碳钢 ，线径2.0mm，160mm弹簧高度，材质70#碳钢线径5.0mm围边钢丝，M型支力簧护边，长边5个，宽边３个（按比例）护边数量。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6、床簧耐久测试达10万次/无损，床垫面料经防螨抗菌处理，弹簧内胆经整体热处理， 全部材料为全新原料。  </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32992" behindDoc="0" locked="0" layoutInCell="1" allowOverlap="1">
                  <wp:simplePos x="0" y="0"/>
                  <wp:positionH relativeFrom="column">
                    <wp:posOffset>44450</wp:posOffset>
                  </wp:positionH>
                  <wp:positionV relativeFrom="paragraph">
                    <wp:posOffset>307975</wp:posOffset>
                  </wp:positionV>
                  <wp:extent cx="1403350" cy="809625"/>
                  <wp:effectExtent l="0" t="0" r="6350" b="9525"/>
                  <wp:wrapNone/>
                  <wp:docPr id="73" name="图片_2_SpCnt_2"/>
                  <wp:cNvGraphicFramePr/>
                  <a:graphic xmlns:a="http://schemas.openxmlformats.org/drawingml/2006/main">
                    <a:graphicData uri="http://schemas.openxmlformats.org/drawingml/2006/picture">
                      <pic:pic xmlns:pic="http://schemas.openxmlformats.org/drawingml/2006/picture">
                        <pic:nvPicPr>
                          <pic:cNvPr id="73" name="图片_2_SpCnt_2"/>
                          <pic:cNvPicPr/>
                        </pic:nvPicPr>
                        <pic:blipFill>
                          <a:blip r:embed="rId36"/>
                          <a:stretch>
                            <a:fillRect/>
                          </a:stretch>
                        </pic:blipFill>
                        <pic:spPr>
                          <a:xfrm>
                            <a:off x="0" y="0"/>
                            <a:ext cx="1403350" cy="8096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83</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床（上下铺）</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1、材质部分：采用实木床采用优质橡胶木全实木。材质纹理细腻，表面结疤少，坚韧耐潮.。木料须经二次烘干处理，含水率低于12%，保证不开裂、不扭曲、不变形。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五金紧固件采用国标标准材料。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艺部分：制作上以传统榫卯工艺做法为主，尽量减少各种胶类材料与五金配件的使用，环保安全可靠，坚固耐用。所有触手可及类锐处均做安全处理，床铺制作工艺与结构应具有整体组装功能设计，增加产品使用的稳固安全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3、油漆部分：油漆采用家具专用环保油漆。采用五底三面工艺。表面光滑，不流挂，无颗粒现象。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【详细参数：4480*1000*2150mm】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1、学生公寓床采用木料规格：立柱70*55mm ；前床杠120*35 mm ；后床杠120*35 mm，横栏120*35 mm ；上铺床栏60*35 mm ；床栏齿60*28 mm,床头3根，前栏5根；从床头靠木料处一直延伸到爬梯，与爬梯立柱连接持平。上铺底面离地面净高1725mm；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2、床板为厚度15 mm的山木条，床板间缝拼接小于或等于10mm，保持透气性；5条45mm*35mm实木档，上铺床板下封E0级5mm橡胶木多层板。四面刨光，四边倒角处理。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3、楼梯：每床半扶栏空缺处设计一个爬梯，爬梯立柱两侧设计上楼抓手孔，楼梯宽度450mm，踏板厚25mm,设计防滑槽。</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34016" behindDoc="0" locked="0" layoutInCell="1" allowOverlap="1">
                  <wp:simplePos x="0" y="0"/>
                  <wp:positionH relativeFrom="column">
                    <wp:posOffset>278765</wp:posOffset>
                  </wp:positionH>
                  <wp:positionV relativeFrom="paragraph">
                    <wp:posOffset>2036445</wp:posOffset>
                  </wp:positionV>
                  <wp:extent cx="1129665" cy="1138555"/>
                  <wp:effectExtent l="0" t="0" r="13335" b="4445"/>
                  <wp:wrapNone/>
                  <wp:docPr id="74" name="图片_1_SpCnt_7"/>
                  <wp:cNvGraphicFramePr/>
                  <a:graphic xmlns:a="http://schemas.openxmlformats.org/drawingml/2006/main">
                    <a:graphicData uri="http://schemas.openxmlformats.org/drawingml/2006/picture">
                      <pic:pic xmlns:pic="http://schemas.openxmlformats.org/drawingml/2006/picture">
                        <pic:nvPicPr>
                          <pic:cNvPr id="74" name="图片_1_SpCnt_7"/>
                          <pic:cNvPicPr/>
                        </pic:nvPicPr>
                        <pic:blipFill>
                          <a:blip r:embed="rId40"/>
                          <a:stretch>
                            <a:fillRect/>
                          </a:stretch>
                        </pic:blipFill>
                        <pic:spPr>
                          <a:xfrm>
                            <a:off x="0" y="0"/>
                            <a:ext cx="1129665" cy="11385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84</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更衣柜</w:t>
            </w:r>
          </w:p>
        </w:tc>
        <w:tc>
          <w:tcPr>
            <w:tcW w:w="15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2080*550*2000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35040" behindDoc="0" locked="0" layoutInCell="1" allowOverlap="1">
                  <wp:simplePos x="0" y="0"/>
                  <wp:positionH relativeFrom="column">
                    <wp:posOffset>364490</wp:posOffset>
                  </wp:positionH>
                  <wp:positionV relativeFrom="paragraph">
                    <wp:posOffset>704215</wp:posOffset>
                  </wp:positionV>
                  <wp:extent cx="912495" cy="1148715"/>
                  <wp:effectExtent l="0" t="0" r="1905" b="13335"/>
                  <wp:wrapNone/>
                  <wp:docPr id="75" name="图片_132"/>
                  <wp:cNvGraphicFramePr/>
                  <a:graphic xmlns:a="http://schemas.openxmlformats.org/drawingml/2006/main">
                    <a:graphicData uri="http://schemas.openxmlformats.org/drawingml/2006/picture">
                      <pic:pic xmlns:pic="http://schemas.openxmlformats.org/drawingml/2006/picture">
                        <pic:nvPicPr>
                          <pic:cNvPr id="75" name="图片_132"/>
                          <pic:cNvPicPr/>
                        </pic:nvPicPr>
                        <pic:blipFill>
                          <a:blip r:embed="rId41"/>
                          <a:stretch>
                            <a:fillRect/>
                          </a:stretch>
                        </pic:blipFill>
                        <pic:spPr>
                          <a:xfrm>
                            <a:off x="0" y="0"/>
                            <a:ext cx="912495" cy="11487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85</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微软雅黑" w:hAnsi="微软雅黑" w:eastAsia="微软雅黑" w:cs="微软雅黑"/>
                <w:color w:val="000000"/>
                <w:sz w:val="18"/>
                <w:szCs w:val="18"/>
              </w:rPr>
            </w:pP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1100*550*2000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36064" behindDoc="0" locked="0" layoutInCell="1" allowOverlap="1">
                  <wp:simplePos x="0" y="0"/>
                  <wp:positionH relativeFrom="column">
                    <wp:posOffset>341630</wp:posOffset>
                  </wp:positionH>
                  <wp:positionV relativeFrom="paragraph">
                    <wp:posOffset>546100</wp:posOffset>
                  </wp:positionV>
                  <wp:extent cx="912495" cy="1148715"/>
                  <wp:effectExtent l="0" t="0" r="1905" b="13335"/>
                  <wp:wrapNone/>
                  <wp:docPr id="76" name="图片_133"/>
                  <wp:cNvGraphicFramePr/>
                  <a:graphic xmlns:a="http://schemas.openxmlformats.org/drawingml/2006/main">
                    <a:graphicData uri="http://schemas.openxmlformats.org/drawingml/2006/picture">
                      <pic:pic xmlns:pic="http://schemas.openxmlformats.org/drawingml/2006/picture">
                        <pic:nvPicPr>
                          <pic:cNvPr id="76" name="图片_133"/>
                          <pic:cNvPicPr/>
                        </pic:nvPicPr>
                        <pic:blipFill>
                          <a:blip r:embed="rId41"/>
                          <a:stretch>
                            <a:fillRect/>
                          </a:stretch>
                        </pic:blipFill>
                        <pic:spPr>
                          <a:xfrm>
                            <a:off x="0" y="0"/>
                            <a:ext cx="912495" cy="11487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86</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微软雅黑" w:hAnsi="微软雅黑" w:eastAsia="微软雅黑" w:cs="微软雅黑"/>
                <w:color w:val="000000"/>
                <w:sz w:val="18"/>
                <w:szCs w:val="18"/>
              </w:rPr>
            </w:pP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1500*550*2000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37088" behindDoc="0" locked="0" layoutInCell="1" allowOverlap="1">
                  <wp:simplePos x="0" y="0"/>
                  <wp:positionH relativeFrom="column">
                    <wp:posOffset>305435</wp:posOffset>
                  </wp:positionH>
                  <wp:positionV relativeFrom="paragraph">
                    <wp:posOffset>52070</wp:posOffset>
                  </wp:positionV>
                  <wp:extent cx="912495" cy="1148715"/>
                  <wp:effectExtent l="0" t="0" r="1905" b="13335"/>
                  <wp:wrapNone/>
                  <wp:docPr id="77" name="图片_134"/>
                  <wp:cNvGraphicFramePr/>
                  <a:graphic xmlns:a="http://schemas.openxmlformats.org/drawingml/2006/main">
                    <a:graphicData uri="http://schemas.openxmlformats.org/drawingml/2006/picture">
                      <pic:pic xmlns:pic="http://schemas.openxmlformats.org/drawingml/2006/picture">
                        <pic:nvPicPr>
                          <pic:cNvPr id="77" name="图片_134"/>
                          <pic:cNvPicPr/>
                        </pic:nvPicPr>
                        <pic:blipFill>
                          <a:blip r:embed="rId41"/>
                          <a:stretch>
                            <a:fillRect/>
                          </a:stretch>
                        </pic:blipFill>
                        <pic:spPr>
                          <a:xfrm>
                            <a:off x="0" y="0"/>
                            <a:ext cx="912495" cy="11487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87</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微软雅黑" w:hAnsi="微软雅黑" w:eastAsia="微软雅黑" w:cs="微软雅黑"/>
                <w:color w:val="000000"/>
                <w:sz w:val="18"/>
                <w:szCs w:val="18"/>
              </w:rPr>
            </w:pPr>
          </w:p>
        </w:tc>
        <w:tc>
          <w:tcPr>
            <w:tcW w:w="15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1000*550*2000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38112" behindDoc="0" locked="0" layoutInCell="1" allowOverlap="1">
                  <wp:simplePos x="0" y="0"/>
                  <wp:positionH relativeFrom="column">
                    <wp:posOffset>306070</wp:posOffset>
                  </wp:positionH>
                  <wp:positionV relativeFrom="paragraph">
                    <wp:posOffset>522605</wp:posOffset>
                  </wp:positionV>
                  <wp:extent cx="912495" cy="1148715"/>
                  <wp:effectExtent l="0" t="0" r="1905" b="13335"/>
                  <wp:wrapNone/>
                  <wp:docPr id="78" name="图片_93"/>
                  <wp:cNvGraphicFramePr/>
                  <a:graphic xmlns:a="http://schemas.openxmlformats.org/drawingml/2006/main">
                    <a:graphicData uri="http://schemas.openxmlformats.org/drawingml/2006/picture">
                      <pic:pic xmlns:pic="http://schemas.openxmlformats.org/drawingml/2006/picture">
                        <pic:nvPicPr>
                          <pic:cNvPr id="78" name="图片_93"/>
                          <pic:cNvPicPr/>
                        </pic:nvPicPr>
                        <pic:blipFill>
                          <a:blip r:embed="rId41"/>
                          <a:stretch>
                            <a:fillRect/>
                          </a:stretch>
                        </pic:blipFill>
                        <pic:spPr>
                          <a:xfrm>
                            <a:off x="0" y="0"/>
                            <a:ext cx="912495" cy="11487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88</w:t>
            </w:r>
          </w:p>
        </w:tc>
        <w:tc>
          <w:tcPr>
            <w:tcW w:w="581" w:type="dxa"/>
            <w:vMerge w:val="continue"/>
            <w:tcBorders>
              <w:top w:val="single" w:color="000000" w:sz="4" w:space="0"/>
              <w:left w:val="single" w:color="auto" w:sz="4" w:space="0"/>
              <w:bottom w:val="single" w:color="000000" w:sz="4" w:space="0"/>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定制矮柜</w:t>
            </w:r>
          </w:p>
        </w:tc>
        <w:tc>
          <w:tcPr>
            <w:tcW w:w="15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4030*550*1200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c>
          <w:tcPr>
            <w:tcW w:w="6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shd w:val="clear" w:color="auto" w:fill="FFFFFF"/>
                <w:lang w:bidi="ar"/>
              </w:rPr>
              <w:drawing>
                <wp:anchor distT="0" distB="0" distL="114300" distR="114300" simplePos="0" relativeHeight="251739136" behindDoc="0" locked="0" layoutInCell="1" allowOverlap="1">
                  <wp:simplePos x="0" y="0"/>
                  <wp:positionH relativeFrom="column">
                    <wp:posOffset>214630</wp:posOffset>
                  </wp:positionH>
                  <wp:positionV relativeFrom="paragraph">
                    <wp:posOffset>664845</wp:posOffset>
                  </wp:positionV>
                  <wp:extent cx="1236980" cy="999490"/>
                  <wp:effectExtent l="0" t="0" r="1270" b="10160"/>
                  <wp:wrapNone/>
                  <wp:docPr id="79" name="图片_95"/>
                  <wp:cNvGraphicFramePr/>
                  <a:graphic xmlns:a="http://schemas.openxmlformats.org/drawingml/2006/main">
                    <a:graphicData uri="http://schemas.openxmlformats.org/drawingml/2006/picture">
                      <pic:pic xmlns:pic="http://schemas.openxmlformats.org/drawingml/2006/picture">
                        <pic:nvPicPr>
                          <pic:cNvPr id="79" name="图片_95"/>
                          <pic:cNvPicPr/>
                        </pic:nvPicPr>
                        <pic:blipFill>
                          <a:blip r:embed="rId58"/>
                          <a:stretch>
                            <a:fillRect/>
                          </a:stretch>
                        </pic:blipFill>
                        <pic:spPr>
                          <a:xfrm>
                            <a:off x="0" y="0"/>
                            <a:ext cx="1236980" cy="9994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89</w:t>
            </w:r>
          </w:p>
        </w:tc>
        <w:tc>
          <w:tcPr>
            <w:tcW w:w="581" w:type="dxa"/>
            <w:vMerge w:val="restart"/>
            <w:tcBorders>
              <w:top w:val="single" w:color="000000" w:sz="4" w:space="0"/>
              <w:left w:val="single" w:color="auto" w:sz="4" w:space="0"/>
              <w:bottom w:val="nil"/>
              <w:right w:val="single" w:color="000000" w:sz="4" w:space="0"/>
            </w:tcBorders>
            <w:shd w:val="clear" w:color="auto" w:fill="BFBFBF"/>
            <w:noWrap/>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女备勤</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40160" behindDoc="0" locked="0" layoutInCell="1" allowOverlap="1">
                  <wp:simplePos x="0" y="0"/>
                  <wp:positionH relativeFrom="column">
                    <wp:posOffset>170180</wp:posOffset>
                  </wp:positionH>
                  <wp:positionV relativeFrom="paragraph">
                    <wp:posOffset>723900</wp:posOffset>
                  </wp:positionV>
                  <wp:extent cx="1381760" cy="925195"/>
                  <wp:effectExtent l="0" t="0" r="8890" b="8255"/>
                  <wp:wrapNone/>
                  <wp:docPr id="80" name="图片_41"/>
                  <wp:cNvGraphicFramePr/>
                  <a:graphic xmlns:a="http://schemas.openxmlformats.org/drawingml/2006/main">
                    <a:graphicData uri="http://schemas.openxmlformats.org/drawingml/2006/picture">
                      <pic:pic xmlns:pic="http://schemas.openxmlformats.org/drawingml/2006/picture">
                        <pic:nvPicPr>
                          <pic:cNvPr id="80" name="图片_41"/>
                          <pic:cNvPicPr/>
                        </pic:nvPicPr>
                        <pic:blipFill>
                          <a:blip r:embed="rId35"/>
                          <a:stretch>
                            <a:fillRect/>
                          </a:stretch>
                        </pic:blipFill>
                        <pic:spPr>
                          <a:xfrm>
                            <a:off x="0" y="0"/>
                            <a:ext cx="1381760" cy="9251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90</w:t>
            </w:r>
          </w:p>
        </w:tc>
        <w:tc>
          <w:tcPr>
            <w:tcW w:w="581" w:type="dxa"/>
            <w:vMerge w:val="continue"/>
            <w:tcBorders>
              <w:top w:val="single" w:color="000000" w:sz="4" w:space="0"/>
              <w:left w:val="single" w:color="auto" w:sz="4" w:space="0"/>
              <w:bottom w:val="nil"/>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床垫</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1、采用优质品牌。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2、正面7层面料：1层阻燃针织面料，2层三维无胶棉19mm,200g/㎡，3层圆泡海绵15mm,20kg/m³，4层无纺布35g/㎡，5层耐磨纤维棉300g/㎡，6层耐磨纤维棉300g/㎡，7层无纺布35g/㎡。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3、反面3层面料：1层圆泡海绵15mm,20kg/m³，2层三维无胶棉19mm,200g/㎡，3层阻燃针织面料。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4、围边3层面料：1层阻燃针织面料，2层圆泡海绵7mm,20kg/m³，3层无纺布35g/㎡。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5、弹簧床芯：独立袋装弹簧，材质70#碳钢 ，线径2.0mm，160mm弹簧高度，材质70#碳钢线径5.0mm围边钢丝，M型支力簧护边，长边5个，宽边３个（按比例）护边数量。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6、床簧耐久测试达10万次/无损，床垫面料经防螨抗菌处理，弹簧内胆经整体热处理， 全部材料为全新原料。  </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41184" behindDoc="0" locked="0" layoutInCell="1" allowOverlap="1">
                  <wp:simplePos x="0" y="0"/>
                  <wp:positionH relativeFrom="column">
                    <wp:posOffset>67945</wp:posOffset>
                  </wp:positionH>
                  <wp:positionV relativeFrom="paragraph">
                    <wp:posOffset>958215</wp:posOffset>
                  </wp:positionV>
                  <wp:extent cx="1403350" cy="809625"/>
                  <wp:effectExtent l="0" t="0" r="6350" b="9525"/>
                  <wp:wrapNone/>
                  <wp:docPr id="81" name="图片_2_SpCnt_3"/>
                  <wp:cNvGraphicFramePr/>
                  <a:graphic xmlns:a="http://schemas.openxmlformats.org/drawingml/2006/main">
                    <a:graphicData uri="http://schemas.openxmlformats.org/drawingml/2006/picture">
                      <pic:pic xmlns:pic="http://schemas.openxmlformats.org/drawingml/2006/picture">
                        <pic:nvPicPr>
                          <pic:cNvPr id="81" name="图片_2_SpCnt_3"/>
                          <pic:cNvPicPr/>
                        </pic:nvPicPr>
                        <pic:blipFill>
                          <a:blip r:embed="rId36"/>
                          <a:stretch>
                            <a:fillRect/>
                          </a:stretch>
                        </pic:blipFill>
                        <pic:spPr>
                          <a:xfrm>
                            <a:off x="0" y="0"/>
                            <a:ext cx="1403350" cy="8096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53"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91</w:t>
            </w:r>
          </w:p>
        </w:tc>
        <w:tc>
          <w:tcPr>
            <w:tcW w:w="581" w:type="dxa"/>
            <w:vMerge w:val="continue"/>
            <w:tcBorders>
              <w:top w:val="single" w:color="000000" w:sz="4" w:space="0"/>
              <w:left w:val="single" w:color="auto" w:sz="4" w:space="0"/>
              <w:bottom w:val="nil"/>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床（上下铺）</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1、材质部分：采用实木床采用优质橡胶木全实木。材质纹理细腻，表面结疤少，坚韧耐潮.。木料须经二次烘干处理，含水率低于12%，保证不开裂、不扭曲、不变形。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五金紧固件采用国标标准材料。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艺部分：制作上以传统榫卯工艺做法为主，尽量减少各种胶类材料与五金配件的使用，环保安全可靠，坚固耐用。所有触手可及类锐处均做安全处理，床铺制作工艺与结构应具有整体组装功能设计，增加产品使用的稳固安全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3、油漆部分：油漆采用家具专用环保油漆。采用五底三面工艺。表面光滑，不流挂，无颗粒现象。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【详细参数：4480*1000*2150mm】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1、学生公寓床采用木料规格：立柱70*55mm ；前床杠120*35 mm ；后床杠120*35 mm，横栏120*35 mm ；上铺床栏60*35 mm ；床栏齿60*28 mm,床头3根，前栏5根；从床头靠木料处一直延伸到爬梯，与爬梯立柱连接持平。上铺底面离地面净高1725mm；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2、床板为厚度15 mm的山木条，床板间缝拼接小于或等于10mm，保持透气性；5条45mm*35mm实木档，上铺床板下封E0级5mm橡胶木多层板。四面刨光，四边倒角处理。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3、楼梯：每床半扶栏空缺处设计一个爬梯，爬梯立柱两侧设计上楼抓手孔，楼梯宽度450mm，踏板厚25mm,设计防滑槽。</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drawing>
                <wp:inline distT="0" distB="0" distL="114300" distR="114300">
                  <wp:extent cx="1352550" cy="1370965"/>
                  <wp:effectExtent l="0" t="0" r="0" b="635"/>
                  <wp:docPr id="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6"/>
                          <pic:cNvPicPr>
                            <a:picLocks noChangeAspect="1"/>
                          </pic:cNvPicPr>
                        </pic:nvPicPr>
                        <pic:blipFill>
                          <a:blip r:embed="rId59"/>
                          <a:stretch>
                            <a:fillRect/>
                          </a:stretch>
                        </pic:blipFill>
                        <pic:spPr>
                          <a:xfrm>
                            <a:off x="0" y="0"/>
                            <a:ext cx="1352550" cy="13709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92</w:t>
            </w:r>
          </w:p>
        </w:tc>
        <w:tc>
          <w:tcPr>
            <w:tcW w:w="581" w:type="dxa"/>
            <w:vMerge w:val="continue"/>
            <w:tcBorders>
              <w:top w:val="single" w:color="000000" w:sz="4" w:space="0"/>
              <w:left w:val="single" w:color="auto" w:sz="4" w:space="0"/>
              <w:bottom w:val="nil"/>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更衣柜</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1500*550*2000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42208" behindDoc="0" locked="0" layoutInCell="1" allowOverlap="1">
                  <wp:simplePos x="0" y="0"/>
                  <wp:positionH relativeFrom="column">
                    <wp:posOffset>405765</wp:posOffset>
                  </wp:positionH>
                  <wp:positionV relativeFrom="paragraph">
                    <wp:posOffset>287655</wp:posOffset>
                  </wp:positionV>
                  <wp:extent cx="912495" cy="1148715"/>
                  <wp:effectExtent l="0" t="0" r="1905" b="13335"/>
                  <wp:wrapNone/>
                  <wp:docPr id="82" name="图片_137"/>
                  <wp:cNvGraphicFramePr/>
                  <a:graphic xmlns:a="http://schemas.openxmlformats.org/drawingml/2006/main">
                    <a:graphicData uri="http://schemas.openxmlformats.org/drawingml/2006/picture">
                      <pic:pic xmlns:pic="http://schemas.openxmlformats.org/drawingml/2006/picture">
                        <pic:nvPicPr>
                          <pic:cNvPr id="82" name="图片_137"/>
                          <pic:cNvPicPr/>
                        </pic:nvPicPr>
                        <pic:blipFill>
                          <a:blip r:embed="rId41"/>
                          <a:stretch>
                            <a:fillRect/>
                          </a:stretch>
                        </pic:blipFill>
                        <pic:spPr>
                          <a:xfrm>
                            <a:off x="0" y="0"/>
                            <a:ext cx="912495" cy="11487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40" w:hRule="atLeast"/>
          <w:jc w:val="center"/>
        </w:trPr>
        <w:tc>
          <w:tcPr>
            <w:tcW w:w="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93</w:t>
            </w:r>
          </w:p>
        </w:tc>
        <w:tc>
          <w:tcPr>
            <w:tcW w:w="581" w:type="dxa"/>
            <w:vMerge w:val="continue"/>
            <w:tcBorders>
              <w:top w:val="single" w:color="000000" w:sz="4" w:space="0"/>
              <w:left w:val="single" w:color="auto" w:sz="4" w:space="0"/>
              <w:bottom w:val="nil"/>
              <w:right w:val="single" w:color="000000" w:sz="4" w:space="0"/>
            </w:tcBorders>
            <w:shd w:val="clear" w:color="auto" w:fill="BFBFBF"/>
            <w:noWrap/>
            <w:vAlign w:val="center"/>
          </w:tcPr>
          <w:p>
            <w:pPr>
              <w:jc w:val="center"/>
              <w:rPr>
                <w:rFonts w:hint="eastAsia" w:ascii="微软雅黑" w:hAnsi="微软雅黑" w:eastAsia="微软雅黑" w:cs="微软雅黑"/>
                <w:color w:val="000000"/>
                <w:sz w:val="18"/>
                <w:szCs w:val="18"/>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微软雅黑" w:hAnsi="微软雅黑" w:eastAsia="微软雅黑" w:cs="微软雅黑"/>
                <w:color w:val="000000"/>
                <w:sz w:val="18"/>
                <w:szCs w:val="18"/>
              </w:rPr>
            </w:pPr>
          </w:p>
        </w:tc>
        <w:tc>
          <w:tcPr>
            <w:tcW w:w="15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1000*550*2000</w:t>
            </w:r>
          </w:p>
        </w:tc>
        <w:tc>
          <w:tcPr>
            <w:tcW w:w="46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1、基材：均采用实木颗粒板符合GB18580-2017，甲醛释放量≤0.124mg/m³,E1级标准。，抗弯力强，不易变形。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2、贴面：MFC贴面，防火，并具阻燃、耐磨性强、清洁方便等特点；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3、封边：加厚PVC封边，无胶激光工艺处理。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4、脚架：均为橡胶木实木框架结构，表面采用环保净味漆喷涂。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5、功能特征：台面斜边造型更显灵动，八字形木脚，四平八稳。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6、配件:采用优质五金配件连接件等，表面无锈蚀痕迹、鼓泡、开裂、毛刺、露底。</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自选</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57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 w:val="18"/>
                <w:szCs w:val="18"/>
              </w:rPr>
            </w:pP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43232" behindDoc="0" locked="0" layoutInCell="1" allowOverlap="1">
                  <wp:simplePos x="0" y="0"/>
                  <wp:positionH relativeFrom="column">
                    <wp:posOffset>417195</wp:posOffset>
                  </wp:positionH>
                  <wp:positionV relativeFrom="paragraph">
                    <wp:posOffset>487680</wp:posOffset>
                  </wp:positionV>
                  <wp:extent cx="912495" cy="1148715"/>
                  <wp:effectExtent l="0" t="0" r="1905" b="13335"/>
                  <wp:wrapNone/>
                  <wp:docPr id="83" name="图片_92"/>
                  <wp:cNvGraphicFramePr/>
                  <a:graphic xmlns:a="http://schemas.openxmlformats.org/drawingml/2006/main">
                    <a:graphicData uri="http://schemas.openxmlformats.org/drawingml/2006/picture">
                      <pic:pic xmlns:pic="http://schemas.openxmlformats.org/drawingml/2006/picture">
                        <pic:nvPicPr>
                          <pic:cNvPr id="83" name="图片_92"/>
                          <pic:cNvPicPr/>
                        </pic:nvPicPr>
                        <pic:blipFill>
                          <a:blip r:embed="rId41"/>
                          <a:stretch>
                            <a:fillRect/>
                          </a:stretch>
                        </pic:blipFill>
                        <pic:spPr>
                          <a:xfrm>
                            <a:off x="0" y="0"/>
                            <a:ext cx="912495" cy="1148715"/>
                          </a:xfrm>
                          <a:prstGeom prst="rect">
                            <a:avLst/>
                          </a:prstGeom>
                          <a:noFill/>
                          <a:ln>
                            <a:noFill/>
                          </a:ln>
                        </pic:spPr>
                      </pic:pic>
                    </a:graphicData>
                  </a:graphic>
                </wp:anchor>
              </w:drawing>
            </w:r>
          </w:p>
        </w:tc>
      </w:tr>
    </w:tbl>
    <w:p>
      <w:pPr>
        <w:spacing w:line="360" w:lineRule="auto"/>
        <w:rPr>
          <w:rFonts w:hint="eastAsia" w:ascii="宋体" w:hAnsi="宋体" w:cs="宋体"/>
          <w:b/>
          <w:bCs/>
          <w:sz w:val="22"/>
          <w:szCs w:val="22"/>
        </w:rPr>
      </w:pPr>
    </w:p>
    <w:p>
      <w:pPr>
        <w:spacing w:line="360" w:lineRule="auto"/>
        <w:rPr>
          <w:rFonts w:hint="eastAsia" w:ascii="宋体" w:hAnsi="宋体" w:cs="宋体"/>
          <w:b/>
          <w:bCs/>
          <w:sz w:val="22"/>
          <w:szCs w:val="22"/>
        </w:rPr>
      </w:pPr>
      <w:r>
        <w:rPr>
          <w:rFonts w:hint="eastAsia" w:ascii="宋体" w:hAnsi="宋体" w:cs="宋体"/>
          <w:b/>
          <w:bCs/>
          <w:sz w:val="22"/>
          <w:szCs w:val="22"/>
        </w:rPr>
        <w:t>注：1、供应商在磋商文件中必须注明所投产品的品牌及型号、产地等。</w:t>
      </w:r>
    </w:p>
    <w:p>
      <w:pPr>
        <w:numPr>
          <w:ilvl w:val="0"/>
          <w:numId w:val="15"/>
        </w:numPr>
        <w:spacing w:line="360" w:lineRule="auto"/>
        <w:rPr>
          <w:rFonts w:hint="eastAsia" w:ascii="宋体" w:hAnsi="宋体" w:cs="宋体"/>
          <w:b/>
          <w:bCs/>
          <w:sz w:val="22"/>
          <w:szCs w:val="22"/>
        </w:rPr>
      </w:pPr>
      <w:r>
        <w:rPr>
          <w:rFonts w:hint="eastAsia" w:ascii="宋体" w:hAnsi="宋体" w:cs="宋体"/>
          <w:b/>
          <w:bCs/>
          <w:sz w:val="22"/>
          <w:szCs w:val="22"/>
        </w:rPr>
        <w:t>供应商送货时，须按使用单位要求安装、摆放。</w:t>
      </w:r>
    </w:p>
    <w:p>
      <w:pPr>
        <w:pStyle w:val="8"/>
        <w:ind w:firstLine="0" w:firstLineChars="0"/>
        <w:rPr>
          <w:rFonts w:hint="eastAsia"/>
        </w:rPr>
        <w:sectPr>
          <w:footerReference r:id="rId8" w:type="default"/>
          <w:pgSz w:w="16838" w:h="11906" w:orient="landscape"/>
          <w:pgMar w:top="1134" w:right="1134" w:bottom="1134" w:left="686" w:header="851" w:footer="992" w:gutter="0"/>
          <w:cols w:space="720" w:num="1"/>
          <w:docGrid w:linePitch="312" w:charSpace="0"/>
        </w:sectPr>
      </w:pPr>
    </w:p>
    <w:p>
      <w:pPr>
        <w:tabs>
          <w:tab w:val="left" w:pos="3066"/>
        </w:tabs>
        <w:adjustRightInd w:val="0"/>
        <w:snapToGrid w:val="0"/>
        <w:spacing w:line="348" w:lineRule="auto"/>
        <w:rPr>
          <w:rFonts w:hint="eastAsia" w:ascii="宋体" w:hAnsi="宋体" w:cs="宋体"/>
          <w:b/>
          <w:bCs/>
          <w:sz w:val="22"/>
          <w:szCs w:val="22"/>
        </w:rPr>
      </w:pPr>
      <w:r>
        <w:rPr>
          <w:rFonts w:hint="eastAsia" w:ascii="宋体" w:hAnsi="宋体" w:cs="宋体"/>
          <w:b/>
          <w:bCs/>
          <w:sz w:val="22"/>
          <w:szCs w:val="22"/>
        </w:rPr>
        <w:t>（二）样品：</w:t>
      </w:r>
    </w:p>
    <w:p>
      <w:pPr>
        <w:tabs>
          <w:tab w:val="left" w:pos="3066"/>
        </w:tabs>
        <w:adjustRightInd w:val="0"/>
        <w:snapToGrid w:val="0"/>
        <w:spacing w:line="348" w:lineRule="auto"/>
        <w:ind w:firstLine="442" w:firstLineChars="200"/>
        <w:rPr>
          <w:rFonts w:hint="eastAsia" w:ascii="宋体" w:hAnsi="宋体" w:cs="宋体"/>
          <w:b/>
          <w:bCs/>
          <w:sz w:val="22"/>
          <w:szCs w:val="22"/>
        </w:rPr>
      </w:pPr>
      <w:r>
        <w:rPr>
          <w:rFonts w:hint="eastAsia" w:ascii="宋体" w:hAnsi="宋体" w:cs="宋体"/>
          <w:b/>
          <w:bCs/>
          <w:sz w:val="22"/>
          <w:szCs w:val="22"/>
        </w:rPr>
        <w:t>1、开标提供样品清单：</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612"/>
        <w:gridCol w:w="7900"/>
        <w:gridCol w:w="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28" w:type="dxa"/>
            <w:gridSpan w:val="2"/>
            <w:noWrap w:val="0"/>
            <w:vAlign w:val="center"/>
          </w:tcPr>
          <w:p>
            <w:pPr>
              <w:spacing w:line="240" w:lineRule="exact"/>
              <w:jc w:val="center"/>
              <w:rPr>
                <w:rFonts w:hint="eastAsia" w:ascii="宋体" w:hAnsi="宋体" w:cs="宋体"/>
                <w:sz w:val="22"/>
                <w:szCs w:val="22"/>
              </w:rPr>
            </w:pPr>
            <w:r>
              <w:rPr>
                <w:rFonts w:hint="eastAsia" w:ascii="宋体" w:hAnsi="宋体" w:cs="宋体"/>
                <w:sz w:val="22"/>
                <w:szCs w:val="22"/>
              </w:rPr>
              <w:t>样品名称</w:t>
            </w:r>
          </w:p>
        </w:tc>
        <w:tc>
          <w:tcPr>
            <w:tcW w:w="7900" w:type="dxa"/>
            <w:noWrap w:val="0"/>
            <w:vAlign w:val="center"/>
          </w:tcPr>
          <w:p>
            <w:pPr>
              <w:spacing w:line="240" w:lineRule="exact"/>
              <w:jc w:val="center"/>
              <w:rPr>
                <w:rFonts w:hint="eastAsia" w:ascii="宋体" w:hAnsi="宋体" w:cs="宋体"/>
                <w:sz w:val="22"/>
                <w:szCs w:val="22"/>
              </w:rPr>
            </w:pPr>
            <w:r>
              <w:rPr>
                <w:rFonts w:hint="eastAsia" w:ascii="宋体" w:hAnsi="宋体" w:cs="宋体"/>
                <w:sz w:val="22"/>
                <w:szCs w:val="22"/>
              </w:rPr>
              <w:t>要求</w:t>
            </w:r>
          </w:p>
        </w:tc>
        <w:tc>
          <w:tcPr>
            <w:tcW w:w="465" w:type="dxa"/>
            <w:noWrap w:val="0"/>
            <w:vAlign w:val="center"/>
          </w:tcPr>
          <w:p>
            <w:pPr>
              <w:spacing w:line="240" w:lineRule="exact"/>
              <w:jc w:val="center"/>
              <w:rPr>
                <w:rFonts w:hint="eastAsia" w:ascii="宋体" w:hAnsi="宋体" w:cs="宋体"/>
                <w:sz w:val="22"/>
                <w:szCs w:val="22"/>
              </w:rPr>
            </w:pPr>
            <w:r>
              <w:rPr>
                <w:rFonts w:hint="eastAsia" w:ascii="宋体" w:hAnsi="宋体" w:cs="宋体"/>
                <w:sz w:val="22"/>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jc w:val="center"/>
        </w:trPr>
        <w:tc>
          <w:tcPr>
            <w:tcW w:w="616" w:type="dxa"/>
            <w:noWrap w:val="0"/>
            <w:vAlign w:val="center"/>
          </w:tcPr>
          <w:p>
            <w:pPr>
              <w:spacing w:line="240" w:lineRule="exact"/>
              <w:jc w:val="center"/>
              <w:rPr>
                <w:rFonts w:hint="eastAsia" w:ascii="宋体" w:hAnsi="宋体" w:cs="宋体"/>
                <w:sz w:val="22"/>
                <w:szCs w:val="22"/>
              </w:rPr>
            </w:pPr>
            <w:r>
              <w:rPr>
                <w:rFonts w:hint="eastAsia" w:ascii="宋体" w:hAnsi="宋体" w:cs="宋体"/>
                <w:sz w:val="22"/>
                <w:szCs w:val="22"/>
              </w:rPr>
              <w:t>办公桌</w:t>
            </w:r>
          </w:p>
          <w:p>
            <w:pPr>
              <w:spacing w:line="240" w:lineRule="exact"/>
              <w:jc w:val="center"/>
              <w:rPr>
                <w:rFonts w:hint="eastAsia" w:ascii="宋体" w:hAnsi="宋体" w:cs="宋体"/>
                <w:sz w:val="22"/>
                <w:szCs w:val="22"/>
              </w:rPr>
            </w:pPr>
          </w:p>
        </w:tc>
        <w:tc>
          <w:tcPr>
            <w:tcW w:w="1612" w:type="dxa"/>
            <w:noWrap w:val="0"/>
            <w:vAlign w:val="center"/>
          </w:tcPr>
          <w:p>
            <w:pPr>
              <w:spacing w:line="240" w:lineRule="exact"/>
              <w:jc w:val="center"/>
              <w:rPr>
                <w:rFonts w:hint="eastAsia" w:ascii="宋体" w:hAnsi="宋体" w:cs="宋体"/>
                <w:sz w:val="22"/>
                <w:szCs w:val="22"/>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44256" behindDoc="0" locked="0" layoutInCell="1" allowOverlap="1">
                  <wp:simplePos x="0" y="0"/>
                  <wp:positionH relativeFrom="column">
                    <wp:posOffset>33655</wp:posOffset>
                  </wp:positionH>
                  <wp:positionV relativeFrom="paragraph">
                    <wp:posOffset>436245</wp:posOffset>
                  </wp:positionV>
                  <wp:extent cx="820420" cy="895985"/>
                  <wp:effectExtent l="0" t="0" r="17780" b="18415"/>
                  <wp:wrapNone/>
                  <wp:docPr id="84" name="图片_23"/>
                  <wp:cNvGraphicFramePr/>
                  <a:graphic xmlns:a="http://schemas.openxmlformats.org/drawingml/2006/main">
                    <a:graphicData uri="http://schemas.openxmlformats.org/drawingml/2006/picture">
                      <pic:pic xmlns:pic="http://schemas.openxmlformats.org/drawingml/2006/picture">
                        <pic:nvPicPr>
                          <pic:cNvPr id="84" name="图片_23"/>
                          <pic:cNvPicPr/>
                        </pic:nvPicPr>
                        <pic:blipFill>
                          <a:blip r:embed="rId19"/>
                          <a:stretch>
                            <a:fillRect/>
                          </a:stretch>
                        </pic:blipFill>
                        <pic:spPr>
                          <a:xfrm>
                            <a:off x="0" y="0"/>
                            <a:ext cx="820420" cy="895985"/>
                          </a:xfrm>
                          <a:prstGeom prst="rect">
                            <a:avLst/>
                          </a:prstGeom>
                          <a:noFill/>
                          <a:ln>
                            <a:noFill/>
                          </a:ln>
                        </pic:spPr>
                      </pic:pic>
                    </a:graphicData>
                  </a:graphic>
                </wp:anchor>
              </w:drawing>
            </w:r>
          </w:p>
        </w:tc>
        <w:tc>
          <w:tcPr>
            <w:tcW w:w="7900" w:type="dxa"/>
            <w:noWrap w:val="0"/>
            <w:vAlign w:val="center"/>
          </w:tcPr>
          <w:p>
            <w:pPr>
              <w:spacing w:line="360" w:lineRule="auto"/>
              <w:jc w:val="left"/>
              <w:rPr>
                <w:rFonts w:hint="eastAsia" w:ascii="宋体" w:hAnsi="宋体" w:cs="宋体"/>
                <w:sz w:val="22"/>
                <w:szCs w:val="22"/>
              </w:rPr>
            </w:pPr>
            <w:r>
              <w:rPr>
                <w:rFonts w:hint="eastAsia" w:ascii="宋体" w:hAnsi="宋体" w:cs="宋体"/>
                <w:kern w:val="0"/>
                <w:sz w:val="22"/>
                <w:szCs w:val="22"/>
              </w:rPr>
              <w:t>1、基材：选用E0级实木颗粒板，质量符合GB/T15102-2017《浸渍胶膜纸饰面纤维板和实木颗粒板》、GB 18580-2017 《室内装饰装修材料 人造板及其制品中甲醛释放限量》、HJ571-2010《环境标志产品技术要求 人造板要求及其制品》标准，甲醛释放量≤0.02mg/m³ ；总挥发性化合物（TVOC）释放率≤0.08mg/（㎡.h）（72H）；静曲强度≥12MPa；内结合强度≥0.4MPa；表面胶合强度≥0.6MPa；握螺钉力：板面≥1000N;板边≥1000N，抗弯力强，不易变形。</w:t>
            </w:r>
            <w:r>
              <w:rPr>
                <w:rFonts w:hint="eastAsia" w:ascii="宋体" w:hAnsi="宋体" w:cs="宋体"/>
                <w:kern w:val="0"/>
                <w:sz w:val="22"/>
                <w:szCs w:val="22"/>
              </w:rPr>
              <w:br w:type="textWrapping"/>
            </w:r>
            <w:r>
              <w:rPr>
                <w:rFonts w:hint="eastAsia" w:ascii="宋体" w:hAnsi="宋体" w:cs="宋体"/>
                <w:kern w:val="0"/>
                <w:sz w:val="22"/>
                <w:szCs w:val="22"/>
              </w:rPr>
              <w:t>2、贴面：采用树脂浸渍纸（MFC）贴面。</w:t>
            </w:r>
            <w:r>
              <w:rPr>
                <w:rFonts w:hint="eastAsia" w:ascii="宋体" w:hAnsi="宋体" w:cs="宋体"/>
                <w:kern w:val="0"/>
                <w:sz w:val="22"/>
                <w:szCs w:val="22"/>
              </w:rPr>
              <w:br w:type="textWrapping"/>
            </w:r>
            <w:r>
              <w:rPr>
                <w:rFonts w:hint="eastAsia" w:ascii="宋体" w:hAnsi="宋体" w:cs="宋体"/>
                <w:kern w:val="0"/>
                <w:sz w:val="22"/>
                <w:szCs w:val="22"/>
              </w:rPr>
              <w:t>3、封边：加厚PVC封边，质量符合QB/T4463-2013《家具用封边条技术要求》标准，耐开裂性（耐龟裂性）≥1级；耐老化：无开裂。</w:t>
            </w:r>
            <w:r>
              <w:rPr>
                <w:rFonts w:hint="eastAsia" w:ascii="宋体" w:hAnsi="宋体" w:cs="宋体"/>
                <w:kern w:val="0"/>
                <w:sz w:val="22"/>
                <w:szCs w:val="22"/>
              </w:rPr>
              <w:br w:type="textWrapping"/>
            </w:r>
            <w:r>
              <w:rPr>
                <w:rFonts w:hint="eastAsia" w:ascii="宋体" w:hAnsi="宋体" w:cs="宋体"/>
                <w:kern w:val="0"/>
                <w:sz w:val="22"/>
                <w:szCs w:val="22"/>
              </w:rPr>
              <w:t>4、脚架：均为橡胶木实木框架结构，表面采用环保净味漆喷涂。</w:t>
            </w:r>
            <w:r>
              <w:rPr>
                <w:rFonts w:hint="eastAsia" w:ascii="宋体" w:hAnsi="宋体" w:cs="宋体"/>
                <w:kern w:val="0"/>
                <w:sz w:val="22"/>
                <w:szCs w:val="22"/>
              </w:rPr>
              <w:br w:type="textWrapping"/>
            </w:r>
            <w:r>
              <w:rPr>
                <w:rFonts w:hint="eastAsia" w:ascii="宋体" w:hAnsi="宋体" w:cs="宋体"/>
                <w:kern w:val="0"/>
                <w:sz w:val="22"/>
                <w:szCs w:val="22"/>
              </w:rPr>
              <w:t>5、功能特征：台面斜边造型更显灵动，八字形木脚，四平八稳。</w:t>
            </w:r>
          </w:p>
        </w:tc>
        <w:tc>
          <w:tcPr>
            <w:tcW w:w="465" w:type="dxa"/>
            <w:noWrap w:val="0"/>
            <w:vAlign w:val="center"/>
          </w:tcPr>
          <w:p>
            <w:pPr>
              <w:spacing w:line="240" w:lineRule="exact"/>
              <w:jc w:val="center"/>
              <w:rPr>
                <w:rFonts w:hint="eastAsia" w:ascii="宋体" w:hAnsi="宋体" w:cs="宋体"/>
                <w:sz w:val="22"/>
                <w:szCs w:val="22"/>
              </w:rPr>
            </w:pPr>
            <w:r>
              <w:rPr>
                <w:rFonts w:hint="eastAsia" w:ascii="宋体" w:hAnsi="宋体" w:cs="宋体"/>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7" w:hRule="atLeast"/>
          <w:jc w:val="center"/>
        </w:trPr>
        <w:tc>
          <w:tcPr>
            <w:tcW w:w="616" w:type="dxa"/>
            <w:noWrap w:val="0"/>
            <w:vAlign w:val="center"/>
          </w:tcPr>
          <w:p>
            <w:pPr>
              <w:spacing w:line="240" w:lineRule="exact"/>
              <w:jc w:val="center"/>
              <w:rPr>
                <w:rFonts w:hint="eastAsia" w:ascii="宋体" w:hAnsi="宋体" w:cs="宋体"/>
                <w:sz w:val="22"/>
                <w:szCs w:val="22"/>
              </w:rPr>
            </w:pPr>
            <w:r>
              <w:rPr>
                <w:rFonts w:hint="eastAsia" w:ascii="宋体" w:hAnsi="宋体" w:cs="宋体"/>
                <w:sz w:val="22"/>
                <w:szCs w:val="22"/>
              </w:rPr>
              <w:t>休息椅</w:t>
            </w:r>
          </w:p>
        </w:tc>
        <w:tc>
          <w:tcPr>
            <w:tcW w:w="1612" w:type="dxa"/>
            <w:noWrap w:val="0"/>
            <w:vAlign w:val="center"/>
          </w:tcPr>
          <w:p>
            <w:pPr>
              <w:spacing w:line="240" w:lineRule="exact"/>
              <w:jc w:val="center"/>
              <w:rPr>
                <w:rFonts w:hint="eastAsia" w:ascii="宋体" w:hAnsi="宋体" w:cs="宋体"/>
                <w:sz w:val="22"/>
                <w:szCs w:val="22"/>
              </w:rPr>
            </w:pPr>
            <w:r>
              <w:rPr>
                <w:rFonts w:hint="eastAsia" w:ascii="微软雅黑" w:hAnsi="微软雅黑" w:eastAsia="微软雅黑" w:cs="微软雅黑"/>
                <w:color w:val="000000"/>
                <w:kern w:val="0"/>
                <w:sz w:val="18"/>
                <w:szCs w:val="18"/>
                <w:bdr w:val="single" w:color="000000" w:sz="4" w:space="0"/>
                <w:lang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1080135</wp:posOffset>
                  </wp:positionV>
                  <wp:extent cx="858520" cy="1011555"/>
                  <wp:effectExtent l="0" t="0" r="17780" b="17145"/>
                  <wp:wrapNone/>
                  <wp:docPr id="85" name="图片_31"/>
                  <wp:cNvGraphicFramePr/>
                  <a:graphic xmlns:a="http://schemas.openxmlformats.org/drawingml/2006/main">
                    <a:graphicData uri="http://schemas.openxmlformats.org/drawingml/2006/picture">
                      <pic:pic xmlns:pic="http://schemas.openxmlformats.org/drawingml/2006/picture">
                        <pic:nvPicPr>
                          <pic:cNvPr id="85" name="图片_31"/>
                          <pic:cNvPicPr/>
                        </pic:nvPicPr>
                        <pic:blipFill>
                          <a:blip r:embed="rId57"/>
                          <a:stretch>
                            <a:fillRect/>
                          </a:stretch>
                        </pic:blipFill>
                        <pic:spPr>
                          <a:xfrm>
                            <a:off x="0" y="0"/>
                            <a:ext cx="858520" cy="1011555"/>
                          </a:xfrm>
                          <a:prstGeom prst="rect">
                            <a:avLst/>
                          </a:prstGeom>
                          <a:noFill/>
                          <a:ln>
                            <a:noFill/>
                          </a:ln>
                        </pic:spPr>
                      </pic:pic>
                    </a:graphicData>
                  </a:graphic>
                </wp:anchor>
              </w:drawing>
            </w:r>
          </w:p>
        </w:tc>
        <w:tc>
          <w:tcPr>
            <w:tcW w:w="7900" w:type="dxa"/>
            <w:noWrap w:val="0"/>
            <w:vAlign w:val="center"/>
          </w:tcPr>
          <w:p>
            <w:pPr>
              <w:pStyle w:val="2"/>
              <w:spacing w:before="120"/>
              <w:ind w:firstLine="0"/>
              <w:rPr>
                <w:rFonts w:hint="eastAsia" w:ascii="宋体" w:hAnsi="宋体" w:cs="宋体"/>
                <w:sz w:val="22"/>
                <w:szCs w:val="22"/>
              </w:rPr>
            </w:pPr>
            <w:r>
              <w:rPr>
                <w:rFonts w:hint="eastAsia" w:ascii="宋体" w:hAnsi="宋体" w:cs="宋体"/>
                <w:sz w:val="22"/>
                <w:szCs w:val="22"/>
              </w:rPr>
              <w:t>1、面料：优质超纤皮覆面，质量符合GB/T16799-2018《家具用皮革》游离甲醛未检出;摩擦色牢度≥4级；撕裂力≥60N；禁用偶氮染料未检出;可萃取的重金属铅、镉未检出；游离甲醛含量未检出；皮面柔软光泽度好，厚度适中。</w:t>
            </w:r>
          </w:p>
          <w:p>
            <w:pPr>
              <w:pStyle w:val="2"/>
              <w:spacing w:before="120"/>
              <w:ind w:firstLine="0"/>
              <w:rPr>
                <w:rFonts w:hint="eastAsia" w:ascii="宋体" w:hAnsi="宋体" w:cs="宋体"/>
                <w:sz w:val="22"/>
                <w:szCs w:val="22"/>
              </w:rPr>
            </w:pPr>
            <w:r>
              <w:rPr>
                <w:rFonts w:hint="eastAsia" w:ascii="宋体" w:hAnsi="宋体" w:cs="宋体"/>
                <w:sz w:val="22"/>
                <w:szCs w:val="22"/>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p>
          <w:p>
            <w:pPr>
              <w:pStyle w:val="2"/>
              <w:spacing w:before="120"/>
              <w:ind w:firstLine="0"/>
              <w:rPr>
                <w:rFonts w:hint="eastAsia" w:ascii="宋体" w:hAnsi="宋体" w:cs="宋体"/>
                <w:sz w:val="22"/>
                <w:szCs w:val="22"/>
              </w:rPr>
            </w:pPr>
            <w:r>
              <w:rPr>
                <w:rFonts w:hint="eastAsia" w:ascii="宋体" w:hAnsi="宋体" w:cs="宋体"/>
                <w:sz w:val="22"/>
                <w:szCs w:val="22"/>
              </w:rPr>
              <w:t>3、脚架：纯实木脚架，质地坚硬、油漆处理工艺，纹理自然清晰。</w:t>
            </w:r>
          </w:p>
          <w:p>
            <w:pPr>
              <w:pStyle w:val="2"/>
              <w:spacing w:before="120"/>
              <w:ind w:firstLine="0"/>
              <w:rPr>
                <w:rFonts w:hint="eastAsia" w:ascii="宋体" w:hAnsi="宋体" w:cs="宋体"/>
                <w:sz w:val="22"/>
                <w:szCs w:val="22"/>
              </w:rPr>
            </w:pPr>
            <w:r>
              <w:rPr>
                <w:rFonts w:hint="eastAsia" w:ascii="宋体" w:hAnsi="宋体" w:cs="宋体"/>
                <w:sz w:val="22"/>
                <w:szCs w:val="22"/>
              </w:rPr>
              <w:t>4、油漆：选用环保净味油漆，质量符合GB/T18581-2020《木器涂料中有害物质限量》，其中VOC含量、甲醛含量、苯系物总和含量均未检出,五底三面工艺制作，色泽美观、不变色、光滑耐磨。</w:t>
            </w:r>
          </w:p>
        </w:tc>
        <w:tc>
          <w:tcPr>
            <w:tcW w:w="465" w:type="dxa"/>
            <w:noWrap w:val="0"/>
            <w:vAlign w:val="center"/>
          </w:tcPr>
          <w:p>
            <w:pPr>
              <w:spacing w:line="240" w:lineRule="exact"/>
              <w:jc w:val="center"/>
              <w:rPr>
                <w:rFonts w:hint="eastAsia" w:ascii="宋体" w:hAnsi="宋体" w:cs="宋体"/>
                <w:sz w:val="22"/>
                <w:szCs w:val="22"/>
              </w:rPr>
            </w:pPr>
            <w:r>
              <w:rPr>
                <w:rFonts w:hint="eastAsia" w:ascii="宋体" w:hAnsi="宋体" w:cs="宋体"/>
                <w:sz w:val="22"/>
                <w:szCs w:val="22"/>
              </w:rPr>
              <w:t>1</w:t>
            </w:r>
          </w:p>
        </w:tc>
      </w:tr>
    </w:tbl>
    <w:p>
      <w:pPr>
        <w:autoSpaceDE w:val="0"/>
        <w:autoSpaceDN w:val="0"/>
        <w:adjustRightInd w:val="0"/>
        <w:snapToGrid w:val="0"/>
        <w:spacing w:line="454" w:lineRule="atLeast"/>
        <w:ind w:firstLine="433" w:firstLineChars="196"/>
        <w:textAlignment w:val="bottom"/>
        <w:rPr>
          <w:rFonts w:hint="eastAsia" w:ascii="宋体" w:hAnsi="宋体" w:cs="宋体"/>
          <w:b/>
          <w:sz w:val="22"/>
          <w:szCs w:val="22"/>
        </w:rPr>
      </w:pPr>
      <w:r>
        <w:rPr>
          <w:rFonts w:hint="eastAsia" w:ascii="宋体" w:hAnsi="宋体" w:cs="宋体"/>
          <w:b/>
          <w:sz w:val="22"/>
          <w:szCs w:val="22"/>
        </w:rPr>
        <w:t>2、</w:t>
      </w:r>
      <w:r>
        <w:rPr>
          <w:rFonts w:hint="eastAsia" w:ascii="宋体" w:hAnsi="宋体" w:cs="宋体"/>
          <w:b/>
          <w:sz w:val="22"/>
          <w:szCs w:val="22"/>
          <w:u w:val="single"/>
        </w:rPr>
        <w:t>磋商现场提供的磋商样品上应标明样品名称、供应商名称、供应商联系人及电话。</w:t>
      </w:r>
    </w:p>
    <w:p>
      <w:pPr>
        <w:autoSpaceDE w:val="0"/>
        <w:autoSpaceDN w:val="0"/>
        <w:adjustRightInd w:val="0"/>
        <w:snapToGrid w:val="0"/>
        <w:spacing w:line="454" w:lineRule="atLeast"/>
        <w:ind w:firstLine="433" w:firstLineChars="196"/>
        <w:textAlignment w:val="bottom"/>
        <w:rPr>
          <w:rFonts w:hint="eastAsia" w:ascii="宋体" w:hAnsi="宋体" w:cs="宋体"/>
          <w:b/>
          <w:sz w:val="22"/>
          <w:szCs w:val="22"/>
        </w:rPr>
      </w:pPr>
      <w:r>
        <w:rPr>
          <w:rFonts w:hint="eastAsia" w:ascii="宋体" w:hAnsi="宋体" w:cs="宋体"/>
          <w:b/>
          <w:sz w:val="22"/>
          <w:szCs w:val="22"/>
        </w:rPr>
        <w:t>3、供应商必须在磋商截止时间之前提供全部样品，</w:t>
      </w:r>
      <w:r>
        <w:rPr>
          <w:rFonts w:hint="eastAsia"/>
          <w:b/>
          <w:sz w:val="22"/>
          <w:szCs w:val="22"/>
        </w:rPr>
        <w:t>样品提交地点：鹿城区公共资源交易中心样品室。</w:t>
      </w:r>
      <w:r>
        <w:rPr>
          <w:rFonts w:hint="eastAsia" w:ascii="宋体" w:hAnsi="宋体" w:cs="宋体"/>
          <w:b/>
          <w:sz w:val="22"/>
          <w:szCs w:val="22"/>
        </w:rPr>
        <w:t>样品样式、材料须按采购文件要求制作，如有不符者，由评标委员会认定是否为重大偏离，属于非重大偏离的，评标委员会给予样品评分扣分；评标委员会一致认定为重大偏离的，做样品零分处理。</w:t>
      </w:r>
    </w:p>
    <w:p>
      <w:pPr>
        <w:snapToGrid w:val="0"/>
        <w:spacing w:line="460" w:lineRule="atLeast"/>
        <w:ind w:firstLine="442" w:firstLineChars="200"/>
        <w:rPr>
          <w:rFonts w:hint="eastAsia" w:ascii="宋体" w:hAnsi="宋体" w:cs="宋体"/>
          <w:b/>
          <w:sz w:val="22"/>
          <w:szCs w:val="22"/>
        </w:rPr>
      </w:pPr>
      <w:r>
        <w:rPr>
          <w:rFonts w:hint="eastAsia" w:ascii="宋体" w:hAnsi="宋体" w:cs="宋体"/>
          <w:b/>
          <w:sz w:val="22"/>
          <w:szCs w:val="22"/>
        </w:rPr>
        <w:t>4、无论供应商提供的样品是否存在偏离，成交供应商必须按采购文件要求制作产品。评审结束后成交供应商的样品实物留采购人处封存，作为验收依据之一，其余供应商样品退还。</w:t>
      </w:r>
    </w:p>
    <w:p>
      <w:pPr>
        <w:tabs>
          <w:tab w:val="left" w:pos="400"/>
        </w:tabs>
        <w:adjustRightInd w:val="0"/>
        <w:snapToGrid w:val="0"/>
        <w:spacing w:line="460" w:lineRule="exact"/>
        <w:rPr>
          <w:rFonts w:hint="eastAsia" w:ascii="宋体" w:hAnsi="宋体" w:cs="宋体"/>
          <w:b/>
          <w:sz w:val="22"/>
          <w:szCs w:val="22"/>
        </w:rPr>
      </w:pPr>
      <w:r>
        <w:rPr>
          <w:rFonts w:hint="eastAsia" w:ascii="宋体" w:hAnsi="宋体" w:cs="宋体"/>
          <w:b/>
          <w:sz w:val="22"/>
          <w:szCs w:val="22"/>
        </w:rPr>
        <w:t xml:space="preserve">    5、防疫措施</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根据新冠肺炎疫情防控要求，只允许供应商派1-2名代表递交实物样品，进入人员需持有</w:t>
      </w:r>
      <w:r>
        <w:rPr>
          <w:rFonts w:hint="eastAsia" w:ascii="宋体" w:hAnsi="宋体" w:cs="宋体"/>
          <w:sz w:val="22"/>
          <w:szCs w:val="22"/>
          <w:lang w:val="en-US" w:eastAsia="zh-CN"/>
        </w:rPr>
        <w:t>48</w:t>
      </w:r>
      <w:r>
        <w:rPr>
          <w:rFonts w:hint="eastAsia" w:ascii="宋体" w:hAnsi="宋体" w:cs="宋体"/>
          <w:sz w:val="22"/>
          <w:szCs w:val="22"/>
        </w:rPr>
        <w:t>小时内核酸阴性证明。样品递交地址：</w:t>
      </w:r>
      <w:r>
        <w:rPr>
          <w:rFonts w:hint="eastAsia"/>
          <w:b/>
          <w:sz w:val="22"/>
          <w:szCs w:val="22"/>
        </w:rPr>
        <w:t>鹿城区公共资源交易中心样品室</w:t>
      </w:r>
      <w:r>
        <w:rPr>
          <w:rFonts w:hint="eastAsia" w:ascii="宋体" w:hAnsi="宋体" w:cs="宋体"/>
          <w:sz w:val="22"/>
          <w:szCs w:val="22"/>
        </w:rPr>
        <w:t>，参加递交的人员必须为符合新冠肺炎疫情防控要求允许出行的人员，须佩戴好口罩，出示健康绿码，经体温测量正常和信息登记后方可进场。如不符合上述防控要求所导致未能参加本采购活动的后果，由磋商供应商自行承担。</w:t>
      </w:r>
    </w:p>
    <w:p>
      <w:pPr>
        <w:spacing w:line="360" w:lineRule="auto"/>
        <w:rPr>
          <w:rFonts w:hint="eastAsia" w:ascii="宋体" w:hAnsi="宋体" w:cs="宋体"/>
          <w:b/>
          <w:bCs/>
          <w:sz w:val="24"/>
        </w:rPr>
      </w:pPr>
      <w:r>
        <w:rPr>
          <w:rFonts w:hint="eastAsia" w:ascii="宋体" w:hAnsi="宋体" w:cs="宋体"/>
          <w:b/>
          <w:bCs/>
          <w:sz w:val="24"/>
        </w:rPr>
        <w:t>三、商务及其他要求</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1、免费维护期（不少于三年）</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1.1.除特殊说明外，项目所有货物要求3年的免费维护期（验收合格移交后）；免费维护期内因产品本身缺陷（非人为因素）造成各种故障应由成交供应商免费技术服务和维修、更换（某些制造厂商的质保期高于本要求的，按厂商承诺实行）。免费维护期后，如采购人要求，供货商应长期负责有偿优惠维修。</w:t>
      </w:r>
    </w:p>
    <w:p>
      <w:pPr>
        <w:autoSpaceDE w:val="0"/>
        <w:autoSpaceDN w:val="0"/>
        <w:adjustRightInd w:val="0"/>
        <w:spacing w:line="440" w:lineRule="exact"/>
        <w:ind w:firstLine="440" w:firstLineChars="200"/>
        <w:textAlignment w:val="bottom"/>
        <w:rPr>
          <w:rFonts w:hint="eastAsia" w:ascii="宋体" w:hAnsi="宋体" w:cs="宋体"/>
          <w:sz w:val="22"/>
          <w:szCs w:val="22"/>
        </w:rPr>
      </w:pPr>
      <w:bookmarkStart w:id="16" w:name="_Toc157410887"/>
      <w:r>
        <w:rPr>
          <w:rFonts w:hint="eastAsia" w:ascii="宋体" w:hAnsi="宋体" w:cs="宋体"/>
          <w:sz w:val="22"/>
          <w:szCs w:val="22"/>
        </w:rPr>
        <w:t>1.2、在免费维护期内，成交供应商应负责对其提供的货物进行现场维修、损坏件更换，不收取额外费用。</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1.3、免费维护期后，如采购人要求，供货商应长期负责有偿优惠维修。供应商在磋商响应文件中说明免费维护期内提供的服务计划。</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1.4.免费维护期内，要求供应商7×24小时电话响应技术咨询，除非采购文件另有规定，供应商须在接到采购人维修要求电话后，12小时内派技术人员到现场维修，如果不能修复，则提供同样货物供采购人使用，直至货物修复。</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1.5、成交供应商在磋商响应文件中说明免费维护期内提供的服务计划。</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2、付款方式</w:t>
      </w:r>
      <w:r>
        <w:rPr>
          <w:rFonts w:hint="eastAsia" w:ascii="宋体"/>
          <w:color w:val="000000"/>
          <w:sz w:val="22"/>
          <w:szCs w:val="22"/>
        </w:rPr>
        <w:t>（或按财政支付方式）</w:t>
      </w:r>
      <w:r>
        <w:rPr>
          <w:rFonts w:hint="eastAsia" w:ascii="宋体" w:hAnsi="宋体" w:cs="宋体"/>
          <w:sz w:val="22"/>
          <w:szCs w:val="22"/>
        </w:rPr>
        <w:t xml:space="preserve">： </w:t>
      </w:r>
    </w:p>
    <w:p>
      <w:pPr>
        <w:widowControl/>
        <w:autoSpaceDE w:val="0"/>
        <w:autoSpaceDN w:val="0"/>
        <w:adjustRightInd w:val="0"/>
        <w:snapToGrid w:val="0"/>
        <w:spacing w:line="460" w:lineRule="atLeast"/>
        <w:ind w:firstLine="440" w:firstLineChars="200"/>
        <w:textAlignment w:val="bottom"/>
        <w:rPr>
          <w:rFonts w:hint="eastAsia"/>
          <w:bCs/>
          <w:sz w:val="22"/>
          <w:szCs w:val="22"/>
          <w:u w:val="single"/>
        </w:rPr>
      </w:pPr>
      <w:r>
        <w:rPr>
          <w:rFonts w:hint="eastAsia"/>
          <w:bCs/>
          <w:sz w:val="22"/>
          <w:szCs w:val="22"/>
          <w:u w:val="single"/>
        </w:rPr>
        <w:t>2.1履约保证金缴纳：成交供应商在成交后向采购人缴纳合同金额的1%作为履约保证金（转账或保函）。项目验收后退还。</w:t>
      </w:r>
    </w:p>
    <w:p>
      <w:pPr>
        <w:widowControl/>
        <w:autoSpaceDE w:val="0"/>
        <w:autoSpaceDN w:val="0"/>
        <w:adjustRightInd w:val="0"/>
        <w:snapToGrid w:val="0"/>
        <w:spacing w:line="460" w:lineRule="atLeast"/>
        <w:ind w:firstLine="440" w:firstLineChars="200"/>
        <w:textAlignment w:val="bottom"/>
        <w:rPr>
          <w:rFonts w:hint="eastAsia"/>
          <w:bCs/>
          <w:sz w:val="22"/>
          <w:szCs w:val="22"/>
          <w:u w:val="single"/>
        </w:rPr>
      </w:pPr>
      <w:r>
        <w:rPr>
          <w:rFonts w:hint="eastAsia"/>
          <w:bCs/>
          <w:sz w:val="22"/>
          <w:szCs w:val="22"/>
          <w:u w:val="single"/>
        </w:rPr>
        <w:t>2.2合同签订后采购人向成交供应商支付合同总额的40%作为预付款（在签订合同时，供应商须提交银行、保险公司等金融机构出具的预付款保函或其他担保措施。），验收合格后30日历天付清余款。</w:t>
      </w:r>
      <w:r>
        <w:rPr>
          <w:rFonts w:hint="eastAsia"/>
          <w:b/>
          <w:color w:val="000000"/>
          <w:sz w:val="22"/>
          <w:szCs w:val="22"/>
          <w:u w:val="single"/>
        </w:rPr>
        <w:t>（</w:t>
      </w:r>
      <w:r>
        <w:rPr>
          <w:rFonts w:hint="eastAsia" w:cs="Courier New"/>
          <w:b/>
          <w:bCs/>
          <w:color w:val="000000"/>
          <w:sz w:val="22"/>
        </w:rPr>
        <w:t>具体每笔款项支付视财政部门资金拨付情况而定或按合同约定）</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3、安装调试</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3.1. 安装施工：需供应商提供技术人员安装调试</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a.安装地点：按采购单位要求。</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b. 安装施工标准：符合我国国家有关技术规范要求和技术标准。</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c. 安装施工过程中发生的费用由</w:t>
      </w:r>
      <w:r>
        <w:rPr>
          <w:rFonts w:hint="eastAsia" w:ascii="宋体" w:hAnsi="宋体" w:cs="宋体"/>
          <w:sz w:val="22"/>
          <w:szCs w:val="22"/>
          <w:lang w:val="zh-CN"/>
        </w:rPr>
        <w:t>成交</w:t>
      </w:r>
      <w:r>
        <w:rPr>
          <w:rFonts w:hint="eastAsia" w:ascii="宋体" w:hAnsi="宋体" w:cs="宋体"/>
          <w:sz w:val="22"/>
          <w:szCs w:val="22"/>
        </w:rPr>
        <w:t>供应商负责。</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3.2. 供应商应在磋商响应文件中提供其安装调试过程中使用单位需配合的内容。</w:t>
      </w:r>
    </w:p>
    <w:p>
      <w:pPr>
        <w:widowControl/>
        <w:autoSpaceDE w:val="0"/>
        <w:autoSpaceDN w:val="0"/>
        <w:adjustRightInd w:val="0"/>
        <w:snapToGrid w:val="0"/>
        <w:spacing w:line="460" w:lineRule="atLeast"/>
        <w:ind w:firstLine="420" w:firstLineChars="200"/>
        <w:textAlignment w:val="bottom"/>
        <w:rPr>
          <w:rFonts w:ascii="宋体"/>
          <w:szCs w:val="22"/>
        </w:rPr>
      </w:pPr>
      <w:r>
        <w:rPr>
          <w:rFonts w:hint="eastAsia" w:ascii="宋体"/>
          <w:szCs w:val="22"/>
        </w:rPr>
        <w:t>4．完工期</w:t>
      </w:r>
    </w:p>
    <w:p>
      <w:pPr>
        <w:widowControl/>
        <w:autoSpaceDE w:val="0"/>
        <w:autoSpaceDN w:val="0"/>
        <w:adjustRightInd w:val="0"/>
        <w:snapToGrid w:val="0"/>
        <w:spacing w:line="440" w:lineRule="atLeast"/>
        <w:ind w:firstLine="442" w:firstLineChars="200"/>
        <w:textAlignment w:val="bottom"/>
        <w:rPr>
          <w:rFonts w:hint="eastAsia" w:ascii="宋体" w:hAnsi="宋体"/>
          <w:b/>
          <w:sz w:val="22"/>
          <w:szCs w:val="22"/>
          <w:u w:val="single"/>
        </w:rPr>
      </w:pPr>
      <w:r>
        <w:rPr>
          <w:rFonts w:hint="eastAsia" w:ascii="宋体" w:hAnsi="宋体"/>
          <w:b/>
          <w:sz w:val="22"/>
          <w:szCs w:val="22"/>
          <w:u w:val="single"/>
        </w:rPr>
        <w:t>完工期：供应商提供最短完工期（最长不得超过30日历天）；交货地点：按采购人指定地点交货。</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5、验收</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成交供应商已按合同规定提供了符合采购文件规定的要求的货物，并经采购人组织检验合格，所有的技术资料和清单已向采购人提交并被接受，验收视为合格， 若因成交供应商质量问题等导致验收不合格，成交供应商应及时予以处理，直至验收合格，期间发生的一切费用由成交供应商承担，采购人保留向成交供应商索赔的权利。</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6、培训</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成交供应商应对采购人的操作人员、维修人员提供培训，使其能对系统进行日常的维护保养及能对一般故障进行维修。</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培训分为现场培训及供应商公司培训；培训计划由供应商制订，培训费用包含在投标总价中。</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供应商在磋商响应文件中提供的详细的培训计划。</w:t>
      </w:r>
    </w:p>
    <w:p>
      <w:pPr>
        <w:widowControl/>
        <w:autoSpaceDE w:val="0"/>
        <w:autoSpaceDN w:val="0"/>
        <w:adjustRightInd w:val="0"/>
        <w:spacing w:line="460" w:lineRule="atLeast"/>
        <w:textAlignment w:val="bottom"/>
        <w:rPr>
          <w:rFonts w:ascii="宋体"/>
          <w:b/>
          <w:bCs/>
          <w:szCs w:val="22"/>
        </w:rPr>
      </w:pPr>
      <w:bookmarkStart w:id="17" w:name="_Toc303782539"/>
      <w:r>
        <w:rPr>
          <w:rFonts w:hint="eastAsia" w:ascii="宋体"/>
          <w:b/>
          <w:bCs/>
          <w:szCs w:val="22"/>
        </w:rPr>
        <w:t>四、工作范围</w:t>
      </w:r>
      <w:bookmarkEnd w:id="16"/>
      <w:bookmarkEnd w:id="17"/>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根据采购文件，各供应商须按国家有关标准及 规范完成下列工作：</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1）提供完整成套的货物；</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2）产品及相关附件的提供、运输、装卸、就位、安装、调试、检验、通过验收；</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3）完成各项安装、调试、检验、测试等工作，并在买方的配合下通过的验收；提供各种数据资料；直至通过验收；供应商须参与消防、应急、电梯联动验收，资料移交，人员培训服务等。</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4）质保期内维保及维修及质保期后终身维修；质保期内每月一次巡检，每年至少一次免费保养。</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5）售后服务的措施及承诺。</w:t>
      </w:r>
    </w:p>
    <w:p>
      <w:pPr>
        <w:autoSpaceDE w:val="0"/>
        <w:autoSpaceDN w:val="0"/>
        <w:adjustRightInd w:val="0"/>
        <w:spacing w:line="440" w:lineRule="exact"/>
        <w:ind w:firstLine="440" w:firstLineChars="200"/>
        <w:textAlignment w:val="bottom"/>
        <w:rPr>
          <w:rFonts w:hint="eastAsia" w:ascii="宋体" w:hAnsi="宋体" w:cs="宋体"/>
          <w:sz w:val="22"/>
          <w:szCs w:val="22"/>
        </w:rPr>
      </w:pPr>
      <w:r>
        <w:rPr>
          <w:rFonts w:hint="eastAsia" w:ascii="宋体" w:hAnsi="宋体" w:cs="宋体"/>
          <w:sz w:val="22"/>
          <w:szCs w:val="22"/>
        </w:rPr>
        <w:t>注意：除质保期后终身维修外以上其他工作内容的费用均包含在投标总价中。</w:t>
      </w:r>
    </w:p>
    <w:p>
      <w:pPr>
        <w:pStyle w:val="2"/>
        <w:spacing w:before="120"/>
        <w:rPr>
          <w:rFonts w:hint="eastAsia" w:ascii="宋体" w:hAnsi="宋体" w:cs="宋体"/>
          <w:sz w:val="22"/>
          <w:szCs w:val="22"/>
        </w:rPr>
      </w:pPr>
    </w:p>
    <w:p>
      <w:pPr>
        <w:pStyle w:val="2"/>
        <w:spacing w:before="120"/>
        <w:rPr>
          <w:rFonts w:hint="eastAsia" w:ascii="宋体" w:hAnsi="宋体" w:cs="宋体"/>
          <w:sz w:val="22"/>
          <w:szCs w:val="22"/>
        </w:rPr>
        <w:sectPr>
          <w:pgSz w:w="11907" w:h="16840"/>
          <w:pgMar w:top="720" w:right="720" w:bottom="720" w:left="720" w:header="720" w:footer="720" w:gutter="0"/>
          <w:cols w:space="720" w:num="1"/>
          <w:titlePg/>
          <w:docGrid w:linePitch="286" w:charSpace="0"/>
        </w:sectPr>
      </w:pPr>
    </w:p>
    <w:p>
      <w:pPr>
        <w:spacing w:line="480" w:lineRule="auto"/>
        <w:jc w:val="center"/>
        <w:outlineLvl w:val="0"/>
        <w:rPr>
          <w:rFonts w:hint="eastAsia" w:ascii="宋体" w:hAnsi="宋体" w:cs="宋体"/>
          <w:b/>
          <w:bCs/>
          <w:sz w:val="36"/>
          <w:szCs w:val="36"/>
        </w:rPr>
      </w:pPr>
      <w:bookmarkStart w:id="18" w:name="_Toc9015"/>
      <w:r>
        <w:rPr>
          <w:rFonts w:hint="eastAsia" w:ascii="宋体" w:hAnsi="宋体" w:cs="宋体"/>
          <w:b/>
          <w:bCs/>
          <w:sz w:val="36"/>
          <w:szCs w:val="36"/>
        </w:rPr>
        <w:t>第六部分  合同主要条款</w:t>
      </w:r>
      <w:bookmarkEnd w:id="18"/>
    </w:p>
    <w:p>
      <w:pPr>
        <w:spacing w:line="360" w:lineRule="auto"/>
        <w:rPr>
          <w:rFonts w:hint="eastAsia" w:ascii="宋体" w:hAnsi="宋体" w:cs="宋体"/>
          <w:sz w:val="24"/>
        </w:rPr>
      </w:pPr>
      <w:r>
        <w:rPr>
          <w:rFonts w:hint="eastAsia"/>
          <w:sz w:val="24"/>
        </w:rPr>
        <w:t>合</w:t>
      </w:r>
      <w:r>
        <w:rPr>
          <w:rFonts w:hint="eastAsia" w:ascii="宋体" w:hAnsi="宋体" w:cs="宋体"/>
          <w:sz w:val="24"/>
        </w:rPr>
        <w:t>同编号：</w:t>
      </w:r>
    </w:p>
    <w:p>
      <w:pPr>
        <w:spacing w:line="360" w:lineRule="auto"/>
        <w:rPr>
          <w:rFonts w:hint="eastAsia" w:ascii="宋体" w:hAnsi="宋体" w:cs="宋体"/>
          <w:sz w:val="24"/>
        </w:rPr>
      </w:pPr>
      <w:r>
        <w:rPr>
          <w:rFonts w:hint="eastAsia" w:ascii="宋体" w:hAnsi="宋体" w:cs="宋体"/>
          <w:sz w:val="24"/>
        </w:rPr>
        <w:t>采购单位（甲方）：温州市公安局鹿城区分局</w:t>
      </w:r>
    </w:p>
    <w:p>
      <w:pPr>
        <w:spacing w:line="360" w:lineRule="auto"/>
        <w:rPr>
          <w:rFonts w:hint="eastAsia" w:ascii="宋体" w:hAnsi="宋体" w:cs="宋体"/>
          <w:sz w:val="24"/>
        </w:rPr>
      </w:pPr>
      <w:r>
        <w:rPr>
          <w:rFonts w:hint="eastAsia" w:ascii="宋体" w:hAnsi="宋体" w:cs="宋体"/>
          <w:sz w:val="24"/>
        </w:rPr>
        <w:t>成交人（乙方）:</w:t>
      </w:r>
    </w:p>
    <w:p>
      <w:pPr>
        <w:spacing w:line="420" w:lineRule="exact"/>
        <w:rPr>
          <w:rFonts w:ascii="宋体" w:hAnsi="宋体"/>
          <w:b/>
          <w:bCs/>
          <w:szCs w:val="22"/>
        </w:rPr>
      </w:pPr>
      <w:r>
        <w:rPr>
          <w:rFonts w:hint="eastAsia" w:ascii="宋体" w:hAnsi="宋体"/>
          <w:b/>
          <w:bCs/>
          <w:szCs w:val="22"/>
        </w:rPr>
        <w:t>1、合同文件</w:t>
      </w:r>
    </w:p>
    <w:p>
      <w:pPr>
        <w:spacing w:line="420" w:lineRule="exact"/>
        <w:ind w:firstLine="435"/>
        <w:rPr>
          <w:rFonts w:ascii="宋体" w:hAnsi="宋体"/>
          <w:szCs w:val="22"/>
        </w:rPr>
      </w:pPr>
      <w:r>
        <w:rPr>
          <w:rFonts w:hint="eastAsia" w:ascii="宋体" w:hAnsi="宋体"/>
          <w:szCs w:val="22"/>
        </w:rPr>
        <w:t xml:space="preserve">   下列文件构成本合同的组成部分：</w:t>
      </w:r>
    </w:p>
    <w:p>
      <w:pPr>
        <w:spacing w:line="420" w:lineRule="exact"/>
        <w:ind w:firstLine="435"/>
        <w:rPr>
          <w:rFonts w:ascii="宋体" w:hAnsi="宋体"/>
          <w:szCs w:val="22"/>
        </w:rPr>
      </w:pPr>
      <w:r>
        <w:rPr>
          <w:rFonts w:hint="eastAsia" w:ascii="宋体" w:hAnsi="宋体"/>
          <w:szCs w:val="22"/>
        </w:rPr>
        <w:t xml:space="preserve">   (1) 合同主要条款                </w:t>
      </w:r>
    </w:p>
    <w:p>
      <w:pPr>
        <w:spacing w:line="420" w:lineRule="exact"/>
        <w:ind w:firstLine="435"/>
        <w:rPr>
          <w:rFonts w:ascii="宋体" w:hAnsi="宋体"/>
          <w:szCs w:val="22"/>
        </w:rPr>
      </w:pPr>
      <w:r>
        <w:rPr>
          <w:rFonts w:hint="eastAsia" w:ascii="宋体" w:hAnsi="宋体"/>
          <w:szCs w:val="22"/>
        </w:rPr>
        <w:t xml:space="preserve">   (2) 中标通知书</w:t>
      </w:r>
    </w:p>
    <w:p>
      <w:pPr>
        <w:spacing w:line="420" w:lineRule="exact"/>
        <w:ind w:firstLine="435"/>
        <w:rPr>
          <w:rFonts w:ascii="宋体" w:hAnsi="宋体"/>
          <w:szCs w:val="22"/>
        </w:rPr>
      </w:pPr>
      <w:r>
        <w:rPr>
          <w:rFonts w:hint="eastAsia" w:ascii="宋体" w:hAnsi="宋体"/>
          <w:szCs w:val="22"/>
        </w:rPr>
        <w:t xml:space="preserve">   (3) 投标分项报价表               </w:t>
      </w:r>
    </w:p>
    <w:p>
      <w:pPr>
        <w:spacing w:line="420" w:lineRule="exact"/>
        <w:ind w:firstLine="435"/>
        <w:rPr>
          <w:rFonts w:ascii="宋体" w:hAnsi="宋体"/>
          <w:szCs w:val="22"/>
        </w:rPr>
      </w:pPr>
      <w:r>
        <w:rPr>
          <w:rFonts w:hint="eastAsia" w:ascii="宋体" w:hAnsi="宋体"/>
          <w:szCs w:val="22"/>
        </w:rPr>
        <w:t xml:space="preserve">   (4) 技术规格、商务条款偏离表           </w:t>
      </w:r>
    </w:p>
    <w:p>
      <w:pPr>
        <w:spacing w:line="420" w:lineRule="exact"/>
        <w:ind w:firstLine="435"/>
        <w:rPr>
          <w:rFonts w:ascii="宋体" w:hAnsi="宋体"/>
          <w:szCs w:val="22"/>
        </w:rPr>
      </w:pPr>
      <w:r>
        <w:rPr>
          <w:rFonts w:hint="eastAsia" w:ascii="宋体" w:hAnsi="宋体"/>
          <w:szCs w:val="22"/>
        </w:rPr>
        <w:t xml:space="preserve">   (5) 采购内容及要求</w:t>
      </w:r>
    </w:p>
    <w:p>
      <w:pPr>
        <w:spacing w:line="420" w:lineRule="exact"/>
        <w:ind w:firstLine="435"/>
        <w:rPr>
          <w:rFonts w:ascii="宋体" w:hAnsi="宋体"/>
          <w:szCs w:val="22"/>
        </w:rPr>
      </w:pPr>
      <w:r>
        <w:rPr>
          <w:rFonts w:hint="eastAsia" w:ascii="宋体" w:hAnsi="宋体"/>
          <w:szCs w:val="22"/>
        </w:rPr>
        <w:t xml:space="preserve">   (6) 合同补充条款或说明（如有的话）     </w:t>
      </w:r>
    </w:p>
    <w:p>
      <w:pPr>
        <w:spacing w:line="420" w:lineRule="exact"/>
        <w:ind w:firstLine="435"/>
        <w:rPr>
          <w:rFonts w:hint="eastAsia" w:ascii="宋体" w:hAnsi="宋体"/>
          <w:szCs w:val="22"/>
        </w:rPr>
      </w:pPr>
      <w:r>
        <w:rPr>
          <w:rFonts w:hint="eastAsia" w:ascii="宋体" w:hAnsi="宋体"/>
          <w:szCs w:val="22"/>
        </w:rPr>
        <w:t xml:space="preserve">   (7) 承诺书      （含询标记录和优惠条件）       </w:t>
      </w:r>
    </w:p>
    <w:p>
      <w:pPr>
        <w:spacing w:line="420" w:lineRule="exact"/>
        <w:rPr>
          <w:rFonts w:ascii="宋体" w:hAnsi="宋体"/>
          <w:b/>
          <w:bCs/>
          <w:szCs w:val="22"/>
        </w:rPr>
      </w:pPr>
      <w:r>
        <w:rPr>
          <w:rFonts w:hint="eastAsia" w:ascii="宋体" w:hAnsi="宋体"/>
          <w:b/>
          <w:bCs/>
          <w:szCs w:val="22"/>
        </w:rPr>
        <w:t>2、货物和数量</w:t>
      </w:r>
    </w:p>
    <w:p>
      <w:pPr>
        <w:spacing w:line="420" w:lineRule="exact"/>
        <w:ind w:firstLine="567"/>
        <w:rPr>
          <w:rFonts w:ascii="宋体" w:hAnsi="宋体"/>
          <w:szCs w:val="22"/>
        </w:rPr>
      </w:pPr>
      <w:r>
        <w:rPr>
          <w:rFonts w:hint="eastAsia" w:ascii="宋体" w:hAnsi="宋体"/>
          <w:szCs w:val="22"/>
        </w:rPr>
        <w:t xml:space="preserve">  本合同提供的服务及要求（附详细的商务报价中分部分项报价）。</w:t>
      </w:r>
    </w:p>
    <w:p>
      <w:pPr>
        <w:spacing w:line="420" w:lineRule="exact"/>
        <w:rPr>
          <w:rFonts w:ascii="宋体" w:hAnsi="宋体"/>
          <w:b/>
          <w:bCs/>
          <w:szCs w:val="22"/>
        </w:rPr>
      </w:pPr>
      <w:r>
        <w:rPr>
          <w:rFonts w:hint="eastAsia" w:ascii="宋体" w:hAnsi="宋体"/>
          <w:b/>
          <w:bCs/>
          <w:szCs w:val="22"/>
        </w:rPr>
        <w:t>3、合同总价</w:t>
      </w:r>
    </w:p>
    <w:p>
      <w:pPr>
        <w:spacing w:line="420" w:lineRule="exact"/>
        <w:ind w:left="420" w:hanging="420" w:hangingChars="200"/>
        <w:rPr>
          <w:rFonts w:ascii="宋体" w:hAnsi="宋体"/>
          <w:szCs w:val="22"/>
        </w:rPr>
      </w:pPr>
      <w:r>
        <w:rPr>
          <w:rFonts w:hint="eastAsia" w:ascii="宋体" w:hAnsi="宋体"/>
          <w:szCs w:val="22"/>
        </w:rPr>
        <w:t xml:space="preserve">      本合同总价为</w:t>
      </w:r>
      <w:r>
        <w:rPr>
          <w:rFonts w:hint="eastAsia"/>
          <w:szCs w:val="22"/>
          <w:u w:val="single"/>
        </w:rPr>
        <w:t xml:space="preserve">     </w:t>
      </w:r>
      <w:r>
        <w:rPr>
          <w:rFonts w:hint="eastAsia" w:ascii="宋体" w:hAnsi="宋体"/>
          <w:szCs w:val="22"/>
        </w:rPr>
        <w:t>人民币。</w:t>
      </w:r>
    </w:p>
    <w:p>
      <w:pPr>
        <w:spacing w:line="420" w:lineRule="exact"/>
        <w:rPr>
          <w:rFonts w:hint="eastAsia" w:ascii="宋体" w:hAnsi="宋体"/>
          <w:b/>
          <w:bCs/>
          <w:szCs w:val="22"/>
        </w:rPr>
      </w:pPr>
      <w:r>
        <w:rPr>
          <w:rFonts w:hint="eastAsia" w:ascii="宋体" w:hAnsi="宋体"/>
          <w:b/>
          <w:bCs/>
          <w:szCs w:val="22"/>
        </w:rPr>
        <w:t>4、 交货时间及地点：</w:t>
      </w:r>
    </w:p>
    <w:p>
      <w:pPr>
        <w:spacing w:line="420" w:lineRule="exact"/>
        <w:ind w:left="420" w:leftChars="200" w:firstLine="210" w:firstLineChars="100"/>
        <w:rPr>
          <w:rFonts w:hint="eastAsia" w:ascii="宋体" w:hAnsi="宋体" w:cs="宋体"/>
          <w:szCs w:val="22"/>
        </w:rPr>
      </w:pPr>
      <w:r>
        <w:rPr>
          <w:rFonts w:hint="eastAsia" w:ascii="宋体" w:hAnsi="宋体" w:cs="宋体"/>
          <w:szCs w:val="22"/>
        </w:rPr>
        <w:t>交货期：接到通知后</w:t>
      </w:r>
      <w:r>
        <w:rPr>
          <w:rFonts w:hint="eastAsia" w:ascii="宋体" w:hAnsi="宋体" w:cs="宋体"/>
          <w:szCs w:val="22"/>
          <w:u w:val="single"/>
        </w:rPr>
        <w:t xml:space="preserve">    </w:t>
      </w:r>
      <w:r>
        <w:rPr>
          <w:rFonts w:hint="eastAsia" w:ascii="宋体" w:hAnsi="宋体" w:cs="宋体"/>
          <w:szCs w:val="22"/>
        </w:rPr>
        <w:t xml:space="preserve">日历天内供货，并满足现场施工进度计划要求 </w:t>
      </w:r>
    </w:p>
    <w:p>
      <w:pPr>
        <w:spacing w:line="420" w:lineRule="exact"/>
        <w:ind w:left="420" w:hanging="420" w:hangingChars="200"/>
        <w:rPr>
          <w:rFonts w:hint="eastAsia" w:ascii="宋体" w:hAnsi="宋体" w:cs="宋体"/>
          <w:szCs w:val="22"/>
        </w:rPr>
      </w:pPr>
      <w:r>
        <w:rPr>
          <w:rFonts w:hint="eastAsia" w:ascii="宋体" w:hAnsi="宋体" w:cs="宋体"/>
          <w:szCs w:val="22"/>
        </w:rPr>
        <w:t xml:space="preserve">      地点：采购人指定地点 </w:t>
      </w:r>
    </w:p>
    <w:p>
      <w:pPr>
        <w:spacing w:line="460" w:lineRule="exact"/>
        <w:rPr>
          <w:rFonts w:ascii="宋体" w:hAnsi="宋体"/>
          <w:b/>
          <w:bCs/>
          <w:szCs w:val="22"/>
        </w:rPr>
      </w:pPr>
      <w:r>
        <w:rPr>
          <w:rFonts w:hint="eastAsia"/>
          <w:b/>
          <w:bCs/>
          <w:szCs w:val="22"/>
        </w:rPr>
        <w:t>5</w:t>
      </w:r>
      <w:r>
        <w:rPr>
          <w:rFonts w:hint="eastAsia" w:ascii="宋体" w:hAnsi="宋体"/>
          <w:b/>
          <w:bCs/>
          <w:szCs w:val="22"/>
        </w:rPr>
        <w:t>.    定义：</w:t>
      </w:r>
    </w:p>
    <w:p>
      <w:pPr>
        <w:spacing w:line="460" w:lineRule="exact"/>
        <w:ind w:firstLine="630" w:firstLineChars="300"/>
        <w:rPr>
          <w:rFonts w:ascii="宋体" w:hAnsi="宋体"/>
          <w:szCs w:val="22"/>
        </w:rPr>
      </w:pPr>
      <w:r>
        <w:rPr>
          <w:rFonts w:hint="eastAsia" w:ascii="宋体" w:hAnsi="宋体"/>
          <w:szCs w:val="22"/>
        </w:rPr>
        <w:t>本合同下列述语应解释为：</w:t>
      </w:r>
    </w:p>
    <w:p>
      <w:pPr>
        <w:spacing w:line="460" w:lineRule="exact"/>
        <w:ind w:left="630" w:hanging="630" w:hangingChars="300"/>
        <w:rPr>
          <w:rFonts w:ascii="宋体" w:hAnsi="宋体"/>
          <w:szCs w:val="22"/>
        </w:rPr>
      </w:pPr>
      <w:r>
        <w:rPr>
          <w:rFonts w:hint="eastAsia"/>
          <w:szCs w:val="22"/>
        </w:rPr>
        <w:t>5</w:t>
      </w:r>
      <w:r>
        <w:rPr>
          <w:rFonts w:hint="eastAsia" w:ascii="宋体" w:hAnsi="宋体"/>
          <w:szCs w:val="22"/>
        </w:rPr>
        <w:t>.1  “合同”系指买卖双方签署的，合同格式中载明的买卖双方所达成的协议，包括所有的附件和构成合同的其它文件。</w:t>
      </w:r>
    </w:p>
    <w:p>
      <w:pPr>
        <w:spacing w:line="460" w:lineRule="exact"/>
        <w:ind w:left="632" w:hanging="632" w:hangingChars="300"/>
        <w:rPr>
          <w:rFonts w:ascii="宋体" w:hAnsi="宋体"/>
          <w:b/>
          <w:bCs/>
          <w:szCs w:val="22"/>
        </w:rPr>
      </w:pPr>
      <w:r>
        <w:rPr>
          <w:rFonts w:hint="eastAsia"/>
          <w:b/>
          <w:bCs/>
          <w:szCs w:val="22"/>
        </w:rPr>
        <w:t>5</w:t>
      </w:r>
      <w:r>
        <w:rPr>
          <w:rFonts w:hint="eastAsia" w:ascii="宋体" w:hAnsi="宋体"/>
          <w:b/>
          <w:bCs/>
          <w:szCs w:val="22"/>
        </w:rPr>
        <w:t>.2  “合同价”是指根据本合同规定，成交人在正确地完全履行合同义务后采购人应支付给成交人的价款（工地价）。即：货物的供货、税金、运输、保险、装卸、安装、检验、配合验收、技术服务、售后服务、质保期保障、材料等全部费用、实行固定费用总包干。</w:t>
      </w:r>
    </w:p>
    <w:p>
      <w:pPr>
        <w:spacing w:line="460" w:lineRule="exact"/>
        <w:ind w:left="630" w:hanging="630" w:hangingChars="300"/>
        <w:rPr>
          <w:rFonts w:ascii="宋体" w:hAnsi="宋体"/>
          <w:szCs w:val="22"/>
        </w:rPr>
      </w:pPr>
      <w:r>
        <w:rPr>
          <w:rFonts w:hint="eastAsia"/>
          <w:szCs w:val="22"/>
        </w:rPr>
        <w:t>5</w:t>
      </w:r>
      <w:r>
        <w:rPr>
          <w:rFonts w:hint="eastAsia" w:ascii="宋体" w:hAnsi="宋体"/>
          <w:szCs w:val="22"/>
        </w:rPr>
        <w:t>.3  “货物”是指根据合同规定须向采购人提供的本次采购采购人所需物品。</w:t>
      </w:r>
    </w:p>
    <w:p>
      <w:pPr>
        <w:spacing w:line="460" w:lineRule="exact"/>
        <w:ind w:left="630" w:hanging="630" w:hangingChars="300"/>
        <w:rPr>
          <w:rFonts w:ascii="宋体" w:hAnsi="宋体"/>
          <w:szCs w:val="22"/>
        </w:rPr>
      </w:pPr>
      <w:r>
        <w:rPr>
          <w:rFonts w:hint="eastAsia"/>
          <w:szCs w:val="22"/>
        </w:rPr>
        <w:t>5</w:t>
      </w:r>
      <w:r>
        <w:rPr>
          <w:rFonts w:hint="eastAsia" w:ascii="宋体" w:hAnsi="宋体"/>
          <w:szCs w:val="22"/>
        </w:rPr>
        <w:t>.4  “服务”是指根据合同规定成交人承担与供货有关的辅助服务，如运输、保险以及其它的伴随服务和合同中规定成交人应承担的其它义务。</w:t>
      </w:r>
    </w:p>
    <w:p>
      <w:pPr>
        <w:spacing w:line="460" w:lineRule="exact"/>
        <w:ind w:left="420" w:hanging="420" w:hangingChars="200"/>
        <w:rPr>
          <w:rFonts w:ascii="宋体" w:hAnsi="宋体"/>
          <w:szCs w:val="22"/>
        </w:rPr>
      </w:pPr>
      <w:r>
        <w:rPr>
          <w:rFonts w:hint="eastAsia"/>
          <w:szCs w:val="22"/>
        </w:rPr>
        <w:t>5</w:t>
      </w:r>
      <w:r>
        <w:rPr>
          <w:rFonts w:hint="eastAsia" w:ascii="宋体" w:hAnsi="宋体"/>
          <w:szCs w:val="22"/>
        </w:rPr>
        <w:t>.5   “现场”是指合同项下货物将要运输的指定地点。</w:t>
      </w:r>
    </w:p>
    <w:p>
      <w:pPr>
        <w:spacing w:line="460" w:lineRule="exact"/>
        <w:ind w:left="630" w:hanging="630" w:hangingChars="300"/>
        <w:rPr>
          <w:rFonts w:ascii="宋体" w:hAnsi="宋体"/>
          <w:szCs w:val="22"/>
        </w:rPr>
      </w:pPr>
      <w:r>
        <w:rPr>
          <w:rFonts w:hint="eastAsia"/>
          <w:szCs w:val="22"/>
        </w:rPr>
        <w:t>5</w:t>
      </w:r>
      <w:r>
        <w:rPr>
          <w:rFonts w:hint="eastAsia" w:ascii="宋体" w:hAnsi="宋体"/>
          <w:szCs w:val="22"/>
        </w:rPr>
        <w:t>.6   “验收”是指合同双方依据规定的程序和条件确认合同项下的货物符合技术规范的要求。</w:t>
      </w:r>
    </w:p>
    <w:p>
      <w:pPr>
        <w:spacing w:line="460" w:lineRule="exact"/>
        <w:rPr>
          <w:rFonts w:ascii="宋体" w:hAnsi="宋体"/>
          <w:b/>
          <w:bCs/>
          <w:szCs w:val="22"/>
        </w:rPr>
      </w:pPr>
      <w:r>
        <w:rPr>
          <w:rFonts w:hint="eastAsia"/>
          <w:b/>
          <w:bCs/>
          <w:szCs w:val="22"/>
        </w:rPr>
        <w:t>6</w:t>
      </w:r>
      <w:r>
        <w:rPr>
          <w:rFonts w:hint="eastAsia" w:ascii="宋体" w:hAnsi="宋体"/>
          <w:b/>
          <w:bCs/>
          <w:szCs w:val="22"/>
        </w:rPr>
        <w:t>.    标准</w:t>
      </w:r>
    </w:p>
    <w:p>
      <w:pPr>
        <w:spacing w:line="460" w:lineRule="exact"/>
        <w:ind w:left="687" w:hanging="686" w:hangingChars="327"/>
        <w:rPr>
          <w:rFonts w:ascii="宋体" w:hAnsi="宋体"/>
          <w:szCs w:val="22"/>
        </w:rPr>
      </w:pPr>
      <w:r>
        <w:rPr>
          <w:rFonts w:hint="eastAsia"/>
          <w:szCs w:val="22"/>
        </w:rPr>
        <w:t>6</w:t>
      </w:r>
      <w:r>
        <w:rPr>
          <w:rFonts w:hint="eastAsia" w:ascii="宋体" w:hAnsi="宋体"/>
          <w:szCs w:val="22"/>
        </w:rPr>
        <w:t>.1   本合同项下交付的货物应符合技术规格所述的标准。如在采购文件中无相应说明，则以国家颁布的最新版本标准或行业（部）标准或相应的国际标准执行，没有国家或行业（部）标准的则按企业标准执行。</w:t>
      </w:r>
    </w:p>
    <w:p>
      <w:pPr>
        <w:spacing w:line="460" w:lineRule="exact"/>
        <w:ind w:left="630" w:hanging="630" w:hangingChars="300"/>
        <w:rPr>
          <w:rFonts w:ascii="宋体" w:hAnsi="宋体"/>
          <w:szCs w:val="22"/>
        </w:rPr>
      </w:pPr>
      <w:r>
        <w:rPr>
          <w:rFonts w:hint="eastAsia"/>
          <w:szCs w:val="22"/>
        </w:rPr>
        <w:t>6</w:t>
      </w:r>
      <w:r>
        <w:rPr>
          <w:rFonts w:hint="eastAsia" w:ascii="宋体" w:hAnsi="宋体"/>
          <w:szCs w:val="22"/>
        </w:rPr>
        <w:t>.2   除非技术规格中另有规定，计量单位均采用中华人民共和国法定计量单位。</w:t>
      </w:r>
    </w:p>
    <w:p>
      <w:pPr>
        <w:spacing w:line="460" w:lineRule="exact"/>
        <w:rPr>
          <w:rFonts w:ascii="宋体" w:hAnsi="宋体"/>
          <w:b/>
          <w:bCs/>
          <w:szCs w:val="22"/>
        </w:rPr>
      </w:pPr>
      <w:r>
        <w:rPr>
          <w:rFonts w:hint="eastAsia"/>
          <w:b/>
          <w:bCs/>
          <w:szCs w:val="22"/>
        </w:rPr>
        <w:t>7</w:t>
      </w:r>
      <w:r>
        <w:rPr>
          <w:rFonts w:hint="eastAsia" w:ascii="宋体" w:hAnsi="宋体"/>
          <w:b/>
          <w:bCs/>
          <w:szCs w:val="22"/>
        </w:rPr>
        <w:t>.    专利权</w:t>
      </w:r>
    </w:p>
    <w:p>
      <w:pPr>
        <w:spacing w:line="460" w:lineRule="exact"/>
        <w:ind w:left="594" w:hanging="594" w:hangingChars="283"/>
        <w:rPr>
          <w:rFonts w:ascii="宋体" w:hAnsi="宋体"/>
          <w:szCs w:val="22"/>
        </w:rPr>
      </w:pPr>
      <w:r>
        <w:rPr>
          <w:rFonts w:hint="eastAsia"/>
          <w:szCs w:val="22"/>
        </w:rPr>
        <w:t>7</w:t>
      </w:r>
      <w:r>
        <w:rPr>
          <w:rFonts w:hint="eastAsia" w:ascii="宋体" w:hAnsi="宋体"/>
          <w:szCs w:val="22"/>
        </w:rPr>
        <w:t>.1   成交人应保证，采购人在使用该货物或货物的任何一部分时，免受第三方提出的侵犯其专利权、商标权、著作权或其它知识产权的起诉。成交人应承担由此可能产生的一切法律责任和费用。</w:t>
      </w:r>
    </w:p>
    <w:p>
      <w:pPr>
        <w:spacing w:line="460" w:lineRule="exact"/>
        <w:rPr>
          <w:rFonts w:ascii="宋体" w:hAnsi="宋体"/>
          <w:b/>
          <w:bCs/>
          <w:szCs w:val="22"/>
        </w:rPr>
      </w:pPr>
      <w:r>
        <w:rPr>
          <w:rFonts w:hint="eastAsia"/>
          <w:b/>
          <w:bCs/>
          <w:szCs w:val="22"/>
        </w:rPr>
        <w:t>8</w:t>
      </w:r>
      <w:r>
        <w:rPr>
          <w:rFonts w:hint="eastAsia" w:ascii="宋体" w:hAnsi="宋体"/>
          <w:b/>
          <w:bCs/>
          <w:szCs w:val="22"/>
        </w:rPr>
        <w:t>.   包装要求</w:t>
      </w:r>
    </w:p>
    <w:p>
      <w:pPr>
        <w:spacing w:line="460" w:lineRule="exact"/>
        <w:ind w:left="630" w:hanging="630" w:hangingChars="300"/>
        <w:rPr>
          <w:rFonts w:ascii="宋体" w:hAnsi="宋体"/>
          <w:szCs w:val="22"/>
        </w:rPr>
      </w:pPr>
      <w:r>
        <w:rPr>
          <w:rFonts w:hint="eastAsia"/>
          <w:szCs w:val="22"/>
        </w:rPr>
        <w:t>8</w:t>
      </w:r>
      <w:r>
        <w:rPr>
          <w:rFonts w:hint="eastAsia" w:ascii="宋体" w:hAnsi="宋体"/>
          <w:szCs w:val="22"/>
        </w:rPr>
        <w:t xml:space="preserve">.1   </w:t>
      </w:r>
      <w:r>
        <w:rPr>
          <w:rFonts w:hint="eastAsia" w:ascii="宋体" w:hAnsi="宋体"/>
          <w:spacing w:val="-2"/>
          <w:szCs w:val="22"/>
        </w:rPr>
        <w:t>除合同另有规定外，成交人应提供货物运至合同规定的最终目的地所需要的包装，以防止货物在转运中损坏或变质。这类包装应采取防霉、防潮、防晒、防腐蚀、防震动及防止其他损坏的必要保护措施，从而保护货物能够经受多次搬运、装卸储存等并充分考虑到运输途中的各种复杂情况（例如恶劣天气）和温州地区气候特点、以及露天存放问题。成交人应承担由于其包装或其防护措施不妥而引起货物破损和丢失的任何损失的责任或费用。</w:t>
      </w:r>
    </w:p>
    <w:p>
      <w:pPr>
        <w:spacing w:line="460" w:lineRule="exact"/>
        <w:rPr>
          <w:rFonts w:ascii="宋体" w:hAnsi="宋体"/>
          <w:b/>
          <w:bCs/>
          <w:szCs w:val="22"/>
        </w:rPr>
      </w:pPr>
      <w:r>
        <w:rPr>
          <w:rFonts w:hint="eastAsia"/>
          <w:b/>
          <w:bCs/>
          <w:szCs w:val="22"/>
        </w:rPr>
        <w:t>9</w:t>
      </w:r>
      <w:r>
        <w:rPr>
          <w:rFonts w:hint="eastAsia" w:ascii="宋体" w:hAnsi="宋体"/>
          <w:b/>
          <w:bCs/>
          <w:szCs w:val="22"/>
        </w:rPr>
        <w:t>.    装运标记</w:t>
      </w:r>
    </w:p>
    <w:p>
      <w:pPr>
        <w:spacing w:line="460" w:lineRule="exact"/>
        <w:ind w:left="630" w:hanging="630" w:hangingChars="300"/>
        <w:rPr>
          <w:rFonts w:ascii="宋体" w:hAnsi="宋体"/>
          <w:szCs w:val="22"/>
        </w:rPr>
      </w:pPr>
      <w:r>
        <w:rPr>
          <w:rFonts w:hint="eastAsia"/>
          <w:szCs w:val="22"/>
        </w:rPr>
        <w:t>9</w:t>
      </w:r>
      <w:r>
        <w:rPr>
          <w:rFonts w:hint="eastAsia" w:ascii="宋体" w:hAnsi="宋体"/>
          <w:szCs w:val="22"/>
        </w:rPr>
        <w:t>.1   根据货物的特点和运输的不同要求，成交人还应清楚地标注“小心轻放”、“防潮”、“此端向上”、“请勿倒置”“保持干燥”等字样和其他国际贸易中使用的适当标志。</w:t>
      </w:r>
    </w:p>
    <w:p>
      <w:pPr>
        <w:spacing w:line="460" w:lineRule="exact"/>
        <w:rPr>
          <w:rFonts w:ascii="宋体" w:hAnsi="宋体"/>
          <w:b/>
          <w:bCs/>
          <w:szCs w:val="22"/>
        </w:rPr>
      </w:pPr>
      <w:r>
        <w:rPr>
          <w:rFonts w:hint="eastAsia"/>
          <w:b/>
          <w:bCs/>
          <w:szCs w:val="22"/>
        </w:rPr>
        <w:t>10</w:t>
      </w:r>
      <w:r>
        <w:rPr>
          <w:rFonts w:hint="eastAsia" w:ascii="宋体" w:hAnsi="宋体"/>
          <w:b/>
          <w:bCs/>
          <w:szCs w:val="22"/>
        </w:rPr>
        <w:t>.    交货方式：</w:t>
      </w:r>
    </w:p>
    <w:p>
      <w:pPr>
        <w:spacing w:line="460" w:lineRule="exact"/>
        <w:ind w:left="594" w:hanging="594" w:hangingChars="283"/>
        <w:rPr>
          <w:rFonts w:ascii="宋体" w:hAnsi="宋体"/>
          <w:szCs w:val="22"/>
        </w:rPr>
      </w:pPr>
      <w:r>
        <w:rPr>
          <w:rFonts w:hint="eastAsia"/>
          <w:szCs w:val="22"/>
        </w:rPr>
        <w:t>10</w:t>
      </w:r>
      <w:r>
        <w:rPr>
          <w:rFonts w:hint="eastAsia" w:ascii="宋体" w:hAnsi="宋体"/>
          <w:szCs w:val="22"/>
        </w:rPr>
        <w:t>.1   现场交货：成交人负责办理运输和保险，将货物运抵采购人指定的现场并落地就位。有关运输和保险的一切费用由成交人承担。所有货物运抵现场的日期为交货日期。</w:t>
      </w:r>
    </w:p>
    <w:p>
      <w:pPr>
        <w:spacing w:line="460" w:lineRule="exact"/>
        <w:ind w:left="630" w:hanging="630" w:hangingChars="300"/>
        <w:rPr>
          <w:rFonts w:ascii="宋体" w:hAnsi="宋体"/>
          <w:szCs w:val="22"/>
        </w:rPr>
      </w:pPr>
      <w:r>
        <w:rPr>
          <w:rFonts w:hint="eastAsia"/>
          <w:szCs w:val="22"/>
        </w:rPr>
        <w:t>10</w:t>
      </w:r>
      <w:r>
        <w:rPr>
          <w:rFonts w:hint="eastAsia" w:ascii="宋体" w:hAnsi="宋体"/>
          <w:szCs w:val="22"/>
        </w:rPr>
        <w:t>.2   在现场交货条件下，成交人在货物发运前15天，将要发运货物的名称、规格、数量、尺寸、重量和货物的卸车，贮存的特殊要求以及运输工具名称以及启运日期，以传真形式通知采购人。</w:t>
      </w:r>
    </w:p>
    <w:p>
      <w:pPr>
        <w:spacing w:line="460" w:lineRule="exact"/>
        <w:ind w:left="630" w:hanging="630" w:hangingChars="300"/>
        <w:rPr>
          <w:rFonts w:ascii="宋体" w:hAnsi="宋体"/>
          <w:szCs w:val="22"/>
        </w:rPr>
      </w:pPr>
      <w:r>
        <w:rPr>
          <w:rFonts w:hint="eastAsia"/>
          <w:szCs w:val="22"/>
        </w:rPr>
        <w:t>10</w:t>
      </w:r>
      <w:r>
        <w:rPr>
          <w:rFonts w:hint="eastAsia" w:ascii="宋体" w:hAnsi="宋体"/>
          <w:szCs w:val="22"/>
        </w:rPr>
        <w:t>.3   如因成交人延误将上述内容用传真形式通知采购人，由此引起的一切损失应由成交人承担。</w:t>
      </w:r>
    </w:p>
    <w:p>
      <w:pPr>
        <w:spacing w:line="460" w:lineRule="exact"/>
        <w:rPr>
          <w:rFonts w:ascii="宋体" w:hAnsi="宋体"/>
          <w:b/>
          <w:bCs/>
          <w:szCs w:val="22"/>
        </w:rPr>
      </w:pPr>
      <w:r>
        <w:rPr>
          <w:rFonts w:hint="eastAsia"/>
          <w:b/>
          <w:bCs/>
          <w:szCs w:val="22"/>
        </w:rPr>
        <w:t>11</w:t>
      </w:r>
      <w:r>
        <w:rPr>
          <w:rFonts w:hint="eastAsia" w:ascii="宋体" w:hAnsi="宋体"/>
          <w:b/>
          <w:bCs/>
          <w:szCs w:val="22"/>
        </w:rPr>
        <w:t>.    付款方式</w:t>
      </w:r>
    </w:p>
    <w:p>
      <w:pPr>
        <w:spacing w:line="460" w:lineRule="exact"/>
        <w:rPr>
          <w:rFonts w:hint="eastAsia"/>
          <w:b/>
          <w:bCs/>
          <w:color w:val="000000"/>
          <w:sz w:val="22"/>
          <w:szCs w:val="22"/>
          <w:u w:val="single"/>
        </w:rPr>
      </w:pPr>
      <w:r>
        <w:rPr>
          <w:rFonts w:hint="eastAsia"/>
          <w:b/>
          <w:bCs/>
          <w:color w:val="000000"/>
          <w:sz w:val="22"/>
          <w:szCs w:val="22"/>
          <w:u w:val="single"/>
        </w:rPr>
        <w:t>11.1履约保证金缴纳：成交供应商在成交后向采购人缴纳合同金额的1%作为履约保证金（转账或保函）。项目验收后退还。</w:t>
      </w:r>
    </w:p>
    <w:p>
      <w:pPr>
        <w:spacing w:line="460" w:lineRule="exact"/>
        <w:rPr>
          <w:rFonts w:hint="eastAsia" w:ascii="宋体"/>
          <w:b/>
          <w:szCs w:val="22"/>
          <w:u w:val="single"/>
        </w:rPr>
      </w:pPr>
      <w:r>
        <w:rPr>
          <w:rFonts w:hint="eastAsia"/>
          <w:b/>
          <w:bCs/>
          <w:color w:val="000000"/>
          <w:sz w:val="22"/>
          <w:szCs w:val="22"/>
          <w:u w:val="single"/>
        </w:rPr>
        <w:t>11.2合同签订后采购人向成交供应商支付合同总额的40%作为预付款（在签订合同时，供应商须提交银行、保险公司等金融机构出具的预付款保函或其他担保措施。），验收合格后30日历天付清余款。（具体每笔款项支付视财政部门资金拨付情况而定）。</w:t>
      </w:r>
    </w:p>
    <w:p>
      <w:pPr>
        <w:spacing w:line="460" w:lineRule="exact"/>
        <w:rPr>
          <w:rFonts w:ascii="宋体" w:hAnsi="宋体"/>
          <w:b/>
          <w:bCs/>
          <w:szCs w:val="22"/>
        </w:rPr>
      </w:pPr>
      <w:r>
        <w:rPr>
          <w:rFonts w:hint="eastAsia"/>
          <w:b/>
          <w:bCs/>
          <w:szCs w:val="22"/>
        </w:rPr>
        <w:t>12</w:t>
      </w:r>
      <w:r>
        <w:rPr>
          <w:rFonts w:hint="eastAsia" w:ascii="宋体" w:hAnsi="宋体"/>
          <w:b/>
          <w:bCs/>
          <w:szCs w:val="22"/>
        </w:rPr>
        <w:t>.    技术文件和资料</w:t>
      </w:r>
    </w:p>
    <w:p>
      <w:pPr>
        <w:spacing w:line="460" w:lineRule="exact"/>
        <w:ind w:left="630" w:hanging="630" w:hangingChars="300"/>
        <w:rPr>
          <w:rFonts w:ascii="宋体" w:hAnsi="宋体"/>
          <w:b/>
          <w:bCs/>
          <w:szCs w:val="22"/>
        </w:rPr>
      </w:pPr>
      <w:r>
        <w:rPr>
          <w:rFonts w:hint="eastAsia"/>
          <w:szCs w:val="22"/>
        </w:rPr>
        <w:t>12</w:t>
      </w:r>
      <w:r>
        <w:rPr>
          <w:rFonts w:hint="eastAsia" w:ascii="宋体" w:hAnsi="宋体"/>
          <w:szCs w:val="22"/>
        </w:rPr>
        <w:t>.1   提供技术文件和资料的种类和数量在本采购文件《采购内容及要求》中规定，买卖双方可根据采购要求和需要订立具体的技术文件和资料交付时间和数量。</w:t>
      </w:r>
    </w:p>
    <w:p>
      <w:pPr>
        <w:spacing w:line="460" w:lineRule="exact"/>
        <w:ind w:left="630" w:hanging="630" w:hangingChars="300"/>
        <w:rPr>
          <w:rFonts w:ascii="宋体" w:hAnsi="宋体"/>
          <w:b/>
          <w:bCs/>
          <w:szCs w:val="22"/>
        </w:rPr>
      </w:pPr>
      <w:r>
        <w:rPr>
          <w:rFonts w:hint="eastAsia"/>
          <w:szCs w:val="22"/>
        </w:rPr>
        <w:t>12</w:t>
      </w:r>
      <w:r>
        <w:rPr>
          <w:rFonts w:hint="eastAsia" w:ascii="宋体" w:hAnsi="宋体"/>
          <w:szCs w:val="22"/>
        </w:rPr>
        <w:t>.2   如果采购人确认成交人提供的技术文件和资料不完整，或在运输途中丢失，成交人应在收到采购人通知后3天内将这些文件、资料补齐。</w:t>
      </w:r>
    </w:p>
    <w:p>
      <w:pPr>
        <w:spacing w:line="460" w:lineRule="exact"/>
        <w:rPr>
          <w:rFonts w:ascii="宋体" w:hAnsi="宋体"/>
          <w:b/>
          <w:bCs/>
          <w:szCs w:val="22"/>
        </w:rPr>
      </w:pPr>
      <w:r>
        <w:rPr>
          <w:rFonts w:hint="eastAsia"/>
          <w:b/>
          <w:bCs/>
          <w:szCs w:val="22"/>
        </w:rPr>
        <w:t>13</w:t>
      </w:r>
      <w:r>
        <w:rPr>
          <w:rFonts w:hint="eastAsia" w:ascii="宋体" w:hAnsi="宋体"/>
          <w:b/>
          <w:bCs/>
          <w:szCs w:val="22"/>
        </w:rPr>
        <w:t>.    质量保证</w:t>
      </w:r>
    </w:p>
    <w:p>
      <w:pPr>
        <w:spacing w:line="460" w:lineRule="exact"/>
        <w:ind w:left="630" w:hanging="630" w:hangingChars="300"/>
        <w:rPr>
          <w:rFonts w:ascii="宋体" w:hAnsi="宋体"/>
          <w:b/>
          <w:bCs/>
          <w:szCs w:val="22"/>
        </w:rPr>
      </w:pPr>
      <w:r>
        <w:rPr>
          <w:rFonts w:hint="eastAsia"/>
          <w:szCs w:val="22"/>
        </w:rPr>
        <w:t>13</w:t>
      </w:r>
      <w:r>
        <w:rPr>
          <w:rFonts w:hint="eastAsia" w:ascii="宋体" w:hAnsi="宋体"/>
          <w:szCs w:val="22"/>
        </w:rPr>
        <w:t>.1   成交人所提供的货物应保证是企业原厂生产的，而不是其他地方生产的、全新的、未使用过的，是用一流的工艺和最佳材料制造而成的，并完全符合合同规定的质量、规格和尺寸要求。在货物质量保证期内，成交人应对由于设计、工艺、材料和配套件的缺陷所产生的任何不足或故障负责。</w:t>
      </w:r>
    </w:p>
    <w:p>
      <w:pPr>
        <w:spacing w:line="460" w:lineRule="exact"/>
        <w:ind w:left="630" w:hanging="630" w:hangingChars="300"/>
        <w:rPr>
          <w:rFonts w:ascii="宋体" w:hAnsi="宋体"/>
          <w:b/>
          <w:bCs/>
          <w:szCs w:val="22"/>
        </w:rPr>
      </w:pPr>
      <w:r>
        <w:rPr>
          <w:rFonts w:hint="eastAsia"/>
          <w:szCs w:val="22"/>
        </w:rPr>
        <w:t>13</w:t>
      </w:r>
      <w:r>
        <w:rPr>
          <w:rFonts w:hint="eastAsia" w:ascii="宋体" w:hAnsi="宋体"/>
          <w:szCs w:val="22"/>
        </w:rPr>
        <w:t>.2   根据采购人按检验标准检验的结果或当地质检部门检验的结果，或者在质量保证期内，如果货物的数量、质量或规格与合同不符，或证实货物是有缺陷的，包括潜在的缺陷或使用不符合要求的面料等，采购人应尽快以书面形式通知成交人，提出索赔。成交人在收到通知后，应在规定期限内，更换有缺陷的或不符合要求的规格和尺寸，同时相应延长质量保证期。</w:t>
      </w:r>
    </w:p>
    <w:p>
      <w:pPr>
        <w:spacing w:line="460" w:lineRule="exact"/>
        <w:ind w:left="632" w:hanging="632" w:hangingChars="300"/>
        <w:rPr>
          <w:rFonts w:ascii="宋体" w:hAnsi="宋体"/>
          <w:b/>
          <w:bCs/>
          <w:szCs w:val="22"/>
        </w:rPr>
      </w:pPr>
      <w:r>
        <w:rPr>
          <w:rFonts w:hint="eastAsia"/>
          <w:b/>
          <w:bCs/>
          <w:szCs w:val="22"/>
        </w:rPr>
        <w:t>13</w:t>
      </w:r>
      <w:r>
        <w:rPr>
          <w:rFonts w:hint="eastAsia" w:ascii="宋体" w:hAnsi="宋体"/>
          <w:b/>
          <w:bCs/>
          <w:szCs w:val="22"/>
        </w:rPr>
        <w:t>.3   货物质量保证期</w:t>
      </w:r>
    </w:p>
    <w:p>
      <w:pPr>
        <w:tabs>
          <w:tab w:val="left" w:pos="540"/>
        </w:tabs>
        <w:autoSpaceDE w:val="0"/>
        <w:autoSpaceDN w:val="0"/>
        <w:adjustRightInd w:val="0"/>
        <w:snapToGrid w:val="0"/>
        <w:spacing w:line="360" w:lineRule="auto"/>
        <w:ind w:firstLine="420" w:firstLineChars="200"/>
        <w:textAlignment w:val="bottom"/>
        <w:rPr>
          <w:rFonts w:ascii="宋体" w:hAnsi="宋体"/>
          <w:b/>
          <w:bCs/>
          <w:szCs w:val="22"/>
        </w:rPr>
      </w:pPr>
      <w:r>
        <w:rPr>
          <w:rFonts w:hint="eastAsia"/>
          <w:szCs w:val="22"/>
        </w:rPr>
        <w:t>本项目所有货物及附件的质保期均为   年（产品设备技术参数中有明确的除外），质保期从自验收合格并交付使用后开始计算；质保期内因产品本身缺陷（非人为因素）造成各种故障应由成交供应商免费技术服务和维修。如厂商本身承诺的产品质保期高于采购文件要求的则按照厂商承诺执行。</w:t>
      </w:r>
    </w:p>
    <w:p>
      <w:pPr>
        <w:spacing w:line="460" w:lineRule="exact"/>
        <w:rPr>
          <w:rFonts w:ascii="宋体" w:hAnsi="宋体"/>
          <w:b/>
          <w:bCs/>
          <w:szCs w:val="22"/>
        </w:rPr>
      </w:pPr>
      <w:r>
        <w:rPr>
          <w:rFonts w:hint="eastAsia"/>
          <w:b/>
          <w:bCs/>
          <w:szCs w:val="22"/>
        </w:rPr>
        <w:t>14</w:t>
      </w:r>
      <w:r>
        <w:rPr>
          <w:rFonts w:hint="eastAsia" w:ascii="宋体" w:hAnsi="宋体"/>
          <w:b/>
          <w:bCs/>
          <w:szCs w:val="22"/>
        </w:rPr>
        <w:t>.   成交人履约延误</w:t>
      </w:r>
    </w:p>
    <w:p>
      <w:pPr>
        <w:spacing w:line="460" w:lineRule="exact"/>
        <w:ind w:left="420" w:hanging="420" w:hangingChars="200"/>
        <w:rPr>
          <w:rFonts w:ascii="宋体" w:hAnsi="宋体"/>
          <w:szCs w:val="22"/>
        </w:rPr>
      </w:pPr>
      <w:r>
        <w:rPr>
          <w:rFonts w:hint="eastAsia"/>
          <w:szCs w:val="22"/>
        </w:rPr>
        <w:t>14</w:t>
      </w:r>
      <w:r>
        <w:rPr>
          <w:rFonts w:hint="eastAsia" w:ascii="宋体" w:hAnsi="宋体"/>
          <w:szCs w:val="22"/>
        </w:rPr>
        <w:t>.1  成交人应按照合同规定的时间交货和提供服务。</w:t>
      </w:r>
    </w:p>
    <w:p>
      <w:pPr>
        <w:spacing w:line="460" w:lineRule="exact"/>
        <w:ind w:left="630" w:hanging="630" w:hangingChars="300"/>
        <w:rPr>
          <w:rFonts w:ascii="宋体" w:hAnsi="宋体"/>
          <w:szCs w:val="22"/>
        </w:rPr>
      </w:pPr>
      <w:r>
        <w:rPr>
          <w:rFonts w:hint="eastAsia" w:ascii="宋体" w:hAnsi="宋体"/>
          <w:szCs w:val="22"/>
        </w:rPr>
        <w:t>1</w:t>
      </w:r>
      <w:r>
        <w:rPr>
          <w:rFonts w:hint="eastAsia"/>
          <w:szCs w:val="22"/>
        </w:rPr>
        <w:t>4</w:t>
      </w:r>
      <w:r>
        <w:rPr>
          <w:rFonts w:hint="eastAsia" w:ascii="宋体" w:hAnsi="宋体"/>
          <w:szCs w:val="22"/>
        </w:rPr>
        <w:t>.2  在履行合同过程中，如果成交人遇到妨碍按时交货和提供服务的情况时，应及时以书面形式将延误的事实、可能拖延的时间和原因通知采购人。采购人在收到成交人通知后，应尽快对情况进行分析评价，并确定是否同意延长交货时间以及是否收取误期赔偿费。延期应通过修改合同的方式由双方认可。</w:t>
      </w:r>
    </w:p>
    <w:p>
      <w:pPr>
        <w:spacing w:line="460" w:lineRule="exact"/>
        <w:ind w:left="630" w:hanging="630" w:hangingChars="300"/>
        <w:rPr>
          <w:rFonts w:ascii="宋体" w:hAnsi="宋体"/>
          <w:szCs w:val="22"/>
        </w:rPr>
      </w:pPr>
      <w:r>
        <w:rPr>
          <w:rFonts w:hint="eastAsia" w:ascii="宋体" w:hAnsi="宋体"/>
          <w:szCs w:val="22"/>
        </w:rPr>
        <w:t>1</w:t>
      </w:r>
      <w:r>
        <w:rPr>
          <w:rFonts w:hint="eastAsia"/>
          <w:szCs w:val="22"/>
        </w:rPr>
        <w:t>4</w:t>
      </w:r>
      <w:r>
        <w:rPr>
          <w:rFonts w:hint="eastAsia" w:ascii="宋体" w:hAnsi="宋体"/>
          <w:szCs w:val="22"/>
        </w:rPr>
        <w:t>.3  除了合同条款中不可抗力的情况外，除采购人同意延误并不收赔偿费外，成交人延误交货或提供服务将按合同条款11条规定被收取误期赔偿费。</w:t>
      </w:r>
    </w:p>
    <w:p>
      <w:pPr>
        <w:spacing w:line="460" w:lineRule="exact"/>
        <w:ind w:left="630" w:hanging="630" w:hangingChars="300"/>
        <w:rPr>
          <w:rFonts w:ascii="宋体" w:hAnsi="宋体"/>
          <w:szCs w:val="22"/>
        </w:rPr>
      </w:pPr>
      <w:r>
        <w:rPr>
          <w:rFonts w:hint="eastAsia" w:ascii="宋体" w:hAnsi="宋体"/>
          <w:szCs w:val="22"/>
        </w:rPr>
        <w:t>1</w:t>
      </w:r>
      <w:r>
        <w:rPr>
          <w:rFonts w:hint="eastAsia"/>
          <w:szCs w:val="22"/>
        </w:rPr>
        <w:t>4</w:t>
      </w:r>
      <w:r>
        <w:rPr>
          <w:rFonts w:hint="eastAsia" w:ascii="宋体" w:hAnsi="宋体"/>
          <w:szCs w:val="22"/>
        </w:rPr>
        <w:t>.4  所有提供的货物的交货、运输及验收都应服从采购人的统一安排。</w:t>
      </w:r>
    </w:p>
    <w:p>
      <w:pPr>
        <w:spacing w:line="460" w:lineRule="exact"/>
        <w:rPr>
          <w:rFonts w:ascii="宋体" w:hAnsi="宋体"/>
          <w:b/>
          <w:bCs/>
          <w:szCs w:val="22"/>
        </w:rPr>
      </w:pPr>
      <w:r>
        <w:rPr>
          <w:rFonts w:hint="eastAsia" w:ascii="宋体" w:hAnsi="宋体"/>
          <w:b/>
          <w:bCs/>
          <w:szCs w:val="22"/>
        </w:rPr>
        <w:t>1</w:t>
      </w:r>
      <w:r>
        <w:rPr>
          <w:rFonts w:hint="eastAsia"/>
          <w:b/>
          <w:bCs/>
          <w:szCs w:val="22"/>
        </w:rPr>
        <w:t>5</w:t>
      </w:r>
      <w:r>
        <w:rPr>
          <w:rFonts w:hint="eastAsia" w:ascii="宋体" w:hAnsi="宋体"/>
          <w:b/>
          <w:bCs/>
          <w:szCs w:val="22"/>
        </w:rPr>
        <w:t>.   误期赔偿费</w:t>
      </w:r>
    </w:p>
    <w:p>
      <w:pPr>
        <w:spacing w:line="460" w:lineRule="exact"/>
        <w:ind w:left="630" w:hanging="630" w:hangingChars="300"/>
        <w:rPr>
          <w:rFonts w:ascii="宋体" w:hAnsi="宋体"/>
          <w:szCs w:val="22"/>
        </w:rPr>
      </w:pPr>
      <w:r>
        <w:rPr>
          <w:rFonts w:hint="eastAsia" w:ascii="宋体" w:hAnsi="宋体"/>
          <w:szCs w:val="22"/>
        </w:rPr>
        <w:t>1</w:t>
      </w:r>
      <w:r>
        <w:rPr>
          <w:rFonts w:hint="eastAsia"/>
          <w:szCs w:val="22"/>
        </w:rPr>
        <w:t>5</w:t>
      </w:r>
      <w:r>
        <w:rPr>
          <w:rFonts w:hint="eastAsia" w:ascii="宋体" w:hAnsi="宋体"/>
          <w:szCs w:val="22"/>
        </w:rPr>
        <w:t>.1  除不可抗力外，如果成交人没有按照合同规定的时间交货和提供服务，采购人应在不影响合同项下的其他补救措施的情况下，从合同价款中扣除误期赔偿费。每延误一周的赔偿费按迟交货物交货价或未提供服务的服务费用的百分之零点五（0.5%）计收，直至交货或提供服务为止。误期赔偿费最高限额为合同价的百分之五（5%）。一旦延到误期赔偿费的最高限额，采购人可考虑终止合同且不承担违约责任。</w:t>
      </w:r>
    </w:p>
    <w:p>
      <w:pPr>
        <w:spacing w:line="460" w:lineRule="exact"/>
        <w:rPr>
          <w:rFonts w:ascii="宋体" w:hAnsi="宋体"/>
          <w:b/>
          <w:bCs/>
          <w:szCs w:val="22"/>
        </w:rPr>
      </w:pPr>
      <w:r>
        <w:rPr>
          <w:rFonts w:hint="eastAsia" w:ascii="宋体" w:hAnsi="宋体"/>
          <w:b/>
          <w:bCs/>
          <w:szCs w:val="22"/>
        </w:rPr>
        <w:t>1</w:t>
      </w:r>
      <w:r>
        <w:rPr>
          <w:rFonts w:hint="eastAsia"/>
          <w:b/>
          <w:bCs/>
          <w:szCs w:val="22"/>
        </w:rPr>
        <w:t>6</w:t>
      </w:r>
      <w:r>
        <w:rPr>
          <w:rFonts w:hint="eastAsia" w:ascii="宋体" w:hAnsi="宋体"/>
          <w:b/>
          <w:bCs/>
          <w:szCs w:val="22"/>
        </w:rPr>
        <w:t>.   不可抗力</w:t>
      </w:r>
    </w:p>
    <w:p>
      <w:pPr>
        <w:spacing w:line="460" w:lineRule="exact"/>
        <w:ind w:left="630" w:hanging="630" w:hangingChars="300"/>
        <w:rPr>
          <w:rFonts w:ascii="宋体" w:hAnsi="宋体"/>
          <w:szCs w:val="22"/>
        </w:rPr>
      </w:pPr>
      <w:r>
        <w:rPr>
          <w:rFonts w:hint="eastAsia" w:ascii="宋体" w:hAnsi="宋体"/>
          <w:szCs w:val="22"/>
        </w:rPr>
        <w:t>1</w:t>
      </w:r>
      <w:r>
        <w:rPr>
          <w:rFonts w:hint="eastAsia"/>
          <w:szCs w:val="22"/>
        </w:rPr>
        <w:t>6</w:t>
      </w:r>
      <w:r>
        <w:rPr>
          <w:rFonts w:hint="eastAsia" w:ascii="宋体" w:hAnsi="宋体"/>
          <w:szCs w:val="22"/>
        </w:rPr>
        <w:t>.1  如果双方中任何一方由于战争、严重火灾、水灾、破坏性台风和地震以及其它经双方同意属不可抗力的事故，致使合同履行受阻时，履行合同期限应予延长，延长时限应相当于事故所影响的时间，或双方协商解决。</w:t>
      </w:r>
    </w:p>
    <w:p>
      <w:pPr>
        <w:spacing w:line="460" w:lineRule="exact"/>
        <w:rPr>
          <w:rFonts w:ascii="宋体" w:hAnsi="宋体"/>
          <w:b/>
          <w:bCs/>
          <w:szCs w:val="22"/>
        </w:rPr>
      </w:pPr>
      <w:r>
        <w:rPr>
          <w:rFonts w:hint="eastAsia" w:ascii="宋体" w:hAnsi="宋体"/>
          <w:b/>
          <w:bCs/>
          <w:szCs w:val="22"/>
        </w:rPr>
        <w:t>1</w:t>
      </w:r>
      <w:r>
        <w:rPr>
          <w:rFonts w:hint="eastAsia"/>
          <w:b/>
          <w:bCs/>
          <w:szCs w:val="22"/>
        </w:rPr>
        <w:t>7</w:t>
      </w:r>
      <w:r>
        <w:rPr>
          <w:rFonts w:hint="eastAsia" w:ascii="宋体" w:hAnsi="宋体"/>
          <w:b/>
          <w:bCs/>
          <w:szCs w:val="22"/>
        </w:rPr>
        <w:t>.   税费</w:t>
      </w:r>
    </w:p>
    <w:p>
      <w:pPr>
        <w:spacing w:line="460" w:lineRule="exact"/>
        <w:ind w:left="420" w:hanging="420" w:hangingChars="200"/>
        <w:rPr>
          <w:rFonts w:ascii="宋体" w:hAnsi="宋体"/>
          <w:szCs w:val="22"/>
        </w:rPr>
      </w:pPr>
      <w:r>
        <w:rPr>
          <w:rFonts w:hint="eastAsia" w:ascii="宋体" w:hAnsi="宋体"/>
          <w:szCs w:val="22"/>
        </w:rPr>
        <w:t>1</w:t>
      </w:r>
      <w:r>
        <w:rPr>
          <w:rFonts w:hint="eastAsia"/>
          <w:szCs w:val="22"/>
        </w:rPr>
        <w:t>7</w:t>
      </w:r>
      <w:r>
        <w:rPr>
          <w:rFonts w:hint="eastAsia" w:ascii="宋体" w:hAnsi="宋体"/>
          <w:szCs w:val="22"/>
        </w:rPr>
        <w:t>.1  根据国家现行税法对采购人征收的与本合同有关的一切费用由采购人承担。</w:t>
      </w:r>
    </w:p>
    <w:p>
      <w:pPr>
        <w:spacing w:line="460" w:lineRule="exact"/>
        <w:ind w:left="462" w:hanging="462" w:hangingChars="220"/>
        <w:rPr>
          <w:rFonts w:ascii="宋体" w:hAnsi="宋体"/>
          <w:szCs w:val="22"/>
        </w:rPr>
      </w:pPr>
      <w:r>
        <w:rPr>
          <w:rFonts w:hint="eastAsia" w:ascii="宋体" w:hAnsi="宋体"/>
          <w:szCs w:val="22"/>
        </w:rPr>
        <w:t>1</w:t>
      </w:r>
      <w:r>
        <w:rPr>
          <w:rFonts w:hint="eastAsia"/>
          <w:szCs w:val="22"/>
        </w:rPr>
        <w:t>7</w:t>
      </w:r>
      <w:r>
        <w:rPr>
          <w:rFonts w:hint="eastAsia" w:ascii="宋体" w:hAnsi="宋体"/>
          <w:szCs w:val="22"/>
        </w:rPr>
        <w:t>.2  根据现行税法对成交人征收的与本合同有关的一切税费均由成交人承担。</w:t>
      </w:r>
    </w:p>
    <w:p>
      <w:pPr>
        <w:spacing w:line="460" w:lineRule="exact"/>
        <w:ind w:left="420" w:hanging="420" w:hangingChars="200"/>
        <w:rPr>
          <w:rFonts w:ascii="宋体" w:hAnsi="宋体"/>
          <w:szCs w:val="22"/>
        </w:rPr>
      </w:pPr>
      <w:r>
        <w:rPr>
          <w:rFonts w:hint="eastAsia" w:ascii="宋体" w:hAnsi="宋体"/>
          <w:szCs w:val="22"/>
        </w:rPr>
        <w:t>1</w:t>
      </w:r>
      <w:r>
        <w:rPr>
          <w:rFonts w:hint="eastAsia"/>
          <w:szCs w:val="22"/>
        </w:rPr>
        <w:t>7</w:t>
      </w:r>
      <w:r>
        <w:rPr>
          <w:rFonts w:hint="eastAsia" w:ascii="宋体" w:hAnsi="宋体"/>
          <w:szCs w:val="22"/>
        </w:rPr>
        <w:t>.3  在中国境外发生的与本合同执行有关的一切税费由成交人承担。</w:t>
      </w:r>
    </w:p>
    <w:p>
      <w:pPr>
        <w:spacing w:line="460" w:lineRule="exact"/>
        <w:rPr>
          <w:rFonts w:ascii="宋体" w:hAnsi="宋体"/>
          <w:b/>
          <w:bCs/>
          <w:szCs w:val="22"/>
        </w:rPr>
      </w:pPr>
      <w:r>
        <w:rPr>
          <w:rFonts w:hint="eastAsia" w:ascii="宋体" w:hAnsi="宋体"/>
          <w:b/>
          <w:bCs/>
          <w:szCs w:val="22"/>
        </w:rPr>
        <w:t>1</w:t>
      </w:r>
      <w:r>
        <w:rPr>
          <w:rFonts w:hint="eastAsia"/>
          <w:b/>
          <w:bCs/>
          <w:szCs w:val="22"/>
        </w:rPr>
        <w:t>8</w:t>
      </w:r>
      <w:r>
        <w:rPr>
          <w:rFonts w:hint="eastAsia" w:ascii="宋体" w:hAnsi="宋体"/>
          <w:b/>
          <w:bCs/>
          <w:szCs w:val="22"/>
        </w:rPr>
        <w:t>.   违约终止合同</w:t>
      </w:r>
    </w:p>
    <w:p>
      <w:pPr>
        <w:spacing w:line="460" w:lineRule="exact"/>
        <w:rPr>
          <w:rFonts w:ascii="宋体" w:hAnsi="宋体"/>
          <w:szCs w:val="22"/>
        </w:rPr>
      </w:pPr>
      <w:r>
        <w:rPr>
          <w:rFonts w:hint="eastAsia" w:ascii="宋体" w:hAnsi="宋体"/>
          <w:szCs w:val="22"/>
        </w:rPr>
        <w:t>1</w:t>
      </w:r>
      <w:r>
        <w:rPr>
          <w:rFonts w:hint="eastAsia"/>
          <w:szCs w:val="22"/>
        </w:rPr>
        <w:t>8</w:t>
      </w:r>
      <w:r>
        <w:rPr>
          <w:rFonts w:hint="eastAsia" w:ascii="宋体" w:hAnsi="宋体"/>
          <w:szCs w:val="22"/>
        </w:rPr>
        <w:t>.1  采购人在成交人违约的情况下，如果发生下列情况之一，可考虑终止部分或全部合同：</w:t>
      </w:r>
    </w:p>
    <w:p>
      <w:pPr>
        <w:spacing w:line="460" w:lineRule="exact"/>
        <w:rPr>
          <w:rFonts w:ascii="宋体" w:hAnsi="宋体"/>
          <w:szCs w:val="22"/>
        </w:rPr>
      </w:pPr>
      <w:r>
        <w:rPr>
          <w:rFonts w:hint="eastAsia" w:ascii="宋体" w:hAnsi="宋体"/>
          <w:szCs w:val="22"/>
        </w:rPr>
        <w:t>（1） 成交人未能在合同规定的期限内或采购人同意延长的期限内提供全部或部分货物；</w:t>
      </w:r>
    </w:p>
    <w:p>
      <w:pPr>
        <w:spacing w:line="460" w:lineRule="exact"/>
        <w:ind w:left="630" w:hanging="630" w:hangingChars="300"/>
        <w:rPr>
          <w:rFonts w:ascii="宋体" w:hAnsi="宋体"/>
          <w:szCs w:val="22"/>
        </w:rPr>
      </w:pPr>
      <w:r>
        <w:rPr>
          <w:rFonts w:hint="eastAsia" w:ascii="宋体" w:hAnsi="宋体"/>
          <w:szCs w:val="22"/>
        </w:rPr>
        <w:t>（2</w:t>
      </w:r>
      <w:r>
        <w:rPr>
          <w:rFonts w:hint="eastAsia" w:ascii="宋体" w:hAnsi="宋体"/>
          <w:spacing w:val="40"/>
          <w:szCs w:val="22"/>
        </w:rPr>
        <w:t>）</w:t>
      </w:r>
      <w:r>
        <w:rPr>
          <w:rFonts w:hint="eastAsia" w:ascii="宋体" w:hAnsi="宋体"/>
          <w:szCs w:val="22"/>
        </w:rPr>
        <w:t>成交人未能履行合同规定的任何其他义务。成交人在收到采购人发出的违约通知后30天内，或经采购人书面认可延长的时间内未能纠正其过失。采购人可向成交人发出书面通知，终止部分或合同全部，通知到达成交人时合同即行解除。在这种情况下，并不影响采购人向成交人提出的索赔。</w:t>
      </w:r>
    </w:p>
    <w:p>
      <w:pPr>
        <w:spacing w:line="460" w:lineRule="exact"/>
        <w:ind w:left="630" w:hanging="630" w:hangingChars="300"/>
        <w:rPr>
          <w:rFonts w:ascii="宋体" w:hAnsi="宋体"/>
          <w:szCs w:val="22"/>
        </w:rPr>
      </w:pPr>
      <w:r>
        <w:rPr>
          <w:rFonts w:hint="eastAsia" w:ascii="宋体" w:hAnsi="宋体"/>
          <w:szCs w:val="22"/>
        </w:rPr>
        <w:t>1</w:t>
      </w:r>
      <w:r>
        <w:rPr>
          <w:rFonts w:hint="eastAsia"/>
          <w:szCs w:val="22"/>
        </w:rPr>
        <w:t>8</w:t>
      </w:r>
      <w:r>
        <w:rPr>
          <w:rFonts w:hint="eastAsia" w:ascii="宋体" w:hAnsi="宋体"/>
          <w:szCs w:val="22"/>
        </w:rPr>
        <w:t>.2  如果采购人根据上述第1</w:t>
      </w:r>
      <w:r>
        <w:rPr>
          <w:rFonts w:hint="eastAsia"/>
          <w:szCs w:val="22"/>
        </w:rPr>
        <w:t>8</w:t>
      </w:r>
      <w:r>
        <w:rPr>
          <w:rFonts w:hint="eastAsia" w:ascii="宋体" w:hAnsi="宋体"/>
          <w:szCs w:val="22"/>
        </w:rPr>
        <w:t>.1条的规定，终止了全部或部分合同，采购人可以依其认为适当的条件和方法购买与未交货物类似的货物或服务，成交人应承担采购人因购买类似货物或服务而产生的额外支出。但是，成交人应继续执行合同中未终止的部分。</w:t>
      </w:r>
    </w:p>
    <w:p>
      <w:pPr>
        <w:spacing w:line="460" w:lineRule="exact"/>
        <w:rPr>
          <w:rFonts w:ascii="宋体" w:hAnsi="宋体"/>
          <w:b/>
          <w:bCs/>
          <w:szCs w:val="22"/>
        </w:rPr>
      </w:pPr>
      <w:r>
        <w:rPr>
          <w:rFonts w:hint="eastAsia" w:ascii="宋体" w:hAnsi="宋体"/>
          <w:b/>
          <w:bCs/>
          <w:szCs w:val="22"/>
        </w:rPr>
        <w:t>1</w:t>
      </w:r>
      <w:r>
        <w:rPr>
          <w:rFonts w:hint="eastAsia"/>
          <w:b/>
          <w:bCs/>
          <w:szCs w:val="22"/>
        </w:rPr>
        <w:t>9</w:t>
      </w:r>
      <w:r>
        <w:rPr>
          <w:rFonts w:hint="eastAsia" w:ascii="宋体" w:hAnsi="宋体"/>
          <w:b/>
          <w:bCs/>
          <w:szCs w:val="22"/>
        </w:rPr>
        <w:t>.   履约保证金的罚没</w:t>
      </w:r>
    </w:p>
    <w:p>
      <w:pPr>
        <w:spacing w:line="460" w:lineRule="exact"/>
        <w:ind w:left="630" w:hanging="630" w:hangingChars="300"/>
        <w:rPr>
          <w:rFonts w:ascii="宋体" w:hAnsi="宋体"/>
          <w:szCs w:val="22"/>
        </w:rPr>
      </w:pPr>
      <w:r>
        <w:rPr>
          <w:rFonts w:hint="eastAsia" w:ascii="宋体" w:hAnsi="宋体"/>
          <w:szCs w:val="22"/>
        </w:rPr>
        <w:t>1</w:t>
      </w:r>
      <w:r>
        <w:rPr>
          <w:rFonts w:hint="eastAsia"/>
          <w:szCs w:val="22"/>
        </w:rPr>
        <w:t>9</w:t>
      </w:r>
      <w:r>
        <w:rPr>
          <w:rFonts w:hint="eastAsia" w:ascii="宋体" w:hAnsi="宋体"/>
          <w:szCs w:val="22"/>
        </w:rPr>
        <w:t>.1  如成交人未能履行合同规定的任何义务给采购人造成直接或间接损失的，采购人有权从直接从履约保证金中予以补偿。</w:t>
      </w:r>
    </w:p>
    <w:p>
      <w:pPr>
        <w:spacing w:line="460" w:lineRule="exact"/>
        <w:ind w:left="630" w:hanging="630" w:hangingChars="300"/>
        <w:rPr>
          <w:rFonts w:ascii="宋体" w:hAnsi="宋体"/>
          <w:szCs w:val="22"/>
        </w:rPr>
      </w:pPr>
      <w:r>
        <w:rPr>
          <w:rFonts w:hint="eastAsia" w:ascii="宋体" w:hAnsi="宋体"/>
          <w:szCs w:val="22"/>
        </w:rPr>
        <w:t>1</w:t>
      </w:r>
      <w:r>
        <w:rPr>
          <w:rFonts w:hint="eastAsia"/>
          <w:szCs w:val="22"/>
        </w:rPr>
        <w:t>9</w:t>
      </w:r>
      <w:r>
        <w:rPr>
          <w:rFonts w:hint="eastAsia" w:ascii="宋体" w:hAnsi="宋体"/>
          <w:szCs w:val="22"/>
        </w:rPr>
        <w:t>.2  如果成交人毫无理由地拖延交货或拒绝履行合同规定的任何义务，采购人有权没收全部履约保证金，并另行追索违约赔偿金。</w:t>
      </w:r>
    </w:p>
    <w:p>
      <w:pPr>
        <w:spacing w:line="460" w:lineRule="exact"/>
        <w:ind w:left="630" w:hanging="630" w:hangingChars="300"/>
        <w:rPr>
          <w:rFonts w:ascii="宋体" w:hAnsi="宋体"/>
          <w:szCs w:val="22"/>
        </w:rPr>
      </w:pPr>
      <w:r>
        <w:rPr>
          <w:rFonts w:hint="eastAsia" w:ascii="宋体" w:hAnsi="宋体"/>
          <w:szCs w:val="22"/>
        </w:rPr>
        <w:t>1</w:t>
      </w:r>
      <w:r>
        <w:rPr>
          <w:rFonts w:hint="eastAsia"/>
          <w:szCs w:val="22"/>
        </w:rPr>
        <w:t>9</w:t>
      </w:r>
      <w:r>
        <w:rPr>
          <w:rFonts w:hint="eastAsia" w:ascii="宋体" w:hAnsi="宋体"/>
          <w:szCs w:val="22"/>
        </w:rPr>
        <w:t>.3  成交人提供的货物须和响应文件中所承诺的货物规格、数量、尺寸等相符（合同中另有规定除外）如不符，除追究成交人责任外，其履约保证金将被没收。</w:t>
      </w:r>
    </w:p>
    <w:p>
      <w:pPr>
        <w:spacing w:line="460" w:lineRule="exact"/>
        <w:rPr>
          <w:rFonts w:ascii="宋体" w:hAnsi="宋体"/>
          <w:szCs w:val="22"/>
        </w:rPr>
      </w:pPr>
      <w:r>
        <w:rPr>
          <w:rFonts w:hint="eastAsia"/>
          <w:szCs w:val="22"/>
        </w:rPr>
        <w:t>20</w:t>
      </w:r>
      <w:r>
        <w:rPr>
          <w:rFonts w:hint="eastAsia" w:ascii="宋体" w:hAnsi="宋体"/>
          <w:szCs w:val="22"/>
        </w:rPr>
        <w:t>.   双方责任</w:t>
      </w:r>
    </w:p>
    <w:p>
      <w:pPr>
        <w:spacing w:line="460" w:lineRule="exact"/>
        <w:rPr>
          <w:rFonts w:ascii="宋体" w:hAnsi="宋体"/>
          <w:szCs w:val="22"/>
        </w:rPr>
      </w:pPr>
      <w:r>
        <w:rPr>
          <w:rFonts w:hint="eastAsia"/>
          <w:szCs w:val="22"/>
        </w:rPr>
        <w:t>20</w:t>
      </w:r>
      <w:r>
        <w:rPr>
          <w:rFonts w:hint="eastAsia" w:ascii="宋体" w:hAnsi="宋体"/>
          <w:szCs w:val="22"/>
        </w:rPr>
        <w:t>.1  采购人</w:t>
      </w:r>
    </w:p>
    <w:p>
      <w:pPr>
        <w:spacing w:line="460" w:lineRule="exact"/>
        <w:rPr>
          <w:rFonts w:ascii="宋体" w:hAnsi="宋体"/>
          <w:szCs w:val="22"/>
        </w:rPr>
      </w:pPr>
      <w:r>
        <w:rPr>
          <w:rFonts w:hint="eastAsia" w:ascii="宋体" w:hAnsi="宋体"/>
          <w:szCs w:val="22"/>
        </w:rPr>
        <w:t>（1） 按合同规定向成交人支付货款。</w:t>
      </w:r>
    </w:p>
    <w:p>
      <w:pPr>
        <w:spacing w:line="460" w:lineRule="exact"/>
        <w:rPr>
          <w:rFonts w:ascii="宋体" w:hAnsi="宋体"/>
          <w:szCs w:val="22"/>
        </w:rPr>
      </w:pPr>
      <w:r>
        <w:rPr>
          <w:rFonts w:hint="eastAsia" w:ascii="宋体" w:hAnsi="宋体"/>
          <w:szCs w:val="22"/>
        </w:rPr>
        <w:t>（2） 组织对货物的验收。</w:t>
      </w:r>
    </w:p>
    <w:p>
      <w:pPr>
        <w:spacing w:line="460" w:lineRule="exact"/>
        <w:rPr>
          <w:rFonts w:ascii="宋体" w:hAnsi="宋体"/>
          <w:szCs w:val="22"/>
        </w:rPr>
      </w:pPr>
      <w:r>
        <w:rPr>
          <w:rFonts w:hint="eastAsia"/>
          <w:szCs w:val="22"/>
        </w:rPr>
        <w:t>20</w:t>
      </w:r>
      <w:r>
        <w:rPr>
          <w:rFonts w:hint="eastAsia" w:ascii="宋体" w:hAnsi="宋体"/>
          <w:szCs w:val="22"/>
        </w:rPr>
        <w:t>.2  成交人</w:t>
      </w:r>
    </w:p>
    <w:p>
      <w:pPr>
        <w:spacing w:line="460" w:lineRule="exact"/>
        <w:rPr>
          <w:rFonts w:ascii="宋体" w:hAnsi="宋体"/>
          <w:szCs w:val="22"/>
        </w:rPr>
      </w:pPr>
      <w:r>
        <w:rPr>
          <w:rFonts w:hint="eastAsia" w:ascii="宋体" w:hAnsi="宋体"/>
          <w:szCs w:val="22"/>
        </w:rPr>
        <w:t>（1） 按合同要求提供货物和服务。</w:t>
      </w:r>
    </w:p>
    <w:p>
      <w:pPr>
        <w:spacing w:line="460" w:lineRule="exact"/>
        <w:rPr>
          <w:rFonts w:ascii="宋体" w:hAnsi="宋体"/>
          <w:szCs w:val="22"/>
        </w:rPr>
      </w:pPr>
      <w:r>
        <w:rPr>
          <w:rFonts w:hint="eastAsia" w:ascii="宋体" w:hAnsi="宋体"/>
          <w:szCs w:val="22"/>
        </w:rPr>
        <w:t>（2） 对所提供的货物和服务质量问题无条件负责处理。</w:t>
      </w:r>
    </w:p>
    <w:p>
      <w:pPr>
        <w:spacing w:line="460" w:lineRule="exact"/>
        <w:rPr>
          <w:rFonts w:ascii="宋体" w:hAnsi="宋体"/>
          <w:szCs w:val="22"/>
        </w:rPr>
      </w:pPr>
      <w:r>
        <w:rPr>
          <w:rFonts w:hint="eastAsia"/>
          <w:szCs w:val="22"/>
        </w:rPr>
        <w:t>21</w:t>
      </w:r>
      <w:r>
        <w:rPr>
          <w:rFonts w:hint="eastAsia" w:ascii="宋体" w:hAnsi="宋体"/>
          <w:szCs w:val="22"/>
        </w:rPr>
        <w:t>.   争端的解决</w:t>
      </w:r>
    </w:p>
    <w:p>
      <w:pPr>
        <w:spacing w:line="460" w:lineRule="exact"/>
        <w:ind w:left="630" w:hanging="630" w:hangingChars="300"/>
        <w:rPr>
          <w:rFonts w:ascii="宋体" w:hAnsi="宋体"/>
          <w:szCs w:val="22"/>
        </w:rPr>
      </w:pPr>
      <w:r>
        <w:rPr>
          <w:rFonts w:hint="eastAsia"/>
          <w:szCs w:val="22"/>
        </w:rPr>
        <w:t>21</w:t>
      </w:r>
      <w:r>
        <w:rPr>
          <w:rFonts w:hint="eastAsia" w:ascii="宋体" w:hAnsi="宋体"/>
          <w:szCs w:val="22"/>
        </w:rPr>
        <w:t>.1  合同实施或与合同有关的一切争端，买卖双方应通过友好协商解决，如果协商仍得不到解决，任何一方可向履行合同所在地或合同签约地的</w:t>
      </w:r>
      <w:r>
        <w:rPr>
          <w:rFonts w:hint="eastAsia"/>
          <w:szCs w:val="22"/>
        </w:rPr>
        <w:t>法院诉讼</w:t>
      </w:r>
      <w:r>
        <w:rPr>
          <w:rFonts w:hint="eastAsia" w:ascii="宋体" w:hAnsi="宋体"/>
          <w:szCs w:val="22"/>
        </w:rPr>
        <w:t>。</w:t>
      </w:r>
    </w:p>
    <w:p>
      <w:pPr>
        <w:spacing w:line="460" w:lineRule="exact"/>
        <w:rPr>
          <w:rFonts w:ascii="宋体" w:hAnsi="宋体"/>
          <w:szCs w:val="22"/>
        </w:rPr>
      </w:pPr>
      <w:r>
        <w:rPr>
          <w:rFonts w:hint="eastAsia"/>
          <w:szCs w:val="22"/>
        </w:rPr>
        <w:t>21</w:t>
      </w:r>
      <w:r>
        <w:rPr>
          <w:rFonts w:hint="eastAsia" w:ascii="宋体" w:hAnsi="宋体"/>
          <w:szCs w:val="22"/>
        </w:rPr>
        <w:t xml:space="preserve">.2  </w:t>
      </w:r>
      <w:r>
        <w:rPr>
          <w:rFonts w:hint="eastAsia"/>
          <w:szCs w:val="22"/>
        </w:rPr>
        <w:t>法院诉讼</w:t>
      </w:r>
      <w:r>
        <w:rPr>
          <w:rFonts w:hint="eastAsia" w:ascii="宋体" w:hAnsi="宋体"/>
          <w:szCs w:val="22"/>
        </w:rPr>
        <w:t>应为最终裁决，对双方均有约束力。</w:t>
      </w:r>
    </w:p>
    <w:p>
      <w:pPr>
        <w:spacing w:line="460" w:lineRule="exact"/>
        <w:rPr>
          <w:rFonts w:ascii="宋体" w:hAnsi="宋体"/>
          <w:szCs w:val="22"/>
        </w:rPr>
      </w:pPr>
      <w:r>
        <w:rPr>
          <w:rFonts w:hint="eastAsia"/>
          <w:szCs w:val="22"/>
        </w:rPr>
        <w:t>21</w:t>
      </w:r>
      <w:r>
        <w:rPr>
          <w:rFonts w:hint="eastAsia" w:ascii="宋体" w:hAnsi="宋体"/>
          <w:szCs w:val="22"/>
        </w:rPr>
        <w:t xml:space="preserve">.3  </w:t>
      </w:r>
      <w:r>
        <w:rPr>
          <w:rFonts w:hint="eastAsia"/>
          <w:szCs w:val="22"/>
        </w:rPr>
        <w:t>法院诉讼</w:t>
      </w:r>
      <w:r>
        <w:rPr>
          <w:rFonts w:hint="eastAsia" w:ascii="宋体" w:hAnsi="宋体"/>
          <w:szCs w:val="22"/>
        </w:rPr>
        <w:t>费用应由败诉方承担。</w:t>
      </w:r>
    </w:p>
    <w:p>
      <w:pPr>
        <w:spacing w:line="460" w:lineRule="exact"/>
        <w:ind w:left="525" w:hanging="525" w:hangingChars="250"/>
        <w:rPr>
          <w:rFonts w:ascii="宋体" w:hAnsi="宋体"/>
          <w:szCs w:val="22"/>
        </w:rPr>
      </w:pPr>
      <w:r>
        <w:rPr>
          <w:rFonts w:hint="eastAsia"/>
          <w:szCs w:val="22"/>
        </w:rPr>
        <w:t>21</w:t>
      </w:r>
      <w:r>
        <w:rPr>
          <w:rFonts w:hint="eastAsia" w:ascii="宋体" w:hAnsi="宋体"/>
          <w:szCs w:val="22"/>
        </w:rPr>
        <w:t>.4  在</w:t>
      </w:r>
      <w:r>
        <w:rPr>
          <w:rFonts w:hint="eastAsia"/>
          <w:szCs w:val="22"/>
        </w:rPr>
        <w:t>法院诉讼</w:t>
      </w:r>
      <w:r>
        <w:rPr>
          <w:rFonts w:hint="eastAsia" w:ascii="宋体" w:hAnsi="宋体"/>
          <w:szCs w:val="22"/>
        </w:rPr>
        <w:t>期间，除正在执行的部分外，本合同的其他部分应继续执行。</w:t>
      </w:r>
    </w:p>
    <w:p>
      <w:pPr>
        <w:spacing w:line="460" w:lineRule="exact"/>
        <w:rPr>
          <w:rFonts w:ascii="宋体" w:hAnsi="宋体"/>
          <w:b/>
          <w:bCs/>
          <w:szCs w:val="22"/>
        </w:rPr>
      </w:pPr>
      <w:r>
        <w:rPr>
          <w:rFonts w:hint="eastAsia"/>
          <w:b/>
          <w:bCs/>
          <w:szCs w:val="22"/>
        </w:rPr>
        <w:t>22</w:t>
      </w:r>
      <w:r>
        <w:rPr>
          <w:rFonts w:hint="eastAsia" w:ascii="宋体" w:hAnsi="宋体"/>
          <w:b/>
          <w:bCs/>
          <w:szCs w:val="22"/>
        </w:rPr>
        <w:t>.   转让和分包及产品不可替代</w:t>
      </w:r>
    </w:p>
    <w:p>
      <w:pPr>
        <w:spacing w:line="460" w:lineRule="exact"/>
        <w:ind w:left="683" w:hanging="682" w:hangingChars="325"/>
        <w:rPr>
          <w:rFonts w:ascii="宋体" w:hAnsi="宋体"/>
          <w:szCs w:val="22"/>
        </w:rPr>
      </w:pPr>
      <w:r>
        <w:rPr>
          <w:rFonts w:hint="eastAsia"/>
          <w:szCs w:val="22"/>
        </w:rPr>
        <w:t>22</w:t>
      </w:r>
      <w:r>
        <w:rPr>
          <w:rFonts w:hint="eastAsia" w:ascii="宋体" w:hAnsi="宋体"/>
          <w:szCs w:val="22"/>
        </w:rPr>
        <w:t>.1  未经采购人事先书面同意，成交人不得部分转让或全部转让和分包其履行合同的义务。</w:t>
      </w:r>
    </w:p>
    <w:p>
      <w:pPr>
        <w:spacing w:line="460" w:lineRule="exact"/>
        <w:ind w:left="630" w:hanging="630" w:hangingChars="300"/>
        <w:rPr>
          <w:rFonts w:ascii="宋体" w:hAnsi="宋体"/>
          <w:szCs w:val="22"/>
        </w:rPr>
      </w:pPr>
      <w:r>
        <w:rPr>
          <w:rFonts w:hint="eastAsia"/>
          <w:szCs w:val="22"/>
        </w:rPr>
        <w:t>22</w:t>
      </w:r>
      <w:r>
        <w:rPr>
          <w:rFonts w:hint="eastAsia" w:ascii="宋体" w:hAnsi="宋体"/>
          <w:szCs w:val="22"/>
        </w:rPr>
        <w:t>.2  产品不可替代，成交人在没有取得采购人的书面授权的情况下，不得将合同货物的生产制造转交其他生产厂商或以其他厂商的产品替代。</w:t>
      </w:r>
    </w:p>
    <w:p>
      <w:pPr>
        <w:spacing w:line="460" w:lineRule="exact"/>
        <w:rPr>
          <w:rFonts w:ascii="宋体" w:hAnsi="宋体"/>
          <w:b/>
          <w:bCs/>
          <w:szCs w:val="22"/>
        </w:rPr>
      </w:pPr>
      <w:r>
        <w:rPr>
          <w:rFonts w:hint="eastAsia"/>
          <w:b/>
          <w:bCs/>
          <w:szCs w:val="22"/>
        </w:rPr>
        <w:t>23</w:t>
      </w:r>
      <w:r>
        <w:rPr>
          <w:rFonts w:hint="eastAsia" w:ascii="宋体" w:hAnsi="宋体"/>
          <w:b/>
          <w:bCs/>
          <w:szCs w:val="22"/>
        </w:rPr>
        <w:t>.   适用法律</w:t>
      </w:r>
    </w:p>
    <w:p>
      <w:pPr>
        <w:spacing w:line="460" w:lineRule="exact"/>
        <w:ind w:firstLine="630" w:firstLineChars="300"/>
        <w:rPr>
          <w:rFonts w:ascii="宋体" w:hAnsi="宋体"/>
          <w:szCs w:val="22"/>
        </w:rPr>
      </w:pPr>
      <w:r>
        <w:rPr>
          <w:rFonts w:hint="eastAsia" w:ascii="宋体" w:hAnsi="宋体"/>
          <w:szCs w:val="22"/>
        </w:rPr>
        <w:t>本合同按照中华人民共和国的法律进行解释。</w:t>
      </w:r>
    </w:p>
    <w:p>
      <w:pPr>
        <w:spacing w:line="460" w:lineRule="exact"/>
        <w:rPr>
          <w:rFonts w:ascii="宋体" w:hAnsi="宋体"/>
          <w:b/>
          <w:bCs/>
          <w:szCs w:val="22"/>
        </w:rPr>
      </w:pPr>
      <w:r>
        <w:rPr>
          <w:rFonts w:hint="eastAsia" w:ascii="宋体" w:hAnsi="宋体"/>
          <w:b/>
          <w:bCs/>
          <w:szCs w:val="22"/>
        </w:rPr>
        <w:t>2</w:t>
      </w:r>
      <w:r>
        <w:rPr>
          <w:rFonts w:hint="eastAsia"/>
          <w:b/>
          <w:bCs/>
          <w:szCs w:val="22"/>
        </w:rPr>
        <w:t>4</w:t>
      </w:r>
      <w:r>
        <w:rPr>
          <w:rFonts w:hint="eastAsia" w:ascii="宋体" w:hAnsi="宋体"/>
          <w:b/>
          <w:bCs/>
          <w:szCs w:val="22"/>
        </w:rPr>
        <w:t>.   合同生效及其他</w:t>
      </w:r>
    </w:p>
    <w:p>
      <w:pPr>
        <w:spacing w:line="460" w:lineRule="exact"/>
        <w:ind w:left="535" w:hanging="535" w:hangingChars="255"/>
        <w:rPr>
          <w:rFonts w:ascii="宋体" w:hAnsi="宋体"/>
          <w:szCs w:val="22"/>
        </w:rPr>
      </w:pPr>
      <w:r>
        <w:rPr>
          <w:rFonts w:hint="eastAsia" w:ascii="宋体" w:hAnsi="宋体"/>
          <w:szCs w:val="22"/>
        </w:rPr>
        <w:t>2</w:t>
      </w:r>
      <w:r>
        <w:rPr>
          <w:rFonts w:hint="eastAsia"/>
          <w:szCs w:val="22"/>
        </w:rPr>
        <w:t>4</w:t>
      </w:r>
      <w:r>
        <w:rPr>
          <w:rFonts w:hint="eastAsia" w:ascii="宋体" w:hAnsi="宋体"/>
          <w:szCs w:val="22"/>
        </w:rPr>
        <w:t>.1  合同应在双方签字盖章后开始生效。</w:t>
      </w:r>
    </w:p>
    <w:p>
      <w:pPr>
        <w:spacing w:line="460" w:lineRule="exact"/>
        <w:ind w:left="630" w:hanging="630" w:hangingChars="300"/>
        <w:rPr>
          <w:rFonts w:ascii="宋体" w:hAnsi="宋体"/>
          <w:szCs w:val="22"/>
        </w:rPr>
      </w:pPr>
      <w:r>
        <w:rPr>
          <w:rFonts w:hint="eastAsia" w:ascii="宋体" w:hAnsi="宋体"/>
          <w:szCs w:val="22"/>
        </w:rPr>
        <w:t>2</w:t>
      </w:r>
      <w:r>
        <w:rPr>
          <w:rFonts w:hint="eastAsia"/>
          <w:szCs w:val="22"/>
        </w:rPr>
        <w:t>4</w:t>
      </w:r>
      <w:r>
        <w:rPr>
          <w:rFonts w:hint="eastAsia" w:ascii="宋体" w:hAnsi="宋体"/>
          <w:szCs w:val="22"/>
        </w:rPr>
        <w:t>.2  本合同一式伍份，双方各执贰份，代理公司执壹份，具有同等效力。</w:t>
      </w:r>
    </w:p>
    <w:p>
      <w:pPr>
        <w:spacing w:line="460" w:lineRule="exact"/>
        <w:ind w:left="630" w:hanging="630" w:hangingChars="300"/>
        <w:rPr>
          <w:rFonts w:ascii="宋体" w:hAnsi="宋体"/>
          <w:szCs w:val="22"/>
        </w:rPr>
      </w:pPr>
      <w:r>
        <w:rPr>
          <w:rFonts w:hint="eastAsia" w:ascii="宋体" w:hAnsi="宋体"/>
          <w:szCs w:val="22"/>
        </w:rPr>
        <w:t>2</w:t>
      </w:r>
      <w:r>
        <w:rPr>
          <w:rFonts w:hint="eastAsia"/>
          <w:szCs w:val="22"/>
        </w:rPr>
        <w:t>4</w:t>
      </w:r>
      <w:r>
        <w:rPr>
          <w:rFonts w:hint="eastAsia" w:ascii="宋体" w:hAnsi="宋体"/>
          <w:szCs w:val="22"/>
        </w:rPr>
        <w:t>.3  如需修改或补充合同内容，经协商，双方应签署书面修改或补充协议，该协议将作为本合同的一个组成部分。</w:t>
      </w:r>
    </w:p>
    <w:p>
      <w:pPr>
        <w:spacing w:line="420" w:lineRule="exact"/>
        <w:rPr>
          <w:rFonts w:ascii="宋体" w:hAnsi="宋体"/>
          <w:b/>
          <w:bCs/>
          <w:szCs w:val="22"/>
        </w:rPr>
      </w:pPr>
      <w:r>
        <w:rPr>
          <w:rFonts w:hint="eastAsia"/>
          <w:b/>
          <w:bCs/>
          <w:szCs w:val="22"/>
        </w:rPr>
        <w:t xml:space="preserve">25.   </w:t>
      </w:r>
      <w:r>
        <w:rPr>
          <w:rFonts w:hint="eastAsia" w:ascii="宋体" w:hAnsi="宋体"/>
          <w:b/>
          <w:bCs/>
          <w:szCs w:val="22"/>
        </w:rPr>
        <w:t>合同生效</w:t>
      </w:r>
    </w:p>
    <w:p>
      <w:pPr>
        <w:spacing w:line="420" w:lineRule="exact"/>
        <w:ind w:firstLine="105" w:firstLineChars="50"/>
        <w:rPr>
          <w:rFonts w:hint="eastAsia" w:ascii="宋体" w:hAnsi="宋体"/>
          <w:szCs w:val="22"/>
        </w:rPr>
      </w:pPr>
      <w:r>
        <w:rPr>
          <w:rFonts w:hint="eastAsia" w:ascii="宋体" w:hAnsi="宋体"/>
          <w:szCs w:val="22"/>
        </w:rPr>
        <w:t xml:space="preserve">          </w:t>
      </w:r>
    </w:p>
    <w:p>
      <w:pPr>
        <w:spacing w:line="420" w:lineRule="exact"/>
        <w:ind w:firstLine="105" w:firstLineChars="50"/>
        <w:rPr>
          <w:rFonts w:hint="eastAsia" w:ascii="宋体" w:hAnsi="宋体"/>
          <w:szCs w:val="22"/>
        </w:rPr>
      </w:pPr>
    </w:p>
    <w:p>
      <w:pPr>
        <w:spacing w:line="420" w:lineRule="exact"/>
        <w:ind w:firstLine="105" w:firstLineChars="50"/>
        <w:rPr>
          <w:rFonts w:hint="eastAsia" w:ascii="宋体" w:hAnsi="宋体"/>
          <w:szCs w:val="22"/>
        </w:rPr>
      </w:pPr>
    </w:p>
    <w:p>
      <w:pPr>
        <w:spacing w:line="420" w:lineRule="exact"/>
        <w:ind w:firstLine="105" w:firstLineChars="50"/>
        <w:rPr>
          <w:rFonts w:ascii="宋体" w:hAnsi="宋体"/>
          <w:szCs w:val="22"/>
        </w:rPr>
      </w:pPr>
      <w:r>
        <w:rPr>
          <w:rFonts w:hint="eastAsia" w:ascii="宋体" w:hAnsi="宋体"/>
          <w:szCs w:val="22"/>
        </w:rPr>
        <w:t>本合同经双方授权代表签署，买卖双方加盖印章后生效。</w:t>
      </w:r>
    </w:p>
    <w:p>
      <w:pPr>
        <w:spacing w:line="420" w:lineRule="exact"/>
        <w:rPr>
          <w:rFonts w:hint="eastAsia"/>
        </w:rPr>
      </w:pPr>
      <w:r>
        <w:rPr>
          <w:rFonts w:hint="eastAsia" w:ascii="宋体" w:hAnsi="宋体"/>
          <w:szCs w:val="22"/>
        </w:rPr>
        <w:t xml:space="preserve">采购人：（印章）         </w:t>
      </w:r>
      <w:r>
        <w:rPr>
          <w:rFonts w:hint="eastAsia"/>
          <w:szCs w:val="22"/>
        </w:rPr>
        <w:t xml:space="preserve">                             </w:t>
      </w:r>
      <w:r>
        <w:rPr>
          <w:rFonts w:hint="eastAsia" w:ascii="宋体" w:hAnsi="宋体"/>
          <w:szCs w:val="22"/>
        </w:rPr>
        <w:t>中标人：（印章）</w:t>
      </w:r>
      <w:r>
        <w:rPr>
          <w:rFonts w:hint="eastAsia"/>
          <w:szCs w:val="22"/>
        </w:rPr>
        <w:t xml:space="preserve">             </w:t>
      </w:r>
      <w:r>
        <w:rPr>
          <w:rFonts w:hint="eastAsia"/>
        </w:rPr>
        <w:t xml:space="preserve"> </w:t>
      </w:r>
    </w:p>
    <w:p>
      <w:pPr>
        <w:spacing w:line="420" w:lineRule="exact"/>
        <w:rPr>
          <w:rFonts w:hint="eastAsia" w:ascii="宋体" w:hAnsi="宋体"/>
        </w:rPr>
      </w:pPr>
      <w:r>
        <w:rPr>
          <w:rFonts w:hint="eastAsia"/>
        </w:rPr>
        <w:t>法定代表人或委托代理人</w:t>
      </w:r>
      <w:r>
        <w:rPr>
          <w:rFonts w:hint="eastAsia" w:ascii="宋体" w:hAnsi="宋体"/>
        </w:rPr>
        <w:t>:（签字）</w:t>
      </w:r>
      <w:r>
        <w:rPr>
          <w:rFonts w:hint="eastAsia"/>
        </w:rPr>
        <w:t xml:space="preserve">                       法定代表人或委托代理人</w:t>
      </w:r>
      <w:r>
        <w:rPr>
          <w:rFonts w:hint="eastAsia" w:ascii="宋体" w:hAnsi="宋体"/>
        </w:rPr>
        <w:t>:（签字）</w:t>
      </w:r>
    </w:p>
    <w:p>
      <w:pPr>
        <w:spacing w:line="420" w:lineRule="exact"/>
        <w:rPr>
          <w:rFonts w:ascii="宋体" w:hAnsi="宋体"/>
          <w:szCs w:val="22"/>
        </w:rPr>
      </w:pPr>
      <w:r>
        <w:rPr>
          <w:rFonts w:hint="eastAsia" w:ascii="宋体" w:hAnsi="宋体"/>
          <w:szCs w:val="22"/>
        </w:rPr>
        <w:t xml:space="preserve">地址：                      </w:t>
      </w:r>
      <w:r>
        <w:rPr>
          <w:rFonts w:hint="eastAsia"/>
          <w:szCs w:val="22"/>
        </w:rPr>
        <w:t xml:space="preserve">                          地址：</w:t>
      </w:r>
    </w:p>
    <w:p>
      <w:pPr>
        <w:spacing w:line="420" w:lineRule="exact"/>
        <w:rPr>
          <w:rFonts w:ascii="宋体" w:hAnsi="宋体"/>
          <w:szCs w:val="22"/>
        </w:rPr>
      </w:pPr>
      <w:r>
        <w:rPr>
          <w:rFonts w:hint="eastAsia" w:ascii="宋体" w:hAnsi="宋体"/>
          <w:szCs w:val="22"/>
        </w:rPr>
        <w:t xml:space="preserve">邮政编码：                   </w:t>
      </w:r>
      <w:r>
        <w:rPr>
          <w:rFonts w:hint="eastAsia"/>
          <w:szCs w:val="22"/>
        </w:rPr>
        <w:t xml:space="preserve">                         </w:t>
      </w:r>
      <w:r>
        <w:rPr>
          <w:rFonts w:hint="eastAsia" w:ascii="宋体" w:hAnsi="宋体"/>
          <w:szCs w:val="22"/>
        </w:rPr>
        <w:t>邮政编码：</w:t>
      </w:r>
      <w:r>
        <w:rPr>
          <w:rFonts w:hint="eastAsia"/>
          <w:szCs w:val="22"/>
        </w:rPr>
        <w:t xml:space="preserve">                 </w:t>
      </w:r>
    </w:p>
    <w:p>
      <w:pPr>
        <w:spacing w:line="420" w:lineRule="exact"/>
        <w:rPr>
          <w:rFonts w:ascii="宋体" w:hAnsi="宋体"/>
          <w:szCs w:val="22"/>
        </w:rPr>
      </w:pPr>
      <w:r>
        <w:rPr>
          <w:rFonts w:hint="eastAsia" w:ascii="宋体" w:hAnsi="宋体"/>
          <w:szCs w:val="22"/>
        </w:rPr>
        <w:t xml:space="preserve">电话：                       </w:t>
      </w:r>
      <w:r>
        <w:rPr>
          <w:rFonts w:hint="eastAsia"/>
          <w:szCs w:val="22"/>
        </w:rPr>
        <w:t xml:space="preserve">                         </w:t>
      </w:r>
      <w:r>
        <w:rPr>
          <w:rFonts w:hint="eastAsia" w:ascii="宋体" w:hAnsi="宋体"/>
          <w:szCs w:val="22"/>
        </w:rPr>
        <w:t>电话：</w:t>
      </w:r>
      <w:r>
        <w:rPr>
          <w:rFonts w:hint="eastAsia"/>
          <w:szCs w:val="22"/>
        </w:rPr>
        <w:t xml:space="preserve">                      </w:t>
      </w:r>
    </w:p>
    <w:p>
      <w:pPr>
        <w:spacing w:line="420" w:lineRule="exact"/>
        <w:rPr>
          <w:rFonts w:ascii="宋体" w:hAnsi="宋体"/>
          <w:szCs w:val="22"/>
        </w:rPr>
      </w:pPr>
      <w:r>
        <w:rPr>
          <w:rFonts w:hint="eastAsia" w:ascii="宋体" w:hAnsi="宋体"/>
          <w:szCs w:val="22"/>
        </w:rPr>
        <w:t xml:space="preserve">传真：                       </w:t>
      </w:r>
      <w:r>
        <w:rPr>
          <w:rFonts w:hint="eastAsia"/>
          <w:szCs w:val="22"/>
        </w:rPr>
        <w:t xml:space="preserve">                         </w:t>
      </w:r>
      <w:r>
        <w:rPr>
          <w:rFonts w:hint="eastAsia" w:ascii="宋体" w:hAnsi="宋体"/>
          <w:szCs w:val="22"/>
        </w:rPr>
        <w:t>传真：</w:t>
      </w:r>
      <w:r>
        <w:rPr>
          <w:rFonts w:hint="eastAsia"/>
          <w:szCs w:val="22"/>
        </w:rPr>
        <w:t xml:space="preserve">                   </w:t>
      </w:r>
    </w:p>
    <w:p>
      <w:pPr>
        <w:spacing w:line="420" w:lineRule="exact"/>
        <w:rPr>
          <w:rFonts w:ascii="宋体" w:hAnsi="宋体"/>
          <w:szCs w:val="22"/>
        </w:rPr>
      </w:pPr>
      <w:r>
        <w:rPr>
          <w:rFonts w:hint="eastAsia" w:ascii="宋体" w:hAnsi="宋体"/>
          <w:szCs w:val="22"/>
        </w:rPr>
        <w:t xml:space="preserve">开户银行：                   </w:t>
      </w:r>
      <w:r>
        <w:rPr>
          <w:rFonts w:hint="eastAsia"/>
          <w:szCs w:val="22"/>
        </w:rPr>
        <w:t xml:space="preserve">                         </w:t>
      </w:r>
      <w:r>
        <w:rPr>
          <w:rFonts w:hint="eastAsia" w:ascii="宋体" w:hAnsi="宋体"/>
          <w:szCs w:val="22"/>
        </w:rPr>
        <w:t>开户银行：</w:t>
      </w:r>
      <w:r>
        <w:rPr>
          <w:rFonts w:hint="eastAsia"/>
          <w:szCs w:val="22"/>
        </w:rPr>
        <w:t xml:space="preserve">                  </w:t>
      </w:r>
    </w:p>
    <w:p>
      <w:pPr>
        <w:spacing w:line="420" w:lineRule="exact"/>
        <w:rPr>
          <w:rFonts w:ascii="宋体" w:hAnsi="宋体"/>
          <w:szCs w:val="22"/>
        </w:rPr>
      </w:pPr>
      <w:r>
        <w:rPr>
          <w:rFonts w:hint="eastAsia" w:ascii="宋体" w:hAnsi="宋体"/>
          <w:szCs w:val="22"/>
        </w:rPr>
        <w:t xml:space="preserve">帐号：                       </w:t>
      </w:r>
      <w:r>
        <w:rPr>
          <w:rFonts w:hint="eastAsia"/>
          <w:szCs w:val="22"/>
        </w:rPr>
        <w:t xml:space="preserve">                         </w:t>
      </w:r>
      <w:r>
        <w:rPr>
          <w:rFonts w:hint="eastAsia" w:ascii="宋体" w:hAnsi="宋体"/>
          <w:szCs w:val="22"/>
        </w:rPr>
        <w:t>帐号：</w:t>
      </w:r>
      <w:r>
        <w:rPr>
          <w:rFonts w:hint="eastAsia"/>
          <w:szCs w:val="22"/>
        </w:rPr>
        <w:t xml:space="preserve">                      </w:t>
      </w:r>
    </w:p>
    <w:p>
      <w:pPr>
        <w:spacing w:line="460" w:lineRule="exact"/>
        <w:outlineLvl w:val="0"/>
        <w:rPr>
          <w:b/>
        </w:rPr>
      </w:pPr>
    </w:p>
    <w:p>
      <w:pPr>
        <w:spacing w:line="460" w:lineRule="exact"/>
        <w:jc w:val="center"/>
        <w:outlineLvl w:val="0"/>
        <w:rPr>
          <w:rFonts w:hint="eastAsia" w:ascii="宋体" w:hAnsi="宋体" w:cs="宋体"/>
          <w:sz w:val="22"/>
          <w:szCs w:val="22"/>
          <w:u w:val="single"/>
        </w:rPr>
        <w:sectPr>
          <w:footerReference r:id="rId9" w:type="default"/>
          <w:pgSz w:w="11906" w:h="16838"/>
          <w:pgMar w:top="1134" w:right="1134" w:bottom="686" w:left="1134" w:header="851" w:footer="992" w:gutter="0"/>
          <w:cols w:space="720" w:num="1"/>
          <w:docGrid w:linePitch="312" w:charSpace="0"/>
        </w:sectPr>
      </w:pPr>
      <w:r>
        <w:rPr>
          <w:b/>
        </w:rPr>
        <w:t>注：本合同作为示范文本，具体以成交人与采购人所签定正式合同为准。</w:t>
      </w:r>
      <w:r>
        <w:rPr>
          <w:rFonts w:hint="eastAsia" w:ascii="宋体" w:hAnsi="宋体" w:cs="宋体"/>
          <w:b/>
          <w:bCs/>
          <w:sz w:val="36"/>
          <w:szCs w:val="36"/>
        </w:rPr>
        <w:br w:type="page"/>
      </w:r>
      <w:bookmarkStart w:id="19" w:name="_Toc16634"/>
      <w:r>
        <w:rPr>
          <w:rFonts w:hint="eastAsia" w:ascii="宋体" w:hAnsi="宋体" w:cs="宋体"/>
          <w:b/>
          <w:bCs/>
          <w:sz w:val="36"/>
          <w:szCs w:val="36"/>
        </w:rPr>
        <w:t>第七部分    磋商响应文件格式附件</w:t>
      </w:r>
      <w:bookmarkEnd w:id="19"/>
    </w:p>
    <w:p>
      <w:pPr>
        <w:snapToGrid w:val="0"/>
        <w:spacing w:before="120" w:beforeLines="50" w:after="50"/>
        <w:rPr>
          <w:rFonts w:hint="eastAsia" w:ascii="宋体" w:hAnsi="宋体" w:cs="宋体"/>
          <w:b/>
          <w:sz w:val="30"/>
          <w:szCs w:val="30"/>
        </w:rPr>
      </w:pPr>
      <w:r>
        <w:rPr>
          <w:rFonts w:hint="eastAsia" w:ascii="宋体" w:hAnsi="宋体" w:cs="宋体"/>
          <w:b/>
          <w:sz w:val="30"/>
          <w:szCs w:val="30"/>
        </w:rPr>
        <w:t xml:space="preserve">  封面格式                                        </w:t>
      </w:r>
    </w:p>
    <w:p>
      <w:pPr>
        <w:snapToGrid w:val="0"/>
        <w:spacing w:before="120" w:beforeLines="50" w:after="50"/>
        <w:jc w:val="right"/>
        <w:rPr>
          <w:rFonts w:hint="eastAsia" w:ascii="宋体" w:hAnsi="宋体" w:cs="宋体"/>
          <w:bCs/>
          <w:sz w:val="30"/>
          <w:szCs w:val="30"/>
        </w:rPr>
      </w:pPr>
    </w:p>
    <w:p>
      <w:pPr>
        <w:ind w:right="-110" w:firstLine="1080" w:firstLineChars="300"/>
        <w:rPr>
          <w:rFonts w:hint="eastAsia" w:ascii="宋体" w:hAnsi="宋体" w:cs="宋体"/>
          <w:sz w:val="36"/>
          <w:szCs w:val="36"/>
        </w:rPr>
      </w:pPr>
      <w:r>
        <w:rPr>
          <w:rFonts w:hint="eastAsia" w:ascii="宋体" w:hAnsi="宋体" w:cs="宋体"/>
          <w:sz w:val="36"/>
          <w:szCs w:val="36"/>
        </w:rPr>
        <w:t>项目名称：</w:t>
      </w:r>
      <w:r>
        <w:rPr>
          <w:rFonts w:hint="eastAsia" w:ascii="宋体" w:hAnsi="宋体" w:cs="宋体"/>
          <w:sz w:val="36"/>
          <w:szCs w:val="36"/>
          <w:u w:val="single"/>
        </w:rPr>
        <w:t xml:space="preserve">                      </w:t>
      </w:r>
    </w:p>
    <w:p>
      <w:pPr>
        <w:spacing w:before="240" w:beforeLines="100" w:line="240" w:lineRule="atLeast"/>
        <w:ind w:firstLine="1080" w:firstLineChars="300"/>
        <w:rPr>
          <w:rFonts w:hint="eastAsia" w:ascii="宋体" w:hAnsi="宋体" w:cs="宋体"/>
          <w:sz w:val="36"/>
          <w:szCs w:val="36"/>
        </w:rPr>
      </w:pPr>
      <w:r>
        <w:rPr>
          <w:rFonts w:hint="eastAsia" w:ascii="宋体" w:hAnsi="宋体" w:cs="宋体"/>
          <w:sz w:val="36"/>
          <w:szCs w:val="36"/>
        </w:rPr>
        <w:t>项目编号：</w:t>
      </w:r>
      <w:r>
        <w:rPr>
          <w:rFonts w:hint="eastAsia" w:ascii="宋体" w:hAnsi="宋体" w:cs="宋体"/>
          <w:sz w:val="36"/>
          <w:szCs w:val="36"/>
          <w:u w:val="single"/>
        </w:rPr>
        <w:t xml:space="preserve">                      </w:t>
      </w:r>
      <w:r>
        <w:rPr>
          <w:rFonts w:hint="eastAsia" w:ascii="宋体" w:hAnsi="宋体" w:cs="宋体"/>
          <w:sz w:val="36"/>
          <w:szCs w:val="36"/>
        </w:rPr>
        <w:t xml:space="preserve"> </w:t>
      </w:r>
    </w:p>
    <w:p>
      <w:pPr>
        <w:spacing w:before="240" w:beforeLines="100" w:line="240" w:lineRule="atLeast"/>
        <w:jc w:val="center"/>
        <w:rPr>
          <w:rFonts w:hint="eastAsia" w:ascii="宋体" w:hAnsi="宋体" w:cs="宋体"/>
          <w:sz w:val="36"/>
          <w:szCs w:val="36"/>
        </w:rPr>
      </w:pPr>
    </w:p>
    <w:p>
      <w:pPr>
        <w:spacing w:after="100" w:afterAutospacing="1" w:line="800" w:lineRule="exact"/>
        <w:ind w:right="-108"/>
        <w:jc w:val="center"/>
        <w:rPr>
          <w:rFonts w:hint="eastAsia" w:ascii="宋体" w:hAnsi="宋体" w:cs="宋体"/>
          <w:b/>
          <w:spacing w:val="40"/>
          <w:sz w:val="84"/>
          <w:szCs w:val="84"/>
        </w:rPr>
      </w:pPr>
    </w:p>
    <w:p>
      <w:pPr>
        <w:spacing w:after="100" w:afterAutospacing="1" w:line="800" w:lineRule="exact"/>
        <w:ind w:right="-108"/>
        <w:jc w:val="center"/>
        <w:rPr>
          <w:rFonts w:hint="eastAsia" w:ascii="宋体" w:hAnsi="宋体" w:cs="宋体"/>
          <w:b/>
          <w:spacing w:val="40"/>
          <w:sz w:val="84"/>
          <w:szCs w:val="84"/>
        </w:rPr>
      </w:pPr>
      <w:r>
        <w:rPr>
          <w:rFonts w:hint="eastAsia" w:ascii="宋体" w:hAnsi="宋体" w:cs="宋体"/>
          <w:b/>
          <w:spacing w:val="40"/>
          <w:sz w:val="84"/>
          <w:szCs w:val="84"/>
        </w:rPr>
        <w:t>磋</w:t>
      </w:r>
    </w:p>
    <w:p>
      <w:pPr>
        <w:spacing w:after="100" w:afterAutospacing="1" w:line="800" w:lineRule="exact"/>
        <w:ind w:right="-108"/>
        <w:jc w:val="center"/>
        <w:rPr>
          <w:rFonts w:hint="eastAsia" w:ascii="宋体" w:hAnsi="宋体" w:cs="宋体"/>
          <w:b/>
          <w:spacing w:val="40"/>
          <w:sz w:val="84"/>
          <w:szCs w:val="84"/>
        </w:rPr>
      </w:pPr>
      <w:r>
        <w:rPr>
          <w:rFonts w:hint="eastAsia" w:ascii="宋体" w:hAnsi="宋体" w:cs="宋体"/>
          <w:b/>
          <w:spacing w:val="40"/>
          <w:sz w:val="84"/>
          <w:szCs w:val="84"/>
        </w:rPr>
        <w:t>商</w:t>
      </w:r>
    </w:p>
    <w:p>
      <w:pPr>
        <w:spacing w:after="100" w:afterAutospacing="1" w:line="800" w:lineRule="exact"/>
        <w:ind w:right="-108"/>
        <w:jc w:val="center"/>
        <w:rPr>
          <w:rFonts w:hint="eastAsia" w:ascii="宋体" w:hAnsi="宋体" w:cs="宋体"/>
          <w:b/>
          <w:spacing w:val="40"/>
          <w:sz w:val="84"/>
          <w:szCs w:val="84"/>
        </w:rPr>
      </w:pPr>
      <w:r>
        <w:rPr>
          <w:rFonts w:hint="eastAsia" w:ascii="宋体" w:hAnsi="宋体" w:cs="宋体"/>
          <w:b/>
          <w:spacing w:val="40"/>
          <w:sz w:val="84"/>
          <w:szCs w:val="84"/>
        </w:rPr>
        <w:t>响</w:t>
      </w:r>
    </w:p>
    <w:p>
      <w:pPr>
        <w:spacing w:after="100" w:afterAutospacing="1" w:line="800" w:lineRule="exact"/>
        <w:ind w:right="-108"/>
        <w:jc w:val="center"/>
        <w:rPr>
          <w:rFonts w:hint="eastAsia" w:ascii="宋体" w:hAnsi="宋体" w:cs="宋体"/>
          <w:b/>
          <w:spacing w:val="40"/>
          <w:sz w:val="84"/>
          <w:szCs w:val="84"/>
        </w:rPr>
      </w:pPr>
      <w:r>
        <w:rPr>
          <w:rFonts w:hint="eastAsia" w:ascii="宋体" w:hAnsi="宋体" w:cs="宋体"/>
          <w:b/>
          <w:spacing w:val="40"/>
          <w:sz w:val="84"/>
          <w:szCs w:val="84"/>
        </w:rPr>
        <w:t>应</w:t>
      </w:r>
    </w:p>
    <w:p>
      <w:pPr>
        <w:spacing w:after="100" w:afterAutospacing="1" w:line="800" w:lineRule="exact"/>
        <w:ind w:right="-108"/>
        <w:jc w:val="center"/>
        <w:rPr>
          <w:rFonts w:hint="eastAsia" w:ascii="宋体" w:hAnsi="宋体" w:cs="宋体"/>
          <w:b/>
          <w:spacing w:val="40"/>
          <w:sz w:val="84"/>
          <w:szCs w:val="84"/>
        </w:rPr>
      </w:pPr>
      <w:r>
        <w:rPr>
          <w:rFonts w:hint="eastAsia" w:ascii="宋体" w:hAnsi="宋体" w:cs="宋体"/>
          <w:b/>
          <w:spacing w:val="40"/>
          <w:sz w:val="84"/>
          <w:szCs w:val="84"/>
        </w:rPr>
        <w:t>文</w:t>
      </w:r>
    </w:p>
    <w:p>
      <w:pPr>
        <w:spacing w:after="100" w:afterAutospacing="1" w:line="800" w:lineRule="exact"/>
        <w:ind w:right="-108"/>
        <w:jc w:val="center"/>
        <w:rPr>
          <w:rFonts w:hint="eastAsia" w:ascii="宋体" w:hAnsi="宋体" w:cs="宋体"/>
          <w:b/>
          <w:spacing w:val="40"/>
          <w:sz w:val="84"/>
          <w:szCs w:val="84"/>
        </w:rPr>
      </w:pPr>
      <w:r>
        <w:rPr>
          <w:rFonts w:hint="eastAsia" w:ascii="宋体" w:hAnsi="宋体" w:cs="宋体"/>
          <w:b/>
          <w:spacing w:val="40"/>
          <w:sz w:val="84"/>
          <w:szCs w:val="84"/>
        </w:rPr>
        <w:t>件</w:t>
      </w:r>
    </w:p>
    <w:p>
      <w:pPr>
        <w:spacing w:line="500" w:lineRule="exact"/>
        <w:ind w:right="532"/>
        <w:rPr>
          <w:rFonts w:hint="eastAsia" w:ascii="宋体" w:hAnsi="宋体" w:cs="宋体"/>
          <w:sz w:val="36"/>
          <w:szCs w:val="36"/>
        </w:rPr>
      </w:pPr>
    </w:p>
    <w:p>
      <w:pPr>
        <w:spacing w:line="360" w:lineRule="auto"/>
        <w:ind w:right="532" w:firstLine="360" w:firstLineChars="100"/>
        <w:rPr>
          <w:rFonts w:hint="eastAsia" w:ascii="宋体" w:hAnsi="宋体" w:cs="宋体"/>
          <w:sz w:val="36"/>
          <w:szCs w:val="36"/>
        </w:rPr>
      </w:pPr>
      <w:r>
        <w:rPr>
          <w:rFonts w:hint="eastAsia" w:ascii="宋体" w:hAnsi="宋体" w:cs="宋体"/>
          <w:sz w:val="36"/>
          <w:szCs w:val="36"/>
        </w:rPr>
        <w:t>磋商供应商全称：（公章或CA章）</w:t>
      </w:r>
    </w:p>
    <w:p>
      <w:pPr>
        <w:spacing w:line="360" w:lineRule="auto"/>
        <w:ind w:right="532" w:firstLine="360" w:firstLineChars="100"/>
        <w:rPr>
          <w:rFonts w:hint="eastAsia" w:ascii="宋体" w:hAnsi="宋体" w:cs="宋体"/>
          <w:sz w:val="36"/>
          <w:szCs w:val="36"/>
        </w:rPr>
      </w:pPr>
      <w:r>
        <w:rPr>
          <w:rFonts w:hint="eastAsia" w:ascii="宋体" w:hAnsi="宋体" w:cs="宋体"/>
          <w:sz w:val="36"/>
          <w:szCs w:val="36"/>
        </w:rPr>
        <w:t>时          间：</w:t>
      </w:r>
    </w:p>
    <w:p>
      <w:pPr>
        <w:snapToGrid w:val="0"/>
        <w:spacing w:before="50" w:after="50"/>
        <w:rPr>
          <w:rFonts w:hint="eastAsia" w:ascii="宋体" w:hAnsi="宋体" w:cs="宋体"/>
          <w:b/>
          <w:bCs/>
          <w:sz w:val="36"/>
          <w:szCs w:val="36"/>
        </w:rPr>
      </w:pPr>
      <w:r>
        <w:rPr>
          <w:rFonts w:hint="eastAsia" w:ascii="宋体" w:hAnsi="宋体" w:cs="宋体"/>
          <w:b/>
          <w:sz w:val="36"/>
          <w:szCs w:val="36"/>
        </w:rPr>
        <w:br w:type="page"/>
      </w:r>
      <w:r>
        <w:rPr>
          <w:rFonts w:hint="eastAsia" w:ascii="宋体" w:hAnsi="宋体" w:cs="宋体"/>
          <w:b/>
          <w:sz w:val="36"/>
          <w:szCs w:val="36"/>
        </w:rPr>
        <w:t>1、</w:t>
      </w:r>
      <w:r>
        <w:rPr>
          <w:rFonts w:hint="eastAsia" w:ascii="宋体" w:hAnsi="宋体" w:cs="宋体"/>
          <w:b/>
          <w:bCs/>
          <w:sz w:val="36"/>
          <w:szCs w:val="36"/>
        </w:rPr>
        <w:t>资格文件目录</w:t>
      </w:r>
    </w:p>
    <w:p>
      <w:pPr>
        <w:snapToGrid w:val="0"/>
        <w:spacing w:before="50" w:after="50"/>
        <w:rPr>
          <w:rFonts w:hint="eastAsia" w:ascii="宋体" w:hAnsi="宋体" w:cs="宋体"/>
          <w:sz w:val="30"/>
          <w:szCs w:val="30"/>
        </w:rPr>
      </w:pP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（1）法定代表人授权书</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（2）磋商供应商情况表</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3）提供有效的营业执照扫描件；事业单位的，则提供有效的《事业单位法人证书》扫描件；如分公司参与磋商的，还须符合浙财采监〔2013〕24号《关于规范政府采购供应商资格设定及资格审查的通知》第六条规定。</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（4）无重大违法记录且具有良好商业信誉和健全的财务会计制度声明书</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（5）具有履行合同所必需的场地、设备和专业技术能力的承诺函</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（6）依法缴纳税收和社会保障资金的承诺函</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（7）单位负责人为同一人或者存在直接控股、管理关系的不同供应商，不得参加同一合同项下的政府采购活动承诺函</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（8）磋商供应商不属于公益一类事业单位承诺函</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（9）政府采购活动现场确认声明书</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（10）中小企业声明函</w:t>
      </w:r>
    </w:p>
    <w:p>
      <w:pPr>
        <w:adjustRightInd w:val="0"/>
        <w:snapToGrid w:val="0"/>
        <w:spacing w:line="360" w:lineRule="auto"/>
        <w:ind w:firstLine="551" w:firstLineChars="197"/>
        <w:rPr>
          <w:rFonts w:hint="eastAsia" w:ascii="宋体" w:hAnsi="宋体" w:cs="宋体"/>
          <w:sz w:val="28"/>
          <w:szCs w:val="28"/>
        </w:rPr>
      </w:pPr>
      <w:r>
        <w:rPr>
          <w:rFonts w:hint="eastAsia" w:ascii="宋体" w:hAnsi="宋体" w:cs="宋体"/>
          <w:sz w:val="28"/>
          <w:szCs w:val="28"/>
        </w:rPr>
        <w:t>（11）磋商供应商其他资质证书、认证证书、社保证明等扫描件（如需）</w:t>
      </w:r>
    </w:p>
    <w:p>
      <w:pPr>
        <w:adjustRightInd w:val="0"/>
        <w:snapToGrid w:val="0"/>
        <w:spacing w:line="360" w:lineRule="auto"/>
        <w:ind w:firstLine="551" w:firstLineChars="197"/>
        <w:rPr>
          <w:rFonts w:hint="eastAsia" w:ascii="宋体" w:hAnsi="宋体" w:cs="宋体"/>
          <w:sz w:val="28"/>
          <w:szCs w:val="28"/>
        </w:rPr>
      </w:pPr>
    </w:p>
    <w:p>
      <w:pPr>
        <w:snapToGrid w:val="0"/>
        <w:spacing w:before="50" w:after="120" w:afterLines="50" w:line="460" w:lineRule="exact"/>
        <w:jc w:val="left"/>
        <w:rPr>
          <w:rFonts w:hint="eastAsia" w:ascii="宋体" w:hAnsi="宋体" w:cs="宋体"/>
          <w:sz w:val="30"/>
          <w:szCs w:val="30"/>
        </w:rPr>
      </w:pPr>
    </w:p>
    <w:p>
      <w:pPr>
        <w:pStyle w:val="27"/>
        <w:snapToGrid w:val="0"/>
        <w:spacing w:before="120" w:after="120"/>
        <w:rPr>
          <w:rFonts w:hint="eastAsia" w:hAnsi="宋体" w:cs="宋体"/>
          <w:sz w:val="30"/>
          <w:szCs w:val="30"/>
        </w:rPr>
      </w:pPr>
    </w:p>
    <w:p>
      <w:pPr>
        <w:pStyle w:val="27"/>
        <w:snapToGrid w:val="0"/>
        <w:spacing w:before="120" w:after="120"/>
        <w:rPr>
          <w:rFonts w:hint="eastAsia" w:hAnsi="宋体" w:cs="宋体"/>
          <w:sz w:val="30"/>
          <w:szCs w:val="30"/>
        </w:rPr>
      </w:pPr>
    </w:p>
    <w:p>
      <w:pPr>
        <w:pStyle w:val="27"/>
        <w:snapToGrid w:val="0"/>
        <w:spacing w:before="120" w:after="120"/>
        <w:rPr>
          <w:rFonts w:hint="eastAsia" w:hAnsi="宋体" w:cs="宋体"/>
          <w:sz w:val="30"/>
          <w:szCs w:val="30"/>
        </w:rPr>
      </w:pPr>
    </w:p>
    <w:p>
      <w:pPr>
        <w:pStyle w:val="27"/>
        <w:snapToGrid w:val="0"/>
        <w:spacing w:before="120" w:after="120"/>
        <w:rPr>
          <w:rFonts w:hint="eastAsia" w:hAnsi="宋体" w:cs="宋体"/>
          <w:sz w:val="30"/>
          <w:szCs w:val="30"/>
        </w:rPr>
      </w:pPr>
    </w:p>
    <w:p>
      <w:pPr>
        <w:snapToGrid w:val="0"/>
        <w:spacing w:before="50" w:after="120" w:afterLines="50"/>
        <w:jc w:val="center"/>
        <w:rPr>
          <w:rFonts w:hint="eastAsia" w:ascii="宋体" w:hAnsi="宋体" w:cs="宋体"/>
          <w:b/>
          <w:bCs/>
          <w:sz w:val="36"/>
          <w:szCs w:val="36"/>
        </w:rPr>
      </w:pPr>
      <w:r>
        <w:rPr>
          <w:rFonts w:hint="eastAsia" w:ascii="宋体" w:hAnsi="宋体" w:cs="宋体"/>
          <w:sz w:val="30"/>
          <w:szCs w:val="30"/>
        </w:rPr>
        <w:br w:type="page"/>
      </w:r>
      <w:r>
        <w:rPr>
          <w:rFonts w:hint="eastAsia" w:ascii="宋体" w:hAnsi="宋体" w:cs="宋体"/>
          <w:b/>
          <w:bCs/>
          <w:sz w:val="36"/>
          <w:szCs w:val="36"/>
        </w:rPr>
        <w:t>（1）法定代表人授权书</w:t>
      </w:r>
    </w:p>
    <w:p>
      <w:pPr>
        <w:spacing w:line="460" w:lineRule="exact"/>
        <w:jc w:val="center"/>
        <w:rPr>
          <w:rFonts w:hint="eastAsia" w:ascii="宋体" w:hAnsi="宋体" w:cs="宋体"/>
          <w:b/>
          <w:bCs/>
          <w:sz w:val="32"/>
          <w:szCs w:val="32"/>
        </w:rPr>
      </w:pPr>
    </w:p>
    <w:p>
      <w:pPr>
        <w:spacing w:line="460" w:lineRule="exact"/>
        <w:rPr>
          <w:rFonts w:hint="eastAsia" w:ascii="宋体" w:hAnsi="宋体" w:cs="宋体"/>
          <w:sz w:val="24"/>
        </w:rPr>
      </w:pPr>
      <w:r>
        <w:rPr>
          <w:rFonts w:hint="eastAsia" w:ascii="宋体" w:hAnsi="宋体" w:cs="宋体"/>
          <w:sz w:val="24"/>
        </w:rPr>
        <w:t>温州市公共资源交易中心鹿城分中心 ：</w:t>
      </w:r>
    </w:p>
    <w:p>
      <w:pPr>
        <w:spacing w:line="460" w:lineRule="exact"/>
        <w:rPr>
          <w:rFonts w:hint="eastAsia" w:ascii="宋体" w:hAnsi="宋体" w:cs="宋体"/>
          <w:sz w:val="24"/>
          <w:u w:val="single"/>
        </w:rPr>
      </w:pPr>
    </w:p>
    <w:p>
      <w:pPr>
        <w:spacing w:line="460" w:lineRule="exact"/>
        <w:ind w:left="218" w:leftChars="104" w:firstLine="360" w:firstLineChars="150"/>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（磋商供应商全称）法定代表人</w:t>
      </w:r>
      <w:r>
        <w:rPr>
          <w:rFonts w:hint="eastAsia" w:ascii="宋体" w:hAnsi="宋体" w:cs="宋体"/>
          <w:sz w:val="24"/>
          <w:u w:val="single"/>
        </w:rPr>
        <w:t xml:space="preserve">        </w:t>
      </w:r>
      <w:r>
        <w:rPr>
          <w:rFonts w:hint="eastAsia" w:ascii="宋体" w:hAnsi="宋体" w:cs="宋体"/>
          <w:sz w:val="24"/>
        </w:rPr>
        <w:t>授权本单位在职职工</w:t>
      </w:r>
      <w:r>
        <w:rPr>
          <w:rFonts w:hint="eastAsia" w:ascii="宋体" w:hAnsi="宋体" w:cs="宋体"/>
          <w:sz w:val="24"/>
          <w:u w:val="single"/>
        </w:rPr>
        <w:t xml:space="preserve">           </w:t>
      </w:r>
      <w:r>
        <w:rPr>
          <w:rFonts w:hint="eastAsia" w:ascii="宋体" w:hAnsi="宋体" w:cs="宋体"/>
          <w:sz w:val="24"/>
        </w:rPr>
        <w:t>（全权代表姓名）为全权代表，参加贵处组织的</w:t>
      </w:r>
      <w:r>
        <w:rPr>
          <w:rFonts w:hint="eastAsia" w:ascii="宋体" w:hAnsi="宋体" w:cs="宋体"/>
          <w:sz w:val="24"/>
          <w:u w:val="single"/>
        </w:rPr>
        <w:t xml:space="preserve">        </w:t>
      </w:r>
      <w:r>
        <w:rPr>
          <w:rFonts w:hint="eastAsia" w:ascii="宋体" w:hAnsi="宋体" w:cs="宋体"/>
          <w:sz w:val="24"/>
        </w:rPr>
        <w:t>（项目名称、编号）的磋商活动，全权代表我方处理磋商活动中的一切事宜。</w:t>
      </w:r>
    </w:p>
    <w:p>
      <w:pPr>
        <w:spacing w:line="460" w:lineRule="exact"/>
        <w:ind w:firstLine="2955"/>
        <w:rPr>
          <w:rFonts w:hint="eastAsia" w:ascii="宋体" w:hAnsi="宋体" w:cs="宋体"/>
          <w:sz w:val="24"/>
        </w:rPr>
      </w:pPr>
    </w:p>
    <w:p>
      <w:pPr>
        <w:spacing w:line="460" w:lineRule="exact"/>
        <w:ind w:firstLine="2955"/>
        <w:rPr>
          <w:rFonts w:hint="eastAsia" w:ascii="宋体" w:hAnsi="宋体" w:cs="宋体"/>
          <w:sz w:val="24"/>
        </w:rPr>
      </w:pPr>
      <w:r>
        <w:rPr>
          <w:rFonts w:hint="eastAsia" w:ascii="宋体" w:hAnsi="宋体" w:cs="宋体"/>
          <w:sz w:val="24"/>
        </w:rPr>
        <w:t xml:space="preserve">    </w:t>
      </w:r>
    </w:p>
    <w:p>
      <w:pPr>
        <w:spacing w:line="460" w:lineRule="exact"/>
        <w:ind w:firstLine="4200" w:firstLineChars="1750"/>
        <w:rPr>
          <w:rFonts w:hint="eastAsia" w:ascii="宋体" w:hAnsi="宋体" w:cs="宋体"/>
          <w:sz w:val="24"/>
        </w:rPr>
      </w:pPr>
      <w:r>
        <w:rPr>
          <w:rFonts w:hint="eastAsia" w:ascii="宋体" w:hAnsi="宋体" w:cs="宋体"/>
          <w:sz w:val="24"/>
        </w:rPr>
        <w:t>法定代表人(签字或盖章)：</w:t>
      </w:r>
    </w:p>
    <w:p>
      <w:pPr>
        <w:spacing w:line="460" w:lineRule="exact"/>
        <w:ind w:firstLine="4200" w:firstLineChars="1750"/>
        <w:rPr>
          <w:rFonts w:hint="eastAsia" w:ascii="宋体" w:hAnsi="宋体" w:cs="宋体"/>
          <w:sz w:val="24"/>
        </w:rPr>
      </w:pPr>
      <w:r>
        <w:rPr>
          <w:rFonts w:hint="eastAsia" w:ascii="宋体" w:hAnsi="宋体" w:cs="宋体"/>
          <w:sz w:val="24"/>
        </w:rPr>
        <w:t>磋商供应商全称（</w:t>
      </w:r>
      <w:r>
        <w:rPr>
          <w:rFonts w:hint="eastAsia" w:ascii="宋体" w:hAnsi="宋体" w:cs="宋体"/>
          <w:bCs/>
          <w:sz w:val="24"/>
        </w:rPr>
        <w:t>公章或CA章</w:t>
      </w:r>
      <w:r>
        <w:rPr>
          <w:rFonts w:hint="eastAsia" w:ascii="宋体" w:hAnsi="宋体" w:cs="宋体"/>
          <w:sz w:val="24"/>
        </w:rPr>
        <w:t>）：</w:t>
      </w:r>
    </w:p>
    <w:p>
      <w:pPr>
        <w:spacing w:line="460" w:lineRule="exact"/>
        <w:ind w:firstLine="4200" w:firstLineChars="1750"/>
        <w:rPr>
          <w:rFonts w:hint="eastAsia" w:ascii="宋体" w:hAnsi="宋体" w:cs="宋体"/>
          <w:sz w:val="24"/>
        </w:rPr>
      </w:pPr>
      <w:r>
        <w:rPr>
          <w:rFonts w:hint="eastAsia" w:ascii="宋体" w:hAnsi="宋体" w:cs="宋体"/>
          <w:sz w:val="24"/>
        </w:rPr>
        <w:t>日期：     年    月   日</w:t>
      </w:r>
    </w:p>
    <w:p>
      <w:pPr>
        <w:spacing w:line="460" w:lineRule="exact"/>
        <w:rPr>
          <w:rFonts w:hint="eastAsia" w:ascii="宋体" w:hAnsi="宋体" w:cs="宋体"/>
          <w:sz w:val="24"/>
        </w:rPr>
      </w:pPr>
    </w:p>
    <w:tbl>
      <w:tblPr>
        <w:tblStyle w:val="51"/>
        <w:tblpPr w:leftFromText="180" w:rightFromText="180" w:vertAnchor="text" w:horzAnchor="margin" w:tblpY="2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78" w:hRule="atLeast"/>
        </w:trPr>
        <w:tc>
          <w:tcPr>
            <w:tcW w:w="4127" w:type="dxa"/>
            <w:noWrap w:val="0"/>
            <w:vAlign w:val="top"/>
          </w:tcPr>
          <w:p>
            <w:pPr>
              <w:jc w:val="center"/>
              <w:rPr>
                <w:rFonts w:hint="eastAsia" w:ascii="宋体" w:hAnsi="宋体" w:cs="宋体"/>
                <w:b/>
                <w:sz w:val="32"/>
                <w:szCs w:val="32"/>
              </w:rPr>
            </w:pPr>
            <w:r>
              <w:rPr>
                <w:rFonts w:hint="eastAsia" w:ascii="宋体" w:hAnsi="宋体" w:cs="宋体"/>
                <w:sz w:val="32"/>
                <w:szCs w:val="32"/>
              </w:rPr>
              <w:t>法定代表人</w:t>
            </w:r>
            <w:r>
              <w:rPr>
                <w:rFonts w:hint="eastAsia" w:ascii="宋体" w:hAnsi="宋体" w:cs="宋体"/>
                <w:b/>
                <w:sz w:val="32"/>
                <w:szCs w:val="32"/>
              </w:rPr>
              <w:t>有效身份证件</w:t>
            </w:r>
          </w:p>
          <w:p>
            <w:pPr>
              <w:jc w:val="center"/>
              <w:rPr>
                <w:rFonts w:hint="eastAsia" w:ascii="宋体" w:hAnsi="宋体" w:cs="宋体"/>
                <w:sz w:val="32"/>
                <w:szCs w:val="32"/>
              </w:rPr>
            </w:pPr>
            <w:r>
              <w:rPr>
                <w:rFonts w:hint="eastAsia" w:ascii="宋体" w:hAnsi="宋体" w:cs="宋体"/>
                <w:sz w:val="32"/>
                <w:szCs w:val="32"/>
              </w:rPr>
              <w:t>扫描件</w:t>
            </w:r>
          </w:p>
          <w:p>
            <w:pPr>
              <w:spacing w:line="460" w:lineRule="exact"/>
              <w:rPr>
                <w:rFonts w:hint="eastAsia" w:ascii="宋体" w:hAnsi="宋体" w:cs="宋体"/>
                <w:sz w:val="24"/>
              </w:rPr>
            </w:pPr>
          </w:p>
        </w:tc>
      </w:tr>
    </w:tbl>
    <w:tbl>
      <w:tblPr>
        <w:tblStyle w:val="51"/>
        <w:tblpPr w:leftFromText="180" w:rightFromText="180" w:vertAnchor="text" w:horzAnchor="page" w:tblpX="5869" w:tblpY="2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78" w:hRule="atLeast"/>
        </w:trPr>
        <w:tc>
          <w:tcPr>
            <w:tcW w:w="4127" w:type="dxa"/>
            <w:noWrap w:val="0"/>
            <w:vAlign w:val="top"/>
          </w:tcPr>
          <w:p>
            <w:pPr>
              <w:jc w:val="center"/>
              <w:rPr>
                <w:rFonts w:hint="eastAsia" w:ascii="宋体" w:hAnsi="宋体" w:cs="宋体"/>
                <w:b/>
                <w:sz w:val="32"/>
                <w:szCs w:val="32"/>
              </w:rPr>
            </w:pPr>
            <w:r>
              <w:rPr>
                <w:rFonts w:hint="eastAsia" w:ascii="宋体" w:hAnsi="宋体" w:cs="宋体"/>
                <w:b/>
                <w:sz w:val="32"/>
                <w:szCs w:val="32"/>
              </w:rPr>
              <w:t>授权代表有效身份证件扫描件</w:t>
            </w:r>
          </w:p>
          <w:p>
            <w:pPr>
              <w:spacing w:line="460" w:lineRule="exact"/>
              <w:rPr>
                <w:rFonts w:hint="eastAsia" w:ascii="宋体" w:hAnsi="宋体" w:cs="宋体"/>
                <w:b/>
                <w:sz w:val="32"/>
                <w:szCs w:val="32"/>
              </w:rPr>
            </w:pPr>
          </w:p>
        </w:tc>
      </w:tr>
    </w:tbl>
    <w:p>
      <w:pPr>
        <w:spacing w:line="460" w:lineRule="exact"/>
        <w:rPr>
          <w:rFonts w:hint="eastAsia" w:ascii="宋体" w:hAnsi="宋体" w:cs="宋体"/>
          <w:sz w:val="24"/>
        </w:rPr>
      </w:pPr>
    </w:p>
    <w:p>
      <w:pPr>
        <w:spacing w:line="460" w:lineRule="exact"/>
        <w:ind w:firstLine="240" w:firstLineChars="100"/>
        <w:rPr>
          <w:rFonts w:hint="eastAsia" w:ascii="宋体" w:hAnsi="宋体" w:cs="宋体"/>
          <w:sz w:val="24"/>
        </w:rPr>
      </w:pPr>
      <w:r>
        <w:rPr>
          <w:rFonts w:hint="eastAsia" w:ascii="宋体" w:hAnsi="宋体" w:cs="宋体"/>
          <w:sz w:val="24"/>
        </w:rPr>
        <w:t xml:space="preserve">    </w:t>
      </w:r>
    </w:p>
    <w:p>
      <w:pPr>
        <w:spacing w:line="460" w:lineRule="exact"/>
        <w:ind w:firstLine="240" w:firstLineChars="100"/>
        <w:rPr>
          <w:rFonts w:hint="eastAsia" w:ascii="宋体" w:hAnsi="宋体" w:cs="宋体"/>
          <w:sz w:val="24"/>
        </w:rPr>
      </w:pPr>
      <w:r>
        <w:rPr>
          <w:rFonts w:hint="eastAsia" w:ascii="宋体" w:hAnsi="宋体" w:cs="宋体"/>
          <w:sz w:val="24"/>
        </w:rPr>
        <w:t xml:space="preserve">                      </w:t>
      </w:r>
    </w:p>
    <w:p>
      <w:pPr>
        <w:spacing w:line="460" w:lineRule="exact"/>
        <w:rPr>
          <w:rFonts w:hint="eastAsia" w:ascii="宋体" w:hAnsi="宋体" w:cs="宋体"/>
          <w:sz w:val="24"/>
        </w:rPr>
      </w:pPr>
    </w:p>
    <w:p>
      <w:pPr>
        <w:spacing w:line="460" w:lineRule="exact"/>
        <w:rPr>
          <w:rFonts w:hint="eastAsia" w:ascii="宋体" w:hAnsi="宋体" w:cs="宋体"/>
          <w:b/>
          <w:bCs/>
          <w:sz w:val="24"/>
        </w:rPr>
      </w:pPr>
    </w:p>
    <w:p>
      <w:pPr>
        <w:spacing w:line="380" w:lineRule="exact"/>
        <w:rPr>
          <w:rFonts w:hint="eastAsia" w:ascii="宋体" w:hAnsi="宋体" w:cs="宋体"/>
          <w:b/>
          <w:bCs/>
          <w:sz w:val="28"/>
        </w:rPr>
      </w:pPr>
    </w:p>
    <w:p>
      <w:pPr>
        <w:spacing w:line="380" w:lineRule="exact"/>
        <w:rPr>
          <w:rFonts w:hint="eastAsia" w:ascii="宋体" w:hAnsi="宋体" w:cs="宋体"/>
          <w:b/>
          <w:bCs/>
          <w:sz w:val="28"/>
        </w:rPr>
      </w:pPr>
    </w:p>
    <w:p>
      <w:pPr>
        <w:spacing w:line="400" w:lineRule="exact"/>
        <w:ind w:firstLine="180" w:firstLineChars="64"/>
        <w:jc w:val="center"/>
        <w:rPr>
          <w:rFonts w:hint="eastAsia" w:ascii="宋体" w:hAnsi="宋体" w:cs="宋体"/>
          <w:b/>
          <w:bCs/>
          <w:sz w:val="28"/>
        </w:rPr>
      </w:pPr>
    </w:p>
    <w:p>
      <w:pPr>
        <w:spacing w:line="400" w:lineRule="exact"/>
        <w:ind w:firstLine="180" w:firstLineChars="64"/>
        <w:jc w:val="center"/>
        <w:rPr>
          <w:rFonts w:hint="eastAsia" w:ascii="宋体" w:hAnsi="宋体" w:cs="宋体"/>
          <w:b/>
          <w:bCs/>
          <w:sz w:val="28"/>
        </w:rPr>
      </w:pPr>
    </w:p>
    <w:p>
      <w:pPr>
        <w:spacing w:line="400" w:lineRule="exact"/>
        <w:ind w:firstLine="180" w:firstLineChars="64"/>
        <w:rPr>
          <w:rFonts w:hint="eastAsia" w:ascii="宋体" w:hAnsi="宋体" w:cs="宋体"/>
          <w:b/>
          <w:bCs/>
          <w:sz w:val="28"/>
        </w:rPr>
      </w:pPr>
    </w:p>
    <w:p>
      <w:pPr>
        <w:spacing w:line="400" w:lineRule="exact"/>
        <w:ind w:firstLine="116" w:firstLineChars="64"/>
        <w:rPr>
          <w:rFonts w:hint="eastAsia" w:ascii="宋体" w:hAnsi="宋体" w:cs="宋体"/>
          <w:b/>
          <w:bCs/>
          <w:sz w:val="18"/>
          <w:szCs w:val="18"/>
          <w:u w:val="single"/>
        </w:rPr>
      </w:pPr>
      <w:r>
        <w:rPr>
          <w:rFonts w:hint="eastAsia" w:ascii="宋体" w:hAnsi="宋体" w:cs="宋体"/>
          <w:b/>
          <w:bCs/>
          <w:sz w:val="18"/>
          <w:szCs w:val="18"/>
          <w:u w:val="single"/>
        </w:rPr>
        <w:t>▲注：</w:t>
      </w:r>
    </w:p>
    <w:p>
      <w:pPr>
        <w:spacing w:line="400" w:lineRule="exact"/>
        <w:ind w:firstLine="116" w:firstLineChars="64"/>
        <w:rPr>
          <w:rFonts w:hint="eastAsia" w:ascii="宋体" w:hAnsi="宋体" w:cs="宋体"/>
          <w:b/>
          <w:bCs/>
          <w:sz w:val="18"/>
          <w:szCs w:val="18"/>
          <w:u w:val="single"/>
        </w:rPr>
      </w:pPr>
      <w:r>
        <w:rPr>
          <w:rFonts w:hint="eastAsia" w:ascii="宋体" w:hAnsi="宋体" w:cs="宋体"/>
          <w:b/>
          <w:bCs/>
          <w:sz w:val="18"/>
          <w:szCs w:val="18"/>
          <w:u w:val="single"/>
        </w:rPr>
        <w:t>1、法定代表人授权书必须完整填写，签章齐全，内容无误，否则视为无效响应；</w:t>
      </w:r>
    </w:p>
    <w:p>
      <w:pPr>
        <w:spacing w:line="400" w:lineRule="exact"/>
        <w:ind w:firstLine="116" w:firstLineChars="64"/>
        <w:rPr>
          <w:rFonts w:hint="eastAsia" w:ascii="宋体" w:hAnsi="宋体" w:cs="宋体"/>
          <w:b/>
          <w:bCs/>
          <w:sz w:val="18"/>
          <w:szCs w:val="18"/>
          <w:u w:val="single"/>
        </w:rPr>
      </w:pPr>
      <w:r>
        <w:rPr>
          <w:rFonts w:hint="eastAsia" w:ascii="宋体" w:hAnsi="宋体" w:cs="宋体"/>
          <w:b/>
          <w:bCs/>
          <w:sz w:val="18"/>
          <w:szCs w:val="18"/>
          <w:u w:val="single"/>
        </w:rPr>
        <w:t>2、扫描件内容必须清晰可辨，否则视为无效响应。</w:t>
      </w:r>
    </w:p>
    <w:p>
      <w:pPr>
        <w:widowControl/>
        <w:jc w:val="left"/>
        <w:rPr>
          <w:rFonts w:hint="eastAsia" w:ascii="宋体" w:hAnsi="宋体" w:cs="宋体"/>
        </w:rPr>
      </w:pPr>
    </w:p>
    <w:p>
      <w:pPr>
        <w:widowControl/>
        <w:jc w:val="left"/>
        <w:rPr>
          <w:rFonts w:hint="eastAsia" w:ascii="宋体" w:hAnsi="宋体" w:cs="宋体"/>
        </w:rPr>
        <w:sectPr>
          <w:footerReference r:id="rId10" w:type="default"/>
          <w:type w:val="nextColumn"/>
          <w:pgSz w:w="11906" w:h="16838"/>
          <w:pgMar w:top="1440" w:right="1304" w:bottom="1090" w:left="1531" w:header="851" w:footer="992" w:gutter="0"/>
          <w:cols w:space="720" w:num="1"/>
          <w:docGrid w:linePitch="312" w:charSpace="0"/>
        </w:sectPr>
      </w:pPr>
    </w:p>
    <w:p>
      <w:pPr>
        <w:jc w:val="center"/>
        <w:rPr>
          <w:rFonts w:hint="eastAsia" w:ascii="宋体" w:hAnsi="宋体" w:cs="宋体"/>
          <w:b/>
          <w:sz w:val="32"/>
          <w:szCs w:val="32"/>
        </w:rPr>
      </w:pPr>
      <w:r>
        <w:rPr>
          <w:rFonts w:hint="eastAsia" w:ascii="宋体" w:hAnsi="宋体" w:cs="宋体"/>
          <w:b/>
          <w:bCs/>
          <w:sz w:val="36"/>
          <w:szCs w:val="36"/>
        </w:rPr>
        <w:t>（2）</w:t>
      </w:r>
      <w:r>
        <w:rPr>
          <w:rFonts w:hint="eastAsia" w:ascii="宋体" w:hAnsi="宋体" w:cs="宋体"/>
          <w:b/>
          <w:sz w:val="36"/>
          <w:szCs w:val="36"/>
        </w:rPr>
        <w:t>磋商供应商情况表</w:t>
      </w:r>
    </w:p>
    <w:p>
      <w:pPr>
        <w:widowControl/>
        <w:jc w:val="left"/>
        <w:rPr>
          <w:rFonts w:hint="eastAsia" w:ascii="宋体" w:hAnsi="宋体" w:cs="宋体"/>
        </w:rPr>
      </w:pPr>
    </w:p>
    <w:p>
      <w:pPr>
        <w:widowControl/>
        <w:jc w:val="left"/>
        <w:rPr>
          <w:rFonts w:hint="eastAsia" w:ascii="宋体" w:hAnsi="宋体" w:cs="宋体"/>
        </w:rPr>
      </w:pPr>
    </w:p>
    <w:p>
      <w:pPr>
        <w:tabs>
          <w:tab w:val="left" w:pos="1985"/>
        </w:tabs>
        <w:spacing w:line="480" w:lineRule="exact"/>
        <w:rPr>
          <w:rFonts w:hint="eastAsia" w:ascii="宋体" w:hAnsi="宋体" w:cs="宋体"/>
        </w:rPr>
      </w:pPr>
      <w:r>
        <w:rPr>
          <w:rFonts w:hint="eastAsia" w:ascii="宋体" w:hAnsi="宋体" w:cs="宋体"/>
        </w:rPr>
        <w:t>磋商供应商名称（公章）：                                    填表日期：</w:t>
      </w:r>
    </w:p>
    <w:tbl>
      <w:tblPr>
        <w:tblStyle w:val="51"/>
        <w:tblW w:w="850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84"/>
        <w:gridCol w:w="1134"/>
        <w:gridCol w:w="2126"/>
        <w:gridCol w:w="992"/>
        <w:gridCol w:w="284"/>
        <w:gridCol w:w="1100"/>
        <w:gridCol w:w="148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567" w:hRule="atLeast"/>
        </w:trPr>
        <w:tc>
          <w:tcPr>
            <w:tcW w:w="1384" w:type="dxa"/>
            <w:noWrap w:val="0"/>
            <w:vAlign w:val="top"/>
          </w:tcPr>
          <w:p>
            <w:pPr>
              <w:tabs>
                <w:tab w:val="left" w:pos="1985"/>
              </w:tabs>
              <w:spacing w:line="480" w:lineRule="exact"/>
              <w:rPr>
                <w:rFonts w:hint="eastAsia" w:ascii="宋体" w:hAnsi="宋体" w:cs="宋体"/>
              </w:rPr>
            </w:pPr>
            <w:r>
              <w:rPr>
                <w:rFonts w:hint="eastAsia" w:ascii="宋体" w:hAnsi="宋体" w:cs="宋体"/>
              </w:rPr>
              <w:t>单位名称</w:t>
            </w:r>
          </w:p>
        </w:tc>
        <w:tc>
          <w:tcPr>
            <w:tcW w:w="3260" w:type="dxa"/>
            <w:gridSpan w:val="2"/>
            <w:noWrap w:val="0"/>
            <w:vAlign w:val="top"/>
          </w:tcPr>
          <w:p>
            <w:pPr>
              <w:tabs>
                <w:tab w:val="left" w:pos="1985"/>
              </w:tabs>
              <w:spacing w:line="480" w:lineRule="exact"/>
              <w:rPr>
                <w:rFonts w:hint="eastAsia" w:ascii="宋体" w:hAnsi="宋体" w:cs="宋体"/>
              </w:rPr>
            </w:pPr>
          </w:p>
        </w:tc>
        <w:tc>
          <w:tcPr>
            <w:tcW w:w="1276" w:type="dxa"/>
            <w:gridSpan w:val="2"/>
            <w:noWrap w:val="0"/>
            <w:vAlign w:val="top"/>
          </w:tcPr>
          <w:p>
            <w:pPr>
              <w:tabs>
                <w:tab w:val="left" w:pos="1985"/>
              </w:tabs>
              <w:spacing w:line="480" w:lineRule="exact"/>
              <w:rPr>
                <w:rFonts w:hint="eastAsia" w:ascii="宋体" w:hAnsi="宋体" w:cs="宋体"/>
              </w:rPr>
            </w:pPr>
            <w:r>
              <w:rPr>
                <w:rFonts w:hint="eastAsia" w:ascii="宋体" w:hAnsi="宋体" w:cs="宋体"/>
              </w:rPr>
              <w:t>电 话</w:t>
            </w:r>
          </w:p>
        </w:tc>
        <w:tc>
          <w:tcPr>
            <w:tcW w:w="2587" w:type="dxa"/>
            <w:gridSpan w:val="2"/>
            <w:noWrap w:val="0"/>
            <w:vAlign w:val="top"/>
          </w:tcPr>
          <w:p>
            <w:pPr>
              <w:tabs>
                <w:tab w:val="left" w:pos="1985"/>
              </w:tabs>
              <w:spacing w:line="480" w:lineRule="exact"/>
              <w:rPr>
                <w:rFonts w:hint="eastAsia" w:ascii="宋体" w:hAnsi="宋体" w:cs="宋体"/>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567" w:hRule="atLeast"/>
        </w:trPr>
        <w:tc>
          <w:tcPr>
            <w:tcW w:w="1384" w:type="dxa"/>
            <w:noWrap w:val="0"/>
            <w:vAlign w:val="top"/>
          </w:tcPr>
          <w:p>
            <w:pPr>
              <w:tabs>
                <w:tab w:val="left" w:pos="1985"/>
              </w:tabs>
              <w:spacing w:line="480" w:lineRule="exact"/>
              <w:rPr>
                <w:rFonts w:hint="eastAsia" w:ascii="宋体" w:hAnsi="宋体" w:cs="宋体"/>
              </w:rPr>
            </w:pPr>
            <w:r>
              <w:rPr>
                <w:rFonts w:hint="eastAsia" w:ascii="宋体" w:hAnsi="宋体" w:cs="宋体"/>
              </w:rPr>
              <w:t>地    址</w:t>
            </w:r>
          </w:p>
        </w:tc>
        <w:tc>
          <w:tcPr>
            <w:tcW w:w="3260" w:type="dxa"/>
            <w:gridSpan w:val="2"/>
            <w:noWrap w:val="0"/>
            <w:vAlign w:val="top"/>
          </w:tcPr>
          <w:p>
            <w:pPr>
              <w:tabs>
                <w:tab w:val="left" w:pos="1985"/>
              </w:tabs>
              <w:spacing w:line="480" w:lineRule="exact"/>
              <w:rPr>
                <w:rFonts w:hint="eastAsia" w:ascii="宋体" w:hAnsi="宋体" w:cs="宋体"/>
              </w:rPr>
            </w:pPr>
          </w:p>
        </w:tc>
        <w:tc>
          <w:tcPr>
            <w:tcW w:w="1276" w:type="dxa"/>
            <w:gridSpan w:val="2"/>
            <w:noWrap w:val="0"/>
            <w:vAlign w:val="top"/>
          </w:tcPr>
          <w:p>
            <w:pPr>
              <w:tabs>
                <w:tab w:val="left" w:pos="1985"/>
              </w:tabs>
              <w:spacing w:line="480" w:lineRule="exact"/>
              <w:rPr>
                <w:rFonts w:hint="eastAsia" w:ascii="宋体" w:hAnsi="宋体" w:cs="宋体"/>
              </w:rPr>
            </w:pPr>
            <w:r>
              <w:rPr>
                <w:rFonts w:hint="eastAsia" w:ascii="宋体" w:hAnsi="宋体" w:cs="宋体"/>
              </w:rPr>
              <w:t>传 真</w:t>
            </w:r>
          </w:p>
        </w:tc>
        <w:tc>
          <w:tcPr>
            <w:tcW w:w="2587" w:type="dxa"/>
            <w:gridSpan w:val="2"/>
            <w:noWrap w:val="0"/>
            <w:vAlign w:val="top"/>
          </w:tcPr>
          <w:p>
            <w:pPr>
              <w:tabs>
                <w:tab w:val="left" w:pos="1985"/>
              </w:tabs>
              <w:spacing w:line="480" w:lineRule="exact"/>
              <w:rPr>
                <w:rFonts w:hint="eastAsia" w:ascii="宋体" w:hAnsi="宋体" w:cs="宋体"/>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567" w:hRule="atLeast"/>
        </w:trPr>
        <w:tc>
          <w:tcPr>
            <w:tcW w:w="1384" w:type="dxa"/>
            <w:noWrap w:val="0"/>
            <w:vAlign w:val="top"/>
          </w:tcPr>
          <w:p>
            <w:pPr>
              <w:tabs>
                <w:tab w:val="left" w:pos="1985"/>
              </w:tabs>
              <w:spacing w:line="480" w:lineRule="exact"/>
              <w:rPr>
                <w:rFonts w:hint="eastAsia" w:ascii="宋体" w:hAnsi="宋体" w:cs="宋体"/>
              </w:rPr>
            </w:pPr>
            <w:r>
              <w:rPr>
                <w:rFonts w:hint="eastAsia" w:ascii="宋体" w:hAnsi="宋体" w:cs="宋体"/>
              </w:rPr>
              <w:t>主管部门</w:t>
            </w:r>
          </w:p>
        </w:tc>
        <w:tc>
          <w:tcPr>
            <w:tcW w:w="3260" w:type="dxa"/>
            <w:gridSpan w:val="2"/>
            <w:noWrap w:val="0"/>
            <w:vAlign w:val="top"/>
          </w:tcPr>
          <w:p>
            <w:pPr>
              <w:tabs>
                <w:tab w:val="left" w:pos="1985"/>
              </w:tabs>
              <w:spacing w:line="480" w:lineRule="exact"/>
              <w:rPr>
                <w:rFonts w:hint="eastAsia" w:ascii="宋体" w:hAnsi="宋体" w:cs="宋体"/>
              </w:rPr>
            </w:pPr>
          </w:p>
        </w:tc>
        <w:tc>
          <w:tcPr>
            <w:tcW w:w="1276" w:type="dxa"/>
            <w:gridSpan w:val="2"/>
            <w:noWrap w:val="0"/>
            <w:vAlign w:val="top"/>
          </w:tcPr>
          <w:p>
            <w:pPr>
              <w:tabs>
                <w:tab w:val="left" w:pos="1985"/>
              </w:tabs>
              <w:spacing w:line="480" w:lineRule="exact"/>
              <w:rPr>
                <w:rFonts w:hint="eastAsia" w:ascii="宋体" w:hAnsi="宋体" w:cs="宋体"/>
              </w:rPr>
            </w:pPr>
            <w:r>
              <w:rPr>
                <w:rFonts w:hint="eastAsia" w:ascii="宋体" w:hAnsi="宋体" w:cs="宋体"/>
              </w:rPr>
              <w:t>企业性质</w:t>
            </w:r>
          </w:p>
        </w:tc>
        <w:tc>
          <w:tcPr>
            <w:tcW w:w="2587" w:type="dxa"/>
            <w:gridSpan w:val="2"/>
            <w:noWrap w:val="0"/>
            <w:vAlign w:val="top"/>
          </w:tcPr>
          <w:p>
            <w:pPr>
              <w:tabs>
                <w:tab w:val="left" w:pos="1985"/>
              </w:tabs>
              <w:spacing w:line="480" w:lineRule="exact"/>
              <w:rPr>
                <w:rFonts w:hint="eastAsia" w:ascii="宋体" w:hAnsi="宋体" w:cs="宋体"/>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567" w:hRule="atLeast"/>
        </w:trPr>
        <w:tc>
          <w:tcPr>
            <w:tcW w:w="1384" w:type="dxa"/>
            <w:noWrap w:val="0"/>
            <w:vAlign w:val="top"/>
          </w:tcPr>
          <w:p>
            <w:pPr>
              <w:tabs>
                <w:tab w:val="left" w:pos="1985"/>
              </w:tabs>
              <w:spacing w:line="480" w:lineRule="exact"/>
              <w:rPr>
                <w:rFonts w:hint="eastAsia" w:ascii="宋体" w:hAnsi="宋体" w:cs="宋体"/>
              </w:rPr>
            </w:pPr>
            <w:r>
              <w:rPr>
                <w:rFonts w:hint="eastAsia" w:ascii="宋体" w:hAnsi="宋体" w:cs="宋体"/>
              </w:rPr>
              <w:t>企业负责人</w:t>
            </w:r>
          </w:p>
        </w:tc>
        <w:tc>
          <w:tcPr>
            <w:tcW w:w="3260" w:type="dxa"/>
            <w:gridSpan w:val="2"/>
            <w:noWrap w:val="0"/>
            <w:vAlign w:val="top"/>
          </w:tcPr>
          <w:p>
            <w:pPr>
              <w:tabs>
                <w:tab w:val="left" w:pos="1985"/>
              </w:tabs>
              <w:spacing w:line="480" w:lineRule="exact"/>
              <w:rPr>
                <w:rFonts w:hint="eastAsia" w:ascii="宋体" w:hAnsi="宋体" w:cs="宋体"/>
              </w:rPr>
            </w:pPr>
          </w:p>
        </w:tc>
        <w:tc>
          <w:tcPr>
            <w:tcW w:w="1276" w:type="dxa"/>
            <w:gridSpan w:val="2"/>
            <w:noWrap w:val="0"/>
            <w:vAlign w:val="top"/>
          </w:tcPr>
          <w:p>
            <w:pPr>
              <w:tabs>
                <w:tab w:val="left" w:pos="1985"/>
              </w:tabs>
              <w:spacing w:line="480" w:lineRule="exact"/>
              <w:rPr>
                <w:rFonts w:hint="eastAsia" w:ascii="宋体" w:hAnsi="宋体" w:cs="宋体"/>
              </w:rPr>
            </w:pPr>
            <w:r>
              <w:rPr>
                <w:rFonts w:hint="eastAsia" w:ascii="宋体" w:hAnsi="宋体" w:cs="宋体"/>
              </w:rPr>
              <w:t>职务</w:t>
            </w:r>
          </w:p>
        </w:tc>
        <w:tc>
          <w:tcPr>
            <w:tcW w:w="2587" w:type="dxa"/>
            <w:gridSpan w:val="2"/>
            <w:noWrap w:val="0"/>
            <w:vAlign w:val="top"/>
          </w:tcPr>
          <w:p>
            <w:pPr>
              <w:tabs>
                <w:tab w:val="left" w:pos="1985"/>
              </w:tabs>
              <w:spacing w:line="480" w:lineRule="exact"/>
              <w:rPr>
                <w:rFonts w:hint="eastAsia" w:ascii="宋体" w:hAnsi="宋体" w:cs="宋体"/>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567" w:hRule="atLeast"/>
        </w:trPr>
        <w:tc>
          <w:tcPr>
            <w:tcW w:w="1384" w:type="dxa"/>
            <w:noWrap w:val="0"/>
            <w:vAlign w:val="top"/>
          </w:tcPr>
          <w:p>
            <w:pPr>
              <w:tabs>
                <w:tab w:val="left" w:pos="1985"/>
              </w:tabs>
              <w:spacing w:line="480" w:lineRule="exact"/>
              <w:rPr>
                <w:rFonts w:hint="eastAsia" w:ascii="宋体" w:hAnsi="宋体" w:cs="宋体"/>
              </w:rPr>
            </w:pPr>
            <w:r>
              <w:rPr>
                <w:rFonts w:hint="eastAsia" w:ascii="宋体" w:hAnsi="宋体" w:cs="宋体"/>
              </w:rPr>
              <w:t>授权代表</w:t>
            </w:r>
          </w:p>
        </w:tc>
        <w:tc>
          <w:tcPr>
            <w:tcW w:w="3260" w:type="dxa"/>
            <w:gridSpan w:val="2"/>
            <w:noWrap w:val="0"/>
            <w:vAlign w:val="top"/>
          </w:tcPr>
          <w:p>
            <w:pPr>
              <w:tabs>
                <w:tab w:val="left" w:pos="1985"/>
              </w:tabs>
              <w:spacing w:line="480" w:lineRule="exact"/>
              <w:rPr>
                <w:rFonts w:hint="eastAsia" w:ascii="宋体" w:hAnsi="宋体" w:cs="宋体"/>
              </w:rPr>
            </w:pPr>
          </w:p>
        </w:tc>
        <w:tc>
          <w:tcPr>
            <w:tcW w:w="1276" w:type="dxa"/>
            <w:gridSpan w:val="2"/>
            <w:noWrap w:val="0"/>
            <w:vAlign w:val="top"/>
          </w:tcPr>
          <w:p>
            <w:pPr>
              <w:tabs>
                <w:tab w:val="left" w:pos="1985"/>
              </w:tabs>
              <w:spacing w:line="480" w:lineRule="exact"/>
              <w:rPr>
                <w:rFonts w:hint="eastAsia" w:ascii="宋体" w:hAnsi="宋体" w:cs="宋体"/>
              </w:rPr>
            </w:pPr>
            <w:r>
              <w:rPr>
                <w:rFonts w:hint="eastAsia" w:ascii="宋体" w:hAnsi="宋体" w:cs="宋体"/>
              </w:rPr>
              <w:t>职务</w:t>
            </w:r>
          </w:p>
        </w:tc>
        <w:tc>
          <w:tcPr>
            <w:tcW w:w="2587" w:type="dxa"/>
            <w:gridSpan w:val="2"/>
            <w:noWrap w:val="0"/>
            <w:vAlign w:val="top"/>
          </w:tcPr>
          <w:p>
            <w:pPr>
              <w:tabs>
                <w:tab w:val="left" w:pos="1985"/>
              </w:tabs>
              <w:spacing w:line="480" w:lineRule="exact"/>
              <w:rPr>
                <w:rFonts w:hint="eastAsia" w:ascii="宋体" w:hAnsi="宋体" w:cs="宋体"/>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68" w:hRule="atLeast"/>
        </w:trPr>
        <w:tc>
          <w:tcPr>
            <w:tcW w:w="1384" w:type="dxa"/>
            <w:noWrap w:val="0"/>
            <w:vAlign w:val="center"/>
          </w:tcPr>
          <w:p>
            <w:pPr>
              <w:tabs>
                <w:tab w:val="left" w:pos="1985"/>
              </w:tabs>
              <w:spacing w:line="480" w:lineRule="exact"/>
              <w:rPr>
                <w:rFonts w:hint="eastAsia" w:ascii="宋体" w:hAnsi="宋体" w:cs="宋体"/>
              </w:rPr>
            </w:pPr>
            <w:r>
              <w:rPr>
                <w:rFonts w:hint="eastAsia" w:ascii="宋体" w:hAnsi="宋体" w:cs="宋体"/>
              </w:rPr>
              <w:t>单位简介</w:t>
            </w:r>
          </w:p>
          <w:p>
            <w:pPr>
              <w:tabs>
                <w:tab w:val="left" w:pos="1985"/>
              </w:tabs>
              <w:spacing w:line="480" w:lineRule="exact"/>
              <w:rPr>
                <w:rFonts w:hint="eastAsia" w:ascii="宋体" w:hAnsi="宋体" w:cs="宋体"/>
              </w:rPr>
            </w:pPr>
            <w:r>
              <w:rPr>
                <w:rFonts w:hint="eastAsia" w:ascii="宋体" w:hAnsi="宋体" w:cs="宋体"/>
              </w:rPr>
              <w:t>及机构</w:t>
            </w:r>
          </w:p>
        </w:tc>
        <w:tc>
          <w:tcPr>
            <w:tcW w:w="7123" w:type="dxa"/>
            <w:gridSpan w:val="6"/>
            <w:noWrap w:val="0"/>
            <w:vAlign w:val="center"/>
          </w:tcPr>
          <w:p>
            <w:pPr>
              <w:tabs>
                <w:tab w:val="left" w:pos="1985"/>
              </w:tabs>
              <w:spacing w:line="480" w:lineRule="exact"/>
              <w:rPr>
                <w:rFonts w:hint="eastAsia" w:ascii="宋体" w:hAnsi="宋体" w:cs="宋体"/>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68" w:hRule="atLeast"/>
        </w:trPr>
        <w:tc>
          <w:tcPr>
            <w:tcW w:w="1384" w:type="dxa"/>
            <w:noWrap w:val="0"/>
            <w:vAlign w:val="center"/>
          </w:tcPr>
          <w:p>
            <w:pPr>
              <w:tabs>
                <w:tab w:val="left" w:pos="1985"/>
              </w:tabs>
              <w:spacing w:line="480" w:lineRule="exact"/>
              <w:rPr>
                <w:rFonts w:hint="eastAsia" w:ascii="宋体" w:hAnsi="宋体" w:cs="宋体"/>
              </w:rPr>
            </w:pPr>
            <w:r>
              <w:rPr>
                <w:rFonts w:hint="eastAsia" w:ascii="宋体" w:hAnsi="宋体" w:cs="宋体"/>
              </w:rPr>
              <w:t>单位优势</w:t>
            </w:r>
          </w:p>
          <w:p>
            <w:pPr>
              <w:tabs>
                <w:tab w:val="left" w:pos="1985"/>
              </w:tabs>
              <w:spacing w:line="480" w:lineRule="exact"/>
              <w:rPr>
                <w:rFonts w:hint="eastAsia" w:ascii="宋体" w:hAnsi="宋体" w:cs="宋体"/>
              </w:rPr>
            </w:pPr>
            <w:r>
              <w:rPr>
                <w:rFonts w:hint="eastAsia" w:ascii="宋体" w:hAnsi="宋体" w:cs="宋体"/>
              </w:rPr>
              <w:t>及特长</w:t>
            </w:r>
          </w:p>
        </w:tc>
        <w:tc>
          <w:tcPr>
            <w:tcW w:w="7123" w:type="dxa"/>
            <w:gridSpan w:val="6"/>
            <w:noWrap w:val="0"/>
            <w:vAlign w:val="center"/>
          </w:tcPr>
          <w:p>
            <w:pPr>
              <w:tabs>
                <w:tab w:val="left" w:pos="1985"/>
              </w:tabs>
              <w:spacing w:line="480" w:lineRule="exact"/>
              <w:rPr>
                <w:rFonts w:hint="eastAsia" w:ascii="宋体" w:hAnsi="宋体" w:cs="宋体"/>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615" w:hRule="atLeast"/>
        </w:trPr>
        <w:tc>
          <w:tcPr>
            <w:tcW w:w="1384" w:type="dxa"/>
            <w:vMerge w:val="restart"/>
            <w:noWrap w:val="0"/>
            <w:vAlign w:val="center"/>
          </w:tcPr>
          <w:p>
            <w:pPr>
              <w:tabs>
                <w:tab w:val="left" w:pos="1985"/>
              </w:tabs>
              <w:spacing w:line="480" w:lineRule="exact"/>
              <w:rPr>
                <w:rFonts w:hint="eastAsia" w:ascii="宋体" w:hAnsi="宋体" w:cs="宋体"/>
              </w:rPr>
            </w:pPr>
            <w:r>
              <w:rPr>
                <w:rFonts w:hint="eastAsia" w:ascii="宋体" w:hAnsi="宋体" w:cs="宋体"/>
              </w:rPr>
              <w:t>单位概况</w:t>
            </w:r>
          </w:p>
        </w:tc>
        <w:tc>
          <w:tcPr>
            <w:tcW w:w="1134" w:type="dxa"/>
            <w:vMerge w:val="restart"/>
            <w:noWrap w:val="0"/>
            <w:vAlign w:val="top"/>
          </w:tcPr>
          <w:p>
            <w:pPr>
              <w:tabs>
                <w:tab w:val="left" w:pos="1985"/>
              </w:tabs>
              <w:spacing w:line="480" w:lineRule="exact"/>
              <w:rPr>
                <w:rFonts w:hint="eastAsia" w:ascii="宋体" w:hAnsi="宋体" w:cs="宋体"/>
              </w:rPr>
            </w:pPr>
            <w:r>
              <w:rPr>
                <w:rFonts w:hint="eastAsia" w:ascii="宋体" w:hAnsi="宋体" w:cs="宋体"/>
              </w:rPr>
              <w:t>职工总数</w:t>
            </w:r>
          </w:p>
        </w:tc>
        <w:tc>
          <w:tcPr>
            <w:tcW w:w="2126" w:type="dxa"/>
            <w:vMerge w:val="restart"/>
            <w:noWrap w:val="0"/>
            <w:vAlign w:val="top"/>
          </w:tcPr>
          <w:p>
            <w:pPr>
              <w:tabs>
                <w:tab w:val="left" w:pos="1985"/>
              </w:tabs>
              <w:spacing w:line="480" w:lineRule="exact"/>
              <w:ind w:firstLine="1470" w:firstLineChars="700"/>
              <w:rPr>
                <w:rFonts w:hint="eastAsia" w:ascii="宋体" w:hAnsi="宋体" w:cs="宋体"/>
              </w:rPr>
            </w:pPr>
          </w:p>
        </w:tc>
        <w:tc>
          <w:tcPr>
            <w:tcW w:w="3863" w:type="dxa"/>
            <w:gridSpan w:val="4"/>
            <w:vMerge w:val="restart"/>
            <w:noWrap w:val="0"/>
            <w:vAlign w:val="top"/>
          </w:tcPr>
          <w:p>
            <w:pPr>
              <w:tabs>
                <w:tab w:val="left" w:pos="1985"/>
              </w:tabs>
              <w:spacing w:line="480" w:lineRule="exact"/>
              <w:rPr>
                <w:rFonts w:hint="eastAsia" w:ascii="宋体" w:hAnsi="宋体" w:cs="宋体"/>
              </w:rPr>
            </w:pPr>
            <w:r>
              <w:rPr>
                <w:rFonts w:hint="eastAsia" w:ascii="宋体" w:hAnsi="宋体" w:cs="宋体"/>
              </w:rPr>
              <w:t>各人员构成情况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480" w:hRule="atLeast"/>
        </w:trPr>
        <w:tc>
          <w:tcPr>
            <w:tcW w:w="1384" w:type="dxa"/>
            <w:vMerge w:val="continue"/>
            <w:noWrap w:val="0"/>
            <w:vAlign w:val="top"/>
          </w:tcPr>
          <w:p>
            <w:pPr>
              <w:tabs>
                <w:tab w:val="left" w:pos="1985"/>
              </w:tabs>
              <w:spacing w:line="480" w:lineRule="exact"/>
              <w:rPr>
                <w:rFonts w:hint="eastAsia" w:ascii="宋体" w:hAnsi="宋体" w:cs="宋体"/>
              </w:rPr>
            </w:pPr>
          </w:p>
        </w:tc>
        <w:tc>
          <w:tcPr>
            <w:tcW w:w="1134" w:type="dxa"/>
            <w:vMerge w:val="continue"/>
            <w:noWrap w:val="0"/>
            <w:vAlign w:val="top"/>
          </w:tcPr>
          <w:p>
            <w:pPr>
              <w:tabs>
                <w:tab w:val="left" w:pos="1985"/>
              </w:tabs>
              <w:spacing w:line="480" w:lineRule="exact"/>
              <w:rPr>
                <w:rFonts w:hint="eastAsia" w:ascii="宋体" w:hAnsi="宋体" w:cs="宋体"/>
              </w:rPr>
            </w:pPr>
          </w:p>
        </w:tc>
        <w:tc>
          <w:tcPr>
            <w:tcW w:w="2126" w:type="dxa"/>
            <w:vMerge w:val="continue"/>
            <w:noWrap w:val="0"/>
            <w:vAlign w:val="top"/>
          </w:tcPr>
          <w:p>
            <w:pPr>
              <w:tabs>
                <w:tab w:val="left" w:pos="1985"/>
              </w:tabs>
              <w:spacing w:line="480" w:lineRule="exact"/>
              <w:rPr>
                <w:rFonts w:hint="eastAsia" w:ascii="宋体" w:hAnsi="宋体" w:cs="宋体"/>
              </w:rPr>
            </w:pPr>
          </w:p>
        </w:tc>
        <w:tc>
          <w:tcPr>
            <w:tcW w:w="3863" w:type="dxa"/>
            <w:gridSpan w:val="4"/>
            <w:vMerge w:val="continue"/>
            <w:noWrap w:val="0"/>
            <w:vAlign w:val="top"/>
          </w:tcPr>
          <w:p>
            <w:pPr>
              <w:tabs>
                <w:tab w:val="left" w:pos="1985"/>
              </w:tabs>
              <w:spacing w:line="480" w:lineRule="exact"/>
              <w:rPr>
                <w:rFonts w:hint="eastAsia" w:ascii="宋体" w:hAnsi="宋体" w:cs="宋体"/>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47" w:hRule="atLeast"/>
        </w:trPr>
        <w:tc>
          <w:tcPr>
            <w:tcW w:w="1384" w:type="dxa"/>
            <w:vMerge w:val="continue"/>
            <w:noWrap w:val="0"/>
            <w:vAlign w:val="top"/>
          </w:tcPr>
          <w:p>
            <w:pPr>
              <w:tabs>
                <w:tab w:val="left" w:pos="1985"/>
              </w:tabs>
              <w:spacing w:line="480" w:lineRule="exact"/>
              <w:rPr>
                <w:rFonts w:hint="eastAsia" w:ascii="宋体" w:hAnsi="宋体" w:cs="宋体"/>
              </w:rPr>
            </w:pPr>
          </w:p>
        </w:tc>
        <w:tc>
          <w:tcPr>
            <w:tcW w:w="1134" w:type="dxa"/>
            <w:vMerge w:val="restart"/>
            <w:noWrap w:val="0"/>
            <w:vAlign w:val="top"/>
          </w:tcPr>
          <w:p>
            <w:pPr>
              <w:tabs>
                <w:tab w:val="left" w:pos="1985"/>
              </w:tabs>
              <w:spacing w:line="480" w:lineRule="exact"/>
              <w:rPr>
                <w:rFonts w:hint="eastAsia" w:ascii="宋体" w:hAnsi="宋体" w:cs="宋体"/>
              </w:rPr>
            </w:pPr>
            <w:r>
              <w:rPr>
                <w:rFonts w:hint="eastAsia" w:ascii="宋体" w:hAnsi="宋体" w:cs="宋体"/>
              </w:rPr>
              <w:t>流动资金</w:t>
            </w:r>
          </w:p>
        </w:tc>
        <w:tc>
          <w:tcPr>
            <w:tcW w:w="2126" w:type="dxa"/>
            <w:vMerge w:val="restart"/>
            <w:noWrap w:val="0"/>
            <w:vAlign w:val="top"/>
          </w:tcPr>
          <w:p>
            <w:pPr>
              <w:tabs>
                <w:tab w:val="left" w:pos="1985"/>
              </w:tabs>
              <w:spacing w:line="480" w:lineRule="exact"/>
              <w:jc w:val="right"/>
              <w:rPr>
                <w:rFonts w:hint="eastAsia" w:ascii="宋体" w:hAnsi="宋体" w:cs="宋体"/>
              </w:rPr>
            </w:pPr>
          </w:p>
          <w:p>
            <w:pPr>
              <w:tabs>
                <w:tab w:val="left" w:pos="1985"/>
              </w:tabs>
              <w:spacing w:line="480" w:lineRule="exact"/>
              <w:ind w:firstLine="630" w:firstLineChars="300"/>
              <w:jc w:val="right"/>
              <w:rPr>
                <w:rFonts w:hint="eastAsia" w:ascii="宋体" w:hAnsi="宋体" w:cs="宋体"/>
              </w:rPr>
            </w:pPr>
            <w:r>
              <w:rPr>
                <w:rFonts w:hint="eastAsia" w:ascii="宋体" w:hAnsi="宋体" w:cs="宋体"/>
              </w:rPr>
              <w:t xml:space="preserve">万元 </w:t>
            </w:r>
          </w:p>
        </w:tc>
        <w:tc>
          <w:tcPr>
            <w:tcW w:w="992" w:type="dxa"/>
            <w:vMerge w:val="restart"/>
            <w:noWrap w:val="0"/>
            <w:vAlign w:val="top"/>
          </w:tcPr>
          <w:p>
            <w:pPr>
              <w:tabs>
                <w:tab w:val="left" w:pos="1985"/>
              </w:tabs>
              <w:spacing w:line="480" w:lineRule="exact"/>
              <w:rPr>
                <w:rFonts w:hint="eastAsia" w:ascii="宋体" w:hAnsi="宋体" w:cs="宋体"/>
              </w:rPr>
            </w:pPr>
            <w:r>
              <w:rPr>
                <w:rFonts w:hint="eastAsia" w:ascii="宋体" w:hAnsi="宋体" w:cs="宋体"/>
              </w:rPr>
              <w:t>资金来源</w:t>
            </w:r>
          </w:p>
        </w:tc>
        <w:tc>
          <w:tcPr>
            <w:tcW w:w="1384" w:type="dxa"/>
            <w:gridSpan w:val="2"/>
            <w:noWrap w:val="0"/>
            <w:vAlign w:val="center"/>
          </w:tcPr>
          <w:p>
            <w:pPr>
              <w:tabs>
                <w:tab w:val="left" w:pos="1985"/>
              </w:tabs>
              <w:spacing w:line="480" w:lineRule="exact"/>
              <w:rPr>
                <w:rFonts w:hint="eastAsia" w:ascii="宋体" w:hAnsi="宋体" w:cs="宋体"/>
              </w:rPr>
            </w:pPr>
            <w:r>
              <w:rPr>
                <w:rFonts w:hint="eastAsia" w:ascii="宋体" w:hAnsi="宋体" w:cs="宋体"/>
              </w:rPr>
              <w:t>自有资金</w:t>
            </w:r>
          </w:p>
        </w:tc>
        <w:tc>
          <w:tcPr>
            <w:tcW w:w="1487" w:type="dxa"/>
            <w:noWrap w:val="0"/>
            <w:vAlign w:val="center"/>
          </w:tcPr>
          <w:p>
            <w:pPr>
              <w:tabs>
                <w:tab w:val="left" w:pos="1985"/>
              </w:tabs>
              <w:spacing w:line="480" w:lineRule="exact"/>
              <w:rPr>
                <w:rFonts w:hint="eastAsia" w:ascii="宋体" w:hAnsi="宋体" w:cs="宋体"/>
              </w:rPr>
            </w:pPr>
            <w:r>
              <w:rPr>
                <w:rFonts w:hint="eastAsia" w:ascii="宋体" w:hAnsi="宋体" w:cs="宋体"/>
              </w:rPr>
              <w:t>　  万元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611" w:hRule="atLeast"/>
        </w:trPr>
        <w:tc>
          <w:tcPr>
            <w:tcW w:w="1384" w:type="dxa"/>
            <w:vMerge w:val="continue"/>
            <w:tcBorders>
              <w:bottom w:val="single" w:color="auto" w:sz="0" w:space="0"/>
            </w:tcBorders>
            <w:noWrap w:val="0"/>
            <w:vAlign w:val="top"/>
          </w:tcPr>
          <w:p>
            <w:pPr>
              <w:tabs>
                <w:tab w:val="left" w:pos="1985"/>
              </w:tabs>
              <w:spacing w:line="480" w:lineRule="exact"/>
              <w:rPr>
                <w:rFonts w:hint="eastAsia" w:ascii="宋体" w:hAnsi="宋体" w:cs="宋体"/>
              </w:rPr>
            </w:pPr>
          </w:p>
        </w:tc>
        <w:tc>
          <w:tcPr>
            <w:tcW w:w="1134" w:type="dxa"/>
            <w:vMerge w:val="continue"/>
            <w:tcBorders>
              <w:bottom w:val="single" w:color="auto" w:sz="0" w:space="0"/>
            </w:tcBorders>
            <w:noWrap w:val="0"/>
            <w:vAlign w:val="top"/>
          </w:tcPr>
          <w:p>
            <w:pPr>
              <w:tabs>
                <w:tab w:val="left" w:pos="1985"/>
              </w:tabs>
              <w:spacing w:line="480" w:lineRule="exact"/>
              <w:rPr>
                <w:rFonts w:hint="eastAsia" w:ascii="宋体" w:hAnsi="宋体" w:cs="宋体"/>
              </w:rPr>
            </w:pPr>
          </w:p>
        </w:tc>
        <w:tc>
          <w:tcPr>
            <w:tcW w:w="2126" w:type="dxa"/>
            <w:vMerge w:val="continue"/>
            <w:tcBorders>
              <w:bottom w:val="single" w:color="auto" w:sz="0" w:space="0"/>
            </w:tcBorders>
            <w:noWrap w:val="0"/>
            <w:vAlign w:val="top"/>
          </w:tcPr>
          <w:p>
            <w:pPr>
              <w:tabs>
                <w:tab w:val="left" w:pos="1985"/>
              </w:tabs>
              <w:spacing w:line="480" w:lineRule="exact"/>
              <w:rPr>
                <w:rFonts w:hint="eastAsia" w:ascii="宋体" w:hAnsi="宋体" w:cs="宋体"/>
              </w:rPr>
            </w:pPr>
          </w:p>
        </w:tc>
        <w:tc>
          <w:tcPr>
            <w:tcW w:w="992" w:type="dxa"/>
            <w:vMerge w:val="continue"/>
            <w:tcBorders>
              <w:bottom w:val="single" w:color="auto" w:sz="0" w:space="0"/>
            </w:tcBorders>
            <w:noWrap w:val="0"/>
            <w:vAlign w:val="top"/>
          </w:tcPr>
          <w:p>
            <w:pPr>
              <w:tabs>
                <w:tab w:val="left" w:pos="1985"/>
              </w:tabs>
              <w:spacing w:line="480" w:lineRule="exact"/>
              <w:rPr>
                <w:rFonts w:hint="eastAsia" w:ascii="宋体" w:hAnsi="宋体" w:cs="宋体"/>
              </w:rPr>
            </w:pPr>
          </w:p>
        </w:tc>
        <w:tc>
          <w:tcPr>
            <w:tcW w:w="1384" w:type="dxa"/>
            <w:gridSpan w:val="2"/>
            <w:tcBorders>
              <w:bottom w:val="single" w:color="auto" w:sz="0" w:space="0"/>
            </w:tcBorders>
            <w:noWrap w:val="0"/>
            <w:vAlign w:val="top"/>
          </w:tcPr>
          <w:p>
            <w:pPr>
              <w:tabs>
                <w:tab w:val="left" w:pos="1985"/>
              </w:tabs>
              <w:spacing w:line="480" w:lineRule="exact"/>
              <w:rPr>
                <w:rFonts w:hint="eastAsia" w:ascii="宋体" w:hAnsi="宋体" w:cs="宋体"/>
              </w:rPr>
            </w:pPr>
            <w:r>
              <w:rPr>
                <w:rFonts w:hint="eastAsia" w:ascii="宋体" w:hAnsi="宋体" w:cs="宋体"/>
              </w:rPr>
              <w:t>银行贷款</w:t>
            </w:r>
          </w:p>
        </w:tc>
        <w:tc>
          <w:tcPr>
            <w:tcW w:w="1487" w:type="dxa"/>
            <w:tcBorders>
              <w:bottom w:val="single" w:color="auto" w:sz="0" w:space="0"/>
            </w:tcBorders>
            <w:noWrap w:val="0"/>
            <w:vAlign w:val="top"/>
          </w:tcPr>
          <w:p>
            <w:pPr>
              <w:tabs>
                <w:tab w:val="left" w:pos="1985"/>
              </w:tabs>
              <w:spacing w:line="480" w:lineRule="exact"/>
              <w:ind w:firstLine="210" w:firstLineChars="100"/>
              <w:rPr>
                <w:rFonts w:hint="eastAsia" w:ascii="宋体" w:hAnsi="宋体" w:cs="宋体"/>
              </w:rPr>
            </w:pPr>
            <w:r>
              <w:rPr>
                <w:rFonts w:hint="eastAsia" w:ascii="宋体" w:hAnsi="宋体" w:cs="宋体"/>
              </w:rPr>
              <w:t>　　万元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390" w:hRule="atLeast"/>
        </w:trPr>
        <w:tc>
          <w:tcPr>
            <w:tcW w:w="1384" w:type="dxa"/>
            <w:vMerge w:val="continue"/>
            <w:noWrap w:val="0"/>
            <w:vAlign w:val="top"/>
          </w:tcPr>
          <w:p>
            <w:pPr>
              <w:tabs>
                <w:tab w:val="left" w:pos="1985"/>
              </w:tabs>
              <w:spacing w:line="480" w:lineRule="exact"/>
              <w:rPr>
                <w:rFonts w:hint="eastAsia" w:ascii="宋体" w:hAnsi="宋体" w:cs="宋体"/>
              </w:rPr>
            </w:pPr>
          </w:p>
        </w:tc>
        <w:tc>
          <w:tcPr>
            <w:tcW w:w="1134" w:type="dxa"/>
            <w:vMerge w:val="restart"/>
            <w:noWrap w:val="0"/>
            <w:vAlign w:val="top"/>
          </w:tcPr>
          <w:p>
            <w:pPr>
              <w:tabs>
                <w:tab w:val="left" w:pos="1985"/>
              </w:tabs>
              <w:spacing w:line="480" w:lineRule="exact"/>
              <w:rPr>
                <w:rFonts w:hint="eastAsia" w:ascii="宋体" w:hAnsi="宋体" w:cs="宋体"/>
              </w:rPr>
            </w:pPr>
            <w:r>
              <w:rPr>
                <w:rFonts w:hint="eastAsia" w:ascii="宋体" w:hAnsi="宋体" w:cs="宋体"/>
              </w:rPr>
              <w:t>固定资产</w:t>
            </w:r>
          </w:p>
        </w:tc>
        <w:tc>
          <w:tcPr>
            <w:tcW w:w="2126" w:type="dxa"/>
            <w:vMerge w:val="restart"/>
            <w:noWrap w:val="0"/>
            <w:vAlign w:val="top"/>
          </w:tcPr>
          <w:p>
            <w:pPr>
              <w:tabs>
                <w:tab w:val="left" w:pos="1985"/>
              </w:tabs>
              <w:spacing w:line="480" w:lineRule="exact"/>
              <w:jc w:val="right"/>
              <w:rPr>
                <w:rFonts w:hint="eastAsia" w:ascii="宋体" w:hAnsi="宋体" w:cs="宋体"/>
              </w:rPr>
            </w:pPr>
            <w:r>
              <w:rPr>
                <w:rFonts w:hint="eastAsia" w:ascii="宋体" w:hAnsi="宋体" w:cs="宋体"/>
              </w:rPr>
              <w:t>原值   万元</w:t>
            </w:r>
          </w:p>
          <w:p>
            <w:pPr>
              <w:tabs>
                <w:tab w:val="left" w:pos="1985"/>
              </w:tabs>
              <w:spacing w:line="480" w:lineRule="exact"/>
              <w:jc w:val="right"/>
              <w:rPr>
                <w:rFonts w:hint="eastAsia" w:ascii="宋体" w:hAnsi="宋体" w:cs="宋体"/>
              </w:rPr>
            </w:pPr>
            <w:r>
              <w:rPr>
                <w:rFonts w:hint="eastAsia" w:ascii="宋体" w:hAnsi="宋体" w:cs="宋体"/>
              </w:rPr>
              <w:t>净值   万元</w:t>
            </w:r>
          </w:p>
        </w:tc>
        <w:tc>
          <w:tcPr>
            <w:tcW w:w="992" w:type="dxa"/>
            <w:vMerge w:val="restart"/>
            <w:noWrap w:val="0"/>
            <w:vAlign w:val="top"/>
          </w:tcPr>
          <w:p>
            <w:pPr>
              <w:tabs>
                <w:tab w:val="left" w:pos="1985"/>
              </w:tabs>
              <w:spacing w:line="480" w:lineRule="exact"/>
              <w:rPr>
                <w:rFonts w:hint="eastAsia" w:ascii="宋体" w:hAnsi="宋体" w:cs="宋体"/>
              </w:rPr>
            </w:pPr>
            <w:r>
              <w:rPr>
                <w:rFonts w:hint="eastAsia" w:ascii="宋体" w:hAnsi="宋体" w:cs="宋体"/>
              </w:rPr>
              <w:t>资金性质</w:t>
            </w:r>
          </w:p>
        </w:tc>
        <w:tc>
          <w:tcPr>
            <w:tcW w:w="1384" w:type="dxa"/>
            <w:gridSpan w:val="2"/>
            <w:noWrap w:val="0"/>
            <w:vAlign w:val="top"/>
          </w:tcPr>
          <w:p>
            <w:pPr>
              <w:tabs>
                <w:tab w:val="left" w:pos="1985"/>
              </w:tabs>
              <w:spacing w:line="480" w:lineRule="exact"/>
              <w:rPr>
                <w:rFonts w:hint="eastAsia" w:ascii="宋体" w:hAnsi="宋体" w:cs="宋体"/>
              </w:rPr>
            </w:pPr>
            <w:r>
              <w:rPr>
                <w:rFonts w:hint="eastAsia" w:ascii="宋体" w:hAnsi="宋体" w:cs="宋体"/>
              </w:rPr>
              <w:t>生产性</w:t>
            </w:r>
          </w:p>
        </w:tc>
        <w:tc>
          <w:tcPr>
            <w:tcW w:w="1487" w:type="dxa"/>
            <w:noWrap w:val="0"/>
            <w:vAlign w:val="top"/>
          </w:tcPr>
          <w:p>
            <w:pPr>
              <w:tabs>
                <w:tab w:val="left" w:pos="1985"/>
              </w:tabs>
              <w:spacing w:line="480" w:lineRule="exact"/>
              <w:ind w:left="210" w:hanging="210" w:hangingChars="100"/>
              <w:rPr>
                <w:rFonts w:hint="eastAsia" w:ascii="宋体" w:hAnsi="宋体" w:cs="宋体"/>
              </w:rPr>
            </w:pPr>
            <w:r>
              <w:rPr>
                <w:rFonts w:hint="eastAsia" w:ascii="宋体" w:hAnsi="宋体" w:cs="宋体"/>
              </w:rPr>
              <w:t xml:space="preserve">      万元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317" w:hRule="atLeast"/>
        </w:trPr>
        <w:tc>
          <w:tcPr>
            <w:tcW w:w="1384" w:type="dxa"/>
            <w:vMerge w:val="continue"/>
            <w:noWrap w:val="0"/>
            <w:vAlign w:val="top"/>
          </w:tcPr>
          <w:p>
            <w:pPr>
              <w:tabs>
                <w:tab w:val="left" w:pos="1985"/>
              </w:tabs>
              <w:spacing w:line="480" w:lineRule="exact"/>
              <w:rPr>
                <w:rFonts w:hint="eastAsia" w:ascii="宋体" w:hAnsi="宋体" w:cs="宋体"/>
              </w:rPr>
            </w:pPr>
          </w:p>
        </w:tc>
        <w:tc>
          <w:tcPr>
            <w:tcW w:w="1134" w:type="dxa"/>
            <w:vMerge w:val="continue"/>
            <w:noWrap w:val="0"/>
            <w:vAlign w:val="top"/>
          </w:tcPr>
          <w:p>
            <w:pPr>
              <w:tabs>
                <w:tab w:val="left" w:pos="1985"/>
              </w:tabs>
              <w:spacing w:line="480" w:lineRule="exact"/>
              <w:rPr>
                <w:rFonts w:hint="eastAsia" w:ascii="宋体" w:hAnsi="宋体" w:cs="宋体"/>
              </w:rPr>
            </w:pPr>
          </w:p>
        </w:tc>
        <w:tc>
          <w:tcPr>
            <w:tcW w:w="2126" w:type="dxa"/>
            <w:vMerge w:val="continue"/>
            <w:tcBorders>
              <w:bottom w:val="single" w:color="auto" w:sz="2" w:space="0"/>
            </w:tcBorders>
            <w:noWrap w:val="0"/>
            <w:vAlign w:val="top"/>
          </w:tcPr>
          <w:p>
            <w:pPr>
              <w:tabs>
                <w:tab w:val="left" w:pos="1985"/>
              </w:tabs>
              <w:spacing w:line="480" w:lineRule="exact"/>
              <w:rPr>
                <w:rFonts w:hint="eastAsia" w:ascii="宋体" w:hAnsi="宋体" w:cs="宋体"/>
              </w:rPr>
            </w:pPr>
          </w:p>
        </w:tc>
        <w:tc>
          <w:tcPr>
            <w:tcW w:w="992" w:type="dxa"/>
            <w:vMerge w:val="continue"/>
            <w:noWrap w:val="0"/>
            <w:vAlign w:val="top"/>
          </w:tcPr>
          <w:p>
            <w:pPr>
              <w:tabs>
                <w:tab w:val="left" w:pos="1985"/>
              </w:tabs>
              <w:spacing w:line="480" w:lineRule="exact"/>
              <w:rPr>
                <w:rFonts w:hint="eastAsia" w:ascii="宋体" w:hAnsi="宋体" w:cs="宋体"/>
              </w:rPr>
            </w:pPr>
          </w:p>
        </w:tc>
        <w:tc>
          <w:tcPr>
            <w:tcW w:w="1384" w:type="dxa"/>
            <w:gridSpan w:val="2"/>
            <w:tcBorders>
              <w:bottom w:val="single" w:color="auto" w:sz="2" w:space="0"/>
            </w:tcBorders>
            <w:noWrap w:val="0"/>
            <w:vAlign w:val="top"/>
          </w:tcPr>
          <w:p>
            <w:pPr>
              <w:tabs>
                <w:tab w:val="left" w:pos="1985"/>
              </w:tabs>
              <w:spacing w:line="480" w:lineRule="exact"/>
              <w:rPr>
                <w:rFonts w:hint="eastAsia" w:ascii="宋体" w:hAnsi="宋体" w:cs="宋体"/>
              </w:rPr>
            </w:pPr>
            <w:r>
              <w:rPr>
                <w:rFonts w:hint="eastAsia" w:ascii="宋体" w:hAnsi="宋体" w:cs="宋体"/>
              </w:rPr>
              <w:t>非生产性</w:t>
            </w:r>
          </w:p>
        </w:tc>
        <w:tc>
          <w:tcPr>
            <w:tcW w:w="1487" w:type="dxa"/>
            <w:tcBorders>
              <w:bottom w:val="single" w:color="auto" w:sz="2" w:space="0"/>
            </w:tcBorders>
            <w:noWrap w:val="0"/>
            <w:vAlign w:val="top"/>
          </w:tcPr>
          <w:p>
            <w:pPr>
              <w:tabs>
                <w:tab w:val="left" w:pos="1985"/>
              </w:tabs>
              <w:spacing w:line="480" w:lineRule="exact"/>
              <w:ind w:left="210" w:hanging="210" w:hangingChars="100"/>
              <w:rPr>
                <w:rFonts w:hint="eastAsia" w:ascii="宋体" w:hAnsi="宋体" w:cs="宋体"/>
              </w:rPr>
            </w:pPr>
            <w:r>
              <w:rPr>
                <w:rFonts w:hint="eastAsia" w:ascii="宋体" w:hAnsi="宋体" w:cs="宋体"/>
              </w:rPr>
              <w:t xml:space="preserve">      万元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317" w:hRule="atLeast"/>
        </w:trPr>
        <w:tc>
          <w:tcPr>
            <w:tcW w:w="1384" w:type="dxa"/>
            <w:vMerge w:val="restart"/>
            <w:noWrap w:val="0"/>
            <w:vAlign w:val="top"/>
          </w:tcPr>
          <w:p>
            <w:pPr>
              <w:tabs>
                <w:tab w:val="left" w:pos="1985"/>
              </w:tabs>
              <w:spacing w:line="480" w:lineRule="exact"/>
              <w:rPr>
                <w:rFonts w:hint="eastAsia" w:ascii="宋体" w:hAnsi="宋体" w:cs="宋体"/>
              </w:rPr>
            </w:pPr>
            <w:r>
              <w:rPr>
                <w:rFonts w:hint="eastAsia" w:ascii="宋体" w:hAnsi="宋体" w:cs="宋体"/>
              </w:rPr>
              <w:t>上一年主要  经济指标</w:t>
            </w:r>
          </w:p>
        </w:tc>
        <w:tc>
          <w:tcPr>
            <w:tcW w:w="1134" w:type="dxa"/>
            <w:tcBorders>
              <w:right w:val="single" w:color="auto" w:sz="2" w:space="0"/>
            </w:tcBorders>
            <w:noWrap w:val="0"/>
            <w:vAlign w:val="center"/>
          </w:tcPr>
          <w:p>
            <w:pPr>
              <w:tabs>
                <w:tab w:val="left" w:pos="1985"/>
              </w:tabs>
              <w:spacing w:line="480" w:lineRule="exact"/>
              <w:rPr>
                <w:rFonts w:hint="eastAsia" w:ascii="宋体" w:hAnsi="宋体" w:cs="宋体"/>
              </w:rPr>
            </w:pPr>
            <w:r>
              <w:rPr>
                <w:rFonts w:hint="eastAsia" w:ascii="宋体" w:hAnsi="宋体" w:cs="宋体"/>
              </w:rPr>
              <w:t>指标名称</w:t>
            </w:r>
          </w:p>
        </w:tc>
        <w:tc>
          <w:tcPr>
            <w:tcW w:w="2126" w:type="dxa"/>
            <w:tcBorders>
              <w:top w:val="single" w:color="auto" w:sz="2" w:space="0"/>
              <w:left w:val="single" w:color="auto" w:sz="2" w:space="0"/>
              <w:bottom w:val="single" w:color="auto" w:sz="2" w:space="0"/>
              <w:right w:val="single" w:color="auto" w:sz="2" w:space="0"/>
              <w:tr2bl w:val="single" w:color="auto" w:sz="2" w:space="0"/>
            </w:tcBorders>
            <w:noWrap w:val="0"/>
            <w:vAlign w:val="center"/>
          </w:tcPr>
          <w:p>
            <w:pPr>
              <w:tabs>
                <w:tab w:val="left" w:pos="1985"/>
              </w:tabs>
              <w:spacing w:line="480" w:lineRule="exact"/>
              <w:rPr>
                <w:rFonts w:hint="eastAsia" w:ascii="宋体" w:hAnsi="宋体" w:cs="宋体"/>
              </w:rPr>
            </w:pPr>
          </w:p>
        </w:tc>
        <w:tc>
          <w:tcPr>
            <w:tcW w:w="992" w:type="dxa"/>
            <w:tcBorders>
              <w:left w:val="single" w:color="auto" w:sz="2" w:space="0"/>
              <w:right w:val="single" w:color="auto" w:sz="2" w:space="0"/>
            </w:tcBorders>
            <w:noWrap w:val="0"/>
            <w:vAlign w:val="center"/>
          </w:tcPr>
          <w:p>
            <w:pPr>
              <w:tabs>
                <w:tab w:val="left" w:pos="1985"/>
              </w:tabs>
              <w:spacing w:line="480" w:lineRule="exact"/>
              <w:rPr>
                <w:rFonts w:hint="eastAsia" w:ascii="宋体" w:hAnsi="宋体" w:cs="宋体"/>
              </w:rPr>
            </w:pPr>
            <w:r>
              <w:rPr>
                <w:rFonts w:hint="eastAsia" w:ascii="宋体" w:hAnsi="宋体" w:cs="宋体"/>
              </w:rPr>
              <w:t>实际完成</w:t>
            </w:r>
          </w:p>
        </w:tc>
        <w:tc>
          <w:tcPr>
            <w:tcW w:w="2871" w:type="dxa"/>
            <w:gridSpan w:val="3"/>
            <w:tcBorders>
              <w:top w:val="single" w:color="auto" w:sz="2" w:space="0"/>
              <w:left w:val="single" w:color="auto" w:sz="2" w:space="0"/>
              <w:bottom w:val="single" w:color="auto" w:sz="2" w:space="0"/>
              <w:right w:val="single" w:color="auto" w:sz="2" w:space="0"/>
              <w:tr2bl w:val="single" w:color="auto" w:sz="2" w:space="0"/>
            </w:tcBorders>
            <w:noWrap w:val="0"/>
            <w:vAlign w:val="center"/>
          </w:tcPr>
          <w:p>
            <w:pPr>
              <w:tabs>
                <w:tab w:val="left" w:pos="1985"/>
              </w:tabs>
              <w:spacing w:line="480" w:lineRule="exact"/>
              <w:ind w:left="210" w:hanging="210" w:hangingChars="100"/>
              <w:rPr>
                <w:rFonts w:hint="eastAsia" w:ascii="宋体" w:hAnsi="宋体" w:cs="宋体"/>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317" w:hRule="atLeast"/>
        </w:trPr>
        <w:tc>
          <w:tcPr>
            <w:tcW w:w="1384" w:type="dxa"/>
            <w:vMerge w:val="continue"/>
            <w:noWrap w:val="0"/>
            <w:vAlign w:val="top"/>
          </w:tcPr>
          <w:p>
            <w:pPr>
              <w:tabs>
                <w:tab w:val="left" w:pos="1985"/>
              </w:tabs>
              <w:spacing w:line="480" w:lineRule="exact"/>
              <w:rPr>
                <w:rFonts w:hint="eastAsia" w:ascii="宋体" w:hAnsi="宋体" w:cs="宋体"/>
              </w:rPr>
            </w:pPr>
          </w:p>
        </w:tc>
        <w:tc>
          <w:tcPr>
            <w:tcW w:w="1134" w:type="dxa"/>
            <w:noWrap w:val="0"/>
            <w:vAlign w:val="center"/>
          </w:tcPr>
          <w:p>
            <w:pPr>
              <w:tabs>
                <w:tab w:val="left" w:pos="1985"/>
              </w:tabs>
              <w:spacing w:line="480" w:lineRule="exact"/>
              <w:rPr>
                <w:rFonts w:hint="eastAsia" w:ascii="宋体" w:hAnsi="宋体" w:cs="宋体"/>
              </w:rPr>
            </w:pPr>
            <w:r>
              <w:rPr>
                <w:rFonts w:hint="eastAsia" w:ascii="宋体" w:hAnsi="宋体" w:cs="宋体"/>
              </w:rPr>
              <w:t>总产值</w:t>
            </w:r>
          </w:p>
        </w:tc>
        <w:tc>
          <w:tcPr>
            <w:tcW w:w="2126" w:type="dxa"/>
            <w:tcBorders>
              <w:top w:val="single" w:color="auto" w:sz="2" w:space="0"/>
            </w:tcBorders>
            <w:noWrap w:val="0"/>
            <w:vAlign w:val="center"/>
          </w:tcPr>
          <w:p>
            <w:pPr>
              <w:tabs>
                <w:tab w:val="left" w:pos="1985"/>
              </w:tabs>
              <w:spacing w:line="480" w:lineRule="exact"/>
              <w:ind w:firstLine="630" w:firstLineChars="300"/>
              <w:jc w:val="right"/>
              <w:rPr>
                <w:rFonts w:hint="eastAsia" w:ascii="宋体" w:hAnsi="宋体" w:cs="宋体"/>
              </w:rPr>
            </w:pPr>
            <w:r>
              <w:rPr>
                <w:rFonts w:hint="eastAsia" w:ascii="宋体" w:hAnsi="宋体" w:cs="宋体"/>
              </w:rPr>
              <w:t>万元</w:t>
            </w:r>
          </w:p>
        </w:tc>
        <w:tc>
          <w:tcPr>
            <w:tcW w:w="992" w:type="dxa"/>
            <w:noWrap w:val="0"/>
            <w:vAlign w:val="center"/>
          </w:tcPr>
          <w:p>
            <w:pPr>
              <w:tabs>
                <w:tab w:val="left" w:pos="1985"/>
              </w:tabs>
              <w:spacing w:line="480" w:lineRule="exact"/>
              <w:rPr>
                <w:rFonts w:hint="eastAsia" w:ascii="宋体" w:hAnsi="宋体" w:cs="宋体"/>
              </w:rPr>
            </w:pPr>
            <w:r>
              <w:rPr>
                <w:rFonts w:hint="eastAsia" w:ascii="宋体" w:hAnsi="宋体" w:cs="宋体"/>
              </w:rPr>
              <w:t>总产值</w:t>
            </w:r>
          </w:p>
        </w:tc>
        <w:tc>
          <w:tcPr>
            <w:tcW w:w="2871" w:type="dxa"/>
            <w:gridSpan w:val="3"/>
            <w:tcBorders>
              <w:top w:val="single" w:color="auto" w:sz="2" w:space="0"/>
            </w:tcBorders>
            <w:noWrap w:val="0"/>
            <w:vAlign w:val="center"/>
          </w:tcPr>
          <w:p>
            <w:pPr>
              <w:tabs>
                <w:tab w:val="left" w:pos="1985"/>
              </w:tabs>
              <w:spacing w:line="480" w:lineRule="exact"/>
              <w:ind w:left="210" w:hanging="210" w:hangingChars="100"/>
              <w:rPr>
                <w:rFonts w:hint="eastAsia" w:ascii="宋体" w:hAnsi="宋体" w:cs="宋体"/>
              </w:rPr>
            </w:pPr>
            <w:r>
              <w:rPr>
                <w:rFonts w:hint="eastAsia" w:ascii="宋体" w:hAnsi="宋体" w:cs="宋体"/>
              </w:rPr>
              <w:t xml:space="preserve">   万元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317" w:hRule="atLeast"/>
        </w:trPr>
        <w:tc>
          <w:tcPr>
            <w:tcW w:w="1384" w:type="dxa"/>
            <w:vMerge w:val="continue"/>
            <w:noWrap w:val="0"/>
            <w:vAlign w:val="top"/>
          </w:tcPr>
          <w:p>
            <w:pPr>
              <w:tabs>
                <w:tab w:val="left" w:pos="1985"/>
              </w:tabs>
              <w:spacing w:line="480" w:lineRule="exact"/>
              <w:rPr>
                <w:rFonts w:hint="eastAsia" w:ascii="宋体" w:hAnsi="宋体" w:cs="宋体"/>
              </w:rPr>
            </w:pPr>
          </w:p>
        </w:tc>
        <w:tc>
          <w:tcPr>
            <w:tcW w:w="1134" w:type="dxa"/>
            <w:noWrap w:val="0"/>
            <w:vAlign w:val="center"/>
          </w:tcPr>
          <w:p>
            <w:pPr>
              <w:tabs>
                <w:tab w:val="left" w:pos="1985"/>
              </w:tabs>
              <w:spacing w:line="480" w:lineRule="exact"/>
              <w:rPr>
                <w:rFonts w:hint="eastAsia" w:ascii="宋体" w:hAnsi="宋体" w:cs="宋体"/>
              </w:rPr>
            </w:pPr>
            <w:r>
              <w:rPr>
                <w:rFonts w:hint="eastAsia" w:ascii="宋体" w:hAnsi="宋体" w:cs="宋体"/>
              </w:rPr>
              <w:t>实现利润</w:t>
            </w:r>
          </w:p>
        </w:tc>
        <w:tc>
          <w:tcPr>
            <w:tcW w:w="2126" w:type="dxa"/>
            <w:noWrap w:val="0"/>
            <w:vAlign w:val="center"/>
          </w:tcPr>
          <w:p>
            <w:pPr>
              <w:tabs>
                <w:tab w:val="left" w:pos="1985"/>
              </w:tabs>
              <w:spacing w:line="480" w:lineRule="exact"/>
              <w:ind w:firstLine="630" w:firstLineChars="300"/>
              <w:jc w:val="right"/>
              <w:rPr>
                <w:rFonts w:hint="eastAsia" w:ascii="宋体" w:hAnsi="宋体" w:cs="宋体"/>
              </w:rPr>
            </w:pPr>
            <w:r>
              <w:rPr>
                <w:rFonts w:hint="eastAsia" w:ascii="宋体" w:hAnsi="宋体" w:cs="宋体"/>
              </w:rPr>
              <w:t>万元</w:t>
            </w:r>
          </w:p>
        </w:tc>
        <w:tc>
          <w:tcPr>
            <w:tcW w:w="992" w:type="dxa"/>
            <w:noWrap w:val="0"/>
            <w:vAlign w:val="center"/>
          </w:tcPr>
          <w:p>
            <w:pPr>
              <w:tabs>
                <w:tab w:val="left" w:pos="1985"/>
              </w:tabs>
              <w:spacing w:line="480" w:lineRule="exact"/>
              <w:rPr>
                <w:rFonts w:hint="eastAsia" w:ascii="宋体" w:hAnsi="宋体" w:cs="宋体"/>
              </w:rPr>
            </w:pPr>
            <w:r>
              <w:rPr>
                <w:rFonts w:hint="eastAsia" w:ascii="宋体" w:hAnsi="宋体" w:cs="宋体"/>
              </w:rPr>
              <w:t>实现利润</w:t>
            </w:r>
          </w:p>
        </w:tc>
        <w:tc>
          <w:tcPr>
            <w:tcW w:w="2871" w:type="dxa"/>
            <w:gridSpan w:val="3"/>
            <w:noWrap w:val="0"/>
            <w:vAlign w:val="center"/>
          </w:tcPr>
          <w:p>
            <w:pPr>
              <w:tabs>
                <w:tab w:val="left" w:pos="1985"/>
              </w:tabs>
              <w:spacing w:line="480" w:lineRule="exact"/>
              <w:ind w:left="210" w:hanging="210" w:hangingChars="100"/>
              <w:rPr>
                <w:rFonts w:hint="eastAsia" w:ascii="宋体" w:hAnsi="宋体" w:cs="宋体"/>
              </w:rPr>
            </w:pPr>
            <w:r>
              <w:rPr>
                <w:rFonts w:hint="eastAsia" w:ascii="宋体" w:hAnsi="宋体" w:cs="宋体"/>
              </w:rPr>
              <w:t xml:space="preserve">   万元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1345" w:hRule="atLeast"/>
        </w:trPr>
        <w:tc>
          <w:tcPr>
            <w:tcW w:w="1384" w:type="dxa"/>
            <w:vMerge w:val="continue"/>
            <w:noWrap w:val="0"/>
            <w:vAlign w:val="top"/>
          </w:tcPr>
          <w:p>
            <w:pPr>
              <w:tabs>
                <w:tab w:val="left" w:pos="1985"/>
              </w:tabs>
              <w:spacing w:line="480" w:lineRule="exact"/>
              <w:rPr>
                <w:rFonts w:hint="eastAsia" w:ascii="宋体" w:hAnsi="宋体" w:cs="宋体"/>
              </w:rPr>
            </w:pPr>
          </w:p>
        </w:tc>
        <w:tc>
          <w:tcPr>
            <w:tcW w:w="1134" w:type="dxa"/>
            <w:noWrap w:val="0"/>
            <w:vAlign w:val="center"/>
          </w:tcPr>
          <w:p>
            <w:pPr>
              <w:tabs>
                <w:tab w:val="left" w:pos="1985"/>
              </w:tabs>
              <w:spacing w:line="480" w:lineRule="exact"/>
              <w:rPr>
                <w:rFonts w:hint="eastAsia" w:ascii="宋体" w:hAnsi="宋体" w:cs="宋体"/>
              </w:rPr>
            </w:pPr>
            <w:r>
              <w:rPr>
                <w:rFonts w:hint="eastAsia" w:ascii="宋体" w:hAnsi="宋体" w:cs="宋体"/>
              </w:rPr>
              <w:t>主要业绩</w:t>
            </w:r>
          </w:p>
        </w:tc>
        <w:tc>
          <w:tcPr>
            <w:tcW w:w="5989" w:type="dxa"/>
            <w:gridSpan w:val="5"/>
            <w:noWrap w:val="0"/>
            <w:vAlign w:val="center"/>
          </w:tcPr>
          <w:p>
            <w:pPr>
              <w:tabs>
                <w:tab w:val="left" w:pos="1985"/>
              </w:tabs>
              <w:spacing w:line="480" w:lineRule="exact"/>
              <w:ind w:left="210" w:hanging="210" w:hangingChars="100"/>
              <w:rPr>
                <w:rFonts w:hint="eastAsia" w:ascii="宋体" w:hAnsi="宋体" w:cs="宋体"/>
              </w:rPr>
            </w:pPr>
          </w:p>
        </w:tc>
      </w:tr>
    </w:tbl>
    <w:p>
      <w:pPr>
        <w:tabs>
          <w:tab w:val="left" w:pos="1985"/>
        </w:tabs>
        <w:spacing w:line="380" w:lineRule="exact"/>
        <w:rPr>
          <w:rFonts w:hint="eastAsia" w:ascii="宋体" w:hAnsi="宋体" w:cs="宋体"/>
          <w:b/>
          <w:bCs/>
          <w:sz w:val="28"/>
        </w:rPr>
      </w:pPr>
    </w:p>
    <w:p>
      <w:pPr>
        <w:tabs>
          <w:tab w:val="left" w:pos="1985"/>
        </w:tabs>
        <w:rPr>
          <w:rFonts w:hint="eastAsia" w:ascii="宋体" w:hAnsi="宋体" w:cs="宋体"/>
        </w:rPr>
      </w:pPr>
    </w:p>
    <w:p>
      <w:pPr>
        <w:spacing w:line="460" w:lineRule="exact"/>
        <w:jc w:val="center"/>
        <w:rPr>
          <w:rFonts w:hint="eastAsia"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（4）无重大违法记录且具有良好商业信誉和健全的财务会计制度声明书</w:t>
      </w:r>
    </w:p>
    <w:p>
      <w:pPr>
        <w:spacing w:line="460" w:lineRule="exact"/>
        <w:jc w:val="center"/>
        <w:rPr>
          <w:rFonts w:hint="eastAsia" w:ascii="宋体" w:hAnsi="宋体" w:cs="宋体"/>
          <w:bCs/>
          <w:sz w:val="30"/>
          <w:szCs w:val="30"/>
        </w:rPr>
      </w:pPr>
    </w:p>
    <w:p>
      <w:pPr>
        <w:spacing w:line="360" w:lineRule="auto"/>
        <w:ind w:right="-153" w:rightChars="-73"/>
        <w:rPr>
          <w:rFonts w:hint="eastAsia" w:ascii="宋体" w:hAnsi="宋体" w:cs="宋体"/>
          <w:bCs/>
          <w:sz w:val="24"/>
        </w:rPr>
      </w:pPr>
      <w:r>
        <w:rPr>
          <w:rFonts w:hint="eastAsia" w:ascii="宋体" w:hAnsi="宋体" w:cs="宋体"/>
          <w:bCs/>
          <w:sz w:val="24"/>
        </w:rPr>
        <w:t>温州市公共资源交易中心鹿城分中心 ：</w:t>
      </w:r>
    </w:p>
    <w:p>
      <w:pPr>
        <w:spacing w:line="360" w:lineRule="auto"/>
        <w:ind w:firstLine="480" w:firstLineChars="200"/>
        <w:rPr>
          <w:rFonts w:hint="eastAsia" w:ascii="宋体" w:hAnsi="宋体" w:cs="宋体"/>
          <w:bCs/>
          <w:sz w:val="24"/>
        </w:rPr>
      </w:pPr>
      <w:r>
        <w:rPr>
          <w:rFonts w:hint="eastAsia" w:ascii="宋体" w:hAnsi="宋体" w:cs="宋体"/>
          <w:bCs/>
          <w:sz w:val="24"/>
        </w:rPr>
        <w:t>本公司参与</w:t>
      </w:r>
      <w:r>
        <w:rPr>
          <w:rFonts w:hint="eastAsia" w:ascii="宋体" w:hAnsi="宋体" w:cs="宋体"/>
          <w:bCs/>
          <w:sz w:val="24"/>
          <w:u w:val="single"/>
        </w:rPr>
        <w:t xml:space="preserve">                          </w:t>
      </w:r>
      <w:r>
        <w:rPr>
          <w:rFonts w:hint="eastAsia" w:ascii="宋体" w:hAnsi="宋体" w:cs="宋体"/>
          <w:bCs/>
          <w:sz w:val="24"/>
        </w:rPr>
        <w:t>（项目名称、编号）磋商，本公司郑重声明：</w:t>
      </w:r>
    </w:p>
    <w:p>
      <w:pPr>
        <w:spacing w:line="360" w:lineRule="auto"/>
        <w:rPr>
          <w:rFonts w:hint="eastAsia" w:ascii="宋体" w:hAnsi="宋体" w:cs="宋体"/>
          <w:bCs/>
          <w:sz w:val="24"/>
        </w:rPr>
      </w:pPr>
      <w:r>
        <w:rPr>
          <w:rFonts w:hint="eastAsia" w:ascii="宋体" w:hAnsi="宋体" w:cs="宋体"/>
          <w:bCs/>
          <w:sz w:val="24"/>
        </w:rPr>
        <w:t xml:space="preserve">    1、我方参加本项目政府采购活动前三年内无重大违法记录；</w:t>
      </w:r>
    </w:p>
    <w:p>
      <w:pPr>
        <w:snapToGrid w:val="0"/>
        <w:spacing w:line="360" w:lineRule="auto"/>
        <w:ind w:firstLine="480"/>
        <w:rPr>
          <w:rFonts w:hint="eastAsia" w:ascii="宋体" w:hAnsi="宋体" w:cs="宋体"/>
          <w:bCs/>
          <w:sz w:val="24"/>
        </w:rPr>
      </w:pPr>
      <w:r>
        <w:rPr>
          <w:rFonts w:hint="eastAsia" w:ascii="宋体" w:hAnsi="宋体" w:cs="宋体"/>
          <w:bCs/>
          <w:sz w:val="24"/>
        </w:rPr>
        <w:t>2、至磋商响应截止时间，</w:t>
      </w:r>
      <w:r>
        <w:rPr>
          <w:rFonts w:hint="eastAsia" w:ascii="宋体" w:hAnsi="宋体"/>
          <w:bCs/>
          <w:sz w:val="24"/>
        </w:rPr>
        <w:t>我方具有良好的商业信誉和健全的财务会计制度</w:t>
      </w:r>
      <w:r>
        <w:rPr>
          <w:rFonts w:hint="eastAsia" w:ascii="宋体" w:hAnsi="宋体" w:cs="宋体"/>
          <w:bCs/>
          <w:sz w:val="24"/>
        </w:rPr>
        <w:t>，不存在以下情形（包括但不限于）：根据竞争性磋商文件规定的信用信息查询渠道及截止时间，经查询列入失信被执行人名单、重大税收违法案件当事人名单、政府采购严重违法失信行为记录名单。否则，我方将承担在符合审查时不被通过的后果。</w:t>
      </w:r>
    </w:p>
    <w:p>
      <w:pPr>
        <w:spacing w:line="360" w:lineRule="auto"/>
        <w:ind w:firstLine="480" w:firstLineChars="200"/>
        <w:rPr>
          <w:rFonts w:hint="eastAsia" w:ascii="宋体" w:hAnsi="宋体" w:cs="宋体"/>
          <w:bCs/>
          <w:sz w:val="24"/>
        </w:rPr>
      </w:pPr>
      <w:r>
        <w:rPr>
          <w:rFonts w:hint="eastAsia" w:ascii="宋体" w:hAnsi="宋体" w:cs="宋体"/>
          <w:bCs/>
          <w:sz w:val="24"/>
        </w:rPr>
        <w:t>如有虚假我公司将无条件退出本项目的磋商，并承担因引起的一切后果。我方对此声明负全部法律责任</w:t>
      </w:r>
    </w:p>
    <w:p>
      <w:pPr>
        <w:spacing w:line="360" w:lineRule="auto"/>
        <w:ind w:firstLine="480" w:firstLineChars="200"/>
        <w:rPr>
          <w:rFonts w:hint="eastAsia" w:ascii="宋体" w:hAnsi="宋体" w:cs="宋体"/>
          <w:bCs/>
          <w:sz w:val="24"/>
        </w:rPr>
      </w:pPr>
      <w:r>
        <w:rPr>
          <w:rFonts w:hint="eastAsia" w:ascii="宋体" w:hAnsi="宋体" w:cs="宋体"/>
          <w:bCs/>
          <w:sz w:val="24"/>
        </w:rPr>
        <w:t>特此声明</w:t>
      </w:r>
    </w:p>
    <w:p>
      <w:pPr>
        <w:spacing w:line="360" w:lineRule="auto"/>
        <w:jc w:val="left"/>
        <w:rPr>
          <w:rFonts w:hint="eastAsia" w:ascii="宋体" w:hAnsi="宋体" w:cs="宋体"/>
          <w:bCs/>
          <w:sz w:val="24"/>
        </w:rPr>
      </w:pPr>
    </w:p>
    <w:p>
      <w:pPr>
        <w:spacing w:line="360" w:lineRule="auto"/>
        <w:jc w:val="left"/>
        <w:rPr>
          <w:rFonts w:hint="eastAsia" w:ascii="宋体" w:hAnsi="宋体" w:cs="宋体"/>
          <w:bCs/>
          <w:sz w:val="24"/>
        </w:rPr>
      </w:pPr>
      <w:r>
        <w:rPr>
          <w:rFonts w:hint="eastAsia" w:ascii="宋体" w:hAnsi="宋体" w:cs="宋体"/>
          <w:bCs/>
          <w:sz w:val="24"/>
        </w:rPr>
        <w:t>声明磋商供应商全称（公章或CA章）：</w:t>
      </w:r>
    </w:p>
    <w:p>
      <w:pPr>
        <w:spacing w:line="360" w:lineRule="auto"/>
        <w:jc w:val="left"/>
        <w:rPr>
          <w:rFonts w:hint="eastAsia" w:ascii="宋体" w:hAnsi="宋体" w:cs="宋体"/>
          <w:bCs/>
          <w:sz w:val="24"/>
        </w:rPr>
      </w:pPr>
      <w:r>
        <w:rPr>
          <w:rFonts w:hint="eastAsia" w:ascii="宋体" w:hAnsi="宋体" w:cs="宋体"/>
          <w:bCs/>
          <w:sz w:val="24"/>
        </w:rPr>
        <w:t xml:space="preserve">日期：  年   月  日  </w:t>
      </w:r>
    </w:p>
    <w:p>
      <w:pPr>
        <w:spacing w:line="360" w:lineRule="auto"/>
        <w:jc w:val="left"/>
        <w:rPr>
          <w:rFonts w:hint="eastAsia" w:ascii="宋体" w:hAnsi="宋体" w:cs="宋体"/>
          <w:b/>
          <w:szCs w:val="21"/>
        </w:rPr>
      </w:pPr>
    </w:p>
    <w:p>
      <w:pPr>
        <w:spacing w:line="360" w:lineRule="auto"/>
        <w:jc w:val="left"/>
        <w:rPr>
          <w:rFonts w:hint="eastAsia" w:ascii="宋体" w:hAnsi="宋体" w:cs="宋体"/>
          <w:b/>
          <w:bCs/>
          <w:szCs w:val="21"/>
        </w:rPr>
      </w:pPr>
      <w:r>
        <w:rPr>
          <w:rFonts w:hint="eastAsia" w:ascii="宋体" w:hAnsi="宋体" w:cs="宋体"/>
          <w:b/>
          <w:szCs w:val="21"/>
        </w:rPr>
        <w:t>附注：</w:t>
      </w:r>
    </w:p>
    <w:p>
      <w:pPr>
        <w:spacing w:line="360" w:lineRule="auto"/>
        <w:ind w:firstLine="420" w:firstLineChars="200"/>
        <w:rPr>
          <w:rFonts w:hint="eastAsia" w:ascii="宋体" w:hAnsi="宋体" w:cs="宋体"/>
          <w:szCs w:val="21"/>
        </w:rPr>
      </w:pPr>
      <w:r>
        <w:rPr>
          <w:rFonts w:hint="eastAsia" w:ascii="宋体" w:hAnsi="宋体" w:cs="宋体"/>
          <w:szCs w:val="21"/>
        </w:rPr>
        <w:t>1.信用信息查询渠道及截止时间：将通过“信用中国”网站(www.creditchina.gov.cn)、中国政府采购网(www.ccgp.gov.cn)渠道查询磋商供应商在磋商响应截止时间前的信用记录。</w:t>
      </w:r>
    </w:p>
    <w:p>
      <w:pPr>
        <w:pStyle w:val="140"/>
        <w:spacing w:before="0"/>
        <w:ind w:firstLine="495" w:firstLineChars="0"/>
        <w:rPr>
          <w:rFonts w:hint="eastAsia" w:ascii="宋体" w:hAnsi="宋体" w:cs="宋体"/>
          <w:sz w:val="21"/>
          <w:szCs w:val="21"/>
        </w:rPr>
      </w:pPr>
      <w:r>
        <w:rPr>
          <w:rFonts w:hint="eastAsia" w:ascii="宋体" w:hAnsi="宋体" w:cs="宋体"/>
          <w:sz w:val="21"/>
          <w:szCs w:val="21"/>
        </w:rPr>
        <w:t>2.信用信息查询记录和证据留存的具体方式：现场查询的磋商供应商的信用记录、查询结果经确认后将与采购文件一起存档。</w:t>
      </w:r>
    </w:p>
    <w:p>
      <w:pPr>
        <w:pStyle w:val="140"/>
        <w:spacing w:before="0"/>
        <w:ind w:firstLine="0" w:firstLineChars="0"/>
        <w:rPr>
          <w:rFonts w:hint="eastAsia" w:ascii="宋体" w:hAnsi="宋体" w:cs="宋体"/>
          <w:sz w:val="21"/>
          <w:szCs w:val="21"/>
        </w:rPr>
      </w:pPr>
      <w:r>
        <w:rPr>
          <w:rFonts w:hint="eastAsia" w:ascii="宋体" w:hAnsi="宋体" w:cs="宋体"/>
          <w:sz w:val="21"/>
          <w:szCs w:val="21"/>
        </w:rPr>
        <w:t xml:space="preserve">    3.信用信息的使用规则：经查询列入失信被执行人名单、重大税收违法案件当事人名单、政府采购严重违法失信行为记录名单的磋商供应商将被拒绝参与政府采购活动。</w:t>
      </w:r>
    </w:p>
    <w:p>
      <w:pPr>
        <w:pStyle w:val="140"/>
        <w:spacing w:before="0"/>
        <w:ind w:firstLine="420"/>
        <w:rPr>
          <w:rFonts w:hint="eastAsia" w:ascii="宋体" w:hAnsi="宋体" w:cs="宋体"/>
          <w:sz w:val="21"/>
          <w:szCs w:val="21"/>
          <w:u w:val="single"/>
          <w:lang w:eastAsia="zh-CN"/>
        </w:rPr>
      </w:pPr>
      <w:r>
        <w:rPr>
          <w:rFonts w:hint="eastAsia" w:ascii="宋体" w:hAnsi="宋体" w:cs="宋体"/>
          <w:sz w:val="21"/>
          <w:szCs w:val="21"/>
        </w:rPr>
        <w:t>4.</w:t>
      </w:r>
      <w:r>
        <w:rPr>
          <w:rFonts w:hint="eastAsia" w:ascii="宋体" w:hAnsi="宋体" w:cs="宋体"/>
          <w:sz w:val="21"/>
          <w:szCs w:val="21"/>
          <w:u w:val="single"/>
        </w:rPr>
        <w:t>▲本声明书格式不得修改，不提交本声明书按无效响应</w:t>
      </w:r>
      <w:r>
        <w:rPr>
          <w:rFonts w:hint="eastAsia" w:ascii="宋体" w:hAnsi="宋体" w:cs="宋体"/>
          <w:sz w:val="21"/>
          <w:szCs w:val="21"/>
          <w:u w:val="single"/>
          <w:lang w:eastAsia="zh-CN"/>
        </w:rPr>
        <w:t>响应</w:t>
      </w:r>
      <w:r>
        <w:rPr>
          <w:rFonts w:hint="eastAsia" w:ascii="宋体" w:hAnsi="宋体" w:cs="宋体"/>
          <w:sz w:val="21"/>
          <w:szCs w:val="21"/>
          <w:u w:val="single"/>
        </w:rPr>
        <w:t>处理。</w:t>
      </w:r>
    </w:p>
    <w:p>
      <w:pPr>
        <w:widowControl/>
        <w:jc w:val="left"/>
        <w:rPr>
          <w:rFonts w:hint="eastAsia" w:ascii="宋体" w:hAnsi="宋体" w:cs="宋体"/>
        </w:rPr>
      </w:pPr>
    </w:p>
    <w:p>
      <w:pPr>
        <w:jc w:val="center"/>
        <w:rPr>
          <w:rFonts w:hint="eastAsia" w:ascii="宋体" w:hAnsi="宋体" w:cs="宋体"/>
        </w:rPr>
      </w:pPr>
    </w:p>
    <w:p>
      <w:pPr>
        <w:adjustRightInd w:val="0"/>
        <w:snapToGrid w:val="0"/>
        <w:spacing w:line="360" w:lineRule="auto"/>
        <w:ind w:firstLine="712" w:firstLineChars="197"/>
        <w:rPr>
          <w:rFonts w:hint="eastAsia"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（5）具有履行合同所必需的场地、设备和专业技术能力的承诺函</w:t>
      </w:r>
    </w:p>
    <w:p>
      <w:pPr>
        <w:spacing w:line="360" w:lineRule="auto"/>
        <w:ind w:right="-153" w:rightChars="-73"/>
        <w:rPr>
          <w:rFonts w:hint="eastAsia" w:ascii="宋体" w:hAnsi="宋体" w:cs="宋体"/>
          <w:bCs/>
          <w:sz w:val="24"/>
        </w:rPr>
      </w:pPr>
      <w:r>
        <w:rPr>
          <w:rFonts w:hint="eastAsia" w:ascii="宋体" w:hAnsi="宋体" w:cs="宋体"/>
          <w:bCs/>
          <w:sz w:val="24"/>
        </w:rPr>
        <w:t>温州市公共资源交易中心鹿城分中心 ：</w:t>
      </w:r>
    </w:p>
    <w:p>
      <w:pPr>
        <w:spacing w:line="360" w:lineRule="auto"/>
        <w:ind w:right="-153" w:rightChars="-73"/>
        <w:rPr>
          <w:rFonts w:hint="eastAsia" w:ascii="宋体" w:hAnsi="宋体" w:cs="宋体"/>
          <w:bCs/>
          <w:sz w:val="24"/>
        </w:rPr>
      </w:pPr>
    </w:p>
    <w:p>
      <w:pPr>
        <w:widowControl/>
        <w:snapToGrid w:val="0"/>
        <w:spacing w:line="460" w:lineRule="exact"/>
        <w:ind w:firstLine="480" w:firstLineChars="200"/>
        <w:jc w:val="left"/>
        <w:rPr>
          <w:rFonts w:hint="eastAsia" w:ascii="宋体" w:hAnsi="宋体" w:cs="宋体"/>
          <w:bCs/>
          <w:sz w:val="24"/>
        </w:rPr>
      </w:pPr>
      <w:r>
        <w:rPr>
          <w:rFonts w:hint="eastAsia" w:ascii="宋体" w:hAnsi="宋体" w:cs="宋体"/>
          <w:bCs/>
          <w:sz w:val="24"/>
        </w:rPr>
        <w:t>我方</w:t>
      </w:r>
      <w:r>
        <w:rPr>
          <w:rFonts w:hint="eastAsia" w:ascii="宋体" w:hAnsi="宋体" w:cs="宋体"/>
          <w:bCs/>
          <w:sz w:val="24"/>
          <w:u w:val="single"/>
        </w:rPr>
        <w:t xml:space="preserve"> （供应商）</w:t>
      </w:r>
      <w:r>
        <w:rPr>
          <w:rFonts w:hint="eastAsia" w:ascii="宋体" w:hAnsi="宋体" w:cs="宋体"/>
          <w:bCs/>
          <w:sz w:val="24"/>
        </w:rPr>
        <w:t>参与</w:t>
      </w:r>
      <w:r>
        <w:rPr>
          <w:rFonts w:hint="eastAsia" w:ascii="宋体" w:hAnsi="宋体" w:cs="宋体"/>
          <w:bCs/>
          <w:sz w:val="24"/>
          <w:u w:val="single"/>
        </w:rPr>
        <w:t xml:space="preserve">                          （项目名称、编号）</w:t>
      </w:r>
      <w:r>
        <w:rPr>
          <w:rFonts w:hint="eastAsia" w:ascii="宋体" w:hAnsi="宋体" w:cs="宋体"/>
          <w:bCs/>
          <w:sz w:val="24"/>
        </w:rPr>
        <w:t>磋商，郑重承诺具有履行合同所必需的场地、设备和专业技术能力。如有虚假我公司将无条件退出本项目的磋商，并承担因引起的一切后果。我方对此承诺负全部法律责任。</w:t>
      </w:r>
    </w:p>
    <w:p>
      <w:pPr>
        <w:widowControl/>
        <w:snapToGrid w:val="0"/>
        <w:spacing w:line="460" w:lineRule="exact"/>
        <w:ind w:firstLine="480" w:firstLineChars="200"/>
        <w:jc w:val="left"/>
        <w:rPr>
          <w:rFonts w:hint="eastAsia" w:ascii="宋体" w:hAnsi="宋体" w:cs="宋体"/>
          <w:bCs/>
          <w:sz w:val="24"/>
        </w:rPr>
      </w:pPr>
    </w:p>
    <w:p>
      <w:pPr>
        <w:widowControl/>
        <w:snapToGrid w:val="0"/>
        <w:spacing w:line="460" w:lineRule="exact"/>
        <w:ind w:firstLine="480" w:firstLineChars="200"/>
        <w:jc w:val="left"/>
        <w:rPr>
          <w:rFonts w:hint="eastAsia" w:ascii="宋体" w:hAnsi="宋体" w:cs="宋体"/>
          <w:bCs/>
          <w:sz w:val="24"/>
        </w:rPr>
      </w:pPr>
      <w:r>
        <w:rPr>
          <w:rFonts w:hint="eastAsia" w:ascii="宋体" w:hAnsi="宋体" w:cs="宋体"/>
          <w:bCs/>
          <w:sz w:val="24"/>
        </w:rPr>
        <w:t>特此承诺！</w:t>
      </w:r>
    </w:p>
    <w:p>
      <w:pPr>
        <w:widowControl/>
        <w:snapToGrid w:val="0"/>
        <w:spacing w:line="460" w:lineRule="exact"/>
        <w:ind w:firstLine="480" w:firstLineChars="200"/>
        <w:jc w:val="left"/>
        <w:rPr>
          <w:rFonts w:hint="eastAsia" w:ascii="宋体" w:hAnsi="宋体" w:cs="宋体"/>
          <w:bCs/>
          <w:sz w:val="24"/>
        </w:rPr>
      </w:pPr>
    </w:p>
    <w:p>
      <w:pPr>
        <w:spacing w:line="360" w:lineRule="auto"/>
        <w:jc w:val="left"/>
        <w:rPr>
          <w:rFonts w:hint="eastAsia" w:ascii="宋体" w:hAnsi="宋体" w:cs="宋体"/>
          <w:bCs/>
          <w:sz w:val="24"/>
        </w:rPr>
      </w:pPr>
      <w:r>
        <w:rPr>
          <w:rFonts w:hint="eastAsia" w:ascii="宋体" w:hAnsi="宋体" w:cs="宋体"/>
          <w:bCs/>
          <w:color w:val="000000"/>
          <w:sz w:val="24"/>
        </w:rPr>
        <w:t>磋商供应商</w:t>
      </w:r>
      <w:r>
        <w:rPr>
          <w:rFonts w:hint="eastAsia" w:ascii="宋体" w:hAnsi="宋体" w:cs="宋体"/>
          <w:bCs/>
          <w:sz w:val="24"/>
        </w:rPr>
        <w:t>全称（公章或CA章）：</w:t>
      </w:r>
    </w:p>
    <w:p>
      <w:pPr>
        <w:pStyle w:val="15"/>
        <w:numPr>
          <w:ilvl w:val="0"/>
          <w:numId w:val="0"/>
        </w:numPr>
        <w:ind w:left="360"/>
        <w:rPr>
          <w:rFonts w:hint="eastAsia" w:ascii="宋体" w:hAnsi="宋体" w:cs="宋体"/>
          <w:bCs/>
          <w:sz w:val="24"/>
        </w:rPr>
      </w:pPr>
      <w:r>
        <w:rPr>
          <w:rFonts w:hint="eastAsia" w:ascii="宋体" w:hAnsi="宋体" w:cs="宋体"/>
          <w:bCs/>
          <w:sz w:val="24"/>
        </w:rPr>
        <w:t>日期：  年   月  日</w:t>
      </w:r>
    </w:p>
    <w:p>
      <w:pPr>
        <w:pStyle w:val="33"/>
        <w:rPr>
          <w:rFonts w:hint="eastAsia" w:ascii="宋体" w:hAnsi="宋体" w:cs="宋体"/>
        </w:rPr>
      </w:pPr>
    </w:p>
    <w:p>
      <w:pPr>
        <w:pStyle w:val="140"/>
        <w:spacing w:before="0"/>
        <w:ind w:firstLine="420"/>
        <w:rPr>
          <w:rFonts w:hint="eastAsia" w:ascii="宋体" w:hAnsi="宋体" w:cs="宋体"/>
          <w:sz w:val="21"/>
          <w:szCs w:val="21"/>
          <w:u w:val="single"/>
        </w:rPr>
      </w:pPr>
      <w:r>
        <w:rPr>
          <w:rFonts w:hint="eastAsia" w:ascii="宋体" w:hAnsi="宋体" w:cs="宋体"/>
          <w:sz w:val="21"/>
          <w:szCs w:val="21"/>
          <w:u w:val="single"/>
        </w:rPr>
        <w:t>附注：▲本承诺函格式不得修改，不提交本承诺函按无效响应处理。</w:t>
      </w:r>
    </w:p>
    <w:p>
      <w:pPr>
        <w:pStyle w:val="140"/>
        <w:spacing w:before="0"/>
        <w:ind w:firstLine="420"/>
        <w:rPr>
          <w:rFonts w:hint="eastAsia" w:ascii="宋体" w:hAnsi="宋体" w:cs="宋体"/>
          <w:sz w:val="21"/>
          <w:szCs w:val="21"/>
          <w:u w:val="single"/>
        </w:rPr>
      </w:pPr>
    </w:p>
    <w:p>
      <w:pPr>
        <w:pStyle w:val="140"/>
        <w:spacing w:before="0"/>
        <w:ind w:firstLine="723"/>
        <w:rPr>
          <w:rFonts w:hint="eastAsia" w:ascii="宋体" w:hAnsi="宋体" w:cs="宋体"/>
          <w:b/>
          <w:bCs/>
          <w:sz w:val="36"/>
          <w:szCs w:val="36"/>
        </w:rPr>
      </w:pPr>
      <w:r>
        <w:rPr>
          <w:rFonts w:hint="eastAsia" w:ascii="宋体" w:hAnsi="宋体" w:cs="宋体"/>
          <w:b/>
          <w:bCs/>
          <w:sz w:val="36"/>
          <w:szCs w:val="36"/>
        </w:rPr>
        <w:t>（</w:t>
      </w:r>
      <w:r>
        <w:rPr>
          <w:rFonts w:hint="eastAsia" w:ascii="宋体" w:hAnsi="宋体" w:cs="宋体"/>
          <w:b/>
          <w:bCs/>
          <w:sz w:val="36"/>
          <w:szCs w:val="36"/>
          <w:lang w:val="en-US" w:eastAsia="zh-CN"/>
        </w:rPr>
        <w:t>6</w:t>
      </w:r>
      <w:r>
        <w:rPr>
          <w:rFonts w:hint="eastAsia" w:ascii="宋体" w:hAnsi="宋体" w:cs="宋体"/>
          <w:b/>
          <w:bCs/>
          <w:sz w:val="36"/>
          <w:szCs w:val="36"/>
        </w:rPr>
        <w:t>）依法缴纳税收和社会保障资金的承诺函</w:t>
      </w:r>
    </w:p>
    <w:p>
      <w:pPr>
        <w:spacing w:line="360" w:lineRule="auto"/>
        <w:ind w:right="-153" w:rightChars="-73"/>
        <w:rPr>
          <w:rFonts w:hint="eastAsia" w:ascii="宋体" w:hAnsi="宋体" w:cs="宋体"/>
          <w:bCs/>
          <w:sz w:val="24"/>
        </w:rPr>
      </w:pPr>
      <w:r>
        <w:rPr>
          <w:rFonts w:hint="eastAsia" w:ascii="宋体" w:hAnsi="宋体" w:cs="宋体"/>
          <w:bCs/>
          <w:sz w:val="24"/>
        </w:rPr>
        <w:t>温州市公共资源交易中心鹿城分中心 ：</w:t>
      </w:r>
    </w:p>
    <w:p>
      <w:pPr>
        <w:spacing w:line="460" w:lineRule="exact"/>
        <w:ind w:firstLine="480" w:firstLineChars="200"/>
        <w:rPr>
          <w:rFonts w:hint="eastAsia" w:ascii="宋体" w:hAnsi="宋体" w:cs="宋体"/>
          <w:bCs/>
          <w:sz w:val="24"/>
        </w:rPr>
      </w:pPr>
      <w:r>
        <w:rPr>
          <w:rFonts w:hint="eastAsia" w:ascii="宋体" w:hAnsi="宋体" w:cs="宋体"/>
          <w:bCs/>
          <w:sz w:val="24"/>
        </w:rPr>
        <w:t>我公司郑重声明，我公司严格依法缴纳税收和社会保障资金，本文件中所提供的相关材料均真实有效，不存在虚假、造假行为。如有虚假我公司将无条件退出本项目的磋商，并承担因引起的一切后果。我方对此承诺负全部法律责任。</w:t>
      </w:r>
    </w:p>
    <w:p>
      <w:pPr>
        <w:spacing w:line="460" w:lineRule="exact"/>
        <w:ind w:firstLine="480" w:firstLineChars="200"/>
        <w:rPr>
          <w:rFonts w:hint="eastAsia" w:ascii="宋体" w:hAnsi="宋体" w:cs="宋体"/>
          <w:bCs/>
          <w:sz w:val="24"/>
        </w:rPr>
      </w:pPr>
    </w:p>
    <w:p>
      <w:pPr>
        <w:widowControl/>
        <w:snapToGrid w:val="0"/>
        <w:spacing w:line="460" w:lineRule="exact"/>
        <w:ind w:firstLine="480" w:firstLineChars="200"/>
        <w:jc w:val="left"/>
        <w:rPr>
          <w:rFonts w:hint="eastAsia" w:ascii="宋体" w:hAnsi="宋体" w:cs="宋体"/>
          <w:bCs/>
          <w:sz w:val="24"/>
        </w:rPr>
      </w:pPr>
      <w:r>
        <w:rPr>
          <w:rFonts w:hint="eastAsia" w:ascii="宋体" w:hAnsi="宋体" w:cs="宋体"/>
          <w:bCs/>
          <w:sz w:val="24"/>
        </w:rPr>
        <w:t>特此承诺！</w:t>
      </w:r>
    </w:p>
    <w:p>
      <w:pPr>
        <w:widowControl/>
        <w:snapToGrid w:val="0"/>
        <w:spacing w:line="460" w:lineRule="exact"/>
        <w:ind w:firstLine="480" w:firstLineChars="200"/>
        <w:jc w:val="left"/>
        <w:rPr>
          <w:rFonts w:hint="eastAsia" w:ascii="宋体" w:hAnsi="宋体" w:cs="宋体"/>
          <w:bCs/>
          <w:sz w:val="24"/>
        </w:rPr>
      </w:pPr>
    </w:p>
    <w:p>
      <w:pPr>
        <w:spacing w:line="360" w:lineRule="auto"/>
        <w:jc w:val="left"/>
        <w:rPr>
          <w:rFonts w:hint="eastAsia" w:ascii="宋体" w:hAnsi="宋体" w:cs="宋体"/>
          <w:bCs/>
          <w:sz w:val="24"/>
        </w:rPr>
      </w:pPr>
      <w:r>
        <w:rPr>
          <w:rFonts w:hint="eastAsia" w:ascii="宋体" w:hAnsi="宋体" w:cs="宋体"/>
          <w:bCs/>
          <w:color w:val="000000"/>
          <w:sz w:val="24"/>
        </w:rPr>
        <w:t>磋商供应商</w:t>
      </w:r>
      <w:r>
        <w:rPr>
          <w:rFonts w:hint="eastAsia" w:ascii="宋体" w:hAnsi="宋体" w:cs="宋体"/>
          <w:bCs/>
          <w:sz w:val="24"/>
        </w:rPr>
        <w:t>全称（公章或CA章）：</w:t>
      </w:r>
    </w:p>
    <w:p>
      <w:pPr>
        <w:pStyle w:val="15"/>
        <w:numPr>
          <w:ilvl w:val="0"/>
          <w:numId w:val="0"/>
        </w:numPr>
        <w:ind w:left="360"/>
        <w:rPr>
          <w:rFonts w:hint="eastAsia" w:ascii="宋体" w:hAnsi="宋体" w:cs="宋体"/>
          <w:bCs/>
          <w:sz w:val="24"/>
        </w:rPr>
      </w:pPr>
      <w:r>
        <w:rPr>
          <w:rFonts w:hint="eastAsia" w:ascii="宋体" w:hAnsi="宋体" w:cs="宋体"/>
          <w:bCs/>
          <w:sz w:val="24"/>
        </w:rPr>
        <w:t>日期：  年   月  日</w:t>
      </w:r>
    </w:p>
    <w:p>
      <w:pPr>
        <w:pStyle w:val="33"/>
        <w:rPr>
          <w:rFonts w:hint="eastAsia" w:ascii="宋体" w:hAnsi="宋体" w:cs="宋体"/>
        </w:rPr>
      </w:pPr>
    </w:p>
    <w:p>
      <w:pPr>
        <w:pStyle w:val="140"/>
        <w:spacing w:before="0"/>
        <w:ind w:firstLine="420"/>
        <w:rPr>
          <w:rFonts w:hint="eastAsia" w:ascii="宋体" w:hAnsi="宋体" w:cs="宋体"/>
          <w:sz w:val="21"/>
          <w:szCs w:val="21"/>
          <w:u w:val="single"/>
        </w:rPr>
      </w:pPr>
      <w:r>
        <w:rPr>
          <w:rFonts w:hint="eastAsia" w:ascii="宋体" w:hAnsi="宋体" w:cs="宋体"/>
          <w:sz w:val="21"/>
          <w:szCs w:val="21"/>
          <w:u w:val="single"/>
        </w:rPr>
        <w:t>附注：▲本承诺函格式不得修改，不提交本承诺函按无效响应处理。</w:t>
      </w:r>
    </w:p>
    <w:p>
      <w:pPr>
        <w:widowControl/>
        <w:snapToGrid w:val="0"/>
        <w:spacing w:line="460" w:lineRule="exact"/>
        <w:ind w:firstLine="420" w:firstLineChars="200"/>
        <w:jc w:val="left"/>
        <w:rPr>
          <w:rFonts w:hint="eastAsia" w:ascii="宋体" w:hAnsi="宋体" w:cs="宋体"/>
          <w:b/>
          <w:bCs/>
          <w:sz w:val="36"/>
          <w:szCs w:val="36"/>
        </w:rPr>
      </w:pPr>
      <w:r>
        <w:rPr>
          <w:rFonts w:hint="eastAsia" w:ascii="宋体" w:hAnsi="宋体" w:cs="宋体"/>
          <w:szCs w:val="21"/>
          <w:u w:val="single"/>
        </w:rPr>
        <w:br w:type="page"/>
      </w:r>
      <w:r>
        <w:rPr>
          <w:rFonts w:hint="eastAsia" w:ascii="宋体" w:hAnsi="宋体" w:cs="宋体"/>
          <w:b/>
          <w:bCs/>
          <w:sz w:val="36"/>
          <w:szCs w:val="36"/>
        </w:rPr>
        <w:t>（7）单位负责人为同一人或者存在直接控股、管理关系的不同供应商，不得参加同一合同项下的政府采购活动承诺函</w:t>
      </w:r>
    </w:p>
    <w:p>
      <w:pPr>
        <w:spacing w:line="360" w:lineRule="auto"/>
        <w:ind w:right="-153" w:rightChars="-73"/>
        <w:rPr>
          <w:rFonts w:hint="eastAsia" w:ascii="宋体" w:hAnsi="宋体" w:cs="宋体"/>
          <w:bCs/>
          <w:sz w:val="24"/>
        </w:rPr>
      </w:pPr>
      <w:r>
        <w:rPr>
          <w:rFonts w:hint="eastAsia" w:ascii="宋体" w:hAnsi="宋体" w:cs="宋体"/>
          <w:bCs/>
          <w:sz w:val="24"/>
        </w:rPr>
        <w:t>温州市公共资源交易中心鹿城分中心 ：</w:t>
      </w:r>
    </w:p>
    <w:p>
      <w:pPr>
        <w:spacing w:line="460" w:lineRule="exact"/>
        <w:ind w:firstLine="480" w:firstLineChars="200"/>
        <w:rPr>
          <w:rFonts w:hint="eastAsia" w:ascii="宋体" w:hAnsi="宋体" w:cs="宋体"/>
          <w:bCs/>
          <w:sz w:val="24"/>
        </w:rPr>
      </w:pPr>
      <w:r>
        <w:rPr>
          <w:rFonts w:hint="eastAsia" w:ascii="宋体" w:hAnsi="宋体" w:cs="宋体"/>
          <w:bCs/>
          <w:sz w:val="24"/>
        </w:rPr>
        <w:t>我方郑重承诺，我方此次参加                          （项目名称、编号）的磋商，与参加本次项目同一合同项下政府采购活动的其他供应商不存在单位负责人为同一人或者直接控股、管理关系。如有虚假我公司将无条件退出本项目的磋商，并承担因引起的一切后果。我方对此承诺负全部法律责任。</w:t>
      </w:r>
    </w:p>
    <w:p>
      <w:pPr>
        <w:spacing w:line="460" w:lineRule="exact"/>
        <w:ind w:firstLine="480" w:firstLineChars="200"/>
        <w:rPr>
          <w:rFonts w:hint="eastAsia" w:ascii="宋体" w:hAnsi="宋体" w:cs="宋体"/>
          <w:bCs/>
          <w:sz w:val="24"/>
        </w:rPr>
      </w:pPr>
    </w:p>
    <w:p>
      <w:pPr>
        <w:widowControl/>
        <w:snapToGrid w:val="0"/>
        <w:spacing w:line="460" w:lineRule="exact"/>
        <w:ind w:firstLine="480" w:firstLineChars="200"/>
        <w:jc w:val="left"/>
        <w:rPr>
          <w:rFonts w:hint="eastAsia" w:ascii="宋体" w:hAnsi="宋体" w:cs="宋体"/>
          <w:bCs/>
          <w:sz w:val="24"/>
        </w:rPr>
      </w:pPr>
      <w:r>
        <w:rPr>
          <w:rFonts w:hint="eastAsia" w:ascii="宋体" w:hAnsi="宋体" w:cs="宋体"/>
          <w:bCs/>
          <w:sz w:val="24"/>
        </w:rPr>
        <w:t>特此承诺！</w:t>
      </w:r>
    </w:p>
    <w:p>
      <w:pPr>
        <w:widowControl/>
        <w:snapToGrid w:val="0"/>
        <w:spacing w:line="460" w:lineRule="exact"/>
        <w:ind w:firstLine="480" w:firstLineChars="200"/>
        <w:jc w:val="left"/>
        <w:rPr>
          <w:rFonts w:hint="eastAsia" w:ascii="宋体" w:hAnsi="宋体" w:cs="宋体"/>
          <w:bCs/>
          <w:sz w:val="24"/>
        </w:rPr>
      </w:pPr>
    </w:p>
    <w:p>
      <w:pPr>
        <w:spacing w:line="360" w:lineRule="auto"/>
        <w:jc w:val="left"/>
        <w:rPr>
          <w:rFonts w:hint="eastAsia" w:ascii="宋体" w:hAnsi="宋体" w:cs="宋体"/>
          <w:bCs/>
          <w:sz w:val="24"/>
        </w:rPr>
      </w:pPr>
      <w:r>
        <w:rPr>
          <w:rFonts w:hint="eastAsia" w:ascii="宋体" w:hAnsi="宋体" w:cs="宋体"/>
          <w:bCs/>
          <w:sz w:val="24"/>
        </w:rPr>
        <w:t>磋商供应商全称（公章或CA章）：</w:t>
      </w:r>
    </w:p>
    <w:p>
      <w:pPr>
        <w:pStyle w:val="15"/>
        <w:numPr>
          <w:ilvl w:val="0"/>
          <w:numId w:val="0"/>
        </w:numPr>
        <w:ind w:left="360"/>
        <w:rPr>
          <w:rFonts w:hint="eastAsia" w:ascii="宋体" w:hAnsi="宋体" w:cs="宋体"/>
          <w:bCs/>
          <w:sz w:val="24"/>
        </w:rPr>
      </w:pPr>
      <w:r>
        <w:rPr>
          <w:rFonts w:hint="eastAsia" w:ascii="宋体" w:hAnsi="宋体" w:cs="宋体"/>
          <w:bCs/>
          <w:sz w:val="24"/>
        </w:rPr>
        <w:t>日期：  年   月  日</w:t>
      </w:r>
    </w:p>
    <w:p>
      <w:pPr>
        <w:pStyle w:val="33"/>
        <w:rPr>
          <w:rFonts w:hint="eastAsia" w:ascii="宋体" w:hAnsi="宋体" w:cs="宋体"/>
        </w:rPr>
      </w:pPr>
    </w:p>
    <w:p>
      <w:pPr>
        <w:pStyle w:val="140"/>
        <w:spacing w:before="0"/>
        <w:ind w:firstLine="420"/>
        <w:rPr>
          <w:rFonts w:hint="eastAsia" w:ascii="宋体" w:hAnsi="宋体" w:cs="宋体"/>
          <w:sz w:val="21"/>
          <w:szCs w:val="21"/>
          <w:u w:val="single"/>
        </w:rPr>
      </w:pPr>
      <w:r>
        <w:rPr>
          <w:rFonts w:hint="eastAsia" w:ascii="宋体" w:hAnsi="宋体" w:cs="宋体"/>
          <w:sz w:val="21"/>
          <w:szCs w:val="21"/>
          <w:u w:val="single"/>
        </w:rPr>
        <w:t>附注：▲本承诺函格式不得修改，不提交本承诺函按无效响应处理。</w:t>
      </w:r>
    </w:p>
    <w:p>
      <w:pPr>
        <w:pStyle w:val="140"/>
        <w:spacing w:before="0"/>
        <w:ind w:firstLine="723"/>
        <w:rPr>
          <w:rFonts w:hint="eastAsia" w:ascii="宋体" w:hAnsi="宋体" w:cs="宋体"/>
          <w:b/>
          <w:bCs/>
          <w:sz w:val="36"/>
          <w:szCs w:val="36"/>
        </w:rPr>
      </w:pPr>
    </w:p>
    <w:p>
      <w:pPr>
        <w:adjustRightInd w:val="0"/>
        <w:snapToGrid w:val="0"/>
        <w:spacing w:line="360" w:lineRule="auto"/>
        <w:ind w:firstLine="712" w:firstLineChars="197"/>
        <w:rPr>
          <w:rFonts w:hint="eastAsia" w:ascii="宋体" w:hAnsi="宋体" w:cs="宋体"/>
          <w:b/>
          <w:bCs/>
          <w:sz w:val="36"/>
          <w:szCs w:val="36"/>
        </w:rPr>
      </w:pPr>
      <w:r>
        <w:rPr>
          <w:rFonts w:hint="eastAsia" w:ascii="宋体" w:hAnsi="宋体" w:cs="宋体"/>
          <w:b/>
          <w:bCs/>
          <w:sz w:val="36"/>
          <w:szCs w:val="36"/>
        </w:rPr>
        <w:t>（8）磋商供应商不属于公益一类事业单位承诺函</w:t>
      </w:r>
    </w:p>
    <w:p>
      <w:pPr>
        <w:spacing w:line="360" w:lineRule="auto"/>
        <w:ind w:right="-153" w:rightChars="-73"/>
        <w:rPr>
          <w:rFonts w:hint="eastAsia" w:ascii="宋体" w:hAnsi="宋体" w:cs="宋体"/>
          <w:bCs/>
          <w:sz w:val="24"/>
        </w:rPr>
      </w:pPr>
      <w:r>
        <w:rPr>
          <w:rFonts w:hint="eastAsia" w:ascii="宋体" w:hAnsi="宋体" w:cs="宋体"/>
          <w:bCs/>
          <w:sz w:val="24"/>
        </w:rPr>
        <w:t>温州市公共资源交易中心鹿城分中心 ：</w:t>
      </w:r>
    </w:p>
    <w:p>
      <w:pPr>
        <w:spacing w:line="360" w:lineRule="auto"/>
        <w:ind w:right="-153" w:rightChars="-73" w:firstLine="480" w:firstLineChars="200"/>
        <w:rPr>
          <w:rFonts w:hint="eastAsia" w:ascii="宋体" w:hAnsi="宋体" w:cs="宋体"/>
          <w:bCs/>
          <w:sz w:val="24"/>
        </w:rPr>
      </w:pPr>
      <w:r>
        <w:rPr>
          <w:rFonts w:hint="eastAsia" w:ascii="宋体" w:hAnsi="宋体" w:cs="宋体"/>
          <w:bCs/>
          <w:sz w:val="24"/>
        </w:rPr>
        <w:t>我方郑重承诺，我单位不属于公益一类事业单位，可承接项目的相关服务内容。如有虚假我公司将无条件退出本项目的磋商，并承担因引起的一切后果。我方对此承诺负全部法律责任。</w:t>
      </w:r>
    </w:p>
    <w:p>
      <w:pPr>
        <w:widowControl/>
        <w:snapToGrid w:val="0"/>
        <w:spacing w:line="460" w:lineRule="exact"/>
        <w:ind w:firstLine="480" w:firstLineChars="200"/>
        <w:jc w:val="left"/>
        <w:rPr>
          <w:rFonts w:hint="eastAsia" w:ascii="宋体" w:hAnsi="宋体" w:cs="宋体"/>
          <w:bCs/>
          <w:sz w:val="24"/>
        </w:rPr>
      </w:pPr>
      <w:r>
        <w:rPr>
          <w:rFonts w:hint="eastAsia" w:ascii="宋体" w:hAnsi="宋体" w:cs="宋体"/>
          <w:bCs/>
          <w:sz w:val="24"/>
        </w:rPr>
        <w:t>特此承诺！</w:t>
      </w:r>
    </w:p>
    <w:p>
      <w:pPr>
        <w:widowControl/>
        <w:snapToGrid w:val="0"/>
        <w:spacing w:line="460" w:lineRule="exact"/>
        <w:ind w:firstLine="480" w:firstLineChars="200"/>
        <w:jc w:val="left"/>
        <w:rPr>
          <w:rFonts w:hint="eastAsia" w:ascii="宋体" w:hAnsi="宋体" w:cs="宋体"/>
          <w:bCs/>
          <w:sz w:val="24"/>
        </w:rPr>
      </w:pPr>
    </w:p>
    <w:p>
      <w:pPr>
        <w:spacing w:line="360" w:lineRule="auto"/>
        <w:jc w:val="left"/>
        <w:rPr>
          <w:rFonts w:hint="eastAsia" w:ascii="宋体" w:hAnsi="宋体" w:cs="宋体"/>
          <w:bCs/>
          <w:sz w:val="24"/>
        </w:rPr>
      </w:pPr>
      <w:r>
        <w:rPr>
          <w:rFonts w:hint="eastAsia" w:ascii="宋体" w:hAnsi="宋体" w:cs="宋体"/>
          <w:bCs/>
          <w:sz w:val="24"/>
        </w:rPr>
        <w:t>磋商供应商全称（公章或CA章）：</w:t>
      </w:r>
    </w:p>
    <w:p>
      <w:pPr>
        <w:pStyle w:val="15"/>
        <w:numPr>
          <w:ilvl w:val="0"/>
          <w:numId w:val="0"/>
        </w:numPr>
        <w:ind w:left="360"/>
        <w:rPr>
          <w:rFonts w:hint="eastAsia" w:ascii="宋体" w:hAnsi="宋体" w:cs="宋体"/>
          <w:bCs/>
          <w:sz w:val="24"/>
        </w:rPr>
      </w:pPr>
      <w:r>
        <w:rPr>
          <w:rFonts w:hint="eastAsia" w:ascii="宋体" w:hAnsi="宋体" w:cs="宋体"/>
          <w:bCs/>
          <w:sz w:val="24"/>
        </w:rPr>
        <w:t>日期：  年   月  日</w:t>
      </w:r>
    </w:p>
    <w:p>
      <w:pPr>
        <w:pStyle w:val="33"/>
        <w:rPr>
          <w:rFonts w:hint="eastAsia" w:ascii="宋体" w:hAnsi="宋体" w:cs="宋体"/>
        </w:rPr>
      </w:pPr>
    </w:p>
    <w:p>
      <w:pPr>
        <w:pStyle w:val="140"/>
        <w:spacing w:before="0"/>
        <w:ind w:firstLine="420"/>
        <w:rPr>
          <w:rFonts w:hint="eastAsia" w:ascii="宋体" w:hAnsi="宋体" w:cs="宋体"/>
          <w:b/>
          <w:bCs/>
          <w:sz w:val="36"/>
          <w:szCs w:val="36"/>
        </w:rPr>
      </w:pPr>
      <w:r>
        <w:rPr>
          <w:rFonts w:hint="eastAsia" w:ascii="宋体" w:hAnsi="宋体" w:cs="宋体"/>
          <w:sz w:val="21"/>
          <w:szCs w:val="21"/>
          <w:u w:val="single"/>
        </w:rPr>
        <w:t>附注：▲本承诺函格式不得修改，不提交本承诺函按无效响应处理。</w:t>
      </w:r>
    </w:p>
    <w:p>
      <w:pPr>
        <w:adjustRightInd w:val="0"/>
        <w:snapToGrid w:val="0"/>
        <w:spacing w:line="360" w:lineRule="auto"/>
        <w:ind w:firstLine="712" w:firstLineChars="197"/>
        <w:rPr>
          <w:rFonts w:hint="eastAsia" w:ascii="宋体" w:hAnsi="宋体" w:cs="宋体"/>
          <w:b/>
          <w:bCs/>
          <w:sz w:val="36"/>
          <w:szCs w:val="36"/>
        </w:rPr>
      </w:pPr>
    </w:p>
    <w:p>
      <w:pPr>
        <w:adjustRightInd w:val="0"/>
        <w:snapToGrid w:val="0"/>
        <w:spacing w:line="360" w:lineRule="auto"/>
        <w:ind w:firstLine="712" w:firstLineChars="197"/>
        <w:rPr>
          <w:rFonts w:hint="eastAsia" w:ascii="宋体" w:hAnsi="宋体" w:cs="宋体"/>
          <w:b/>
          <w:bCs/>
          <w:sz w:val="36"/>
          <w:szCs w:val="36"/>
        </w:rPr>
      </w:pPr>
    </w:p>
    <w:p>
      <w:pPr>
        <w:adjustRightInd w:val="0"/>
        <w:snapToGrid w:val="0"/>
        <w:spacing w:line="360" w:lineRule="auto"/>
        <w:ind w:firstLine="712" w:firstLineChars="197"/>
        <w:jc w:val="center"/>
        <w:rPr>
          <w:rFonts w:hint="eastAsia"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（9）政府采购活动现场确认声明书</w:t>
      </w:r>
    </w:p>
    <w:p>
      <w:pPr>
        <w:adjustRightInd w:val="0"/>
        <w:snapToGrid w:val="0"/>
        <w:spacing w:line="360" w:lineRule="auto"/>
        <w:rPr>
          <w:rFonts w:hint="eastAsia" w:ascii="宋体" w:hAnsi="宋体" w:cs="宋体"/>
          <w:b/>
          <w:bCs/>
          <w:sz w:val="36"/>
          <w:szCs w:val="36"/>
        </w:rPr>
      </w:pPr>
      <w:r>
        <w:rPr>
          <w:rFonts w:hint="eastAsia" w:ascii="宋体" w:hAnsi="宋体" w:cs="宋体"/>
          <w:kern w:val="0"/>
          <w:sz w:val="22"/>
          <w:szCs w:val="22"/>
        </w:rPr>
        <w:t>温州市公共资源交易中心鹿城分中心 ：</w:t>
      </w:r>
    </w:p>
    <w:p>
      <w:pPr>
        <w:spacing w:line="460" w:lineRule="exact"/>
        <w:ind w:firstLine="440" w:firstLineChars="200"/>
        <w:rPr>
          <w:rFonts w:hint="eastAsia" w:ascii="宋体" w:hAnsi="宋体" w:cs="宋体"/>
        </w:rPr>
      </w:pPr>
      <w:r>
        <w:rPr>
          <w:rFonts w:hint="eastAsia" w:ascii="宋体" w:hAnsi="宋体" w:cs="宋体"/>
          <w:kern w:val="0"/>
          <w:sz w:val="22"/>
          <w:szCs w:val="22"/>
        </w:rPr>
        <w:t>本人经由________</w:t>
      </w:r>
      <w:r>
        <w:rPr>
          <w:rFonts w:hint="eastAsia" w:ascii="宋体" w:hAnsi="宋体" w:cs="宋体"/>
          <w:kern w:val="0"/>
          <w:sz w:val="22"/>
          <w:szCs w:val="22"/>
          <w:u w:val="single"/>
        </w:rPr>
        <w:t>（供应商名称）</w:t>
      </w:r>
      <w:r>
        <w:rPr>
          <w:rFonts w:hint="eastAsia" w:ascii="宋体" w:hAnsi="宋体" w:cs="宋体"/>
          <w:kern w:val="0"/>
          <w:sz w:val="22"/>
          <w:szCs w:val="22"/>
        </w:rPr>
        <w:t>法人代表（负责人）________</w:t>
      </w:r>
      <w:r>
        <w:rPr>
          <w:rFonts w:hint="eastAsia" w:ascii="宋体" w:hAnsi="宋体" w:cs="宋体"/>
          <w:kern w:val="0"/>
          <w:sz w:val="22"/>
          <w:szCs w:val="22"/>
          <w:u w:val="single"/>
        </w:rPr>
        <w:t>（姓名）</w:t>
      </w:r>
      <w:r>
        <w:rPr>
          <w:rFonts w:hint="eastAsia" w:ascii="宋体" w:hAnsi="宋体" w:cs="宋体"/>
          <w:kern w:val="0"/>
          <w:sz w:val="22"/>
          <w:szCs w:val="22"/>
        </w:rPr>
        <w:t>合法授权参加____________项目（编号：________）政府采购活动，经与本单位法人代表（负责人）联系确认，现就有关公平竞争事项郑重声明如下：</w:t>
      </w:r>
    </w:p>
    <w:p>
      <w:pPr>
        <w:numPr>
          <w:ilvl w:val="0"/>
          <w:numId w:val="16"/>
        </w:numPr>
        <w:spacing w:line="460" w:lineRule="exact"/>
        <w:rPr>
          <w:rFonts w:hint="eastAsia" w:ascii="宋体" w:hAnsi="宋体" w:cs="宋体"/>
          <w:kern w:val="0"/>
          <w:sz w:val="22"/>
          <w:szCs w:val="22"/>
        </w:rPr>
      </w:pPr>
      <w:r>
        <w:rPr>
          <w:rFonts w:hint="eastAsia" w:ascii="宋体" w:hAnsi="宋体" w:cs="宋体"/>
          <w:kern w:val="0"/>
          <w:sz w:val="22"/>
          <w:szCs w:val="22"/>
        </w:rPr>
        <w:t>本单位与采购人之间 □不存在利害关系 □存在下列利害关系：</w:t>
      </w:r>
      <w:r>
        <w:rPr>
          <w:rFonts w:hint="eastAsia" w:ascii="宋体" w:hAnsi="宋体" w:cs="宋体"/>
          <w:kern w:val="0"/>
          <w:sz w:val="22"/>
          <w:szCs w:val="22"/>
        </w:rPr>
        <w:br w:type="textWrapping"/>
      </w:r>
      <w:r>
        <w:rPr>
          <w:rFonts w:hint="eastAsia" w:ascii="宋体" w:hAnsi="宋体" w:cs="宋体"/>
          <w:kern w:val="0"/>
          <w:sz w:val="22"/>
          <w:szCs w:val="22"/>
        </w:rPr>
        <w:t xml:space="preserve">      A.投资关系    </w:t>
      </w:r>
    </w:p>
    <w:p>
      <w:pPr>
        <w:spacing w:line="460" w:lineRule="exact"/>
        <w:ind w:firstLine="660" w:firstLineChars="300"/>
        <w:rPr>
          <w:rFonts w:hint="eastAsia" w:ascii="宋体" w:hAnsi="宋体" w:cs="宋体"/>
          <w:kern w:val="0"/>
          <w:sz w:val="22"/>
          <w:szCs w:val="22"/>
        </w:rPr>
      </w:pPr>
      <w:r>
        <w:rPr>
          <w:rFonts w:hint="eastAsia" w:ascii="宋体" w:hAnsi="宋体" w:cs="宋体"/>
          <w:kern w:val="0"/>
          <w:sz w:val="22"/>
          <w:szCs w:val="22"/>
        </w:rPr>
        <w:t xml:space="preserve">B.行政隶属关系    </w:t>
      </w:r>
    </w:p>
    <w:p>
      <w:pPr>
        <w:spacing w:line="460" w:lineRule="exact"/>
        <w:ind w:firstLine="660" w:firstLineChars="300"/>
        <w:rPr>
          <w:rFonts w:hint="eastAsia" w:ascii="宋体" w:hAnsi="宋体" w:cs="宋体"/>
          <w:kern w:val="0"/>
          <w:sz w:val="22"/>
          <w:szCs w:val="22"/>
        </w:rPr>
      </w:pPr>
      <w:r>
        <w:rPr>
          <w:rFonts w:hint="eastAsia" w:ascii="宋体" w:hAnsi="宋体" w:cs="宋体"/>
          <w:kern w:val="0"/>
          <w:sz w:val="22"/>
          <w:szCs w:val="22"/>
        </w:rPr>
        <w:t xml:space="preserve">C.业务指导关系  </w:t>
      </w:r>
    </w:p>
    <w:p>
      <w:pPr>
        <w:spacing w:line="460" w:lineRule="exact"/>
        <w:ind w:firstLine="660" w:firstLineChars="300"/>
        <w:rPr>
          <w:rFonts w:hint="eastAsia" w:ascii="宋体" w:hAnsi="宋体" w:cs="宋体"/>
          <w:sz w:val="22"/>
          <w:szCs w:val="22"/>
        </w:rPr>
      </w:pPr>
      <w:r>
        <w:rPr>
          <w:rFonts w:hint="eastAsia" w:ascii="宋体" w:hAnsi="宋体" w:cs="宋体"/>
          <w:kern w:val="0"/>
          <w:sz w:val="22"/>
          <w:szCs w:val="22"/>
        </w:rPr>
        <w:t>D.其他可能影响采购公正的利害关系</w:t>
      </w:r>
      <w:r>
        <w:rPr>
          <w:rStyle w:val="161"/>
          <w:rFonts w:hint="default"/>
          <w:sz w:val="22"/>
          <w:szCs w:val="22"/>
        </w:rPr>
        <w:t xml:space="preserve">（如有，请如实说明）                 </w:t>
      </w:r>
      <w:r>
        <w:rPr>
          <w:rFonts w:hint="eastAsia" w:ascii="宋体" w:hAnsi="宋体" w:cs="宋体"/>
          <w:kern w:val="0"/>
          <w:sz w:val="22"/>
          <w:szCs w:val="22"/>
        </w:rPr>
        <w:t>。</w:t>
      </w:r>
    </w:p>
    <w:p>
      <w:pPr>
        <w:numPr>
          <w:ilvl w:val="0"/>
          <w:numId w:val="16"/>
        </w:numPr>
        <w:spacing w:line="460" w:lineRule="exact"/>
        <w:rPr>
          <w:rFonts w:hint="eastAsia" w:ascii="宋体" w:hAnsi="宋体" w:cs="宋体"/>
          <w:kern w:val="0"/>
          <w:sz w:val="22"/>
          <w:szCs w:val="22"/>
        </w:rPr>
      </w:pPr>
      <w:r>
        <w:rPr>
          <w:rFonts w:hint="eastAsia" w:ascii="宋体" w:hAnsi="宋体" w:cs="宋体"/>
          <w:kern w:val="0"/>
          <w:sz w:val="22"/>
          <w:szCs w:val="22"/>
        </w:rPr>
        <w:t xml:space="preserve">现已清楚知道参加本项目采购活动的其他所有供应商名称，本单位 </w:t>
      </w:r>
      <w:r>
        <w:rPr>
          <w:rFonts w:hint="eastAsia" w:ascii="宋体" w:hAnsi="宋体" w:cs="宋体"/>
          <w:kern w:val="0"/>
          <w:sz w:val="22"/>
          <w:szCs w:val="22"/>
        </w:rPr>
        <w:br w:type="textWrapping"/>
      </w:r>
      <w:r>
        <w:rPr>
          <w:rFonts w:hint="eastAsia" w:ascii="宋体" w:hAnsi="宋体" w:cs="宋体"/>
          <w:kern w:val="0"/>
          <w:sz w:val="22"/>
          <w:szCs w:val="22"/>
        </w:rPr>
        <w:t xml:space="preserve">      □与其他所有供应商之间均不存在利害关系 </w:t>
      </w:r>
      <w:r>
        <w:rPr>
          <w:rFonts w:hint="eastAsia" w:ascii="宋体" w:hAnsi="宋体" w:cs="宋体"/>
          <w:kern w:val="0"/>
          <w:sz w:val="22"/>
          <w:szCs w:val="22"/>
        </w:rPr>
        <w:br w:type="textWrapping"/>
      </w:r>
      <w:r>
        <w:rPr>
          <w:rFonts w:hint="eastAsia" w:ascii="宋体" w:hAnsi="宋体" w:cs="宋体"/>
          <w:kern w:val="0"/>
          <w:sz w:val="22"/>
          <w:szCs w:val="22"/>
        </w:rPr>
        <w:t xml:space="preserve">      □与</w:t>
      </w:r>
      <w:r>
        <w:rPr>
          <w:rFonts w:hint="eastAsia" w:ascii="宋体" w:hAnsi="宋体" w:cs="宋体"/>
          <w:kern w:val="0"/>
          <w:sz w:val="22"/>
          <w:szCs w:val="22"/>
          <w:u w:val="single"/>
        </w:rPr>
        <w:t xml:space="preserve">           （</w:t>
      </w:r>
      <w:r>
        <w:rPr>
          <w:rFonts w:hint="eastAsia" w:ascii="宋体" w:hAnsi="宋体" w:cs="宋体"/>
          <w:kern w:val="0"/>
          <w:sz w:val="22"/>
          <w:szCs w:val="22"/>
        </w:rPr>
        <w:t>供应商名称）之间存在下列利害关系：</w:t>
      </w:r>
      <w:r>
        <w:rPr>
          <w:rFonts w:hint="eastAsia" w:ascii="宋体" w:hAnsi="宋体" w:cs="宋体"/>
          <w:kern w:val="0"/>
          <w:sz w:val="22"/>
          <w:szCs w:val="22"/>
        </w:rPr>
        <w:br w:type="textWrapping"/>
      </w:r>
      <w:r>
        <w:rPr>
          <w:rFonts w:hint="eastAsia" w:ascii="宋体" w:hAnsi="宋体" w:cs="宋体"/>
          <w:kern w:val="0"/>
          <w:sz w:val="22"/>
          <w:szCs w:val="22"/>
        </w:rPr>
        <w:t xml:space="preserve">      A.法定代表人或负责人或实际控制人是同一人</w:t>
      </w:r>
      <w:r>
        <w:rPr>
          <w:rFonts w:hint="eastAsia" w:ascii="宋体" w:hAnsi="宋体" w:cs="宋体"/>
          <w:kern w:val="0"/>
          <w:sz w:val="22"/>
          <w:szCs w:val="22"/>
        </w:rPr>
        <w:br w:type="textWrapping"/>
      </w:r>
      <w:r>
        <w:rPr>
          <w:rFonts w:hint="eastAsia" w:ascii="宋体" w:hAnsi="宋体" w:cs="宋体"/>
          <w:kern w:val="0"/>
          <w:sz w:val="22"/>
          <w:szCs w:val="22"/>
        </w:rPr>
        <w:t xml:space="preserve">      B.法定代表人或负责人或实际控制人是夫妻关系</w:t>
      </w:r>
      <w:r>
        <w:rPr>
          <w:rFonts w:hint="eastAsia" w:ascii="宋体" w:hAnsi="宋体" w:cs="宋体"/>
          <w:kern w:val="0"/>
          <w:sz w:val="22"/>
          <w:szCs w:val="22"/>
        </w:rPr>
        <w:br w:type="textWrapping"/>
      </w:r>
      <w:r>
        <w:rPr>
          <w:rFonts w:hint="eastAsia" w:ascii="宋体" w:hAnsi="宋体" w:cs="宋体"/>
          <w:kern w:val="0"/>
          <w:sz w:val="22"/>
          <w:szCs w:val="22"/>
        </w:rPr>
        <w:t xml:space="preserve">      C.法定代表人或负责人或实际控制人是直系血亲关系</w:t>
      </w:r>
      <w:r>
        <w:rPr>
          <w:rFonts w:hint="eastAsia" w:ascii="宋体" w:hAnsi="宋体" w:cs="宋体"/>
          <w:kern w:val="0"/>
          <w:sz w:val="22"/>
          <w:szCs w:val="22"/>
        </w:rPr>
        <w:br w:type="textWrapping"/>
      </w:r>
      <w:r>
        <w:rPr>
          <w:rFonts w:hint="eastAsia" w:ascii="宋体" w:hAnsi="宋体" w:cs="宋体"/>
          <w:kern w:val="0"/>
          <w:sz w:val="22"/>
          <w:szCs w:val="22"/>
        </w:rPr>
        <w:t xml:space="preserve">      D.法定代表人或负责人或实际控制人存在三代以内旁系血亲关系</w:t>
      </w:r>
      <w:r>
        <w:rPr>
          <w:rFonts w:hint="eastAsia" w:ascii="宋体" w:hAnsi="宋体" w:cs="宋体"/>
          <w:kern w:val="0"/>
          <w:sz w:val="22"/>
          <w:szCs w:val="22"/>
        </w:rPr>
        <w:br w:type="textWrapping"/>
      </w:r>
      <w:r>
        <w:rPr>
          <w:rFonts w:hint="eastAsia" w:ascii="宋体" w:hAnsi="宋体" w:cs="宋体"/>
          <w:kern w:val="0"/>
          <w:sz w:val="22"/>
          <w:szCs w:val="22"/>
        </w:rPr>
        <w:t xml:space="preserve">      E.法定代表人或负责人或实际控制人存在近姻亲关系</w:t>
      </w:r>
      <w:r>
        <w:rPr>
          <w:rFonts w:hint="eastAsia" w:ascii="宋体" w:hAnsi="宋体" w:cs="宋体"/>
          <w:kern w:val="0"/>
          <w:sz w:val="22"/>
          <w:szCs w:val="22"/>
        </w:rPr>
        <w:br w:type="textWrapping"/>
      </w:r>
      <w:r>
        <w:rPr>
          <w:rFonts w:hint="eastAsia" w:ascii="宋体" w:hAnsi="宋体" w:cs="宋体"/>
          <w:kern w:val="0"/>
          <w:sz w:val="22"/>
          <w:szCs w:val="22"/>
        </w:rPr>
        <w:t xml:space="preserve">      F.法定代表人或负责人或实际控制人存在股份控制或实际控制关系</w:t>
      </w:r>
      <w:r>
        <w:rPr>
          <w:rFonts w:hint="eastAsia" w:ascii="宋体" w:hAnsi="宋体" w:cs="宋体"/>
          <w:kern w:val="0"/>
          <w:sz w:val="22"/>
          <w:szCs w:val="22"/>
        </w:rPr>
        <w:br w:type="textWrapping"/>
      </w:r>
      <w:r>
        <w:rPr>
          <w:rFonts w:hint="eastAsia" w:ascii="宋体" w:hAnsi="宋体" w:cs="宋体"/>
          <w:kern w:val="0"/>
          <w:sz w:val="22"/>
          <w:szCs w:val="22"/>
        </w:rPr>
        <w:t xml:space="preserve">      G.存在共同直接或间接投资设立子公司、联营企业和合营企业情况</w:t>
      </w:r>
      <w:r>
        <w:rPr>
          <w:rFonts w:hint="eastAsia" w:ascii="宋体" w:hAnsi="宋体" w:cs="宋体"/>
          <w:kern w:val="0"/>
          <w:sz w:val="22"/>
          <w:szCs w:val="22"/>
        </w:rPr>
        <w:br w:type="textWrapping"/>
      </w:r>
      <w:r>
        <w:rPr>
          <w:rFonts w:hint="eastAsia" w:ascii="宋体" w:hAnsi="宋体" w:cs="宋体"/>
          <w:kern w:val="0"/>
          <w:sz w:val="22"/>
          <w:szCs w:val="22"/>
        </w:rPr>
        <w:t xml:space="preserve">      H.存在分级代理或代销关系、同一生产制造商关系、管理关系、重要业务（占主营业务收入50%以上）或重要财务往来关系（如融资）等其他实质性控制关系</w:t>
      </w:r>
      <w:r>
        <w:rPr>
          <w:rFonts w:hint="eastAsia" w:ascii="宋体" w:hAnsi="宋体" w:cs="宋体"/>
          <w:kern w:val="0"/>
          <w:sz w:val="22"/>
          <w:szCs w:val="22"/>
        </w:rPr>
        <w:br w:type="textWrapping"/>
      </w:r>
      <w:r>
        <w:rPr>
          <w:rFonts w:hint="eastAsia" w:ascii="宋体" w:hAnsi="宋体" w:cs="宋体"/>
          <w:kern w:val="0"/>
          <w:sz w:val="22"/>
          <w:szCs w:val="22"/>
        </w:rPr>
        <w:t xml:space="preserve">      I.其他利害关系情况</w:t>
      </w:r>
      <w:r>
        <w:rPr>
          <w:rFonts w:hint="eastAsia" w:ascii="宋体" w:hAnsi="宋体" w:cs="宋体"/>
          <w:kern w:val="0"/>
          <w:sz w:val="22"/>
          <w:szCs w:val="22"/>
          <w:u w:val="single"/>
        </w:rPr>
        <w:t xml:space="preserve">                              。</w:t>
      </w:r>
    </w:p>
    <w:p>
      <w:pPr>
        <w:pStyle w:val="22"/>
        <w:spacing w:line="460" w:lineRule="exact"/>
        <w:ind w:firstLine="0"/>
        <w:rPr>
          <w:rFonts w:hint="eastAsia" w:hAnsi="宋体" w:cs="宋体"/>
          <w:kern w:val="0"/>
          <w:sz w:val="22"/>
          <w:szCs w:val="22"/>
        </w:rPr>
      </w:pPr>
      <w:r>
        <w:rPr>
          <w:rFonts w:hint="eastAsia" w:hAnsi="宋体" w:cs="宋体"/>
          <w:kern w:val="0"/>
          <w:sz w:val="22"/>
          <w:szCs w:val="22"/>
        </w:rPr>
        <w:t>（三）现已清楚知道并严格遵守政府采购法律法规和现场纪律</w:t>
      </w:r>
    </w:p>
    <w:p>
      <w:pPr>
        <w:pStyle w:val="22"/>
        <w:spacing w:line="460" w:lineRule="exact"/>
        <w:ind w:firstLine="0"/>
        <w:rPr>
          <w:rFonts w:hint="eastAsia" w:hAnsi="宋体" w:cs="宋体"/>
          <w:kern w:val="0"/>
          <w:sz w:val="22"/>
          <w:szCs w:val="22"/>
        </w:rPr>
      </w:pPr>
      <w:r>
        <w:rPr>
          <w:rFonts w:hint="eastAsia" w:hAnsi="宋体" w:cs="宋体"/>
          <w:kern w:val="0"/>
          <w:sz w:val="22"/>
          <w:szCs w:val="22"/>
        </w:rPr>
        <w:t>（四）我发现</w:t>
      </w:r>
      <w:r>
        <w:rPr>
          <w:rStyle w:val="161"/>
          <w:rFonts w:hint="default"/>
          <w:sz w:val="22"/>
          <w:szCs w:val="22"/>
          <w:u w:val="single"/>
        </w:rPr>
        <w:t xml:space="preserve">                  </w:t>
      </w:r>
      <w:r>
        <w:rPr>
          <w:rStyle w:val="161"/>
          <w:rFonts w:hint="default"/>
          <w:sz w:val="22"/>
          <w:szCs w:val="22"/>
        </w:rPr>
        <w:t>与</w:t>
      </w:r>
      <w:r>
        <w:rPr>
          <w:rStyle w:val="161"/>
          <w:rFonts w:hint="default"/>
          <w:sz w:val="22"/>
          <w:szCs w:val="22"/>
          <w:u w:val="single"/>
        </w:rPr>
        <w:t xml:space="preserve">                  </w:t>
      </w:r>
      <w:r>
        <w:rPr>
          <w:rStyle w:val="161"/>
          <w:rFonts w:hint="default"/>
          <w:sz w:val="22"/>
          <w:szCs w:val="22"/>
        </w:rPr>
        <w:t>（供应商名称）</w:t>
      </w:r>
      <w:r>
        <w:rPr>
          <w:rFonts w:hint="eastAsia" w:hAnsi="宋体" w:cs="宋体"/>
          <w:kern w:val="0"/>
          <w:sz w:val="22"/>
          <w:szCs w:val="22"/>
        </w:rPr>
        <w:t>之间存在或可能存在上述第二条第</w:t>
      </w:r>
      <w:r>
        <w:rPr>
          <w:rFonts w:hint="eastAsia" w:hAnsi="宋体" w:cs="宋体"/>
          <w:kern w:val="0"/>
          <w:sz w:val="22"/>
          <w:szCs w:val="22"/>
          <w:u w:val="single"/>
        </w:rPr>
        <w:t xml:space="preserve">    </w:t>
      </w:r>
      <w:r>
        <w:rPr>
          <w:rFonts w:hint="eastAsia" w:hAnsi="宋体" w:cs="宋体"/>
          <w:kern w:val="0"/>
          <w:sz w:val="22"/>
          <w:szCs w:val="22"/>
        </w:rPr>
        <w:t>项利害关系。</w:t>
      </w:r>
    </w:p>
    <w:p>
      <w:pPr>
        <w:pStyle w:val="22"/>
        <w:spacing w:line="460" w:lineRule="exact"/>
        <w:ind w:firstLine="0"/>
        <w:rPr>
          <w:rFonts w:hint="eastAsia" w:hAnsi="宋体" w:cs="宋体"/>
          <w:b/>
          <w:kern w:val="0"/>
          <w:sz w:val="22"/>
          <w:szCs w:val="22"/>
        </w:rPr>
      </w:pPr>
      <w:r>
        <w:rPr>
          <w:rFonts w:hint="eastAsia" w:hAnsi="宋体" w:cs="宋体"/>
          <w:b/>
          <w:kern w:val="0"/>
          <w:sz w:val="22"/>
          <w:szCs w:val="22"/>
        </w:rPr>
        <w:t>供应商代表签名:</w:t>
      </w:r>
    </w:p>
    <w:p>
      <w:pPr>
        <w:pStyle w:val="22"/>
        <w:spacing w:line="460" w:lineRule="exact"/>
        <w:ind w:firstLine="0"/>
        <w:jc w:val="right"/>
        <w:rPr>
          <w:rFonts w:hint="eastAsia" w:hAnsi="宋体" w:cs="宋体"/>
          <w:b/>
          <w:kern w:val="0"/>
          <w:sz w:val="22"/>
          <w:szCs w:val="22"/>
        </w:rPr>
      </w:pPr>
    </w:p>
    <w:p>
      <w:pPr>
        <w:pStyle w:val="22"/>
        <w:spacing w:line="460" w:lineRule="exact"/>
        <w:ind w:firstLine="0"/>
        <w:jc w:val="right"/>
        <w:rPr>
          <w:rFonts w:hint="eastAsia" w:hAnsi="宋体" w:cs="宋体"/>
          <w:b/>
          <w:kern w:val="0"/>
          <w:sz w:val="22"/>
          <w:szCs w:val="22"/>
        </w:rPr>
      </w:pPr>
      <w:r>
        <w:rPr>
          <w:rFonts w:hint="eastAsia" w:hAnsi="宋体" w:cs="宋体"/>
          <w:b/>
          <w:kern w:val="0"/>
          <w:sz w:val="22"/>
          <w:szCs w:val="22"/>
        </w:rPr>
        <w:t xml:space="preserve">日期:   </w:t>
      </w:r>
      <w:r>
        <w:rPr>
          <w:rFonts w:hint="eastAsia" w:hAnsi="宋体" w:cs="宋体"/>
          <w:b/>
          <w:kern w:val="0"/>
          <w:sz w:val="22"/>
          <w:szCs w:val="22"/>
          <w:lang w:val="en-US" w:eastAsia="zh-CN"/>
        </w:rPr>
        <w:t xml:space="preserve">  </w:t>
      </w:r>
      <w:r>
        <w:rPr>
          <w:rFonts w:hint="eastAsia" w:hAnsi="宋体" w:cs="宋体"/>
          <w:b/>
          <w:kern w:val="0"/>
          <w:sz w:val="22"/>
          <w:szCs w:val="22"/>
        </w:rPr>
        <w:t>年    月    日</w:t>
      </w:r>
    </w:p>
    <w:p>
      <w:pPr>
        <w:pStyle w:val="140"/>
        <w:spacing w:before="0"/>
        <w:ind w:firstLine="420"/>
        <w:rPr>
          <w:rFonts w:hint="eastAsia" w:ascii="宋体" w:hAnsi="宋体" w:cs="宋体"/>
          <w:sz w:val="21"/>
          <w:szCs w:val="21"/>
          <w:u w:val="single"/>
          <w:lang w:eastAsia="zh-CN"/>
        </w:rPr>
      </w:pPr>
    </w:p>
    <w:p>
      <w:pPr>
        <w:adjustRightInd w:val="0"/>
        <w:snapToGrid w:val="0"/>
        <w:spacing w:line="360" w:lineRule="auto"/>
        <w:jc w:val="center"/>
        <w:rPr>
          <w:rFonts w:hint="eastAsia" w:ascii="宋体" w:hAnsi="宋体" w:cs="宋体"/>
          <w:b/>
          <w:bCs/>
          <w:sz w:val="36"/>
          <w:szCs w:val="36"/>
        </w:rPr>
      </w:pPr>
      <w:r>
        <w:rPr>
          <w:rFonts w:hint="eastAsia" w:ascii="宋体" w:hAnsi="宋体" w:cs="宋体"/>
          <w:b/>
          <w:bCs/>
          <w:sz w:val="36"/>
          <w:szCs w:val="36"/>
        </w:rPr>
        <w:t>（10）中小企业声明函</w:t>
      </w:r>
    </w:p>
    <w:p>
      <w:pPr>
        <w:ind w:firstLine="637" w:firstLineChars="245"/>
        <w:rPr>
          <w:rFonts w:hint="eastAsia" w:ascii="宋体" w:hAnsi="宋体" w:cs="宋体"/>
          <w:spacing w:val="20"/>
          <w:sz w:val="22"/>
          <w:szCs w:val="22"/>
        </w:rPr>
      </w:pPr>
      <w:r>
        <w:rPr>
          <w:rFonts w:hint="eastAsia" w:ascii="宋体" w:hAnsi="宋体" w:cs="宋体"/>
          <w:spacing w:val="20"/>
          <w:sz w:val="22"/>
          <w:szCs w:val="22"/>
        </w:rPr>
        <w:t>本公司（联合体）郑重声明，根据《政府采购促进中小企业发展管理办法》（财库﹝2020﹞46 号）的规定，本公司（联合体）参加</w:t>
      </w:r>
      <w:r>
        <w:rPr>
          <w:rFonts w:hint="eastAsia" w:ascii="宋体" w:hAnsi="宋体" w:cs="宋体"/>
          <w:spacing w:val="20"/>
          <w:sz w:val="22"/>
          <w:szCs w:val="22"/>
          <w:u w:val="single"/>
        </w:rPr>
        <w:t>（单位名称）</w:t>
      </w:r>
      <w:r>
        <w:rPr>
          <w:rFonts w:hint="eastAsia" w:ascii="宋体" w:hAnsi="宋体" w:cs="宋体"/>
          <w:spacing w:val="20"/>
          <w:sz w:val="22"/>
          <w:szCs w:val="22"/>
        </w:rPr>
        <w:t>的</w:t>
      </w:r>
      <w:r>
        <w:rPr>
          <w:rFonts w:hint="eastAsia" w:ascii="宋体" w:hAnsi="宋体" w:cs="宋体"/>
          <w:spacing w:val="20"/>
          <w:sz w:val="22"/>
          <w:szCs w:val="22"/>
          <w:u w:val="single"/>
        </w:rPr>
        <w:t>（项目名称）</w:t>
      </w:r>
      <w:r>
        <w:rPr>
          <w:rFonts w:hint="eastAsia" w:ascii="宋体" w:hAnsi="宋体" w:cs="宋体"/>
          <w:spacing w:val="20"/>
          <w:sz w:val="22"/>
          <w:szCs w:val="22"/>
        </w:rPr>
        <w:t xml:space="preserve">采购活动，提供的货物全部由符合政策要求的中小企业制造。相关企业（含联合体中的中小企业、签订分包意向协议的中小企业）的具体情况如下： </w:t>
      </w:r>
    </w:p>
    <w:p>
      <w:pPr>
        <w:ind w:firstLine="637" w:firstLineChars="245"/>
        <w:rPr>
          <w:rFonts w:hint="eastAsia" w:ascii="宋体" w:hAnsi="宋体" w:cs="宋体"/>
          <w:spacing w:val="20"/>
          <w:sz w:val="22"/>
          <w:szCs w:val="22"/>
        </w:rPr>
      </w:pPr>
      <w:r>
        <w:rPr>
          <w:rFonts w:hint="eastAsia" w:ascii="宋体" w:hAnsi="宋体" w:cs="宋体"/>
          <w:spacing w:val="20"/>
          <w:sz w:val="22"/>
          <w:szCs w:val="22"/>
        </w:rPr>
        <w:t xml:space="preserve">1. </w:t>
      </w:r>
      <w:r>
        <w:rPr>
          <w:rFonts w:hint="eastAsia" w:ascii="宋体" w:hAnsi="宋体" w:cs="宋体"/>
          <w:spacing w:val="20"/>
          <w:sz w:val="22"/>
          <w:szCs w:val="22"/>
          <w:u w:val="single"/>
        </w:rPr>
        <w:t>（标的名称）</w:t>
      </w:r>
      <w:r>
        <w:rPr>
          <w:rFonts w:hint="eastAsia" w:ascii="宋体" w:hAnsi="宋体" w:cs="宋体"/>
          <w:spacing w:val="20"/>
          <w:sz w:val="22"/>
          <w:szCs w:val="22"/>
        </w:rPr>
        <w:t xml:space="preserve"> ，属于</w:t>
      </w:r>
      <w:r>
        <w:rPr>
          <w:rFonts w:hint="eastAsia" w:ascii="宋体" w:hAnsi="宋体" w:cs="宋体"/>
          <w:spacing w:val="20"/>
          <w:sz w:val="22"/>
          <w:szCs w:val="22"/>
          <w:u w:val="single"/>
        </w:rPr>
        <w:t>（采购文件中明确的所属行业）</w:t>
      </w:r>
      <w:r>
        <w:rPr>
          <w:rFonts w:hint="eastAsia" w:ascii="宋体" w:hAnsi="宋体" w:cs="宋体"/>
          <w:spacing w:val="20"/>
          <w:sz w:val="22"/>
          <w:szCs w:val="22"/>
        </w:rPr>
        <w:t>行业；制造商为</w:t>
      </w:r>
      <w:r>
        <w:rPr>
          <w:rFonts w:hint="eastAsia" w:ascii="宋体" w:hAnsi="宋体" w:cs="宋体"/>
          <w:spacing w:val="20"/>
          <w:sz w:val="22"/>
          <w:szCs w:val="22"/>
          <w:u w:val="single"/>
        </w:rPr>
        <w:t>（企业名称）</w:t>
      </w:r>
      <w:r>
        <w:rPr>
          <w:rFonts w:hint="eastAsia" w:ascii="宋体" w:hAnsi="宋体" w:cs="宋体"/>
          <w:spacing w:val="20"/>
          <w:sz w:val="22"/>
          <w:szCs w:val="22"/>
        </w:rPr>
        <w:t>，从业人员</w:t>
      </w:r>
      <w:r>
        <w:rPr>
          <w:rFonts w:hint="eastAsia" w:ascii="宋体" w:hAnsi="宋体" w:cs="宋体"/>
          <w:spacing w:val="20"/>
          <w:sz w:val="22"/>
          <w:szCs w:val="22"/>
          <w:u w:val="single"/>
        </w:rPr>
        <w:t xml:space="preserve">    </w:t>
      </w:r>
      <w:r>
        <w:rPr>
          <w:rFonts w:hint="eastAsia" w:ascii="宋体" w:hAnsi="宋体" w:cs="宋体"/>
          <w:spacing w:val="20"/>
          <w:sz w:val="22"/>
          <w:szCs w:val="22"/>
        </w:rPr>
        <w:t>人，营业收入为</w:t>
      </w:r>
      <w:r>
        <w:rPr>
          <w:rFonts w:hint="eastAsia" w:ascii="宋体" w:hAnsi="宋体" w:cs="宋体"/>
          <w:spacing w:val="20"/>
          <w:sz w:val="22"/>
          <w:szCs w:val="22"/>
          <w:u w:val="single"/>
        </w:rPr>
        <w:t xml:space="preserve">    </w:t>
      </w:r>
      <w:r>
        <w:rPr>
          <w:rFonts w:hint="eastAsia" w:ascii="宋体" w:hAnsi="宋体" w:cs="宋体"/>
          <w:spacing w:val="20"/>
          <w:sz w:val="22"/>
          <w:szCs w:val="22"/>
        </w:rPr>
        <w:t>万元，资产总额为</w:t>
      </w:r>
      <w:r>
        <w:rPr>
          <w:rFonts w:hint="eastAsia" w:ascii="宋体" w:hAnsi="宋体" w:cs="宋体"/>
          <w:spacing w:val="20"/>
          <w:sz w:val="22"/>
          <w:szCs w:val="22"/>
          <w:u w:val="single"/>
        </w:rPr>
        <w:t xml:space="preserve">    </w:t>
      </w:r>
      <w:r>
        <w:rPr>
          <w:rFonts w:hint="eastAsia" w:ascii="宋体" w:hAnsi="宋体" w:cs="宋体"/>
          <w:spacing w:val="20"/>
          <w:sz w:val="22"/>
          <w:szCs w:val="22"/>
        </w:rPr>
        <w:t>万元，属于</w:t>
      </w:r>
      <w:r>
        <w:rPr>
          <w:rFonts w:hint="eastAsia" w:ascii="宋体" w:hAnsi="宋体" w:cs="宋体"/>
          <w:spacing w:val="20"/>
          <w:sz w:val="22"/>
          <w:szCs w:val="22"/>
          <w:u w:val="single"/>
        </w:rPr>
        <w:t>（中型企业、小型企业、微型企业）</w:t>
      </w:r>
      <w:r>
        <w:rPr>
          <w:rFonts w:hint="eastAsia" w:ascii="宋体" w:hAnsi="宋体" w:cs="宋体"/>
          <w:spacing w:val="20"/>
          <w:sz w:val="22"/>
          <w:szCs w:val="22"/>
        </w:rPr>
        <w:t>；</w:t>
      </w:r>
    </w:p>
    <w:p>
      <w:pPr>
        <w:ind w:firstLine="637" w:firstLineChars="245"/>
        <w:rPr>
          <w:rFonts w:hint="eastAsia" w:ascii="宋体" w:hAnsi="宋体" w:cs="宋体"/>
          <w:spacing w:val="20"/>
          <w:sz w:val="22"/>
          <w:szCs w:val="22"/>
        </w:rPr>
      </w:pPr>
      <w:r>
        <w:rPr>
          <w:rFonts w:hint="eastAsia" w:ascii="宋体" w:hAnsi="宋体" w:cs="宋体"/>
          <w:spacing w:val="20"/>
          <w:sz w:val="22"/>
          <w:szCs w:val="22"/>
        </w:rPr>
        <w:t xml:space="preserve">2. </w:t>
      </w:r>
      <w:r>
        <w:rPr>
          <w:rFonts w:hint="eastAsia" w:ascii="宋体" w:hAnsi="宋体" w:cs="宋体"/>
          <w:spacing w:val="20"/>
          <w:sz w:val="22"/>
          <w:szCs w:val="22"/>
          <w:u w:val="single"/>
        </w:rPr>
        <w:t>（标的名称）</w:t>
      </w:r>
      <w:r>
        <w:rPr>
          <w:rFonts w:hint="eastAsia" w:ascii="宋体" w:hAnsi="宋体" w:cs="宋体"/>
          <w:spacing w:val="20"/>
          <w:sz w:val="22"/>
          <w:szCs w:val="22"/>
        </w:rPr>
        <w:t xml:space="preserve"> ，属于</w:t>
      </w:r>
      <w:r>
        <w:rPr>
          <w:rFonts w:hint="eastAsia" w:ascii="宋体" w:hAnsi="宋体" w:cs="宋体"/>
          <w:spacing w:val="20"/>
          <w:sz w:val="22"/>
          <w:szCs w:val="22"/>
          <w:u w:val="single"/>
        </w:rPr>
        <w:t>（采购文件中明确的所属行业）</w:t>
      </w:r>
      <w:r>
        <w:rPr>
          <w:rFonts w:hint="eastAsia" w:ascii="宋体" w:hAnsi="宋体" w:cs="宋体"/>
          <w:spacing w:val="20"/>
          <w:sz w:val="22"/>
          <w:szCs w:val="22"/>
        </w:rPr>
        <w:t>行业；制造商为</w:t>
      </w:r>
      <w:r>
        <w:rPr>
          <w:rFonts w:hint="eastAsia" w:ascii="宋体" w:hAnsi="宋体" w:cs="宋体"/>
          <w:spacing w:val="20"/>
          <w:sz w:val="22"/>
          <w:szCs w:val="22"/>
          <w:u w:val="single"/>
        </w:rPr>
        <w:t>（企业名称）</w:t>
      </w:r>
      <w:r>
        <w:rPr>
          <w:rFonts w:hint="eastAsia" w:ascii="宋体" w:hAnsi="宋体" w:cs="宋体"/>
          <w:spacing w:val="20"/>
          <w:sz w:val="22"/>
          <w:szCs w:val="22"/>
        </w:rPr>
        <w:t>，从业人员</w:t>
      </w:r>
      <w:r>
        <w:rPr>
          <w:rFonts w:hint="eastAsia" w:ascii="宋体" w:hAnsi="宋体" w:cs="宋体"/>
          <w:spacing w:val="20"/>
          <w:sz w:val="22"/>
          <w:szCs w:val="22"/>
          <w:u w:val="single"/>
        </w:rPr>
        <w:t xml:space="preserve">    </w:t>
      </w:r>
      <w:r>
        <w:rPr>
          <w:rFonts w:hint="eastAsia" w:ascii="宋体" w:hAnsi="宋体" w:cs="宋体"/>
          <w:spacing w:val="20"/>
          <w:sz w:val="22"/>
          <w:szCs w:val="22"/>
        </w:rPr>
        <w:t>人，营业收入为</w:t>
      </w:r>
      <w:r>
        <w:rPr>
          <w:rFonts w:hint="eastAsia" w:ascii="宋体" w:hAnsi="宋体" w:cs="宋体"/>
          <w:spacing w:val="20"/>
          <w:sz w:val="22"/>
          <w:szCs w:val="22"/>
          <w:u w:val="single"/>
        </w:rPr>
        <w:t xml:space="preserve">    </w:t>
      </w:r>
      <w:r>
        <w:rPr>
          <w:rFonts w:hint="eastAsia" w:ascii="宋体" w:hAnsi="宋体" w:cs="宋体"/>
          <w:spacing w:val="20"/>
          <w:sz w:val="22"/>
          <w:szCs w:val="22"/>
        </w:rPr>
        <w:t>万元，资产总额为</w:t>
      </w:r>
      <w:r>
        <w:rPr>
          <w:rFonts w:hint="eastAsia" w:ascii="宋体" w:hAnsi="宋体" w:cs="宋体"/>
          <w:spacing w:val="20"/>
          <w:sz w:val="22"/>
          <w:szCs w:val="22"/>
          <w:u w:val="single"/>
        </w:rPr>
        <w:t xml:space="preserve">    </w:t>
      </w:r>
      <w:r>
        <w:rPr>
          <w:rFonts w:hint="eastAsia" w:ascii="宋体" w:hAnsi="宋体" w:cs="宋体"/>
          <w:spacing w:val="20"/>
          <w:sz w:val="22"/>
          <w:szCs w:val="22"/>
        </w:rPr>
        <w:t>万元，属于</w:t>
      </w:r>
      <w:r>
        <w:rPr>
          <w:rFonts w:hint="eastAsia" w:ascii="宋体" w:hAnsi="宋体" w:cs="宋体"/>
          <w:spacing w:val="20"/>
          <w:sz w:val="22"/>
          <w:szCs w:val="22"/>
          <w:u w:val="single"/>
        </w:rPr>
        <w:t>（中型企业、小型企业、微型企业）</w:t>
      </w:r>
      <w:r>
        <w:rPr>
          <w:rFonts w:hint="eastAsia" w:ascii="宋体" w:hAnsi="宋体" w:cs="宋体"/>
          <w:spacing w:val="20"/>
          <w:sz w:val="22"/>
          <w:szCs w:val="22"/>
        </w:rPr>
        <w:t>；</w:t>
      </w:r>
    </w:p>
    <w:p>
      <w:pPr>
        <w:ind w:firstLine="637" w:firstLineChars="245"/>
        <w:rPr>
          <w:rFonts w:hint="eastAsia" w:ascii="宋体" w:hAnsi="宋体" w:cs="宋体"/>
          <w:b/>
          <w:bCs/>
          <w:spacing w:val="20"/>
          <w:sz w:val="22"/>
          <w:szCs w:val="22"/>
        </w:rPr>
      </w:pPr>
      <w:r>
        <w:rPr>
          <w:rFonts w:hint="eastAsia" w:ascii="宋体" w:hAnsi="宋体" w:cs="宋体"/>
          <w:spacing w:val="20"/>
          <w:sz w:val="22"/>
          <w:szCs w:val="22"/>
        </w:rPr>
        <w:t>……</w:t>
      </w:r>
      <w:r>
        <w:rPr>
          <w:rFonts w:hint="eastAsia" w:ascii="宋体" w:hAnsi="宋体" w:cs="宋体"/>
          <w:b/>
          <w:bCs/>
          <w:spacing w:val="20"/>
          <w:sz w:val="22"/>
          <w:szCs w:val="22"/>
        </w:rPr>
        <w:t>……</w:t>
      </w:r>
    </w:p>
    <w:p>
      <w:pPr>
        <w:ind w:firstLine="637" w:firstLineChars="245"/>
        <w:rPr>
          <w:rFonts w:hint="eastAsia" w:ascii="宋体" w:hAnsi="宋体" w:cs="宋体"/>
          <w:spacing w:val="20"/>
          <w:sz w:val="22"/>
          <w:szCs w:val="22"/>
        </w:rPr>
      </w:pPr>
      <w:r>
        <w:rPr>
          <w:rFonts w:hint="eastAsia" w:ascii="宋体" w:hAnsi="宋体" w:cs="宋体"/>
          <w:spacing w:val="20"/>
          <w:sz w:val="22"/>
          <w:szCs w:val="22"/>
        </w:rPr>
        <w:t xml:space="preserve">以上企业，不属于大企业的分支机构，不存在控股股东为大企业的情形，也不存在与大企业的负责人为同一人的情形。本企业对上述声明内容的真实性负责。如有虚假，将依法承担相应责任。 </w:t>
      </w:r>
    </w:p>
    <w:p>
      <w:pPr>
        <w:ind w:firstLine="637" w:firstLineChars="245"/>
        <w:rPr>
          <w:rFonts w:hint="eastAsia" w:ascii="宋体" w:hAnsi="宋体" w:cs="宋体"/>
          <w:spacing w:val="20"/>
          <w:sz w:val="22"/>
          <w:szCs w:val="22"/>
        </w:rPr>
      </w:pPr>
    </w:p>
    <w:p>
      <w:pPr>
        <w:ind w:firstLine="637" w:firstLineChars="245"/>
        <w:rPr>
          <w:rFonts w:hint="eastAsia" w:ascii="宋体" w:hAnsi="宋体" w:cs="宋体"/>
          <w:spacing w:val="20"/>
          <w:sz w:val="22"/>
          <w:szCs w:val="22"/>
        </w:rPr>
      </w:pPr>
    </w:p>
    <w:p>
      <w:pPr>
        <w:jc w:val="center"/>
        <w:rPr>
          <w:rFonts w:hint="eastAsia" w:ascii="宋体" w:hAnsi="宋体" w:cs="宋体"/>
          <w:spacing w:val="20"/>
          <w:sz w:val="22"/>
          <w:szCs w:val="22"/>
        </w:rPr>
      </w:pPr>
      <w:r>
        <w:rPr>
          <w:rFonts w:hint="eastAsia" w:ascii="宋体" w:hAnsi="宋体" w:cs="宋体"/>
          <w:spacing w:val="20"/>
          <w:sz w:val="22"/>
          <w:szCs w:val="22"/>
        </w:rPr>
        <w:t xml:space="preserve">           企业名称（盖章）：</w:t>
      </w:r>
    </w:p>
    <w:p>
      <w:pPr>
        <w:pStyle w:val="22"/>
        <w:spacing w:line="240" w:lineRule="auto"/>
        <w:ind w:firstLine="0"/>
        <w:jc w:val="right"/>
        <w:rPr>
          <w:rFonts w:hint="eastAsia" w:hAnsi="宋体" w:cs="宋体"/>
          <w:b/>
          <w:kern w:val="0"/>
          <w:sz w:val="22"/>
          <w:szCs w:val="22"/>
        </w:rPr>
      </w:pPr>
      <w:r>
        <w:rPr>
          <w:rFonts w:hint="eastAsia" w:hAnsi="宋体" w:cs="宋体"/>
          <w:spacing w:val="20"/>
          <w:sz w:val="22"/>
          <w:szCs w:val="22"/>
        </w:rPr>
        <w:t xml:space="preserve">  日 期：</w:t>
      </w:r>
    </w:p>
    <w:p>
      <w:pPr>
        <w:spacing w:line="360" w:lineRule="auto"/>
        <w:rPr>
          <w:rFonts w:hint="eastAsia" w:ascii="宋体" w:hAnsi="宋体" w:cs="宋体"/>
          <w:bCs/>
          <w:sz w:val="24"/>
        </w:rPr>
      </w:pPr>
    </w:p>
    <w:p>
      <w:pPr>
        <w:spacing w:line="360" w:lineRule="auto"/>
        <w:rPr>
          <w:rFonts w:hint="eastAsia" w:ascii="宋体" w:hAnsi="宋体" w:cs="宋体"/>
          <w:bCs/>
          <w:sz w:val="24"/>
        </w:rPr>
      </w:pPr>
    </w:p>
    <w:p>
      <w:pPr>
        <w:spacing w:line="360" w:lineRule="auto"/>
        <w:rPr>
          <w:rFonts w:hint="eastAsia" w:ascii="宋体" w:hAnsi="宋体" w:cs="宋体"/>
          <w:bCs/>
          <w:sz w:val="24"/>
        </w:rPr>
      </w:pPr>
    </w:p>
    <w:p>
      <w:pPr>
        <w:spacing w:line="360" w:lineRule="auto"/>
        <w:rPr>
          <w:rFonts w:hint="eastAsia" w:ascii="宋体" w:hAnsi="宋体" w:cs="宋体"/>
          <w:sz w:val="24"/>
        </w:rPr>
      </w:pPr>
      <w:r>
        <w:rPr>
          <w:rFonts w:hint="eastAsia" w:ascii="宋体" w:hAnsi="宋体" w:cs="宋体"/>
          <w:bCs/>
          <w:sz w:val="24"/>
        </w:rPr>
        <w:t>附注</w:t>
      </w:r>
      <w:r>
        <w:rPr>
          <w:rFonts w:hint="eastAsia" w:ascii="宋体" w:hAnsi="宋体" w:cs="宋体"/>
          <w:sz w:val="24"/>
        </w:rPr>
        <w:t xml:space="preserve">： </w:t>
      </w:r>
    </w:p>
    <w:p>
      <w:pPr>
        <w:spacing w:line="360" w:lineRule="auto"/>
        <w:ind w:firstLine="480" w:firstLineChars="200"/>
        <w:jc w:val="left"/>
        <w:rPr>
          <w:rFonts w:hint="eastAsia" w:ascii="宋体" w:hAnsi="宋体" w:cs="宋体"/>
          <w:sz w:val="24"/>
        </w:rPr>
      </w:pPr>
      <w:r>
        <w:rPr>
          <w:rFonts w:hint="eastAsia" w:ascii="宋体" w:hAnsi="宋体" w:cs="宋体"/>
          <w:sz w:val="24"/>
        </w:rPr>
        <w:t>1.磋商供应商提供的声明函与事实不符的，依据《政府采购法》第七十七条第一款的规定追究法律责任,</w:t>
      </w:r>
      <w:r>
        <w:rPr>
          <w:rFonts w:hint="eastAsia" w:ascii="宋体" w:hAnsi="宋体" w:cs="宋体"/>
          <w:b/>
          <w:sz w:val="24"/>
        </w:rPr>
        <w:t>如若中标本声明函随中标结果予以公示。</w:t>
      </w:r>
      <w:r>
        <w:rPr>
          <w:rFonts w:hint="eastAsia" w:ascii="宋体" w:hAnsi="宋体" w:cs="宋体"/>
          <w:sz w:val="24"/>
        </w:rPr>
        <w:t>从业人员、营业收入、资产总额填报上一年数据，无上一年度数据的新成立企业可不填报。</w:t>
      </w:r>
    </w:p>
    <w:p>
      <w:pPr>
        <w:spacing w:line="360" w:lineRule="auto"/>
        <w:ind w:firstLine="480" w:firstLineChars="200"/>
        <w:jc w:val="left"/>
        <w:rPr>
          <w:rFonts w:hint="eastAsia" w:ascii="宋体" w:hAnsi="宋体" w:cs="宋体"/>
          <w:sz w:val="24"/>
        </w:rPr>
      </w:pPr>
      <w:r>
        <w:rPr>
          <w:rFonts w:hint="eastAsia" w:ascii="宋体" w:hAnsi="宋体" w:cs="宋体"/>
          <w:sz w:val="24"/>
        </w:rPr>
        <w:t>2.依据《关于促进残疾人就业政府采购政策的通知》（财库〔2017〕141号）文件，符合规定条件并提供《残疾人福利性单位声明函》的残疾人福利性单位，视同小型、微型企业，享受预留份额、评审中价格扣除等促进中小企业发展的政府采购政策。</w:t>
      </w:r>
    </w:p>
    <w:p>
      <w:pPr>
        <w:spacing w:line="400" w:lineRule="exact"/>
        <w:ind w:firstLine="480" w:firstLineChars="200"/>
        <w:jc w:val="left"/>
        <w:rPr>
          <w:rFonts w:hint="eastAsia" w:ascii="宋体" w:hAnsi="宋体" w:cs="宋体"/>
          <w:bCs/>
          <w:sz w:val="24"/>
        </w:rPr>
      </w:pPr>
      <w:r>
        <w:rPr>
          <w:rFonts w:hint="eastAsia" w:ascii="宋体" w:hAnsi="宋体" w:cs="宋体"/>
          <w:bCs/>
          <w:sz w:val="24"/>
        </w:rPr>
        <w:t>3.依据《财政部 司法部关于政府采购支持监狱企业发展有关问题的通知》（财库[2014]68号）文件，符合规定条件并提供由省级以上监狱管理局、戒毒管理局（含新疆生产建设兵团）出具的属于监狱企业证明文件的，视同为小型、微型企业，享受预留份额、评审中价格扣除等政府采购促进中小企业发展的政府采购政策。</w:t>
      </w:r>
    </w:p>
    <w:p>
      <w:pPr>
        <w:spacing w:line="400" w:lineRule="exact"/>
        <w:ind w:firstLine="420" w:firstLineChars="200"/>
        <w:jc w:val="left"/>
        <w:rPr>
          <w:rFonts w:hint="eastAsia" w:ascii="宋体" w:hAnsi="宋体" w:cs="宋体"/>
          <w:szCs w:val="21"/>
        </w:rPr>
      </w:pPr>
      <w:r>
        <w:rPr>
          <w:rFonts w:hint="eastAsia" w:ascii="宋体" w:hAnsi="宋体" w:cs="宋体"/>
          <w:szCs w:val="21"/>
        </w:rPr>
        <w:t xml:space="preserve">       </w:t>
      </w:r>
    </w:p>
    <w:p>
      <w:pPr>
        <w:spacing w:line="400" w:lineRule="exact"/>
        <w:ind w:firstLine="420" w:firstLineChars="200"/>
        <w:jc w:val="left"/>
        <w:rPr>
          <w:rFonts w:hint="eastAsia" w:ascii="宋体" w:hAnsi="宋体" w:cs="宋体"/>
        </w:rPr>
      </w:pPr>
    </w:p>
    <w:p>
      <w:pPr>
        <w:spacing w:line="400" w:lineRule="exact"/>
        <w:ind w:firstLine="723" w:firstLineChars="200"/>
        <w:jc w:val="center"/>
        <w:rPr>
          <w:rFonts w:hint="eastAsia" w:ascii="宋体" w:hAnsi="宋体" w:cs="宋体"/>
          <w:b/>
          <w:bCs/>
          <w:sz w:val="36"/>
          <w:szCs w:val="36"/>
        </w:rPr>
      </w:pPr>
      <w:r>
        <w:rPr>
          <w:rFonts w:hint="eastAsia" w:ascii="宋体" w:hAnsi="宋体" w:cs="宋体"/>
          <w:b/>
          <w:bCs/>
          <w:sz w:val="36"/>
          <w:szCs w:val="36"/>
        </w:rPr>
        <w:t>残疾人福利性单位声明函（如有）</w:t>
      </w:r>
    </w:p>
    <w:p>
      <w:pPr>
        <w:spacing w:line="588" w:lineRule="exact"/>
        <w:jc w:val="center"/>
        <w:rPr>
          <w:rFonts w:hint="eastAsia" w:ascii="宋体" w:hAnsi="宋体" w:cs="宋体"/>
          <w:b/>
          <w:spacing w:val="6"/>
          <w:sz w:val="30"/>
          <w:szCs w:val="30"/>
        </w:rPr>
      </w:pPr>
    </w:p>
    <w:p>
      <w:pPr>
        <w:spacing w:line="360" w:lineRule="auto"/>
        <w:ind w:firstLine="560" w:firstLineChars="200"/>
        <w:rPr>
          <w:rFonts w:hint="eastAsia" w:ascii="宋体" w:hAnsi="宋体" w:cs="宋体"/>
          <w:sz w:val="28"/>
          <w:szCs w:val="28"/>
        </w:rPr>
      </w:pPr>
      <w:r>
        <w:rPr>
          <w:rFonts w:hint="eastAsia" w:ascii="宋体" w:hAnsi="宋体" w:cs="宋体"/>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8"/>
          <w:szCs w:val="28"/>
          <w:u w:val="single"/>
        </w:rPr>
        <w:t xml:space="preserve">               </w:t>
      </w:r>
      <w:r>
        <w:rPr>
          <w:rFonts w:hint="eastAsia" w:ascii="宋体" w:hAnsi="宋体" w:cs="宋体"/>
          <w:sz w:val="28"/>
          <w:szCs w:val="28"/>
        </w:rPr>
        <w:t>（项目名称、编号）项目的采购活动提供本单位制造的货物（由本单位承担工程/提供服务），或者提供其他残疾人福利性单位制造的货物（不包括使用非残疾人福利性单位注册商标的货物）。</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本单位对上述声明的真实性负责。如有虚假，将依法承担相应责任。</w:t>
      </w:r>
    </w:p>
    <w:p>
      <w:pPr>
        <w:spacing w:line="360" w:lineRule="auto"/>
        <w:ind w:firstLine="560" w:firstLineChars="200"/>
        <w:rPr>
          <w:rFonts w:hint="eastAsia" w:ascii="宋体" w:hAnsi="宋体" w:cs="宋体"/>
          <w:sz w:val="28"/>
          <w:szCs w:val="28"/>
        </w:rPr>
      </w:pPr>
    </w:p>
    <w:p>
      <w:pPr>
        <w:tabs>
          <w:tab w:val="left" w:pos="4860"/>
        </w:tabs>
        <w:spacing w:line="360" w:lineRule="auto"/>
        <w:ind w:right="1560" w:firstLine="560" w:firstLineChars="200"/>
        <w:jc w:val="center"/>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color w:val="000000"/>
          <w:sz w:val="28"/>
          <w:szCs w:val="28"/>
        </w:rPr>
        <w:t>磋商供应商</w:t>
      </w:r>
      <w:r>
        <w:rPr>
          <w:rFonts w:hint="eastAsia" w:ascii="宋体" w:hAnsi="宋体" w:cs="宋体"/>
          <w:sz w:val="28"/>
          <w:szCs w:val="28"/>
        </w:rPr>
        <w:t>全称（</w:t>
      </w:r>
      <w:r>
        <w:rPr>
          <w:rFonts w:hint="eastAsia" w:ascii="宋体" w:hAnsi="宋体" w:cs="宋体"/>
          <w:bCs/>
          <w:sz w:val="24"/>
        </w:rPr>
        <w:t>公章或CA章</w:t>
      </w:r>
      <w:r>
        <w:rPr>
          <w:rFonts w:hint="eastAsia" w:ascii="宋体" w:hAnsi="宋体" w:cs="宋体"/>
          <w:sz w:val="28"/>
          <w:szCs w:val="28"/>
        </w:rPr>
        <w:t>）：</w:t>
      </w:r>
    </w:p>
    <w:p>
      <w:pPr>
        <w:tabs>
          <w:tab w:val="left" w:pos="4860"/>
        </w:tabs>
        <w:spacing w:line="360" w:lineRule="auto"/>
        <w:ind w:right="1560" w:firstLine="560" w:firstLineChars="200"/>
        <w:jc w:val="center"/>
        <w:rPr>
          <w:rFonts w:hint="eastAsia" w:ascii="宋体" w:hAnsi="宋体" w:cs="宋体"/>
          <w:sz w:val="28"/>
          <w:szCs w:val="28"/>
        </w:rPr>
      </w:pPr>
      <w:r>
        <w:rPr>
          <w:rFonts w:hint="eastAsia" w:ascii="宋体" w:hAnsi="宋体" w:cs="宋体"/>
          <w:sz w:val="28"/>
          <w:szCs w:val="28"/>
        </w:rPr>
        <w:t xml:space="preserve">                  日期：   年   月  日</w:t>
      </w:r>
    </w:p>
    <w:p>
      <w:pPr>
        <w:rPr>
          <w:rFonts w:hint="eastAsia" w:ascii="宋体" w:hAnsi="宋体" w:cs="宋体"/>
        </w:rPr>
      </w:pPr>
    </w:p>
    <w:p>
      <w:pPr>
        <w:spacing w:line="400" w:lineRule="exact"/>
        <w:rPr>
          <w:rFonts w:hint="eastAsia" w:ascii="宋体" w:hAnsi="宋体" w:cs="宋体"/>
        </w:rPr>
      </w:pPr>
      <w:r>
        <w:rPr>
          <w:rFonts w:hint="eastAsia" w:ascii="宋体" w:hAnsi="宋体" w:cs="宋体"/>
          <w:szCs w:val="21"/>
        </w:rPr>
        <w:t>附注：</w:t>
      </w:r>
      <w:r>
        <w:rPr>
          <w:rFonts w:hint="eastAsia" w:ascii="宋体" w:hAnsi="宋体" w:cs="宋体"/>
          <w:color w:val="000000"/>
          <w:szCs w:val="21"/>
        </w:rPr>
        <w:t>磋商供应商</w:t>
      </w:r>
      <w:r>
        <w:rPr>
          <w:rFonts w:hint="eastAsia" w:ascii="宋体" w:hAnsi="宋体" w:cs="宋体"/>
          <w:szCs w:val="21"/>
        </w:rPr>
        <w:t>提</w:t>
      </w:r>
      <w:r>
        <w:rPr>
          <w:rFonts w:hint="eastAsia" w:ascii="宋体" w:hAnsi="宋体" w:cs="宋体"/>
        </w:rPr>
        <w:t>供的声明函与事实不符的，依据《政府采购法》第七十七条第一款的规定追究法律责任，</w:t>
      </w:r>
      <w:r>
        <w:rPr>
          <w:rFonts w:hint="eastAsia" w:ascii="宋体" w:hAnsi="宋体" w:cs="宋体"/>
          <w:b/>
          <w:szCs w:val="21"/>
        </w:rPr>
        <w:t>如若中标本声明函将予以外网公示。</w:t>
      </w: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center"/>
        <w:rPr>
          <w:rFonts w:hint="eastAsia" w:ascii="宋体" w:hAnsi="宋体" w:cs="宋体"/>
          <w:b/>
          <w:bCs/>
          <w:sz w:val="36"/>
          <w:szCs w:val="36"/>
        </w:rPr>
      </w:pPr>
      <w:r>
        <w:rPr>
          <w:rFonts w:hint="eastAsia" w:ascii="宋体" w:hAnsi="宋体" w:cs="宋体"/>
          <w:b/>
          <w:bCs/>
          <w:sz w:val="36"/>
          <w:szCs w:val="36"/>
        </w:rPr>
        <w:t>监狱企业的证明文件（如有）</w:t>
      </w:r>
    </w:p>
    <w:p>
      <w:pPr>
        <w:widowControl/>
        <w:jc w:val="center"/>
        <w:rPr>
          <w:rFonts w:hint="eastAsia" w:ascii="宋体" w:hAnsi="宋体" w:cs="宋体"/>
          <w:b/>
          <w:bCs/>
          <w:sz w:val="36"/>
          <w:szCs w:val="36"/>
        </w:rPr>
      </w:pPr>
    </w:p>
    <w:p>
      <w:pPr>
        <w:spacing w:line="360" w:lineRule="auto"/>
        <w:ind w:firstLine="560" w:firstLineChars="200"/>
        <w:rPr>
          <w:rFonts w:hint="eastAsia" w:ascii="宋体" w:hAnsi="宋体" w:cs="宋体"/>
          <w:sz w:val="28"/>
          <w:szCs w:val="28"/>
        </w:rPr>
      </w:pPr>
      <w:r>
        <w:rPr>
          <w:rFonts w:hint="eastAsia" w:ascii="宋体" w:hAnsi="宋体" w:cs="宋体"/>
          <w:sz w:val="28"/>
          <w:szCs w:val="28"/>
        </w:rPr>
        <w:t>依据《财政部 司法部关于政府采购支持监狱企业发展有关问题的通知》（财库[2014]68号）文件，提供由省级以上监狱管理局、戒毒管理局（含新疆生产建设兵团）出具的属于监狱企业证明文件。</w:t>
      </w:r>
    </w:p>
    <w:p>
      <w:pPr>
        <w:snapToGrid w:val="0"/>
        <w:spacing w:line="360" w:lineRule="auto"/>
        <w:ind w:firstLine="422" w:firstLineChars="200"/>
        <w:rPr>
          <w:rFonts w:hint="eastAsia" w:ascii="宋体" w:hAnsi="宋体" w:cs="宋体"/>
          <w:b/>
          <w:szCs w:val="21"/>
        </w:rPr>
      </w:pPr>
    </w:p>
    <w:p>
      <w:pPr>
        <w:snapToGrid w:val="0"/>
        <w:spacing w:line="360" w:lineRule="auto"/>
        <w:ind w:firstLine="413" w:firstLineChars="196"/>
        <w:jc w:val="left"/>
        <w:rPr>
          <w:rFonts w:hint="eastAsia" w:ascii="宋体" w:hAnsi="宋体" w:cs="宋体"/>
          <w:b/>
          <w:szCs w:val="21"/>
        </w:rPr>
      </w:pPr>
      <w:r>
        <w:rPr>
          <w:rFonts w:hint="eastAsia" w:ascii="宋体" w:hAnsi="宋体" w:cs="宋体"/>
          <w:b/>
          <w:szCs w:val="21"/>
        </w:rPr>
        <w:t>附注：如若中标本证明文件将予以外网公示。</w:t>
      </w:r>
    </w:p>
    <w:p>
      <w:pPr>
        <w:pStyle w:val="2"/>
        <w:spacing w:before="120"/>
        <w:rPr>
          <w:rFonts w:hint="eastAsia" w:ascii="宋体" w:hAnsi="宋体" w:cs="宋体"/>
          <w:b/>
          <w:szCs w:val="21"/>
        </w:rPr>
      </w:pPr>
    </w:p>
    <w:p>
      <w:pPr>
        <w:pStyle w:val="2"/>
        <w:spacing w:before="120"/>
        <w:rPr>
          <w:rFonts w:hint="eastAsia" w:ascii="宋体" w:hAnsi="宋体" w:cs="宋体"/>
          <w:b/>
          <w:szCs w:val="21"/>
        </w:rPr>
      </w:pPr>
    </w:p>
    <w:p>
      <w:pPr>
        <w:pStyle w:val="2"/>
        <w:spacing w:before="120"/>
        <w:rPr>
          <w:rFonts w:hint="eastAsia" w:ascii="宋体" w:hAnsi="宋体" w:cs="宋体"/>
          <w:b/>
          <w:szCs w:val="21"/>
        </w:rPr>
      </w:pPr>
    </w:p>
    <w:p>
      <w:pPr>
        <w:adjustRightInd w:val="0"/>
        <w:snapToGrid w:val="0"/>
        <w:spacing w:line="360" w:lineRule="auto"/>
        <w:jc w:val="center"/>
        <w:rPr>
          <w:rFonts w:hint="eastAsia" w:ascii="黑体" w:hAnsi="仿宋" w:eastAsia="黑体"/>
          <w:b/>
          <w:bCs/>
          <w:sz w:val="36"/>
          <w:szCs w:val="36"/>
        </w:rPr>
      </w:pPr>
      <w:r>
        <w:rPr>
          <w:rFonts w:hint="eastAsia" w:ascii="黑体" w:hAnsi="仿宋" w:eastAsia="黑体"/>
          <w:b/>
          <w:bCs/>
          <w:sz w:val="36"/>
          <w:szCs w:val="36"/>
        </w:rPr>
        <w:t>（12）磋商样品</w:t>
      </w:r>
      <w:r>
        <w:rPr>
          <w:rFonts w:ascii="黑体" w:hAnsi="仿宋" w:eastAsia="黑体"/>
          <w:b/>
          <w:bCs/>
          <w:sz w:val="36"/>
          <w:szCs w:val="36"/>
        </w:rPr>
        <w:t>存放</w:t>
      </w:r>
      <w:r>
        <w:rPr>
          <w:rFonts w:hint="eastAsia" w:ascii="黑体" w:hAnsi="仿宋" w:eastAsia="黑体"/>
          <w:b/>
          <w:bCs/>
          <w:sz w:val="36"/>
          <w:szCs w:val="36"/>
        </w:rPr>
        <w:t>承诺书</w:t>
      </w:r>
    </w:p>
    <w:p>
      <w:pPr>
        <w:spacing w:line="360" w:lineRule="auto"/>
        <w:jc w:val="center"/>
        <w:rPr>
          <w:rFonts w:hint="eastAsia"/>
          <w:sz w:val="48"/>
          <w:szCs w:val="56"/>
        </w:rPr>
      </w:pPr>
    </w:p>
    <w:p>
      <w:pPr>
        <w:spacing w:line="360" w:lineRule="auto"/>
        <w:ind w:firstLine="560" w:firstLineChars="200"/>
        <w:rPr>
          <w:rFonts w:hint="eastAsia"/>
          <w:sz w:val="28"/>
          <w:szCs w:val="28"/>
        </w:rPr>
      </w:pPr>
      <w:r>
        <w:rPr>
          <w:rFonts w:hint="eastAsia"/>
          <w:sz w:val="28"/>
          <w:szCs w:val="28"/>
        </w:rPr>
        <w:t>我司应</w:t>
      </w:r>
      <w:r>
        <w:rPr>
          <w:rFonts w:hint="eastAsia"/>
          <w:sz w:val="28"/>
          <w:szCs w:val="28"/>
          <w:u w:val="single"/>
        </w:rPr>
        <w:t xml:space="preserve">                    </w:t>
      </w:r>
      <w:r>
        <w:rPr>
          <w:rFonts w:hint="eastAsia"/>
          <w:sz w:val="28"/>
          <w:szCs w:val="28"/>
        </w:rPr>
        <w:t>项目</w:t>
      </w:r>
      <w:r>
        <w:rPr>
          <w:sz w:val="28"/>
          <w:szCs w:val="28"/>
        </w:rPr>
        <w:t>（项目编号：</w:t>
      </w:r>
      <w:r>
        <w:rPr>
          <w:sz w:val="28"/>
          <w:szCs w:val="28"/>
          <w:u w:val="single"/>
        </w:rPr>
        <w:t xml:space="preserve">   </w:t>
      </w:r>
      <w:r>
        <w:rPr>
          <w:rFonts w:hint="eastAsia"/>
          <w:sz w:val="28"/>
          <w:szCs w:val="28"/>
          <w:u w:val="single"/>
        </w:rPr>
        <w:t xml:space="preserve">    </w:t>
      </w:r>
      <w:r>
        <w:rPr>
          <w:sz w:val="28"/>
          <w:szCs w:val="28"/>
          <w:u w:val="single"/>
        </w:rPr>
        <w:t xml:space="preserve">    </w:t>
      </w:r>
      <w:r>
        <w:rPr>
          <w:sz w:val="28"/>
          <w:szCs w:val="28"/>
        </w:rPr>
        <w:t>）</w:t>
      </w:r>
      <w:r>
        <w:rPr>
          <w:rFonts w:hint="eastAsia"/>
          <w:sz w:val="28"/>
          <w:szCs w:val="28"/>
        </w:rPr>
        <w:t>的要求提供样品___________（按所提供的样品填写）。我司承诺，如未成交，需在磋商</w:t>
      </w:r>
      <w:r>
        <w:rPr>
          <w:sz w:val="28"/>
          <w:szCs w:val="28"/>
        </w:rPr>
        <w:t>结束</w:t>
      </w:r>
      <w:r>
        <w:rPr>
          <w:rFonts w:hint="eastAsia"/>
          <w:sz w:val="28"/>
          <w:szCs w:val="28"/>
        </w:rPr>
        <w:t>后当</w:t>
      </w:r>
      <w:r>
        <w:rPr>
          <w:sz w:val="28"/>
          <w:szCs w:val="28"/>
        </w:rPr>
        <w:t>日</w:t>
      </w:r>
      <w:r>
        <w:rPr>
          <w:rFonts w:hint="eastAsia"/>
          <w:sz w:val="28"/>
          <w:szCs w:val="28"/>
        </w:rPr>
        <w:t>取</w:t>
      </w:r>
      <w:r>
        <w:rPr>
          <w:sz w:val="28"/>
          <w:szCs w:val="28"/>
        </w:rPr>
        <w:t>走</w:t>
      </w:r>
      <w:r>
        <w:rPr>
          <w:rFonts w:hint="eastAsia"/>
          <w:sz w:val="28"/>
          <w:szCs w:val="28"/>
        </w:rPr>
        <w:t>样品，若没有及时取回，将默认接受温州市公共资源交易中心鹿城分中心对现场样品的任何处置。特此承诺。</w:t>
      </w:r>
    </w:p>
    <w:p>
      <w:pPr>
        <w:jc w:val="center"/>
        <w:rPr>
          <w:rFonts w:hint="eastAsia"/>
          <w:sz w:val="48"/>
          <w:szCs w:val="56"/>
        </w:rPr>
      </w:pPr>
    </w:p>
    <w:p>
      <w:pPr>
        <w:adjustRightInd w:val="0"/>
        <w:snapToGrid w:val="0"/>
        <w:spacing w:line="360" w:lineRule="auto"/>
        <w:jc w:val="center"/>
        <w:rPr>
          <w:rFonts w:hint="eastAsia" w:ascii="黑体" w:hAnsi="仿宋" w:eastAsia="黑体"/>
          <w:b/>
          <w:bCs/>
          <w:sz w:val="36"/>
          <w:szCs w:val="36"/>
        </w:rPr>
      </w:pPr>
    </w:p>
    <w:p>
      <w:pPr>
        <w:spacing w:line="360" w:lineRule="auto"/>
        <w:ind w:firstLine="560" w:firstLineChars="200"/>
        <w:rPr>
          <w:rFonts w:ascii="宋体" w:hAnsi="宋体" w:cs="仿宋_GB2312"/>
          <w:sz w:val="28"/>
          <w:szCs w:val="28"/>
        </w:rPr>
      </w:pPr>
    </w:p>
    <w:p>
      <w:pPr>
        <w:tabs>
          <w:tab w:val="left" w:pos="4860"/>
        </w:tabs>
        <w:spacing w:line="360" w:lineRule="auto"/>
        <w:ind w:right="1560" w:firstLine="560" w:firstLineChars="200"/>
        <w:jc w:val="center"/>
        <w:rPr>
          <w:rFonts w:ascii="宋体" w:hAnsi="宋体" w:cs="仿宋_GB2312"/>
          <w:sz w:val="28"/>
          <w:szCs w:val="28"/>
        </w:rPr>
      </w:pPr>
      <w:r>
        <w:rPr>
          <w:rFonts w:hint="eastAsia" w:ascii="宋体" w:hAnsi="宋体" w:cs="仿宋_GB2312"/>
          <w:sz w:val="28"/>
          <w:szCs w:val="28"/>
        </w:rPr>
        <w:t xml:space="preserve">                  </w:t>
      </w:r>
      <w:r>
        <w:rPr>
          <w:rFonts w:hint="eastAsia" w:ascii="宋体" w:hAnsi="宋体"/>
          <w:color w:val="000000"/>
          <w:sz w:val="28"/>
          <w:szCs w:val="28"/>
        </w:rPr>
        <w:t>磋商供应商</w:t>
      </w:r>
      <w:r>
        <w:rPr>
          <w:rFonts w:hint="eastAsia" w:ascii="宋体" w:hAnsi="宋体"/>
          <w:sz w:val="28"/>
          <w:szCs w:val="28"/>
        </w:rPr>
        <w:t>全称</w:t>
      </w:r>
      <w:r>
        <w:rPr>
          <w:rFonts w:hint="eastAsia" w:ascii="宋体" w:hAnsi="宋体" w:cs="仿宋_GB2312"/>
          <w:sz w:val="28"/>
          <w:szCs w:val="28"/>
        </w:rPr>
        <w:t>（</w:t>
      </w:r>
      <w:r>
        <w:rPr>
          <w:rFonts w:hint="eastAsia" w:ascii="宋体" w:hAnsi="宋体"/>
          <w:bCs/>
          <w:sz w:val="24"/>
        </w:rPr>
        <w:t>公章或CA章</w:t>
      </w:r>
      <w:r>
        <w:rPr>
          <w:rFonts w:hint="eastAsia" w:ascii="宋体" w:hAnsi="宋体" w:cs="仿宋_GB2312"/>
          <w:sz w:val="28"/>
          <w:szCs w:val="28"/>
        </w:rPr>
        <w:t>）：</w:t>
      </w:r>
    </w:p>
    <w:p>
      <w:pPr>
        <w:tabs>
          <w:tab w:val="left" w:pos="4860"/>
        </w:tabs>
        <w:spacing w:line="360" w:lineRule="auto"/>
        <w:ind w:right="1560" w:firstLine="560" w:firstLineChars="200"/>
        <w:jc w:val="center"/>
        <w:rPr>
          <w:rFonts w:ascii="宋体" w:hAnsi="宋体" w:cs="仿宋_GB2312"/>
          <w:sz w:val="28"/>
          <w:szCs w:val="28"/>
        </w:rPr>
      </w:pPr>
      <w:r>
        <w:rPr>
          <w:rFonts w:hint="eastAsia" w:ascii="宋体" w:hAnsi="宋体" w:cs="仿宋_GB2312"/>
          <w:sz w:val="28"/>
          <w:szCs w:val="28"/>
        </w:rPr>
        <w:t xml:space="preserve">                  日期：   年   月  日</w:t>
      </w:r>
    </w:p>
    <w:p>
      <w:pPr>
        <w:pStyle w:val="2"/>
        <w:spacing w:before="120"/>
        <w:rPr>
          <w:rFonts w:hint="eastAsia" w:ascii="宋体" w:hAnsi="宋体" w:cs="宋体"/>
          <w:b/>
          <w:szCs w:val="21"/>
        </w:rPr>
      </w:pPr>
    </w:p>
    <w:p>
      <w:pPr>
        <w:pStyle w:val="16"/>
        <w:overflowPunct w:val="0"/>
        <w:spacing w:line="360" w:lineRule="auto"/>
        <w:ind w:firstLine="0"/>
        <w:rPr>
          <w:rFonts w:hint="eastAsia" w:ascii="宋体" w:hAnsi="宋体" w:cs="宋体"/>
          <w:b/>
          <w:bCs/>
          <w:sz w:val="36"/>
          <w:szCs w:val="36"/>
        </w:rPr>
      </w:pPr>
      <w:r>
        <w:rPr>
          <w:rFonts w:hint="eastAsia" w:ascii="宋体" w:hAnsi="宋体" w:cs="宋体"/>
          <w:sz w:val="24"/>
        </w:rPr>
        <w:br w:type="page"/>
      </w:r>
      <w:r>
        <w:rPr>
          <w:rFonts w:hint="eastAsia" w:ascii="宋体" w:hAnsi="宋体" w:cs="宋体"/>
          <w:sz w:val="30"/>
          <w:szCs w:val="30"/>
        </w:rPr>
        <w:t xml:space="preserve"> </w:t>
      </w:r>
      <w:r>
        <w:rPr>
          <w:rFonts w:hint="eastAsia" w:ascii="宋体" w:hAnsi="宋体" w:cs="宋体"/>
          <w:b/>
          <w:bCs/>
          <w:sz w:val="36"/>
          <w:szCs w:val="36"/>
        </w:rPr>
        <w:t>2、商务技术文件目录</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（1）磋商响应供应商综合情况</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（2）同类项目业绩</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（3）货物配置清单（不含价格）</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（4）技术及商务偏离表</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（5）供采购人选购的备品备件及维保期期满后相关维修配件清单一览表</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（6）产品附件、备品备件和专用工具清单（如有）</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（7）生产设备</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（8）交货及安装方案</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（9）主要产品的环保性、稳定性、安全性</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（10）主要原材料的环保性、稳定性、安全性</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（11）售后服务</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（12）节能环保产品声明函（如有提供）</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（13）节能（环保）产品清单（如有提供）</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（14）磋商样品</w:t>
      </w:r>
    </w:p>
    <w:p>
      <w:pPr>
        <w:snapToGrid w:val="0"/>
        <w:spacing w:line="360" w:lineRule="auto"/>
        <w:ind w:firstLine="420" w:firstLineChars="150"/>
        <w:jc w:val="left"/>
        <w:rPr>
          <w:rFonts w:hint="eastAsia" w:ascii="宋体" w:hAnsi="宋体"/>
          <w:sz w:val="28"/>
          <w:szCs w:val="28"/>
        </w:rPr>
      </w:pPr>
      <w:r>
        <w:rPr>
          <w:rFonts w:hint="eastAsia" w:ascii="宋体" w:hAnsi="宋体"/>
          <w:sz w:val="28"/>
          <w:szCs w:val="28"/>
        </w:rPr>
        <w:t>（15）磋商供应商认为需要的其他技术资料</w:t>
      </w:r>
    </w:p>
    <w:p>
      <w:pPr>
        <w:spacing w:line="360" w:lineRule="auto"/>
        <w:ind w:firstLine="600" w:firstLineChars="200"/>
        <w:jc w:val="center"/>
        <w:rPr>
          <w:rFonts w:hint="eastAsia" w:ascii="宋体" w:hAnsi="宋体" w:cs="宋体"/>
          <w:b/>
          <w:bCs/>
          <w:sz w:val="36"/>
          <w:szCs w:val="36"/>
        </w:rPr>
      </w:pPr>
      <w:r>
        <w:rPr>
          <w:rFonts w:hint="eastAsia" w:ascii="宋体" w:hAnsi="宋体" w:cs="宋体"/>
          <w:sz w:val="30"/>
          <w:szCs w:val="30"/>
        </w:rPr>
        <w:br w:type="page"/>
      </w:r>
      <w:r>
        <w:rPr>
          <w:rFonts w:hint="eastAsia" w:ascii="宋体" w:hAnsi="宋体" w:cs="宋体"/>
          <w:b/>
          <w:bCs/>
          <w:sz w:val="36"/>
          <w:szCs w:val="36"/>
        </w:rPr>
        <w:t>（1）磋商响应供应商综合情况</w:t>
      </w:r>
    </w:p>
    <w:p>
      <w:pPr>
        <w:tabs>
          <w:tab w:val="left" w:pos="1985"/>
        </w:tabs>
        <w:spacing w:line="460" w:lineRule="exact"/>
        <w:rPr>
          <w:rFonts w:hint="eastAsia" w:ascii="宋体" w:hAnsi="宋体" w:cs="宋体"/>
          <w:bCs/>
          <w:sz w:val="22"/>
          <w:szCs w:val="22"/>
        </w:rPr>
      </w:pPr>
      <w:r>
        <w:rPr>
          <w:rFonts w:hint="eastAsia" w:ascii="宋体" w:hAnsi="宋体" w:cs="宋体"/>
          <w:bCs/>
          <w:sz w:val="22"/>
          <w:szCs w:val="22"/>
        </w:rPr>
        <w:t xml:space="preserve">项目编号：                                               </w:t>
      </w:r>
    </w:p>
    <w:tbl>
      <w:tblPr>
        <w:tblStyle w:val="51"/>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9587" w:hRule="atLeast"/>
        </w:trPr>
        <w:tc>
          <w:tcPr>
            <w:tcW w:w="9214" w:type="dxa"/>
            <w:noWrap w:val="0"/>
            <w:vAlign w:val="center"/>
          </w:tcPr>
          <w:p>
            <w:pPr>
              <w:rPr>
                <w:rFonts w:hint="eastAsia" w:ascii="宋体" w:hAnsi="宋体" w:cs="宋体"/>
              </w:rPr>
            </w:pPr>
          </w:p>
          <w:p>
            <w:pPr>
              <w:jc w:val="center"/>
              <w:rPr>
                <w:rFonts w:hint="eastAsia" w:ascii="宋体" w:hAnsi="宋体" w:cs="宋体"/>
              </w:rPr>
            </w:pPr>
            <w:r>
              <w:rPr>
                <w:rFonts w:hint="eastAsia" w:ascii="宋体" w:hAnsi="宋体" w:cs="宋体"/>
              </w:rPr>
              <w:t>（格式自拟）</w:t>
            </w:r>
          </w:p>
          <w:p>
            <w:pPr>
              <w:ind w:left="5250" w:leftChars="2500"/>
              <w:rPr>
                <w:rFonts w:hint="eastAsia" w:ascii="宋体" w:hAnsi="宋体" w:cs="宋体"/>
                <w:b/>
                <w:bCs/>
              </w:rPr>
            </w:pPr>
          </w:p>
        </w:tc>
      </w:tr>
    </w:tbl>
    <w:p>
      <w:pPr>
        <w:rPr>
          <w:rFonts w:hint="eastAsia" w:ascii="宋体" w:hAnsi="宋体" w:cs="宋体"/>
          <w:sz w:val="24"/>
        </w:rPr>
      </w:pPr>
      <w:r>
        <w:rPr>
          <w:rFonts w:hint="eastAsia" w:ascii="宋体" w:hAnsi="宋体" w:cs="宋体"/>
          <w:sz w:val="24"/>
        </w:rPr>
        <w:t>磋商供应商全称（公章或CA章）：</w:t>
      </w:r>
    </w:p>
    <w:p>
      <w:pPr>
        <w:rPr>
          <w:rFonts w:hint="eastAsia" w:ascii="宋体" w:hAnsi="宋体" w:cs="宋体"/>
          <w:bCs/>
          <w:sz w:val="24"/>
        </w:rPr>
      </w:pPr>
      <w:r>
        <w:rPr>
          <w:rFonts w:hint="eastAsia" w:ascii="宋体" w:hAnsi="宋体" w:cs="宋体"/>
          <w:sz w:val="24"/>
        </w:rPr>
        <w:t>日期：  年  月  日</w:t>
      </w:r>
    </w:p>
    <w:p>
      <w:pPr>
        <w:spacing w:line="460" w:lineRule="exact"/>
        <w:jc w:val="center"/>
        <w:rPr>
          <w:rFonts w:hint="eastAsia"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（2）同类项目业绩</w:t>
      </w:r>
    </w:p>
    <w:p>
      <w:pPr>
        <w:tabs>
          <w:tab w:val="left" w:pos="1985"/>
        </w:tabs>
        <w:spacing w:line="460" w:lineRule="exact"/>
        <w:rPr>
          <w:rFonts w:hint="eastAsia" w:ascii="宋体" w:hAnsi="宋体" w:cs="宋体"/>
          <w:bCs/>
          <w:color w:val="000000"/>
          <w:sz w:val="32"/>
          <w:szCs w:val="32"/>
        </w:rPr>
      </w:pPr>
      <w:r>
        <w:rPr>
          <w:rFonts w:hint="eastAsia" w:ascii="宋体" w:hAnsi="宋体" w:cs="宋体"/>
          <w:bCs/>
          <w:color w:val="000000"/>
          <w:sz w:val="22"/>
          <w:szCs w:val="22"/>
        </w:rPr>
        <w:t xml:space="preserve">项目编号：            </w:t>
      </w:r>
      <w:r>
        <w:rPr>
          <w:rFonts w:hint="eastAsia" w:ascii="宋体" w:hAnsi="宋体" w:cs="宋体"/>
          <w:bCs/>
          <w:color w:val="000000"/>
        </w:rPr>
        <w:t xml:space="preserve">                                       </w:t>
      </w:r>
      <w:r>
        <w:rPr>
          <w:rFonts w:hint="eastAsia" w:ascii="宋体" w:hAnsi="宋体" w:cs="宋体"/>
          <w:bCs/>
          <w:color w:val="000000"/>
          <w:sz w:val="22"/>
          <w:szCs w:val="22"/>
        </w:rPr>
        <w:t xml:space="preserve">    </w:t>
      </w:r>
    </w:p>
    <w:tbl>
      <w:tblPr>
        <w:tblStyle w:val="51"/>
        <w:tblW w:w="93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77"/>
        <w:gridCol w:w="1608"/>
        <w:gridCol w:w="1134"/>
        <w:gridCol w:w="1701"/>
        <w:gridCol w:w="1559"/>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0"/>
            <w:vAlign w:val="center"/>
          </w:tcPr>
          <w:p>
            <w:pPr>
              <w:tabs>
                <w:tab w:val="left" w:pos="1985"/>
              </w:tabs>
              <w:spacing w:after="120" w:line="380" w:lineRule="exact"/>
              <w:jc w:val="center"/>
              <w:rPr>
                <w:rFonts w:hint="eastAsia" w:ascii="宋体" w:hAnsi="宋体" w:cs="宋体"/>
                <w:bCs/>
                <w:color w:val="000000"/>
                <w:sz w:val="22"/>
                <w:szCs w:val="22"/>
              </w:rPr>
            </w:pPr>
            <w:r>
              <w:rPr>
                <w:rFonts w:hint="eastAsia" w:ascii="宋体" w:hAnsi="宋体" w:cs="宋体"/>
                <w:bCs/>
                <w:color w:val="000000"/>
                <w:sz w:val="22"/>
                <w:szCs w:val="22"/>
              </w:rPr>
              <w:t>序号</w:t>
            </w:r>
          </w:p>
        </w:tc>
        <w:tc>
          <w:tcPr>
            <w:tcW w:w="1477" w:type="dxa"/>
            <w:noWrap w:val="0"/>
            <w:vAlign w:val="center"/>
          </w:tcPr>
          <w:p>
            <w:pPr>
              <w:tabs>
                <w:tab w:val="left" w:pos="1985"/>
              </w:tabs>
              <w:spacing w:after="120" w:line="380" w:lineRule="exact"/>
              <w:jc w:val="center"/>
              <w:rPr>
                <w:rFonts w:hint="eastAsia" w:ascii="宋体" w:hAnsi="宋体" w:cs="宋体"/>
                <w:bCs/>
                <w:color w:val="000000"/>
                <w:sz w:val="22"/>
                <w:szCs w:val="22"/>
              </w:rPr>
            </w:pPr>
            <w:r>
              <w:rPr>
                <w:rFonts w:hint="eastAsia" w:ascii="宋体" w:hAnsi="宋体" w:cs="宋体"/>
                <w:bCs/>
                <w:color w:val="000000"/>
                <w:sz w:val="22"/>
                <w:szCs w:val="22"/>
              </w:rPr>
              <w:t>用户名称</w:t>
            </w:r>
          </w:p>
        </w:tc>
        <w:tc>
          <w:tcPr>
            <w:tcW w:w="1608" w:type="dxa"/>
            <w:noWrap w:val="0"/>
            <w:vAlign w:val="center"/>
          </w:tcPr>
          <w:p>
            <w:pPr>
              <w:tabs>
                <w:tab w:val="left" w:pos="1985"/>
              </w:tabs>
              <w:spacing w:after="120" w:line="380" w:lineRule="exact"/>
              <w:jc w:val="center"/>
              <w:rPr>
                <w:rFonts w:hint="eastAsia" w:ascii="宋体" w:hAnsi="宋体" w:cs="宋体"/>
                <w:bCs/>
                <w:color w:val="000000"/>
                <w:sz w:val="22"/>
                <w:szCs w:val="22"/>
              </w:rPr>
            </w:pPr>
            <w:r>
              <w:rPr>
                <w:rFonts w:hint="eastAsia" w:ascii="宋体" w:hAnsi="宋体" w:cs="宋体"/>
                <w:bCs/>
                <w:color w:val="000000"/>
                <w:sz w:val="22"/>
                <w:szCs w:val="22"/>
              </w:rPr>
              <w:t>项目名称</w:t>
            </w:r>
          </w:p>
        </w:tc>
        <w:tc>
          <w:tcPr>
            <w:tcW w:w="1134" w:type="dxa"/>
            <w:noWrap w:val="0"/>
            <w:vAlign w:val="center"/>
          </w:tcPr>
          <w:p>
            <w:pPr>
              <w:tabs>
                <w:tab w:val="left" w:pos="1985"/>
              </w:tabs>
              <w:spacing w:after="120" w:line="380" w:lineRule="exact"/>
              <w:jc w:val="center"/>
              <w:rPr>
                <w:rFonts w:hint="eastAsia" w:ascii="宋体" w:hAnsi="宋体" w:cs="宋体"/>
                <w:bCs/>
                <w:color w:val="000000"/>
                <w:sz w:val="22"/>
                <w:szCs w:val="22"/>
              </w:rPr>
            </w:pPr>
            <w:r>
              <w:rPr>
                <w:rFonts w:hint="eastAsia" w:ascii="宋体" w:hAnsi="宋体" w:cs="宋体"/>
                <w:bCs/>
                <w:color w:val="000000"/>
                <w:sz w:val="22"/>
                <w:szCs w:val="22"/>
              </w:rPr>
              <w:t>合同金额</w:t>
            </w:r>
          </w:p>
        </w:tc>
        <w:tc>
          <w:tcPr>
            <w:tcW w:w="1701" w:type="dxa"/>
            <w:noWrap w:val="0"/>
            <w:vAlign w:val="center"/>
          </w:tcPr>
          <w:p>
            <w:pPr>
              <w:tabs>
                <w:tab w:val="left" w:pos="1985"/>
              </w:tabs>
              <w:spacing w:after="120" w:line="380" w:lineRule="exact"/>
              <w:jc w:val="center"/>
              <w:rPr>
                <w:rFonts w:hint="eastAsia" w:ascii="宋体" w:hAnsi="宋体" w:cs="宋体"/>
                <w:bCs/>
                <w:color w:val="000000"/>
                <w:sz w:val="22"/>
                <w:szCs w:val="22"/>
              </w:rPr>
            </w:pPr>
            <w:r>
              <w:rPr>
                <w:rFonts w:hint="eastAsia" w:ascii="宋体" w:hAnsi="宋体" w:cs="宋体"/>
                <w:bCs/>
                <w:color w:val="000000"/>
                <w:sz w:val="22"/>
                <w:szCs w:val="22"/>
              </w:rPr>
              <w:t>合同签订日期</w:t>
            </w:r>
          </w:p>
        </w:tc>
        <w:tc>
          <w:tcPr>
            <w:tcW w:w="1559" w:type="dxa"/>
            <w:noWrap w:val="0"/>
            <w:vAlign w:val="center"/>
          </w:tcPr>
          <w:p>
            <w:pPr>
              <w:tabs>
                <w:tab w:val="left" w:pos="1985"/>
              </w:tabs>
              <w:spacing w:after="120" w:line="380" w:lineRule="exact"/>
              <w:jc w:val="center"/>
              <w:rPr>
                <w:rFonts w:hint="eastAsia" w:ascii="宋体" w:hAnsi="宋体" w:cs="宋体"/>
                <w:bCs/>
                <w:color w:val="000000"/>
                <w:sz w:val="22"/>
                <w:szCs w:val="22"/>
              </w:rPr>
            </w:pPr>
            <w:r>
              <w:rPr>
                <w:rFonts w:hint="eastAsia" w:ascii="宋体" w:hAnsi="宋体" w:cs="宋体"/>
                <w:bCs/>
                <w:color w:val="000000"/>
                <w:sz w:val="22"/>
                <w:szCs w:val="22"/>
              </w:rPr>
              <w:t>用户联系电话/手机</w:t>
            </w:r>
          </w:p>
        </w:tc>
        <w:tc>
          <w:tcPr>
            <w:tcW w:w="1134" w:type="dxa"/>
            <w:noWrap w:val="0"/>
            <w:vAlign w:val="center"/>
          </w:tcPr>
          <w:p>
            <w:pPr>
              <w:tabs>
                <w:tab w:val="left" w:pos="1985"/>
              </w:tabs>
              <w:spacing w:after="120" w:line="380" w:lineRule="exact"/>
              <w:jc w:val="center"/>
              <w:rPr>
                <w:rFonts w:hint="eastAsia" w:ascii="宋体" w:hAnsi="宋体" w:cs="宋体"/>
                <w:bCs/>
                <w:color w:val="000000"/>
                <w:sz w:val="22"/>
                <w:szCs w:val="22"/>
              </w:rPr>
            </w:pPr>
            <w:r>
              <w:rPr>
                <w:rFonts w:hint="eastAsia" w:ascii="宋体" w:hAnsi="宋体" w:cs="宋体"/>
                <w:bCs/>
                <w:color w:val="00000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477"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608"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134" w:type="dxa"/>
            <w:noWrap w:val="0"/>
            <w:vAlign w:val="center"/>
          </w:tcPr>
          <w:p>
            <w:pPr>
              <w:tabs>
                <w:tab w:val="left" w:pos="1985"/>
              </w:tabs>
              <w:spacing w:after="120" w:line="380" w:lineRule="exact"/>
              <w:rPr>
                <w:rFonts w:hint="eastAsia" w:ascii="宋体" w:hAnsi="宋体" w:cs="宋体"/>
                <w:bCs/>
                <w:color w:val="000000"/>
                <w:sz w:val="22"/>
                <w:szCs w:val="22"/>
              </w:rPr>
            </w:pPr>
          </w:p>
        </w:tc>
        <w:tc>
          <w:tcPr>
            <w:tcW w:w="1701" w:type="dxa"/>
            <w:noWrap w:val="0"/>
            <w:vAlign w:val="center"/>
          </w:tcPr>
          <w:p>
            <w:pPr>
              <w:tabs>
                <w:tab w:val="left" w:pos="1985"/>
              </w:tabs>
              <w:spacing w:after="120" w:line="380" w:lineRule="exact"/>
              <w:rPr>
                <w:rFonts w:hint="eastAsia" w:ascii="宋体" w:hAnsi="宋体" w:cs="宋体"/>
                <w:bCs/>
                <w:color w:val="000000"/>
                <w:sz w:val="22"/>
                <w:szCs w:val="22"/>
              </w:rPr>
            </w:pPr>
          </w:p>
        </w:tc>
        <w:tc>
          <w:tcPr>
            <w:tcW w:w="1559" w:type="dxa"/>
            <w:noWrap w:val="0"/>
            <w:vAlign w:val="center"/>
          </w:tcPr>
          <w:p>
            <w:pPr>
              <w:tabs>
                <w:tab w:val="left" w:pos="1985"/>
              </w:tabs>
              <w:spacing w:after="120" w:line="380" w:lineRule="exact"/>
              <w:rPr>
                <w:rFonts w:hint="eastAsia" w:ascii="宋体" w:hAnsi="宋体" w:cs="宋体"/>
                <w:bCs/>
                <w:color w:val="000000"/>
                <w:sz w:val="22"/>
                <w:szCs w:val="22"/>
              </w:rPr>
            </w:pPr>
          </w:p>
        </w:tc>
        <w:tc>
          <w:tcPr>
            <w:tcW w:w="1134" w:type="dxa"/>
            <w:noWrap w:val="0"/>
            <w:vAlign w:val="center"/>
          </w:tcPr>
          <w:p>
            <w:pPr>
              <w:tabs>
                <w:tab w:val="left" w:pos="1985"/>
              </w:tabs>
              <w:spacing w:after="120" w:line="380" w:lineRule="exact"/>
              <w:rPr>
                <w:rFonts w:hint="eastAsia" w:ascii="宋体" w:hAnsi="宋体" w:cs="宋体"/>
                <w:bCs/>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477"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608"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134" w:type="dxa"/>
            <w:noWrap w:val="0"/>
            <w:vAlign w:val="top"/>
          </w:tcPr>
          <w:p>
            <w:pPr>
              <w:tabs>
                <w:tab w:val="left" w:pos="1985"/>
              </w:tabs>
              <w:spacing w:after="120" w:line="380" w:lineRule="exact"/>
              <w:ind w:left="420" w:leftChars="200"/>
              <w:rPr>
                <w:rFonts w:hint="eastAsia" w:ascii="宋体" w:hAnsi="宋体" w:cs="宋体"/>
                <w:b/>
                <w:bCs/>
                <w:color w:val="000000"/>
                <w:sz w:val="22"/>
                <w:szCs w:val="22"/>
              </w:rPr>
            </w:pPr>
          </w:p>
        </w:tc>
        <w:tc>
          <w:tcPr>
            <w:tcW w:w="1701"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559"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134" w:type="dxa"/>
            <w:noWrap w:val="0"/>
            <w:vAlign w:val="top"/>
          </w:tcPr>
          <w:p>
            <w:pPr>
              <w:tabs>
                <w:tab w:val="left" w:pos="1985"/>
              </w:tabs>
              <w:spacing w:after="120" w:line="380" w:lineRule="exact"/>
              <w:ind w:left="420" w:leftChars="200"/>
              <w:rPr>
                <w:rFonts w:hint="eastAsia" w:ascii="宋体" w:hAnsi="宋体" w:cs="宋体"/>
                <w:b/>
                <w:bCs/>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477"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608"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134" w:type="dxa"/>
            <w:noWrap w:val="0"/>
            <w:vAlign w:val="top"/>
          </w:tcPr>
          <w:p>
            <w:pPr>
              <w:tabs>
                <w:tab w:val="left" w:pos="1985"/>
              </w:tabs>
              <w:spacing w:after="120" w:line="380" w:lineRule="exact"/>
              <w:ind w:left="420" w:leftChars="200"/>
              <w:rPr>
                <w:rFonts w:hint="eastAsia" w:ascii="宋体" w:hAnsi="宋体" w:cs="宋体"/>
                <w:b/>
                <w:bCs/>
                <w:color w:val="000000"/>
                <w:sz w:val="22"/>
                <w:szCs w:val="22"/>
              </w:rPr>
            </w:pPr>
          </w:p>
        </w:tc>
        <w:tc>
          <w:tcPr>
            <w:tcW w:w="1701"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559"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134" w:type="dxa"/>
            <w:noWrap w:val="0"/>
            <w:vAlign w:val="top"/>
          </w:tcPr>
          <w:p>
            <w:pPr>
              <w:tabs>
                <w:tab w:val="left" w:pos="1985"/>
              </w:tabs>
              <w:spacing w:after="120" w:line="380" w:lineRule="exact"/>
              <w:ind w:left="420" w:leftChars="200"/>
              <w:rPr>
                <w:rFonts w:hint="eastAsia" w:ascii="宋体" w:hAnsi="宋体" w:cs="宋体"/>
                <w:b/>
                <w:bCs/>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477"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608"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134" w:type="dxa"/>
            <w:noWrap w:val="0"/>
            <w:vAlign w:val="top"/>
          </w:tcPr>
          <w:p>
            <w:pPr>
              <w:tabs>
                <w:tab w:val="left" w:pos="1985"/>
              </w:tabs>
              <w:spacing w:after="120" w:line="380" w:lineRule="exact"/>
              <w:ind w:left="420" w:leftChars="200"/>
              <w:rPr>
                <w:rFonts w:hint="eastAsia" w:ascii="宋体" w:hAnsi="宋体" w:cs="宋体"/>
                <w:b/>
                <w:bCs/>
                <w:color w:val="000000"/>
                <w:sz w:val="22"/>
                <w:szCs w:val="22"/>
              </w:rPr>
            </w:pPr>
          </w:p>
        </w:tc>
        <w:tc>
          <w:tcPr>
            <w:tcW w:w="1701"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559"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134" w:type="dxa"/>
            <w:noWrap w:val="0"/>
            <w:vAlign w:val="top"/>
          </w:tcPr>
          <w:p>
            <w:pPr>
              <w:tabs>
                <w:tab w:val="left" w:pos="1985"/>
              </w:tabs>
              <w:spacing w:after="120" w:line="380" w:lineRule="exact"/>
              <w:ind w:left="420" w:leftChars="200"/>
              <w:rPr>
                <w:rFonts w:hint="eastAsia" w:ascii="宋体" w:hAnsi="宋体" w:cs="宋体"/>
                <w:b/>
                <w:bCs/>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477"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608"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134" w:type="dxa"/>
            <w:noWrap w:val="0"/>
            <w:vAlign w:val="top"/>
          </w:tcPr>
          <w:p>
            <w:pPr>
              <w:tabs>
                <w:tab w:val="left" w:pos="1985"/>
              </w:tabs>
              <w:spacing w:after="120" w:line="380" w:lineRule="exact"/>
              <w:ind w:left="420" w:leftChars="200"/>
              <w:rPr>
                <w:rFonts w:hint="eastAsia" w:ascii="宋体" w:hAnsi="宋体" w:cs="宋体"/>
                <w:b/>
                <w:bCs/>
                <w:color w:val="000000"/>
                <w:sz w:val="22"/>
                <w:szCs w:val="22"/>
              </w:rPr>
            </w:pPr>
          </w:p>
        </w:tc>
        <w:tc>
          <w:tcPr>
            <w:tcW w:w="1701"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559" w:type="dxa"/>
            <w:noWrap w:val="0"/>
            <w:vAlign w:val="center"/>
          </w:tcPr>
          <w:p>
            <w:pPr>
              <w:tabs>
                <w:tab w:val="left" w:pos="1985"/>
              </w:tabs>
              <w:spacing w:after="120" w:line="380" w:lineRule="exact"/>
              <w:ind w:left="420" w:leftChars="200"/>
              <w:rPr>
                <w:rFonts w:hint="eastAsia" w:ascii="宋体" w:hAnsi="宋体" w:cs="宋体"/>
                <w:b/>
                <w:bCs/>
                <w:color w:val="000000"/>
                <w:sz w:val="22"/>
                <w:szCs w:val="22"/>
              </w:rPr>
            </w:pPr>
          </w:p>
        </w:tc>
        <w:tc>
          <w:tcPr>
            <w:tcW w:w="1134" w:type="dxa"/>
            <w:noWrap w:val="0"/>
            <w:vAlign w:val="top"/>
          </w:tcPr>
          <w:p>
            <w:pPr>
              <w:tabs>
                <w:tab w:val="left" w:pos="1985"/>
              </w:tabs>
              <w:spacing w:after="120" w:line="380" w:lineRule="exact"/>
              <w:ind w:left="420" w:leftChars="200"/>
              <w:rPr>
                <w:rFonts w:hint="eastAsia" w:ascii="宋体" w:hAnsi="宋体" w:cs="宋体"/>
                <w:b/>
                <w:bCs/>
                <w:color w:val="000000"/>
                <w:sz w:val="22"/>
                <w:szCs w:val="22"/>
              </w:rPr>
            </w:pPr>
          </w:p>
        </w:tc>
      </w:tr>
    </w:tbl>
    <w:p>
      <w:pPr>
        <w:tabs>
          <w:tab w:val="left" w:pos="1985"/>
        </w:tabs>
        <w:spacing w:line="380" w:lineRule="exact"/>
        <w:rPr>
          <w:rFonts w:hint="eastAsia" w:ascii="宋体" w:hAnsi="宋体" w:cs="宋体"/>
          <w:color w:val="000000"/>
          <w:sz w:val="22"/>
          <w:szCs w:val="22"/>
        </w:rPr>
      </w:pPr>
      <w:r>
        <w:rPr>
          <w:rFonts w:hint="eastAsia" w:ascii="宋体" w:hAnsi="宋体" w:cs="宋体"/>
          <w:color w:val="000000"/>
          <w:sz w:val="22"/>
          <w:szCs w:val="22"/>
        </w:rPr>
        <w:t>附注：</w:t>
      </w:r>
    </w:p>
    <w:p>
      <w:pPr>
        <w:tabs>
          <w:tab w:val="left" w:pos="1985"/>
        </w:tabs>
        <w:spacing w:line="380" w:lineRule="exact"/>
        <w:rPr>
          <w:rFonts w:hint="eastAsia" w:ascii="宋体" w:hAnsi="宋体" w:cs="宋体"/>
          <w:sz w:val="22"/>
          <w:szCs w:val="22"/>
        </w:rPr>
      </w:pPr>
      <w:r>
        <w:rPr>
          <w:rFonts w:hint="eastAsia" w:ascii="宋体" w:hAnsi="宋体" w:cs="宋体"/>
          <w:color w:val="000000"/>
          <w:sz w:val="22"/>
          <w:szCs w:val="22"/>
        </w:rPr>
        <w:t>1.此表仅提供了表格形式，供应</w:t>
      </w:r>
      <w:r>
        <w:rPr>
          <w:rFonts w:hint="eastAsia" w:ascii="宋体" w:hAnsi="宋体" w:cs="宋体"/>
          <w:sz w:val="22"/>
          <w:szCs w:val="22"/>
        </w:rPr>
        <w:t>商应根据需要准备足够数量的表格来填写。</w:t>
      </w:r>
    </w:p>
    <w:p>
      <w:pPr>
        <w:tabs>
          <w:tab w:val="left" w:pos="1985"/>
        </w:tabs>
        <w:spacing w:line="380" w:lineRule="exact"/>
        <w:rPr>
          <w:rFonts w:hint="eastAsia" w:ascii="宋体" w:hAnsi="宋体" w:cs="宋体"/>
          <w:sz w:val="22"/>
          <w:szCs w:val="22"/>
        </w:rPr>
      </w:pPr>
      <w:r>
        <w:rPr>
          <w:rFonts w:hint="eastAsia" w:ascii="宋体" w:hAnsi="宋体" w:cs="宋体"/>
          <w:sz w:val="22"/>
          <w:szCs w:val="22"/>
        </w:rPr>
        <w:t>2. 供应商同类项目业绩须满足以下条件：提供客户联系方式，采购合同扫描件加盖磋商供应商公章，资料提供不齐全不得分</w:t>
      </w:r>
      <w:r>
        <w:rPr>
          <w:rFonts w:hint="eastAsia" w:ascii="宋体" w:hAnsi="宋体" w:cs="宋体"/>
          <w:kern w:val="0"/>
          <w:szCs w:val="21"/>
          <w:lang w:bidi="ar"/>
        </w:rPr>
        <w:t>；只计算磋商供应商业绩，其子公司、母公司业绩不计分。</w:t>
      </w:r>
    </w:p>
    <w:p>
      <w:pPr>
        <w:tabs>
          <w:tab w:val="left" w:pos="1985"/>
        </w:tabs>
        <w:spacing w:line="380" w:lineRule="exact"/>
        <w:rPr>
          <w:rFonts w:hint="eastAsia" w:ascii="宋体" w:hAnsi="宋体" w:cs="宋体"/>
          <w:color w:val="000000"/>
          <w:sz w:val="22"/>
          <w:szCs w:val="22"/>
        </w:rPr>
      </w:pPr>
      <w:r>
        <w:rPr>
          <w:rFonts w:hint="eastAsia" w:ascii="宋体" w:hAnsi="宋体" w:cs="宋体"/>
          <w:color w:val="000000"/>
          <w:sz w:val="22"/>
          <w:szCs w:val="22"/>
        </w:rPr>
        <w:t>3. 供应商不按此要求填写此项内容或案例无证明文件（见本附件附注第2点）支撑，则不纳入技术资信评分范围。</w:t>
      </w:r>
    </w:p>
    <w:p>
      <w:pPr>
        <w:tabs>
          <w:tab w:val="left" w:pos="1985"/>
        </w:tabs>
        <w:spacing w:line="380" w:lineRule="exact"/>
        <w:rPr>
          <w:rFonts w:hint="eastAsia" w:ascii="宋体" w:hAnsi="宋体" w:cs="宋体"/>
          <w:b/>
          <w:sz w:val="22"/>
          <w:szCs w:val="22"/>
        </w:rPr>
      </w:pPr>
      <w:r>
        <w:rPr>
          <w:rFonts w:hint="eastAsia" w:ascii="宋体" w:hAnsi="宋体" w:cs="宋体"/>
          <w:b/>
          <w:color w:val="000000"/>
          <w:sz w:val="22"/>
          <w:szCs w:val="22"/>
        </w:rPr>
        <w:t>4.根据《温州市人民政府关于印发温州市公共资源交易平台建设管理暂行办法的通知》（温政发〔2018〕2 号）第四十条规定，将在中标或者成交公告的内容中</w:t>
      </w:r>
      <w:r>
        <w:rPr>
          <w:rFonts w:hint="eastAsia" w:ascii="宋体" w:hAnsi="宋体" w:cs="宋体"/>
          <w:b/>
          <w:color w:val="000000"/>
          <w:sz w:val="22"/>
          <w:szCs w:val="22"/>
          <w:shd w:val="pct10" w:color="auto" w:fill="FFFFFF"/>
        </w:rPr>
        <w:t>公开本表</w:t>
      </w:r>
      <w:r>
        <w:rPr>
          <w:rFonts w:hint="eastAsia" w:ascii="宋体" w:hAnsi="宋体" w:cs="宋体"/>
          <w:b/>
          <w:color w:val="000000"/>
          <w:sz w:val="22"/>
          <w:szCs w:val="22"/>
        </w:rPr>
        <w:t>，请各供应商认真填写，确保数据的真实性</w:t>
      </w:r>
      <w:r>
        <w:rPr>
          <w:rFonts w:hint="eastAsia" w:ascii="宋体" w:hAnsi="宋体" w:cs="宋体"/>
          <w:b/>
          <w:sz w:val="22"/>
          <w:szCs w:val="22"/>
        </w:rPr>
        <w:t>、完整性和合理性。</w:t>
      </w:r>
    </w:p>
    <w:p>
      <w:pPr>
        <w:tabs>
          <w:tab w:val="left" w:pos="1985"/>
        </w:tabs>
        <w:spacing w:line="380" w:lineRule="exact"/>
        <w:rPr>
          <w:rFonts w:hint="eastAsia" w:ascii="宋体" w:hAnsi="宋体" w:cs="宋体"/>
          <w:sz w:val="22"/>
          <w:szCs w:val="22"/>
        </w:rPr>
      </w:pPr>
    </w:p>
    <w:p>
      <w:pPr>
        <w:tabs>
          <w:tab w:val="left" w:pos="1985"/>
        </w:tabs>
        <w:spacing w:line="380" w:lineRule="exact"/>
        <w:rPr>
          <w:rFonts w:hint="eastAsia" w:ascii="宋体" w:hAnsi="宋体" w:cs="宋体"/>
          <w:sz w:val="22"/>
          <w:szCs w:val="22"/>
        </w:rPr>
      </w:pPr>
      <w:r>
        <w:rPr>
          <w:rFonts w:hint="eastAsia" w:ascii="宋体" w:hAnsi="宋体" w:cs="宋体"/>
          <w:sz w:val="22"/>
          <w:szCs w:val="22"/>
        </w:rPr>
        <w:t>磋商供应商全称（公章）：</w:t>
      </w:r>
    </w:p>
    <w:p>
      <w:pPr>
        <w:tabs>
          <w:tab w:val="left" w:pos="1985"/>
        </w:tabs>
        <w:spacing w:line="380" w:lineRule="exact"/>
        <w:rPr>
          <w:rFonts w:hint="eastAsia" w:ascii="宋体" w:hAnsi="宋体" w:cs="宋体"/>
          <w:sz w:val="22"/>
          <w:szCs w:val="22"/>
        </w:rPr>
      </w:pPr>
      <w:r>
        <w:rPr>
          <w:rFonts w:hint="eastAsia" w:ascii="宋体" w:hAnsi="宋体" w:cs="宋体"/>
          <w:sz w:val="22"/>
          <w:szCs w:val="22"/>
        </w:rPr>
        <w:t>法定代表人（或负责人）或授权代表（签字或盖章）：</w:t>
      </w:r>
    </w:p>
    <w:p>
      <w:pPr>
        <w:tabs>
          <w:tab w:val="left" w:pos="1985"/>
        </w:tabs>
        <w:jc w:val="right"/>
        <w:rPr>
          <w:rFonts w:hint="eastAsia" w:ascii="宋体" w:hAnsi="宋体" w:cs="宋体"/>
          <w:b/>
          <w:bCs/>
          <w:color w:val="000000"/>
          <w:sz w:val="22"/>
          <w:szCs w:val="22"/>
        </w:rPr>
      </w:pPr>
      <w:r>
        <w:rPr>
          <w:rFonts w:hint="eastAsia" w:ascii="宋体" w:hAnsi="宋体" w:cs="宋体"/>
          <w:color w:val="000000"/>
          <w:sz w:val="22"/>
          <w:szCs w:val="22"/>
        </w:rPr>
        <w:t xml:space="preserve">日  期：  年  月  日 </w:t>
      </w:r>
    </w:p>
    <w:p>
      <w:pPr>
        <w:spacing w:line="380" w:lineRule="exact"/>
        <w:rPr>
          <w:rFonts w:hint="eastAsia" w:ascii="宋体" w:hAnsi="宋体" w:cs="宋体"/>
          <w:sz w:val="24"/>
        </w:rPr>
      </w:pPr>
      <w:r>
        <w:rPr>
          <w:rFonts w:hint="eastAsia" w:ascii="宋体" w:hAnsi="宋体" w:cs="宋体"/>
          <w:sz w:val="24"/>
        </w:rPr>
        <w:t xml:space="preserve">                            </w:t>
      </w:r>
    </w:p>
    <w:p>
      <w:pPr>
        <w:spacing w:line="460" w:lineRule="exact"/>
        <w:jc w:val="center"/>
        <w:rPr>
          <w:rFonts w:hint="eastAsia" w:ascii="宋体" w:hAnsi="宋体" w:cs="宋体"/>
          <w:b/>
          <w:bCs/>
          <w:sz w:val="36"/>
          <w:szCs w:val="36"/>
        </w:rPr>
      </w:pPr>
      <w:r>
        <w:rPr>
          <w:rFonts w:hint="eastAsia" w:ascii="宋体" w:hAnsi="宋体" w:cs="宋体"/>
          <w:b/>
          <w:bCs/>
          <w:sz w:val="36"/>
          <w:szCs w:val="36"/>
        </w:rPr>
        <w:br w:type="page"/>
      </w:r>
    </w:p>
    <w:p>
      <w:pPr>
        <w:spacing w:line="460" w:lineRule="exact"/>
        <w:jc w:val="center"/>
        <w:rPr>
          <w:rFonts w:ascii="黑体" w:hAnsi="新宋体" w:eastAsia="黑体"/>
          <w:b/>
          <w:bCs/>
          <w:sz w:val="36"/>
          <w:szCs w:val="36"/>
        </w:rPr>
      </w:pPr>
      <w:r>
        <w:rPr>
          <w:rFonts w:hint="eastAsia" w:ascii="黑体" w:hAnsi="新宋体" w:eastAsia="黑体"/>
          <w:b/>
          <w:bCs/>
          <w:sz w:val="36"/>
          <w:szCs w:val="36"/>
        </w:rPr>
        <w:t>（3）货物配置清单（不含价格）</w:t>
      </w:r>
    </w:p>
    <w:p>
      <w:pPr>
        <w:spacing w:line="380" w:lineRule="exact"/>
        <w:rPr>
          <w:rFonts w:ascii="新宋体" w:hAnsi="新宋体" w:eastAsia="新宋体"/>
          <w:bCs/>
          <w:sz w:val="24"/>
        </w:rPr>
      </w:pPr>
      <w:r>
        <w:rPr>
          <w:rFonts w:hint="eastAsia" w:ascii="新宋体" w:hAnsi="新宋体" w:eastAsia="新宋体"/>
          <w:bCs/>
          <w:sz w:val="24"/>
        </w:rPr>
        <w:t>项目名称：                               项目编号：</w:t>
      </w:r>
    </w:p>
    <w:tbl>
      <w:tblPr>
        <w:tblStyle w:val="51"/>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012"/>
        <w:gridCol w:w="886"/>
        <w:gridCol w:w="1392"/>
        <w:gridCol w:w="1265"/>
        <w:gridCol w:w="1265"/>
        <w:gridCol w:w="1266"/>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
                <w:bCs/>
                <w:sz w:val="22"/>
              </w:rPr>
            </w:pPr>
            <w:r>
              <w:rPr>
                <w:rFonts w:hint="eastAsia" w:ascii="宋体" w:hAnsi="宋体" w:cs="宋体"/>
                <w:b/>
                <w:bCs/>
                <w:sz w:val="22"/>
              </w:rPr>
              <w:t>序号</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
                <w:bCs/>
                <w:sz w:val="22"/>
              </w:rPr>
            </w:pPr>
            <w:r>
              <w:rPr>
                <w:rFonts w:hint="eastAsia" w:ascii="宋体" w:hAnsi="宋体" w:cs="宋体"/>
                <w:b/>
                <w:bCs/>
                <w:sz w:val="22"/>
              </w:rPr>
              <w:t>名称</w:t>
            </w: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
                <w:bCs/>
                <w:sz w:val="22"/>
              </w:rPr>
            </w:pPr>
            <w:r>
              <w:rPr>
                <w:rFonts w:hint="eastAsia" w:ascii="宋体" w:hAnsi="宋体" w:cs="宋体"/>
                <w:b/>
                <w:bCs/>
                <w:sz w:val="22"/>
              </w:rPr>
              <w:t>数量</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
                <w:bCs/>
                <w:sz w:val="22"/>
              </w:rPr>
            </w:pPr>
            <w:r>
              <w:rPr>
                <w:rFonts w:hint="eastAsia" w:ascii="宋体" w:hAnsi="宋体" w:cs="宋体"/>
                <w:b/>
                <w:bCs/>
                <w:sz w:val="22"/>
              </w:rPr>
              <w:t>产地</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
                <w:bCs/>
                <w:sz w:val="22"/>
              </w:rPr>
            </w:pPr>
            <w:r>
              <w:rPr>
                <w:rFonts w:hint="eastAsia" w:ascii="宋体" w:hAnsi="宋体" w:cs="宋体"/>
                <w:b/>
                <w:bCs/>
                <w:sz w:val="22"/>
              </w:rPr>
              <w:t>品牌</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
                <w:bCs/>
                <w:sz w:val="22"/>
              </w:rPr>
            </w:pPr>
            <w:r>
              <w:rPr>
                <w:rFonts w:hint="eastAsia" w:ascii="宋体" w:hAnsi="宋体" w:cs="宋体"/>
                <w:b/>
                <w:bCs/>
                <w:sz w:val="22"/>
              </w:rPr>
              <w:t>型号</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
                <w:bCs/>
                <w:kern w:val="2"/>
                <w:sz w:val="22"/>
              </w:rPr>
            </w:pPr>
            <w:r>
              <w:rPr>
                <w:rFonts w:ascii="宋体" w:eastAsia="宋体" w:cs="宋体"/>
                <w:b/>
                <w:bCs/>
                <w:kern w:val="2"/>
                <w:sz w:val="22"/>
              </w:rPr>
              <w:t>配置</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
                <w:bCs/>
                <w:kern w:val="2"/>
                <w:sz w:val="22"/>
              </w:rPr>
            </w:pPr>
            <w:r>
              <w:rPr>
                <w:rFonts w:ascii="宋体" w:eastAsia="宋体" w:cs="宋体"/>
                <w:b/>
                <w:bCs/>
                <w:kern w:val="2"/>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sz w:val="22"/>
              </w:rPr>
            </w:pP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sz w:val="22"/>
              </w:rPr>
            </w:pP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sz w:val="22"/>
              </w:rPr>
            </w:pP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sz w:val="22"/>
              </w:rPr>
            </w:pP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sz w:val="22"/>
              </w:rPr>
            </w:pP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sz w:val="22"/>
              </w:rPr>
            </w:pP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sz w:val="22"/>
              </w:rPr>
            </w:pP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sz w:val="22"/>
              </w:rPr>
            </w:pP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Cs/>
                <w:sz w:val="22"/>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sz w:val="22"/>
              </w:rPr>
            </w:pPr>
          </w:p>
        </w:tc>
        <w:tc>
          <w:tcPr>
            <w:tcW w:w="2025" w:type="dxa"/>
            <w:tcBorders>
              <w:top w:val="single" w:color="auto" w:sz="4" w:space="0"/>
              <w:left w:val="single" w:color="auto" w:sz="4" w:space="0"/>
              <w:bottom w:val="single" w:color="auto" w:sz="4" w:space="0"/>
              <w:right w:val="single" w:color="auto" w:sz="4" w:space="0"/>
            </w:tcBorders>
            <w:noWrap w:val="0"/>
            <w:vAlign w:val="center"/>
          </w:tcPr>
          <w:p>
            <w:pPr>
              <w:pStyle w:val="404"/>
              <w:widowControl w:val="0"/>
              <w:spacing w:before="0" w:beforeAutospacing="0" w:after="0" w:afterAutospacing="0"/>
              <w:rPr>
                <w:rFonts w:hint="default" w:ascii="宋体" w:eastAsia="宋体" w:cs="宋体"/>
                <w:bCs/>
                <w:kern w:val="2"/>
                <w:sz w:val="22"/>
              </w:rPr>
            </w:pPr>
          </w:p>
        </w:tc>
      </w:tr>
    </w:tbl>
    <w:p>
      <w:pPr>
        <w:adjustRightInd w:val="0"/>
        <w:spacing w:line="360" w:lineRule="auto"/>
        <w:ind w:firstLine="4042" w:firstLineChars="1925"/>
        <w:rPr>
          <w:rFonts w:ascii="宋体" w:hAnsi="宋体" w:cs="宋体"/>
          <w:szCs w:val="21"/>
        </w:rPr>
      </w:pPr>
    </w:p>
    <w:p>
      <w:pPr>
        <w:spacing w:line="360" w:lineRule="auto"/>
        <w:rPr>
          <w:rFonts w:ascii="宋体" w:hAnsi="宋体"/>
          <w:sz w:val="24"/>
        </w:rPr>
      </w:pPr>
      <w:r>
        <w:rPr>
          <w:rFonts w:hint="eastAsia" w:ascii="宋体" w:hAnsi="宋体"/>
          <w:sz w:val="24"/>
        </w:rPr>
        <w:t>磋商供应商全称（</w:t>
      </w:r>
      <w:r>
        <w:rPr>
          <w:rFonts w:hint="eastAsia" w:ascii="宋体" w:hAnsi="宋体"/>
          <w:bCs/>
          <w:sz w:val="24"/>
        </w:rPr>
        <w:t>公章或CA章</w:t>
      </w:r>
      <w:r>
        <w:rPr>
          <w:rFonts w:hint="eastAsia" w:ascii="宋体" w:hAnsi="宋体"/>
          <w:sz w:val="24"/>
        </w:rPr>
        <w:t>）：</w:t>
      </w:r>
    </w:p>
    <w:p>
      <w:pPr>
        <w:spacing w:line="360" w:lineRule="auto"/>
        <w:rPr>
          <w:rFonts w:hint="eastAsia" w:ascii="新宋体" w:hAnsi="新宋体" w:eastAsia="新宋体"/>
          <w:b/>
          <w:bCs/>
          <w:sz w:val="22"/>
          <w:szCs w:val="22"/>
        </w:rPr>
      </w:pPr>
      <w:r>
        <w:rPr>
          <w:rFonts w:hint="eastAsia" w:ascii="宋体" w:hAnsi="宋体"/>
          <w:sz w:val="24"/>
        </w:rPr>
        <w:t>日期：  年   月  日</w:t>
      </w:r>
    </w:p>
    <w:p>
      <w:pPr>
        <w:spacing w:line="460" w:lineRule="exact"/>
        <w:jc w:val="center"/>
        <w:rPr>
          <w:rFonts w:hint="eastAsia" w:ascii="宋体" w:hAnsi="宋体" w:cs="宋体"/>
          <w:b/>
          <w:bCs/>
          <w:sz w:val="36"/>
          <w:szCs w:val="36"/>
        </w:rPr>
      </w:pPr>
    </w:p>
    <w:p>
      <w:pPr>
        <w:spacing w:line="460" w:lineRule="exact"/>
        <w:jc w:val="center"/>
        <w:rPr>
          <w:rFonts w:hint="eastAsia" w:ascii="宋体" w:hAnsi="宋体" w:cs="宋体"/>
          <w:b/>
          <w:bCs/>
          <w:sz w:val="36"/>
          <w:szCs w:val="36"/>
        </w:rPr>
      </w:pPr>
    </w:p>
    <w:p>
      <w:pPr>
        <w:spacing w:line="460" w:lineRule="exact"/>
        <w:jc w:val="center"/>
        <w:rPr>
          <w:rFonts w:hint="eastAsia" w:ascii="宋体" w:hAnsi="宋体" w:cs="宋体"/>
          <w:b/>
          <w:bCs/>
          <w:sz w:val="36"/>
          <w:szCs w:val="36"/>
        </w:rPr>
      </w:pPr>
    </w:p>
    <w:p>
      <w:pPr>
        <w:spacing w:line="460" w:lineRule="exact"/>
        <w:jc w:val="center"/>
        <w:rPr>
          <w:rFonts w:hint="eastAsia" w:ascii="宋体" w:hAnsi="宋体" w:cs="宋体"/>
          <w:b/>
          <w:bCs/>
          <w:sz w:val="36"/>
          <w:szCs w:val="36"/>
        </w:rPr>
      </w:pPr>
    </w:p>
    <w:p>
      <w:pPr>
        <w:spacing w:line="460" w:lineRule="exact"/>
        <w:jc w:val="center"/>
        <w:rPr>
          <w:rFonts w:hint="eastAsia" w:ascii="宋体" w:hAnsi="宋体" w:cs="宋体"/>
          <w:b/>
          <w:bCs/>
          <w:sz w:val="36"/>
          <w:szCs w:val="36"/>
        </w:rPr>
      </w:pPr>
    </w:p>
    <w:p>
      <w:pPr>
        <w:spacing w:line="460" w:lineRule="exact"/>
        <w:rPr>
          <w:rFonts w:hint="eastAsia" w:ascii="宋体" w:hAnsi="宋体" w:cs="宋体"/>
          <w:b/>
          <w:bCs/>
          <w:sz w:val="36"/>
          <w:szCs w:val="36"/>
        </w:rPr>
      </w:pPr>
    </w:p>
    <w:p>
      <w:pPr>
        <w:spacing w:line="460" w:lineRule="exact"/>
        <w:jc w:val="center"/>
        <w:rPr>
          <w:rFonts w:hint="eastAsia" w:ascii="宋体" w:hAnsi="宋体" w:cs="宋体"/>
          <w:bCs/>
          <w:sz w:val="22"/>
          <w:szCs w:val="22"/>
        </w:rPr>
      </w:pPr>
      <w:r>
        <w:rPr>
          <w:rFonts w:hint="eastAsia" w:ascii="宋体" w:hAnsi="宋体" w:cs="宋体"/>
          <w:b/>
          <w:bCs/>
          <w:sz w:val="36"/>
          <w:szCs w:val="36"/>
        </w:rPr>
        <w:t>（4）技术及商务偏离表</w:t>
      </w:r>
    </w:p>
    <w:p>
      <w:pPr>
        <w:spacing w:line="380" w:lineRule="exact"/>
        <w:rPr>
          <w:rFonts w:hint="eastAsia" w:ascii="宋体" w:hAnsi="宋体" w:cs="宋体"/>
          <w:bCs/>
          <w:sz w:val="24"/>
        </w:rPr>
      </w:pPr>
      <w:r>
        <w:rPr>
          <w:rFonts w:hint="eastAsia" w:ascii="宋体" w:hAnsi="宋体" w:cs="宋体"/>
          <w:bCs/>
          <w:sz w:val="24"/>
        </w:rPr>
        <w:t xml:space="preserve">项目编号：                                                          </w:t>
      </w:r>
      <w:r>
        <w:rPr>
          <w:rFonts w:hint="eastAsia" w:ascii="宋体" w:hAnsi="宋体" w:cs="宋体"/>
          <w:sz w:val="24"/>
        </w:rPr>
        <w:t xml:space="preserve">  </w:t>
      </w:r>
      <w:r>
        <w:rPr>
          <w:rFonts w:hint="eastAsia" w:ascii="宋体" w:hAnsi="宋体" w:cs="宋体"/>
          <w:bCs/>
          <w:sz w:val="24"/>
        </w:rPr>
        <w:t xml:space="preserve">   </w:t>
      </w:r>
      <w:r>
        <w:rPr>
          <w:rFonts w:hint="eastAsia" w:ascii="宋体" w:hAnsi="宋体" w:cs="宋体"/>
          <w:sz w:val="24"/>
        </w:rPr>
        <w:t xml:space="preserve"> </w:t>
      </w:r>
    </w:p>
    <w:tbl>
      <w:tblPr>
        <w:tblStyle w:val="51"/>
        <w:tblW w:w="8811"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04"/>
        <w:gridCol w:w="2461"/>
        <w:gridCol w:w="1995"/>
        <w:gridCol w:w="2018"/>
        <w:gridCol w:w="133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590" w:hRule="atLeast"/>
          <w:jc w:val="center"/>
        </w:trPr>
        <w:tc>
          <w:tcPr>
            <w:tcW w:w="1004" w:type="dxa"/>
            <w:noWrap w:val="0"/>
            <w:vAlign w:val="center"/>
          </w:tcPr>
          <w:p>
            <w:pPr>
              <w:spacing w:line="380" w:lineRule="exact"/>
              <w:jc w:val="center"/>
              <w:rPr>
                <w:rFonts w:hint="eastAsia" w:ascii="宋体" w:hAnsi="宋体" w:cs="宋体"/>
                <w:sz w:val="24"/>
              </w:rPr>
            </w:pPr>
            <w:r>
              <w:rPr>
                <w:rFonts w:hint="eastAsia" w:ascii="宋体" w:hAnsi="宋体" w:cs="宋体"/>
                <w:sz w:val="24"/>
              </w:rPr>
              <w:t>序号</w:t>
            </w:r>
          </w:p>
        </w:tc>
        <w:tc>
          <w:tcPr>
            <w:tcW w:w="2461" w:type="dxa"/>
            <w:noWrap w:val="0"/>
            <w:vAlign w:val="center"/>
          </w:tcPr>
          <w:p>
            <w:pPr>
              <w:spacing w:line="380" w:lineRule="exact"/>
              <w:jc w:val="center"/>
              <w:rPr>
                <w:rFonts w:hint="eastAsia" w:ascii="宋体" w:hAnsi="宋体" w:cs="宋体"/>
                <w:sz w:val="24"/>
              </w:rPr>
            </w:pPr>
            <w:r>
              <w:rPr>
                <w:rFonts w:hint="eastAsia" w:ascii="宋体" w:hAnsi="宋体" w:cs="宋体"/>
                <w:sz w:val="24"/>
              </w:rPr>
              <w:t>竞争性磋商文件条目号</w:t>
            </w:r>
          </w:p>
        </w:tc>
        <w:tc>
          <w:tcPr>
            <w:tcW w:w="1995" w:type="dxa"/>
            <w:noWrap w:val="0"/>
            <w:vAlign w:val="center"/>
          </w:tcPr>
          <w:p>
            <w:pPr>
              <w:spacing w:line="380" w:lineRule="exact"/>
              <w:jc w:val="center"/>
              <w:rPr>
                <w:rFonts w:hint="eastAsia" w:ascii="宋体" w:hAnsi="宋体" w:cs="宋体"/>
                <w:sz w:val="24"/>
              </w:rPr>
            </w:pPr>
            <w:r>
              <w:rPr>
                <w:rFonts w:hint="eastAsia" w:ascii="宋体" w:hAnsi="宋体" w:cs="宋体"/>
                <w:sz w:val="24"/>
              </w:rPr>
              <w:t>竞争性磋商文件规范要求</w:t>
            </w:r>
          </w:p>
        </w:tc>
        <w:tc>
          <w:tcPr>
            <w:tcW w:w="2018" w:type="dxa"/>
            <w:noWrap w:val="0"/>
            <w:vAlign w:val="center"/>
          </w:tcPr>
          <w:p>
            <w:pPr>
              <w:spacing w:line="380" w:lineRule="exact"/>
              <w:jc w:val="center"/>
              <w:rPr>
                <w:rFonts w:hint="eastAsia" w:ascii="宋体" w:hAnsi="宋体" w:cs="宋体"/>
                <w:sz w:val="24"/>
              </w:rPr>
            </w:pPr>
            <w:r>
              <w:rPr>
                <w:rFonts w:hint="eastAsia" w:ascii="宋体" w:hAnsi="宋体" w:cs="宋体"/>
                <w:sz w:val="24"/>
              </w:rPr>
              <w:t>磋商响应文件对应规范</w:t>
            </w:r>
          </w:p>
        </w:tc>
        <w:tc>
          <w:tcPr>
            <w:tcW w:w="1333" w:type="dxa"/>
            <w:noWrap w:val="0"/>
            <w:vAlign w:val="center"/>
          </w:tcPr>
          <w:p>
            <w:pPr>
              <w:spacing w:line="380" w:lineRule="exact"/>
              <w:jc w:val="center"/>
              <w:rPr>
                <w:rFonts w:hint="eastAsia" w:ascii="宋体" w:hAnsi="宋体" w:cs="宋体"/>
                <w:sz w:val="24"/>
              </w:rPr>
            </w:pPr>
            <w:r>
              <w:rPr>
                <w:rFonts w:hint="eastAsia" w:ascii="宋体" w:hAnsi="宋体" w:cs="宋体"/>
                <w:sz w:val="24"/>
              </w:rPr>
              <w:t>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70" w:hRule="atLeast"/>
          <w:jc w:val="center"/>
        </w:trPr>
        <w:tc>
          <w:tcPr>
            <w:tcW w:w="1004" w:type="dxa"/>
            <w:noWrap w:val="0"/>
            <w:vAlign w:val="center"/>
          </w:tcPr>
          <w:p>
            <w:pPr>
              <w:spacing w:line="380" w:lineRule="exact"/>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4" w:hRule="atLeast"/>
          <w:jc w:val="center"/>
        </w:trPr>
        <w:tc>
          <w:tcPr>
            <w:tcW w:w="1004" w:type="dxa"/>
            <w:noWrap w:val="0"/>
            <w:vAlign w:val="center"/>
          </w:tcPr>
          <w:p>
            <w:pPr>
              <w:spacing w:line="380" w:lineRule="exact"/>
              <w:ind w:firstLine="240" w:firstLineChars="100"/>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59"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8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cantSplit/>
          <w:trHeight w:val="561" w:hRule="atLeast"/>
          <w:jc w:val="center"/>
        </w:trPr>
        <w:tc>
          <w:tcPr>
            <w:tcW w:w="1004" w:type="dxa"/>
            <w:noWrap w:val="0"/>
            <w:vAlign w:val="center"/>
          </w:tcPr>
          <w:p>
            <w:pPr>
              <w:spacing w:line="380" w:lineRule="exact"/>
              <w:jc w:val="center"/>
              <w:rPr>
                <w:rFonts w:hint="eastAsia" w:ascii="宋体" w:hAnsi="宋体" w:cs="宋体"/>
                <w:sz w:val="24"/>
              </w:rPr>
            </w:pPr>
          </w:p>
        </w:tc>
        <w:tc>
          <w:tcPr>
            <w:tcW w:w="2461" w:type="dxa"/>
            <w:noWrap w:val="0"/>
            <w:vAlign w:val="center"/>
          </w:tcPr>
          <w:p>
            <w:pPr>
              <w:spacing w:line="380" w:lineRule="exact"/>
              <w:jc w:val="center"/>
              <w:rPr>
                <w:rFonts w:hint="eastAsia" w:ascii="宋体" w:hAnsi="宋体" w:cs="宋体"/>
                <w:sz w:val="24"/>
              </w:rPr>
            </w:pPr>
          </w:p>
        </w:tc>
        <w:tc>
          <w:tcPr>
            <w:tcW w:w="1995" w:type="dxa"/>
            <w:noWrap w:val="0"/>
            <w:vAlign w:val="center"/>
          </w:tcPr>
          <w:p>
            <w:pPr>
              <w:spacing w:line="380" w:lineRule="exact"/>
              <w:jc w:val="center"/>
              <w:rPr>
                <w:rFonts w:hint="eastAsia" w:ascii="宋体" w:hAnsi="宋体" w:cs="宋体"/>
                <w:sz w:val="24"/>
              </w:rPr>
            </w:pPr>
          </w:p>
        </w:tc>
        <w:tc>
          <w:tcPr>
            <w:tcW w:w="2018" w:type="dxa"/>
            <w:noWrap w:val="0"/>
            <w:vAlign w:val="center"/>
          </w:tcPr>
          <w:p>
            <w:pPr>
              <w:spacing w:line="380" w:lineRule="exact"/>
              <w:jc w:val="center"/>
              <w:rPr>
                <w:rFonts w:hint="eastAsia" w:ascii="宋体" w:hAnsi="宋体" w:cs="宋体"/>
                <w:sz w:val="24"/>
              </w:rPr>
            </w:pPr>
          </w:p>
        </w:tc>
        <w:tc>
          <w:tcPr>
            <w:tcW w:w="1333" w:type="dxa"/>
            <w:noWrap w:val="0"/>
            <w:vAlign w:val="center"/>
          </w:tcPr>
          <w:p>
            <w:pPr>
              <w:spacing w:line="380" w:lineRule="exact"/>
              <w:jc w:val="center"/>
              <w:rPr>
                <w:rFonts w:hint="eastAsia" w:ascii="宋体" w:hAnsi="宋体" w:cs="宋体"/>
                <w:sz w:val="24"/>
              </w:rPr>
            </w:pPr>
          </w:p>
        </w:tc>
      </w:tr>
    </w:tbl>
    <w:p>
      <w:pPr>
        <w:spacing w:line="380" w:lineRule="exact"/>
        <w:rPr>
          <w:rFonts w:hint="eastAsia" w:ascii="宋体" w:hAnsi="宋体" w:cs="宋体"/>
          <w:sz w:val="24"/>
          <w:u w:val="single"/>
        </w:rPr>
      </w:pPr>
      <w:r>
        <w:rPr>
          <w:rFonts w:hint="eastAsia" w:ascii="宋体" w:hAnsi="宋体" w:cs="宋体"/>
          <w:sz w:val="24"/>
        </w:rPr>
        <w:t>附注：1.</w:t>
      </w:r>
      <w:r>
        <w:rPr>
          <w:rFonts w:hint="eastAsia" w:ascii="宋体" w:hAnsi="宋体" w:cs="宋体"/>
          <w:bCs/>
          <w:sz w:val="24"/>
        </w:rPr>
        <w:t xml:space="preserve"> </w:t>
      </w:r>
      <w:r>
        <w:rPr>
          <w:rFonts w:hint="eastAsia" w:ascii="宋体" w:hAnsi="宋体" w:cs="宋体"/>
          <w:bCs/>
          <w:sz w:val="24"/>
          <w:u w:val="single"/>
        </w:rPr>
        <w:t>▲</w:t>
      </w:r>
      <w:r>
        <w:rPr>
          <w:rFonts w:hint="eastAsia" w:ascii="宋体" w:hAnsi="宋体" w:cs="宋体"/>
          <w:sz w:val="24"/>
          <w:u w:val="single"/>
        </w:rPr>
        <w:t>没有填写此表视为完全满足竞争性磋商文件的实质性要求，；</w:t>
      </w:r>
    </w:p>
    <w:p>
      <w:pPr>
        <w:spacing w:line="380" w:lineRule="exact"/>
        <w:ind w:left="954" w:leftChars="340" w:hanging="240" w:hangingChars="100"/>
        <w:rPr>
          <w:rFonts w:hint="eastAsia" w:ascii="宋体" w:hAnsi="宋体" w:cs="宋体"/>
          <w:sz w:val="24"/>
        </w:rPr>
      </w:pPr>
      <w:r>
        <w:rPr>
          <w:rFonts w:hint="eastAsia" w:ascii="宋体" w:hAnsi="宋体" w:cs="宋体"/>
          <w:sz w:val="24"/>
        </w:rPr>
        <w:t>2. 如出现偏离，磋商供应商务必如实填写此表，“磋商响应文件对应规范”及“说明”栏不得复制粘贴，所磋商产品必须对照竞争性磋商文件要求详细填写说明，否则存在的风险由磋商供应商自行承担；</w:t>
      </w:r>
    </w:p>
    <w:p>
      <w:pPr>
        <w:spacing w:line="380" w:lineRule="exact"/>
        <w:ind w:firstLine="705" w:firstLineChars="294"/>
        <w:rPr>
          <w:rFonts w:hint="eastAsia" w:ascii="宋体" w:hAnsi="宋体" w:cs="宋体"/>
          <w:sz w:val="24"/>
          <w:u w:val="single"/>
        </w:rPr>
      </w:pPr>
      <w:r>
        <w:rPr>
          <w:rFonts w:hint="eastAsia" w:ascii="宋体" w:hAnsi="宋体" w:cs="宋体"/>
          <w:sz w:val="24"/>
        </w:rPr>
        <w:t>3.</w:t>
      </w:r>
      <w:r>
        <w:rPr>
          <w:rFonts w:hint="eastAsia" w:ascii="宋体" w:hAnsi="宋体" w:cs="宋体"/>
          <w:bCs/>
          <w:sz w:val="24"/>
        </w:rPr>
        <w:t xml:space="preserve"> 磋商供应商可按以上表格形式进行复制。</w:t>
      </w:r>
    </w:p>
    <w:p>
      <w:pPr>
        <w:spacing w:line="360" w:lineRule="auto"/>
        <w:rPr>
          <w:rFonts w:hint="eastAsia" w:ascii="宋体" w:hAnsi="宋体" w:cs="宋体"/>
          <w:sz w:val="22"/>
          <w:szCs w:val="22"/>
        </w:rPr>
      </w:pPr>
    </w:p>
    <w:p>
      <w:pPr>
        <w:spacing w:line="360" w:lineRule="auto"/>
        <w:rPr>
          <w:rFonts w:hint="eastAsia" w:ascii="宋体" w:hAnsi="宋体" w:cs="宋体"/>
          <w:sz w:val="24"/>
        </w:rPr>
      </w:pPr>
      <w:r>
        <w:rPr>
          <w:rFonts w:hint="eastAsia" w:ascii="宋体" w:hAnsi="宋体" w:cs="宋体"/>
          <w:sz w:val="24"/>
        </w:rPr>
        <w:t>磋商供应商全称（</w:t>
      </w:r>
      <w:r>
        <w:rPr>
          <w:rFonts w:hint="eastAsia" w:ascii="宋体" w:hAnsi="宋体" w:cs="宋体"/>
          <w:bCs/>
          <w:sz w:val="24"/>
        </w:rPr>
        <w:t>公章或CA章</w:t>
      </w:r>
      <w:r>
        <w:rPr>
          <w:rFonts w:hint="eastAsia" w:ascii="宋体" w:hAnsi="宋体" w:cs="宋体"/>
          <w:sz w:val="24"/>
        </w:rPr>
        <w:t>）：</w:t>
      </w:r>
    </w:p>
    <w:p>
      <w:pPr>
        <w:spacing w:line="360" w:lineRule="auto"/>
        <w:rPr>
          <w:rFonts w:hint="eastAsia" w:ascii="宋体" w:hAnsi="宋体" w:cs="宋体"/>
          <w:b/>
          <w:bCs/>
          <w:sz w:val="22"/>
          <w:szCs w:val="22"/>
        </w:rPr>
      </w:pPr>
      <w:r>
        <w:rPr>
          <w:rFonts w:hint="eastAsia" w:ascii="宋体" w:hAnsi="宋体" w:cs="宋体"/>
          <w:sz w:val="24"/>
        </w:rPr>
        <w:t>日期：  年   月  日</w:t>
      </w:r>
    </w:p>
    <w:p>
      <w:pPr>
        <w:spacing w:line="380" w:lineRule="exact"/>
        <w:rPr>
          <w:rFonts w:hint="eastAsia" w:ascii="宋体" w:hAnsi="宋体" w:cs="宋体"/>
          <w:b/>
          <w:bCs/>
          <w:sz w:val="22"/>
          <w:szCs w:val="22"/>
        </w:rPr>
      </w:pPr>
    </w:p>
    <w:p>
      <w:pPr>
        <w:spacing w:line="380" w:lineRule="exact"/>
        <w:rPr>
          <w:rFonts w:hint="eastAsia" w:ascii="宋体" w:hAnsi="宋体" w:cs="宋体"/>
          <w:b/>
          <w:bCs/>
          <w:sz w:val="22"/>
          <w:szCs w:val="22"/>
        </w:rPr>
      </w:pPr>
    </w:p>
    <w:p>
      <w:pPr>
        <w:spacing w:line="460" w:lineRule="exact"/>
        <w:jc w:val="center"/>
        <w:rPr>
          <w:rFonts w:hint="eastAsia" w:ascii="宋体" w:hAnsi="宋体" w:cs="宋体"/>
          <w:b/>
          <w:bCs/>
          <w:sz w:val="36"/>
          <w:szCs w:val="36"/>
        </w:rPr>
      </w:pPr>
    </w:p>
    <w:p>
      <w:pPr>
        <w:spacing w:line="460" w:lineRule="exact"/>
        <w:jc w:val="center"/>
        <w:rPr>
          <w:rFonts w:ascii="黑体" w:hAnsi="仿宋" w:eastAsia="黑体"/>
          <w:b/>
          <w:bCs/>
          <w:sz w:val="36"/>
          <w:szCs w:val="36"/>
        </w:rPr>
      </w:pPr>
      <w:r>
        <w:rPr>
          <w:rFonts w:hint="eastAsia" w:ascii="黑体" w:hAnsi="仿宋" w:eastAsia="黑体"/>
          <w:b/>
          <w:bCs/>
          <w:sz w:val="36"/>
          <w:szCs w:val="36"/>
        </w:rPr>
        <w:t>（5）供采购人选购的备品备件及维保期期满后相关维修配件清单一览表</w:t>
      </w:r>
    </w:p>
    <w:p>
      <w:pPr>
        <w:pStyle w:val="36"/>
        <w:ind w:left="752" w:hanging="752"/>
        <w:rPr>
          <w:rFonts w:ascii="宋体" w:hAnsi="宋体" w:eastAsia="宋体" w:cs="Times New Roman"/>
          <w:bCs/>
          <w:sz w:val="22"/>
          <w:szCs w:val="22"/>
        </w:rPr>
      </w:pPr>
      <w:r>
        <w:rPr>
          <w:rFonts w:hint="eastAsia" w:ascii="宋体" w:hAnsi="宋体" w:eastAsia="宋体" w:cs="Times New Roman"/>
          <w:bCs/>
          <w:sz w:val="22"/>
          <w:szCs w:val="22"/>
        </w:rPr>
        <w:t xml:space="preserve">项目编号：                                 </w:t>
      </w:r>
    </w:p>
    <w:tbl>
      <w:tblPr>
        <w:tblStyle w:val="5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470"/>
        <w:gridCol w:w="919"/>
        <w:gridCol w:w="1391"/>
        <w:gridCol w:w="1050"/>
        <w:gridCol w:w="1050"/>
        <w:gridCol w:w="885"/>
        <w:gridCol w:w="1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3" w:hRule="atLeast"/>
        </w:trPr>
        <w:tc>
          <w:tcPr>
            <w:tcW w:w="1263" w:type="dxa"/>
            <w:noWrap w:val="0"/>
            <w:vAlign w:val="center"/>
          </w:tcPr>
          <w:p>
            <w:pPr>
              <w:rPr>
                <w:rFonts w:ascii="宋体"/>
                <w:b/>
                <w:bCs/>
              </w:rPr>
            </w:pPr>
            <w:r>
              <w:rPr>
                <w:rFonts w:hint="eastAsia" w:ascii="宋体"/>
                <w:b/>
                <w:bCs/>
              </w:rPr>
              <w:t>设备名称</w:t>
            </w:r>
          </w:p>
          <w:p>
            <w:pPr>
              <w:rPr>
                <w:rFonts w:ascii="宋体"/>
                <w:b/>
                <w:bCs/>
              </w:rPr>
            </w:pPr>
            <w:r>
              <w:rPr>
                <w:rFonts w:hint="eastAsia" w:ascii="宋体"/>
                <w:b/>
                <w:bCs/>
              </w:rPr>
              <w:t>及编号</w:t>
            </w:r>
          </w:p>
        </w:tc>
        <w:tc>
          <w:tcPr>
            <w:tcW w:w="1470" w:type="dxa"/>
            <w:noWrap w:val="0"/>
            <w:vAlign w:val="center"/>
          </w:tcPr>
          <w:p>
            <w:pPr>
              <w:rPr>
                <w:rFonts w:ascii="宋体"/>
                <w:b/>
                <w:bCs/>
              </w:rPr>
            </w:pPr>
            <w:r>
              <w:rPr>
                <w:rFonts w:hint="eastAsia" w:ascii="宋体"/>
                <w:b/>
                <w:bCs/>
              </w:rPr>
              <w:t>备件/配件</w:t>
            </w:r>
          </w:p>
          <w:p>
            <w:pPr>
              <w:rPr>
                <w:rFonts w:ascii="宋体"/>
                <w:b/>
                <w:bCs/>
              </w:rPr>
            </w:pPr>
            <w:r>
              <w:rPr>
                <w:rFonts w:hint="eastAsia" w:ascii="宋体"/>
                <w:b/>
                <w:bCs/>
              </w:rPr>
              <w:t>名称</w:t>
            </w:r>
          </w:p>
        </w:tc>
        <w:tc>
          <w:tcPr>
            <w:tcW w:w="919" w:type="dxa"/>
            <w:noWrap w:val="0"/>
            <w:vAlign w:val="center"/>
          </w:tcPr>
          <w:p>
            <w:pPr>
              <w:rPr>
                <w:rFonts w:ascii="宋体"/>
                <w:b/>
                <w:bCs/>
              </w:rPr>
            </w:pPr>
            <w:r>
              <w:rPr>
                <w:rFonts w:hint="eastAsia" w:ascii="宋体"/>
                <w:b/>
                <w:bCs/>
              </w:rPr>
              <w:t>数量</w:t>
            </w:r>
          </w:p>
        </w:tc>
        <w:tc>
          <w:tcPr>
            <w:tcW w:w="1391" w:type="dxa"/>
            <w:noWrap w:val="0"/>
            <w:vAlign w:val="center"/>
          </w:tcPr>
          <w:p>
            <w:pPr>
              <w:rPr>
                <w:rFonts w:ascii="宋体"/>
                <w:b/>
                <w:bCs/>
              </w:rPr>
            </w:pPr>
            <w:r>
              <w:rPr>
                <w:rFonts w:hint="eastAsia" w:ascii="宋体"/>
                <w:b/>
                <w:bCs/>
              </w:rPr>
              <w:t>规格型号</w:t>
            </w:r>
          </w:p>
        </w:tc>
        <w:tc>
          <w:tcPr>
            <w:tcW w:w="1050" w:type="dxa"/>
            <w:noWrap w:val="0"/>
            <w:vAlign w:val="center"/>
          </w:tcPr>
          <w:p>
            <w:pPr>
              <w:rPr>
                <w:rFonts w:ascii="宋体"/>
                <w:b/>
                <w:bCs/>
              </w:rPr>
            </w:pPr>
            <w:r>
              <w:rPr>
                <w:rFonts w:hint="eastAsia" w:ascii="宋体"/>
                <w:b/>
                <w:bCs/>
              </w:rPr>
              <w:t>品牌/产地</w:t>
            </w:r>
          </w:p>
        </w:tc>
        <w:tc>
          <w:tcPr>
            <w:tcW w:w="1050" w:type="dxa"/>
            <w:noWrap w:val="0"/>
            <w:vAlign w:val="center"/>
          </w:tcPr>
          <w:p>
            <w:pPr>
              <w:rPr>
                <w:rFonts w:ascii="宋体"/>
                <w:b/>
                <w:bCs/>
              </w:rPr>
            </w:pPr>
            <w:r>
              <w:rPr>
                <w:rFonts w:hint="eastAsia" w:ascii="宋体"/>
                <w:b/>
                <w:bCs/>
              </w:rPr>
              <w:t>价格</w:t>
            </w:r>
            <w:r>
              <w:rPr>
                <w:rFonts w:hint="eastAsia" w:ascii="宋体"/>
              </w:rPr>
              <w:t>（元）</w:t>
            </w:r>
          </w:p>
        </w:tc>
        <w:tc>
          <w:tcPr>
            <w:tcW w:w="885" w:type="dxa"/>
            <w:noWrap w:val="0"/>
            <w:vAlign w:val="center"/>
          </w:tcPr>
          <w:p>
            <w:pPr>
              <w:rPr>
                <w:rFonts w:ascii="宋体"/>
                <w:b/>
                <w:bCs/>
              </w:rPr>
            </w:pPr>
            <w:r>
              <w:rPr>
                <w:rFonts w:hint="eastAsia" w:ascii="宋体"/>
                <w:b/>
                <w:bCs/>
              </w:rPr>
              <w:t>包装形式</w:t>
            </w:r>
          </w:p>
        </w:tc>
        <w:tc>
          <w:tcPr>
            <w:tcW w:w="1260" w:type="dxa"/>
            <w:noWrap w:val="0"/>
            <w:vAlign w:val="center"/>
          </w:tcPr>
          <w:p>
            <w:pPr>
              <w:rPr>
                <w:rFonts w:ascii="宋体"/>
                <w:b/>
                <w:bCs/>
              </w:rPr>
            </w:pPr>
            <w:r>
              <w:rPr>
                <w:rFonts w:hint="eastAsia" w:ascii="宋体"/>
                <w:b/>
                <w:bC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tcBorders>
              <w:bottom w:val="single" w:color="auto" w:sz="4" w:space="0"/>
            </w:tcBorders>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tcBorders>
              <w:top w:val="single" w:color="auto" w:sz="4" w:space="0"/>
              <w:bottom w:val="single" w:color="auto" w:sz="4" w:space="0"/>
            </w:tcBorders>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tcBorders>
              <w:top w:val="single" w:color="auto" w:sz="4" w:space="0"/>
              <w:bottom w:val="single" w:color="auto" w:sz="4" w:space="0"/>
            </w:tcBorders>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tcBorders>
              <w:top w:val="single" w:color="auto" w:sz="4" w:space="0"/>
              <w:bottom w:val="single" w:color="auto" w:sz="4" w:space="0"/>
            </w:tcBorders>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tcBorders>
              <w:top w:val="single" w:color="auto" w:sz="4" w:space="0"/>
              <w:bottom w:val="single" w:color="auto" w:sz="4" w:space="0"/>
            </w:tcBorders>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tcBorders>
              <w:top w:val="single" w:color="auto" w:sz="4" w:space="0"/>
              <w:bottom w:val="single" w:color="auto" w:sz="4" w:space="0"/>
            </w:tcBorders>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263" w:type="dxa"/>
            <w:tcBorders>
              <w:top w:val="single" w:color="auto" w:sz="4" w:space="0"/>
            </w:tcBorders>
            <w:noWrap w:val="0"/>
            <w:vAlign w:val="center"/>
          </w:tcPr>
          <w:p>
            <w:pPr>
              <w:ind w:firstLine="592"/>
              <w:rPr>
                <w:rFonts w:ascii="宋体"/>
              </w:rPr>
            </w:pPr>
          </w:p>
        </w:tc>
        <w:tc>
          <w:tcPr>
            <w:tcW w:w="1470" w:type="dxa"/>
            <w:noWrap w:val="0"/>
            <w:vAlign w:val="center"/>
          </w:tcPr>
          <w:p>
            <w:pPr>
              <w:ind w:firstLine="592"/>
              <w:rPr>
                <w:rFonts w:ascii="宋体"/>
              </w:rPr>
            </w:pPr>
          </w:p>
        </w:tc>
        <w:tc>
          <w:tcPr>
            <w:tcW w:w="919" w:type="dxa"/>
            <w:noWrap w:val="0"/>
            <w:vAlign w:val="center"/>
          </w:tcPr>
          <w:p>
            <w:pPr>
              <w:ind w:firstLine="592"/>
              <w:rPr>
                <w:rFonts w:ascii="宋体"/>
              </w:rPr>
            </w:pPr>
          </w:p>
        </w:tc>
        <w:tc>
          <w:tcPr>
            <w:tcW w:w="1391" w:type="dxa"/>
            <w:noWrap w:val="0"/>
            <w:vAlign w:val="center"/>
          </w:tcPr>
          <w:p>
            <w:pPr>
              <w:ind w:firstLine="592"/>
              <w:rPr>
                <w:rFonts w:ascii="宋体"/>
              </w:rPr>
            </w:pPr>
          </w:p>
        </w:tc>
        <w:tc>
          <w:tcPr>
            <w:tcW w:w="1050" w:type="dxa"/>
            <w:noWrap w:val="0"/>
            <w:vAlign w:val="center"/>
          </w:tcPr>
          <w:p>
            <w:pPr>
              <w:ind w:firstLine="592"/>
              <w:rPr>
                <w:rFonts w:ascii="宋体"/>
              </w:rPr>
            </w:pPr>
          </w:p>
        </w:tc>
        <w:tc>
          <w:tcPr>
            <w:tcW w:w="1050" w:type="dxa"/>
            <w:noWrap w:val="0"/>
            <w:vAlign w:val="center"/>
          </w:tcPr>
          <w:p>
            <w:pPr>
              <w:ind w:firstLine="592"/>
              <w:rPr>
                <w:rFonts w:ascii="宋体"/>
              </w:rPr>
            </w:pPr>
          </w:p>
        </w:tc>
        <w:tc>
          <w:tcPr>
            <w:tcW w:w="885" w:type="dxa"/>
            <w:noWrap w:val="0"/>
            <w:vAlign w:val="center"/>
          </w:tcPr>
          <w:p>
            <w:pPr>
              <w:ind w:firstLine="592"/>
              <w:rPr>
                <w:rFonts w:ascii="宋体"/>
              </w:rPr>
            </w:pPr>
          </w:p>
        </w:tc>
        <w:tc>
          <w:tcPr>
            <w:tcW w:w="1260" w:type="dxa"/>
            <w:noWrap w:val="0"/>
            <w:vAlign w:val="center"/>
          </w:tcPr>
          <w:p>
            <w:pPr>
              <w:ind w:firstLine="592"/>
              <w:rPr>
                <w:rFonts w:ascii="宋体"/>
              </w:rPr>
            </w:pPr>
          </w:p>
        </w:tc>
      </w:tr>
    </w:tbl>
    <w:p>
      <w:pPr>
        <w:pStyle w:val="36"/>
        <w:ind w:left="752" w:hanging="752"/>
        <w:rPr>
          <w:rFonts w:ascii="宋体" w:hAnsi="宋体" w:eastAsia="宋体" w:cs="Times New Roman"/>
          <w:bCs/>
          <w:sz w:val="22"/>
          <w:szCs w:val="22"/>
        </w:rPr>
      </w:pPr>
      <w:r>
        <w:rPr>
          <w:rFonts w:hint="eastAsia" w:ascii="宋体" w:hAnsi="宋体" w:eastAsia="宋体" w:cs="Times New Roman"/>
          <w:bCs/>
          <w:sz w:val="22"/>
          <w:szCs w:val="22"/>
        </w:rPr>
        <w:t>注：1. 相关维修配件按</w:t>
      </w:r>
      <w:r>
        <w:rPr>
          <w:rFonts w:hint="eastAsia" w:ascii="宋体" w:hAnsi="宋体" w:eastAsia="宋体" w:cs="Times New Roman"/>
          <w:bCs/>
          <w:sz w:val="22"/>
          <w:szCs w:val="22"/>
          <w:u w:val="single"/>
        </w:rPr>
        <w:t xml:space="preserve">    </w:t>
      </w:r>
      <w:r>
        <w:rPr>
          <w:rFonts w:hint="eastAsia" w:ascii="宋体" w:hAnsi="宋体" w:eastAsia="宋体" w:cs="Times New Roman"/>
          <w:bCs/>
          <w:sz w:val="22"/>
          <w:szCs w:val="22"/>
        </w:rPr>
        <w:t>个月维保期期满后</w:t>
      </w:r>
      <w:r>
        <w:rPr>
          <w:rFonts w:hint="eastAsia" w:ascii="宋体" w:hAnsi="宋体" w:eastAsia="宋体" w:cs="Times New Roman"/>
          <w:bCs/>
          <w:sz w:val="22"/>
          <w:szCs w:val="22"/>
          <w:u w:val="single"/>
        </w:rPr>
        <w:t xml:space="preserve">    </w:t>
      </w:r>
      <w:r>
        <w:rPr>
          <w:rFonts w:hint="eastAsia" w:ascii="宋体" w:hAnsi="宋体" w:eastAsia="宋体" w:cs="Times New Roman"/>
          <w:bCs/>
          <w:sz w:val="22"/>
          <w:szCs w:val="22"/>
        </w:rPr>
        <w:t>年内的不变价。（时间由各磋商供应商承诺）</w:t>
      </w:r>
    </w:p>
    <w:p>
      <w:pPr>
        <w:pStyle w:val="36"/>
        <w:ind w:left="732" w:leftChars="200" w:hanging="312" w:hangingChars="142"/>
        <w:rPr>
          <w:rFonts w:ascii="宋体" w:hAnsi="宋体" w:eastAsia="宋体" w:cs="Times New Roman"/>
          <w:bCs/>
          <w:sz w:val="22"/>
          <w:szCs w:val="22"/>
        </w:rPr>
      </w:pPr>
      <w:r>
        <w:rPr>
          <w:rFonts w:hint="eastAsia" w:ascii="宋体" w:hAnsi="宋体" w:eastAsia="宋体" w:cs="Times New Roman"/>
          <w:bCs/>
          <w:sz w:val="22"/>
          <w:szCs w:val="22"/>
        </w:rPr>
        <w:t>2. 本表中所列价格不计入磋商总价，仅供业主选购时用。</w:t>
      </w:r>
    </w:p>
    <w:p>
      <w:pPr>
        <w:pStyle w:val="36"/>
        <w:ind w:left="732" w:leftChars="200" w:hanging="312" w:hangingChars="142"/>
        <w:rPr>
          <w:rFonts w:ascii="宋体" w:hAnsi="宋体" w:eastAsia="宋体" w:cs="Times New Roman"/>
          <w:bCs/>
          <w:sz w:val="22"/>
          <w:szCs w:val="22"/>
        </w:rPr>
      </w:pPr>
      <w:r>
        <w:rPr>
          <w:rFonts w:hint="eastAsia" w:ascii="宋体" w:hAnsi="宋体" w:eastAsia="宋体" w:cs="Times New Roman"/>
          <w:bCs/>
          <w:sz w:val="22"/>
          <w:szCs w:val="22"/>
        </w:rPr>
        <w:t>3. 此表仅提供了表格形式，磋商供应商应根据需要准备足够数量的表格来填写。</w:t>
      </w:r>
    </w:p>
    <w:p>
      <w:pPr>
        <w:pStyle w:val="16"/>
      </w:pPr>
    </w:p>
    <w:p>
      <w:pPr>
        <w:rPr>
          <w:rFonts w:hint="eastAsia" w:ascii="宋体" w:hAnsi="宋体"/>
          <w:sz w:val="24"/>
        </w:rPr>
      </w:pPr>
      <w:r>
        <w:rPr>
          <w:rFonts w:hint="eastAsia" w:ascii="宋体" w:hAnsi="宋体"/>
          <w:sz w:val="24"/>
        </w:rPr>
        <w:t>磋商供应商全称（公章或CA章）：</w:t>
      </w:r>
    </w:p>
    <w:p>
      <w:pPr>
        <w:rPr>
          <w:rFonts w:ascii="宋体" w:hAnsi="宋体"/>
          <w:bCs/>
          <w:sz w:val="24"/>
        </w:rPr>
      </w:pPr>
      <w:r>
        <w:rPr>
          <w:rFonts w:hint="eastAsia" w:ascii="宋体" w:hAnsi="宋体"/>
          <w:sz w:val="24"/>
        </w:rPr>
        <w:t>日期：  年  月  日</w:t>
      </w: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rPr>
          <w:rFonts w:hint="eastAsia" w:ascii="宋体" w:hAnsi="宋体" w:cs="宋体"/>
          <w:b/>
          <w:bCs/>
          <w:sz w:val="36"/>
          <w:szCs w:val="36"/>
        </w:rPr>
      </w:pPr>
    </w:p>
    <w:p>
      <w:pPr>
        <w:spacing w:line="460" w:lineRule="exact"/>
        <w:jc w:val="center"/>
        <w:rPr>
          <w:rFonts w:ascii="黑体" w:hAnsi="仿宋" w:eastAsia="黑体"/>
          <w:b/>
          <w:bCs/>
          <w:sz w:val="36"/>
          <w:szCs w:val="36"/>
        </w:rPr>
      </w:pPr>
      <w:r>
        <w:rPr>
          <w:rFonts w:hint="eastAsia" w:ascii="黑体" w:hAnsi="仿宋" w:eastAsia="黑体"/>
          <w:b/>
          <w:bCs/>
          <w:sz w:val="36"/>
          <w:szCs w:val="36"/>
        </w:rPr>
        <w:t>（6）产品附件、备品备件和专用工具清单（如有）</w:t>
      </w:r>
    </w:p>
    <w:p>
      <w:pPr>
        <w:rPr>
          <w:rFonts w:hint="eastAsia" w:ascii="宋体" w:hAnsi="宋体"/>
          <w:bCs/>
          <w:sz w:val="22"/>
          <w:szCs w:val="22"/>
        </w:rPr>
      </w:pPr>
    </w:p>
    <w:p>
      <w:pPr>
        <w:rPr>
          <w:rFonts w:ascii="宋体" w:hAnsi="宋体"/>
          <w:bCs/>
          <w:sz w:val="32"/>
          <w:szCs w:val="32"/>
        </w:rPr>
      </w:pPr>
      <w:r>
        <w:rPr>
          <w:rFonts w:hint="eastAsia" w:ascii="宋体" w:hAnsi="宋体"/>
          <w:bCs/>
          <w:sz w:val="22"/>
          <w:szCs w:val="22"/>
        </w:rPr>
        <w:t xml:space="preserve">项目编号：                                       </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328"/>
        <w:gridCol w:w="1470"/>
        <w:gridCol w:w="2205"/>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r>
              <w:rPr>
                <w:rFonts w:hint="eastAsia" w:ascii="宋体" w:hAnsi="宋体"/>
                <w:b/>
                <w:bCs/>
                <w:sz w:val="22"/>
                <w:szCs w:val="22"/>
              </w:rPr>
              <w:t>序号</w:t>
            </w:r>
          </w:p>
        </w:tc>
        <w:tc>
          <w:tcPr>
            <w:tcW w:w="2328" w:type="dxa"/>
            <w:noWrap w:val="0"/>
            <w:vAlign w:val="center"/>
          </w:tcPr>
          <w:p>
            <w:pPr>
              <w:spacing w:line="380" w:lineRule="exact"/>
              <w:rPr>
                <w:rFonts w:ascii="宋体" w:hAnsi="宋体"/>
                <w:b/>
                <w:bCs/>
                <w:sz w:val="22"/>
                <w:szCs w:val="22"/>
              </w:rPr>
            </w:pPr>
            <w:r>
              <w:rPr>
                <w:rFonts w:hint="eastAsia" w:ascii="宋体" w:hAnsi="宋体"/>
                <w:b/>
                <w:bCs/>
                <w:sz w:val="22"/>
                <w:szCs w:val="22"/>
              </w:rPr>
              <w:t>名  称</w:t>
            </w:r>
          </w:p>
        </w:tc>
        <w:tc>
          <w:tcPr>
            <w:tcW w:w="1470" w:type="dxa"/>
            <w:noWrap w:val="0"/>
            <w:vAlign w:val="center"/>
          </w:tcPr>
          <w:p>
            <w:pPr>
              <w:spacing w:line="380" w:lineRule="exact"/>
              <w:rPr>
                <w:rFonts w:ascii="宋体" w:hAnsi="宋体"/>
                <w:b/>
                <w:bCs/>
                <w:sz w:val="22"/>
                <w:szCs w:val="22"/>
              </w:rPr>
            </w:pPr>
            <w:r>
              <w:rPr>
                <w:rFonts w:hint="eastAsia" w:ascii="宋体" w:hAnsi="宋体"/>
                <w:b/>
                <w:bCs/>
                <w:sz w:val="22"/>
                <w:szCs w:val="22"/>
              </w:rPr>
              <w:t>单位</w:t>
            </w:r>
          </w:p>
        </w:tc>
        <w:tc>
          <w:tcPr>
            <w:tcW w:w="2205" w:type="dxa"/>
            <w:noWrap w:val="0"/>
            <w:vAlign w:val="center"/>
          </w:tcPr>
          <w:p>
            <w:pPr>
              <w:spacing w:line="380" w:lineRule="exact"/>
              <w:rPr>
                <w:rFonts w:ascii="宋体" w:hAnsi="宋体"/>
                <w:b/>
                <w:bCs/>
                <w:sz w:val="22"/>
                <w:szCs w:val="22"/>
              </w:rPr>
            </w:pPr>
            <w:r>
              <w:rPr>
                <w:rFonts w:hint="eastAsia" w:ascii="宋体" w:hAnsi="宋体"/>
                <w:b/>
                <w:bCs/>
                <w:sz w:val="22"/>
                <w:szCs w:val="22"/>
              </w:rPr>
              <w:t>数量/台</w:t>
            </w:r>
          </w:p>
        </w:tc>
        <w:tc>
          <w:tcPr>
            <w:tcW w:w="2636" w:type="dxa"/>
            <w:noWrap w:val="0"/>
            <w:vAlign w:val="center"/>
          </w:tcPr>
          <w:p>
            <w:pPr>
              <w:spacing w:line="380" w:lineRule="exact"/>
              <w:rPr>
                <w:rFonts w:ascii="宋体" w:hAnsi="宋体"/>
                <w:b/>
                <w:bCs/>
                <w:sz w:val="22"/>
                <w:szCs w:val="22"/>
              </w:rPr>
            </w:pPr>
            <w:r>
              <w:rPr>
                <w:rFonts w:hint="eastAsia" w:ascii="宋体" w:hAnsi="宋体"/>
                <w:b/>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spacing w:line="380" w:lineRule="exact"/>
              <w:rPr>
                <w:rFonts w:ascii="宋体" w:hAnsi="宋体"/>
                <w:b/>
                <w:bCs/>
                <w:sz w:val="22"/>
                <w:szCs w:val="22"/>
              </w:rPr>
            </w:pPr>
          </w:p>
        </w:tc>
        <w:tc>
          <w:tcPr>
            <w:tcW w:w="2328" w:type="dxa"/>
            <w:noWrap w:val="0"/>
            <w:vAlign w:val="center"/>
          </w:tcPr>
          <w:p>
            <w:pPr>
              <w:spacing w:line="380" w:lineRule="exact"/>
              <w:rPr>
                <w:rFonts w:ascii="宋体" w:hAnsi="宋体"/>
                <w:b/>
                <w:bCs/>
                <w:sz w:val="22"/>
                <w:szCs w:val="22"/>
              </w:rPr>
            </w:pPr>
          </w:p>
        </w:tc>
        <w:tc>
          <w:tcPr>
            <w:tcW w:w="1470" w:type="dxa"/>
            <w:noWrap w:val="0"/>
            <w:vAlign w:val="center"/>
          </w:tcPr>
          <w:p>
            <w:pPr>
              <w:spacing w:line="380" w:lineRule="exact"/>
              <w:rPr>
                <w:rFonts w:ascii="宋体" w:hAnsi="宋体"/>
                <w:b/>
                <w:bCs/>
                <w:sz w:val="22"/>
                <w:szCs w:val="22"/>
              </w:rPr>
            </w:pPr>
          </w:p>
        </w:tc>
        <w:tc>
          <w:tcPr>
            <w:tcW w:w="2205" w:type="dxa"/>
            <w:noWrap w:val="0"/>
            <w:vAlign w:val="center"/>
          </w:tcPr>
          <w:p>
            <w:pPr>
              <w:spacing w:line="380" w:lineRule="exact"/>
              <w:rPr>
                <w:rFonts w:ascii="宋体" w:hAnsi="宋体"/>
                <w:b/>
                <w:bCs/>
                <w:sz w:val="22"/>
                <w:szCs w:val="22"/>
              </w:rPr>
            </w:pPr>
          </w:p>
        </w:tc>
        <w:tc>
          <w:tcPr>
            <w:tcW w:w="2636" w:type="dxa"/>
            <w:noWrap w:val="0"/>
            <w:vAlign w:val="center"/>
          </w:tcPr>
          <w:p>
            <w:pPr>
              <w:spacing w:line="380" w:lineRule="exact"/>
              <w:rPr>
                <w:rFonts w:ascii="宋体" w:hAnsi="宋体"/>
                <w:b/>
                <w:bCs/>
                <w:sz w:val="22"/>
                <w:szCs w:val="22"/>
              </w:rPr>
            </w:pPr>
          </w:p>
        </w:tc>
      </w:tr>
    </w:tbl>
    <w:p>
      <w:pPr>
        <w:spacing w:line="380" w:lineRule="exact"/>
        <w:jc w:val="left"/>
        <w:rPr>
          <w:rFonts w:ascii="宋体" w:hAnsi="宋体"/>
          <w:bCs/>
          <w:szCs w:val="21"/>
        </w:rPr>
      </w:pPr>
      <w:r>
        <w:rPr>
          <w:rFonts w:hint="eastAsia" w:ascii="宋体" w:hAnsi="宋体"/>
          <w:bCs/>
          <w:szCs w:val="21"/>
        </w:rPr>
        <w:t>附注：磋商供应商可按以上表格形式进行复制。</w:t>
      </w:r>
    </w:p>
    <w:p>
      <w:pPr>
        <w:spacing w:line="240" w:lineRule="exact"/>
        <w:ind w:firstLine="5280" w:firstLineChars="2400"/>
        <w:rPr>
          <w:rFonts w:ascii="宋体" w:hAnsi="宋体"/>
          <w:sz w:val="22"/>
          <w:szCs w:val="22"/>
        </w:rPr>
      </w:pPr>
    </w:p>
    <w:p>
      <w:pPr>
        <w:ind w:firstLine="3630" w:firstLineChars="1650"/>
        <w:rPr>
          <w:rFonts w:ascii="宋体" w:hAnsi="宋体"/>
          <w:sz w:val="22"/>
          <w:szCs w:val="22"/>
        </w:rPr>
      </w:pPr>
    </w:p>
    <w:p>
      <w:pPr>
        <w:rPr>
          <w:rFonts w:hint="eastAsia" w:ascii="宋体" w:hAnsi="宋体"/>
          <w:sz w:val="24"/>
        </w:rPr>
      </w:pPr>
      <w:r>
        <w:rPr>
          <w:rFonts w:hint="eastAsia" w:ascii="宋体" w:hAnsi="宋体"/>
          <w:sz w:val="24"/>
        </w:rPr>
        <w:t>磋商供应商全称（公章或CA章）：</w:t>
      </w:r>
    </w:p>
    <w:p>
      <w:pPr>
        <w:rPr>
          <w:rFonts w:ascii="宋体" w:hAnsi="宋体"/>
          <w:bCs/>
          <w:sz w:val="24"/>
        </w:rPr>
      </w:pPr>
      <w:r>
        <w:rPr>
          <w:rFonts w:hint="eastAsia" w:ascii="宋体" w:hAnsi="宋体"/>
          <w:sz w:val="24"/>
        </w:rPr>
        <w:t>日期：  年  月  日</w:t>
      </w: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jc w:val="center"/>
        <w:rPr>
          <w:rFonts w:hint="eastAsia" w:ascii="宋体" w:hAnsi="宋体" w:cs="宋体"/>
          <w:b/>
          <w:bCs/>
          <w:sz w:val="36"/>
          <w:szCs w:val="36"/>
        </w:rPr>
      </w:pPr>
    </w:p>
    <w:p>
      <w:pPr>
        <w:widowControl/>
        <w:rPr>
          <w:rFonts w:hint="eastAsia" w:ascii="宋体" w:hAnsi="宋体" w:cs="宋体"/>
          <w:b/>
          <w:bCs/>
          <w:sz w:val="36"/>
          <w:szCs w:val="36"/>
        </w:rPr>
      </w:pPr>
    </w:p>
    <w:p>
      <w:pPr>
        <w:widowControl/>
        <w:jc w:val="center"/>
        <w:rPr>
          <w:rFonts w:hint="eastAsia" w:ascii="宋体" w:hAnsi="宋体" w:cs="宋体"/>
          <w:b/>
          <w:bCs/>
          <w:sz w:val="36"/>
          <w:szCs w:val="36"/>
        </w:rPr>
      </w:pPr>
      <w:r>
        <w:rPr>
          <w:rFonts w:hint="eastAsia" w:ascii="宋体" w:hAnsi="宋体" w:cs="宋体"/>
          <w:b/>
          <w:bCs/>
          <w:sz w:val="36"/>
          <w:szCs w:val="36"/>
        </w:rPr>
        <w:t>（7）生产设备</w:t>
      </w:r>
    </w:p>
    <w:p>
      <w:pPr>
        <w:tabs>
          <w:tab w:val="left" w:pos="1985"/>
        </w:tabs>
        <w:spacing w:line="460" w:lineRule="exact"/>
        <w:rPr>
          <w:rFonts w:hint="eastAsia" w:ascii="宋体" w:hAnsi="宋体" w:cs="宋体"/>
          <w:bCs/>
          <w:sz w:val="22"/>
          <w:szCs w:val="22"/>
        </w:rPr>
      </w:pPr>
      <w:r>
        <w:rPr>
          <w:rFonts w:hint="eastAsia" w:ascii="宋体" w:hAnsi="宋体" w:cs="宋体"/>
          <w:bCs/>
          <w:sz w:val="22"/>
          <w:szCs w:val="22"/>
        </w:rPr>
        <w:t xml:space="preserve">项目编号：                                               </w:t>
      </w:r>
    </w:p>
    <w:tbl>
      <w:tblPr>
        <w:tblStyle w:val="51"/>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9587" w:hRule="atLeast"/>
        </w:trPr>
        <w:tc>
          <w:tcPr>
            <w:tcW w:w="9214" w:type="dxa"/>
            <w:noWrap w:val="0"/>
            <w:vAlign w:val="center"/>
          </w:tcPr>
          <w:p>
            <w:pPr>
              <w:rPr>
                <w:rFonts w:hint="eastAsia" w:ascii="宋体" w:hAnsi="宋体" w:cs="宋体"/>
              </w:rPr>
            </w:pPr>
          </w:p>
          <w:p>
            <w:pPr>
              <w:jc w:val="center"/>
              <w:rPr>
                <w:rFonts w:hint="eastAsia" w:ascii="宋体" w:hAnsi="宋体" w:cs="宋体"/>
              </w:rPr>
            </w:pPr>
            <w:r>
              <w:rPr>
                <w:rFonts w:hint="eastAsia" w:ascii="宋体" w:hAnsi="宋体" w:cs="宋体"/>
              </w:rPr>
              <w:t>（格式自拟）</w:t>
            </w:r>
          </w:p>
          <w:p>
            <w:pPr>
              <w:ind w:left="5250" w:leftChars="2500"/>
              <w:rPr>
                <w:rFonts w:hint="eastAsia" w:ascii="宋体" w:hAnsi="宋体" w:cs="宋体"/>
                <w:b/>
                <w:bCs/>
              </w:rPr>
            </w:pPr>
          </w:p>
        </w:tc>
      </w:tr>
    </w:tbl>
    <w:p>
      <w:pPr>
        <w:rPr>
          <w:rFonts w:hint="eastAsia" w:ascii="宋体" w:hAnsi="宋体" w:cs="宋体"/>
          <w:sz w:val="24"/>
        </w:rPr>
      </w:pPr>
      <w:r>
        <w:rPr>
          <w:rFonts w:hint="eastAsia" w:ascii="宋体" w:hAnsi="宋体" w:cs="宋体"/>
          <w:sz w:val="24"/>
        </w:rPr>
        <w:t>磋商供应商全称（公章或CA章）：</w:t>
      </w:r>
    </w:p>
    <w:p>
      <w:pPr>
        <w:rPr>
          <w:rFonts w:hint="eastAsia" w:ascii="宋体" w:hAnsi="宋体" w:cs="宋体"/>
          <w:bCs/>
          <w:sz w:val="24"/>
        </w:rPr>
      </w:pPr>
      <w:r>
        <w:rPr>
          <w:rFonts w:hint="eastAsia" w:ascii="宋体" w:hAnsi="宋体" w:cs="宋体"/>
          <w:sz w:val="24"/>
        </w:rPr>
        <w:t>日期：  年  月  日</w:t>
      </w:r>
    </w:p>
    <w:p>
      <w:pPr>
        <w:widowControl/>
        <w:jc w:val="center"/>
        <w:rPr>
          <w:rFonts w:hint="eastAsia"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（8）交货及安装方案</w:t>
      </w:r>
    </w:p>
    <w:p>
      <w:pPr>
        <w:tabs>
          <w:tab w:val="left" w:pos="1985"/>
        </w:tabs>
        <w:spacing w:line="460" w:lineRule="exact"/>
        <w:rPr>
          <w:rFonts w:hint="eastAsia" w:ascii="宋体" w:hAnsi="宋体" w:cs="宋体"/>
          <w:bCs/>
          <w:sz w:val="22"/>
          <w:szCs w:val="22"/>
        </w:rPr>
      </w:pPr>
      <w:r>
        <w:rPr>
          <w:rFonts w:hint="eastAsia" w:ascii="宋体" w:hAnsi="宋体" w:cs="宋体"/>
          <w:bCs/>
          <w:sz w:val="22"/>
          <w:szCs w:val="22"/>
        </w:rPr>
        <w:t xml:space="preserve">项目编号：                                               </w:t>
      </w:r>
    </w:p>
    <w:tbl>
      <w:tblPr>
        <w:tblStyle w:val="51"/>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0"/>
            <w:vAlign w:val="center"/>
          </w:tcPr>
          <w:p>
            <w:pPr>
              <w:rPr>
                <w:rFonts w:hint="eastAsia" w:ascii="宋体" w:hAnsi="宋体" w:cs="宋体"/>
              </w:rPr>
            </w:pPr>
          </w:p>
          <w:p>
            <w:pPr>
              <w:jc w:val="center"/>
              <w:rPr>
                <w:rFonts w:hint="eastAsia" w:ascii="宋体" w:hAnsi="宋体" w:cs="宋体"/>
              </w:rPr>
            </w:pPr>
            <w:r>
              <w:rPr>
                <w:rFonts w:hint="eastAsia" w:ascii="宋体" w:hAnsi="宋体" w:cs="宋体"/>
              </w:rPr>
              <w:t>（格式自拟）</w:t>
            </w:r>
          </w:p>
          <w:p>
            <w:pPr>
              <w:ind w:left="5250" w:leftChars="2500"/>
              <w:rPr>
                <w:rFonts w:hint="eastAsia" w:ascii="宋体" w:hAnsi="宋体" w:cs="宋体"/>
                <w:b/>
                <w:bCs/>
              </w:rPr>
            </w:pPr>
          </w:p>
        </w:tc>
      </w:tr>
    </w:tbl>
    <w:p>
      <w:pPr>
        <w:rPr>
          <w:rFonts w:hint="eastAsia" w:ascii="宋体" w:hAnsi="宋体" w:cs="宋体"/>
          <w:sz w:val="24"/>
        </w:rPr>
      </w:pPr>
      <w:r>
        <w:rPr>
          <w:rFonts w:hint="eastAsia" w:ascii="宋体" w:hAnsi="宋体" w:cs="宋体"/>
          <w:sz w:val="24"/>
        </w:rPr>
        <w:t>磋商供应商全称（公章或CA章）：</w:t>
      </w:r>
    </w:p>
    <w:p>
      <w:pPr>
        <w:rPr>
          <w:rFonts w:hint="eastAsia" w:ascii="宋体" w:hAnsi="宋体" w:cs="宋体"/>
          <w:b/>
          <w:bCs/>
          <w:sz w:val="36"/>
          <w:szCs w:val="36"/>
        </w:rPr>
        <w:sectPr>
          <w:footerReference r:id="rId11" w:type="default"/>
          <w:pgSz w:w="11906" w:h="16838"/>
          <w:pgMar w:top="1474" w:right="1797" w:bottom="1247" w:left="1797" w:header="851" w:footer="851" w:gutter="0"/>
          <w:cols w:space="720" w:num="1"/>
        </w:sectPr>
      </w:pPr>
      <w:r>
        <w:rPr>
          <w:rFonts w:hint="eastAsia" w:ascii="宋体" w:hAnsi="宋体" w:cs="宋体"/>
          <w:sz w:val="24"/>
        </w:rPr>
        <w:t>日期：  年  月</w:t>
      </w:r>
    </w:p>
    <w:p>
      <w:pPr>
        <w:widowControl/>
        <w:rPr>
          <w:rFonts w:hint="eastAsia" w:ascii="宋体" w:hAnsi="宋体" w:cs="宋体"/>
          <w:b/>
          <w:bCs/>
          <w:sz w:val="36"/>
          <w:szCs w:val="36"/>
        </w:rPr>
      </w:pPr>
    </w:p>
    <w:p>
      <w:pPr>
        <w:widowControl/>
        <w:jc w:val="center"/>
        <w:rPr>
          <w:rFonts w:hint="eastAsia" w:ascii="宋体" w:hAnsi="宋体" w:cs="宋体"/>
          <w:b/>
          <w:bCs/>
          <w:sz w:val="36"/>
          <w:szCs w:val="36"/>
        </w:rPr>
      </w:pPr>
      <w:r>
        <w:rPr>
          <w:rFonts w:hint="eastAsia" w:ascii="宋体" w:hAnsi="宋体" w:cs="宋体"/>
          <w:b/>
          <w:bCs/>
          <w:sz w:val="36"/>
          <w:szCs w:val="36"/>
        </w:rPr>
        <w:t>（9）主要产品的环保性、稳定性、安全性</w:t>
      </w:r>
    </w:p>
    <w:p>
      <w:pPr>
        <w:tabs>
          <w:tab w:val="left" w:pos="1985"/>
        </w:tabs>
        <w:spacing w:line="460" w:lineRule="exact"/>
        <w:rPr>
          <w:rFonts w:hint="eastAsia" w:ascii="宋体" w:hAnsi="宋体" w:cs="宋体"/>
          <w:bCs/>
          <w:sz w:val="22"/>
          <w:szCs w:val="22"/>
        </w:rPr>
      </w:pPr>
      <w:r>
        <w:rPr>
          <w:rFonts w:hint="eastAsia" w:ascii="宋体" w:hAnsi="宋体" w:cs="宋体"/>
          <w:bCs/>
          <w:sz w:val="22"/>
          <w:szCs w:val="22"/>
        </w:rPr>
        <w:t xml:space="preserve">项目编号：                                               </w:t>
      </w:r>
    </w:p>
    <w:tbl>
      <w:tblPr>
        <w:tblStyle w:val="51"/>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wBefore w:w="0" w:type="dxa"/>
          <w:wAfter w:w="0" w:type="dxa"/>
          <w:trHeight w:val="9587" w:hRule="atLeast"/>
        </w:trPr>
        <w:tc>
          <w:tcPr>
            <w:tcW w:w="9214" w:type="dxa"/>
            <w:noWrap w:val="0"/>
            <w:vAlign w:val="center"/>
          </w:tcPr>
          <w:p>
            <w:pPr>
              <w:rPr>
                <w:rFonts w:hint="eastAsia" w:ascii="宋体" w:hAnsi="宋体" w:cs="宋体"/>
              </w:rPr>
            </w:pPr>
          </w:p>
          <w:p>
            <w:pPr>
              <w:jc w:val="center"/>
              <w:rPr>
                <w:rFonts w:hint="eastAsia" w:ascii="宋体" w:hAnsi="宋体" w:cs="宋体"/>
              </w:rPr>
            </w:pPr>
            <w:r>
              <w:rPr>
                <w:rFonts w:hint="eastAsia" w:ascii="宋体" w:hAnsi="宋体" w:cs="宋体"/>
              </w:rPr>
              <w:t>（格式自拟）</w:t>
            </w:r>
          </w:p>
          <w:p>
            <w:pPr>
              <w:ind w:left="5250" w:leftChars="2500"/>
              <w:rPr>
                <w:rFonts w:hint="eastAsia" w:ascii="宋体" w:hAnsi="宋体" w:cs="宋体"/>
                <w:b/>
                <w:bCs/>
              </w:rPr>
            </w:pPr>
          </w:p>
        </w:tc>
      </w:tr>
    </w:tbl>
    <w:p>
      <w:pPr>
        <w:rPr>
          <w:rFonts w:hint="eastAsia" w:ascii="宋体" w:hAnsi="宋体" w:cs="宋体"/>
          <w:sz w:val="24"/>
        </w:rPr>
      </w:pPr>
      <w:r>
        <w:rPr>
          <w:rFonts w:hint="eastAsia" w:ascii="宋体" w:hAnsi="宋体" w:cs="宋体"/>
          <w:sz w:val="24"/>
        </w:rPr>
        <w:t>磋商供应商全称（公章或CA章）：</w:t>
      </w:r>
    </w:p>
    <w:p>
      <w:pPr>
        <w:rPr>
          <w:rFonts w:hint="eastAsia" w:ascii="宋体" w:hAnsi="宋体" w:cs="宋体"/>
          <w:bCs/>
          <w:sz w:val="24"/>
        </w:rPr>
      </w:pPr>
      <w:r>
        <w:rPr>
          <w:rFonts w:hint="eastAsia" w:ascii="宋体" w:hAnsi="宋体" w:cs="宋体"/>
          <w:sz w:val="24"/>
        </w:rPr>
        <w:t>日期：  年  月  日</w:t>
      </w:r>
    </w:p>
    <w:p>
      <w:pPr>
        <w:widowControl/>
        <w:jc w:val="center"/>
        <w:rPr>
          <w:rFonts w:hint="eastAsia" w:ascii="宋体" w:hAnsi="宋体" w:cs="宋体"/>
          <w:b/>
          <w:bCs/>
          <w:sz w:val="36"/>
          <w:szCs w:val="36"/>
        </w:rPr>
        <w:sectPr>
          <w:footerReference r:id="rId12" w:type="default"/>
          <w:pgSz w:w="11906" w:h="16838"/>
          <w:pgMar w:top="1474" w:right="1797" w:bottom="1247" w:left="1797" w:header="851" w:footer="851" w:gutter="0"/>
          <w:cols w:space="720" w:num="1"/>
        </w:sectPr>
      </w:pPr>
    </w:p>
    <w:p>
      <w:pPr>
        <w:tabs>
          <w:tab w:val="left" w:pos="1985"/>
        </w:tabs>
        <w:spacing w:line="460" w:lineRule="exact"/>
        <w:jc w:val="center"/>
        <w:rPr>
          <w:rFonts w:hint="eastAsia" w:ascii="宋体" w:hAnsi="宋体" w:cs="宋体"/>
          <w:b/>
          <w:bCs/>
          <w:sz w:val="36"/>
          <w:szCs w:val="36"/>
        </w:rPr>
      </w:pPr>
      <w:r>
        <w:rPr>
          <w:rFonts w:hint="eastAsia" w:ascii="宋体" w:hAnsi="宋体" w:cs="宋体"/>
          <w:b/>
          <w:bCs/>
          <w:sz w:val="36"/>
          <w:szCs w:val="36"/>
        </w:rPr>
        <w:t>(10)主要原材料的环保性、稳定性、安全性</w:t>
      </w:r>
    </w:p>
    <w:p>
      <w:pPr>
        <w:tabs>
          <w:tab w:val="left" w:pos="1985"/>
        </w:tabs>
        <w:spacing w:line="460" w:lineRule="exact"/>
        <w:rPr>
          <w:rFonts w:ascii="宋体" w:hAnsi="宋体"/>
          <w:bCs/>
          <w:sz w:val="22"/>
          <w:szCs w:val="22"/>
        </w:rPr>
      </w:pPr>
      <w:r>
        <w:rPr>
          <w:rFonts w:hint="eastAsia" w:ascii="宋体" w:hAnsi="宋体"/>
          <w:bCs/>
          <w:sz w:val="22"/>
          <w:szCs w:val="22"/>
        </w:rPr>
        <w:t xml:space="preserve">项目编号：                                               </w:t>
      </w:r>
    </w:p>
    <w:tbl>
      <w:tblPr>
        <w:tblStyle w:val="51"/>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0"/>
            <w:vAlign w:val="center"/>
          </w:tcPr>
          <w:p>
            <w:pPr>
              <w:rPr>
                <w:rFonts w:ascii="宋体" w:hAnsi="宋体"/>
              </w:rPr>
            </w:pPr>
          </w:p>
          <w:p>
            <w:pPr>
              <w:jc w:val="center"/>
            </w:pPr>
            <w:r>
              <w:rPr>
                <w:rFonts w:hint="eastAsia"/>
              </w:rPr>
              <w:t>（格式自拟）</w:t>
            </w:r>
          </w:p>
          <w:p>
            <w:pPr>
              <w:ind w:left="5250" w:leftChars="2500"/>
              <w:rPr>
                <w:rFonts w:ascii="宋体" w:hAnsi="宋体"/>
                <w:b/>
                <w:bCs/>
              </w:rPr>
            </w:pPr>
          </w:p>
        </w:tc>
      </w:tr>
    </w:tbl>
    <w:p>
      <w:pPr>
        <w:rPr>
          <w:rFonts w:hint="eastAsia" w:ascii="宋体" w:hAnsi="宋体"/>
          <w:sz w:val="24"/>
        </w:rPr>
      </w:pPr>
      <w:r>
        <w:rPr>
          <w:rFonts w:hint="eastAsia" w:ascii="宋体" w:hAnsi="宋体"/>
          <w:sz w:val="24"/>
        </w:rPr>
        <w:t>磋商供应商全称（公章或CA章）：</w:t>
      </w:r>
    </w:p>
    <w:p>
      <w:pPr>
        <w:rPr>
          <w:rFonts w:ascii="宋体" w:hAnsi="宋体"/>
          <w:bCs/>
          <w:sz w:val="24"/>
        </w:rPr>
      </w:pPr>
      <w:r>
        <w:rPr>
          <w:rFonts w:hint="eastAsia" w:ascii="宋体" w:hAnsi="宋体"/>
          <w:sz w:val="24"/>
        </w:rPr>
        <w:t>日期：  年  月  日</w:t>
      </w:r>
    </w:p>
    <w:p>
      <w:pPr>
        <w:widowControl/>
        <w:jc w:val="center"/>
        <w:rPr>
          <w:rFonts w:hint="eastAsia" w:ascii="宋体" w:hAnsi="宋体" w:cs="宋体"/>
          <w:b/>
          <w:bCs/>
          <w:sz w:val="36"/>
          <w:szCs w:val="36"/>
        </w:rPr>
        <w:sectPr>
          <w:footerReference r:id="rId13" w:type="default"/>
          <w:pgSz w:w="11906" w:h="16838"/>
          <w:pgMar w:top="1474" w:right="1797" w:bottom="1247" w:left="1797" w:header="851" w:footer="851" w:gutter="0"/>
          <w:cols w:space="720" w:num="1"/>
        </w:sectPr>
      </w:pPr>
    </w:p>
    <w:p>
      <w:pPr>
        <w:spacing w:line="460" w:lineRule="exact"/>
        <w:jc w:val="center"/>
        <w:rPr>
          <w:rFonts w:hint="eastAsia" w:ascii="宋体" w:hAnsi="宋体" w:cs="宋体"/>
          <w:b/>
          <w:bCs/>
          <w:sz w:val="36"/>
          <w:szCs w:val="36"/>
        </w:rPr>
      </w:pPr>
      <w:r>
        <w:rPr>
          <w:rFonts w:hint="eastAsia" w:ascii="宋体" w:hAnsi="宋体" w:cs="宋体"/>
          <w:b/>
          <w:bCs/>
          <w:sz w:val="36"/>
          <w:szCs w:val="36"/>
        </w:rPr>
        <w:t>（11）售后服务</w:t>
      </w:r>
    </w:p>
    <w:p>
      <w:pPr>
        <w:adjustRightInd w:val="0"/>
        <w:spacing w:line="360" w:lineRule="auto"/>
        <w:rPr>
          <w:rFonts w:hint="eastAsia" w:ascii="宋体" w:hAnsi="宋体" w:cs="宋体"/>
          <w:szCs w:val="21"/>
        </w:rPr>
      </w:pPr>
      <w:r>
        <w:rPr>
          <w:rFonts w:hint="eastAsia" w:ascii="宋体" w:hAnsi="宋体"/>
          <w:bCs/>
          <w:sz w:val="22"/>
          <w:szCs w:val="22"/>
        </w:rPr>
        <w:t>项目编号：</w:t>
      </w:r>
    </w:p>
    <w:tbl>
      <w:tblPr>
        <w:tblStyle w:val="51"/>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0"/>
            <w:vAlign w:val="center"/>
          </w:tcPr>
          <w:p>
            <w:pPr>
              <w:rPr>
                <w:rFonts w:ascii="宋体" w:hAnsi="宋体"/>
              </w:rPr>
            </w:pPr>
          </w:p>
          <w:p>
            <w:pPr>
              <w:jc w:val="center"/>
            </w:pPr>
            <w:r>
              <w:rPr>
                <w:rFonts w:hint="eastAsia"/>
              </w:rPr>
              <w:t>（格式自拟）</w:t>
            </w:r>
          </w:p>
          <w:p>
            <w:pPr>
              <w:ind w:left="5250" w:leftChars="2500"/>
              <w:rPr>
                <w:rFonts w:ascii="宋体" w:hAnsi="宋体"/>
                <w:b/>
                <w:bCs/>
              </w:rPr>
            </w:pPr>
          </w:p>
        </w:tc>
      </w:tr>
    </w:tbl>
    <w:p>
      <w:pPr>
        <w:adjustRightInd w:val="0"/>
        <w:spacing w:line="360" w:lineRule="auto"/>
        <w:rPr>
          <w:rFonts w:hint="eastAsia" w:ascii="宋体" w:hAnsi="宋体" w:cs="宋体"/>
          <w:szCs w:val="21"/>
        </w:rPr>
      </w:pPr>
    </w:p>
    <w:p>
      <w:pPr>
        <w:spacing w:line="360" w:lineRule="auto"/>
        <w:rPr>
          <w:rFonts w:hint="eastAsia" w:ascii="宋体" w:hAnsi="宋体" w:cs="宋体"/>
          <w:sz w:val="24"/>
        </w:rPr>
      </w:pPr>
      <w:r>
        <w:rPr>
          <w:rFonts w:hint="eastAsia" w:ascii="宋体" w:hAnsi="宋体" w:cs="宋体"/>
          <w:sz w:val="24"/>
        </w:rPr>
        <w:t>磋商供应商全称（</w:t>
      </w:r>
      <w:r>
        <w:rPr>
          <w:rFonts w:hint="eastAsia" w:ascii="宋体" w:hAnsi="宋体" w:cs="宋体"/>
          <w:bCs/>
          <w:sz w:val="24"/>
        </w:rPr>
        <w:t>公章或CA章</w:t>
      </w:r>
      <w:r>
        <w:rPr>
          <w:rFonts w:hint="eastAsia" w:ascii="宋体" w:hAnsi="宋体" w:cs="宋体"/>
          <w:sz w:val="24"/>
        </w:rPr>
        <w:t>）：</w:t>
      </w:r>
    </w:p>
    <w:p>
      <w:pPr>
        <w:spacing w:line="360" w:lineRule="auto"/>
        <w:rPr>
          <w:rFonts w:hint="eastAsia" w:ascii="宋体" w:hAnsi="宋体" w:cs="宋体"/>
          <w:b/>
          <w:bCs/>
          <w:sz w:val="22"/>
          <w:szCs w:val="22"/>
        </w:rPr>
      </w:pPr>
      <w:r>
        <w:rPr>
          <w:rFonts w:hint="eastAsia" w:ascii="宋体" w:hAnsi="宋体" w:cs="宋体"/>
          <w:sz w:val="24"/>
        </w:rPr>
        <w:t>日期：  年   月  日</w:t>
      </w:r>
    </w:p>
    <w:p>
      <w:pPr>
        <w:widowControl/>
        <w:jc w:val="center"/>
        <w:rPr>
          <w:rFonts w:ascii="宋体" w:hAnsi="宋体" w:cs="宋体"/>
          <w:b/>
          <w:bCs/>
          <w:sz w:val="36"/>
          <w:szCs w:val="36"/>
        </w:rPr>
      </w:pPr>
    </w:p>
    <w:p>
      <w:pPr>
        <w:pStyle w:val="2"/>
        <w:spacing w:before="120"/>
        <w:rPr>
          <w:rFonts w:ascii="宋体" w:hAnsi="宋体" w:cs="宋体"/>
          <w:b/>
          <w:bCs/>
          <w:sz w:val="36"/>
          <w:szCs w:val="36"/>
        </w:rPr>
      </w:pPr>
    </w:p>
    <w:p>
      <w:pPr>
        <w:pStyle w:val="2"/>
        <w:spacing w:before="120"/>
        <w:rPr>
          <w:rFonts w:ascii="宋体" w:hAnsi="宋体" w:cs="宋体"/>
          <w:b/>
          <w:bCs/>
          <w:sz w:val="36"/>
          <w:szCs w:val="36"/>
        </w:rPr>
      </w:pPr>
    </w:p>
    <w:p>
      <w:pPr>
        <w:pStyle w:val="2"/>
        <w:spacing w:before="120"/>
        <w:rPr>
          <w:rFonts w:ascii="宋体" w:hAnsi="宋体" w:cs="宋体"/>
          <w:b/>
          <w:bCs/>
          <w:sz w:val="36"/>
          <w:szCs w:val="36"/>
        </w:rPr>
      </w:pPr>
    </w:p>
    <w:p>
      <w:pPr>
        <w:autoSpaceDE w:val="0"/>
        <w:autoSpaceDN w:val="0"/>
        <w:adjustRightInd w:val="0"/>
        <w:spacing w:line="460" w:lineRule="atLeast"/>
        <w:rPr>
          <w:rFonts w:ascii="宋体" w:hAnsi="宋体"/>
          <w:color w:val="000000"/>
          <w:sz w:val="32"/>
          <w:lang w:val="zh-CN"/>
        </w:rPr>
      </w:pPr>
      <w:r>
        <w:rPr>
          <w:rFonts w:hint="eastAsia" w:ascii="宋体" w:hAnsi="宋体"/>
          <w:color w:val="000000"/>
          <w:sz w:val="32"/>
          <w:lang w:val="zh-CN"/>
        </w:rPr>
        <w:t xml:space="preserve">       </w:t>
      </w:r>
    </w:p>
    <w:p>
      <w:pPr>
        <w:widowControl/>
        <w:jc w:val="center"/>
        <w:rPr>
          <w:rFonts w:ascii="黑体" w:eastAsia="黑体"/>
          <w:b/>
          <w:bCs/>
          <w:sz w:val="36"/>
          <w:szCs w:val="36"/>
        </w:rPr>
      </w:pPr>
      <w:r>
        <w:rPr>
          <w:rFonts w:hint="eastAsia" w:ascii="黑体" w:eastAsia="黑体"/>
          <w:b/>
          <w:bCs/>
          <w:sz w:val="36"/>
          <w:szCs w:val="36"/>
        </w:rPr>
        <w:t>（12）节能环保产品声明函</w:t>
      </w:r>
    </w:p>
    <w:p>
      <w:pPr>
        <w:spacing w:line="360" w:lineRule="auto"/>
        <w:ind w:firstLine="560" w:firstLineChars="200"/>
        <w:rPr>
          <w:rFonts w:hint="eastAsia" w:ascii="楷体" w:hAnsi="楷体" w:eastAsia="楷体"/>
          <w:bCs/>
          <w:sz w:val="28"/>
          <w:szCs w:val="28"/>
        </w:rPr>
      </w:pPr>
    </w:p>
    <w:p>
      <w:pPr>
        <w:spacing w:line="360" w:lineRule="auto"/>
        <w:ind w:firstLine="560" w:firstLineChars="200"/>
        <w:rPr>
          <w:rFonts w:hint="eastAsia" w:ascii="楷体" w:hAnsi="楷体" w:eastAsia="楷体"/>
          <w:bCs/>
          <w:sz w:val="28"/>
          <w:szCs w:val="28"/>
        </w:rPr>
      </w:pPr>
      <w:r>
        <w:rPr>
          <w:rFonts w:hint="eastAsia" w:ascii="楷体" w:hAnsi="楷体" w:eastAsia="楷体"/>
          <w:bCs/>
          <w:sz w:val="28"/>
          <w:szCs w:val="28"/>
        </w:rPr>
        <w:t>本公司郑重声明，根据《节能产品政府采购实施意见》（财库〔2004〕185号，不含该期清单）、《关于环境标志产品政府采购实施的意见》（财库〔2006〕90号，不含该期清单）的规定，本公司满足以下条件：</w:t>
      </w:r>
    </w:p>
    <w:p>
      <w:pPr>
        <w:spacing w:line="360" w:lineRule="auto"/>
        <w:ind w:firstLine="560" w:firstLineChars="200"/>
        <w:rPr>
          <w:rFonts w:hint="eastAsia" w:ascii="楷体" w:hAnsi="楷体" w:eastAsia="楷体"/>
          <w:bCs/>
          <w:sz w:val="28"/>
          <w:szCs w:val="28"/>
        </w:rPr>
      </w:pPr>
      <w:r>
        <w:rPr>
          <w:rFonts w:hint="eastAsia" w:ascii="楷体" w:hAnsi="楷体" w:eastAsia="楷体"/>
          <w:bCs/>
          <w:sz w:val="28"/>
          <w:szCs w:val="28"/>
        </w:rPr>
        <w:t>此次采购项目中本公司所列节能或环境标志产品均属于品目清单范围，且具有国家确定的认证机构出具的、处于有效期之内的节能产品或环境标志产品认证证书(中国政府采购网</w:t>
      </w:r>
      <w:r>
        <w:rPr>
          <w:rFonts w:ascii="楷体" w:hAnsi="楷体" w:eastAsia="楷体"/>
          <w:bCs/>
          <w:sz w:val="28"/>
          <w:szCs w:val="28"/>
        </w:rPr>
        <w:fldChar w:fldCharType="begin"/>
      </w:r>
      <w:r>
        <w:rPr>
          <w:rFonts w:ascii="楷体" w:hAnsi="楷体" w:eastAsia="楷体"/>
          <w:bCs/>
          <w:sz w:val="28"/>
          <w:szCs w:val="28"/>
        </w:rPr>
        <w:instrText xml:space="preserve"> HYPERLINK "http://</w:instrText>
      </w:r>
      <w:r>
        <w:rPr>
          <w:rFonts w:hint="eastAsia" w:ascii="楷体" w:hAnsi="楷体" w:eastAsia="楷体"/>
          <w:bCs/>
          <w:sz w:val="28"/>
          <w:szCs w:val="28"/>
        </w:rPr>
        <w:instrText xml:space="preserve">www.ccgp.gov.cn</w:instrText>
      </w:r>
      <w:r>
        <w:rPr>
          <w:rFonts w:ascii="楷体" w:hAnsi="楷体" w:eastAsia="楷体"/>
          <w:bCs/>
          <w:sz w:val="28"/>
          <w:szCs w:val="28"/>
        </w:rPr>
        <w:instrText xml:space="preserve">" </w:instrText>
      </w:r>
      <w:r>
        <w:rPr>
          <w:rFonts w:ascii="楷体" w:hAnsi="楷体" w:eastAsia="楷体"/>
          <w:bCs/>
          <w:sz w:val="28"/>
          <w:szCs w:val="28"/>
        </w:rPr>
        <w:fldChar w:fldCharType="separate"/>
      </w:r>
      <w:r>
        <w:rPr>
          <w:rStyle w:val="59"/>
          <w:rFonts w:hint="eastAsia" w:ascii="楷体" w:hAnsi="楷体" w:eastAsia="楷体"/>
          <w:sz w:val="28"/>
          <w:szCs w:val="28"/>
        </w:rPr>
        <w:t>www.ccgp.gov.cn</w:t>
      </w:r>
      <w:r>
        <w:rPr>
          <w:rFonts w:ascii="楷体" w:hAnsi="楷体" w:eastAsia="楷体"/>
          <w:bCs/>
          <w:sz w:val="28"/>
          <w:szCs w:val="28"/>
        </w:rPr>
        <w:fldChar w:fldCharType="end"/>
      </w:r>
      <w:r>
        <w:rPr>
          <w:rFonts w:hint="eastAsia" w:ascii="楷体" w:hAnsi="楷体" w:eastAsia="楷体"/>
          <w:bCs/>
          <w:sz w:val="28"/>
          <w:szCs w:val="28"/>
        </w:rPr>
        <w:t>须具备相关信息)；</w:t>
      </w:r>
    </w:p>
    <w:p>
      <w:pPr>
        <w:spacing w:line="360" w:lineRule="auto"/>
        <w:ind w:firstLine="560" w:firstLineChars="200"/>
        <w:rPr>
          <w:rFonts w:hint="eastAsia" w:ascii="楷体" w:hAnsi="楷体" w:eastAsia="楷体"/>
          <w:bCs/>
          <w:sz w:val="28"/>
          <w:szCs w:val="28"/>
        </w:rPr>
      </w:pPr>
      <w:r>
        <w:rPr>
          <w:rFonts w:hint="eastAsia" w:ascii="楷体" w:hAnsi="楷体" w:eastAsia="楷体"/>
          <w:bCs/>
          <w:sz w:val="28"/>
          <w:szCs w:val="28"/>
        </w:rPr>
        <w:t>本公司对上述声明的真实性负责。如有虚假，将依法承担相应法律责任。</w:t>
      </w:r>
    </w:p>
    <w:p>
      <w:pPr>
        <w:spacing w:line="360" w:lineRule="auto"/>
        <w:rPr>
          <w:rFonts w:hint="eastAsia" w:ascii="楷体" w:hAnsi="楷体" w:eastAsia="楷体"/>
          <w:bCs/>
          <w:sz w:val="28"/>
          <w:szCs w:val="28"/>
        </w:rPr>
      </w:pPr>
    </w:p>
    <w:p>
      <w:pPr>
        <w:rPr>
          <w:rFonts w:hint="eastAsia" w:ascii="宋体" w:hAnsi="宋体"/>
          <w:sz w:val="24"/>
        </w:rPr>
      </w:pPr>
      <w:r>
        <w:rPr>
          <w:rFonts w:hint="eastAsia" w:ascii="宋体" w:hAnsi="宋体"/>
          <w:sz w:val="24"/>
        </w:rPr>
        <w:t>磋商供应商全称（公章或CA章）：</w:t>
      </w:r>
    </w:p>
    <w:p>
      <w:pPr>
        <w:rPr>
          <w:rFonts w:ascii="宋体" w:hAnsi="宋体"/>
          <w:bCs/>
          <w:sz w:val="24"/>
        </w:rPr>
      </w:pPr>
      <w:r>
        <w:rPr>
          <w:rFonts w:hint="eastAsia" w:ascii="宋体" w:hAnsi="宋体"/>
          <w:sz w:val="24"/>
        </w:rPr>
        <w:t>日期：  年  月  日</w:t>
      </w: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autoSpaceDE w:val="0"/>
        <w:autoSpaceDN w:val="0"/>
        <w:adjustRightInd w:val="0"/>
        <w:spacing w:line="460" w:lineRule="atLeast"/>
        <w:jc w:val="center"/>
        <w:rPr>
          <w:rFonts w:hint="eastAsia" w:ascii="宋体" w:hAnsi="宋体"/>
          <w:color w:val="000000"/>
          <w:sz w:val="36"/>
          <w:lang w:val="zh-CN"/>
        </w:rPr>
      </w:pPr>
    </w:p>
    <w:p>
      <w:pPr>
        <w:widowControl/>
        <w:jc w:val="center"/>
        <w:rPr>
          <w:rFonts w:ascii="黑体" w:eastAsia="黑体"/>
          <w:b/>
          <w:bCs/>
          <w:sz w:val="36"/>
          <w:szCs w:val="36"/>
        </w:rPr>
      </w:pPr>
      <w:r>
        <w:rPr>
          <w:rFonts w:hint="eastAsia" w:ascii="黑体" w:eastAsia="黑体"/>
          <w:b/>
          <w:bCs/>
          <w:sz w:val="36"/>
          <w:szCs w:val="36"/>
        </w:rPr>
        <w:t>（13）节能（环保）产品清单</w:t>
      </w:r>
    </w:p>
    <w:p>
      <w:pPr>
        <w:tabs>
          <w:tab w:val="left" w:pos="1985"/>
        </w:tabs>
        <w:spacing w:line="460" w:lineRule="exact"/>
        <w:rPr>
          <w:rFonts w:ascii="宋体" w:hAnsi="宋体"/>
          <w:bCs/>
          <w:sz w:val="22"/>
          <w:szCs w:val="22"/>
        </w:rPr>
      </w:pPr>
      <w:r>
        <w:rPr>
          <w:rFonts w:hint="eastAsia" w:ascii="宋体" w:hAnsi="宋体"/>
          <w:bCs/>
          <w:sz w:val="22"/>
          <w:szCs w:val="22"/>
        </w:rPr>
        <w:t xml:space="preserve">项目编号：                                               </w:t>
      </w:r>
    </w:p>
    <w:tbl>
      <w:tblPr>
        <w:tblStyle w:val="51"/>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0"/>
            <w:vAlign w:val="center"/>
          </w:tcPr>
          <w:p>
            <w:pPr>
              <w:rPr>
                <w:rFonts w:ascii="宋体" w:hAnsi="宋体"/>
              </w:rPr>
            </w:pPr>
          </w:p>
          <w:p>
            <w:pPr>
              <w:jc w:val="center"/>
            </w:pPr>
            <w:r>
              <w:rPr>
                <w:rFonts w:hint="eastAsia"/>
              </w:rPr>
              <w:t>（格式自拟）</w:t>
            </w:r>
          </w:p>
          <w:p>
            <w:pPr>
              <w:ind w:left="5250" w:leftChars="2500"/>
              <w:rPr>
                <w:rFonts w:ascii="宋体" w:hAnsi="宋体"/>
                <w:b/>
                <w:bCs/>
              </w:rPr>
            </w:pPr>
          </w:p>
        </w:tc>
      </w:tr>
    </w:tbl>
    <w:p>
      <w:pPr>
        <w:rPr>
          <w:rFonts w:hint="eastAsia" w:ascii="宋体" w:hAnsi="宋体"/>
          <w:sz w:val="24"/>
        </w:rPr>
      </w:pPr>
      <w:r>
        <w:rPr>
          <w:rFonts w:hint="eastAsia" w:ascii="宋体" w:hAnsi="宋体"/>
          <w:sz w:val="24"/>
        </w:rPr>
        <w:t>磋商供应商全称（公章或CA章）：</w:t>
      </w:r>
    </w:p>
    <w:p>
      <w:pPr>
        <w:rPr>
          <w:rFonts w:ascii="宋体" w:hAnsi="宋体"/>
          <w:bCs/>
          <w:sz w:val="24"/>
        </w:rPr>
      </w:pPr>
      <w:r>
        <w:rPr>
          <w:rFonts w:hint="eastAsia" w:ascii="宋体" w:hAnsi="宋体"/>
          <w:sz w:val="24"/>
        </w:rPr>
        <w:t>日期：  年  月  日</w:t>
      </w:r>
    </w:p>
    <w:p>
      <w:pPr>
        <w:spacing w:line="360" w:lineRule="auto"/>
        <w:rPr>
          <w:rFonts w:hint="eastAsia" w:ascii="仿宋_GB2312" w:eastAsia="仿宋_GB2312"/>
          <w:sz w:val="28"/>
          <w:szCs w:val="28"/>
        </w:rPr>
      </w:pPr>
    </w:p>
    <w:p>
      <w:pPr>
        <w:autoSpaceDE w:val="0"/>
        <w:autoSpaceDN w:val="0"/>
        <w:adjustRightInd w:val="0"/>
        <w:spacing w:line="460" w:lineRule="atLeast"/>
        <w:rPr>
          <w:rFonts w:ascii="宋体" w:hAnsi="宋体" w:cs="黑体"/>
          <w:color w:val="000000"/>
          <w:sz w:val="22"/>
          <w:lang w:val="zh-CN"/>
        </w:rPr>
      </w:pPr>
      <w:r>
        <w:rPr>
          <w:rFonts w:hint="eastAsia" w:ascii="宋体" w:hAnsi="宋体" w:cs="黑体"/>
          <w:color w:val="000000"/>
          <w:sz w:val="22"/>
          <w:lang w:val="zh-CN"/>
        </w:rPr>
        <w:t xml:space="preserve">          </w:t>
      </w:r>
    </w:p>
    <w:p>
      <w:pPr>
        <w:pStyle w:val="2"/>
        <w:spacing w:before="120"/>
        <w:rPr>
          <w:rFonts w:ascii="宋体" w:hAnsi="宋体" w:cs="宋体"/>
          <w:b/>
          <w:bCs/>
          <w:sz w:val="36"/>
          <w:szCs w:val="36"/>
        </w:rPr>
      </w:pPr>
    </w:p>
    <w:p>
      <w:pPr>
        <w:pStyle w:val="2"/>
        <w:spacing w:before="120"/>
        <w:rPr>
          <w:rFonts w:ascii="宋体" w:hAnsi="宋体" w:cs="宋体"/>
          <w:b/>
          <w:bCs/>
          <w:sz w:val="36"/>
          <w:szCs w:val="36"/>
        </w:rPr>
      </w:pPr>
    </w:p>
    <w:p>
      <w:pPr>
        <w:pStyle w:val="2"/>
        <w:spacing w:before="120"/>
        <w:rPr>
          <w:rFonts w:ascii="宋体" w:hAnsi="宋体" w:cs="宋体"/>
          <w:b/>
          <w:bCs/>
          <w:sz w:val="36"/>
          <w:szCs w:val="36"/>
        </w:rPr>
      </w:pPr>
    </w:p>
    <w:p>
      <w:pPr>
        <w:widowControl/>
        <w:jc w:val="center"/>
        <w:rPr>
          <w:rFonts w:hint="eastAsia" w:ascii="黑体" w:eastAsia="黑体"/>
          <w:b/>
          <w:bCs/>
          <w:sz w:val="36"/>
          <w:szCs w:val="36"/>
        </w:rPr>
      </w:pPr>
      <w:r>
        <w:rPr>
          <w:rFonts w:hint="eastAsia" w:ascii="黑体" w:eastAsia="黑体"/>
          <w:b/>
          <w:bCs/>
          <w:sz w:val="36"/>
          <w:szCs w:val="36"/>
        </w:rPr>
        <w:t>（14）磋商样品</w:t>
      </w:r>
    </w:p>
    <w:p>
      <w:pPr>
        <w:tabs>
          <w:tab w:val="left" w:pos="1985"/>
        </w:tabs>
        <w:spacing w:line="460" w:lineRule="exact"/>
        <w:rPr>
          <w:rFonts w:ascii="宋体" w:hAnsi="宋体"/>
          <w:bCs/>
          <w:sz w:val="22"/>
          <w:szCs w:val="22"/>
        </w:rPr>
      </w:pPr>
      <w:r>
        <w:rPr>
          <w:rFonts w:hint="eastAsia" w:ascii="宋体" w:hAnsi="宋体"/>
          <w:bCs/>
          <w:sz w:val="22"/>
          <w:szCs w:val="22"/>
        </w:rPr>
        <w:t xml:space="preserve">项目编号：                                               </w:t>
      </w:r>
    </w:p>
    <w:tbl>
      <w:tblPr>
        <w:tblStyle w:val="51"/>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0"/>
            <w:vAlign w:val="center"/>
          </w:tcPr>
          <w:p>
            <w:pPr>
              <w:rPr>
                <w:rFonts w:ascii="宋体" w:hAnsi="宋体"/>
              </w:rPr>
            </w:pPr>
          </w:p>
          <w:p>
            <w:pPr>
              <w:jc w:val="center"/>
            </w:pPr>
            <w:r>
              <w:rPr>
                <w:rFonts w:hint="eastAsia"/>
              </w:rPr>
              <w:t>（格式自拟）</w:t>
            </w:r>
          </w:p>
          <w:p>
            <w:pPr>
              <w:ind w:left="5250" w:leftChars="2500"/>
              <w:rPr>
                <w:rFonts w:ascii="宋体" w:hAnsi="宋体"/>
                <w:b/>
                <w:bCs/>
              </w:rPr>
            </w:pPr>
          </w:p>
        </w:tc>
      </w:tr>
    </w:tbl>
    <w:p>
      <w:pPr>
        <w:rPr>
          <w:rFonts w:hint="eastAsia" w:ascii="宋体" w:hAnsi="宋体"/>
          <w:sz w:val="24"/>
        </w:rPr>
      </w:pPr>
      <w:r>
        <w:rPr>
          <w:rFonts w:hint="eastAsia" w:ascii="宋体" w:hAnsi="宋体"/>
          <w:sz w:val="24"/>
        </w:rPr>
        <w:t>磋商供应商全称（公章或CA章）：</w:t>
      </w:r>
    </w:p>
    <w:p>
      <w:pPr>
        <w:rPr>
          <w:rFonts w:ascii="宋体" w:hAnsi="宋体"/>
          <w:bCs/>
          <w:sz w:val="24"/>
        </w:rPr>
      </w:pPr>
      <w:r>
        <w:rPr>
          <w:rFonts w:hint="eastAsia" w:ascii="宋体" w:hAnsi="宋体"/>
          <w:sz w:val="24"/>
        </w:rPr>
        <w:t>日期：  年  月  日</w:t>
      </w:r>
    </w:p>
    <w:p>
      <w:pPr>
        <w:pStyle w:val="2"/>
        <w:spacing w:before="120"/>
        <w:ind w:firstLine="0"/>
        <w:rPr>
          <w:rFonts w:ascii="宋体" w:hAnsi="宋体" w:cs="宋体"/>
          <w:b/>
          <w:bCs/>
          <w:sz w:val="36"/>
          <w:szCs w:val="36"/>
        </w:rPr>
        <w:sectPr>
          <w:pgSz w:w="11906" w:h="16838"/>
          <w:pgMar w:top="1474" w:right="1797" w:bottom="1247" w:left="1797" w:header="851" w:footer="851" w:gutter="0"/>
          <w:cols w:space="720" w:num="1"/>
        </w:sectPr>
      </w:pPr>
    </w:p>
    <w:p>
      <w:pPr>
        <w:rPr>
          <w:rFonts w:hint="eastAsia" w:ascii="宋体" w:hAnsi="宋体" w:cs="宋体"/>
          <w:b/>
          <w:sz w:val="36"/>
          <w:szCs w:val="36"/>
        </w:rPr>
      </w:pPr>
      <w:r>
        <w:rPr>
          <w:rFonts w:hint="eastAsia" w:ascii="宋体" w:hAnsi="宋体" w:cs="宋体"/>
          <w:b/>
          <w:sz w:val="36"/>
          <w:szCs w:val="36"/>
        </w:rPr>
        <w:t>3、报价文件目录</w:t>
      </w:r>
    </w:p>
    <w:p>
      <w:pPr>
        <w:snapToGrid w:val="0"/>
        <w:spacing w:before="50" w:after="50"/>
        <w:ind w:firstLine="540" w:firstLineChars="150"/>
        <w:rPr>
          <w:rFonts w:hint="eastAsia" w:ascii="宋体" w:hAnsi="宋体" w:cs="宋体"/>
          <w:sz w:val="36"/>
          <w:szCs w:val="36"/>
        </w:rPr>
      </w:pPr>
    </w:p>
    <w:p>
      <w:pPr>
        <w:numPr>
          <w:ilvl w:val="0"/>
          <w:numId w:val="17"/>
        </w:numPr>
        <w:snapToGrid w:val="0"/>
        <w:spacing w:before="50" w:after="50" w:line="360" w:lineRule="auto"/>
        <w:rPr>
          <w:rFonts w:hint="eastAsia" w:ascii="宋体" w:hAnsi="宋体" w:cs="宋体"/>
          <w:sz w:val="28"/>
          <w:szCs w:val="28"/>
        </w:rPr>
      </w:pPr>
      <w:r>
        <w:rPr>
          <w:rFonts w:hint="eastAsia" w:ascii="宋体" w:hAnsi="宋体" w:cs="宋体"/>
          <w:sz w:val="28"/>
          <w:szCs w:val="28"/>
        </w:rPr>
        <w:t>报价一览表</w:t>
      </w:r>
    </w:p>
    <w:p>
      <w:pPr>
        <w:numPr>
          <w:ilvl w:val="0"/>
          <w:numId w:val="17"/>
        </w:numPr>
        <w:snapToGrid w:val="0"/>
        <w:spacing w:before="50" w:after="50" w:line="360" w:lineRule="auto"/>
        <w:rPr>
          <w:rFonts w:hint="eastAsia" w:ascii="宋体" w:hAnsi="宋体" w:cs="宋体"/>
          <w:sz w:val="28"/>
          <w:szCs w:val="28"/>
        </w:rPr>
      </w:pPr>
      <w:r>
        <w:rPr>
          <w:rFonts w:hint="eastAsia" w:ascii="宋体" w:hAnsi="宋体" w:cs="宋体"/>
          <w:sz w:val="28"/>
          <w:szCs w:val="28"/>
        </w:rPr>
        <w:t>分项报价表</w:t>
      </w:r>
    </w:p>
    <w:p>
      <w:pPr>
        <w:widowControl/>
        <w:jc w:val="left"/>
        <w:rPr>
          <w:rFonts w:hint="eastAsia" w:ascii="宋体" w:hAnsi="宋体" w:cs="宋体"/>
        </w:rPr>
      </w:pPr>
    </w:p>
    <w:p>
      <w:pPr>
        <w:widowControl/>
        <w:jc w:val="left"/>
        <w:rPr>
          <w:rFonts w:hint="eastAsia" w:ascii="宋体" w:hAnsi="宋体" w:cs="宋体"/>
        </w:rPr>
      </w:pPr>
    </w:p>
    <w:p>
      <w:pPr>
        <w:pStyle w:val="142"/>
        <w:keepNext w:val="0"/>
        <w:keepLines w:val="0"/>
        <w:jc w:val="center"/>
        <w:outlineLvl w:val="9"/>
        <w:rPr>
          <w:rFonts w:hint="eastAsia" w:ascii="宋体" w:hAnsi="宋体" w:cs="宋体"/>
          <w:kern w:val="2"/>
          <w:sz w:val="36"/>
          <w:szCs w:val="36"/>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widowControl/>
        <w:jc w:val="left"/>
        <w:rPr>
          <w:rFonts w:hint="eastAsia" w:ascii="宋体" w:hAnsi="宋体" w:cs="宋体"/>
        </w:rPr>
      </w:pPr>
    </w:p>
    <w:p>
      <w:pPr>
        <w:spacing w:line="400" w:lineRule="exact"/>
        <w:jc w:val="center"/>
        <w:rPr>
          <w:rFonts w:ascii="黑体" w:hAnsi="新宋体" w:eastAsia="黑体"/>
          <w:b/>
          <w:bCs/>
          <w:sz w:val="36"/>
          <w:szCs w:val="36"/>
        </w:rPr>
      </w:pPr>
      <w:r>
        <w:rPr>
          <w:rFonts w:hint="eastAsia" w:ascii="宋体" w:hAnsi="宋体" w:cs="宋体"/>
          <w:b/>
          <w:bCs/>
          <w:sz w:val="36"/>
          <w:szCs w:val="36"/>
        </w:rPr>
        <w:br w:type="page"/>
      </w:r>
      <w:r>
        <w:rPr>
          <w:rFonts w:hint="eastAsia" w:ascii="黑体" w:hAnsi="新宋体" w:eastAsia="黑体"/>
          <w:b/>
          <w:bCs/>
          <w:sz w:val="36"/>
          <w:szCs w:val="36"/>
        </w:rPr>
        <w:t>（1）报价一览表</w:t>
      </w:r>
    </w:p>
    <w:p>
      <w:pPr>
        <w:tabs>
          <w:tab w:val="left" w:pos="1985"/>
        </w:tabs>
        <w:rPr>
          <w:rFonts w:ascii="宋体" w:hAnsi="宋体"/>
        </w:rPr>
      </w:pPr>
      <w:r>
        <w:rPr>
          <w:rFonts w:hint="eastAsia" w:ascii="宋体" w:hAnsi="宋体"/>
        </w:rPr>
        <w:t>项目编号：                                              　　（价格单位：人民币元）</w:t>
      </w:r>
    </w:p>
    <w:tbl>
      <w:tblPr>
        <w:tblStyle w:val="51"/>
        <w:tblW w:w="9377"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660"/>
        <w:gridCol w:w="5150"/>
        <w:gridCol w:w="156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34" w:hRule="atLeast"/>
          <w:jc w:val="center"/>
        </w:trPr>
        <w:tc>
          <w:tcPr>
            <w:tcW w:w="2660" w:type="dxa"/>
            <w:tcBorders>
              <w:top w:val="single" w:color="auto" w:sz="0" w:space="0"/>
              <w:left w:val="single" w:color="auto" w:sz="0" w:space="0"/>
              <w:bottom w:val="single" w:color="auto" w:sz="0" w:space="0"/>
            </w:tcBorders>
            <w:noWrap w:val="0"/>
            <w:vAlign w:val="center"/>
          </w:tcPr>
          <w:p>
            <w:pPr>
              <w:tabs>
                <w:tab w:val="left" w:pos="1985"/>
              </w:tabs>
              <w:ind w:right="-21" w:rightChars="-10"/>
              <w:jc w:val="center"/>
              <w:rPr>
                <w:rFonts w:ascii="宋体" w:hAnsi="宋体"/>
                <w:bCs/>
              </w:rPr>
            </w:pPr>
            <w:r>
              <w:rPr>
                <w:rFonts w:hint="eastAsia" w:ascii="宋体" w:hAnsi="宋体"/>
                <w:bCs/>
              </w:rPr>
              <w:t>项目名称</w:t>
            </w:r>
          </w:p>
        </w:tc>
        <w:tc>
          <w:tcPr>
            <w:tcW w:w="5150" w:type="dxa"/>
            <w:tcBorders>
              <w:top w:val="single" w:color="auto" w:sz="0" w:space="0"/>
              <w:bottom w:val="single" w:color="auto" w:sz="0" w:space="0"/>
              <w:right w:val="single" w:color="auto" w:sz="0" w:space="0"/>
            </w:tcBorders>
            <w:noWrap w:val="0"/>
            <w:vAlign w:val="center"/>
          </w:tcPr>
          <w:p>
            <w:pPr>
              <w:tabs>
                <w:tab w:val="left" w:pos="1985"/>
              </w:tabs>
              <w:ind w:right="-21" w:rightChars="-10"/>
              <w:jc w:val="center"/>
              <w:rPr>
                <w:rFonts w:ascii="宋体" w:hAnsi="宋体"/>
                <w:bCs/>
              </w:rPr>
            </w:pPr>
            <w:r>
              <w:rPr>
                <w:rFonts w:hint="eastAsia" w:ascii="宋体" w:hAnsi="宋体"/>
                <w:sz w:val="22"/>
              </w:rPr>
              <w:t>交货时间</w:t>
            </w:r>
          </w:p>
        </w:tc>
        <w:tc>
          <w:tcPr>
            <w:tcW w:w="1567" w:type="dxa"/>
            <w:tcBorders>
              <w:top w:val="single" w:color="auto" w:sz="0" w:space="0"/>
              <w:left w:val="single" w:color="auto" w:sz="0" w:space="0"/>
              <w:bottom w:val="single" w:color="auto" w:sz="0" w:space="0"/>
              <w:right w:val="single" w:color="auto" w:sz="0" w:space="0"/>
            </w:tcBorders>
            <w:noWrap w:val="0"/>
            <w:vAlign w:val="center"/>
          </w:tcPr>
          <w:p>
            <w:pPr>
              <w:tabs>
                <w:tab w:val="left" w:pos="1985"/>
              </w:tabs>
              <w:ind w:right="-21" w:rightChars="-10"/>
              <w:jc w:val="center"/>
              <w:rPr>
                <w:rFonts w:ascii="宋体" w:hAnsi="宋体"/>
                <w:bCs/>
              </w:rPr>
            </w:pPr>
            <w:r>
              <w:rPr>
                <w:rFonts w:hint="eastAsia" w:ascii="宋体" w:hAnsi="宋体"/>
                <w:bCs/>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1069" w:hRule="atLeast"/>
          <w:jc w:val="center"/>
        </w:trPr>
        <w:tc>
          <w:tcPr>
            <w:tcW w:w="2660" w:type="dxa"/>
            <w:tcBorders>
              <w:top w:val="single" w:color="auto" w:sz="0" w:space="0"/>
              <w:left w:val="single" w:color="auto" w:sz="0" w:space="0"/>
              <w:right w:val="single" w:color="auto" w:sz="0" w:space="0"/>
            </w:tcBorders>
            <w:noWrap w:val="0"/>
            <w:vAlign w:val="center"/>
          </w:tcPr>
          <w:p>
            <w:pPr>
              <w:tabs>
                <w:tab w:val="left" w:pos="1985"/>
              </w:tabs>
              <w:ind w:right="-21" w:rightChars="-10"/>
              <w:rPr>
                <w:rFonts w:ascii="宋体" w:hAnsi="宋体"/>
                <w:bCs/>
                <w:szCs w:val="21"/>
              </w:rPr>
            </w:pPr>
          </w:p>
        </w:tc>
        <w:tc>
          <w:tcPr>
            <w:tcW w:w="5150" w:type="dxa"/>
            <w:tcBorders>
              <w:top w:val="single" w:color="auto" w:sz="0" w:space="0"/>
              <w:left w:val="single" w:color="auto" w:sz="0" w:space="0"/>
              <w:right w:val="single" w:color="auto" w:sz="0" w:space="0"/>
            </w:tcBorders>
            <w:noWrap w:val="0"/>
            <w:vAlign w:val="center"/>
          </w:tcPr>
          <w:p>
            <w:pPr>
              <w:tabs>
                <w:tab w:val="left" w:pos="1985"/>
              </w:tabs>
              <w:ind w:right="-21" w:rightChars="-10"/>
              <w:rPr>
                <w:rFonts w:ascii="宋体" w:hAnsi="宋体"/>
                <w:bCs/>
              </w:rPr>
            </w:pPr>
          </w:p>
        </w:tc>
        <w:tc>
          <w:tcPr>
            <w:tcW w:w="1567" w:type="dxa"/>
            <w:tcBorders>
              <w:top w:val="single" w:color="auto" w:sz="0" w:space="0"/>
              <w:left w:val="single" w:color="auto" w:sz="0" w:space="0"/>
              <w:right w:val="single" w:color="auto" w:sz="0" w:space="0"/>
            </w:tcBorders>
            <w:noWrap w:val="0"/>
            <w:vAlign w:val="center"/>
          </w:tcPr>
          <w:p>
            <w:pPr>
              <w:tabs>
                <w:tab w:val="left" w:pos="1985"/>
              </w:tabs>
              <w:ind w:right="-21" w:rightChars="-10"/>
              <w:rPr>
                <w:rFonts w:ascii="宋体" w:hAnsi="宋体"/>
                <w:bCs/>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1069" w:hRule="atLeast"/>
          <w:jc w:val="center"/>
        </w:trPr>
        <w:tc>
          <w:tcPr>
            <w:tcW w:w="2660" w:type="dxa"/>
            <w:tcBorders>
              <w:left w:val="single" w:color="auto" w:sz="0" w:space="0"/>
              <w:bottom w:val="single" w:color="auto" w:sz="0" w:space="0"/>
              <w:right w:val="single" w:color="auto" w:sz="0" w:space="0"/>
            </w:tcBorders>
            <w:noWrap w:val="0"/>
            <w:vAlign w:val="center"/>
          </w:tcPr>
          <w:p>
            <w:pPr>
              <w:tabs>
                <w:tab w:val="left" w:pos="1985"/>
              </w:tabs>
              <w:ind w:right="-21" w:rightChars="-10"/>
              <w:rPr>
                <w:rFonts w:ascii="宋体" w:hAnsi="宋体"/>
                <w:bCs/>
              </w:rPr>
            </w:pPr>
            <w:r>
              <w:rPr>
                <w:rFonts w:hint="eastAsia" w:ascii="宋体" w:hAnsi="宋体"/>
                <w:bCs/>
              </w:rPr>
              <w:t>总价（大写）：</w:t>
            </w:r>
          </w:p>
          <w:p>
            <w:pPr>
              <w:tabs>
                <w:tab w:val="left" w:pos="1985"/>
              </w:tabs>
              <w:spacing w:before="240" w:beforeLines="100"/>
              <w:ind w:right="-21" w:rightChars="-10"/>
              <w:rPr>
                <w:rFonts w:ascii="宋体" w:hAnsi="宋体"/>
                <w:bCs/>
              </w:rPr>
            </w:pPr>
            <w:r>
              <w:rPr>
                <w:rFonts w:hint="eastAsia" w:ascii="宋体" w:hAnsi="宋体"/>
                <w:bCs/>
              </w:rPr>
              <w:t>　　　（小写）：</w:t>
            </w:r>
            <w:r>
              <w:rPr>
                <w:rFonts w:ascii="宋体" w:hAnsi="宋体" w:cs="Arial"/>
                <w:bCs/>
                <w:sz w:val="28"/>
                <w:szCs w:val="28"/>
              </w:rPr>
              <w:t>¥</w:t>
            </w:r>
          </w:p>
        </w:tc>
        <w:tc>
          <w:tcPr>
            <w:tcW w:w="6717" w:type="dxa"/>
            <w:gridSpan w:val="2"/>
            <w:tcBorders>
              <w:left w:val="single" w:color="auto" w:sz="0" w:space="0"/>
              <w:bottom w:val="single" w:color="auto" w:sz="0" w:space="0"/>
              <w:right w:val="single" w:color="auto" w:sz="0" w:space="0"/>
            </w:tcBorders>
            <w:noWrap w:val="0"/>
            <w:vAlign w:val="top"/>
          </w:tcPr>
          <w:p>
            <w:pPr>
              <w:widowControl/>
              <w:tabs>
                <w:tab w:val="left" w:pos="1985"/>
              </w:tabs>
              <w:jc w:val="left"/>
              <w:rPr>
                <w:rFonts w:ascii="宋体" w:hAnsi="宋体"/>
                <w:bCs/>
              </w:rPr>
            </w:pPr>
          </w:p>
          <w:p>
            <w:pPr>
              <w:tabs>
                <w:tab w:val="left" w:pos="1985"/>
              </w:tabs>
              <w:spacing w:before="240" w:beforeLines="100"/>
              <w:ind w:right="-21" w:rightChars="-10"/>
              <w:rPr>
                <w:rFonts w:ascii="宋体" w:hAnsi="宋体"/>
                <w:bCs/>
              </w:rPr>
            </w:pPr>
          </w:p>
        </w:tc>
      </w:tr>
    </w:tbl>
    <w:p>
      <w:pPr>
        <w:tabs>
          <w:tab w:val="left" w:pos="1985"/>
        </w:tabs>
        <w:rPr>
          <w:rFonts w:ascii="宋体" w:hAnsi="宋体"/>
        </w:rPr>
      </w:pPr>
      <w:r>
        <w:rPr>
          <w:rFonts w:hint="eastAsia" w:ascii="宋体" w:hAnsi="宋体"/>
        </w:rPr>
        <w:t xml:space="preserve">附注：1. </w:t>
      </w:r>
      <w:r>
        <w:rPr>
          <w:rFonts w:hint="eastAsia" w:ascii="宋体" w:hAnsi="宋体"/>
          <w:b/>
          <w:u w:val="single"/>
        </w:rPr>
        <w:t>▲此栏内总价应与“分项报价表”中合计总价相一致。</w:t>
      </w:r>
    </w:p>
    <w:p>
      <w:pPr>
        <w:tabs>
          <w:tab w:val="left" w:pos="1985"/>
        </w:tabs>
        <w:ind w:left="630" w:leftChars="300"/>
        <w:rPr>
          <w:rFonts w:ascii="宋体" w:hAnsi="宋体"/>
        </w:rPr>
      </w:pPr>
      <w:r>
        <w:rPr>
          <w:rFonts w:hint="eastAsia" w:ascii="宋体" w:hAnsi="宋体"/>
        </w:rPr>
        <w:t xml:space="preserve">2. </w:t>
      </w:r>
      <w:r>
        <w:rPr>
          <w:rFonts w:hint="eastAsia" w:ascii="宋体" w:hAnsi="宋体"/>
          <w:b/>
          <w:u w:val="single"/>
        </w:rPr>
        <w:t>▲此表不得自行增减内容，不提供此表格将被视为没有</w:t>
      </w:r>
      <w:r>
        <w:rPr>
          <w:rFonts w:hint="eastAsia" w:ascii="宋体" w:hAnsi="宋体"/>
          <w:b/>
          <w:color w:val="000000"/>
          <w:u w:val="single"/>
        </w:rPr>
        <w:t>满足磋商文件的实质</w:t>
      </w:r>
      <w:r>
        <w:rPr>
          <w:rFonts w:hint="eastAsia" w:ascii="宋体" w:hAnsi="宋体"/>
          <w:b/>
          <w:u w:val="single"/>
        </w:rPr>
        <w:t>性要求</w:t>
      </w:r>
      <w:r>
        <w:rPr>
          <w:rFonts w:hint="eastAsia" w:ascii="宋体" w:hAnsi="宋体"/>
        </w:rPr>
        <w:t>。</w:t>
      </w:r>
    </w:p>
    <w:p>
      <w:pPr>
        <w:tabs>
          <w:tab w:val="left" w:pos="1985"/>
        </w:tabs>
        <w:rPr>
          <w:rFonts w:ascii="宋体" w:hAnsi="宋体"/>
        </w:rPr>
      </w:pPr>
    </w:p>
    <w:p>
      <w:pPr>
        <w:rPr>
          <w:rFonts w:hint="eastAsia" w:ascii="宋体" w:hAnsi="宋体"/>
          <w:sz w:val="24"/>
        </w:rPr>
      </w:pPr>
      <w:r>
        <w:rPr>
          <w:rFonts w:hint="eastAsia" w:ascii="宋体" w:hAnsi="宋体"/>
          <w:sz w:val="24"/>
        </w:rPr>
        <w:t>磋商供应商全称（公章或CA章）：</w:t>
      </w:r>
    </w:p>
    <w:p>
      <w:pPr>
        <w:rPr>
          <w:rFonts w:ascii="宋体" w:hAnsi="宋体"/>
          <w:bCs/>
          <w:sz w:val="24"/>
        </w:rPr>
      </w:pPr>
      <w:r>
        <w:rPr>
          <w:rFonts w:hint="eastAsia" w:ascii="宋体" w:hAnsi="宋体"/>
          <w:sz w:val="24"/>
        </w:rPr>
        <w:t>日期：  年  月  日</w:t>
      </w:r>
    </w:p>
    <w:p>
      <w:pPr>
        <w:rPr>
          <w:rFonts w:ascii="宋体" w:hAnsi="宋体"/>
          <w:bCs/>
          <w:sz w:val="24"/>
        </w:rPr>
      </w:pPr>
    </w:p>
    <w:p>
      <w:pPr>
        <w:rPr>
          <w:rFonts w:hint="eastAsia" w:ascii="宋体" w:hAnsi="宋体" w:cs="宋体"/>
          <w:bCs/>
          <w:sz w:val="24"/>
        </w:rPr>
      </w:pPr>
    </w:p>
    <w:p>
      <w:pPr>
        <w:tabs>
          <w:tab w:val="left" w:pos="1985"/>
        </w:tabs>
        <w:rPr>
          <w:rFonts w:hint="eastAsia" w:ascii="宋体" w:hAnsi="宋体" w:cs="宋体"/>
        </w:rPr>
      </w:pPr>
      <w:r>
        <w:rPr>
          <w:rFonts w:hint="eastAsia" w:ascii="宋体" w:hAnsi="宋体" w:cs="宋体"/>
        </w:rPr>
        <w:t xml:space="preserve"> </w:t>
      </w:r>
    </w:p>
    <w:p>
      <w:pPr>
        <w:pStyle w:val="16"/>
        <w:spacing w:line="400" w:lineRule="exact"/>
        <w:ind w:firstLine="0"/>
        <w:rPr>
          <w:rFonts w:hint="eastAsia" w:ascii="宋体" w:hAnsi="宋体" w:cs="宋体"/>
        </w:rPr>
      </w:pPr>
      <w:r>
        <w:rPr>
          <w:rFonts w:hint="eastAsia" w:ascii="宋体" w:hAnsi="宋体" w:cs="宋体"/>
        </w:rPr>
        <w:br w:type="page"/>
      </w:r>
    </w:p>
    <w:p>
      <w:pPr>
        <w:tabs>
          <w:tab w:val="left" w:pos="1985"/>
        </w:tabs>
        <w:jc w:val="center"/>
        <w:rPr>
          <w:rFonts w:ascii="宋体" w:hAnsi="宋体"/>
          <w:b/>
          <w:sz w:val="36"/>
          <w:szCs w:val="36"/>
        </w:rPr>
      </w:pPr>
      <w:r>
        <w:rPr>
          <w:rFonts w:hint="eastAsia" w:ascii="黑体" w:hAnsi="新宋体" w:eastAsia="黑体"/>
          <w:b/>
          <w:bCs/>
          <w:sz w:val="36"/>
          <w:szCs w:val="36"/>
        </w:rPr>
        <w:t>（2）</w:t>
      </w:r>
      <w:r>
        <w:rPr>
          <w:rFonts w:hint="eastAsia" w:ascii="宋体" w:hAnsi="宋体"/>
          <w:b/>
          <w:sz w:val="36"/>
          <w:szCs w:val="36"/>
        </w:rPr>
        <w:t>分项报价表</w:t>
      </w:r>
    </w:p>
    <w:p>
      <w:pPr>
        <w:tabs>
          <w:tab w:val="left" w:pos="1985"/>
        </w:tabs>
        <w:rPr>
          <w:rFonts w:ascii="宋体" w:hAnsi="宋体"/>
        </w:rPr>
      </w:pPr>
      <w:r>
        <w:rPr>
          <w:rFonts w:hint="eastAsia" w:ascii="宋体" w:hAnsi="宋体"/>
        </w:rPr>
        <w:t>项目编号：                                                 （价格单位：人民币元）</w:t>
      </w:r>
    </w:p>
    <w:tbl>
      <w:tblPr>
        <w:tblStyle w:val="51"/>
        <w:tblW w:w="9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605"/>
        <w:gridCol w:w="1564"/>
        <w:gridCol w:w="1843"/>
        <w:gridCol w:w="1134"/>
        <w:gridCol w:w="1275"/>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12" w:space="0"/>
              <w:left w:val="single" w:color="auto" w:sz="12" w:space="0"/>
              <w:bottom w:val="single" w:color="auto" w:sz="12" w:space="0"/>
            </w:tcBorders>
            <w:noWrap w:val="0"/>
            <w:vAlign w:val="center"/>
          </w:tcPr>
          <w:p>
            <w:pPr>
              <w:tabs>
                <w:tab w:val="left" w:pos="1985"/>
              </w:tabs>
              <w:ind w:right="-11"/>
              <w:rPr>
                <w:rFonts w:ascii="宋体" w:hAnsi="宋体" w:cs="Arial"/>
                <w:b/>
                <w:bCs/>
              </w:rPr>
            </w:pPr>
            <w:r>
              <w:rPr>
                <w:rFonts w:hint="eastAsia" w:ascii="宋体" w:hAnsi="宋体" w:cs="Arial"/>
                <w:b/>
                <w:bCs/>
              </w:rPr>
              <w:t>序号</w:t>
            </w:r>
          </w:p>
        </w:tc>
        <w:tc>
          <w:tcPr>
            <w:tcW w:w="1605" w:type="dxa"/>
            <w:tcBorders>
              <w:top w:val="single" w:color="auto" w:sz="12" w:space="0"/>
              <w:bottom w:val="single" w:color="auto" w:sz="12" w:space="0"/>
            </w:tcBorders>
            <w:noWrap w:val="0"/>
            <w:vAlign w:val="center"/>
          </w:tcPr>
          <w:p>
            <w:pPr>
              <w:tabs>
                <w:tab w:val="left" w:pos="1985"/>
              </w:tabs>
              <w:ind w:right="-11"/>
              <w:rPr>
                <w:rFonts w:ascii="宋体" w:hAnsi="宋体" w:cs="Arial"/>
                <w:b/>
                <w:bCs/>
              </w:rPr>
            </w:pPr>
            <w:r>
              <w:rPr>
                <w:rFonts w:hint="eastAsia" w:ascii="宋体" w:hAnsi="宋体" w:cs="Arial"/>
                <w:b/>
                <w:bCs/>
              </w:rPr>
              <w:t>货物名称</w:t>
            </w:r>
          </w:p>
        </w:tc>
        <w:tc>
          <w:tcPr>
            <w:tcW w:w="1564" w:type="dxa"/>
            <w:tcBorders>
              <w:top w:val="single" w:color="auto" w:sz="12" w:space="0"/>
              <w:bottom w:val="single" w:color="auto" w:sz="12" w:space="0"/>
            </w:tcBorders>
            <w:noWrap w:val="0"/>
            <w:vAlign w:val="center"/>
          </w:tcPr>
          <w:p>
            <w:pPr>
              <w:tabs>
                <w:tab w:val="left" w:pos="1985"/>
              </w:tabs>
              <w:ind w:right="-11"/>
              <w:rPr>
                <w:rFonts w:ascii="宋体" w:hAnsi="宋体" w:cs="Arial"/>
                <w:b/>
                <w:bCs/>
              </w:rPr>
            </w:pPr>
            <w:r>
              <w:rPr>
                <w:rFonts w:hint="eastAsia" w:ascii="宋体" w:hAnsi="宋体" w:cs="Arial"/>
                <w:b/>
                <w:bCs/>
              </w:rPr>
              <w:t>品牌型号规格、产地</w:t>
            </w:r>
          </w:p>
        </w:tc>
        <w:tc>
          <w:tcPr>
            <w:tcW w:w="1843" w:type="dxa"/>
            <w:tcBorders>
              <w:top w:val="single" w:color="auto" w:sz="12" w:space="0"/>
              <w:bottom w:val="single" w:color="auto" w:sz="12" w:space="0"/>
            </w:tcBorders>
            <w:noWrap w:val="0"/>
            <w:vAlign w:val="center"/>
          </w:tcPr>
          <w:p>
            <w:pPr>
              <w:tabs>
                <w:tab w:val="left" w:pos="1985"/>
              </w:tabs>
              <w:ind w:right="-11"/>
              <w:rPr>
                <w:rFonts w:ascii="宋体" w:hAnsi="宋体" w:cs="Arial"/>
                <w:b/>
                <w:bCs/>
              </w:rPr>
            </w:pPr>
            <w:r>
              <w:rPr>
                <w:rFonts w:hint="eastAsia" w:ascii="宋体" w:hAnsi="宋体" w:cs="Arial"/>
                <w:b/>
                <w:bCs/>
              </w:rPr>
              <w:t>制造厂商名称</w:t>
            </w:r>
          </w:p>
        </w:tc>
        <w:tc>
          <w:tcPr>
            <w:tcW w:w="1134" w:type="dxa"/>
            <w:tcBorders>
              <w:top w:val="single" w:color="auto" w:sz="12" w:space="0"/>
              <w:bottom w:val="single" w:color="auto" w:sz="12" w:space="0"/>
            </w:tcBorders>
            <w:noWrap w:val="0"/>
            <w:vAlign w:val="center"/>
          </w:tcPr>
          <w:p>
            <w:pPr>
              <w:tabs>
                <w:tab w:val="left" w:pos="1985"/>
              </w:tabs>
              <w:ind w:right="-11"/>
              <w:rPr>
                <w:rFonts w:ascii="宋体" w:hAnsi="宋体" w:cs="Arial"/>
                <w:b/>
                <w:bCs/>
              </w:rPr>
            </w:pPr>
            <w:r>
              <w:rPr>
                <w:rFonts w:hint="eastAsia" w:ascii="宋体" w:hAnsi="宋体" w:cs="Arial"/>
                <w:b/>
                <w:bCs/>
              </w:rPr>
              <w:t>数量</w:t>
            </w:r>
          </w:p>
        </w:tc>
        <w:tc>
          <w:tcPr>
            <w:tcW w:w="1275" w:type="dxa"/>
            <w:tcBorders>
              <w:top w:val="single" w:color="auto" w:sz="12" w:space="0"/>
              <w:bottom w:val="single" w:color="auto" w:sz="12" w:space="0"/>
            </w:tcBorders>
            <w:noWrap w:val="0"/>
            <w:vAlign w:val="center"/>
          </w:tcPr>
          <w:p>
            <w:pPr>
              <w:tabs>
                <w:tab w:val="left" w:pos="1985"/>
              </w:tabs>
              <w:ind w:right="-11"/>
              <w:rPr>
                <w:rFonts w:ascii="宋体" w:hAnsi="宋体" w:cs="Arial"/>
                <w:b/>
                <w:bCs/>
              </w:rPr>
            </w:pPr>
            <w:r>
              <w:rPr>
                <w:rFonts w:hint="eastAsia" w:ascii="宋体" w:hAnsi="宋体" w:cs="Arial"/>
                <w:b/>
                <w:bCs/>
              </w:rPr>
              <w:t>出厂单价</w:t>
            </w:r>
          </w:p>
          <w:p>
            <w:pPr>
              <w:tabs>
                <w:tab w:val="left" w:pos="1985"/>
              </w:tabs>
              <w:ind w:right="-11"/>
              <w:rPr>
                <w:rFonts w:ascii="宋体" w:hAnsi="宋体" w:cs="Arial"/>
              </w:rPr>
            </w:pPr>
            <w:r>
              <w:rPr>
                <w:rFonts w:hint="eastAsia" w:ascii="宋体" w:hAnsi="宋体" w:cs="Arial"/>
              </w:rPr>
              <w:t>（含税）</w:t>
            </w:r>
          </w:p>
        </w:tc>
        <w:tc>
          <w:tcPr>
            <w:tcW w:w="1477" w:type="dxa"/>
            <w:tcBorders>
              <w:top w:val="single" w:color="auto" w:sz="12" w:space="0"/>
              <w:bottom w:val="single" w:color="auto" w:sz="12" w:space="0"/>
              <w:right w:val="single" w:color="auto" w:sz="12" w:space="0"/>
            </w:tcBorders>
            <w:noWrap w:val="0"/>
            <w:vAlign w:val="center"/>
          </w:tcPr>
          <w:p>
            <w:pPr>
              <w:tabs>
                <w:tab w:val="left" w:pos="1985"/>
              </w:tabs>
              <w:ind w:right="-11"/>
              <w:rPr>
                <w:rFonts w:ascii="宋体" w:hAnsi="宋体" w:cs="Arial"/>
                <w:b/>
                <w:bCs/>
              </w:rPr>
            </w:pPr>
            <w:r>
              <w:rPr>
                <w:rFonts w:hint="eastAsia" w:ascii="宋体" w:hAnsi="宋体" w:cs="Arial"/>
                <w:b/>
                <w:bCs/>
              </w:rPr>
              <w:t>总价</w:t>
            </w:r>
          </w:p>
          <w:p>
            <w:pPr>
              <w:tabs>
                <w:tab w:val="left" w:pos="1985"/>
              </w:tabs>
              <w:ind w:right="-11"/>
              <w:rPr>
                <w:rFonts w:ascii="宋体" w:hAnsi="宋体" w:cs="Arial"/>
                <w:b/>
                <w:bCs/>
              </w:rPr>
            </w:pPr>
            <w:r>
              <w:rPr>
                <w:rFonts w:hint="eastAsia" w:ascii="宋体" w:hAnsi="宋体" w:cs="Arial"/>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tcBorders>
              <w:left w:val="single" w:color="auto" w:sz="12" w:space="0"/>
            </w:tcBorders>
            <w:noWrap w:val="0"/>
            <w:vAlign w:val="center"/>
          </w:tcPr>
          <w:p>
            <w:pPr>
              <w:tabs>
                <w:tab w:val="left" w:pos="1985"/>
              </w:tabs>
              <w:ind w:right="-11"/>
              <w:rPr>
                <w:rFonts w:ascii="宋体" w:hAnsi="宋体" w:cs="Arial"/>
              </w:rPr>
            </w:pPr>
          </w:p>
        </w:tc>
        <w:tc>
          <w:tcPr>
            <w:tcW w:w="1605" w:type="dxa"/>
            <w:noWrap w:val="0"/>
            <w:vAlign w:val="center"/>
          </w:tcPr>
          <w:p>
            <w:pPr>
              <w:tabs>
                <w:tab w:val="left" w:pos="1985"/>
              </w:tabs>
              <w:rPr>
                <w:rFonts w:ascii="宋体" w:hAnsi="宋体" w:cs="Arial"/>
              </w:rPr>
            </w:pPr>
          </w:p>
        </w:tc>
        <w:tc>
          <w:tcPr>
            <w:tcW w:w="1564" w:type="dxa"/>
            <w:noWrap w:val="0"/>
            <w:vAlign w:val="center"/>
          </w:tcPr>
          <w:p>
            <w:pPr>
              <w:tabs>
                <w:tab w:val="left" w:pos="1985"/>
              </w:tabs>
              <w:rPr>
                <w:rFonts w:ascii="宋体" w:hAnsi="宋体" w:cs="Arial"/>
              </w:rPr>
            </w:pPr>
          </w:p>
        </w:tc>
        <w:tc>
          <w:tcPr>
            <w:tcW w:w="1843" w:type="dxa"/>
            <w:noWrap w:val="0"/>
            <w:vAlign w:val="center"/>
          </w:tcPr>
          <w:p>
            <w:pPr>
              <w:tabs>
                <w:tab w:val="left" w:pos="1985"/>
              </w:tabs>
              <w:ind w:right="-11"/>
              <w:rPr>
                <w:rFonts w:ascii="宋体" w:hAnsi="宋体" w:cs="Arial"/>
              </w:rPr>
            </w:pPr>
          </w:p>
        </w:tc>
        <w:tc>
          <w:tcPr>
            <w:tcW w:w="1134" w:type="dxa"/>
            <w:noWrap w:val="0"/>
            <w:vAlign w:val="center"/>
          </w:tcPr>
          <w:p>
            <w:pPr>
              <w:tabs>
                <w:tab w:val="left" w:pos="1985"/>
              </w:tabs>
              <w:rPr>
                <w:rFonts w:ascii="宋体" w:hAnsi="宋体" w:cs="Arial"/>
              </w:rPr>
            </w:pPr>
          </w:p>
        </w:tc>
        <w:tc>
          <w:tcPr>
            <w:tcW w:w="1275" w:type="dxa"/>
            <w:noWrap w:val="0"/>
            <w:vAlign w:val="center"/>
          </w:tcPr>
          <w:p>
            <w:pPr>
              <w:tabs>
                <w:tab w:val="left" w:pos="1985"/>
              </w:tabs>
              <w:ind w:right="-11"/>
              <w:rPr>
                <w:rFonts w:ascii="宋体" w:hAnsi="宋体" w:cs="Arial"/>
              </w:rPr>
            </w:pPr>
          </w:p>
        </w:tc>
        <w:tc>
          <w:tcPr>
            <w:tcW w:w="1477" w:type="dxa"/>
            <w:tcBorders>
              <w:right w:val="single" w:color="auto" w:sz="12" w:space="0"/>
            </w:tcBorders>
            <w:noWrap w:val="0"/>
            <w:vAlign w:val="center"/>
          </w:tcPr>
          <w:p>
            <w:pPr>
              <w:tabs>
                <w:tab w:val="left" w:pos="1985"/>
              </w:tabs>
              <w:ind w:right="-11"/>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tcBorders>
              <w:left w:val="single" w:color="auto" w:sz="12" w:space="0"/>
            </w:tcBorders>
            <w:noWrap w:val="0"/>
            <w:vAlign w:val="center"/>
          </w:tcPr>
          <w:p>
            <w:pPr>
              <w:tabs>
                <w:tab w:val="left" w:pos="1985"/>
              </w:tabs>
              <w:ind w:right="-11"/>
              <w:rPr>
                <w:rFonts w:ascii="宋体" w:hAnsi="宋体" w:cs="Arial"/>
              </w:rPr>
            </w:pPr>
          </w:p>
        </w:tc>
        <w:tc>
          <w:tcPr>
            <w:tcW w:w="1605" w:type="dxa"/>
            <w:noWrap w:val="0"/>
            <w:vAlign w:val="center"/>
          </w:tcPr>
          <w:p>
            <w:pPr>
              <w:tabs>
                <w:tab w:val="left" w:pos="1985"/>
              </w:tabs>
              <w:rPr>
                <w:rFonts w:ascii="宋体" w:hAnsi="宋体" w:cs="Arial"/>
              </w:rPr>
            </w:pPr>
          </w:p>
        </w:tc>
        <w:tc>
          <w:tcPr>
            <w:tcW w:w="1564" w:type="dxa"/>
            <w:noWrap w:val="0"/>
            <w:vAlign w:val="center"/>
          </w:tcPr>
          <w:p>
            <w:pPr>
              <w:tabs>
                <w:tab w:val="left" w:pos="1985"/>
              </w:tabs>
              <w:rPr>
                <w:rFonts w:ascii="宋体" w:hAnsi="宋体" w:cs="Arial"/>
              </w:rPr>
            </w:pPr>
          </w:p>
        </w:tc>
        <w:tc>
          <w:tcPr>
            <w:tcW w:w="1843" w:type="dxa"/>
            <w:noWrap w:val="0"/>
            <w:vAlign w:val="center"/>
          </w:tcPr>
          <w:p>
            <w:pPr>
              <w:tabs>
                <w:tab w:val="left" w:pos="1985"/>
              </w:tabs>
              <w:ind w:right="-11"/>
              <w:rPr>
                <w:rFonts w:ascii="宋体" w:hAnsi="宋体" w:cs="Arial"/>
              </w:rPr>
            </w:pPr>
          </w:p>
        </w:tc>
        <w:tc>
          <w:tcPr>
            <w:tcW w:w="1134" w:type="dxa"/>
            <w:noWrap w:val="0"/>
            <w:vAlign w:val="center"/>
          </w:tcPr>
          <w:p>
            <w:pPr>
              <w:tabs>
                <w:tab w:val="left" w:pos="1985"/>
              </w:tabs>
              <w:rPr>
                <w:rFonts w:ascii="宋体" w:hAnsi="宋体" w:cs="Arial"/>
              </w:rPr>
            </w:pPr>
          </w:p>
        </w:tc>
        <w:tc>
          <w:tcPr>
            <w:tcW w:w="1275" w:type="dxa"/>
            <w:noWrap w:val="0"/>
            <w:vAlign w:val="center"/>
          </w:tcPr>
          <w:p>
            <w:pPr>
              <w:tabs>
                <w:tab w:val="left" w:pos="1985"/>
              </w:tabs>
              <w:ind w:right="-11"/>
              <w:rPr>
                <w:rFonts w:ascii="宋体" w:hAnsi="宋体" w:cs="Arial"/>
              </w:rPr>
            </w:pPr>
          </w:p>
        </w:tc>
        <w:tc>
          <w:tcPr>
            <w:tcW w:w="1477" w:type="dxa"/>
            <w:tcBorders>
              <w:right w:val="single" w:color="auto" w:sz="12" w:space="0"/>
            </w:tcBorders>
            <w:noWrap w:val="0"/>
            <w:vAlign w:val="center"/>
          </w:tcPr>
          <w:p>
            <w:pPr>
              <w:tabs>
                <w:tab w:val="left" w:pos="1985"/>
              </w:tabs>
              <w:ind w:right="-11"/>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tcBorders>
              <w:left w:val="single" w:color="auto" w:sz="12" w:space="0"/>
            </w:tcBorders>
            <w:noWrap w:val="0"/>
            <w:vAlign w:val="center"/>
          </w:tcPr>
          <w:p>
            <w:pPr>
              <w:tabs>
                <w:tab w:val="left" w:pos="1985"/>
              </w:tabs>
              <w:ind w:right="-11"/>
              <w:rPr>
                <w:rFonts w:ascii="宋体" w:hAnsi="宋体" w:cs="Arial"/>
              </w:rPr>
            </w:pPr>
          </w:p>
        </w:tc>
        <w:tc>
          <w:tcPr>
            <w:tcW w:w="1605" w:type="dxa"/>
            <w:noWrap w:val="0"/>
            <w:vAlign w:val="center"/>
          </w:tcPr>
          <w:p>
            <w:pPr>
              <w:tabs>
                <w:tab w:val="left" w:pos="1985"/>
              </w:tabs>
              <w:rPr>
                <w:rFonts w:ascii="宋体" w:hAnsi="宋体" w:cs="Arial"/>
              </w:rPr>
            </w:pPr>
          </w:p>
        </w:tc>
        <w:tc>
          <w:tcPr>
            <w:tcW w:w="1564" w:type="dxa"/>
            <w:noWrap w:val="0"/>
            <w:vAlign w:val="center"/>
          </w:tcPr>
          <w:p>
            <w:pPr>
              <w:tabs>
                <w:tab w:val="left" w:pos="1985"/>
              </w:tabs>
              <w:rPr>
                <w:rFonts w:ascii="宋体" w:hAnsi="宋体" w:cs="Arial"/>
              </w:rPr>
            </w:pPr>
          </w:p>
        </w:tc>
        <w:tc>
          <w:tcPr>
            <w:tcW w:w="1843" w:type="dxa"/>
            <w:noWrap w:val="0"/>
            <w:vAlign w:val="center"/>
          </w:tcPr>
          <w:p>
            <w:pPr>
              <w:tabs>
                <w:tab w:val="left" w:pos="1985"/>
              </w:tabs>
              <w:ind w:right="-11"/>
              <w:rPr>
                <w:rFonts w:ascii="宋体" w:hAnsi="宋体" w:cs="Arial"/>
              </w:rPr>
            </w:pPr>
          </w:p>
        </w:tc>
        <w:tc>
          <w:tcPr>
            <w:tcW w:w="1134" w:type="dxa"/>
            <w:noWrap w:val="0"/>
            <w:vAlign w:val="center"/>
          </w:tcPr>
          <w:p>
            <w:pPr>
              <w:tabs>
                <w:tab w:val="left" w:pos="1985"/>
              </w:tabs>
              <w:rPr>
                <w:rFonts w:ascii="宋体" w:hAnsi="宋体" w:cs="Arial"/>
              </w:rPr>
            </w:pPr>
          </w:p>
        </w:tc>
        <w:tc>
          <w:tcPr>
            <w:tcW w:w="1275" w:type="dxa"/>
            <w:noWrap w:val="0"/>
            <w:vAlign w:val="center"/>
          </w:tcPr>
          <w:p>
            <w:pPr>
              <w:tabs>
                <w:tab w:val="left" w:pos="1985"/>
              </w:tabs>
              <w:ind w:right="-11"/>
              <w:rPr>
                <w:rFonts w:ascii="宋体" w:hAnsi="宋体" w:cs="Arial"/>
              </w:rPr>
            </w:pPr>
          </w:p>
        </w:tc>
        <w:tc>
          <w:tcPr>
            <w:tcW w:w="1477" w:type="dxa"/>
            <w:tcBorders>
              <w:right w:val="single" w:color="auto" w:sz="12" w:space="0"/>
            </w:tcBorders>
            <w:noWrap w:val="0"/>
            <w:vAlign w:val="center"/>
          </w:tcPr>
          <w:p>
            <w:pPr>
              <w:tabs>
                <w:tab w:val="left" w:pos="1985"/>
              </w:tabs>
              <w:ind w:right="-11"/>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tcBorders>
              <w:left w:val="single" w:color="auto" w:sz="12" w:space="0"/>
            </w:tcBorders>
            <w:noWrap w:val="0"/>
            <w:vAlign w:val="center"/>
          </w:tcPr>
          <w:p>
            <w:pPr>
              <w:tabs>
                <w:tab w:val="left" w:pos="1985"/>
              </w:tabs>
              <w:ind w:right="-11"/>
              <w:rPr>
                <w:rFonts w:ascii="宋体" w:hAnsi="宋体" w:cs="Arial"/>
              </w:rPr>
            </w:pPr>
          </w:p>
        </w:tc>
        <w:tc>
          <w:tcPr>
            <w:tcW w:w="1605" w:type="dxa"/>
            <w:noWrap w:val="0"/>
            <w:vAlign w:val="center"/>
          </w:tcPr>
          <w:p>
            <w:pPr>
              <w:tabs>
                <w:tab w:val="left" w:pos="1985"/>
              </w:tabs>
              <w:rPr>
                <w:rFonts w:ascii="宋体" w:hAnsi="宋体" w:cs="Arial"/>
              </w:rPr>
            </w:pPr>
          </w:p>
        </w:tc>
        <w:tc>
          <w:tcPr>
            <w:tcW w:w="1564" w:type="dxa"/>
            <w:noWrap w:val="0"/>
            <w:vAlign w:val="center"/>
          </w:tcPr>
          <w:p>
            <w:pPr>
              <w:tabs>
                <w:tab w:val="left" w:pos="1985"/>
              </w:tabs>
              <w:rPr>
                <w:rFonts w:ascii="宋体" w:hAnsi="宋体" w:cs="Arial"/>
              </w:rPr>
            </w:pPr>
          </w:p>
        </w:tc>
        <w:tc>
          <w:tcPr>
            <w:tcW w:w="1843" w:type="dxa"/>
            <w:noWrap w:val="0"/>
            <w:vAlign w:val="center"/>
          </w:tcPr>
          <w:p>
            <w:pPr>
              <w:tabs>
                <w:tab w:val="left" w:pos="1985"/>
              </w:tabs>
              <w:ind w:right="-11"/>
              <w:rPr>
                <w:rFonts w:ascii="宋体" w:hAnsi="宋体" w:cs="Arial"/>
              </w:rPr>
            </w:pPr>
          </w:p>
        </w:tc>
        <w:tc>
          <w:tcPr>
            <w:tcW w:w="1134" w:type="dxa"/>
            <w:noWrap w:val="0"/>
            <w:vAlign w:val="center"/>
          </w:tcPr>
          <w:p>
            <w:pPr>
              <w:tabs>
                <w:tab w:val="left" w:pos="1985"/>
              </w:tabs>
              <w:rPr>
                <w:rFonts w:ascii="宋体" w:hAnsi="宋体" w:cs="Arial"/>
              </w:rPr>
            </w:pPr>
          </w:p>
        </w:tc>
        <w:tc>
          <w:tcPr>
            <w:tcW w:w="1275" w:type="dxa"/>
            <w:noWrap w:val="0"/>
            <w:vAlign w:val="center"/>
          </w:tcPr>
          <w:p>
            <w:pPr>
              <w:tabs>
                <w:tab w:val="left" w:pos="1985"/>
              </w:tabs>
              <w:ind w:right="-11"/>
              <w:rPr>
                <w:rFonts w:ascii="宋体" w:hAnsi="宋体" w:cs="Arial"/>
              </w:rPr>
            </w:pPr>
          </w:p>
        </w:tc>
        <w:tc>
          <w:tcPr>
            <w:tcW w:w="1477" w:type="dxa"/>
            <w:tcBorders>
              <w:right w:val="single" w:color="auto" w:sz="12" w:space="0"/>
            </w:tcBorders>
            <w:noWrap w:val="0"/>
            <w:vAlign w:val="center"/>
          </w:tcPr>
          <w:p>
            <w:pPr>
              <w:tabs>
                <w:tab w:val="left" w:pos="1985"/>
              </w:tabs>
              <w:ind w:right="-11"/>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tcBorders>
              <w:left w:val="single" w:color="auto" w:sz="12" w:space="0"/>
            </w:tcBorders>
            <w:noWrap w:val="0"/>
            <w:vAlign w:val="center"/>
          </w:tcPr>
          <w:p>
            <w:pPr>
              <w:tabs>
                <w:tab w:val="left" w:pos="1985"/>
              </w:tabs>
              <w:ind w:right="-11"/>
              <w:rPr>
                <w:rFonts w:ascii="宋体" w:hAnsi="宋体" w:cs="Arial"/>
              </w:rPr>
            </w:pPr>
          </w:p>
        </w:tc>
        <w:tc>
          <w:tcPr>
            <w:tcW w:w="1605" w:type="dxa"/>
            <w:noWrap w:val="0"/>
            <w:vAlign w:val="center"/>
          </w:tcPr>
          <w:p>
            <w:pPr>
              <w:tabs>
                <w:tab w:val="left" w:pos="1985"/>
              </w:tabs>
              <w:rPr>
                <w:rFonts w:ascii="宋体" w:hAnsi="宋体" w:cs="Arial"/>
              </w:rPr>
            </w:pPr>
          </w:p>
        </w:tc>
        <w:tc>
          <w:tcPr>
            <w:tcW w:w="1564" w:type="dxa"/>
            <w:noWrap w:val="0"/>
            <w:vAlign w:val="center"/>
          </w:tcPr>
          <w:p>
            <w:pPr>
              <w:tabs>
                <w:tab w:val="left" w:pos="1985"/>
              </w:tabs>
              <w:rPr>
                <w:rFonts w:ascii="宋体" w:hAnsi="宋体" w:cs="Arial"/>
              </w:rPr>
            </w:pPr>
          </w:p>
        </w:tc>
        <w:tc>
          <w:tcPr>
            <w:tcW w:w="1843" w:type="dxa"/>
            <w:noWrap w:val="0"/>
            <w:vAlign w:val="center"/>
          </w:tcPr>
          <w:p>
            <w:pPr>
              <w:tabs>
                <w:tab w:val="left" w:pos="1985"/>
              </w:tabs>
              <w:ind w:right="-11"/>
              <w:rPr>
                <w:rFonts w:ascii="宋体" w:hAnsi="宋体" w:cs="Arial"/>
              </w:rPr>
            </w:pPr>
          </w:p>
        </w:tc>
        <w:tc>
          <w:tcPr>
            <w:tcW w:w="1134" w:type="dxa"/>
            <w:noWrap w:val="0"/>
            <w:vAlign w:val="center"/>
          </w:tcPr>
          <w:p>
            <w:pPr>
              <w:tabs>
                <w:tab w:val="left" w:pos="1985"/>
              </w:tabs>
              <w:rPr>
                <w:rFonts w:ascii="宋体" w:hAnsi="宋体" w:cs="Arial"/>
              </w:rPr>
            </w:pPr>
          </w:p>
        </w:tc>
        <w:tc>
          <w:tcPr>
            <w:tcW w:w="1275" w:type="dxa"/>
            <w:noWrap w:val="0"/>
            <w:vAlign w:val="center"/>
          </w:tcPr>
          <w:p>
            <w:pPr>
              <w:tabs>
                <w:tab w:val="left" w:pos="1985"/>
              </w:tabs>
              <w:ind w:right="-11"/>
              <w:rPr>
                <w:rFonts w:ascii="宋体" w:hAnsi="宋体" w:cs="Arial"/>
              </w:rPr>
            </w:pPr>
          </w:p>
        </w:tc>
        <w:tc>
          <w:tcPr>
            <w:tcW w:w="1477" w:type="dxa"/>
            <w:tcBorders>
              <w:right w:val="single" w:color="auto" w:sz="12" w:space="0"/>
            </w:tcBorders>
            <w:noWrap w:val="0"/>
            <w:vAlign w:val="center"/>
          </w:tcPr>
          <w:p>
            <w:pPr>
              <w:tabs>
                <w:tab w:val="left" w:pos="1985"/>
              </w:tabs>
              <w:ind w:right="-11"/>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tcBorders>
              <w:left w:val="single" w:color="auto" w:sz="12" w:space="0"/>
            </w:tcBorders>
            <w:noWrap w:val="0"/>
            <w:vAlign w:val="center"/>
          </w:tcPr>
          <w:p>
            <w:pPr>
              <w:tabs>
                <w:tab w:val="left" w:pos="1985"/>
              </w:tabs>
              <w:ind w:right="-11"/>
              <w:rPr>
                <w:rFonts w:ascii="宋体" w:hAnsi="宋体" w:cs="Arial"/>
              </w:rPr>
            </w:pPr>
          </w:p>
        </w:tc>
        <w:tc>
          <w:tcPr>
            <w:tcW w:w="1605" w:type="dxa"/>
            <w:noWrap w:val="0"/>
            <w:vAlign w:val="center"/>
          </w:tcPr>
          <w:p>
            <w:pPr>
              <w:tabs>
                <w:tab w:val="left" w:pos="1985"/>
              </w:tabs>
              <w:rPr>
                <w:rFonts w:ascii="宋体" w:hAnsi="宋体" w:cs="Arial"/>
              </w:rPr>
            </w:pPr>
          </w:p>
        </w:tc>
        <w:tc>
          <w:tcPr>
            <w:tcW w:w="1564" w:type="dxa"/>
            <w:noWrap w:val="0"/>
            <w:vAlign w:val="center"/>
          </w:tcPr>
          <w:p>
            <w:pPr>
              <w:tabs>
                <w:tab w:val="left" w:pos="1985"/>
              </w:tabs>
              <w:rPr>
                <w:rFonts w:ascii="宋体" w:hAnsi="宋体" w:cs="Arial"/>
              </w:rPr>
            </w:pPr>
          </w:p>
        </w:tc>
        <w:tc>
          <w:tcPr>
            <w:tcW w:w="1843" w:type="dxa"/>
            <w:noWrap w:val="0"/>
            <w:vAlign w:val="center"/>
          </w:tcPr>
          <w:p>
            <w:pPr>
              <w:tabs>
                <w:tab w:val="left" w:pos="1985"/>
              </w:tabs>
              <w:ind w:right="-11"/>
              <w:rPr>
                <w:rFonts w:ascii="宋体" w:hAnsi="宋体" w:cs="Arial"/>
              </w:rPr>
            </w:pPr>
          </w:p>
        </w:tc>
        <w:tc>
          <w:tcPr>
            <w:tcW w:w="1134" w:type="dxa"/>
            <w:noWrap w:val="0"/>
            <w:vAlign w:val="center"/>
          </w:tcPr>
          <w:p>
            <w:pPr>
              <w:tabs>
                <w:tab w:val="left" w:pos="1985"/>
              </w:tabs>
              <w:rPr>
                <w:rFonts w:ascii="宋体" w:hAnsi="宋体" w:cs="Arial"/>
              </w:rPr>
            </w:pPr>
          </w:p>
        </w:tc>
        <w:tc>
          <w:tcPr>
            <w:tcW w:w="1275" w:type="dxa"/>
            <w:noWrap w:val="0"/>
            <w:vAlign w:val="center"/>
          </w:tcPr>
          <w:p>
            <w:pPr>
              <w:tabs>
                <w:tab w:val="left" w:pos="1985"/>
              </w:tabs>
              <w:ind w:right="-11"/>
              <w:rPr>
                <w:rFonts w:ascii="宋体" w:hAnsi="宋体" w:cs="Arial"/>
              </w:rPr>
            </w:pPr>
          </w:p>
        </w:tc>
        <w:tc>
          <w:tcPr>
            <w:tcW w:w="1477" w:type="dxa"/>
            <w:tcBorders>
              <w:right w:val="single" w:color="auto" w:sz="12" w:space="0"/>
            </w:tcBorders>
            <w:noWrap w:val="0"/>
            <w:vAlign w:val="center"/>
          </w:tcPr>
          <w:p>
            <w:pPr>
              <w:tabs>
                <w:tab w:val="left" w:pos="1985"/>
              </w:tabs>
              <w:ind w:right="-11"/>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tcBorders>
              <w:left w:val="single" w:color="auto" w:sz="12" w:space="0"/>
            </w:tcBorders>
            <w:noWrap w:val="0"/>
            <w:vAlign w:val="center"/>
          </w:tcPr>
          <w:p>
            <w:pPr>
              <w:tabs>
                <w:tab w:val="left" w:pos="1985"/>
              </w:tabs>
              <w:ind w:right="-11"/>
              <w:rPr>
                <w:rFonts w:ascii="宋体" w:hAnsi="宋体" w:cs="Arial"/>
              </w:rPr>
            </w:pPr>
          </w:p>
        </w:tc>
        <w:tc>
          <w:tcPr>
            <w:tcW w:w="1605" w:type="dxa"/>
            <w:noWrap w:val="0"/>
            <w:vAlign w:val="center"/>
          </w:tcPr>
          <w:p>
            <w:pPr>
              <w:tabs>
                <w:tab w:val="left" w:pos="1985"/>
              </w:tabs>
              <w:rPr>
                <w:rFonts w:ascii="宋体" w:hAnsi="宋体" w:cs="Arial"/>
              </w:rPr>
            </w:pPr>
          </w:p>
        </w:tc>
        <w:tc>
          <w:tcPr>
            <w:tcW w:w="1564" w:type="dxa"/>
            <w:noWrap w:val="0"/>
            <w:vAlign w:val="center"/>
          </w:tcPr>
          <w:p>
            <w:pPr>
              <w:tabs>
                <w:tab w:val="left" w:pos="1985"/>
              </w:tabs>
              <w:rPr>
                <w:rFonts w:ascii="宋体" w:hAnsi="宋体" w:cs="Arial"/>
              </w:rPr>
            </w:pPr>
          </w:p>
        </w:tc>
        <w:tc>
          <w:tcPr>
            <w:tcW w:w="1843" w:type="dxa"/>
            <w:noWrap w:val="0"/>
            <w:vAlign w:val="center"/>
          </w:tcPr>
          <w:p>
            <w:pPr>
              <w:tabs>
                <w:tab w:val="left" w:pos="1985"/>
              </w:tabs>
              <w:ind w:right="-11"/>
              <w:rPr>
                <w:rFonts w:ascii="宋体" w:hAnsi="宋体" w:cs="Arial"/>
              </w:rPr>
            </w:pPr>
          </w:p>
        </w:tc>
        <w:tc>
          <w:tcPr>
            <w:tcW w:w="1134" w:type="dxa"/>
            <w:noWrap w:val="0"/>
            <w:vAlign w:val="center"/>
          </w:tcPr>
          <w:p>
            <w:pPr>
              <w:tabs>
                <w:tab w:val="left" w:pos="1985"/>
              </w:tabs>
              <w:rPr>
                <w:rFonts w:ascii="宋体" w:hAnsi="宋体" w:cs="Arial"/>
              </w:rPr>
            </w:pPr>
          </w:p>
        </w:tc>
        <w:tc>
          <w:tcPr>
            <w:tcW w:w="1275" w:type="dxa"/>
            <w:noWrap w:val="0"/>
            <w:vAlign w:val="center"/>
          </w:tcPr>
          <w:p>
            <w:pPr>
              <w:tabs>
                <w:tab w:val="left" w:pos="1985"/>
              </w:tabs>
              <w:ind w:right="-11"/>
              <w:rPr>
                <w:rFonts w:ascii="宋体" w:hAnsi="宋体" w:cs="Arial"/>
              </w:rPr>
            </w:pPr>
          </w:p>
        </w:tc>
        <w:tc>
          <w:tcPr>
            <w:tcW w:w="1477" w:type="dxa"/>
            <w:tcBorders>
              <w:right w:val="single" w:color="auto" w:sz="12" w:space="0"/>
            </w:tcBorders>
            <w:noWrap w:val="0"/>
            <w:vAlign w:val="center"/>
          </w:tcPr>
          <w:p>
            <w:pPr>
              <w:tabs>
                <w:tab w:val="left" w:pos="1985"/>
              </w:tabs>
              <w:ind w:right="-11"/>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tcBorders>
              <w:left w:val="single" w:color="auto" w:sz="12" w:space="0"/>
            </w:tcBorders>
            <w:noWrap w:val="0"/>
            <w:vAlign w:val="center"/>
          </w:tcPr>
          <w:p>
            <w:pPr>
              <w:tabs>
                <w:tab w:val="left" w:pos="1985"/>
              </w:tabs>
              <w:ind w:right="-11"/>
              <w:rPr>
                <w:rFonts w:ascii="宋体" w:hAnsi="宋体" w:cs="Arial"/>
              </w:rPr>
            </w:pPr>
          </w:p>
        </w:tc>
        <w:tc>
          <w:tcPr>
            <w:tcW w:w="1605" w:type="dxa"/>
            <w:noWrap w:val="0"/>
            <w:vAlign w:val="center"/>
          </w:tcPr>
          <w:p>
            <w:pPr>
              <w:tabs>
                <w:tab w:val="left" w:pos="1985"/>
              </w:tabs>
              <w:rPr>
                <w:rFonts w:ascii="宋体" w:hAnsi="宋体" w:cs="Arial"/>
              </w:rPr>
            </w:pPr>
          </w:p>
        </w:tc>
        <w:tc>
          <w:tcPr>
            <w:tcW w:w="1564" w:type="dxa"/>
            <w:noWrap w:val="0"/>
            <w:vAlign w:val="center"/>
          </w:tcPr>
          <w:p>
            <w:pPr>
              <w:tabs>
                <w:tab w:val="left" w:pos="1985"/>
              </w:tabs>
              <w:rPr>
                <w:rFonts w:ascii="宋体" w:hAnsi="宋体" w:cs="Arial"/>
              </w:rPr>
            </w:pPr>
          </w:p>
        </w:tc>
        <w:tc>
          <w:tcPr>
            <w:tcW w:w="1843" w:type="dxa"/>
            <w:noWrap w:val="0"/>
            <w:vAlign w:val="center"/>
          </w:tcPr>
          <w:p>
            <w:pPr>
              <w:tabs>
                <w:tab w:val="left" w:pos="1985"/>
              </w:tabs>
              <w:ind w:right="-11"/>
              <w:rPr>
                <w:rFonts w:ascii="宋体" w:hAnsi="宋体" w:cs="Arial"/>
              </w:rPr>
            </w:pPr>
          </w:p>
        </w:tc>
        <w:tc>
          <w:tcPr>
            <w:tcW w:w="1134" w:type="dxa"/>
            <w:noWrap w:val="0"/>
            <w:vAlign w:val="center"/>
          </w:tcPr>
          <w:p>
            <w:pPr>
              <w:tabs>
                <w:tab w:val="left" w:pos="1985"/>
              </w:tabs>
              <w:rPr>
                <w:rFonts w:ascii="宋体" w:hAnsi="宋体" w:cs="Arial"/>
              </w:rPr>
            </w:pPr>
          </w:p>
        </w:tc>
        <w:tc>
          <w:tcPr>
            <w:tcW w:w="1275" w:type="dxa"/>
            <w:noWrap w:val="0"/>
            <w:vAlign w:val="center"/>
          </w:tcPr>
          <w:p>
            <w:pPr>
              <w:tabs>
                <w:tab w:val="left" w:pos="1985"/>
              </w:tabs>
              <w:ind w:right="-11"/>
              <w:rPr>
                <w:rFonts w:ascii="宋体" w:hAnsi="宋体" w:cs="Arial"/>
              </w:rPr>
            </w:pPr>
          </w:p>
        </w:tc>
        <w:tc>
          <w:tcPr>
            <w:tcW w:w="1477" w:type="dxa"/>
            <w:tcBorders>
              <w:right w:val="single" w:color="auto" w:sz="12" w:space="0"/>
            </w:tcBorders>
            <w:noWrap w:val="0"/>
            <w:vAlign w:val="center"/>
          </w:tcPr>
          <w:p>
            <w:pPr>
              <w:tabs>
                <w:tab w:val="left" w:pos="1985"/>
              </w:tabs>
              <w:ind w:right="-11"/>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tcBorders>
              <w:left w:val="single" w:color="auto" w:sz="12" w:space="0"/>
            </w:tcBorders>
            <w:noWrap w:val="0"/>
            <w:vAlign w:val="center"/>
          </w:tcPr>
          <w:p>
            <w:pPr>
              <w:tabs>
                <w:tab w:val="left" w:pos="1985"/>
              </w:tabs>
              <w:ind w:right="-11"/>
              <w:rPr>
                <w:rFonts w:ascii="宋体" w:hAnsi="宋体" w:cs="Arial"/>
              </w:rPr>
            </w:pPr>
          </w:p>
        </w:tc>
        <w:tc>
          <w:tcPr>
            <w:tcW w:w="1605" w:type="dxa"/>
            <w:noWrap w:val="0"/>
            <w:vAlign w:val="center"/>
          </w:tcPr>
          <w:p>
            <w:pPr>
              <w:tabs>
                <w:tab w:val="left" w:pos="1985"/>
              </w:tabs>
              <w:rPr>
                <w:rFonts w:ascii="宋体" w:hAnsi="宋体" w:cs="Arial"/>
              </w:rPr>
            </w:pPr>
            <w:r>
              <w:rPr>
                <w:rFonts w:hint="eastAsia" w:ascii="宋体" w:hAnsi="宋体" w:cs="Arial"/>
              </w:rPr>
              <w:t>……</w:t>
            </w:r>
          </w:p>
        </w:tc>
        <w:tc>
          <w:tcPr>
            <w:tcW w:w="1564" w:type="dxa"/>
            <w:noWrap w:val="0"/>
            <w:vAlign w:val="center"/>
          </w:tcPr>
          <w:p>
            <w:pPr>
              <w:tabs>
                <w:tab w:val="left" w:pos="1985"/>
              </w:tabs>
              <w:rPr>
                <w:rFonts w:ascii="宋体" w:hAnsi="宋体" w:cs="Arial"/>
              </w:rPr>
            </w:pPr>
          </w:p>
        </w:tc>
        <w:tc>
          <w:tcPr>
            <w:tcW w:w="1843" w:type="dxa"/>
            <w:noWrap w:val="0"/>
            <w:vAlign w:val="center"/>
          </w:tcPr>
          <w:p>
            <w:pPr>
              <w:tabs>
                <w:tab w:val="left" w:pos="1985"/>
              </w:tabs>
              <w:ind w:right="-11"/>
              <w:rPr>
                <w:rFonts w:ascii="宋体" w:hAnsi="宋体" w:cs="Arial"/>
              </w:rPr>
            </w:pPr>
          </w:p>
        </w:tc>
        <w:tc>
          <w:tcPr>
            <w:tcW w:w="1134" w:type="dxa"/>
            <w:noWrap w:val="0"/>
            <w:vAlign w:val="center"/>
          </w:tcPr>
          <w:p>
            <w:pPr>
              <w:tabs>
                <w:tab w:val="left" w:pos="1985"/>
              </w:tabs>
              <w:rPr>
                <w:rFonts w:ascii="宋体" w:hAnsi="宋体" w:cs="Arial"/>
              </w:rPr>
            </w:pPr>
          </w:p>
        </w:tc>
        <w:tc>
          <w:tcPr>
            <w:tcW w:w="1275" w:type="dxa"/>
            <w:noWrap w:val="0"/>
            <w:vAlign w:val="center"/>
          </w:tcPr>
          <w:p>
            <w:pPr>
              <w:tabs>
                <w:tab w:val="left" w:pos="1985"/>
              </w:tabs>
              <w:ind w:right="-11"/>
              <w:rPr>
                <w:rFonts w:ascii="宋体" w:hAnsi="宋体" w:cs="Arial"/>
              </w:rPr>
            </w:pPr>
          </w:p>
        </w:tc>
        <w:tc>
          <w:tcPr>
            <w:tcW w:w="1477" w:type="dxa"/>
            <w:tcBorders>
              <w:right w:val="single" w:color="auto" w:sz="12" w:space="0"/>
            </w:tcBorders>
            <w:noWrap w:val="0"/>
            <w:vAlign w:val="center"/>
          </w:tcPr>
          <w:p>
            <w:pPr>
              <w:tabs>
                <w:tab w:val="left" w:pos="1985"/>
              </w:tabs>
              <w:ind w:right="-11"/>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3794" w:type="dxa"/>
            <w:gridSpan w:val="3"/>
            <w:tcBorders>
              <w:left w:val="single" w:color="auto" w:sz="12" w:space="0"/>
              <w:bottom w:val="single" w:color="auto" w:sz="12" w:space="0"/>
            </w:tcBorders>
            <w:noWrap w:val="0"/>
            <w:vAlign w:val="center"/>
          </w:tcPr>
          <w:p>
            <w:pPr>
              <w:tabs>
                <w:tab w:val="left" w:pos="1985"/>
              </w:tabs>
              <w:ind w:right="-10"/>
              <w:rPr>
                <w:rFonts w:ascii="宋体" w:hAnsi="宋体" w:cs="Arial"/>
                <w:b/>
                <w:bCs/>
              </w:rPr>
            </w:pPr>
            <w:r>
              <w:rPr>
                <w:rFonts w:hint="eastAsia" w:ascii="宋体" w:hAnsi="宋体" w:cs="Arial"/>
                <w:b/>
                <w:bCs/>
              </w:rPr>
              <w:t>设备总价</w:t>
            </w:r>
          </w:p>
        </w:tc>
        <w:tc>
          <w:tcPr>
            <w:tcW w:w="5729" w:type="dxa"/>
            <w:gridSpan w:val="4"/>
            <w:tcBorders>
              <w:bottom w:val="single" w:color="auto" w:sz="12" w:space="0"/>
              <w:right w:val="single" w:color="auto" w:sz="12" w:space="0"/>
            </w:tcBorders>
            <w:noWrap w:val="0"/>
            <w:vAlign w:val="center"/>
          </w:tcPr>
          <w:p>
            <w:pPr>
              <w:tabs>
                <w:tab w:val="left" w:pos="1985"/>
              </w:tabs>
              <w:ind w:right="-10"/>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trPr>
        <w:tc>
          <w:tcPr>
            <w:tcW w:w="3794" w:type="dxa"/>
            <w:gridSpan w:val="3"/>
            <w:tcBorders>
              <w:top w:val="single" w:color="auto" w:sz="12" w:space="0"/>
              <w:left w:val="single" w:color="auto" w:sz="12" w:space="0"/>
            </w:tcBorders>
            <w:noWrap w:val="0"/>
            <w:vAlign w:val="center"/>
          </w:tcPr>
          <w:p>
            <w:pPr>
              <w:tabs>
                <w:tab w:val="left" w:pos="1985"/>
              </w:tabs>
              <w:ind w:right="-11"/>
              <w:rPr>
                <w:rFonts w:ascii="宋体" w:hAnsi="宋体" w:cs="Arial"/>
                <w:sz w:val="18"/>
              </w:rPr>
            </w:pPr>
            <w:r>
              <w:rPr>
                <w:rFonts w:hint="eastAsia" w:ascii="宋体" w:hAnsi="宋体" w:cs="Arial"/>
                <w:sz w:val="18"/>
              </w:rPr>
              <w:t>运杂及保险费（含卸货）</w:t>
            </w:r>
          </w:p>
        </w:tc>
        <w:tc>
          <w:tcPr>
            <w:tcW w:w="5729" w:type="dxa"/>
            <w:gridSpan w:val="4"/>
            <w:tcBorders>
              <w:top w:val="single" w:color="auto" w:sz="12" w:space="0"/>
              <w:right w:val="single" w:color="auto" w:sz="12" w:space="0"/>
            </w:tcBorders>
            <w:noWrap w:val="0"/>
            <w:vAlign w:val="top"/>
          </w:tcPr>
          <w:p>
            <w:pPr>
              <w:tabs>
                <w:tab w:val="left" w:pos="1985"/>
              </w:tabs>
              <w:rPr>
                <w:rFonts w:ascii="宋体"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94" w:type="dxa"/>
            <w:gridSpan w:val="3"/>
            <w:tcBorders>
              <w:left w:val="single" w:color="auto" w:sz="12" w:space="0"/>
            </w:tcBorders>
            <w:noWrap w:val="0"/>
            <w:vAlign w:val="center"/>
          </w:tcPr>
          <w:p>
            <w:pPr>
              <w:tabs>
                <w:tab w:val="left" w:pos="1985"/>
              </w:tabs>
              <w:ind w:right="-11"/>
              <w:rPr>
                <w:rFonts w:ascii="宋体" w:hAnsi="宋体" w:cs="Arial"/>
                <w:sz w:val="18"/>
              </w:rPr>
            </w:pPr>
            <w:r>
              <w:rPr>
                <w:rFonts w:hint="eastAsia" w:ascii="宋体" w:hAnsi="宋体"/>
                <w:sz w:val="18"/>
              </w:rPr>
              <w:t>安装调试费（包括设备的测试、调试、验收等费用）</w:t>
            </w:r>
          </w:p>
        </w:tc>
        <w:tc>
          <w:tcPr>
            <w:tcW w:w="5729" w:type="dxa"/>
            <w:gridSpan w:val="4"/>
            <w:tcBorders>
              <w:right w:val="single" w:color="auto" w:sz="12" w:space="0"/>
            </w:tcBorders>
            <w:noWrap w:val="0"/>
            <w:vAlign w:val="top"/>
          </w:tcPr>
          <w:p>
            <w:pPr>
              <w:tabs>
                <w:tab w:val="left" w:pos="1985"/>
              </w:tabs>
              <w:rPr>
                <w:rFonts w:ascii="宋体"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3794" w:type="dxa"/>
            <w:gridSpan w:val="3"/>
            <w:tcBorders>
              <w:left w:val="single" w:color="auto" w:sz="12" w:space="0"/>
            </w:tcBorders>
            <w:noWrap w:val="0"/>
            <w:vAlign w:val="center"/>
          </w:tcPr>
          <w:p>
            <w:pPr>
              <w:tabs>
                <w:tab w:val="left" w:pos="1985"/>
              </w:tabs>
              <w:ind w:right="-11"/>
              <w:rPr>
                <w:rFonts w:ascii="宋体" w:hAnsi="宋体" w:cs="Arial"/>
                <w:sz w:val="18"/>
              </w:rPr>
            </w:pPr>
            <w:r>
              <w:rPr>
                <w:rFonts w:hint="eastAsia" w:ascii="宋体" w:hAnsi="宋体" w:cs="Arial"/>
                <w:sz w:val="18"/>
              </w:rPr>
              <w:t>培训费</w:t>
            </w:r>
          </w:p>
        </w:tc>
        <w:tc>
          <w:tcPr>
            <w:tcW w:w="5729" w:type="dxa"/>
            <w:gridSpan w:val="4"/>
            <w:tcBorders>
              <w:right w:val="single" w:color="auto" w:sz="12" w:space="0"/>
            </w:tcBorders>
            <w:noWrap w:val="0"/>
            <w:vAlign w:val="top"/>
          </w:tcPr>
          <w:p>
            <w:pPr>
              <w:tabs>
                <w:tab w:val="left" w:pos="1985"/>
              </w:tabs>
              <w:rPr>
                <w:rFonts w:ascii="宋体"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3794" w:type="dxa"/>
            <w:gridSpan w:val="3"/>
            <w:tcBorders>
              <w:left w:val="single" w:color="auto" w:sz="12" w:space="0"/>
            </w:tcBorders>
            <w:noWrap w:val="0"/>
            <w:vAlign w:val="center"/>
          </w:tcPr>
          <w:p>
            <w:pPr>
              <w:tabs>
                <w:tab w:val="left" w:pos="1985"/>
              </w:tabs>
              <w:ind w:right="-11"/>
              <w:rPr>
                <w:rFonts w:ascii="宋体" w:hAnsi="宋体"/>
                <w:bCs/>
                <w:sz w:val="18"/>
              </w:rPr>
            </w:pPr>
            <w:r>
              <w:rPr>
                <w:rFonts w:hint="eastAsia" w:ascii="宋体" w:hAnsi="宋体" w:cs="Arial"/>
                <w:sz w:val="18"/>
              </w:rPr>
              <w:t>售后服务</w:t>
            </w:r>
          </w:p>
        </w:tc>
        <w:tc>
          <w:tcPr>
            <w:tcW w:w="5729" w:type="dxa"/>
            <w:gridSpan w:val="4"/>
            <w:tcBorders>
              <w:right w:val="single" w:color="auto" w:sz="12" w:space="0"/>
            </w:tcBorders>
            <w:noWrap w:val="0"/>
            <w:vAlign w:val="top"/>
          </w:tcPr>
          <w:p>
            <w:pPr>
              <w:tabs>
                <w:tab w:val="left" w:pos="1985"/>
              </w:tabs>
              <w:rPr>
                <w:rFonts w:ascii="宋体"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3794" w:type="dxa"/>
            <w:gridSpan w:val="3"/>
            <w:tcBorders>
              <w:left w:val="single" w:color="auto" w:sz="12" w:space="0"/>
            </w:tcBorders>
            <w:noWrap w:val="0"/>
            <w:vAlign w:val="center"/>
          </w:tcPr>
          <w:p>
            <w:pPr>
              <w:tabs>
                <w:tab w:val="left" w:pos="1985"/>
              </w:tabs>
              <w:ind w:right="-11"/>
              <w:rPr>
                <w:rFonts w:ascii="宋体" w:hAnsi="宋体" w:cs="Arial"/>
                <w:sz w:val="18"/>
              </w:rPr>
            </w:pPr>
            <w:r>
              <w:rPr>
                <w:rFonts w:hint="eastAsia" w:ascii="宋体" w:hAnsi="宋体"/>
                <w:bCs/>
                <w:sz w:val="18"/>
              </w:rPr>
              <w:t>税金</w:t>
            </w:r>
          </w:p>
        </w:tc>
        <w:tc>
          <w:tcPr>
            <w:tcW w:w="5729" w:type="dxa"/>
            <w:gridSpan w:val="4"/>
            <w:tcBorders>
              <w:right w:val="single" w:color="auto" w:sz="12" w:space="0"/>
            </w:tcBorders>
            <w:noWrap w:val="0"/>
            <w:vAlign w:val="top"/>
          </w:tcPr>
          <w:p>
            <w:pPr>
              <w:tabs>
                <w:tab w:val="left" w:pos="1985"/>
              </w:tabs>
              <w:rPr>
                <w:rFonts w:ascii="宋体"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3794" w:type="dxa"/>
            <w:gridSpan w:val="3"/>
            <w:tcBorders>
              <w:left w:val="single" w:color="auto" w:sz="12" w:space="0"/>
            </w:tcBorders>
            <w:noWrap w:val="0"/>
            <w:vAlign w:val="center"/>
          </w:tcPr>
          <w:p>
            <w:pPr>
              <w:tabs>
                <w:tab w:val="left" w:pos="1985"/>
              </w:tabs>
              <w:ind w:right="-11"/>
              <w:rPr>
                <w:rFonts w:ascii="宋体" w:hAnsi="宋体" w:cs="Arial"/>
                <w:sz w:val="18"/>
              </w:rPr>
            </w:pPr>
            <w:r>
              <w:rPr>
                <w:rFonts w:hint="eastAsia" w:ascii="宋体" w:hAnsi="宋体" w:cs="Arial"/>
                <w:sz w:val="18"/>
              </w:rPr>
              <w:t>其他相关费用</w:t>
            </w:r>
          </w:p>
        </w:tc>
        <w:tc>
          <w:tcPr>
            <w:tcW w:w="5729" w:type="dxa"/>
            <w:gridSpan w:val="4"/>
            <w:tcBorders>
              <w:right w:val="single" w:color="auto" w:sz="12" w:space="0"/>
            </w:tcBorders>
            <w:noWrap w:val="0"/>
            <w:vAlign w:val="top"/>
          </w:tcPr>
          <w:p>
            <w:pPr>
              <w:tabs>
                <w:tab w:val="left" w:pos="1985"/>
              </w:tabs>
              <w:rPr>
                <w:rFonts w:ascii="宋体"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94" w:type="dxa"/>
            <w:gridSpan w:val="3"/>
            <w:tcBorders>
              <w:left w:val="single" w:color="auto" w:sz="12" w:space="0"/>
              <w:bottom w:val="single" w:color="auto" w:sz="12" w:space="0"/>
            </w:tcBorders>
            <w:noWrap w:val="0"/>
            <w:vAlign w:val="center"/>
          </w:tcPr>
          <w:p>
            <w:pPr>
              <w:tabs>
                <w:tab w:val="left" w:pos="1985"/>
              </w:tabs>
              <w:ind w:right="-11"/>
              <w:rPr>
                <w:rFonts w:ascii="宋体" w:hAnsi="宋体" w:cs="Arial"/>
                <w:sz w:val="18"/>
              </w:rPr>
            </w:pPr>
            <w:r>
              <w:rPr>
                <w:rFonts w:hint="eastAsia" w:ascii="宋体" w:hAnsi="宋体" w:cs="Arial"/>
                <w:sz w:val="18"/>
              </w:rPr>
              <w:t>合计总价</w:t>
            </w:r>
          </w:p>
          <w:p>
            <w:pPr>
              <w:tabs>
                <w:tab w:val="left" w:pos="1985"/>
              </w:tabs>
              <w:ind w:right="-11"/>
              <w:rPr>
                <w:rFonts w:ascii="宋体" w:hAnsi="宋体" w:cs="Arial"/>
                <w:sz w:val="18"/>
              </w:rPr>
            </w:pPr>
            <w:r>
              <w:rPr>
                <w:rFonts w:hint="eastAsia" w:ascii="宋体" w:hAnsi="宋体" w:cs="Arial"/>
                <w:sz w:val="18"/>
              </w:rPr>
              <w:t>（应与报价一览表中总价相一致）</w:t>
            </w:r>
          </w:p>
        </w:tc>
        <w:tc>
          <w:tcPr>
            <w:tcW w:w="5729" w:type="dxa"/>
            <w:gridSpan w:val="4"/>
            <w:tcBorders>
              <w:bottom w:val="single" w:color="auto" w:sz="12" w:space="0"/>
              <w:right w:val="single" w:color="auto" w:sz="12" w:space="0"/>
            </w:tcBorders>
            <w:noWrap w:val="0"/>
            <w:vAlign w:val="top"/>
          </w:tcPr>
          <w:p>
            <w:pPr>
              <w:tabs>
                <w:tab w:val="left" w:pos="1985"/>
              </w:tabs>
              <w:rPr>
                <w:rFonts w:ascii="宋体" w:hAnsi="宋体"/>
                <w:bCs/>
                <w:sz w:val="22"/>
              </w:rPr>
            </w:pPr>
          </w:p>
        </w:tc>
      </w:tr>
    </w:tbl>
    <w:p>
      <w:pPr>
        <w:tabs>
          <w:tab w:val="left" w:pos="1985"/>
        </w:tabs>
        <w:rPr>
          <w:rFonts w:ascii="宋体" w:hAnsi="宋体"/>
          <w:sz w:val="18"/>
        </w:rPr>
      </w:pPr>
      <w:r>
        <w:rPr>
          <w:rFonts w:hint="eastAsia" w:ascii="宋体" w:hAnsi="宋体"/>
        </w:rPr>
        <w:t>附注：</w:t>
      </w:r>
      <w:r>
        <w:rPr>
          <w:rFonts w:hint="eastAsia" w:ascii="宋体" w:hAnsi="宋体"/>
          <w:sz w:val="18"/>
        </w:rPr>
        <w:t xml:space="preserve">1. </w:t>
      </w:r>
      <w:r>
        <w:rPr>
          <w:rFonts w:hint="eastAsia" w:ascii="宋体" w:hAnsi="宋体"/>
          <w:b/>
          <w:sz w:val="18"/>
          <w:u w:val="single"/>
        </w:rPr>
        <w:t>▲不提供分项报价表将视为没有实质性响应磋商文件。货物名称按设备清单内容。</w:t>
      </w:r>
    </w:p>
    <w:p>
      <w:pPr>
        <w:tabs>
          <w:tab w:val="left" w:pos="1985"/>
        </w:tabs>
        <w:ind w:left="630" w:leftChars="300"/>
        <w:rPr>
          <w:rFonts w:ascii="宋体" w:hAnsi="宋体"/>
          <w:sz w:val="18"/>
        </w:rPr>
      </w:pPr>
      <w:r>
        <w:rPr>
          <w:rFonts w:hint="eastAsia" w:ascii="宋体" w:hAnsi="宋体"/>
          <w:sz w:val="18"/>
        </w:rPr>
        <w:t xml:space="preserve">2. </w:t>
      </w:r>
      <w:r>
        <w:rPr>
          <w:rFonts w:hint="eastAsia" w:ascii="宋体" w:hAnsi="宋体"/>
          <w:b/>
          <w:sz w:val="18"/>
          <w:u w:val="single"/>
        </w:rPr>
        <w:t>▲此表的合计总价应与附件二“报价一览表”总价相一致。</w:t>
      </w:r>
    </w:p>
    <w:p>
      <w:pPr>
        <w:tabs>
          <w:tab w:val="left" w:pos="1985"/>
        </w:tabs>
        <w:ind w:left="630" w:leftChars="300"/>
        <w:rPr>
          <w:rFonts w:ascii="宋体" w:hAnsi="宋体"/>
          <w:sz w:val="18"/>
        </w:rPr>
      </w:pPr>
      <w:r>
        <w:rPr>
          <w:rFonts w:hint="eastAsia" w:ascii="宋体" w:hAnsi="宋体"/>
          <w:sz w:val="18"/>
        </w:rPr>
        <w:t>3. 如果免费请在该备注栏内注明“免”，如果含在产品价格中则填“含”，如无此项内容则填“无”，不留空白。</w:t>
      </w:r>
    </w:p>
    <w:p>
      <w:pPr>
        <w:tabs>
          <w:tab w:val="left" w:pos="1985"/>
        </w:tabs>
        <w:ind w:left="630" w:leftChars="300"/>
        <w:rPr>
          <w:rFonts w:ascii="宋体" w:hAnsi="宋体"/>
          <w:sz w:val="18"/>
        </w:rPr>
      </w:pPr>
      <w:r>
        <w:rPr>
          <w:rFonts w:hint="eastAsia" w:ascii="宋体" w:hAnsi="宋体"/>
          <w:sz w:val="18"/>
        </w:rPr>
        <w:t>4. “设备总价”不应包含：运杂及保险费及其他相关费用。</w:t>
      </w:r>
    </w:p>
    <w:p>
      <w:pPr>
        <w:tabs>
          <w:tab w:val="left" w:pos="1985"/>
        </w:tabs>
        <w:ind w:left="630" w:leftChars="300"/>
        <w:rPr>
          <w:rFonts w:ascii="宋体" w:hAnsi="宋体"/>
          <w:sz w:val="18"/>
        </w:rPr>
      </w:pPr>
      <w:r>
        <w:rPr>
          <w:rFonts w:hint="eastAsia" w:ascii="宋体" w:hAnsi="宋体"/>
          <w:sz w:val="18"/>
        </w:rPr>
        <w:t xml:space="preserve">5. </w:t>
      </w:r>
      <w:r>
        <w:rPr>
          <w:rFonts w:hint="eastAsia" w:ascii="宋体" w:hAnsi="宋体"/>
          <w:b/>
          <w:sz w:val="18"/>
        </w:rPr>
        <w:t>根据《中华人民共和国政府采购法实施条例 》第四十三条规定，在中标或者成交公告的内容中</w:t>
      </w:r>
      <w:r>
        <w:rPr>
          <w:rFonts w:hint="eastAsia" w:ascii="宋体" w:hAnsi="宋体"/>
          <w:b/>
          <w:sz w:val="18"/>
          <w:shd w:val="pct10" w:color="auto" w:fill="FFFFFF"/>
        </w:rPr>
        <w:t>公开本表</w:t>
      </w:r>
      <w:r>
        <w:rPr>
          <w:rFonts w:hint="eastAsia" w:ascii="宋体" w:hAnsi="宋体"/>
          <w:b/>
          <w:sz w:val="18"/>
        </w:rPr>
        <w:t>，请各磋商供应商认真填写，确保报价数据的真实性、完整性和合理性。</w:t>
      </w:r>
    </w:p>
    <w:p>
      <w:pPr>
        <w:tabs>
          <w:tab w:val="left" w:pos="1985"/>
        </w:tabs>
        <w:rPr>
          <w:rFonts w:ascii="宋体" w:hAnsi="宋体"/>
        </w:rPr>
      </w:pPr>
      <w:r>
        <w:rPr>
          <w:rFonts w:hint="eastAsia" w:ascii="宋体" w:hAnsi="宋体"/>
        </w:rPr>
        <w:t>磋商供应商全称（公章）：</w:t>
      </w:r>
    </w:p>
    <w:p>
      <w:pPr>
        <w:tabs>
          <w:tab w:val="left" w:pos="1985"/>
        </w:tabs>
        <w:rPr>
          <w:rFonts w:ascii="宋体" w:hAnsi="宋体"/>
        </w:rPr>
      </w:pPr>
      <w:r>
        <w:rPr>
          <w:rFonts w:hint="eastAsia" w:ascii="宋体" w:hAnsi="宋体"/>
        </w:rPr>
        <w:t>法定代表人或授权代表（签字或盖章）：</w:t>
      </w:r>
    </w:p>
    <w:p>
      <w:pPr>
        <w:tabs>
          <w:tab w:val="left" w:pos="1985"/>
        </w:tabs>
        <w:rPr>
          <w:rFonts w:hint="eastAsia" w:ascii="宋体" w:hAnsi="宋体"/>
        </w:rPr>
      </w:pPr>
      <w:r>
        <w:rPr>
          <w:rFonts w:hint="eastAsia" w:ascii="宋体" w:hAnsi="宋体"/>
        </w:rPr>
        <w:t>日期：</w:t>
      </w:r>
    </w:p>
    <w:p>
      <w:pPr>
        <w:tabs>
          <w:tab w:val="left" w:pos="1985"/>
        </w:tabs>
        <w:rPr>
          <w:rFonts w:hint="eastAsia" w:ascii="宋体" w:hAnsi="宋体" w:cs="宋体"/>
          <w:b/>
          <w:bCs/>
          <w:szCs w:val="21"/>
        </w:rPr>
      </w:pPr>
    </w:p>
    <w:sectPr>
      <w:pgSz w:w="11906" w:h="16838"/>
      <w:pgMar w:top="1474" w:right="1797" w:bottom="1247" w:left="1797" w:header="851" w:footer="85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3"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80E0000" w:usb2="00000010" w:usb3="00000000" w:csb0="00040000" w:csb1="00000000"/>
  </w:font>
  <w:font w:name="Arial Unicode MS">
    <w:altName w:val="宋体"/>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Arial Narrow">
    <w:panose1 w:val="020B0606020202030204"/>
    <w:charset w:val="00"/>
    <w:family w:val="swiss"/>
    <w:pitch w:val="default"/>
    <w:sig w:usb0="00000287" w:usb1="00000800" w:usb2="00000000" w:usb3="00000000" w:csb0="2000009F" w:csb1="DFD70000"/>
  </w:font>
  <w:font w:name="仿宋_GB2312">
    <w:altName w:val="仿宋"/>
    <w:panose1 w:val="02010609030101010101"/>
    <w:charset w:val="86"/>
    <w:family w:val="modern"/>
    <w:pitch w:val="default"/>
    <w:sig w:usb0="00000000" w:usb1="080E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姚体">
    <w:panose1 w:val="02010601030101010101"/>
    <w:charset w:val="86"/>
    <w:family w:val="auto"/>
    <w:pitch w:val="default"/>
    <w:sig w:usb0="00000003"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59" w:rightChars="171" w:firstLine="4410" w:firstLineChars="245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4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4"/>
                          </w:pPr>
                          <w:r>
                            <w:fldChar w:fldCharType="begin"/>
                          </w:r>
                          <w:r>
                            <w:instrText xml:space="preserve"> PAGE  \* MERGEFORMAT </w:instrText>
                          </w:r>
                          <w:r>
                            <w:fldChar w:fldCharType="separate"/>
                          </w:r>
                          <w:r>
                            <w:rPr>
                              <w:lang/>
                            </w:rPr>
                            <w:t>3</w:t>
                          </w:r>
                          <w:r>
                            <w:fldChar w:fldCharType="end"/>
                          </w:r>
                        </w:p>
                      </w:txbxContent>
                    </wps:txbx>
                    <wps:bodyPr wrap="none" lIns="0" tIns="0" rIns="0" bIns="0" upright="0">
                      <a:spAutoFit/>
                    </wps:bodyPr>
                  </wps:wsp>
                </a:graphicData>
              </a:graphic>
            </wp:anchor>
          </w:drawing>
        </mc:Choice>
        <mc:Fallback>
          <w:pict>
            <v:shape id="文本框 410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tU18LswBAACdAwAADgAAAGRycy9lMm9Eb2MueG1srVPNjtMwEL4j8Q6W 79RptWKjqOkKVC1CWi1ICw/gOk5jyX/yuE36AssbcOLCnefqczB2ki4slz1wccYz42/m+2ayvhmM JkcZQDlb0+WioERa4Rpl9zX9+uX2TUkJRG4brp2VNT1JoDeb16/Wva/kynVONzIQBLFQ9b6mXYy+ YgxEJw2HhfPSYrB1wfCI17BnTeA9ohvNVkXxlvUuND44IQHQux2DdEIMLwF0bauE3DpxMNLGETVI zSNSgk55oJvcbdtKET+1LchIdE2RacwnFkF7l062WfNqH7jvlJha4C9p4Rknw5XFoheoLY+cHIL6 B8ooERy4Ni6EM2wkkhVBFsvimTYPHfcyc0GpwV9Eh/8HK+6PnwNRTU3La0osNzjx8/dv5x+/zj8f ydWyuEoS9R4qzHzwmBuH927AxZn9gM7EfGiDSV/kRDCOAp8uAsshEpEelauyLDAkMDZfEJ89PfcB 4gfpDElGTQNOMAvLj3cQx9Q5JVWz7lZpnaeo7V8OxEwelnofe0xWHHbDRGjnmhPy6XH4NbW465To jxa1TXsyG2E2drNx8EHtu7xIqR74d4eITeTeUoURdiqMU8vspg1La/HnPWc9/VWb31BLAwQKAAAA AACHTuJAAAAAAAAAAAAAAAAABgAAAF9yZWxzL1BLAwQUAAAACACHTuJAihRmPNEAAACUAQAACwAA AF9yZWxzLy5yZWxzpZDBasMwDIbvg72D0X1xmsMYo04vo9Br6R7A2IpjGltGMtn69vMOg2X0tqN+ oe8T//7wmRa1IkukbGDX9aAwO/IxBwPvl+PTCyipNnu7UEYDNxQ4jI8P+zMutrYjmWMR1ShZDMy1 lletxc2YrHRUMLfNRJxsbSMHXay72oB66Ptnzb8ZMG6Y6uQN8MkPoC630sx/2Ck6JqGpdo6SpmmK 7h5VB7Zlju7INuEbuUazHLAa8CwaB2pZ134EfV+/+6fe00c+47rVfoeM649Xb7ocvwBQSwMEFAAA AAgAh07iQH7m5SD3AAAA4QEAABMAAABbQ29udGVudF9UeXBlc10ueG1slZFBTsMwEEX3SNzB8hYl TrtACCXpgrRLQKgcYGRPEotkbHlMaG+Pk7YbRJFY2jP/vye73BzGQUwY2Dqq5CovpEDSzljqKvm+ 32UPUnAEMjA4wkoekeWmvr0p90ePLFKauJJ9jP5RKdY9jsC580hp0rowQkzH0CkP+gM6VOuiuFfa UUSKWZw7ZF022MLnEMX2kK5PJgEHluLptDizKgneD1ZDTKZqIvODkp0JeUouO9xbz3dJQ6pfCfPk OuCce0lPE6xB8QohPsOYNJQJrIz7ooBT/nfJbDly5trWasybwE2KveF0sbrWjmvXOP3f8u2SunSr 5YPqb1BLAQIUABQAAAAIAIdO4kB+5uUg9wAAAOEBAAATAAAAAAAAAAEAIAAAADQEAABbQ29udGVu dF9UeXBlc10ueG1sUEsBAhQACgAAAAAAh07iQAAAAAAAAAAAAAAAAAYAAAAAAAAAAAAQAAAAFgMA AF9yZWxzL1BLAQIUABQAAAAIAIdO4kCKFGY80QAAAJQBAAALAAAAAAAAAAEAIAAAADoDAABfcmVs cy8ucmVsc1BLAQIUAAoAAAAAAIdO4kAAAAAAAAAAAAAAAAAEAAAAAAAAAAAAEAAAAAAAAABkcnMv UEsBAhQAFAAAAAgAh07iQM6pebnPAAAABQEAAA8AAAAAAAAAAQAgAAAAIgAAAGRycy9kb3ducmV2 LnhtbFBLAQIUABQAAAAIAIdO4kC1TXwuzAEAAJ0DAAAOAAAAAAAAAAEAIAAAAB4BAABkcnMvZTJv RG9jLnhtbFBLBQYAAAAABgAGAFkBAABcBQAAAAA= ">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lang/>
                      </w:rP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59" w:rightChars="171" w:firstLine="4410" w:firstLineChars="245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4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4"/>
                          </w:pPr>
                          <w:r>
                            <w:fldChar w:fldCharType="begin"/>
                          </w:r>
                          <w:r>
                            <w:instrText xml:space="preserve"> PAGE  \* MERGEFORMAT </w:instrText>
                          </w:r>
                          <w:r>
                            <w:fldChar w:fldCharType="separate"/>
                          </w:r>
                          <w:r>
                            <w:rPr>
                              <w:lang/>
                            </w:rPr>
                            <w:t>105</w:t>
                          </w:r>
                          <w:r>
                            <w:fldChar w:fldCharType="end"/>
                          </w:r>
                        </w:p>
                      </w:txbxContent>
                    </wps:txbx>
                    <wps:bodyPr wrap="none" lIns="0" tIns="0" rIns="0" bIns="0" upright="0">
                      <a:spAutoFit/>
                    </wps:bodyPr>
                  </wps:wsp>
                </a:graphicData>
              </a:graphic>
            </wp:anchor>
          </w:drawing>
        </mc:Choice>
        <mc:Fallback>
          <w:pict>
            <v:shape id="文本框 413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raA5jc0BAACdAwAADgAAAGRycy9lMm9Eb2MueG1srVPNjtMwEL4j8Q6W 79uk3QV1o6YrULUICQHSsg/gOnZjyX/yuE36AvAGnLhw57n6HIydpPvDZQ9cnPHM+Jv5vpmsbnqj yUEEUM7WdD4rKRGWu0bZXU3vv91eLCmByGzDtLOipkcB9Gb9+tWq85VYuNbpRgSCIBaqzte0jdFX RQG8FYbBzHlhMShdMCziNeyKJrAO0Y0uFmX5tuhcaHxwXACgdzME6YgYXgLopFRcbBzfG2HjgBqE ZhEpQas80HXuVkrB4xcpQUSia4pMYz6xCNrbdBbrFat2gflW8bEF9pIWnnEyTFkseobasMjIPqh/ oIziwYGTccadKQYiWRFkMS+faXPXMi8yF5Qa/Fl0+H+w/PPhayCqqen1FSWWGZz46eeP068/p9/f ydX88k2SqPNQYeadx9zYv3c9Ls7kB3Qm5r0MJn2RE8E4Cnw8Cyz6SHh6tFwslyWGOMamC+IXD899 gPhBOEOSUdOAE8zCssMniEPqlJKqWXertM5T1PaJAzGTp0i9Dz0mK/bbfiS0dc0R+XQ4/Jpa3HVK 9EeL2qY9mYwwGdvJ2Pugdm1epFQP/Lt9xCZyb6nCADsWxqllduOGpbV4fM9ZD3/V+i9QSwMECgAA AAAAh07iQAAAAAAAAAAAAAAAAAYAAABfcmVscy9QSwMEFAAAAAgAh07iQIoUZjzRAAAAlAEAAAsA AABfcmVscy8ucmVsc6WQwWrDMAyG74O9g9F9cZrDGKNOL6PQa+kewNiKYxpbRjLZ+vbzDoNl9Laj fqHvE//+8JkWtSJLpGxg1/WgMDvyMQcD75fj0wsoqTZ7u1BGAzcUOIyPD/szLra2I5ljEdUoWQzM tZZXrcXNmKx0VDC3zUScbG0jB12su9qAeuj7Z82/GTBumOrkDfDJD6Aut9LMf9gpOiahqXaOkqZp iu4eVQe2ZY7uyDbhG7lGsxywGvAsGgdqWdd+BH1fv/un3tNHPuO61X6HjOuPV2+6HL8AUEsDBBQA AAAIAIdO4kB+5uUg9wAAAOEBAAATAAAAW0NvbnRlbnRfVHlwZXNdLnhtbJWRQU7DMBBF90jcwfIW JU67QAgl6YK0S0CoHGBkTxKLZGx5TGhvj5O2G0SRWNoz/78nu9wcxkFMGNg6quQqL6RA0s5Y6ir5 vt9lD1JwBDIwOMJKHpHlpr69KfdHjyxSmriSfYz+USnWPY7AufNIadK6MEJMx9ApD/oDOlTrorhX 2lFEilmcO2RdNtjC5xDF9pCuTyYBB5bi6bQ4syoJ3g9WQ0ymaiLzg5KdCXlKLjvcW893SUOqXwnz 5DrgnHtJTxOsQfEKIT7DmDSUCayM+6KAU/53yWw5cuba1mrMm8BNir3hdLG61o5r1zj93/Ltkrp0 q+WD6m9QSwECFAAUAAAACACHTuJAfublIPcAAADhAQAAEwAAAAAAAAABACAAAAA1BAAAW0NvbnRl bnRfVHlwZXNdLnhtbFBLAQIUAAoAAAAAAIdO4kAAAAAAAAAAAAAAAAAGAAAAAAAAAAAAEAAAABcD AABfcmVscy9QSwECFAAUAAAACACHTuJAihRmPNEAAACUAQAACwAAAAAAAAABACAAAAA7AwAAX3Jl bHMvLnJlbHNQSwECFAAKAAAAAACHTuJAAAAAAAAAAAAAAAAABAAAAAAAAAAAABAAAAAAAAAAZHJz L1BLAQIUABQAAAAIAIdO4kDOqXm5zwAAAAUBAAAPAAAAAAAAAAEAIAAAACIAAABkcnMvZG93bnJl di54bWxQSwECFAAUAAAACACHTuJAraA5jc0BAACdAwAADgAAAAAAAAABACAAAAAeAQAAZHJzL2Uy b0RvYy54bWxQSwUGAAAAAAYABgBZAQAAXQUAAAAA ">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lang/>
                      </w:rPr>
                      <w:t>105</w:t>
                    </w:r>
                    <w: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6"/>
      </w:rPr>
    </w:pPr>
    <w:r>
      <w:fldChar w:fldCharType="begin"/>
    </w:r>
    <w:r>
      <w:rPr>
        <w:rStyle w:val="56"/>
      </w:rPr>
      <w:instrText xml:space="preserve">PAGE  </w:instrText>
    </w:r>
    <w:r>
      <w:fldChar w:fldCharType="separate"/>
    </w:r>
    <w:r>
      <w:fldChar w:fldCharType="end"/>
    </w:r>
  </w:p>
  <w:p>
    <w:pPr>
      <w:pStyle w:val="3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59" w:rightChars="171" w:firstLine="4410" w:firstLineChars="2450"/>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4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4"/>
                          </w:pPr>
                          <w:r>
                            <w:fldChar w:fldCharType="begin"/>
                          </w:r>
                          <w:r>
                            <w:instrText xml:space="preserve"> PAGE  \* MERGEFORMAT </w:instrText>
                          </w:r>
                          <w:r>
                            <w:fldChar w:fldCharType="separate"/>
                          </w:r>
                          <w:r>
                            <w:rPr>
                              <w:lang/>
                            </w:rPr>
                            <w:t>26</w:t>
                          </w:r>
                          <w:r>
                            <w:fldChar w:fldCharType="end"/>
                          </w:r>
                        </w:p>
                      </w:txbxContent>
                    </wps:txbx>
                    <wps:bodyPr wrap="none" lIns="0" tIns="0" rIns="0" bIns="0" upright="0">
                      <a:spAutoFit/>
                    </wps:bodyPr>
                  </wps:wsp>
                </a:graphicData>
              </a:graphic>
            </wp:anchor>
          </w:drawing>
        </mc:Choice>
        <mc:Fallback>
          <w:pict>
            <v:shape id="文本框 41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clBO9cwBAACdAwAADgAAAGRycy9lMm9Eb2MueG1srVPNjtMwEL4j7TtY vm+dVisUoqYrULUrJARIyz6A6ziNJf/J4zbpC8AbcOLCnefqczB2ki4slz1wccYz42/m+2ayvh2M JkcZQDlb0+WioERa4Rpl9zV9/HJ3XVICkduGa2dlTU8S6O3m6tW695Vcuc7pRgaCIBaq3te0i9FX jIHopOGwcF5aDLYuGB7xGvasCbxHdKPZqihes96FxgcnJAB6t2OQTojhJYCubZWQWycORto4ogap eURK0CkPdJO7bVsp4qe2BRmJrikyjfnEImjv0sk2a17tA/edElML/CUtPONkuLJY9AK15ZGTQ1D/ QBklggPXxoVwho1EsiLIYlk80+ah415mLig1+Ivo8P9gxcfj50BUU9MS5265wYmfv387//h1/vmV 3CxXb5JEvYcKMx885sbhnRtwcWY/oDMxH9pg0hc5EYyjwKeLwHKIRKRH5aosCwwJjM0XxGdPz32A eC+dIcmoacAJZmH58QPEMXVOSdWsu1Na5ylq+5cDMZOHpd7HHpMVh90wEdq55oR8ehx+TS3uOiX6 vUVt057MRpiN3WwcfFD7Li9Sqgf+7SFiE7m3VGGEnQrj1DK7acPSWvx5z1lPf9XmN1BLAwQKAAAA AACHTuJAAAAAAAAAAAAAAAAABgAAAF9yZWxzL1BLAwQUAAAACACHTuJAihRmPNEAAACUAQAACwAA AF9yZWxzLy5yZWxzpZDBasMwDIbvg72D0X1xmsMYo04vo9Br6R7A2IpjGltGMtn69vMOg2X0tqN+ oe8T//7wmRa1IkukbGDX9aAwO/IxBwPvl+PTCyipNnu7UEYDNxQ4jI8P+zMutrYjmWMR1ShZDMy1 lletxc2YrHRUMLfNRJxsbSMHXay72oB66Ptnzb8ZMG6Y6uQN8MkPoC630sx/2Ck6JqGpdo6SpmmK 7h5VB7Zlju7INuEbuUazHLAa8CwaB2pZ134EfV+/+6fe00c+47rVfoeM649Xb7ocvwBQSwMEFAAA AAgAh07iQH7m5SD3AAAA4QEAABMAAABbQ29udGVudF9UeXBlc10ueG1slZFBTsMwEEX3SNzB8hYl TrtACCXpgrRLQKgcYGRPEotkbHlMaG+Pk7YbRJFY2jP/vye73BzGQUwY2Dqq5CovpEDSzljqKvm+ 32UPUnAEMjA4wkoekeWmvr0p90ePLFKauJJ9jP5RKdY9jsC580hp0rowQkzH0CkP+gM6VOuiuFfa UUSKWZw7ZF022MLnEMX2kK5PJgEHluLptDizKgneD1ZDTKZqIvODkp0JeUouO9xbz3dJQ6pfCfPk OuCce0lPE6xB8QohPsOYNJQJrIz7ooBT/nfJbDly5trWasybwE2KveF0sbrWjmvXOP3f8u2SunSr 5YPqb1BLAQIUABQAAAAIAIdO4kB+5uUg9wAAAOEBAAATAAAAAAAAAAEAIAAAADQEAABbQ29udGVu dF9UeXBlc10ueG1sUEsBAhQACgAAAAAAh07iQAAAAAAAAAAAAAAAAAYAAAAAAAAAAAAQAAAAFgMA AF9yZWxzL1BLAQIUABQAAAAIAIdO4kCKFGY80QAAAJQBAAALAAAAAAAAAAEAIAAAADoDAABfcmVs cy8ucmVsc1BLAQIUAAoAAAAAAIdO4kAAAAAAAAAAAAAAAAAEAAAAAAAAAAAAEAAAAAAAAABkcnMv UEsBAhQAFAAAAAgAh07iQM6pebnPAAAABQEAAA8AAAAAAAAAAQAgAAAAIgAAAGRycy9kb3ducmV2 LnhtbFBLAQIUABQAAAAIAIdO4kByUE71zAEAAJ0DAAAOAAAAAAAAAAEAIAAAAB4BAABkcnMvZTJv RG9jLnhtbFBLBQYAAAAABgAGAFkBAABcBQAAAAA= ">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lang/>
                      </w:rPr>
                      <w:t>26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59" w:rightChars="171" w:firstLine="4410" w:firstLineChars="2450"/>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4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4"/>
                          </w:pPr>
                          <w:r>
                            <w:fldChar w:fldCharType="begin"/>
                          </w:r>
                          <w:r>
                            <w:instrText xml:space="preserve"> PAGE  \* MERGEFORMAT </w:instrText>
                          </w:r>
                          <w:r>
                            <w:fldChar w:fldCharType="separate"/>
                          </w:r>
                          <w:r>
                            <w:rPr>
                              <w:lang/>
                            </w:rPr>
                            <w:t>70</w:t>
                          </w:r>
                          <w:r>
                            <w:fldChar w:fldCharType="end"/>
                          </w:r>
                        </w:p>
                      </w:txbxContent>
                    </wps:txbx>
                    <wps:bodyPr wrap="none" lIns="0" tIns="0" rIns="0" bIns="0" upright="0">
                      <a:spAutoFit/>
                    </wps:bodyPr>
                  </wps:wsp>
                </a:graphicData>
              </a:graphic>
            </wp:anchor>
          </w:drawing>
        </mc:Choice>
        <mc:Fallback>
          <w:pict>
            <v:shape id="文本框 413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YxZT7ssBAACdAwAADgAAAGRycy9lMm9Eb2MueG1srVPNjtMwEL4j8Q6W 7zRpQShETVegahESAqSFB3Adu7HkP3ncJn0BeANOXLjzXH0Oxk7Swu5lD3txxjPjb+b7ZrK+GYwm RxFAOdvQ5aKkRFjuWmX3Df329fZFRQlEZlumnRUNPQmgN5vnz9a9r8XKdU63IhAEsVD3vqFdjL4u CuCdMAwWzguLQemCYRGvYV+0gfWIbnSxKsvXRe9C64PjAgC92zFIJ8TwGEAnpeJi6/jBCBtH1CA0 i0gJOuWBbnK3UgoeP0sJIhLdUGQa84lF0N6ls9isWb0PzHeKTy2wx7Rwj5NhymLRC9SWRUYOQT2A MooHB07GBXemGIlkRZDFsrynzV3HvMhcUGrwF9Hh6WD5p+OXQFTb0OoNJZYZnPj554/zrz/n39/J q+XLLFHvocbMO4+5cXjnBlycJF3yAzoT80EGk77IiWAcBT5dBBZDJDw9qlZVVWKIY2y+IE5xfe4D xPfCGZKMhgacYBaWHT9CHFPnlFTNululdZ6itv85EDN5imuPyYrDbpga37n2hHx6HH5DLe46JfqD RW3TnsxGmI3dbBx8UPsuL1KqB/7tIWITubdUYYSdCuPUMrtpw9Ja/HvPWde/avMXUEsDBAoAAAAA AIdO4kAAAAAAAAAAAAAAAAAGAAAAX3JlbHMvUEsDBBQAAAAIAIdO4kCKFGY80QAAAJQBAAALAAAA X3JlbHMvLnJlbHOlkMFqwzAMhu+DvYPRfXGawxijTi+j0GvpHsDYimMaW0Yy2fr28w6DZfS2o36h 7xP//vCZFrUiS6RsYNf1oDA78jEHA++X49MLKKk2e7tQRgM3FDiMjw/7My62tiOZYxHVKFkMzLWW V63FzZisdFQwt81EnGxtIwddrLvagHro+2fNvxkwbpjq5A3wyQ+gLrfSzH/YKTomoal2jpKmaYru HlUHtmWO7sg24Ru5RrMcsBrwLBoHalnXfgR9X7/7p97TRz7jutV+h4zrj1dvuhy/AFBLAwQUAAAA CACHTuJAfublIPcAAADhAQAAEwAAAFtDb250ZW50X1R5cGVzXS54bWyVkUFOwzAQRfdI3MHyFiVO u0AIJemCtEtAqBxgZE8Si2RseUxob4+TthtEkVjaM/+/J7vcHMZBTBjYOqrkKi+kQNLOWOoq+b7f ZQ9ScAQyMDjCSh6R5aa+vSn3R48sUpq4kn2M/lEp1j2OwLnzSGnSujBCTMfQKQ/6AzpU66K4V9pR RIpZnDtkXTbYwucQxfaQrk8mAQeW4um0OLMqCd4PVkNMpmoi84OSnQl5Si473FvPd0lDql8J8+Q6 4Jx7SU8TrEHxCiE+w5g0lAmsjPuigFP+d8lsOXLm2tZqzJvATYq94XSxutaOa9c4/d/y7ZK6dKvl g+pvUEsBAhQAFAAAAAgAh07iQH7m5SD3AAAA4QEAABMAAAAAAAAAAQAgAAAAMwQAAFtDb250ZW50 X1R5cGVzXS54bWxQSwECFAAKAAAAAACHTuJAAAAAAAAAAAAAAAAABgAAAAAAAAAAABAAAAAVAwAA X3JlbHMvUEsBAhQAFAAAAAgAh07iQIoUZjzRAAAAlAEAAAsAAAAAAAAAAQAgAAAAOQMAAF9yZWxz Ly5yZWxzUEsBAhQACgAAAAAAh07iQAAAAAAAAAAAAAAAAAQAAAAAAAAAAAAQAAAAAAAAAGRycy9Q SwECFAAUAAAACACHTuJAzql5uc8AAAAFAQAADwAAAAAAAAABACAAAAAiAAAAZHJzL2Rvd25yZXYu eG1sUEsBAhQAFAAAAAgAh07iQGMWU+7LAQAAnQMAAA4AAAAAAAAAAQAgAAAAHgEAAGRycy9lMm9E b2MueG1sUEsFBgAAAAAGAAYAWQEAAFsFAAAAAA== ">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lang/>
                      </w:rPr>
                      <w:t>70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59" w:rightChars="171" w:firstLine="4410" w:firstLineChars="2450"/>
      <w:rPr>
        <w:lang w:val="en-US" w:eastAsia="zh-C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4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4"/>
                          </w:pPr>
                          <w:r>
                            <w:fldChar w:fldCharType="begin"/>
                          </w:r>
                          <w:r>
                            <w:instrText xml:space="preserve"> PAGE  \* MERGEFORMAT </w:instrText>
                          </w:r>
                          <w:r>
                            <w:fldChar w:fldCharType="separate"/>
                          </w:r>
                          <w:r>
                            <w:rPr>
                              <w:lang/>
                            </w:rPr>
                            <w:t>71</w:t>
                          </w:r>
                          <w:r>
                            <w:fldChar w:fldCharType="end"/>
                          </w:r>
                        </w:p>
                      </w:txbxContent>
                    </wps:txbx>
                    <wps:bodyPr wrap="none" lIns="0" tIns="0" rIns="0" bIns="0" upright="0">
                      <a:spAutoFit/>
                    </wps:bodyPr>
                  </wps:wsp>
                </a:graphicData>
              </a:graphic>
            </wp:anchor>
          </w:drawing>
        </mc:Choice>
        <mc:Fallback>
          <w:pict>
            <v:shape id="文本框 413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Rp3GOssBAACdAwAADgAAAGRycy9lMm9Eb2MueG1srVNNrtMwEN4jcQfL e+q0IFSipk+g6iEkBEgPDuA6dmPJf/K4TXoBuAErNuw5V8/B2En64LF5CzbOeGb8zXzfTDY3gzXk JCNo7xq6XFSUSCd8q92hoV8+3z5bUwKJu5Yb72RDzxLozfbpk00farnynTetjARBHNR9aGiXUqgZ A9FJy2Hhg3QYVD5anvAaD6yNvEd0a9iqql6y3sc2RC8kAHp3Y5BOiPExgF4pLeTOi6OVLo2oURqe kBJ0OgDdlm6VkiJ9VApkIqahyDSVE4ugvc8n2254fYg8dFpMLfDHtPCAk+XaYdEr1I4nTo5R/wNl tYgevEoL4S0biRRFkMWyeqDNXceDLFxQaghX0eH/wYoPp0+R6Lahr1ASxy1O/PL92+XHr8vPr+TF 8vkyS9QHqDHzLmBuGt74ARdn9gM6M/NBRZu/yIlgHNHOV4HlkIjIj9ar9brCkMDYfEF8dv88REhv pbckGw2NOMEiLD+9hzSmzim5mvO32pgyReP+ciBm9rDc+9hjttKwHyZCe9+ekU+Pw2+ow12nxLxz qC32l2YjzsZ+No4h6kNXFinXg/D6mLCJ0luuMMJOhXFqhd20YXkt/ryXrPu/avsbUEsDBAoAAAAA AIdO4kAAAAAAAAAAAAAAAAAGAAAAX3JlbHMvUEsDBBQAAAAIAIdO4kCKFGY80QAAAJQBAAALAAAA X3JlbHMvLnJlbHOlkMFqwzAMhu+DvYPRfXGawxijTi+j0GvpHsDYimMaW0Yy2fr28w6DZfS2o36h 7xP//vCZFrUiS6RsYNf1oDA78jEHA++X49MLKKk2e7tQRgM3FDiMjw/7My62tiOZYxHVKFkMzLWW V63FzZisdFQwt81EnGxtIwddrLvagHro+2fNvxkwbpjq5A3wyQ+gLrfSzH/YKTomoal2jpKmaYru HlUHtmWO7sg24Ru5RrMcsBrwLBoHalnXfgR9X7/7p97TRz7jutV+h4zrj1dvuhy/AFBLAwQUAAAA CACHTuJAfublIPcAAADhAQAAEwAAAFtDb250ZW50X1R5cGVzXS54bWyVkUFOwzAQRfdI3MHyFiVO u0AIJemCtEtAqBxgZE8Si2RseUxob4+TthtEkVjaM/+/J7vcHMZBTBjYOqrkKi+kQNLOWOoq+b7f ZQ9ScAQyMDjCSh6R5aa+vSn3R48sUpq4kn2M/lEp1j2OwLnzSGnSujBCTMfQKQ/6AzpU66K4V9pR RIpZnDtkXTbYwucQxfaQrk8mAQeW4um0OLMqCd4PVkNMpmoi84OSnQl5Si473FvPd0lDql8J8+Q6 4Jx7SU8TrEHxCiE+w5g0lAmsjPuigFP+d8lsOXLm2tZqzJvATYq94XSxutaOa9c4/d/y7ZK6dKvl g+pvUEsBAhQAFAAAAAgAh07iQH7m5SD3AAAA4QEAABMAAAAAAAAAAQAgAAAAMwQAAFtDb250ZW50 X1R5cGVzXS54bWxQSwECFAAKAAAAAACHTuJAAAAAAAAAAAAAAAAABgAAAAAAAAAAABAAAAAVAwAA X3JlbHMvUEsBAhQAFAAAAAgAh07iQIoUZjzRAAAAlAEAAAsAAAAAAAAAAQAgAAAAOQMAAF9yZWxz Ly5yZWxzUEsBAhQACgAAAAAAh07iQAAAAAAAAAAAAAAAAAQAAAAAAAAAAAAQAAAAAAAAAGRycy9Q SwECFAAUAAAACACHTuJAzql5uc8AAAAFAQAADwAAAAAAAAABACAAAAAiAAAAZHJzL2Rvd25yZXYu eG1sUEsBAhQAFAAAAAgAh07iQEadxjrLAQAAnQMAAA4AAAAAAAAAAQAgAAAAHgEAAGRycy9lMm9E b2MueG1sUEsFBgAAAAAGAAYAWQEAAFsFAAAAAA== ">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lang/>
                      </w:rPr>
                      <w:t>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59" w:rightChars="171" w:firstLine="4410" w:firstLineChars="245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4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4"/>
                          </w:pPr>
                          <w:r>
                            <w:fldChar w:fldCharType="begin"/>
                          </w:r>
                          <w:r>
                            <w:instrText xml:space="preserve"> PAGE  \* MERGEFORMAT </w:instrText>
                          </w:r>
                          <w:r>
                            <w:fldChar w:fldCharType="separate"/>
                          </w:r>
                          <w:r>
                            <w:rPr>
                              <w:lang/>
                            </w:rPr>
                            <w:t>79</w:t>
                          </w:r>
                          <w:r>
                            <w:fldChar w:fldCharType="end"/>
                          </w:r>
                        </w:p>
                      </w:txbxContent>
                    </wps:txbx>
                    <wps:bodyPr wrap="none" lIns="0" tIns="0" rIns="0" bIns="0" upright="0">
                      <a:spAutoFit/>
                    </wps:bodyPr>
                  </wps:wsp>
                </a:graphicData>
              </a:graphic>
            </wp:anchor>
          </w:drawing>
        </mc:Choice>
        <mc:Fallback>
          <w:pict>
            <v:shape id="文本框 413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jhr7ussBAACdAwAADgAAAGRycy9lMm9Eb2MueG1srVNNrtMwEN4jcQfL e+q0IFSipk+g6iEkBEgPDuA6dmPJf/K4TXoBuAErNuw5V8/B2En64LF5CzbOeGb8zXzfTDY3gzXk JCNo7xq6XFSUSCd8q92hoV8+3z5bUwKJu5Yb72RDzxLozfbpk00farnynTetjARBHNR9aGiXUqgZ A9FJy2Hhg3QYVD5anvAaD6yNvEd0a9iqql6y3sc2RC8kAHp3Y5BOiPExgF4pLeTOi6OVLo2oURqe kBJ0OgDdlm6VkiJ9VApkIqahyDSVE4ugvc8n2254fYg8dFpMLfDHtPCAk+XaYdEr1I4nTo5R/wNl tYgevEoL4S0biRRFkMWyeqDNXceDLFxQaghX0eH/wYoPp0+R6Lahr5aUOG5x4pfv3y4/fl1+fiUv ls9XWaI+QI2ZdwFz0/DGD7g4sx/QmZkPKtr8RU4E4yjw+SqwHBIR+dF6tV5XGBIYmy+Iz+6fhwjp rfSWZKOhESdYhOWn95DG1DklV3P+VhtTpmjcXw7EzB6Wex97zFYa9sNEaO/bM/LpcfgNdbjrlJh3 DrXNezIbcTb2s3EMUR+6ski5HoTXx4RNlN5yhRF2KoxTK+ymDctr8ee9ZN3/VdvfUEsDBAoAAAAA AIdO4kAAAAAAAAAAAAAAAAAGAAAAX3JlbHMvUEsDBBQAAAAIAIdO4kCKFGY80QAAAJQBAAALAAAA X3JlbHMvLnJlbHOlkMFqwzAMhu+DvYPRfXGawxijTi+j0GvpHsDYimMaW0Yy2fr28w6DZfS2o36h 7xP//vCZFrUiS6RsYNf1oDA78jEHA++X49MLKKk2e7tQRgM3FDiMjw/7My62tiOZYxHVKFkMzLWW V63FzZisdFQwt81EnGxtIwddrLvagHro+2fNvxkwbpjq5A3wyQ+gLrfSzH/YKTomoal2jpKmaYru HlUHtmWO7sg24Ru5RrMcsBrwLBoHalnXfgR9X7/7p97TRz7jutV+h4zrj1dvuhy/AFBLAwQUAAAA CACHTuJAfublIPcAAADhAQAAEwAAAFtDb250ZW50X1R5cGVzXS54bWyVkUFOwzAQRfdI3MHyFiVO u0AIJemCtEtAqBxgZE8Si2RseUxob4+TthtEkVjaM/+/J7vcHMZBTBjYOqrkKi+kQNLOWOoq+b7f ZQ9ScAQyMDjCSh6R5aa+vSn3R48sUpq4kn2M/lEp1j2OwLnzSGnSujBCTMfQKQ/6AzpU66K4V9pR RIpZnDtkXTbYwucQxfaQrk8mAQeW4um0OLMqCd4PVkNMpmoi84OSnQl5Si473FvPd0lDql8J8+Q6 4Jx7SU8TrEHxCiE+w5g0lAmsjPuigFP+d8lsOXLm2tZqzJvATYq94XSxutaOa9c4/d/y7ZK6dKvl g+pvUEsBAhQAFAAAAAgAh07iQH7m5SD3AAAA4QEAABMAAAAAAAAAAQAgAAAAMwQAAFtDb250ZW50 X1R5cGVzXS54bWxQSwECFAAKAAAAAACHTuJAAAAAAAAAAAAAAAAABgAAAAAAAAAAABAAAAAVAwAA X3JlbHMvUEsBAhQAFAAAAAgAh07iQIoUZjzRAAAAlAEAAAsAAAAAAAAAAQAgAAAAOQMAAF9yZWxz Ly5yZWxzUEsBAhQACgAAAAAAh07iQAAAAAAAAAAAAAAAAAQAAAAAAAAAAAAQAAAAAAAAAGRycy9Q SwECFAAUAAAACACHTuJAzql5uc8AAAAFAQAADwAAAAAAAAABACAAAAAiAAAAZHJzL2Rvd25yZXYu eG1sUEsBAhQAFAAAAAgAh07iQI4a+7rLAQAAnQMAAA4AAAAAAAAAAQAgAAAAHgEAAGRycy9lMm9E b2MueG1sUEsFBgAAAAAGAAYAWQEAAFsFAAAAAA== ">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lang/>
                      </w:rPr>
                      <w:t>79</w:t>
                    </w:r>
                    <w:r>
                      <w:fldChar w:fldCharType="end"/>
                    </w:r>
                  </w:p>
                </w:txbxContent>
              </v:textbox>
            </v:shape>
          </w:pict>
        </mc:Fallback>
      </mc:AlternateContent>
    </w: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59" w:rightChars="171" w:firstLine="4410" w:firstLineChars="245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4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4"/>
                          </w:pPr>
                          <w:r>
                            <w:fldChar w:fldCharType="begin"/>
                          </w:r>
                          <w:r>
                            <w:instrText xml:space="preserve"> PAGE  \* MERGEFORMAT </w:instrText>
                          </w:r>
                          <w:r>
                            <w:fldChar w:fldCharType="separate"/>
                          </w:r>
                          <w:r>
                            <w:rPr>
                              <w:lang/>
                            </w:rPr>
                            <w:t>96</w:t>
                          </w:r>
                          <w:r>
                            <w:fldChar w:fldCharType="end"/>
                          </w:r>
                        </w:p>
                      </w:txbxContent>
                    </wps:txbx>
                    <wps:bodyPr wrap="none" lIns="0" tIns="0" rIns="0" bIns="0" upright="0">
                      <a:spAutoFit/>
                    </wps:bodyPr>
                  </wps:wsp>
                </a:graphicData>
              </a:graphic>
            </wp:anchor>
          </w:drawing>
        </mc:Choice>
        <mc:Fallback>
          <w:pict>
            <v:shape id="文本框 413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k4CBjM0BAACdAwAADgAAAGRycy9lMm9Eb2MueG1srVNLbtswEN0XyB0I 7mvJTlG4guWghZGgQNEWSHIAmiItAvyBQ1vyBdobdNVN9z2Xz9EhJTm/TRbdUMOZ4Zt5b0arq95o chABlLM1nc9KSoTlrlF2V9P7u+u3S0ogMtsw7ayo6VEAvVpfvFl1vhIL1zrdiEAQxELV+Zq2Mfqq KIC3wjCYOS8sBqULhkW8hl3RBNYhutHFoizfF50LjQ+OCwD0boYgHRHDawCdlIqLjeN7I2wcUIPQ LCIlaJUHus7dSil4/CYliEh0TZFpzCcWQXubzmK9YtUuMN8qPrbAXtPCM06GKYtFz1AbFhnZB/UC yigeHDgZZ9yZYiCSFUEW8/KZNrct8yJzQanBn0WH/wfLvx6+B6Kamn5YUGKZwYmffv08/f57+vOD vJtfXiaJOg8VZt56zI39J9fj4kx+QGdi3stg0hc5EYyjwMezwKKPhKdHy8VyWWKIY2y6IH7x8NwH iDfCGZKMmgacYBaWHb5AHFKnlFTNumuldZ6itk8ciJk8Rep96DFZsd/2I6Gta47Ip8Ph19TirlOi P1vUNu3JZITJ2E7G3ge1a/MipXrgP+4jNpF7SxUG2LEwTi2zGzcsrcXje856+KvW/wBQSwMECgAA AAAAh07iQAAAAAAAAAAAAAAAAAYAAABfcmVscy9QSwMEFAAAAAgAh07iQIoUZjzRAAAAlAEAAAsA AABfcmVscy8ucmVsc6WQwWrDMAyG74O9g9F9cZrDGKNOL6PQa+kewNiKYxpbRjLZ+vbzDoNl9Laj fqHvE//+8JkWtSJLpGxg1/WgMDvyMQcD75fj0wsoqTZ7u1BGAzcUOIyPD/szLra2I5ljEdUoWQzM tZZXrcXNmKx0VDC3zUScbG0jB12su9qAeuj7Z82/GTBumOrkDfDJD6Aut9LMf9gpOiahqXaOkqZp iu4eVQe2ZY7uyDbhG7lGsxywGvAsGgdqWdd+BH1fv/un3tNHPuO61X6HjOuPV2+6HL8AUEsDBBQA AAAIAIdO4kB+5uUg9wAAAOEBAAATAAAAW0NvbnRlbnRfVHlwZXNdLnhtbJWRQU7DMBBF90jcwfIW JU67QAgl6YK0S0CoHGBkTxKLZGx5TGhvj5O2G0SRWNoz/78nu9wcxkFMGNg6quQqL6RA0s5Y6ir5 vt9lD1JwBDIwOMJKHpHlpr69KfdHjyxSmriSfYz+USnWPY7AufNIadK6MEJMx9ApD/oDOlTrorhX 2lFEilmcO2RdNtjC5xDF9pCuTyYBB5bi6bQ4syoJ3g9WQ0ymaiLzg5KdCXlKLjvcW893SUOqXwnz 5DrgnHtJTxOsQfEKIT7DmDSUCayM+6KAU/53yWw5cuba1mrMm8BNir3hdLG61o5r1zj93/Ltkrp0 q+WD6m9QSwECFAAUAAAACACHTuJAfublIPcAAADhAQAAEwAAAAAAAAABACAAAAA1BAAAW0NvbnRl bnRfVHlwZXNdLnhtbFBLAQIUAAoAAAAAAIdO4kAAAAAAAAAAAAAAAAAGAAAAAAAAAAAAEAAAABcD AABfcmVscy9QSwECFAAUAAAACACHTuJAihRmPNEAAACUAQAACwAAAAAAAAABACAAAAA7AwAAX3Jl bHMvLnJlbHNQSwECFAAKAAAAAACHTuJAAAAAAAAAAAAAAAAABAAAAAAAAAAAABAAAAAAAAAAZHJz L1BLAQIUABQAAAAIAIdO4kDOqXm5zwAAAAUBAAAPAAAAAAAAAAEAIAAAACIAAABkcnMvZG93bnJl di54bWxQSwECFAAUAAAACACHTuJAk4CBjM0BAACdAwAADgAAAAAAAAABACAAAAAeAQAAZHJzL2Uy b0RvYy54bWxQSwUGAAAAAAYABgBZAQAAXQUAAAAA ">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lang/>
                      </w:rPr>
                      <w:t>96</w:t>
                    </w:r>
                    <w:r>
                      <w:fldChar w:fldCharType="end"/>
                    </w:r>
                  </w:p>
                </w:txbxContent>
              </v:textbox>
            </v:shape>
          </w:pict>
        </mc:Fallback>
      </mc:AlternateConten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59" w:rightChars="171" w:firstLine="4410" w:firstLineChars="245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4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4"/>
                          </w:pPr>
                          <w:r>
                            <w:fldChar w:fldCharType="begin"/>
                          </w:r>
                          <w:r>
                            <w:instrText xml:space="preserve"> PAGE  \* MERGEFORMAT </w:instrText>
                          </w:r>
                          <w:r>
                            <w:fldChar w:fldCharType="separate"/>
                          </w:r>
                          <w:r>
                            <w:rPr>
                              <w:lang/>
                            </w:rPr>
                            <w:t>97</w:t>
                          </w:r>
                          <w:r>
                            <w:fldChar w:fldCharType="end"/>
                          </w:r>
                        </w:p>
                      </w:txbxContent>
                    </wps:txbx>
                    <wps:bodyPr wrap="none" lIns="0" tIns="0" rIns="0" bIns="0" upright="0">
                      <a:spAutoFit/>
                    </wps:bodyPr>
                  </wps:wsp>
                </a:graphicData>
              </a:graphic>
            </wp:anchor>
          </w:drawing>
        </mc:Choice>
        <mc:Fallback>
          <w:pict>
            <v:shape id="文本框 413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XxPxYc0BAACdAwAADgAAAGRycy9lMm9Eb2MueG1srVNLbtswEN0XyB0I 7mPJTlC4guWghZEgQNEWSHsAmiItAvyBQ1vyBdobdNVN9z2Xz9EhJTltsskiG2o4M3wz781oddMb TQ4igHK2pvNZSYmw3DXK7mr67evt5ZISiMw2TDsranoUQG/WF29Wna/EwrVONyIQBLFQdb6mbYy+ KgrgrTAMZs4Li0HpgmERr2FXNIF1iG50sSjLt0XnQuOD4wIAvZshSEfE8BJAJ6XiYuP43ggbB9Qg NItICVrlga5zt1IKHj9LCSISXVNkGvOJRdDeprNYr1i1C8y3io8tsJe08ISTYcpi0TPUhkVG9kE9 gzKKBwdOxhl3phiIZEWQxbx8os1Dy7zIXFBq8GfR4fVg+afDl0BUU9N3V5RYZnDip58/Tr/+nH5/ J9fzq+skUeehwswHj7mx/+B6XJzJD+hMzHsZTPoiJ4JxFPh4Flj0kfD0aLlYLksMcYxNF8QvHp/7 APFOOEOSUdOAE8zCssNHiEPqlJKqWXertM5T1PY/B2ImT5F6H3pMVuy3/Uho65oj8ulw+DW1uOuU 6HuL2qY9mYwwGdvJ2Pugdm1epFQP/Pt9xCZyb6nCADsWxqllduOGpbX4956zHv+q9V9QSwMECgAA AAAAh07iQAAAAAAAAAAAAAAAAAYAAABfcmVscy9QSwMEFAAAAAgAh07iQIoUZjzRAAAAlAEAAAsA AABfcmVscy8ucmVsc6WQwWrDMAyG74O9g9F9cZrDGKNOL6PQa+kewNiKYxpbRjLZ+vbzDoNl9Laj fqHvE//+8JkWtSJLpGxg1/WgMDvyMQcD75fj0wsoqTZ7u1BGAzcUOIyPD/szLra2I5ljEdUoWQzM tZZXrcXNmKx0VDC3zUScbG0jB12su9qAeuj7Z82/GTBumOrkDfDJD6Aut9LMf9gpOiahqXaOkqZp iu4eVQe2ZY7uyDbhG7lGsxywGvAsGgdqWdd+BH1fv/un3tNHPuO61X6HjOuPV2+6HL8AUEsDBBQA AAAIAIdO4kB+5uUg9wAAAOEBAAATAAAAW0NvbnRlbnRfVHlwZXNdLnhtbJWRQU7DMBBF90jcwfIW JU67QAgl6YK0S0CoHGBkTxKLZGx5TGhvj5O2G0SRWNoz/78nu9wcxkFMGNg6quQqL6RA0s5Y6ir5 vt9lD1JwBDIwOMJKHpHlpr69KfdHjyxSmriSfYz+USnWPY7AufNIadK6MEJMx9ApD/oDOlTrorhX 2lFEilmcO2RdNtjC5xDF9pCuTyYBB5bi6bQ4syoJ3g9WQ0ymaiLzg5KdCXlKLjvcW893SUOqXwnz 5DrgnHtJTxOsQfEKIT7DmDSUCayM+6KAU/53yWw5cuba1mrMm8BNir3hdLG61o5r1zj93/Ltkrp0 q+WD6m9QSwECFAAUAAAACACHTuJAfublIPcAAADhAQAAEwAAAAAAAAABACAAAAA1BAAAW0NvbnRl bnRfVHlwZXNdLnhtbFBLAQIUAAoAAAAAAIdO4kAAAAAAAAAAAAAAAAAGAAAAAAAAAAAAEAAAABcD AABfcmVscy9QSwECFAAUAAAACACHTuJAihRmPNEAAACUAQAACwAAAAAAAAABACAAAAA7AwAAX3Jl bHMvLnJlbHNQSwECFAAKAAAAAACHTuJAAAAAAAAAAAAAAAAABAAAAAAAAAAAABAAAAAAAAAAZHJz L1BLAQIUABQAAAAIAIdO4kDOqXm5zwAAAAUBAAAPAAAAAAAAAAEAIAAAACIAAABkcnMvZG93bnJl di54bWxQSwECFAAUAAAACACHTuJAXxPxYc0BAACdAwAADgAAAAAAAAABACAAAAAeAQAAZHJzL2Uy b0RvYy54bWxQSwUGAAAAAAYABgBZAQAAXQUAAAAA ">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lang/>
                      </w:rPr>
                      <w:t>97</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614BE"/>
    <w:multiLevelType w:val="singleLevel"/>
    <w:tmpl w:val="A5B614BE"/>
    <w:lvl w:ilvl="0" w:tentative="0">
      <w:start w:val="5"/>
      <w:numFmt w:val="chineseCounting"/>
      <w:suff w:val="space"/>
      <w:lvlText w:val="第%1部分"/>
      <w:lvlJc w:val="left"/>
      <w:rPr>
        <w:rFonts w:hint="eastAsia"/>
      </w:rPr>
    </w:lvl>
  </w:abstractNum>
  <w:abstractNum w:abstractNumId="1">
    <w:nsid w:val="B09E43A5"/>
    <w:multiLevelType w:val="singleLevel"/>
    <w:tmpl w:val="B09E43A5"/>
    <w:lvl w:ilvl="0" w:tentative="0">
      <w:start w:val="1"/>
      <w:numFmt w:val="decimal"/>
      <w:suff w:val="space"/>
      <w:lvlText w:val="%1."/>
      <w:lvlJc w:val="left"/>
      <w:pPr>
        <w:ind w:left="0" w:firstLine="0"/>
      </w:pPr>
    </w:lvl>
  </w:abstractNum>
  <w:abstractNum w:abstractNumId="2">
    <w:nsid w:val="BAF9EC89"/>
    <w:multiLevelType w:val="singleLevel"/>
    <w:tmpl w:val="BAF9EC89"/>
    <w:lvl w:ilvl="0" w:tentative="0">
      <w:start w:val="1"/>
      <w:numFmt w:val="chineseCounting"/>
      <w:suff w:val="nothing"/>
      <w:lvlText w:val="（%1）"/>
      <w:lvlJc w:val="left"/>
      <w:rPr>
        <w:rFonts w:hint="eastAsia"/>
      </w:rPr>
    </w:lvl>
  </w:abstractNum>
  <w:abstractNum w:abstractNumId="3">
    <w:nsid w:val="FFFFFF88"/>
    <w:multiLevelType w:val="singleLevel"/>
    <w:tmpl w:val="FFFFFF88"/>
    <w:lvl w:ilvl="0" w:tentative="0">
      <w:start w:val="1"/>
      <w:numFmt w:val="decimal"/>
      <w:pStyle w:val="15"/>
      <w:lvlText w:val="%1."/>
      <w:lvlJc w:val="left"/>
      <w:pPr>
        <w:tabs>
          <w:tab w:val="left" w:pos="360"/>
        </w:tabs>
        <w:ind w:left="360" w:hanging="360"/>
      </w:pPr>
    </w:lvl>
  </w:abstractNum>
  <w:abstractNum w:abstractNumId="4">
    <w:nsid w:val="00000003"/>
    <w:multiLevelType w:val="singleLevel"/>
    <w:tmpl w:val="00000003"/>
    <w:lvl w:ilvl="0" w:tentative="0">
      <w:start w:val="1"/>
      <w:numFmt w:val="bullet"/>
      <w:pStyle w:val="343"/>
      <w:lvlText w:val=""/>
      <w:lvlJc w:val="left"/>
      <w:pPr>
        <w:tabs>
          <w:tab w:val="left" w:pos="360"/>
        </w:tabs>
        <w:ind w:left="360" w:hanging="360"/>
      </w:pPr>
      <w:rPr>
        <w:rFonts w:hint="default" w:ascii="Symbol" w:hAnsi="Symbol"/>
      </w:rPr>
    </w:lvl>
  </w:abstractNum>
  <w:abstractNum w:abstractNumId="5">
    <w:nsid w:val="00000004"/>
    <w:multiLevelType w:val="multilevel"/>
    <w:tmpl w:val="00000004"/>
    <w:lvl w:ilvl="0" w:tentative="0">
      <w:start w:val="1"/>
      <w:numFmt w:val="decimal"/>
      <w:pStyle w:val="375"/>
      <w:lvlText w:val="%1、"/>
      <w:lvlJc w:val="left"/>
      <w:pPr>
        <w:tabs>
          <w:tab w:val="left" w:pos="810"/>
        </w:tabs>
        <w:ind w:left="810" w:hanging="360"/>
      </w:pPr>
      <w:rPr>
        <w:rFonts w:hint="default" w:ascii="黑体" w:eastAsia="黑体"/>
      </w:rPr>
    </w:lvl>
    <w:lvl w:ilvl="1" w:tentative="0">
      <w:start w:val="1"/>
      <w:numFmt w:val="lowerLetter"/>
      <w:lvlText w:val="%2)"/>
      <w:lvlJc w:val="left"/>
      <w:pPr>
        <w:tabs>
          <w:tab w:val="left" w:pos="1290"/>
        </w:tabs>
        <w:ind w:left="1290" w:hanging="420"/>
      </w:pPr>
    </w:lvl>
    <w:lvl w:ilvl="2" w:tentative="0">
      <w:start w:val="1"/>
      <w:numFmt w:val="lowerRoman"/>
      <w:lvlText w:val="%3."/>
      <w:lvlJc w:val="right"/>
      <w:pPr>
        <w:tabs>
          <w:tab w:val="left" w:pos="1710"/>
        </w:tabs>
        <w:ind w:left="1710" w:hanging="420"/>
      </w:pPr>
    </w:lvl>
    <w:lvl w:ilvl="3" w:tentative="0">
      <w:start w:val="1"/>
      <w:numFmt w:val="decimal"/>
      <w:lvlText w:val="%4."/>
      <w:lvlJc w:val="left"/>
      <w:pPr>
        <w:tabs>
          <w:tab w:val="left" w:pos="2130"/>
        </w:tabs>
        <w:ind w:left="2130" w:hanging="420"/>
      </w:pPr>
    </w:lvl>
    <w:lvl w:ilvl="4" w:tentative="0">
      <w:start w:val="1"/>
      <w:numFmt w:val="lowerLetter"/>
      <w:lvlText w:val="%5)"/>
      <w:lvlJc w:val="left"/>
      <w:pPr>
        <w:tabs>
          <w:tab w:val="left" w:pos="2550"/>
        </w:tabs>
        <w:ind w:left="2550" w:hanging="420"/>
      </w:pPr>
    </w:lvl>
    <w:lvl w:ilvl="5" w:tentative="0">
      <w:start w:val="1"/>
      <w:numFmt w:val="lowerRoman"/>
      <w:lvlText w:val="%6."/>
      <w:lvlJc w:val="right"/>
      <w:pPr>
        <w:tabs>
          <w:tab w:val="left" w:pos="2970"/>
        </w:tabs>
        <w:ind w:left="2970" w:hanging="420"/>
      </w:pPr>
    </w:lvl>
    <w:lvl w:ilvl="6" w:tentative="0">
      <w:start w:val="1"/>
      <w:numFmt w:val="decimal"/>
      <w:lvlText w:val="%7."/>
      <w:lvlJc w:val="left"/>
      <w:pPr>
        <w:tabs>
          <w:tab w:val="left" w:pos="3390"/>
        </w:tabs>
        <w:ind w:left="3390" w:hanging="420"/>
      </w:pPr>
    </w:lvl>
    <w:lvl w:ilvl="7" w:tentative="0">
      <w:start w:val="1"/>
      <w:numFmt w:val="lowerLetter"/>
      <w:lvlText w:val="%8)"/>
      <w:lvlJc w:val="left"/>
      <w:pPr>
        <w:tabs>
          <w:tab w:val="left" w:pos="3810"/>
        </w:tabs>
        <w:ind w:left="3810" w:hanging="420"/>
      </w:pPr>
    </w:lvl>
    <w:lvl w:ilvl="8" w:tentative="0">
      <w:start w:val="1"/>
      <w:numFmt w:val="lowerRoman"/>
      <w:lvlText w:val="%9."/>
      <w:lvlJc w:val="right"/>
      <w:pPr>
        <w:tabs>
          <w:tab w:val="left" w:pos="4230"/>
        </w:tabs>
        <w:ind w:left="4230" w:hanging="420"/>
      </w:pPr>
    </w:lvl>
  </w:abstractNum>
  <w:abstractNum w:abstractNumId="6">
    <w:nsid w:val="00000005"/>
    <w:multiLevelType w:val="singleLevel"/>
    <w:tmpl w:val="00000005"/>
    <w:lvl w:ilvl="0" w:tentative="0">
      <w:start w:val="1"/>
      <w:numFmt w:val="bullet"/>
      <w:pStyle w:val="32"/>
      <w:lvlText w:val=""/>
      <w:lvlJc w:val="left"/>
      <w:pPr>
        <w:tabs>
          <w:tab w:val="left" w:pos="360"/>
        </w:tabs>
        <w:ind w:left="360" w:hanging="360"/>
      </w:pPr>
      <w:rPr>
        <w:rFonts w:hint="default" w:ascii="Wingdings" w:hAnsi="Wingdings"/>
      </w:rPr>
    </w:lvl>
  </w:abstractNum>
  <w:abstractNum w:abstractNumId="7">
    <w:nsid w:val="00000006"/>
    <w:multiLevelType w:val="multilevel"/>
    <w:tmpl w:val="00000006"/>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317"/>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lvlText w:val="附件%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243"/>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08"/>
    <w:multiLevelType w:val="multilevel"/>
    <w:tmpl w:val="00000008"/>
    <w:lvl w:ilvl="0" w:tentative="0">
      <w:start w:val="1"/>
      <w:numFmt w:val="bullet"/>
      <w:pStyle w:val="448"/>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00000009"/>
    <w:multiLevelType w:val="multilevel"/>
    <w:tmpl w:val="00000009"/>
    <w:lvl w:ilvl="0" w:tentative="0">
      <w:start w:val="1"/>
      <w:numFmt w:val="bullet"/>
      <w:pStyle w:val="255"/>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0000000A"/>
    <w:multiLevelType w:val="multilevel"/>
    <w:tmpl w:val="0000000A"/>
    <w:lvl w:ilvl="0" w:tentative="0">
      <w:start w:val="4"/>
      <w:numFmt w:val="decimal"/>
      <w:lvlText w:val="%1."/>
      <w:lvlJc w:val="left"/>
      <w:pPr>
        <w:tabs>
          <w:tab w:val="left" w:pos="360"/>
        </w:tabs>
        <w:ind w:left="360" w:hanging="360"/>
      </w:pPr>
      <w:rPr>
        <w:rFonts w:hint="default"/>
        <w:b w:val="0"/>
        <w:color w:val="000000"/>
      </w:rPr>
    </w:lvl>
    <w:lvl w:ilvl="1" w:tentative="0">
      <w:start w:val="0"/>
      <w:numFmt w:val="none"/>
      <w:pStyle w:val="409"/>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2">
    <w:nsid w:val="0000000B"/>
    <w:multiLevelType w:val="multilevel"/>
    <w:tmpl w:val="0000000B"/>
    <w:lvl w:ilvl="0" w:tentative="0">
      <w:start w:val="4"/>
      <w:numFmt w:val="decimal"/>
      <w:pStyle w:val="228"/>
      <w:lvlText w:val="%1"/>
      <w:lvlJc w:val="left"/>
      <w:pPr>
        <w:tabs>
          <w:tab w:val="left" w:pos="360"/>
        </w:tabs>
        <w:ind w:left="360" w:hanging="360"/>
      </w:pPr>
      <w:rPr>
        <w:rFonts w:hint="default"/>
      </w:rPr>
    </w:lvl>
    <w:lvl w:ilvl="1" w:tentative="0">
      <w:start w:val="5"/>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3">
    <w:nsid w:val="05AD9B45"/>
    <w:multiLevelType w:val="singleLevel"/>
    <w:tmpl w:val="05AD9B45"/>
    <w:lvl w:ilvl="0" w:tentative="0">
      <w:start w:val="2"/>
      <w:numFmt w:val="decimal"/>
      <w:suff w:val="nothing"/>
      <w:lvlText w:val="%1、"/>
      <w:lvlJc w:val="left"/>
    </w:lvl>
  </w:abstractNum>
  <w:abstractNum w:abstractNumId="14">
    <w:nsid w:val="3B091A3C"/>
    <w:multiLevelType w:val="multilevel"/>
    <w:tmpl w:val="3B091A3C"/>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3F4F1CB8"/>
    <w:multiLevelType w:val="singleLevel"/>
    <w:tmpl w:val="3F4F1CB8"/>
    <w:lvl w:ilvl="0" w:tentative="0">
      <w:start w:val="1"/>
      <w:numFmt w:val="decimal"/>
      <w:suff w:val="nothing"/>
      <w:lvlText w:val="%1、"/>
      <w:lvlJc w:val="left"/>
    </w:lvl>
  </w:abstractNum>
  <w:abstractNum w:abstractNumId="16">
    <w:nsid w:val="73E97962"/>
    <w:multiLevelType w:val="multilevel"/>
    <w:tmpl w:val="73E97962"/>
    <w:lvl w:ilvl="0" w:tentative="0">
      <w:start w:val="1"/>
      <w:numFmt w:val="japaneseCounting"/>
      <w:lvlText w:val="（%1）"/>
      <w:lvlJc w:val="left"/>
      <w:pPr>
        <w:ind w:left="1228" w:hanging="756"/>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3"/>
  </w:num>
  <w:num w:numId="2">
    <w:abstractNumId w:val="6"/>
  </w:num>
  <w:num w:numId="3">
    <w:abstractNumId w:val="12"/>
  </w:num>
  <w:num w:numId="4">
    <w:abstractNumId w:val="8"/>
  </w:num>
  <w:num w:numId="5">
    <w:abstractNumId w:val="10"/>
  </w:num>
  <w:num w:numId="6">
    <w:abstractNumId w:val="7"/>
  </w:num>
  <w:num w:numId="7">
    <w:abstractNumId w:val="4"/>
  </w:num>
  <w:num w:numId="8">
    <w:abstractNumId w:val="5"/>
  </w:num>
  <w:num w:numId="9">
    <w:abstractNumId w:val="11"/>
  </w:num>
  <w:num w:numId="10">
    <w:abstractNumId w:val="9"/>
  </w:num>
  <w:num w:numId="11">
    <w:abstractNumId w:val="1"/>
    <w:lvlOverride w:ilvl="0">
      <w:startOverride w:val="1"/>
    </w:lvlOverride>
  </w:num>
  <w:num w:numId="12">
    <w:abstractNumId w:val="16"/>
  </w:num>
  <w:num w:numId="13">
    <w:abstractNumId w:val="0"/>
  </w:num>
  <w:num w:numId="14">
    <w:abstractNumId w:val="15"/>
  </w:num>
  <w:num w:numId="15">
    <w:abstractNumId w:val="13"/>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3,4,5,6"/>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yZDc3NTE0MmU3ODFkNjlkZmY0ZmJhZDgxOGYyMjkifQ=="/>
  </w:docVars>
  <w:rsids>
    <w:rsidRoot w:val="00172A27"/>
    <w:rsid w:val="00000C11"/>
    <w:rsid w:val="00000DCF"/>
    <w:rsid w:val="00001257"/>
    <w:rsid w:val="00001367"/>
    <w:rsid w:val="0000334E"/>
    <w:rsid w:val="00003CD5"/>
    <w:rsid w:val="00003E8D"/>
    <w:rsid w:val="0000432C"/>
    <w:rsid w:val="00004658"/>
    <w:rsid w:val="00005529"/>
    <w:rsid w:val="0000575C"/>
    <w:rsid w:val="00005B74"/>
    <w:rsid w:val="00006856"/>
    <w:rsid w:val="00006ABE"/>
    <w:rsid w:val="000070DF"/>
    <w:rsid w:val="00007650"/>
    <w:rsid w:val="00007E00"/>
    <w:rsid w:val="000114FC"/>
    <w:rsid w:val="00011B30"/>
    <w:rsid w:val="0001201F"/>
    <w:rsid w:val="00012738"/>
    <w:rsid w:val="0001408D"/>
    <w:rsid w:val="000148D8"/>
    <w:rsid w:val="0001700E"/>
    <w:rsid w:val="00017F60"/>
    <w:rsid w:val="0002106C"/>
    <w:rsid w:val="0002169F"/>
    <w:rsid w:val="00021A7C"/>
    <w:rsid w:val="00022BFB"/>
    <w:rsid w:val="00023881"/>
    <w:rsid w:val="000243F7"/>
    <w:rsid w:val="00024702"/>
    <w:rsid w:val="00024AF0"/>
    <w:rsid w:val="00024B4A"/>
    <w:rsid w:val="000252B9"/>
    <w:rsid w:val="00025982"/>
    <w:rsid w:val="000277C6"/>
    <w:rsid w:val="00027AF0"/>
    <w:rsid w:val="00030029"/>
    <w:rsid w:val="0003079D"/>
    <w:rsid w:val="0003085B"/>
    <w:rsid w:val="00031239"/>
    <w:rsid w:val="00031B3F"/>
    <w:rsid w:val="00031FD0"/>
    <w:rsid w:val="00032256"/>
    <w:rsid w:val="000326D8"/>
    <w:rsid w:val="000328BD"/>
    <w:rsid w:val="000338D8"/>
    <w:rsid w:val="00035090"/>
    <w:rsid w:val="0003518D"/>
    <w:rsid w:val="00035986"/>
    <w:rsid w:val="00036517"/>
    <w:rsid w:val="00036563"/>
    <w:rsid w:val="000366A8"/>
    <w:rsid w:val="0003778C"/>
    <w:rsid w:val="00040A46"/>
    <w:rsid w:val="00040DDE"/>
    <w:rsid w:val="00040E30"/>
    <w:rsid w:val="0004165B"/>
    <w:rsid w:val="00044451"/>
    <w:rsid w:val="000450FE"/>
    <w:rsid w:val="00045738"/>
    <w:rsid w:val="00045D5A"/>
    <w:rsid w:val="00046994"/>
    <w:rsid w:val="00046B26"/>
    <w:rsid w:val="00047352"/>
    <w:rsid w:val="000500E2"/>
    <w:rsid w:val="00050C99"/>
    <w:rsid w:val="00050F9A"/>
    <w:rsid w:val="00051110"/>
    <w:rsid w:val="0005154B"/>
    <w:rsid w:val="00051E68"/>
    <w:rsid w:val="00053568"/>
    <w:rsid w:val="000547D4"/>
    <w:rsid w:val="000556E7"/>
    <w:rsid w:val="000558B7"/>
    <w:rsid w:val="0005592D"/>
    <w:rsid w:val="000565BF"/>
    <w:rsid w:val="000576E8"/>
    <w:rsid w:val="000605C0"/>
    <w:rsid w:val="00060826"/>
    <w:rsid w:val="00060B69"/>
    <w:rsid w:val="00060E1F"/>
    <w:rsid w:val="00061052"/>
    <w:rsid w:val="00061D84"/>
    <w:rsid w:val="0006319A"/>
    <w:rsid w:val="0006392B"/>
    <w:rsid w:val="00064D7F"/>
    <w:rsid w:val="0006548A"/>
    <w:rsid w:val="000662EA"/>
    <w:rsid w:val="000663B4"/>
    <w:rsid w:val="00066BBD"/>
    <w:rsid w:val="00066C65"/>
    <w:rsid w:val="00066D20"/>
    <w:rsid w:val="00070F5A"/>
    <w:rsid w:val="00071B50"/>
    <w:rsid w:val="00071DDB"/>
    <w:rsid w:val="00072466"/>
    <w:rsid w:val="0007290D"/>
    <w:rsid w:val="000734B7"/>
    <w:rsid w:val="000737FD"/>
    <w:rsid w:val="00073C4C"/>
    <w:rsid w:val="00074191"/>
    <w:rsid w:val="00074DFA"/>
    <w:rsid w:val="000755FA"/>
    <w:rsid w:val="0007594E"/>
    <w:rsid w:val="00076AE4"/>
    <w:rsid w:val="000775AF"/>
    <w:rsid w:val="00077FD5"/>
    <w:rsid w:val="000811D5"/>
    <w:rsid w:val="0008148E"/>
    <w:rsid w:val="00081792"/>
    <w:rsid w:val="000818FE"/>
    <w:rsid w:val="0008495A"/>
    <w:rsid w:val="00085C56"/>
    <w:rsid w:val="00085F0B"/>
    <w:rsid w:val="000860BA"/>
    <w:rsid w:val="000861A2"/>
    <w:rsid w:val="0008632D"/>
    <w:rsid w:val="00086539"/>
    <w:rsid w:val="0008689A"/>
    <w:rsid w:val="00087B36"/>
    <w:rsid w:val="00091BB8"/>
    <w:rsid w:val="00092198"/>
    <w:rsid w:val="00092312"/>
    <w:rsid w:val="0009270A"/>
    <w:rsid w:val="00092DE9"/>
    <w:rsid w:val="000933C4"/>
    <w:rsid w:val="0009451D"/>
    <w:rsid w:val="000948A9"/>
    <w:rsid w:val="00096B0E"/>
    <w:rsid w:val="000975B9"/>
    <w:rsid w:val="000A176B"/>
    <w:rsid w:val="000A1C2E"/>
    <w:rsid w:val="000A37AD"/>
    <w:rsid w:val="000A399F"/>
    <w:rsid w:val="000A4753"/>
    <w:rsid w:val="000A5088"/>
    <w:rsid w:val="000A628A"/>
    <w:rsid w:val="000A6D22"/>
    <w:rsid w:val="000A7E9B"/>
    <w:rsid w:val="000B071C"/>
    <w:rsid w:val="000B3355"/>
    <w:rsid w:val="000B3913"/>
    <w:rsid w:val="000B4142"/>
    <w:rsid w:val="000B42C8"/>
    <w:rsid w:val="000B4495"/>
    <w:rsid w:val="000B50B4"/>
    <w:rsid w:val="000B5C25"/>
    <w:rsid w:val="000B5DE2"/>
    <w:rsid w:val="000B64CF"/>
    <w:rsid w:val="000B656D"/>
    <w:rsid w:val="000B6BAA"/>
    <w:rsid w:val="000B6FBB"/>
    <w:rsid w:val="000B7D15"/>
    <w:rsid w:val="000C05E3"/>
    <w:rsid w:val="000C123C"/>
    <w:rsid w:val="000C27EE"/>
    <w:rsid w:val="000C2C50"/>
    <w:rsid w:val="000C2FD7"/>
    <w:rsid w:val="000C37B2"/>
    <w:rsid w:val="000C39FB"/>
    <w:rsid w:val="000C5669"/>
    <w:rsid w:val="000D29B0"/>
    <w:rsid w:val="000D3233"/>
    <w:rsid w:val="000D3C9A"/>
    <w:rsid w:val="000D4543"/>
    <w:rsid w:val="000D48B6"/>
    <w:rsid w:val="000D4B9A"/>
    <w:rsid w:val="000D4F23"/>
    <w:rsid w:val="000D5369"/>
    <w:rsid w:val="000D64D2"/>
    <w:rsid w:val="000D64DD"/>
    <w:rsid w:val="000D66B9"/>
    <w:rsid w:val="000D6B9B"/>
    <w:rsid w:val="000D71E0"/>
    <w:rsid w:val="000E0609"/>
    <w:rsid w:val="000E1B09"/>
    <w:rsid w:val="000E1B6C"/>
    <w:rsid w:val="000E20BC"/>
    <w:rsid w:val="000E23CE"/>
    <w:rsid w:val="000E2ADF"/>
    <w:rsid w:val="000E2C23"/>
    <w:rsid w:val="000E3DE4"/>
    <w:rsid w:val="000E3F61"/>
    <w:rsid w:val="000E554F"/>
    <w:rsid w:val="000E6663"/>
    <w:rsid w:val="000E66B9"/>
    <w:rsid w:val="000E7955"/>
    <w:rsid w:val="000F032E"/>
    <w:rsid w:val="000F068B"/>
    <w:rsid w:val="000F0BCE"/>
    <w:rsid w:val="000F0C9E"/>
    <w:rsid w:val="000F0F8B"/>
    <w:rsid w:val="000F11BB"/>
    <w:rsid w:val="000F136A"/>
    <w:rsid w:val="000F1377"/>
    <w:rsid w:val="000F2A3A"/>
    <w:rsid w:val="000F2AB4"/>
    <w:rsid w:val="000F2EF1"/>
    <w:rsid w:val="000F2F2E"/>
    <w:rsid w:val="000F3AB0"/>
    <w:rsid w:val="000F3F7F"/>
    <w:rsid w:val="000F4B14"/>
    <w:rsid w:val="000F4CC7"/>
    <w:rsid w:val="000F4EBE"/>
    <w:rsid w:val="000F4FF1"/>
    <w:rsid w:val="000F5375"/>
    <w:rsid w:val="000F6DC8"/>
    <w:rsid w:val="000F792E"/>
    <w:rsid w:val="000F7C6E"/>
    <w:rsid w:val="0010178E"/>
    <w:rsid w:val="00101AD4"/>
    <w:rsid w:val="00102147"/>
    <w:rsid w:val="001028EC"/>
    <w:rsid w:val="001029ED"/>
    <w:rsid w:val="00103A7D"/>
    <w:rsid w:val="001046FC"/>
    <w:rsid w:val="001047F2"/>
    <w:rsid w:val="001053AF"/>
    <w:rsid w:val="00105BC1"/>
    <w:rsid w:val="001105D6"/>
    <w:rsid w:val="00112FD6"/>
    <w:rsid w:val="00113B25"/>
    <w:rsid w:val="00113D66"/>
    <w:rsid w:val="00115BC6"/>
    <w:rsid w:val="00116ABC"/>
    <w:rsid w:val="00116B62"/>
    <w:rsid w:val="001174A2"/>
    <w:rsid w:val="00117D70"/>
    <w:rsid w:val="00117FBF"/>
    <w:rsid w:val="00120495"/>
    <w:rsid w:val="0012123A"/>
    <w:rsid w:val="00121854"/>
    <w:rsid w:val="001227C3"/>
    <w:rsid w:val="0012302A"/>
    <w:rsid w:val="001234C1"/>
    <w:rsid w:val="00123D74"/>
    <w:rsid w:val="001244EC"/>
    <w:rsid w:val="00125699"/>
    <w:rsid w:val="00125FE1"/>
    <w:rsid w:val="00126411"/>
    <w:rsid w:val="00127129"/>
    <w:rsid w:val="001271BD"/>
    <w:rsid w:val="00127334"/>
    <w:rsid w:val="001277F1"/>
    <w:rsid w:val="00130708"/>
    <w:rsid w:val="00130ABA"/>
    <w:rsid w:val="00132209"/>
    <w:rsid w:val="001330CA"/>
    <w:rsid w:val="00133D09"/>
    <w:rsid w:val="0013408C"/>
    <w:rsid w:val="00134739"/>
    <w:rsid w:val="00135277"/>
    <w:rsid w:val="0014026E"/>
    <w:rsid w:val="0014258B"/>
    <w:rsid w:val="00142E51"/>
    <w:rsid w:val="00142EAB"/>
    <w:rsid w:val="00143BD0"/>
    <w:rsid w:val="00143E75"/>
    <w:rsid w:val="0014400E"/>
    <w:rsid w:val="00144653"/>
    <w:rsid w:val="00144AF6"/>
    <w:rsid w:val="00144C67"/>
    <w:rsid w:val="00145169"/>
    <w:rsid w:val="00145ACD"/>
    <w:rsid w:val="00145BE6"/>
    <w:rsid w:val="001467C6"/>
    <w:rsid w:val="00150965"/>
    <w:rsid w:val="00151A60"/>
    <w:rsid w:val="001538A9"/>
    <w:rsid w:val="001547D4"/>
    <w:rsid w:val="001605CC"/>
    <w:rsid w:val="00160FAE"/>
    <w:rsid w:val="00161A21"/>
    <w:rsid w:val="00162583"/>
    <w:rsid w:val="001626A7"/>
    <w:rsid w:val="001627D8"/>
    <w:rsid w:val="00162A01"/>
    <w:rsid w:val="00163B7A"/>
    <w:rsid w:val="00164C15"/>
    <w:rsid w:val="00164C82"/>
    <w:rsid w:val="001651CA"/>
    <w:rsid w:val="0016716F"/>
    <w:rsid w:val="00167C40"/>
    <w:rsid w:val="0017008D"/>
    <w:rsid w:val="00171BC2"/>
    <w:rsid w:val="00172CBF"/>
    <w:rsid w:val="0017433C"/>
    <w:rsid w:val="001746EE"/>
    <w:rsid w:val="001747BC"/>
    <w:rsid w:val="00174BFE"/>
    <w:rsid w:val="001754EA"/>
    <w:rsid w:val="0017626D"/>
    <w:rsid w:val="001772AA"/>
    <w:rsid w:val="001810C7"/>
    <w:rsid w:val="0018118A"/>
    <w:rsid w:val="0018132A"/>
    <w:rsid w:val="00181AA1"/>
    <w:rsid w:val="00181E15"/>
    <w:rsid w:val="001826ED"/>
    <w:rsid w:val="00182EE9"/>
    <w:rsid w:val="00183C16"/>
    <w:rsid w:val="001844D2"/>
    <w:rsid w:val="001861EC"/>
    <w:rsid w:val="001909CC"/>
    <w:rsid w:val="0019169E"/>
    <w:rsid w:val="00192907"/>
    <w:rsid w:val="00193DBB"/>
    <w:rsid w:val="001940E4"/>
    <w:rsid w:val="001949F3"/>
    <w:rsid w:val="00194CCE"/>
    <w:rsid w:val="00195011"/>
    <w:rsid w:val="0019607E"/>
    <w:rsid w:val="00196183"/>
    <w:rsid w:val="00196461"/>
    <w:rsid w:val="001965FC"/>
    <w:rsid w:val="0019684E"/>
    <w:rsid w:val="001969DB"/>
    <w:rsid w:val="00196A28"/>
    <w:rsid w:val="00196FDE"/>
    <w:rsid w:val="00197510"/>
    <w:rsid w:val="00197E08"/>
    <w:rsid w:val="001A0902"/>
    <w:rsid w:val="001A0C48"/>
    <w:rsid w:val="001A0ECE"/>
    <w:rsid w:val="001A0FF3"/>
    <w:rsid w:val="001A199B"/>
    <w:rsid w:val="001A2065"/>
    <w:rsid w:val="001A2159"/>
    <w:rsid w:val="001A2D0A"/>
    <w:rsid w:val="001A3576"/>
    <w:rsid w:val="001A3C66"/>
    <w:rsid w:val="001A4134"/>
    <w:rsid w:val="001A4CB2"/>
    <w:rsid w:val="001A5B01"/>
    <w:rsid w:val="001A5DE6"/>
    <w:rsid w:val="001A64D6"/>
    <w:rsid w:val="001A6B38"/>
    <w:rsid w:val="001B074F"/>
    <w:rsid w:val="001B0B74"/>
    <w:rsid w:val="001B19E1"/>
    <w:rsid w:val="001B2A17"/>
    <w:rsid w:val="001B2C0A"/>
    <w:rsid w:val="001B32B9"/>
    <w:rsid w:val="001B4103"/>
    <w:rsid w:val="001B4310"/>
    <w:rsid w:val="001B53A7"/>
    <w:rsid w:val="001B54D9"/>
    <w:rsid w:val="001B5FDB"/>
    <w:rsid w:val="001B631E"/>
    <w:rsid w:val="001B6EA5"/>
    <w:rsid w:val="001B6FF2"/>
    <w:rsid w:val="001B71AE"/>
    <w:rsid w:val="001C184E"/>
    <w:rsid w:val="001C19A9"/>
    <w:rsid w:val="001C2F6C"/>
    <w:rsid w:val="001C3C89"/>
    <w:rsid w:val="001C49FF"/>
    <w:rsid w:val="001C4C97"/>
    <w:rsid w:val="001C55F6"/>
    <w:rsid w:val="001C7BEE"/>
    <w:rsid w:val="001D0496"/>
    <w:rsid w:val="001D1127"/>
    <w:rsid w:val="001D1A4A"/>
    <w:rsid w:val="001D4042"/>
    <w:rsid w:val="001D44A2"/>
    <w:rsid w:val="001D44A8"/>
    <w:rsid w:val="001D4D81"/>
    <w:rsid w:val="001D5023"/>
    <w:rsid w:val="001D51FB"/>
    <w:rsid w:val="001D595D"/>
    <w:rsid w:val="001D68F8"/>
    <w:rsid w:val="001D6BE5"/>
    <w:rsid w:val="001D7CF5"/>
    <w:rsid w:val="001E0736"/>
    <w:rsid w:val="001E0C1D"/>
    <w:rsid w:val="001E0E88"/>
    <w:rsid w:val="001E1635"/>
    <w:rsid w:val="001E4060"/>
    <w:rsid w:val="001E4B41"/>
    <w:rsid w:val="001E4CC2"/>
    <w:rsid w:val="001E4F4B"/>
    <w:rsid w:val="001E5535"/>
    <w:rsid w:val="001E58F8"/>
    <w:rsid w:val="001E5C5E"/>
    <w:rsid w:val="001E5E84"/>
    <w:rsid w:val="001E6ED4"/>
    <w:rsid w:val="001E732E"/>
    <w:rsid w:val="001E7B72"/>
    <w:rsid w:val="001F09FB"/>
    <w:rsid w:val="001F14D5"/>
    <w:rsid w:val="001F1826"/>
    <w:rsid w:val="001F2BBB"/>
    <w:rsid w:val="001F2E4A"/>
    <w:rsid w:val="001F48CB"/>
    <w:rsid w:val="001F56B1"/>
    <w:rsid w:val="001F576A"/>
    <w:rsid w:val="001F5E09"/>
    <w:rsid w:val="001F65CB"/>
    <w:rsid w:val="001F6BAC"/>
    <w:rsid w:val="001F79B2"/>
    <w:rsid w:val="001F7B91"/>
    <w:rsid w:val="001F7D71"/>
    <w:rsid w:val="00200780"/>
    <w:rsid w:val="00200DE3"/>
    <w:rsid w:val="00200FCC"/>
    <w:rsid w:val="00201561"/>
    <w:rsid w:val="002016E5"/>
    <w:rsid w:val="00201AAD"/>
    <w:rsid w:val="00201C4F"/>
    <w:rsid w:val="002030DF"/>
    <w:rsid w:val="00203CC7"/>
    <w:rsid w:val="00204066"/>
    <w:rsid w:val="002057B1"/>
    <w:rsid w:val="00206255"/>
    <w:rsid w:val="002062B8"/>
    <w:rsid w:val="002072AB"/>
    <w:rsid w:val="00207A47"/>
    <w:rsid w:val="00207EE6"/>
    <w:rsid w:val="002107EA"/>
    <w:rsid w:val="00210E3B"/>
    <w:rsid w:val="00211E77"/>
    <w:rsid w:val="002122C9"/>
    <w:rsid w:val="002122DC"/>
    <w:rsid w:val="00212783"/>
    <w:rsid w:val="0021356E"/>
    <w:rsid w:val="00213811"/>
    <w:rsid w:val="00213E7A"/>
    <w:rsid w:val="0021557E"/>
    <w:rsid w:val="00215F08"/>
    <w:rsid w:val="0021651D"/>
    <w:rsid w:val="002167C3"/>
    <w:rsid w:val="00217180"/>
    <w:rsid w:val="0021782C"/>
    <w:rsid w:val="002201AB"/>
    <w:rsid w:val="00221C6A"/>
    <w:rsid w:val="00222059"/>
    <w:rsid w:val="0022364C"/>
    <w:rsid w:val="002237CE"/>
    <w:rsid w:val="0022477E"/>
    <w:rsid w:val="002247F7"/>
    <w:rsid w:val="00224C6A"/>
    <w:rsid w:val="00227ECC"/>
    <w:rsid w:val="00230A29"/>
    <w:rsid w:val="00231CBE"/>
    <w:rsid w:val="00232B00"/>
    <w:rsid w:val="00232E99"/>
    <w:rsid w:val="002337EE"/>
    <w:rsid w:val="002355F5"/>
    <w:rsid w:val="002359DE"/>
    <w:rsid w:val="00235C89"/>
    <w:rsid w:val="00236955"/>
    <w:rsid w:val="00237D1B"/>
    <w:rsid w:val="0024121D"/>
    <w:rsid w:val="00241C79"/>
    <w:rsid w:val="00242904"/>
    <w:rsid w:val="00242DC0"/>
    <w:rsid w:val="00243129"/>
    <w:rsid w:val="0024329D"/>
    <w:rsid w:val="0024482C"/>
    <w:rsid w:val="00244D74"/>
    <w:rsid w:val="00244F51"/>
    <w:rsid w:val="0024502C"/>
    <w:rsid w:val="002453F6"/>
    <w:rsid w:val="00245967"/>
    <w:rsid w:val="0024664B"/>
    <w:rsid w:val="0024670E"/>
    <w:rsid w:val="0024673D"/>
    <w:rsid w:val="00250281"/>
    <w:rsid w:val="002506CD"/>
    <w:rsid w:val="00250EA9"/>
    <w:rsid w:val="002525F7"/>
    <w:rsid w:val="00252ABE"/>
    <w:rsid w:val="00252F2D"/>
    <w:rsid w:val="0025335D"/>
    <w:rsid w:val="002539AF"/>
    <w:rsid w:val="002544A0"/>
    <w:rsid w:val="00254BF8"/>
    <w:rsid w:val="00255E77"/>
    <w:rsid w:val="00256248"/>
    <w:rsid w:val="00256C48"/>
    <w:rsid w:val="00257BB4"/>
    <w:rsid w:val="00260AD1"/>
    <w:rsid w:val="00261510"/>
    <w:rsid w:val="00262C25"/>
    <w:rsid w:val="00262E49"/>
    <w:rsid w:val="002635A9"/>
    <w:rsid w:val="0026495F"/>
    <w:rsid w:val="00265FAB"/>
    <w:rsid w:val="00266C09"/>
    <w:rsid w:val="00270667"/>
    <w:rsid w:val="00270EB1"/>
    <w:rsid w:val="002716A3"/>
    <w:rsid w:val="00276D7F"/>
    <w:rsid w:val="002814ED"/>
    <w:rsid w:val="00282F37"/>
    <w:rsid w:val="00283B8B"/>
    <w:rsid w:val="00285EF5"/>
    <w:rsid w:val="00287071"/>
    <w:rsid w:val="00287B8A"/>
    <w:rsid w:val="002902E4"/>
    <w:rsid w:val="0029045A"/>
    <w:rsid w:val="00290A99"/>
    <w:rsid w:val="00291182"/>
    <w:rsid w:val="00291A98"/>
    <w:rsid w:val="00291D66"/>
    <w:rsid w:val="002946B6"/>
    <w:rsid w:val="00294BDD"/>
    <w:rsid w:val="00295C3E"/>
    <w:rsid w:val="00296563"/>
    <w:rsid w:val="0029700E"/>
    <w:rsid w:val="00297C03"/>
    <w:rsid w:val="002A0788"/>
    <w:rsid w:val="002A0A48"/>
    <w:rsid w:val="002A0D02"/>
    <w:rsid w:val="002A1627"/>
    <w:rsid w:val="002A17F1"/>
    <w:rsid w:val="002A1E89"/>
    <w:rsid w:val="002A2DCD"/>
    <w:rsid w:val="002A317D"/>
    <w:rsid w:val="002A35DE"/>
    <w:rsid w:val="002A38DF"/>
    <w:rsid w:val="002A48B6"/>
    <w:rsid w:val="002A64E0"/>
    <w:rsid w:val="002A76C5"/>
    <w:rsid w:val="002B03FD"/>
    <w:rsid w:val="002B06EB"/>
    <w:rsid w:val="002B0958"/>
    <w:rsid w:val="002B1238"/>
    <w:rsid w:val="002B1A79"/>
    <w:rsid w:val="002B1F28"/>
    <w:rsid w:val="002B1FB2"/>
    <w:rsid w:val="002B1FD6"/>
    <w:rsid w:val="002B2989"/>
    <w:rsid w:val="002B66FC"/>
    <w:rsid w:val="002C0024"/>
    <w:rsid w:val="002C023E"/>
    <w:rsid w:val="002C0C1E"/>
    <w:rsid w:val="002C0E80"/>
    <w:rsid w:val="002C126A"/>
    <w:rsid w:val="002C165D"/>
    <w:rsid w:val="002C183E"/>
    <w:rsid w:val="002C2793"/>
    <w:rsid w:val="002C2BBD"/>
    <w:rsid w:val="002C3762"/>
    <w:rsid w:val="002C3844"/>
    <w:rsid w:val="002C412C"/>
    <w:rsid w:val="002C4193"/>
    <w:rsid w:val="002C440F"/>
    <w:rsid w:val="002C6B64"/>
    <w:rsid w:val="002C6C34"/>
    <w:rsid w:val="002C7304"/>
    <w:rsid w:val="002C7D83"/>
    <w:rsid w:val="002D0C1B"/>
    <w:rsid w:val="002D0D9D"/>
    <w:rsid w:val="002D0EF5"/>
    <w:rsid w:val="002D2A6C"/>
    <w:rsid w:val="002D2BD5"/>
    <w:rsid w:val="002D3697"/>
    <w:rsid w:val="002D3B4A"/>
    <w:rsid w:val="002D3D6D"/>
    <w:rsid w:val="002D51E6"/>
    <w:rsid w:val="002D59AD"/>
    <w:rsid w:val="002D5E62"/>
    <w:rsid w:val="002D64F8"/>
    <w:rsid w:val="002E101A"/>
    <w:rsid w:val="002E16FB"/>
    <w:rsid w:val="002E1A4F"/>
    <w:rsid w:val="002E1A7D"/>
    <w:rsid w:val="002E1A86"/>
    <w:rsid w:val="002E29EB"/>
    <w:rsid w:val="002E5187"/>
    <w:rsid w:val="002E5539"/>
    <w:rsid w:val="002E62D7"/>
    <w:rsid w:val="002E69FC"/>
    <w:rsid w:val="002E6A17"/>
    <w:rsid w:val="002E7207"/>
    <w:rsid w:val="002E74DC"/>
    <w:rsid w:val="002F068F"/>
    <w:rsid w:val="002F0D17"/>
    <w:rsid w:val="002F1B8D"/>
    <w:rsid w:val="002F1EAD"/>
    <w:rsid w:val="002F2380"/>
    <w:rsid w:val="002F2E10"/>
    <w:rsid w:val="002F300A"/>
    <w:rsid w:val="002F3BBA"/>
    <w:rsid w:val="002F60CE"/>
    <w:rsid w:val="002F7017"/>
    <w:rsid w:val="002F73A2"/>
    <w:rsid w:val="00300883"/>
    <w:rsid w:val="00300B51"/>
    <w:rsid w:val="0030187A"/>
    <w:rsid w:val="003026D5"/>
    <w:rsid w:val="00302D93"/>
    <w:rsid w:val="00302E52"/>
    <w:rsid w:val="0030336D"/>
    <w:rsid w:val="00303921"/>
    <w:rsid w:val="003039D9"/>
    <w:rsid w:val="003040F3"/>
    <w:rsid w:val="00304335"/>
    <w:rsid w:val="0030520B"/>
    <w:rsid w:val="003052B5"/>
    <w:rsid w:val="003064A2"/>
    <w:rsid w:val="0030654B"/>
    <w:rsid w:val="00306C1C"/>
    <w:rsid w:val="00310118"/>
    <w:rsid w:val="003103B2"/>
    <w:rsid w:val="00310D54"/>
    <w:rsid w:val="00310EE7"/>
    <w:rsid w:val="0031196F"/>
    <w:rsid w:val="00311995"/>
    <w:rsid w:val="00311A59"/>
    <w:rsid w:val="003128EC"/>
    <w:rsid w:val="0031459A"/>
    <w:rsid w:val="00314973"/>
    <w:rsid w:val="00314C33"/>
    <w:rsid w:val="00314FA5"/>
    <w:rsid w:val="00315225"/>
    <w:rsid w:val="0031576F"/>
    <w:rsid w:val="00315781"/>
    <w:rsid w:val="00315795"/>
    <w:rsid w:val="00316B46"/>
    <w:rsid w:val="00317862"/>
    <w:rsid w:val="0032027A"/>
    <w:rsid w:val="00321CB0"/>
    <w:rsid w:val="00321DE0"/>
    <w:rsid w:val="00323D04"/>
    <w:rsid w:val="00323E66"/>
    <w:rsid w:val="003244E3"/>
    <w:rsid w:val="00324E8C"/>
    <w:rsid w:val="00326EE3"/>
    <w:rsid w:val="003271AB"/>
    <w:rsid w:val="00327510"/>
    <w:rsid w:val="0033003E"/>
    <w:rsid w:val="00331667"/>
    <w:rsid w:val="003319F9"/>
    <w:rsid w:val="00331A46"/>
    <w:rsid w:val="003324A5"/>
    <w:rsid w:val="00332C81"/>
    <w:rsid w:val="00332E1F"/>
    <w:rsid w:val="0033363C"/>
    <w:rsid w:val="0033492C"/>
    <w:rsid w:val="003357CB"/>
    <w:rsid w:val="00335C32"/>
    <w:rsid w:val="00336136"/>
    <w:rsid w:val="0033684B"/>
    <w:rsid w:val="00337C26"/>
    <w:rsid w:val="00337D6E"/>
    <w:rsid w:val="00337DCC"/>
    <w:rsid w:val="00341A24"/>
    <w:rsid w:val="00342323"/>
    <w:rsid w:val="00342BD3"/>
    <w:rsid w:val="00343157"/>
    <w:rsid w:val="0034320A"/>
    <w:rsid w:val="00343CAC"/>
    <w:rsid w:val="0034473F"/>
    <w:rsid w:val="00345096"/>
    <w:rsid w:val="00345510"/>
    <w:rsid w:val="00346ED4"/>
    <w:rsid w:val="00347268"/>
    <w:rsid w:val="0034727A"/>
    <w:rsid w:val="003508F6"/>
    <w:rsid w:val="00350B51"/>
    <w:rsid w:val="00350BF4"/>
    <w:rsid w:val="003514B9"/>
    <w:rsid w:val="00351A84"/>
    <w:rsid w:val="00351AEF"/>
    <w:rsid w:val="00352838"/>
    <w:rsid w:val="00353A2F"/>
    <w:rsid w:val="0035452E"/>
    <w:rsid w:val="0035499E"/>
    <w:rsid w:val="003558F8"/>
    <w:rsid w:val="00356209"/>
    <w:rsid w:val="00356597"/>
    <w:rsid w:val="00356722"/>
    <w:rsid w:val="003570A4"/>
    <w:rsid w:val="00357204"/>
    <w:rsid w:val="00361D7A"/>
    <w:rsid w:val="00362A16"/>
    <w:rsid w:val="00363856"/>
    <w:rsid w:val="00363A6D"/>
    <w:rsid w:val="00363CD1"/>
    <w:rsid w:val="00364A84"/>
    <w:rsid w:val="0036640B"/>
    <w:rsid w:val="0036737C"/>
    <w:rsid w:val="003713B5"/>
    <w:rsid w:val="00371C12"/>
    <w:rsid w:val="003739CE"/>
    <w:rsid w:val="00373EE4"/>
    <w:rsid w:val="0037456C"/>
    <w:rsid w:val="00374629"/>
    <w:rsid w:val="00375A46"/>
    <w:rsid w:val="00376008"/>
    <w:rsid w:val="003761B1"/>
    <w:rsid w:val="00376A8A"/>
    <w:rsid w:val="0037704A"/>
    <w:rsid w:val="003774D8"/>
    <w:rsid w:val="00377BDA"/>
    <w:rsid w:val="00377C24"/>
    <w:rsid w:val="00380296"/>
    <w:rsid w:val="00380922"/>
    <w:rsid w:val="00380EA0"/>
    <w:rsid w:val="00382220"/>
    <w:rsid w:val="00382D23"/>
    <w:rsid w:val="00383F62"/>
    <w:rsid w:val="00384328"/>
    <w:rsid w:val="003845C6"/>
    <w:rsid w:val="00384DC6"/>
    <w:rsid w:val="00385ABF"/>
    <w:rsid w:val="003874E8"/>
    <w:rsid w:val="00387527"/>
    <w:rsid w:val="003877D2"/>
    <w:rsid w:val="003905A0"/>
    <w:rsid w:val="00391063"/>
    <w:rsid w:val="0039114A"/>
    <w:rsid w:val="003944F6"/>
    <w:rsid w:val="00394CB6"/>
    <w:rsid w:val="00397A52"/>
    <w:rsid w:val="003A0D74"/>
    <w:rsid w:val="003A18EB"/>
    <w:rsid w:val="003A211C"/>
    <w:rsid w:val="003A2F01"/>
    <w:rsid w:val="003A3594"/>
    <w:rsid w:val="003A3A47"/>
    <w:rsid w:val="003A3E49"/>
    <w:rsid w:val="003A4A3A"/>
    <w:rsid w:val="003A53B6"/>
    <w:rsid w:val="003A57F9"/>
    <w:rsid w:val="003A7E03"/>
    <w:rsid w:val="003B0419"/>
    <w:rsid w:val="003B07B1"/>
    <w:rsid w:val="003B131C"/>
    <w:rsid w:val="003B1D40"/>
    <w:rsid w:val="003B24BE"/>
    <w:rsid w:val="003B30C2"/>
    <w:rsid w:val="003B35B1"/>
    <w:rsid w:val="003B544C"/>
    <w:rsid w:val="003B58EE"/>
    <w:rsid w:val="003B5911"/>
    <w:rsid w:val="003B5CC2"/>
    <w:rsid w:val="003B63E3"/>
    <w:rsid w:val="003B6BE1"/>
    <w:rsid w:val="003B7205"/>
    <w:rsid w:val="003B7359"/>
    <w:rsid w:val="003B77B0"/>
    <w:rsid w:val="003C0105"/>
    <w:rsid w:val="003C1703"/>
    <w:rsid w:val="003C1F19"/>
    <w:rsid w:val="003C2EB7"/>
    <w:rsid w:val="003C3430"/>
    <w:rsid w:val="003C3729"/>
    <w:rsid w:val="003C394F"/>
    <w:rsid w:val="003C4BB0"/>
    <w:rsid w:val="003C524E"/>
    <w:rsid w:val="003C5574"/>
    <w:rsid w:val="003C59EA"/>
    <w:rsid w:val="003C6102"/>
    <w:rsid w:val="003C6184"/>
    <w:rsid w:val="003C6293"/>
    <w:rsid w:val="003C6642"/>
    <w:rsid w:val="003C6A91"/>
    <w:rsid w:val="003C7E6D"/>
    <w:rsid w:val="003D09C8"/>
    <w:rsid w:val="003D1092"/>
    <w:rsid w:val="003D2D73"/>
    <w:rsid w:val="003D4052"/>
    <w:rsid w:val="003D4149"/>
    <w:rsid w:val="003D4987"/>
    <w:rsid w:val="003D4DE0"/>
    <w:rsid w:val="003D599F"/>
    <w:rsid w:val="003D5E45"/>
    <w:rsid w:val="003D5E47"/>
    <w:rsid w:val="003D67DD"/>
    <w:rsid w:val="003D72D8"/>
    <w:rsid w:val="003E02C7"/>
    <w:rsid w:val="003E02DB"/>
    <w:rsid w:val="003E31AF"/>
    <w:rsid w:val="003E358C"/>
    <w:rsid w:val="003E369A"/>
    <w:rsid w:val="003E369E"/>
    <w:rsid w:val="003E3C0A"/>
    <w:rsid w:val="003E444F"/>
    <w:rsid w:val="003E4FAF"/>
    <w:rsid w:val="003E536E"/>
    <w:rsid w:val="003E562A"/>
    <w:rsid w:val="003E6670"/>
    <w:rsid w:val="003E66BB"/>
    <w:rsid w:val="003E6F89"/>
    <w:rsid w:val="003E78EE"/>
    <w:rsid w:val="003F06BB"/>
    <w:rsid w:val="003F2A9F"/>
    <w:rsid w:val="003F36D5"/>
    <w:rsid w:val="003F3815"/>
    <w:rsid w:val="003F5876"/>
    <w:rsid w:val="003F59DB"/>
    <w:rsid w:val="003F6796"/>
    <w:rsid w:val="003F6A96"/>
    <w:rsid w:val="003F746E"/>
    <w:rsid w:val="00400BA1"/>
    <w:rsid w:val="00400D16"/>
    <w:rsid w:val="004021FF"/>
    <w:rsid w:val="0040248F"/>
    <w:rsid w:val="00402B4D"/>
    <w:rsid w:val="004037E5"/>
    <w:rsid w:val="00403AF7"/>
    <w:rsid w:val="0040423C"/>
    <w:rsid w:val="0040442C"/>
    <w:rsid w:val="004047D6"/>
    <w:rsid w:val="00405211"/>
    <w:rsid w:val="00406018"/>
    <w:rsid w:val="00406019"/>
    <w:rsid w:val="00407545"/>
    <w:rsid w:val="004076AB"/>
    <w:rsid w:val="00407DAB"/>
    <w:rsid w:val="00410133"/>
    <w:rsid w:val="0041083C"/>
    <w:rsid w:val="004108CE"/>
    <w:rsid w:val="004111B9"/>
    <w:rsid w:val="0041265F"/>
    <w:rsid w:val="00414D9A"/>
    <w:rsid w:val="004166E6"/>
    <w:rsid w:val="00416F01"/>
    <w:rsid w:val="00417253"/>
    <w:rsid w:val="004174CB"/>
    <w:rsid w:val="0041771C"/>
    <w:rsid w:val="00420998"/>
    <w:rsid w:val="0042122E"/>
    <w:rsid w:val="004218B5"/>
    <w:rsid w:val="00423DBB"/>
    <w:rsid w:val="00424067"/>
    <w:rsid w:val="0042430F"/>
    <w:rsid w:val="00425FB6"/>
    <w:rsid w:val="00426A41"/>
    <w:rsid w:val="0043019F"/>
    <w:rsid w:val="00431035"/>
    <w:rsid w:val="00432447"/>
    <w:rsid w:val="00432FFE"/>
    <w:rsid w:val="004337D8"/>
    <w:rsid w:val="00434789"/>
    <w:rsid w:val="004351C4"/>
    <w:rsid w:val="00435324"/>
    <w:rsid w:val="00435EFB"/>
    <w:rsid w:val="00436CD9"/>
    <w:rsid w:val="0043705B"/>
    <w:rsid w:val="0043733C"/>
    <w:rsid w:val="004406FC"/>
    <w:rsid w:val="00440750"/>
    <w:rsid w:val="0044076E"/>
    <w:rsid w:val="004413A8"/>
    <w:rsid w:val="00441708"/>
    <w:rsid w:val="0044238D"/>
    <w:rsid w:val="00442524"/>
    <w:rsid w:val="00442B44"/>
    <w:rsid w:val="00442DAE"/>
    <w:rsid w:val="00443CAE"/>
    <w:rsid w:val="00443E2C"/>
    <w:rsid w:val="004447A5"/>
    <w:rsid w:val="004469B7"/>
    <w:rsid w:val="00447398"/>
    <w:rsid w:val="004505C4"/>
    <w:rsid w:val="00451979"/>
    <w:rsid w:val="00452C67"/>
    <w:rsid w:val="00454220"/>
    <w:rsid w:val="004549A2"/>
    <w:rsid w:val="004549B3"/>
    <w:rsid w:val="004555BD"/>
    <w:rsid w:val="00455826"/>
    <w:rsid w:val="0045639E"/>
    <w:rsid w:val="00457041"/>
    <w:rsid w:val="00460193"/>
    <w:rsid w:val="0046062D"/>
    <w:rsid w:val="00461424"/>
    <w:rsid w:val="004631BF"/>
    <w:rsid w:val="004643FF"/>
    <w:rsid w:val="00464411"/>
    <w:rsid w:val="004648A0"/>
    <w:rsid w:val="00464D27"/>
    <w:rsid w:val="0046550B"/>
    <w:rsid w:val="00466620"/>
    <w:rsid w:val="00466677"/>
    <w:rsid w:val="00467B0D"/>
    <w:rsid w:val="00467D1A"/>
    <w:rsid w:val="004707A3"/>
    <w:rsid w:val="0047109B"/>
    <w:rsid w:val="00471F9F"/>
    <w:rsid w:val="00474534"/>
    <w:rsid w:val="00474F9A"/>
    <w:rsid w:val="00475EF2"/>
    <w:rsid w:val="00476291"/>
    <w:rsid w:val="00476BDA"/>
    <w:rsid w:val="00477805"/>
    <w:rsid w:val="00480BB2"/>
    <w:rsid w:val="00481028"/>
    <w:rsid w:val="004816A4"/>
    <w:rsid w:val="004816DD"/>
    <w:rsid w:val="004823CD"/>
    <w:rsid w:val="00483D24"/>
    <w:rsid w:val="00483F57"/>
    <w:rsid w:val="00483FDA"/>
    <w:rsid w:val="00484906"/>
    <w:rsid w:val="004851F5"/>
    <w:rsid w:val="0048562E"/>
    <w:rsid w:val="004857A8"/>
    <w:rsid w:val="004858BB"/>
    <w:rsid w:val="00485A4E"/>
    <w:rsid w:val="0048644D"/>
    <w:rsid w:val="00487A8A"/>
    <w:rsid w:val="00487E6B"/>
    <w:rsid w:val="00490720"/>
    <w:rsid w:val="004908C0"/>
    <w:rsid w:val="00494613"/>
    <w:rsid w:val="0049471D"/>
    <w:rsid w:val="00494ECE"/>
    <w:rsid w:val="004952E9"/>
    <w:rsid w:val="00496766"/>
    <w:rsid w:val="0049729E"/>
    <w:rsid w:val="0049793B"/>
    <w:rsid w:val="004A09F0"/>
    <w:rsid w:val="004A17B9"/>
    <w:rsid w:val="004A1827"/>
    <w:rsid w:val="004A1B4F"/>
    <w:rsid w:val="004A1D0C"/>
    <w:rsid w:val="004A4061"/>
    <w:rsid w:val="004A4A62"/>
    <w:rsid w:val="004A56CE"/>
    <w:rsid w:val="004A5F57"/>
    <w:rsid w:val="004A654B"/>
    <w:rsid w:val="004A67F0"/>
    <w:rsid w:val="004A7F42"/>
    <w:rsid w:val="004B02A5"/>
    <w:rsid w:val="004B0571"/>
    <w:rsid w:val="004B05F7"/>
    <w:rsid w:val="004B1BEB"/>
    <w:rsid w:val="004B2A63"/>
    <w:rsid w:val="004B3372"/>
    <w:rsid w:val="004B3906"/>
    <w:rsid w:val="004B397F"/>
    <w:rsid w:val="004B52F2"/>
    <w:rsid w:val="004B59AA"/>
    <w:rsid w:val="004B6880"/>
    <w:rsid w:val="004B6D1D"/>
    <w:rsid w:val="004B7DC0"/>
    <w:rsid w:val="004B7E06"/>
    <w:rsid w:val="004C01FB"/>
    <w:rsid w:val="004C12DB"/>
    <w:rsid w:val="004C355B"/>
    <w:rsid w:val="004C3B44"/>
    <w:rsid w:val="004C3D67"/>
    <w:rsid w:val="004C59DF"/>
    <w:rsid w:val="004C5D39"/>
    <w:rsid w:val="004C5E76"/>
    <w:rsid w:val="004C5EEA"/>
    <w:rsid w:val="004C6153"/>
    <w:rsid w:val="004C6ADC"/>
    <w:rsid w:val="004D150D"/>
    <w:rsid w:val="004D19F3"/>
    <w:rsid w:val="004D29C4"/>
    <w:rsid w:val="004D3363"/>
    <w:rsid w:val="004D3DE3"/>
    <w:rsid w:val="004D4C06"/>
    <w:rsid w:val="004D4DFE"/>
    <w:rsid w:val="004D53DD"/>
    <w:rsid w:val="004D6CC7"/>
    <w:rsid w:val="004D78E9"/>
    <w:rsid w:val="004E0571"/>
    <w:rsid w:val="004E08B8"/>
    <w:rsid w:val="004E0E56"/>
    <w:rsid w:val="004E1267"/>
    <w:rsid w:val="004E1FD2"/>
    <w:rsid w:val="004E1FDA"/>
    <w:rsid w:val="004E2699"/>
    <w:rsid w:val="004E273B"/>
    <w:rsid w:val="004E3B06"/>
    <w:rsid w:val="004E4939"/>
    <w:rsid w:val="004E4C9E"/>
    <w:rsid w:val="004E51CE"/>
    <w:rsid w:val="004E687B"/>
    <w:rsid w:val="004E6EC8"/>
    <w:rsid w:val="004E756E"/>
    <w:rsid w:val="004F0698"/>
    <w:rsid w:val="004F13D5"/>
    <w:rsid w:val="004F18F1"/>
    <w:rsid w:val="004F30B0"/>
    <w:rsid w:val="004F351A"/>
    <w:rsid w:val="004F3F6C"/>
    <w:rsid w:val="004F4AF2"/>
    <w:rsid w:val="004F4BA3"/>
    <w:rsid w:val="004F4BCB"/>
    <w:rsid w:val="004F638F"/>
    <w:rsid w:val="004F704C"/>
    <w:rsid w:val="004F7A8F"/>
    <w:rsid w:val="004F7DDE"/>
    <w:rsid w:val="00500EE5"/>
    <w:rsid w:val="00501D05"/>
    <w:rsid w:val="00502053"/>
    <w:rsid w:val="00502095"/>
    <w:rsid w:val="0050288F"/>
    <w:rsid w:val="00502A0E"/>
    <w:rsid w:val="00502C8C"/>
    <w:rsid w:val="00503551"/>
    <w:rsid w:val="005035AA"/>
    <w:rsid w:val="00503F7C"/>
    <w:rsid w:val="00503FC6"/>
    <w:rsid w:val="00504AB5"/>
    <w:rsid w:val="00505583"/>
    <w:rsid w:val="00505835"/>
    <w:rsid w:val="005058E7"/>
    <w:rsid w:val="00505A8C"/>
    <w:rsid w:val="00505EE6"/>
    <w:rsid w:val="00506099"/>
    <w:rsid w:val="0050626B"/>
    <w:rsid w:val="0050687B"/>
    <w:rsid w:val="00507A91"/>
    <w:rsid w:val="00507F0D"/>
    <w:rsid w:val="005103E9"/>
    <w:rsid w:val="00510FDC"/>
    <w:rsid w:val="0051143C"/>
    <w:rsid w:val="005123F8"/>
    <w:rsid w:val="005126BD"/>
    <w:rsid w:val="0051280E"/>
    <w:rsid w:val="00513EA3"/>
    <w:rsid w:val="00515944"/>
    <w:rsid w:val="0051601C"/>
    <w:rsid w:val="00516B4F"/>
    <w:rsid w:val="00517FDC"/>
    <w:rsid w:val="00520212"/>
    <w:rsid w:val="00520E76"/>
    <w:rsid w:val="00521AAB"/>
    <w:rsid w:val="00523A99"/>
    <w:rsid w:val="00523B30"/>
    <w:rsid w:val="005248C5"/>
    <w:rsid w:val="0052508B"/>
    <w:rsid w:val="00525382"/>
    <w:rsid w:val="0052575D"/>
    <w:rsid w:val="005262A6"/>
    <w:rsid w:val="00526415"/>
    <w:rsid w:val="00526D36"/>
    <w:rsid w:val="005279E6"/>
    <w:rsid w:val="0053009B"/>
    <w:rsid w:val="00530A24"/>
    <w:rsid w:val="005311B3"/>
    <w:rsid w:val="005341EA"/>
    <w:rsid w:val="00534ECE"/>
    <w:rsid w:val="005351E5"/>
    <w:rsid w:val="00536BEA"/>
    <w:rsid w:val="00536DD6"/>
    <w:rsid w:val="00537950"/>
    <w:rsid w:val="0054098F"/>
    <w:rsid w:val="00540D5C"/>
    <w:rsid w:val="0054127B"/>
    <w:rsid w:val="00541A6F"/>
    <w:rsid w:val="00541C0F"/>
    <w:rsid w:val="00541C97"/>
    <w:rsid w:val="0054257C"/>
    <w:rsid w:val="005429E3"/>
    <w:rsid w:val="00542F47"/>
    <w:rsid w:val="0054395D"/>
    <w:rsid w:val="00543D57"/>
    <w:rsid w:val="00544B71"/>
    <w:rsid w:val="005462A4"/>
    <w:rsid w:val="005462BE"/>
    <w:rsid w:val="00546597"/>
    <w:rsid w:val="005475D6"/>
    <w:rsid w:val="0054785E"/>
    <w:rsid w:val="005515F5"/>
    <w:rsid w:val="00551736"/>
    <w:rsid w:val="00551C5D"/>
    <w:rsid w:val="005520BB"/>
    <w:rsid w:val="00552111"/>
    <w:rsid w:val="0055308D"/>
    <w:rsid w:val="00554533"/>
    <w:rsid w:val="00554D4B"/>
    <w:rsid w:val="00554D84"/>
    <w:rsid w:val="00555654"/>
    <w:rsid w:val="0055568A"/>
    <w:rsid w:val="00555EC7"/>
    <w:rsid w:val="0055634E"/>
    <w:rsid w:val="00557589"/>
    <w:rsid w:val="00560BB2"/>
    <w:rsid w:val="0056152F"/>
    <w:rsid w:val="005617CE"/>
    <w:rsid w:val="0056215C"/>
    <w:rsid w:val="005624C1"/>
    <w:rsid w:val="005628C2"/>
    <w:rsid w:val="00562ECD"/>
    <w:rsid w:val="00563368"/>
    <w:rsid w:val="00564BBB"/>
    <w:rsid w:val="00565C05"/>
    <w:rsid w:val="00566D44"/>
    <w:rsid w:val="005674DB"/>
    <w:rsid w:val="0056750E"/>
    <w:rsid w:val="00567A09"/>
    <w:rsid w:val="00570380"/>
    <w:rsid w:val="005708C9"/>
    <w:rsid w:val="00570AD8"/>
    <w:rsid w:val="00571140"/>
    <w:rsid w:val="005712D1"/>
    <w:rsid w:val="005731C1"/>
    <w:rsid w:val="005738B1"/>
    <w:rsid w:val="00573990"/>
    <w:rsid w:val="00575761"/>
    <w:rsid w:val="00575C97"/>
    <w:rsid w:val="005769E0"/>
    <w:rsid w:val="005775A8"/>
    <w:rsid w:val="00577664"/>
    <w:rsid w:val="00577A89"/>
    <w:rsid w:val="0058132F"/>
    <w:rsid w:val="00581BB1"/>
    <w:rsid w:val="005830CC"/>
    <w:rsid w:val="005839F1"/>
    <w:rsid w:val="005859CE"/>
    <w:rsid w:val="00585E2C"/>
    <w:rsid w:val="005862DE"/>
    <w:rsid w:val="005869A6"/>
    <w:rsid w:val="005908DD"/>
    <w:rsid w:val="00590920"/>
    <w:rsid w:val="0059464F"/>
    <w:rsid w:val="005948D1"/>
    <w:rsid w:val="00595C0E"/>
    <w:rsid w:val="005962CE"/>
    <w:rsid w:val="00596313"/>
    <w:rsid w:val="00596830"/>
    <w:rsid w:val="005969C7"/>
    <w:rsid w:val="00596D96"/>
    <w:rsid w:val="00596E37"/>
    <w:rsid w:val="00596FFE"/>
    <w:rsid w:val="005A0552"/>
    <w:rsid w:val="005A1DB1"/>
    <w:rsid w:val="005A230A"/>
    <w:rsid w:val="005A27AD"/>
    <w:rsid w:val="005A29BC"/>
    <w:rsid w:val="005A2F47"/>
    <w:rsid w:val="005A3C1A"/>
    <w:rsid w:val="005A42B1"/>
    <w:rsid w:val="005A4EED"/>
    <w:rsid w:val="005A5C29"/>
    <w:rsid w:val="005A6563"/>
    <w:rsid w:val="005A67E2"/>
    <w:rsid w:val="005A6E80"/>
    <w:rsid w:val="005A7527"/>
    <w:rsid w:val="005B0B61"/>
    <w:rsid w:val="005B0D69"/>
    <w:rsid w:val="005B128A"/>
    <w:rsid w:val="005B1310"/>
    <w:rsid w:val="005B1DA8"/>
    <w:rsid w:val="005B1E6B"/>
    <w:rsid w:val="005B2059"/>
    <w:rsid w:val="005B2903"/>
    <w:rsid w:val="005B3955"/>
    <w:rsid w:val="005B52FD"/>
    <w:rsid w:val="005C0FB9"/>
    <w:rsid w:val="005C1261"/>
    <w:rsid w:val="005C1739"/>
    <w:rsid w:val="005C1848"/>
    <w:rsid w:val="005C1BAA"/>
    <w:rsid w:val="005C1EFE"/>
    <w:rsid w:val="005C2734"/>
    <w:rsid w:val="005C2F4A"/>
    <w:rsid w:val="005C342B"/>
    <w:rsid w:val="005C370E"/>
    <w:rsid w:val="005C3811"/>
    <w:rsid w:val="005C5407"/>
    <w:rsid w:val="005C5572"/>
    <w:rsid w:val="005C5D04"/>
    <w:rsid w:val="005D0688"/>
    <w:rsid w:val="005D0F7B"/>
    <w:rsid w:val="005D1975"/>
    <w:rsid w:val="005D3BD5"/>
    <w:rsid w:val="005D481E"/>
    <w:rsid w:val="005D4910"/>
    <w:rsid w:val="005D5577"/>
    <w:rsid w:val="005D66DF"/>
    <w:rsid w:val="005D69F2"/>
    <w:rsid w:val="005D78F9"/>
    <w:rsid w:val="005E0C0F"/>
    <w:rsid w:val="005E1001"/>
    <w:rsid w:val="005E12F3"/>
    <w:rsid w:val="005E156F"/>
    <w:rsid w:val="005E23C0"/>
    <w:rsid w:val="005E2EB8"/>
    <w:rsid w:val="005E328C"/>
    <w:rsid w:val="005E3621"/>
    <w:rsid w:val="005E3AAD"/>
    <w:rsid w:val="005E41C1"/>
    <w:rsid w:val="005E444E"/>
    <w:rsid w:val="005E487A"/>
    <w:rsid w:val="005E48AE"/>
    <w:rsid w:val="005E72E5"/>
    <w:rsid w:val="005F0E27"/>
    <w:rsid w:val="005F14DC"/>
    <w:rsid w:val="005F261E"/>
    <w:rsid w:val="005F2AAB"/>
    <w:rsid w:val="005F3B80"/>
    <w:rsid w:val="005F465C"/>
    <w:rsid w:val="005F4971"/>
    <w:rsid w:val="005F49C5"/>
    <w:rsid w:val="005F5B3A"/>
    <w:rsid w:val="005F6187"/>
    <w:rsid w:val="005F62B5"/>
    <w:rsid w:val="005F77C9"/>
    <w:rsid w:val="00601018"/>
    <w:rsid w:val="00601B4D"/>
    <w:rsid w:val="0060309F"/>
    <w:rsid w:val="006034F0"/>
    <w:rsid w:val="00603AB0"/>
    <w:rsid w:val="00603D65"/>
    <w:rsid w:val="0060427D"/>
    <w:rsid w:val="00604918"/>
    <w:rsid w:val="006055AF"/>
    <w:rsid w:val="006058E7"/>
    <w:rsid w:val="00605F45"/>
    <w:rsid w:val="006065A2"/>
    <w:rsid w:val="00606CC9"/>
    <w:rsid w:val="00606F79"/>
    <w:rsid w:val="006071BB"/>
    <w:rsid w:val="00607D24"/>
    <w:rsid w:val="00610B39"/>
    <w:rsid w:val="00610ED3"/>
    <w:rsid w:val="006110EC"/>
    <w:rsid w:val="00611238"/>
    <w:rsid w:val="006118F6"/>
    <w:rsid w:val="00611AD1"/>
    <w:rsid w:val="00612A7D"/>
    <w:rsid w:val="00613124"/>
    <w:rsid w:val="00613520"/>
    <w:rsid w:val="0061371B"/>
    <w:rsid w:val="0061411B"/>
    <w:rsid w:val="006145BF"/>
    <w:rsid w:val="00614CBB"/>
    <w:rsid w:val="00614E87"/>
    <w:rsid w:val="006152D7"/>
    <w:rsid w:val="006154D9"/>
    <w:rsid w:val="00616195"/>
    <w:rsid w:val="006163B6"/>
    <w:rsid w:val="006175CE"/>
    <w:rsid w:val="00621BD3"/>
    <w:rsid w:val="00622214"/>
    <w:rsid w:val="00622694"/>
    <w:rsid w:val="00623814"/>
    <w:rsid w:val="00623E4E"/>
    <w:rsid w:val="00624077"/>
    <w:rsid w:val="006242FA"/>
    <w:rsid w:val="0062474D"/>
    <w:rsid w:val="00626141"/>
    <w:rsid w:val="0062678C"/>
    <w:rsid w:val="00626791"/>
    <w:rsid w:val="00627E48"/>
    <w:rsid w:val="006313C3"/>
    <w:rsid w:val="00631C13"/>
    <w:rsid w:val="00631D3D"/>
    <w:rsid w:val="00632929"/>
    <w:rsid w:val="0063314B"/>
    <w:rsid w:val="006333F0"/>
    <w:rsid w:val="00633AC2"/>
    <w:rsid w:val="00634765"/>
    <w:rsid w:val="00634AFC"/>
    <w:rsid w:val="00635EBC"/>
    <w:rsid w:val="006371FA"/>
    <w:rsid w:val="00640413"/>
    <w:rsid w:val="006408EC"/>
    <w:rsid w:val="00640D92"/>
    <w:rsid w:val="0064117B"/>
    <w:rsid w:val="006415E3"/>
    <w:rsid w:val="006418ED"/>
    <w:rsid w:val="00641F08"/>
    <w:rsid w:val="00642031"/>
    <w:rsid w:val="00644341"/>
    <w:rsid w:val="00645E81"/>
    <w:rsid w:val="00646575"/>
    <w:rsid w:val="0064684B"/>
    <w:rsid w:val="00646A1D"/>
    <w:rsid w:val="00647008"/>
    <w:rsid w:val="006475C8"/>
    <w:rsid w:val="006476B4"/>
    <w:rsid w:val="00647C65"/>
    <w:rsid w:val="00650A91"/>
    <w:rsid w:val="00651429"/>
    <w:rsid w:val="00651D87"/>
    <w:rsid w:val="0065201A"/>
    <w:rsid w:val="00652A83"/>
    <w:rsid w:val="00653DA6"/>
    <w:rsid w:val="00655817"/>
    <w:rsid w:val="006558EF"/>
    <w:rsid w:val="00655B4C"/>
    <w:rsid w:val="00655E9C"/>
    <w:rsid w:val="006566BB"/>
    <w:rsid w:val="00656F7B"/>
    <w:rsid w:val="00657E73"/>
    <w:rsid w:val="006613C1"/>
    <w:rsid w:val="006614BE"/>
    <w:rsid w:val="00661D33"/>
    <w:rsid w:val="006621F3"/>
    <w:rsid w:val="00662E54"/>
    <w:rsid w:val="00662F79"/>
    <w:rsid w:val="00662FBB"/>
    <w:rsid w:val="00663EE1"/>
    <w:rsid w:val="006640E7"/>
    <w:rsid w:val="006642C2"/>
    <w:rsid w:val="006655E0"/>
    <w:rsid w:val="00665783"/>
    <w:rsid w:val="006659F8"/>
    <w:rsid w:val="00665D48"/>
    <w:rsid w:val="00665F5B"/>
    <w:rsid w:val="00666D47"/>
    <w:rsid w:val="00666FC1"/>
    <w:rsid w:val="0066713C"/>
    <w:rsid w:val="00667ADF"/>
    <w:rsid w:val="00667BD9"/>
    <w:rsid w:val="0067048A"/>
    <w:rsid w:val="00670D4E"/>
    <w:rsid w:val="0067200F"/>
    <w:rsid w:val="0067263E"/>
    <w:rsid w:val="00672D22"/>
    <w:rsid w:val="006730C9"/>
    <w:rsid w:val="00673537"/>
    <w:rsid w:val="0067585F"/>
    <w:rsid w:val="00675D51"/>
    <w:rsid w:val="00676658"/>
    <w:rsid w:val="00677175"/>
    <w:rsid w:val="00677E86"/>
    <w:rsid w:val="006809FC"/>
    <w:rsid w:val="00680EE8"/>
    <w:rsid w:val="0068130D"/>
    <w:rsid w:val="00681596"/>
    <w:rsid w:val="0068193E"/>
    <w:rsid w:val="00682520"/>
    <w:rsid w:val="00682802"/>
    <w:rsid w:val="00682E7C"/>
    <w:rsid w:val="00683090"/>
    <w:rsid w:val="00683897"/>
    <w:rsid w:val="00684A8B"/>
    <w:rsid w:val="00685377"/>
    <w:rsid w:val="00685590"/>
    <w:rsid w:val="006859C5"/>
    <w:rsid w:val="00685BA0"/>
    <w:rsid w:val="00685CDD"/>
    <w:rsid w:val="00686AF5"/>
    <w:rsid w:val="006873DE"/>
    <w:rsid w:val="006874F8"/>
    <w:rsid w:val="00687B3C"/>
    <w:rsid w:val="006909E2"/>
    <w:rsid w:val="006913BA"/>
    <w:rsid w:val="006917AF"/>
    <w:rsid w:val="006920F5"/>
    <w:rsid w:val="00692851"/>
    <w:rsid w:val="00692B04"/>
    <w:rsid w:val="00692CBE"/>
    <w:rsid w:val="006946A8"/>
    <w:rsid w:val="00694A66"/>
    <w:rsid w:val="00696B35"/>
    <w:rsid w:val="00697162"/>
    <w:rsid w:val="00697D4D"/>
    <w:rsid w:val="006A0323"/>
    <w:rsid w:val="006A05E6"/>
    <w:rsid w:val="006A1887"/>
    <w:rsid w:val="006A1FE5"/>
    <w:rsid w:val="006A22DA"/>
    <w:rsid w:val="006A26CC"/>
    <w:rsid w:val="006A2F43"/>
    <w:rsid w:val="006A442E"/>
    <w:rsid w:val="006A5C8F"/>
    <w:rsid w:val="006A5F60"/>
    <w:rsid w:val="006A6245"/>
    <w:rsid w:val="006A63BB"/>
    <w:rsid w:val="006A7737"/>
    <w:rsid w:val="006B1021"/>
    <w:rsid w:val="006B1CB8"/>
    <w:rsid w:val="006B2EB1"/>
    <w:rsid w:val="006B3335"/>
    <w:rsid w:val="006B3545"/>
    <w:rsid w:val="006B384C"/>
    <w:rsid w:val="006B38DC"/>
    <w:rsid w:val="006B4796"/>
    <w:rsid w:val="006B49EA"/>
    <w:rsid w:val="006B4A3A"/>
    <w:rsid w:val="006B4F08"/>
    <w:rsid w:val="006B4F3D"/>
    <w:rsid w:val="006B7243"/>
    <w:rsid w:val="006B7737"/>
    <w:rsid w:val="006C0BF0"/>
    <w:rsid w:val="006C0ED5"/>
    <w:rsid w:val="006C11BE"/>
    <w:rsid w:val="006C12CD"/>
    <w:rsid w:val="006C199E"/>
    <w:rsid w:val="006C1A24"/>
    <w:rsid w:val="006C21D4"/>
    <w:rsid w:val="006C250D"/>
    <w:rsid w:val="006C32D6"/>
    <w:rsid w:val="006C52F2"/>
    <w:rsid w:val="006D08ED"/>
    <w:rsid w:val="006D0BEB"/>
    <w:rsid w:val="006D0DBE"/>
    <w:rsid w:val="006D1298"/>
    <w:rsid w:val="006D16F5"/>
    <w:rsid w:val="006D2890"/>
    <w:rsid w:val="006D3D36"/>
    <w:rsid w:val="006D470E"/>
    <w:rsid w:val="006D4CAE"/>
    <w:rsid w:val="006D56BF"/>
    <w:rsid w:val="006D6560"/>
    <w:rsid w:val="006D6A01"/>
    <w:rsid w:val="006D741C"/>
    <w:rsid w:val="006E0474"/>
    <w:rsid w:val="006E0869"/>
    <w:rsid w:val="006E0C4C"/>
    <w:rsid w:val="006E1253"/>
    <w:rsid w:val="006E2407"/>
    <w:rsid w:val="006E243C"/>
    <w:rsid w:val="006E2BD3"/>
    <w:rsid w:val="006E321F"/>
    <w:rsid w:val="006E36EC"/>
    <w:rsid w:val="006E385A"/>
    <w:rsid w:val="006E4F2D"/>
    <w:rsid w:val="006E54B5"/>
    <w:rsid w:val="006E5DFE"/>
    <w:rsid w:val="006E7187"/>
    <w:rsid w:val="006E7608"/>
    <w:rsid w:val="006F1B15"/>
    <w:rsid w:val="006F2961"/>
    <w:rsid w:val="006F2B1E"/>
    <w:rsid w:val="006F475B"/>
    <w:rsid w:val="006F49A3"/>
    <w:rsid w:val="006F4A14"/>
    <w:rsid w:val="006F4E13"/>
    <w:rsid w:val="006F54A0"/>
    <w:rsid w:val="006F5575"/>
    <w:rsid w:val="006F6005"/>
    <w:rsid w:val="006F6232"/>
    <w:rsid w:val="006F6471"/>
    <w:rsid w:val="006F6EC3"/>
    <w:rsid w:val="006F7253"/>
    <w:rsid w:val="0070031D"/>
    <w:rsid w:val="00701042"/>
    <w:rsid w:val="00702266"/>
    <w:rsid w:val="00703EBE"/>
    <w:rsid w:val="0070493E"/>
    <w:rsid w:val="007052DA"/>
    <w:rsid w:val="00705AF7"/>
    <w:rsid w:val="00706060"/>
    <w:rsid w:val="007064B4"/>
    <w:rsid w:val="00706BAF"/>
    <w:rsid w:val="00706E99"/>
    <w:rsid w:val="00707012"/>
    <w:rsid w:val="00707323"/>
    <w:rsid w:val="00707F91"/>
    <w:rsid w:val="00711967"/>
    <w:rsid w:val="00712078"/>
    <w:rsid w:val="007124D8"/>
    <w:rsid w:val="007124EF"/>
    <w:rsid w:val="0071285F"/>
    <w:rsid w:val="00712FC5"/>
    <w:rsid w:val="007130B8"/>
    <w:rsid w:val="00713274"/>
    <w:rsid w:val="0071793D"/>
    <w:rsid w:val="00717C74"/>
    <w:rsid w:val="007203A9"/>
    <w:rsid w:val="00720BA7"/>
    <w:rsid w:val="00721078"/>
    <w:rsid w:val="007247EA"/>
    <w:rsid w:val="007249EE"/>
    <w:rsid w:val="00724C83"/>
    <w:rsid w:val="00726218"/>
    <w:rsid w:val="00726F16"/>
    <w:rsid w:val="007270AA"/>
    <w:rsid w:val="0072724B"/>
    <w:rsid w:val="007274F4"/>
    <w:rsid w:val="0072779A"/>
    <w:rsid w:val="00727A3C"/>
    <w:rsid w:val="00730EBB"/>
    <w:rsid w:val="0073150F"/>
    <w:rsid w:val="00732311"/>
    <w:rsid w:val="0073344C"/>
    <w:rsid w:val="00733B2B"/>
    <w:rsid w:val="00733E57"/>
    <w:rsid w:val="0073418C"/>
    <w:rsid w:val="00736166"/>
    <w:rsid w:val="00736300"/>
    <w:rsid w:val="00736833"/>
    <w:rsid w:val="00736BCB"/>
    <w:rsid w:val="00740320"/>
    <w:rsid w:val="00740425"/>
    <w:rsid w:val="00740E1D"/>
    <w:rsid w:val="00743BBA"/>
    <w:rsid w:val="0074431D"/>
    <w:rsid w:val="00746B99"/>
    <w:rsid w:val="007477A1"/>
    <w:rsid w:val="00750B0B"/>
    <w:rsid w:val="00750C86"/>
    <w:rsid w:val="007516BE"/>
    <w:rsid w:val="007526B1"/>
    <w:rsid w:val="00752996"/>
    <w:rsid w:val="00752FE3"/>
    <w:rsid w:val="007530B7"/>
    <w:rsid w:val="00753161"/>
    <w:rsid w:val="00753412"/>
    <w:rsid w:val="0075372C"/>
    <w:rsid w:val="007542FE"/>
    <w:rsid w:val="00754950"/>
    <w:rsid w:val="00755751"/>
    <w:rsid w:val="00755B09"/>
    <w:rsid w:val="00756F5C"/>
    <w:rsid w:val="00757EB4"/>
    <w:rsid w:val="0076021C"/>
    <w:rsid w:val="00760653"/>
    <w:rsid w:val="00760698"/>
    <w:rsid w:val="007608BC"/>
    <w:rsid w:val="0076183E"/>
    <w:rsid w:val="00762DBE"/>
    <w:rsid w:val="0076364C"/>
    <w:rsid w:val="00765A77"/>
    <w:rsid w:val="00765AB4"/>
    <w:rsid w:val="007662CE"/>
    <w:rsid w:val="0077017F"/>
    <w:rsid w:val="00770EA9"/>
    <w:rsid w:val="00771412"/>
    <w:rsid w:val="007724B2"/>
    <w:rsid w:val="00772639"/>
    <w:rsid w:val="00772B09"/>
    <w:rsid w:val="00774111"/>
    <w:rsid w:val="00774C73"/>
    <w:rsid w:val="007752BB"/>
    <w:rsid w:val="0077555E"/>
    <w:rsid w:val="00775B83"/>
    <w:rsid w:val="00775F77"/>
    <w:rsid w:val="00775F98"/>
    <w:rsid w:val="007763A0"/>
    <w:rsid w:val="00776C23"/>
    <w:rsid w:val="0077730C"/>
    <w:rsid w:val="0078048E"/>
    <w:rsid w:val="00781E42"/>
    <w:rsid w:val="00782542"/>
    <w:rsid w:val="007827A9"/>
    <w:rsid w:val="00782804"/>
    <w:rsid w:val="00782E73"/>
    <w:rsid w:val="007834E4"/>
    <w:rsid w:val="00784133"/>
    <w:rsid w:val="00785A79"/>
    <w:rsid w:val="00786569"/>
    <w:rsid w:val="00787854"/>
    <w:rsid w:val="00787A55"/>
    <w:rsid w:val="007906CE"/>
    <w:rsid w:val="00790757"/>
    <w:rsid w:val="00791180"/>
    <w:rsid w:val="00791612"/>
    <w:rsid w:val="0079236B"/>
    <w:rsid w:val="0079266A"/>
    <w:rsid w:val="00792A78"/>
    <w:rsid w:val="0079301D"/>
    <w:rsid w:val="00793389"/>
    <w:rsid w:val="00793832"/>
    <w:rsid w:val="00793CA4"/>
    <w:rsid w:val="00793E40"/>
    <w:rsid w:val="007944BF"/>
    <w:rsid w:val="0079470E"/>
    <w:rsid w:val="00794951"/>
    <w:rsid w:val="00794ED3"/>
    <w:rsid w:val="00795010"/>
    <w:rsid w:val="00795AC2"/>
    <w:rsid w:val="00795C54"/>
    <w:rsid w:val="00796331"/>
    <w:rsid w:val="007972F0"/>
    <w:rsid w:val="007977FA"/>
    <w:rsid w:val="007A03DA"/>
    <w:rsid w:val="007A1676"/>
    <w:rsid w:val="007A2F49"/>
    <w:rsid w:val="007A323E"/>
    <w:rsid w:val="007A3D04"/>
    <w:rsid w:val="007A40F4"/>
    <w:rsid w:val="007A42F4"/>
    <w:rsid w:val="007A48F7"/>
    <w:rsid w:val="007A53A6"/>
    <w:rsid w:val="007A6552"/>
    <w:rsid w:val="007A6F87"/>
    <w:rsid w:val="007A78BC"/>
    <w:rsid w:val="007B07A1"/>
    <w:rsid w:val="007B07A6"/>
    <w:rsid w:val="007B2148"/>
    <w:rsid w:val="007B2391"/>
    <w:rsid w:val="007B23B1"/>
    <w:rsid w:val="007B252D"/>
    <w:rsid w:val="007B25FC"/>
    <w:rsid w:val="007B26CE"/>
    <w:rsid w:val="007B2A81"/>
    <w:rsid w:val="007B352D"/>
    <w:rsid w:val="007B3CCA"/>
    <w:rsid w:val="007B40E9"/>
    <w:rsid w:val="007B52AB"/>
    <w:rsid w:val="007B5F9D"/>
    <w:rsid w:val="007B6056"/>
    <w:rsid w:val="007B6091"/>
    <w:rsid w:val="007B713A"/>
    <w:rsid w:val="007B7653"/>
    <w:rsid w:val="007C0364"/>
    <w:rsid w:val="007C05AB"/>
    <w:rsid w:val="007C10D5"/>
    <w:rsid w:val="007C12D8"/>
    <w:rsid w:val="007C17D0"/>
    <w:rsid w:val="007C2448"/>
    <w:rsid w:val="007C2A02"/>
    <w:rsid w:val="007C3EE8"/>
    <w:rsid w:val="007C43AE"/>
    <w:rsid w:val="007C4B52"/>
    <w:rsid w:val="007C50E6"/>
    <w:rsid w:val="007C5589"/>
    <w:rsid w:val="007C71F5"/>
    <w:rsid w:val="007D0781"/>
    <w:rsid w:val="007D13D3"/>
    <w:rsid w:val="007D2707"/>
    <w:rsid w:val="007D2EAF"/>
    <w:rsid w:val="007D44B6"/>
    <w:rsid w:val="007D4C64"/>
    <w:rsid w:val="007D4EB3"/>
    <w:rsid w:val="007D7E77"/>
    <w:rsid w:val="007E0884"/>
    <w:rsid w:val="007E1DEC"/>
    <w:rsid w:val="007E2045"/>
    <w:rsid w:val="007E298A"/>
    <w:rsid w:val="007E2E23"/>
    <w:rsid w:val="007E4FAC"/>
    <w:rsid w:val="007E7829"/>
    <w:rsid w:val="007F02CF"/>
    <w:rsid w:val="007F0E5B"/>
    <w:rsid w:val="007F1625"/>
    <w:rsid w:val="007F1DF8"/>
    <w:rsid w:val="007F2D62"/>
    <w:rsid w:val="007F3555"/>
    <w:rsid w:val="007F35BE"/>
    <w:rsid w:val="007F3C86"/>
    <w:rsid w:val="007F491C"/>
    <w:rsid w:val="007F64B4"/>
    <w:rsid w:val="007F6A36"/>
    <w:rsid w:val="007F6C44"/>
    <w:rsid w:val="00800352"/>
    <w:rsid w:val="00801989"/>
    <w:rsid w:val="008019B2"/>
    <w:rsid w:val="00801A5A"/>
    <w:rsid w:val="00801F17"/>
    <w:rsid w:val="008025A4"/>
    <w:rsid w:val="00802ABE"/>
    <w:rsid w:val="00804BB3"/>
    <w:rsid w:val="0080515F"/>
    <w:rsid w:val="008053ED"/>
    <w:rsid w:val="008056FB"/>
    <w:rsid w:val="0080690E"/>
    <w:rsid w:val="00807FC9"/>
    <w:rsid w:val="00810E1A"/>
    <w:rsid w:val="0081153A"/>
    <w:rsid w:val="0081403E"/>
    <w:rsid w:val="0081445E"/>
    <w:rsid w:val="008146E9"/>
    <w:rsid w:val="00815222"/>
    <w:rsid w:val="00815D75"/>
    <w:rsid w:val="008165E3"/>
    <w:rsid w:val="00822433"/>
    <w:rsid w:val="008236BE"/>
    <w:rsid w:val="00824B79"/>
    <w:rsid w:val="008253A5"/>
    <w:rsid w:val="00825D5E"/>
    <w:rsid w:val="00826105"/>
    <w:rsid w:val="00826159"/>
    <w:rsid w:val="00827D65"/>
    <w:rsid w:val="00830A73"/>
    <w:rsid w:val="00831379"/>
    <w:rsid w:val="00832E63"/>
    <w:rsid w:val="00833A25"/>
    <w:rsid w:val="00833F8E"/>
    <w:rsid w:val="00833FAE"/>
    <w:rsid w:val="00836331"/>
    <w:rsid w:val="00836555"/>
    <w:rsid w:val="00841051"/>
    <w:rsid w:val="00841563"/>
    <w:rsid w:val="00842F51"/>
    <w:rsid w:val="0084395B"/>
    <w:rsid w:val="0084424A"/>
    <w:rsid w:val="008444F5"/>
    <w:rsid w:val="00846357"/>
    <w:rsid w:val="008505AE"/>
    <w:rsid w:val="00850D7E"/>
    <w:rsid w:val="00850E13"/>
    <w:rsid w:val="00850EB3"/>
    <w:rsid w:val="00851BBE"/>
    <w:rsid w:val="00852FA0"/>
    <w:rsid w:val="0085388F"/>
    <w:rsid w:val="008539E6"/>
    <w:rsid w:val="0085401B"/>
    <w:rsid w:val="008561FB"/>
    <w:rsid w:val="00856364"/>
    <w:rsid w:val="0085682A"/>
    <w:rsid w:val="00857D19"/>
    <w:rsid w:val="00860976"/>
    <w:rsid w:val="008616B0"/>
    <w:rsid w:val="00861875"/>
    <w:rsid w:val="00861FC2"/>
    <w:rsid w:val="008624D4"/>
    <w:rsid w:val="00862E3B"/>
    <w:rsid w:val="00865071"/>
    <w:rsid w:val="0086539B"/>
    <w:rsid w:val="008675C3"/>
    <w:rsid w:val="008716A3"/>
    <w:rsid w:val="008719D8"/>
    <w:rsid w:val="00872808"/>
    <w:rsid w:val="0087298E"/>
    <w:rsid w:val="00872CB1"/>
    <w:rsid w:val="00872FAA"/>
    <w:rsid w:val="008733C5"/>
    <w:rsid w:val="0087413B"/>
    <w:rsid w:val="0087486A"/>
    <w:rsid w:val="00874B4C"/>
    <w:rsid w:val="00876353"/>
    <w:rsid w:val="00876375"/>
    <w:rsid w:val="0087673D"/>
    <w:rsid w:val="00877F23"/>
    <w:rsid w:val="008803E9"/>
    <w:rsid w:val="0088062F"/>
    <w:rsid w:val="00880635"/>
    <w:rsid w:val="0088310E"/>
    <w:rsid w:val="0088409D"/>
    <w:rsid w:val="00884294"/>
    <w:rsid w:val="008849E8"/>
    <w:rsid w:val="00884D61"/>
    <w:rsid w:val="0088510F"/>
    <w:rsid w:val="00885110"/>
    <w:rsid w:val="00885F90"/>
    <w:rsid w:val="0088638B"/>
    <w:rsid w:val="00886631"/>
    <w:rsid w:val="00886B70"/>
    <w:rsid w:val="008913C6"/>
    <w:rsid w:val="0089173F"/>
    <w:rsid w:val="00892EC7"/>
    <w:rsid w:val="00895A28"/>
    <w:rsid w:val="00896603"/>
    <w:rsid w:val="00896B8B"/>
    <w:rsid w:val="00896F41"/>
    <w:rsid w:val="008973B3"/>
    <w:rsid w:val="0089773B"/>
    <w:rsid w:val="00897EE6"/>
    <w:rsid w:val="008A1715"/>
    <w:rsid w:val="008A2AA9"/>
    <w:rsid w:val="008A3115"/>
    <w:rsid w:val="008A3757"/>
    <w:rsid w:val="008A3844"/>
    <w:rsid w:val="008A3B55"/>
    <w:rsid w:val="008A478C"/>
    <w:rsid w:val="008A4B24"/>
    <w:rsid w:val="008A62B6"/>
    <w:rsid w:val="008B0067"/>
    <w:rsid w:val="008B0545"/>
    <w:rsid w:val="008B1184"/>
    <w:rsid w:val="008B1741"/>
    <w:rsid w:val="008B1C7A"/>
    <w:rsid w:val="008B29D0"/>
    <w:rsid w:val="008B35DA"/>
    <w:rsid w:val="008B3A16"/>
    <w:rsid w:val="008B4A0C"/>
    <w:rsid w:val="008B5035"/>
    <w:rsid w:val="008B5D0B"/>
    <w:rsid w:val="008B70CC"/>
    <w:rsid w:val="008B7DA7"/>
    <w:rsid w:val="008C00D0"/>
    <w:rsid w:val="008C041A"/>
    <w:rsid w:val="008C057A"/>
    <w:rsid w:val="008C15E4"/>
    <w:rsid w:val="008C1972"/>
    <w:rsid w:val="008C1BE0"/>
    <w:rsid w:val="008C1D23"/>
    <w:rsid w:val="008C30B7"/>
    <w:rsid w:val="008C34F1"/>
    <w:rsid w:val="008C3E09"/>
    <w:rsid w:val="008C4161"/>
    <w:rsid w:val="008C42E3"/>
    <w:rsid w:val="008C49B4"/>
    <w:rsid w:val="008C723C"/>
    <w:rsid w:val="008C76E0"/>
    <w:rsid w:val="008D097B"/>
    <w:rsid w:val="008D0F71"/>
    <w:rsid w:val="008D1216"/>
    <w:rsid w:val="008D1A7D"/>
    <w:rsid w:val="008D288A"/>
    <w:rsid w:val="008D292D"/>
    <w:rsid w:val="008D2BCE"/>
    <w:rsid w:val="008D340D"/>
    <w:rsid w:val="008D3EF4"/>
    <w:rsid w:val="008D4E7A"/>
    <w:rsid w:val="008D5CC8"/>
    <w:rsid w:val="008D5FA9"/>
    <w:rsid w:val="008D65F9"/>
    <w:rsid w:val="008D679F"/>
    <w:rsid w:val="008D6DE5"/>
    <w:rsid w:val="008D737A"/>
    <w:rsid w:val="008D7F5B"/>
    <w:rsid w:val="008E04EF"/>
    <w:rsid w:val="008E0904"/>
    <w:rsid w:val="008E1129"/>
    <w:rsid w:val="008E1581"/>
    <w:rsid w:val="008E2CA8"/>
    <w:rsid w:val="008E4811"/>
    <w:rsid w:val="008E4E4B"/>
    <w:rsid w:val="008E56EE"/>
    <w:rsid w:val="008E5B1C"/>
    <w:rsid w:val="008E5FE7"/>
    <w:rsid w:val="008E6042"/>
    <w:rsid w:val="008E6704"/>
    <w:rsid w:val="008E6816"/>
    <w:rsid w:val="008E7521"/>
    <w:rsid w:val="008F1DE8"/>
    <w:rsid w:val="008F259D"/>
    <w:rsid w:val="008F35E1"/>
    <w:rsid w:val="008F3DE3"/>
    <w:rsid w:val="008F43D3"/>
    <w:rsid w:val="008F452E"/>
    <w:rsid w:val="008F4D2E"/>
    <w:rsid w:val="008F4FFB"/>
    <w:rsid w:val="008F5937"/>
    <w:rsid w:val="008F6821"/>
    <w:rsid w:val="008F68A4"/>
    <w:rsid w:val="008F7091"/>
    <w:rsid w:val="008F75C0"/>
    <w:rsid w:val="009000D8"/>
    <w:rsid w:val="00900A31"/>
    <w:rsid w:val="00900B73"/>
    <w:rsid w:val="00902C3E"/>
    <w:rsid w:val="00902D2A"/>
    <w:rsid w:val="009052B9"/>
    <w:rsid w:val="00906154"/>
    <w:rsid w:val="00906719"/>
    <w:rsid w:val="00906EC7"/>
    <w:rsid w:val="009071B0"/>
    <w:rsid w:val="00907CFF"/>
    <w:rsid w:val="00910EA8"/>
    <w:rsid w:val="009114D2"/>
    <w:rsid w:val="009116D6"/>
    <w:rsid w:val="0091282D"/>
    <w:rsid w:val="00912BB2"/>
    <w:rsid w:val="00912E25"/>
    <w:rsid w:val="00912F1A"/>
    <w:rsid w:val="00914B2F"/>
    <w:rsid w:val="00914D36"/>
    <w:rsid w:val="009158B1"/>
    <w:rsid w:val="00915E8C"/>
    <w:rsid w:val="009163F7"/>
    <w:rsid w:val="009172BB"/>
    <w:rsid w:val="00917ECB"/>
    <w:rsid w:val="00921312"/>
    <w:rsid w:val="0092199C"/>
    <w:rsid w:val="00925DC3"/>
    <w:rsid w:val="009268FE"/>
    <w:rsid w:val="0093119D"/>
    <w:rsid w:val="00931426"/>
    <w:rsid w:val="00931FCD"/>
    <w:rsid w:val="009326DC"/>
    <w:rsid w:val="00932A12"/>
    <w:rsid w:val="00933AB8"/>
    <w:rsid w:val="0093448C"/>
    <w:rsid w:val="0093481B"/>
    <w:rsid w:val="00935A87"/>
    <w:rsid w:val="00935AD9"/>
    <w:rsid w:val="00935C14"/>
    <w:rsid w:val="00935D51"/>
    <w:rsid w:val="00935F8C"/>
    <w:rsid w:val="009361A0"/>
    <w:rsid w:val="00936430"/>
    <w:rsid w:val="00937468"/>
    <w:rsid w:val="00937A8B"/>
    <w:rsid w:val="00937FAD"/>
    <w:rsid w:val="0094040D"/>
    <w:rsid w:val="00942B6D"/>
    <w:rsid w:val="00943EB9"/>
    <w:rsid w:val="00945020"/>
    <w:rsid w:val="00945707"/>
    <w:rsid w:val="00945712"/>
    <w:rsid w:val="0094575C"/>
    <w:rsid w:val="00946A5E"/>
    <w:rsid w:val="00946C4B"/>
    <w:rsid w:val="00950116"/>
    <w:rsid w:val="00951708"/>
    <w:rsid w:val="00951B13"/>
    <w:rsid w:val="00951D63"/>
    <w:rsid w:val="00952397"/>
    <w:rsid w:val="0095328B"/>
    <w:rsid w:val="00954357"/>
    <w:rsid w:val="00954843"/>
    <w:rsid w:val="00954E7F"/>
    <w:rsid w:val="00955D72"/>
    <w:rsid w:val="009562B6"/>
    <w:rsid w:val="00956F5D"/>
    <w:rsid w:val="00960198"/>
    <w:rsid w:val="0096042D"/>
    <w:rsid w:val="0096059F"/>
    <w:rsid w:val="00960C12"/>
    <w:rsid w:val="00960C52"/>
    <w:rsid w:val="0096120D"/>
    <w:rsid w:val="009615F4"/>
    <w:rsid w:val="00961710"/>
    <w:rsid w:val="0096185A"/>
    <w:rsid w:val="009639A9"/>
    <w:rsid w:val="00963C4D"/>
    <w:rsid w:val="0096472F"/>
    <w:rsid w:val="009648A3"/>
    <w:rsid w:val="009653B2"/>
    <w:rsid w:val="009657D9"/>
    <w:rsid w:val="00966039"/>
    <w:rsid w:val="009663F4"/>
    <w:rsid w:val="00966640"/>
    <w:rsid w:val="00967AC7"/>
    <w:rsid w:val="00967D39"/>
    <w:rsid w:val="0097004A"/>
    <w:rsid w:val="00970D40"/>
    <w:rsid w:val="00970EA5"/>
    <w:rsid w:val="009711C5"/>
    <w:rsid w:val="009713F9"/>
    <w:rsid w:val="0097145B"/>
    <w:rsid w:val="00971CAE"/>
    <w:rsid w:val="00973094"/>
    <w:rsid w:val="009732C6"/>
    <w:rsid w:val="009748D0"/>
    <w:rsid w:val="00975485"/>
    <w:rsid w:val="0097577D"/>
    <w:rsid w:val="00975B97"/>
    <w:rsid w:val="009760FB"/>
    <w:rsid w:val="00976DC0"/>
    <w:rsid w:val="00976EDF"/>
    <w:rsid w:val="0098217D"/>
    <w:rsid w:val="00982825"/>
    <w:rsid w:val="00982DB3"/>
    <w:rsid w:val="00984C8F"/>
    <w:rsid w:val="009857F5"/>
    <w:rsid w:val="00985FC0"/>
    <w:rsid w:val="0098637D"/>
    <w:rsid w:val="00986C2F"/>
    <w:rsid w:val="0098772A"/>
    <w:rsid w:val="009900EE"/>
    <w:rsid w:val="00990AED"/>
    <w:rsid w:val="00990C1C"/>
    <w:rsid w:val="009910AA"/>
    <w:rsid w:val="009911A6"/>
    <w:rsid w:val="0099164E"/>
    <w:rsid w:val="00991CAB"/>
    <w:rsid w:val="009924C2"/>
    <w:rsid w:val="00992667"/>
    <w:rsid w:val="00993492"/>
    <w:rsid w:val="00993CD9"/>
    <w:rsid w:val="0099537B"/>
    <w:rsid w:val="00995DF6"/>
    <w:rsid w:val="009962B8"/>
    <w:rsid w:val="00997E95"/>
    <w:rsid w:val="009A002B"/>
    <w:rsid w:val="009A01C9"/>
    <w:rsid w:val="009A262D"/>
    <w:rsid w:val="009A2F7F"/>
    <w:rsid w:val="009A31C7"/>
    <w:rsid w:val="009A516F"/>
    <w:rsid w:val="009A5903"/>
    <w:rsid w:val="009A5976"/>
    <w:rsid w:val="009A5D9C"/>
    <w:rsid w:val="009A61B6"/>
    <w:rsid w:val="009A6D1C"/>
    <w:rsid w:val="009A6E6B"/>
    <w:rsid w:val="009B068A"/>
    <w:rsid w:val="009B1518"/>
    <w:rsid w:val="009B1D1A"/>
    <w:rsid w:val="009B1F22"/>
    <w:rsid w:val="009B2E75"/>
    <w:rsid w:val="009B3309"/>
    <w:rsid w:val="009B3971"/>
    <w:rsid w:val="009B45FB"/>
    <w:rsid w:val="009B4911"/>
    <w:rsid w:val="009B56CC"/>
    <w:rsid w:val="009B57E2"/>
    <w:rsid w:val="009B6421"/>
    <w:rsid w:val="009B73A1"/>
    <w:rsid w:val="009B77EF"/>
    <w:rsid w:val="009C00C4"/>
    <w:rsid w:val="009C03DD"/>
    <w:rsid w:val="009C09DF"/>
    <w:rsid w:val="009C1F4D"/>
    <w:rsid w:val="009C240B"/>
    <w:rsid w:val="009C38F5"/>
    <w:rsid w:val="009C3BDC"/>
    <w:rsid w:val="009C5980"/>
    <w:rsid w:val="009C59FE"/>
    <w:rsid w:val="009C5E87"/>
    <w:rsid w:val="009C7F3A"/>
    <w:rsid w:val="009D0030"/>
    <w:rsid w:val="009D05CC"/>
    <w:rsid w:val="009D060A"/>
    <w:rsid w:val="009D0FBE"/>
    <w:rsid w:val="009D172F"/>
    <w:rsid w:val="009D174B"/>
    <w:rsid w:val="009D24F3"/>
    <w:rsid w:val="009D25C1"/>
    <w:rsid w:val="009D641E"/>
    <w:rsid w:val="009D7497"/>
    <w:rsid w:val="009D7846"/>
    <w:rsid w:val="009D7F9E"/>
    <w:rsid w:val="009E0D9C"/>
    <w:rsid w:val="009E10FC"/>
    <w:rsid w:val="009E625D"/>
    <w:rsid w:val="009E68F2"/>
    <w:rsid w:val="009E69D8"/>
    <w:rsid w:val="009E6FF5"/>
    <w:rsid w:val="009E75B1"/>
    <w:rsid w:val="009F157E"/>
    <w:rsid w:val="009F18EB"/>
    <w:rsid w:val="009F3545"/>
    <w:rsid w:val="009F364A"/>
    <w:rsid w:val="009F45F8"/>
    <w:rsid w:val="009F4990"/>
    <w:rsid w:val="009F54FA"/>
    <w:rsid w:val="009F5849"/>
    <w:rsid w:val="009F5EB8"/>
    <w:rsid w:val="009F6626"/>
    <w:rsid w:val="009F6985"/>
    <w:rsid w:val="009F6E78"/>
    <w:rsid w:val="009F7081"/>
    <w:rsid w:val="009F723C"/>
    <w:rsid w:val="009F7306"/>
    <w:rsid w:val="009F777C"/>
    <w:rsid w:val="00A00279"/>
    <w:rsid w:val="00A00F4E"/>
    <w:rsid w:val="00A01478"/>
    <w:rsid w:val="00A01FF4"/>
    <w:rsid w:val="00A02CB8"/>
    <w:rsid w:val="00A04AF9"/>
    <w:rsid w:val="00A04CB6"/>
    <w:rsid w:val="00A05167"/>
    <w:rsid w:val="00A05367"/>
    <w:rsid w:val="00A05BB8"/>
    <w:rsid w:val="00A063D7"/>
    <w:rsid w:val="00A06A23"/>
    <w:rsid w:val="00A06D37"/>
    <w:rsid w:val="00A0725D"/>
    <w:rsid w:val="00A07926"/>
    <w:rsid w:val="00A079F7"/>
    <w:rsid w:val="00A119E2"/>
    <w:rsid w:val="00A11E50"/>
    <w:rsid w:val="00A12104"/>
    <w:rsid w:val="00A129C2"/>
    <w:rsid w:val="00A12ACE"/>
    <w:rsid w:val="00A12C7E"/>
    <w:rsid w:val="00A140F1"/>
    <w:rsid w:val="00A149B7"/>
    <w:rsid w:val="00A14FF5"/>
    <w:rsid w:val="00A15C48"/>
    <w:rsid w:val="00A16290"/>
    <w:rsid w:val="00A171EF"/>
    <w:rsid w:val="00A201AB"/>
    <w:rsid w:val="00A20B44"/>
    <w:rsid w:val="00A214C0"/>
    <w:rsid w:val="00A22272"/>
    <w:rsid w:val="00A230B4"/>
    <w:rsid w:val="00A23439"/>
    <w:rsid w:val="00A23CA6"/>
    <w:rsid w:val="00A2481D"/>
    <w:rsid w:val="00A24B31"/>
    <w:rsid w:val="00A24DA3"/>
    <w:rsid w:val="00A24F63"/>
    <w:rsid w:val="00A25168"/>
    <w:rsid w:val="00A25C78"/>
    <w:rsid w:val="00A261F9"/>
    <w:rsid w:val="00A27588"/>
    <w:rsid w:val="00A30017"/>
    <w:rsid w:val="00A30A4A"/>
    <w:rsid w:val="00A324C1"/>
    <w:rsid w:val="00A3276D"/>
    <w:rsid w:val="00A32FAC"/>
    <w:rsid w:val="00A3396B"/>
    <w:rsid w:val="00A33B6E"/>
    <w:rsid w:val="00A3447B"/>
    <w:rsid w:val="00A34D6B"/>
    <w:rsid w:val="00A34F0A"/>
    <w:rsid w:val="00A35402"/>
    <w:rsid w:val="00A35545"/>
    <w:rsid w:val="00A3568A"/>
    <w:rsid w:val="00A356A8"/>
    <w:rsid w:val="00A35C12"/>
    <w:rsid w:val="00A35E4B"/>
    <w:rsid w:val="00A36ABB"/>
    <w:rsid w:val="00A37C55"/>
    <w:rsid w:val="00A41D5B"/>
    <w:rsid w:val="00A425B6"/>
    <w:rsid w:val="00A427A3"/>
    <w:rsid w:val="00A43F53"/>
    <w:rsid w:val="00A4597F"/>
    <w:rsid w:val="00A46278"/>
    <w:rsid w:val="00A46B35"/>
    <w:rsid w:val="00A46F58"/>
    <w:rsid w:val="00A47649"/>
    <w:rsid w:val="00A47B0A"/>
    <w:rsid w:val="00A51346"/>
    <w:rsid w:val="00A51733"/>
    <w:rsid w:val="00A51D92"/>
    <w:rsid w:val="00A52108"/>
    <w:rsid w:val="00A5219A"/>
    <w:rsid w:val="00A521D6"/>
    <w:rsid w:val="00A52AC0"/>
    <w:rsid w:val="00A53252"/>
    <w:rsid w:val="00A534EE"/>
    <w:rsid w:val="00A5358C"/>
    <w:rsid w:val="00A535BC"/>
    <w:rsid w:val="00A53746"/>
    <w:rsid w:val="00A53F7D"/>
    <w:rsid w:val="00A541AB"/>
    <w:rsid w:val="00A54294"/>
    <w:rsid w:val="00A546A0"/>
    <w:rsid w:val="00A547B4"/>
    <w:rsid w:val="00A55DDF"/>
    <w:rsid w:val="00A56016"/>
    <w:rsid w:val="00A6016A"/>
    <w:rsid w:val="00A6021F"/>
    <w:rsid w:val="00A604A6"/>
    <w:rsid w:val="00A605AA"/>
    <w:rsid w:val="00A60602"/>
    <w:rsid w:val="00A61FAB"/>
    <w:rsid w:val="00A62B43"/>
    <w:rsid w:val="00A62CCC"/>
    <w:rsid w:val="00A632D7"/>
    <w:rsid w:val="00A63944"/>
    <w:rsid w:val="00A64DA0"/>
    <w:rsid w:val="00A658EC"/>
    <w:rsid w:val="00A65B10"/>
    <w:rsid w:val="00A65C62"/>
    <w:rsid w:val="00A665CE"/>
    <w:rsid w:val="00A70538"/>
    <w:rsid w:val="00A743F5"/>
    <w:rsid w:val="00A74B0E"/>
    <w:rsid w:val="00A74D7C"/>
    <w:rsid w:val="00A75E06"/>
    <w:rsid w:val="00A76160"/>
    <w:rsid w:val="00A7632A"/>
    <w:rsid w:val="00A76520"/>
    <w:rsid w:val="00A76ABF"/>
    <w:rsid w:val="00A77AC5"/>
    <w:rsid w:val="00A77C1B"/>
    <w:rsid w:val="00A77E8F"/>
    <w:rsid w:val="00A8027F"/>
    <w:rsid w:val="00A8091F"/>
    <w:rsid w:val="00A81C28"/>
    <w:rsid w:val="00A81EFC"/>
    <w:rsid w:val="00A84267"/>
    <w:rsid w:val="00A851B7"/>
    <w:rsid w:val="00A85C0A"/>
    <w:rsid w:val="00A85DD6"/>
    <w:rsid w:val="00A86483"/>
    <w:rsid w:val="00A86663"/>
    <w:rsid w:val="00A873C0"/>
    <w:rsid w:val="00A917B0"/>
    <w:rsid w:val="00A91D54"/>
    <w:rsid w:val="00A9256B"/>
    <w:rsid w:val="00A937F3"/>
    <w:rsid w:val="00A93C6F"/>
    <w:rsid w:val="00A944DB"/>
    <w:rsid w:val="00A94B99"/>
    <w:rsid w:val="00A952C6"/>
    <w:rsid w:val="00A95D86"/>
    <w:rsid w:val="00A964C0"/>
    <w:rsid w:val="00A968A0"/>
    <w:rsid w:val="00A970B5"/>
    <w:rsid w:val="00A9722E"/>
    <w:rsid w:val="00AA0195"/>
    <w:rsid w:val="00AA01B4"/>
    <w:rsid w:val="00AA0A13"/>
    <w:rsid w:val="00AA4DD2"/>
    <w:rsid w:val="00AA4E0E"/>
    <w:rsid w:val="00AA63BB"/>
    <w:rsid w:val="00AA6509"/>
    <w:rsid w:val="00AA726A"/>
    <w:rsid w:val="00AB0041"/>
    <w:rsid w:val="00AB064C"/>
    <w:rsid w:val="00AB1436"/>
    <w:rsid w:val="00AB195D"/>
    <w:rsid w:val="00AB1C8C"/>
    <w:rsid w:val="00AB1CD2"/>
    <w:rsid w:val="00AB3B3B"/>
    <w:rsid w:val="00AB43B1"/>
    <w:rsid w:val="00AB5250"/>
    <w:rsid w:val="00AB5846"/>
    <w:rsid w:val="00AB5977"/>
    <w:rsid w:val="00AB6DA0"/>
    <w:rsid w:val="00AB78AE"/>
    <w:rsid w:val="00AB7919"/>
    <w:rsid w:val="00AB7E06"/>
    <w:rsid w:val="00AB7F71"/>
    <w:rsid w:val="00AC0F36"/>
    <w:rsid w:val="00AC0F58"/>
    <w:rsid w:val="00AC14D5"/>
    <w:rsid w:val="00AC14F0"/>
    <w:rsid w:val="00AC1A20"/>
    <w:rsid w:val="00AC1E40"/>
    <w:rsid w:val="00AC1F1A"/>
    <w:rsid w:val="00AC29A1"/>
    <w:rsid w:val="00AC2D31"/>
    <w:rsid w:val="00AC2D94"/>
    <w:rsid w:val="00AC3B54"/>
    <w:rsid w:val="00AC5A7D"/>
    <w:rsid w:val="00AC5C44"/>
    <w:rsid w:val="00AC61D0"/>
    <w:rsid w:val="00AC647B"/>
    <w:rsid w:val="00AC649C"/>
    <w:rsid w:val="00AC6508"/>
    <w:rsid w:val="00AC7091"/>
    <w:rsid w:val="00AC7326"/>
    <w:rsid w:val="00AC74EF"/>
    <w:rsid w:val="00AD015E"/>
    <w:rsid w:val="00AD0218"/>
    <w:rsid w:val="00AD15CC"/>
    <w:rsid w:val="00AD168F"/>
    <w:rsid w:val="00AD17D9"/>
    <w:rsid w:val="00AD23C3"/>
    <w:rsid w:val="00AD2723"/>
    <w:rsid w:val="00AD2754"/>
    <w:rsid w:val="00AD32D1"/>
    <w:rsid w:val="00AD344C"/>
    <w:rsid w:val="00AD35ED"/>
    <w:rsid w:val="00AD36EE"/>
    <w:rsid w:val="00AD3F5D"/>
    <w:rsid w:val="00AD62D4"/>
    <w:rsid w:val="00AD68A5"/>
    <w:rsid w:val="00AD6ACE"/>
    <w:rsid w:val="00AD70FB"/>
    <w:rsid w:val="00AE0333"/>
    <w:rsid w:val="00AE06A4"/>
    <w:rsid w:val="00AE0B77"/>
    <w:rsid w:val="00AE0E79"/>
    <w:rsid w:val="00AE1B9A"/>
    <w:rsid w:val="00AE2C67"/>
    <w:rsid w:val="00AE3BFA"/>
    <w:rsid w:val="00AE4294"/>
    <w:rsid w:val="00AE4931"/>
    <w:rsid w:val="00AE4F92"/>
    <w:rsid w:val="00AE519F"/>
    <w:rsid w:val="00AE6589"/>
    <w:rsid w:val="00AE6BF7"/>
    <w:rsid w:val="00AE70B2"/>
    <w:rsid w:val="00AE776D"/>
    <w:rsid w:val="00AF009A"/>
    <w:rsid w:val="00AF0342"/>
    <w:rsid w:val="00AF08C7"/>
    <w:rsid w:val="00AF187A"/>
    <w:rsid w:val="00AF1D2B"/>
    <w:rsid w:val="00AF24E5"/>
    <w:rsid w:val="00AF254A"/>
    <w:rsid w:val="00AF25D6"/>
    <w:rsid w:val="00AF269A"/>
    <w:rsid w:val="00AF49EF"/>
    <w:rsid w:val="00AF4B4E"/>
    <w:rsid w:val="00AF52DB"/>
    <w:rsid w:val="00B009CF"/>
    <w:rsid w:val="00B01135"/>
    <w:rsid w:val="00B01608"/>
    <w:rsid w:val="00B01F0E"/>
    <w:rsid w:val="00B02264"/>
    <w:rsid w:val="00B0367C"/>
    <w:rsid w:val="00B04110"/>
    <w:rsid w:val="00B046BB"/>
    <w:rsid w:val="00B046FE"/>
    <w:rsid w:val="00B0510A"/>
    <w:rsid w:val="00B05154"/>
    <w:rsid w:val="00B05465"/>
    <w:rsid w:val="00B06F8A"/>
    <w:rsid w:val="00B07B17"/>
    <w:rsid w:val="00B10B37"/>
    <w:rsid w:val="00B12EBB"/>
    <w:rsid w:val="00B1390D"/>
    <w:rsid w:val="00B139C2"/>
    <w:rsid w:val="00B13D34"/>
    <w:rsid w:val="00B13D54"/>
    <w:rsid w:val="00B13F3B"/>
    <w:rsid w:val="00B14C01"/>
    <w:rsid w:val="00B15FA0"/>
    <w:rsid w:val="00B17029"/>
    <w:rsid w:val="00B1796F"/>
    <w:rsid w:val="00B17A90"/>
    <w:rsid w:val="00B200D0"/>
    <w:rsid w:val="00B210C0"/>
    <w:rsid w:val="00B2149F"/>
    <w:rsid w:val="00B2229C"/>
    <w:rsid w:val="00B2290C"/>
    <w:rsid w:val="00B22956"/>
    <w:rsid w:val="00B22A5B"/>
    <w:rsid w:val="00B22B78"/>
    <w:rsid w:val="00B230A7"/>
    <w:rsid w:val="00B23D82"/>
    <w:rsid w:val="00B24519"/>
    <w:rsid w:val="00B24956"/>
    <w:rsid w:val="00B24DC3"/>
    <w:rsid w:val="00B25635"/>
    <w:rsid w:val="00B25704"/>
    <w:rsid w:val="00B25A65"/>
    <w:rsid w:val="00B25B19"/>
    <w:rsid w:val="00B26285"/>
    <w:rsid w:val="00B276E2"/>
    <w:rsid w:val="00B30536"/>
    <w:rsid w:val="00B3080E"/>
    <w:rsid w:val="00B309D6"/>
    <w:rsid w:val="00B33F77"/>
    <w:rsid w:val="00B3501C"/>
    <w:rsid w:val="00B35BD2"/>
    <w:rsid w:val="00B3627B"/>
    <w:rsid w:val="00B369D8"/>
    <w:rsid w:val="00B36D8B"/>
    <w:rsid w:val="00B37DA7"/>
    <w:rsid w:val="00B4005F"/>
    <w:rsid w:val="00B411D0"/>
    <w:rsid w:val="00B41BAD"/>
    <w:rsid w:val="00B41BE1"/>
    <w:rsid w:val="00B426E3"/>
    <w:rsid w:val="00B43E53"/>
    <w:rsid w:val="00B43E83"/>
    <w:rsid w:val="00B44924"/>
    <w:rsid w:val="00B44B97"/>
    <w:rsid w:val="00B4698A"/>
    <w:rsid w:val="00B469BB"/>
    <w:rsid w:val="00B47740"/>
    <w:rsid w:val="00B5001C"/>
    <w:rsid w:val="00B500C0"/>
    <w:rsid w:val="00B50254"/>
    <w:rsid w:val="00B50BF8"/>
    <w:rsid w:val="00B511C8"/>
    <w:rsid w:val="00B51386"/>
    <w:rsid w:val="00B526FE"/>
    <w:rsid w:val="00B541DE"/>
    <w:rsid w:val="00B556DF"/>
    <w:rsid w:val="00B5660C"/>
    <w:rsid w:val="00B57412"/>
    <w:rsid w:val="00B57A1F"/>
    <w:rsid w:val="00B60695"/>
    <w:rsid w:val="00B619EA"/>
    <w:rsid w:val="00B63458"/>
    <w:rsid w:val="00B64B5E"/>
    <w:rsid w:val="00B64C4E"/>
    <w:rsid w:val="00B64E99"/>
    <w:rsid w:val="00B65C1B"/>
    <w:rsid w:val="00B66E45"/>
    <w:rsid w:val="00B67E1A"/>
    <w:rsid w:val="00B7021F"/>
    <w:rsid w:val="00B7064E"/>
    <w:rsid w:val="00B71A01"/>
    <w:rsid w:val="00B726F5"/>
    <w:rsid w:val="00B73044"/>
    <w:rsid w:val="00B7454B"/>
    <w:rsid w:val="00B74A27"/>
    <w:rsid w:val="00B757EC"/>
    <w:rsid w:val="00B75841"/>
    <w:rsid w:val="00B75BD3"/>
    <w:rsid w:val="00B75C1B"/>
    <w:rsid w:val="00B761C5"/>
    <w:rsid w:val="00B76346"/>
    <w:rsid w:val="00B76842"/>
    <w:rsid w:val="00B770F5"/>
    <w:rsid w:val="00B81BE2"/>
    <w:rsid w:val="00B8273C"/>
    <w:rsid w:val="00B84F66"/>
    <w:rsid w:val="00B8649A"/>
    <w:rsid w:val="00B86AEE"/>
    <w:rsid w:val="00B8770B"/>
    <w:rsid w:val="00B8776C"/>
    <w:rsid w:val="00B87918"/>
    <w:rsid w:val="00B87CBA"/>
    <w:rsid w:val="00B87E2E"/>
    <w:rsid w:val="00B9058C"/>
    <w:rsid w:val="00B9108B"/>
    <w:rsid w:val="00B91950"/>
    <w:rsid w:val="00B91FBB"/>
    <w:rsid w:val="00B924CB"/>
    <w:rsid w:val="00B9258B"/>
    <w:rsid w:val="00B931D1"/>
    <w:rsid w:val="00B94B9D"/>
    <w:rsid w:val="00B95C75"/>
    <w:rsid w:val="00B96135"/>
    <w:rsid w:val="00B96D6E"/>
    <w:rsid w:val="00B97220"/>
    <w:rsid w:val="00BA1E42"/>
    <w:rsid w:val="00BA28CB"/>
    <w:rsid w:val="00BA2F02"/>
    <w:rsid w:val="00BA6180"/>
    <w:rsid w:val="00BA7438"/>
    <w:rsid w:val="00BA7721"/>
    <w:rsid w:val="00BA7990"/>
    <w:rsid w:val="00BB03EF"/>
    <w:rsid w:val="00BB0A59"/>
    <w:rsid w:val="00BB1724"/>
    <w:rsid w:val="00BB1EFE"/>
    <w:rsid w:val="00BB1FC8"/>
    <w:rsid w:val="00BB2157"/>
    <w:rsid w:val="00BB26C5"/>
    <w:rsid w:val="00BB325F"/>
    <w:rsid w:val="00BB3EC6"/>
    <w:rsid w:val="00BB3ED8"/>
    <w:rsid w:val="00BB52DB"/>
    <w:rsid w:val="00BB5C24"/>
    <w:rsid w:val="00BB6367"/>
    <w:rsid w:val="00BB78AF"/>
    <w:rsid w:val="00BC0B03"/>
    <w:rsid w:val="00BC2103"/>
    <w:rsid w:val="00BC22C8"/>
    <w:rsid w:val="00BC286B"/>
    <w:rsid w:val="00BC2A69"/>
    <w:rsid w:val="00BC2B30"/>
    <w:rsid w:val="00BC2CD8"/>
    <w:rsid w:val="00BC2E4B"/>
    <w:rsid w:val="00BC30A5"/>
    <w:rsid w:val="00BC3135"/>
    <w:rsid w:val="00BC3848"/>
    <w:rsid w:val="00BC3B4B"/>
    <w:rsid w:val="00BC4AD5"/>
    <w:rsid w:val="00BC597B"/>
    <w:rsid w:val="00BC5F25"/>
    <w:rsid w:val="00BC68FA"/>
    <w:rsid w:val="00BC6EA4"/>
    <w:rsid w:val="00BC72C7"/>
    <w:rsid w:val="00BC7C79"/>
    <w:rsid w:val="00BD153C"/>
    <w:rsid w:val="00BD16D1"/>
    <w:rsid w:val="00BD1992"/>
    <w:rsid w:val="00BD2E6F"/>
    <w:rsid w:val="00BD3DFD"/>
    <w:rsid w:val="00BD5543"/>
    <w:rsid w:val="00BD5CFE"/>
    <w:rsid w:val="00BD6547"/>
    <w:rsid w:val="00BD7475"/>
    <w:rsid w:val="00BD7624"/>
    <w:rsid w:val="00BD7F23"/>
    <w:rsid w:val="00BE03CE"/>
    <w:rsid w:val="00BE0E23"/>
    <w:rsid w:val="00BE1EB8"/>
    <w:rsid w:val="00BE2541"/>
    <w:rsid w:val="00BE2FF5"/>
    <w:rsid w:val="00BE3598"/>
    <w:rsid w:val="00BE37FD"/>
    <w:rsid w:val="00BE4F4E"/>
    <w:rsid w:val="00BE543F"/>
    <w:rsid w:val="00BE5C6E"/>
    <w:rsid w:val="00BE781F"/>
    <w:rsid w:val="00BF015D"/>
    <w:rsid w:val="00BF15C7"/>
    <w:rsid w:val="00BF2380"/>
    <w:rsid w:val="00BF292C"/>
    <w:rsid w:val="00BF2BC2"/>
    <w:rsid w:val="00BF3782"/>
    <w:rsid w:val="00BF3BFC"/>
    <w:rsid w:val="00BF4ABE"/>
    <w:rsid w:val="00BF62AA"/>
    <w:rsid w:val="00BF6577"/>
    <w:rsid w:val="00BF6922"/>
    <w:rsid w:val="00BF6B44"/>
    <w:rsid w:val="00BF6D0E"/>
    <w:rsid w:val="00BF71D3"/>
    <w:rsid w:val="00BF743B"/>
    <w:rsid w:val="00BF753E"/>
    <w:rsid w:val="00C003BE"/>
    <w:rsid w:val="00C0118F"/>
    <w:rsid w:val="00C02634"/>
    <w:rsid w:val="00C02BC0"/>
    <w:rsid w:val="00C034FE"/>
    <w:rsid w:val="00C04A73"/>
    <w:rsid w:val="00C05F7B"/>
    <w:rsid w:val="00C0600D"/>
    <w:rsid w:val="00C0638C"/>
    <w:rsid w:val="00C079B0"/>
    <w:rsid w:val="00C07B07"/>
    <w:rsid w:val="00C07CBD"/>
    <w:rsid w:val="00C07DB3"/>
    <w:rsid w:val="00C101B2"/>
    <w:rsid w:val="00C101FB"/>
    <w:rsid w:val="00C105A7"/>
    <w:rsid w:val="00C106F9"/>
    <w:rsid w:val="00C10A33"/>
    <w:rsid w:val="00C1116F"/>
    <w:rsid w:val="00C11446"/>
    <w:rsid w:val="00C1203A"/>
    <w:rsid w:val="00C12963"/>
    <w:rsid w:val="00C162D6"/>
    <w:rsid w:val="00C1631D"/>
    <w:rsid w:val="00C16C45"/>
    <w:rsid w:val="00C1769E"/>
    <w:rsid w:val="00C17C1E"/>
    <w:rsid w:val="00C2002C"/>
    <w:rsid w:val="00C21D68"/>
    <w:rsid w:val="00C21FCB"/>
    <w:rsid w:val="00C22D00"/>
    <w:rsid w:val="00C233FA"/>
    <w:rsid w:val="00C24979"/>
    <w:rsid w:val="00C25F09"/>
    <w:rsid w:val="00C26C59"/>
    <w:rsid w:val="00C27BD4"/>
    <w:rsid w:val="00C30909"/>
    <w:rsid w:val="00C30BF5"/>
    <w:rsid w:val="00C30EEE"/>
    <w:rsid w:val="00C313BF"/>
    <w:rsid w:val="00C3160A"/>
    <w:rsid w:val="00C31F98"/>
    <w:rsid w:val="00C32482"/>
    <w:rsid w:val="00C33196"/>
    <w:rsid w:val="00C3364E"/>
    <w:rsid w:val="00C34B0D"/>
    <w:rsid w:val="00C34FBF"/>
    <w:rsid w:val="00C34FDF"/>
    <w:rsid w:val="00C36881"/>
    <w:rsid w:val="00C375FD"/>
    <w:rsid w:val="00C40220"/>
    <w:rsid w:val="00C40502"/>
    <w:rsid w:val="00C40C8A"/>
    <w:rsid w:val="00C40CF7"/>
    <w:rsid w:val="00C4299B"/>
    <w:rsid w:val="00C43208"/>
    <w:rsid w:val="00C43467"/>
    <w:rsid w:val="00C434E5"/>
    <w:rsid w:val="00C43562"/>
    <w:rsid w:val="00C4460A"/>
    <w:rsid w:val="00C45C2A"/>
    <w:rsid w:val="00C4689D"/>
    <w:rsid w:val="00C4765D"/>
    <w:rsid w:val="00C47733"/>
    <w:rsid w:val="00C47FE4"/>
    <w:rsid w:val="00C50637"/>
    <w:rsid w:val="00C5159C"/>
    <w:rsid w:val="00C515E2"/>
    <w:rsid w:val="00C52382"/>
    <w:rsid w:val="00C525BF"/>
    <w:rsid w:val="00C56512"/>
    <w:rsid w:val="00C56E42"/>
    <w:rsid w:val="00C577A3"/>
    <w:rsid w:val="00C60826"/>
    <w:rsid w:val="00C6110D"/>
    <w:rsid w:val="00C618C8"/>
    <w:rsid w:val="00C61DB2"/>
    <w:rsid w:val="00C62C64"/>
    <w:rsid w:val="00C635FE"/>
    <w:rsid w:val="00C63A19"/>
    <w:rsid w:val="00C6434B"/>
    <w:rsid w:val="00C644C8"/>
    <w:rsid w:val="00C6465A"/>
    <w:rsid w:val="00C65AF2"/>
    <w:rsid w:val="00C67661"/>
    <w:rsid w:val="00C67D7E"/>
    <w:rsid w:val="00C67EFB"/>
    <w:rsid w:val="00C70599"/>
    <w:rsid w:val="00C70AD6"/>
    <w:rsid w:val="00C71BE2"/>
    <w:rsid w:val="00C71F7E"/>
    <w:rsid w:val="00C7202B"/>
    <w:rsid w:val="00C7244E"/>
    <w:rsid w:val="00C7427B"/>
    <w:rsid w:val="00C75295"/>
    <w:rsid w:val="00C769A4"/>
    <w:rsid w:val="00C77381"/>
    <w:rsid w:val="00C801F3"/>
    <w:rsid w:val="00C80342"/>
    <w:rsid w:val="00C80444"/>
    <w:rsid w:val="00C81379"/>
    <w:rsid w:val="00C817B6"/>
    <w:rsid w:val="00C8354F"/>
    <w:rsid w:val="00C84549"/>
    <w:rsid w:val="00C84C50"/>
    <w:rsid w:val="00C852A7"/>
    <w:rsid w:val="00C85EB7"/>
    <w:rsid w:val="00C86317"/>
    <w:rsid w:val="00C8633A"/>
    <w:rsid w:val="00C866AF"/>
    <w:rsid w:val="00C866EF"/>
    <w:rsid w:val="00C870B1"/>
    <w:rsid w:val="00C90339"/>
    <w:rsid w:val="00C9085D"/>
    <w:rsid w:val="00C91C48"/>
    <w:rsid w:val="00C91ECC"/>
    <w:rsid w:val="00C91EE3"/>
    <w:rsid w:val="00C92789"/>
    <w:rsid w:val="00C92998"/>
    <w:rsid w:val="00C92C71"/>
    <w:rsid w:val="00C931F7"/>
    <w:rsid w:val="00C9394E"/>
    <w:rsid w:val="00C93E3B"/>
    <w:rsid w:val="00C9473F"/>
    <w:rsid w:val="00C94DC9"/>
    <w:rsid w:val="00C95559"/>
    <w:rsid w:val="00C969DE"/>
    <w:rsid w:val="00C97672"/>
    <w:rsid w:val="00CA12F6"/>
    <w:rsid w:val="00CA156D"/>
    <w:rsid w:val="00CA1634"/>
    <w:rsid w:val="00CA1AA1"/>
    <w:rsid w:val="00CA1C2E"/>
    <w:rsid w:val="00CA2A69"/>
    <w:rsid w:val="00CA2DCD"/>
    <w:rsid w:val="00CA2E84"/>
    <w:rsid w:val="00CA3FB1"/>
    <w:rsid w:val="00CA460B"/>
    <w:rsid w:val="00CA4E3D"/>
    <w:rsid w:val="00CA5BD1"/>
    <w:rsid w:val="00CA7CD3"/>
    <w:rsid w:val="00CB1213"/>
    <w:rsid w:val="00CB1CC4"/>
    <w:rsid w:val="00CB356F"/>
    <w:rsid w:val="00CB3C24"/>
    <w:rsid w:val="00CB4924"/>
    <w:rsid w:val="00CB5A74"/>
    <w:rsid w:val="00CB5BBD"/>
    <w:rsid w:val="00CB7230"/>
    <w:rsid w:val="00CB72AE"/>
    <w:rsid w:val="00CB7605"/>
    <w:rsid w:val="00CB7617"/>
    <w:rsid w:val="00CB7C8B"/>
    <w:rsid w:val="00CC05DA"/>
    <w:rsid w:val="00CC05E6"/>
    <w:rsid w:val="00CC1647"/>
    <w:rsid w:val="00CC2837"/>
    <w:rsid w:val="00CC2941"/>
    <w:rsid w:val="00CC2B59"/>
    <w:rsid w:val="00CC54B1"/>
    <w:rsid w:val="00CC5D55"/>
    <w:rsid w:val="00CC6D4A"/>
    <w:rsid w:val="00CC74ED"/>
    <w:rsid w:val="00CC7F97"/>
    <w:rsid w:val="00CD042D"/>
    <w:rsid w:val="00CD0D0A"/>
    <w:rsid w:val="00CD0FEC"/>
    <w:rsid w:val="00CD1312"/>
    <w:rsid w:val="00CD15DE"/>
    <w:rsid w:val="00CD17E2"/>
    <w:rsid w:val="00CD2189"/>
    <w:rsid w:val="00CD25A7"/>
    <w:rsid w:val="00CD2AE7"/>
    <w:rsid w:val="00CD3292"/>
    <w:rsid w:val="00CD443B"/>
    <w:rsid w:val="00CD52D5"/>
    <w:rsid w:val="00CD6061"/>
    <w:rsid w:val="00CD6439"/>
    <w:rsid w:val="00CD6E30"/>
    <w:rsid w:val="00CD7CBB"/>
    <w:rsid w:val="00CE073B"/>
    <w:rsid w:val="00CE1031"/>
    <w:rsid w:val="00CE12BB"/>
    <w:rsid w:val="00CE259D"/>
    <w:rsid w:val="00CE25B6"/>
    <w:rsid w:val="00CE2621"/>
    <w:rsid w:val="00CE30A3"/>
    <w:rsid w:val="00CE3E36"/>
    <w:rsid w:val="00CE4A5E"/>
    <w:rsid w:val="00CE4E74"/>
    <w:rsid w:val="00CE4FB1"/>
    <w:rsid w:val="00CE54C0"/>
    <w:rsid w:val="00CE5D0F"/>
    <w:rsid w:val="00CE6317"/>
    <w:rsid w:val="00CE6997"/>
    <w:rsid w:val="00CE76DE"/>
    <w:rsid w:val="00CE77ED"/>
    <w:rsid w:val="00CE7857"/>
    <w:rsid w:val="00CE7DA7"/>
    <w:rsid w:val="00CE7EAF"/>
    <w:rsid w:val="00CF06B6"/>
    <w:rsid w:val="00CF1489"/>
    <w:rsid w:val="00CF2030"/>
    <w:rsid w:val="00CF2089"/>
    <w:rsid w:val="00CF27EA"/>
    <w:rsid w:val="00CF3350"/>
    <w:rsid w:val="00CF3D7E"/>
    <w:rsid w:val="00CF4688"/>
    <w:rsid w:val="00CF5255"/>
    <w:rsid w:val="00CF5A15"/>
    <w:rsid w:val="00CF5EA3"/>
    <w:rsid w:val="00CF657B"/>
    <w:rsid w:val="00CF66D2"/>
    <w:rsid w:val="00CF6779"/>
    <w:rsid w:val="00CF6B4D"/>
    <w:rsid w:val="00CF70F1"/>
    <w:rsid w:val="00D00FA5"/>
    <w:rsid w:val="00D01D8A"/>
    <w:rsid w:val="00D023BF"/>
    <w:rsid w:val="00D02B78"/>
    <w:rsid w:val="00D030CD"/>
    <w:rsid w:val="00D033D5"/>
    <w:rsid w:val="00D03A1B"/>
    <w:rsid w:val="00D04E0C"/>
    <w:rsid w:val="00D0524D"/>
    <w:rsid w:val="00D0524E"/>
    <w:rsid w:val="00D06CDA"/>
    <w:rsid w:val="00D06E98"/>
    <w:rsid w:val="00D0740E"/>
    <w:rsid w:val="00D07698"/>
    <w:rsid w:val="00D07EEB"/>
    <w:rsid w:val="00D10048"/>
    <w:rsid w:val="00D108C0"/>
    <w:rsid w:val="00D10C6A"/>
    <w:rsid w:val="00D10FFD"/>
    <w:rsid w:val="00D1104B"/>
    <w:rsid w:val="00D11A0E"/>
    <w:rsid w:val="00D13DEA"/>
    <w:rsid w:val="00D140C2"/>
    <w:rsid w:val="00D1451E"/>
    <w:rsid w:val="00D14874"/>
    <w:rsid w:val="00D14EB5"/>
    <w:rsid w:val="00D165AF"/>
    <w:rsid w:val="00D20188"/>
    <w:rsid w:val="00D20EFA"/>
    <w:rsid w:val="00D2129A"/>
    <w:rsid w:val="00D212E7"/>
    <w:rsid w:val="00D2252D"/>
    <w:rsid w:val="00D2499B"/>
    <w:rsid w:val="00D250B5"/>
    <w:rsid w:val="00D258A2"/>
    <w:rsid w:val="00D261DB"/>
    <w:rsid w:val="00D26CC7"/>
    <w:rsid w:val="00D3056C"/>
    <w:rsid w:val="00D3069C"/>
    <w:rsid w:val="00D322A6"/>
    <w:rsid w:val="00D32301"/>
    <w:rsid w:val="00D33DBF"/>
    <w:rsid w:val="00D3578C"/>
    <w:rsid w:val="00D35950"/>
    <w:rsid w:val="00D3628C"/>
    <w:rsid w:val="00D36544"/>
    <w:rsid w:val="00D37910"/>
    <w:rsid w:val="00D37AA2"/>
    <w:rsid w:val="00D37EF6"/>
    <w:rsid w:val="00D4055C"/>
    <w:rsid w:val="00D408E9"/>
    <w:rsid w:val="00D40E9C"/>
    <w:rsid w:val="00D40EE9"/>
    <w:rsid w:val="00D41D46"/>
    <w:rsid w:val="00D42277"/>
    <w:rsid w:val="00D42ACA"/>
    <w:rsid w:val="00D42CBD"/>
    <w:rsid w:val="00D43120"/>
    <w:rsid w:val="00D439C8"/>
    <w:rsid w:val="00D44431"/>
    <w:rsid w:val="00D446A3"/>
    <w:rsid w:val="00D46766"/>
    <w:rsid w:val="00D47DF6"/>
    <w:rsid w:val="00D504B2"/>
    <w:rsid w:val="00D50C66"/>
    <w:rsid w:val="00D51555"/>
    <w:rsid w:val="00D52371"/>
    <w:rsid w:val="00D528AB"/>
    <w:rsid w:val="00D52C56"/>
    <w:rsid w:val="00D541D2"/>
    <w:rsid w:val="00D544DA"/>
    <w:rsid w:val="00D54596"/>
    <w:rsid w:val="00D54D9F"/>
    <w:rsid w:val="00D55181"/>
    <w:rsid w:val="00D557BD"/>
    <w:rsid w:val="00D5625D"/>
    <w:rsid w:val="00D575DF"/>
    <w:rsid w:val="00D578C6"/>
    <w:rsid w:val="00D601D0"/>
    <w:rsid w:val="00D64026"/>
    <w:rsid w:val="00D64253"/>
    <w:rsid w:val="00D64D66"/>
    <w:rsid w:val="00D6519A"/>
    <w:rsid w:val="00D667B4"/>
    <w:rsid w:val="00D66D12"/>
    <w:rsid w:val="00D66E9C"/>
    <w:rsid w:val="00D70756"/>
    <w:rsid w:val="00D70F03"/>
    <w:rsid w:val="00D71244"/>
    <w:rsid w:val="00D71960"/>
    <w:rsid w:val="00D7342F"/>
    <w:rsid w:val="00D73CCF"/>
    <w:rsid w:val="00D74B7C"/>
    <w:rsid w:val="00D80BB3"/>
    <w:rsid w:val="00D82E6C"/>
    <w:rsid w:val="00D83FA7"/>
    <w:rsid w:val="00D853B9"/>
    <w:rsid w:val="00D85569"/>
    <w:rsid w:val="00D85A43"/>
    <w:rsid w:val="00D85D75"/>
    <w:rsid w:val="00D86ADA"/>
    <w:rsid w:val="00D86FF1"/>
    <w:rsid w:val="00D8724A"/>
    <w:rsid w:val="00D87822"/>
    <w:rsid w:val="00D87FEE"/>
    <w:rsid w:val="00D90CFD"/>
    <w:rsid w:val="00D9186E"/>
    <w:rsid w:val="00D92024"/>
    <w:rsid w:val="00D9331B"/>
    <w:rsid w:val="00D93C0F"/>
    <w:rsid w:val="00D94BBF"/>
    <w:rsid w:val="00D94D3D"/>
    <w:rsid w:val="00D95085"/>
    <w:rsid w:val="00D955C5"/>
    <w:rsid w:val="00D95B41"/>
    <w:rsid w:val="00DA0431"/>
    <w:rsid w:val="00DA0756"/>
    <w:rsid w:val="00DA08FA"/>
    <w:rsid w:val="00DA0C0F"/>
    <w:rsid w:val="00DA187F"/>
    <w:rsid w:val="00DA188A"/>
    <w:rsid w:val="00DA1894"/>
    <w:rsid w:val="00DA1C95"/>
    <w:rsid w:val="00DA3050"/>
    <w:rsid w:val="00DA3665"/>
    <w:rsid w:val="00DA3A27"/>
    <w:rsid w:val="00DA47A2"/>
    <w:rsid w:val="00DA4B3C"/>
    <w:rsid w:val="00DA5D87"/>
    <w:rsid w:val="00DA6626"/>
    <w:rsid w:val="00DA69F2"/>
    <w:rsid w:val="00DA6D8C"/>
    <w:rsid w:val="00DA7075"/>
    <w:rsid w:val="00DA721B"/>
    <w:rsid w:val="00DA7AC6"/>
    <w:rsid w:val="00DB0AD6"/>
    <w:rsid w:val="00DB0C96"/>
    <w:rsid w:val="00DB1738"/>
    <w:rsid w:val="00DB2173"/>
    <w:rsid w:val="00DB227B"/>
    <w:rsid w:val="00DB2C49"/>
    <w:rsid w:val="00DB32A4"/>
    <w:rsid w:val="00DB3514"/>
    <w:rsid w:val="00DB3937"/>
    <w:rsid w:val="00DB3D29"/>
    <w:rsid w:val="00DB508B"/>
    <w:rsid w:val="00DB53D4"/>
    <w:rsid w:val="00DB6021"/>
    <w:rsid w:val="00DC1065"/>
    <w:rsid w:val="00DC1A7C"/>
    <w:rsid w:val="00DC2FE2"/>
    <w:rsid w:val="00DC3475"/>
    <w:rsid w:val="00DC3F48"/>
    <w:rsid w:val="00DC5CC6"/>
    <w:rsid w:val="00DC6740"/>
    <w:rsid w:val="00DC7D37"/>
    <w:rsid w:val="00DC7D72"/>
    <w:rsid w:val="00DD0980"/>
    <w:rsid w:val="00DD098E"/>
    <w:rsid w:val="00DD114A"/>
    <w:rsid w:val="00DD1FBD"/>
    <w:rsid w:val="00DD2165"/>
    <w:rsid w:val="00DD22F2"/>
    <w:rsid w:val="00DD2C79"/>
    <w:rsid w:val="00DD2C85"/>
    <w:rsid w:val="00DD30A8"/>
    <w:rsid w:val="00DD3F41"/>
    <w:rsid w:val="00DD51C8"/>
    <w:rsid w:val="00DD596F"/>
    <w:rsid w:val="00DD7489"/>
    <w:rsid w:val="00DE1BCF"/>
    <w:rsid w:val="00DE26D7"/>
    <w:rsid w:val="00DE3740"/>
    <w:rsid w:val="00DE4826"/>
    <w:rsid w:val="00DE5253"/>
    <w:rsid w:val="00DE582D"/>
    <w:rsid w:val="00DE5C4A"/>
    <w:rsid w:val="00DE6C00"/>
    <w:rsid w:val="00DE6DEB"/>
    <w:rsid w:val="00DF07D2"/>
    <w:rsid w:val="00DF07EE"/>
    <w:rsid w:val="00DF1801"/>
    <w:rsid w:val="00DF2DDD"/>
    <w:rsid w:val="00DF2F3F"/>
    <w:rsid w:val="00DF36CA"/>
    <w:rsid w:val="00DF4A29"/>
    <w:rsid w:val="00DF4BD5"/>
    <w:rsid w:val="00DF65F2"/>
    <w:rsid w:val="00DF682A"/>
    <w:rsid w:val="00DF6DD4"/>
    <w:rsid w:val="00DF7C59"/>
    <w:rsid w:val="00E007A1"/>
    <w:rsid w:val="00E0168B"/>
    <w:rsid w:val="00E01AB4"/>
    <w:rsid w:val="00E0283C"/>
    <w:rsid w:val="00E02CEA"/>
    <w:rsid w:val="00E0327A"/>
    <w:rsid w:val="00E03805"/>
    <w:rsid w:val="00E03812"/>
    <w:rsid w:val="00E045B9"/>
    <w:rsid w:val="00E04AA6"/>
    <w:rsid w:val="00E05CF6"/>
    <w:rsid w:val="00E05F10"/>
    <w:rsid w:val="00E10888"/>
    <w:rsid w:val="00E110EF"/>
    <w:rsid w:val="00E1301D"/>
    <w:rsid w:val="00E13499"/>
    <w:rsid w:val="00E14E01"/>
    <w:rsid w:val="00E15B41"/>
    <w:rsid w:val="00E15D00"/>
    <w:rsid w:val="00E15DCD"/>
    <w:rsid w:val="00E160EE"/>
    <w:rsid w:val="00E16FD9"/>
    <w:rsid w:val="00E175D0"/>
    <w:rsid w:val="00E20809"/>
    <w:rsid w:val="00E21DD9"/>
    <w:rsid w:val="00E22B6A"/>
    <w:rsid w:val="00E23206"/>
    <w:rsid w:val="00E239D2"/>
    <w:rsid w:val="00E249C0"/>
    <w:rsid w:val="00E25B07"/>
    <w:rsid w:val="00E25D4B"/>
    <w:rsid w:val="00E26DF8"/>
    <w:rsid w:val="00E272AB"/>
    <w:rsid w:val="00E27DAF"/>
    <w:rsid w:val="00E316C3"/>
    <w:rsid w:val="00E32CCE"/>
    <w:rsid w:val="00E3482B"/>
    <w:rsid w:val="00E34883"/>
    <w:rsid w:val="00E3542C"/>
    <w:rsid w:val="00E35B9C"/>
    <w:rsid w:val="00E3633B"/>
    <w:rsid w:val="00E36913"/>
    <w:rsid w:val="00E3766B"/>
    <w:rsid w:val="00E4085D"/>
    <w:rsid w:val="00E40952"/>
    <w:rsid w:val="00E409AC"/>
    <w:rsid w:val="00E40E87"/>
    <w:rsid w:val="00E41FAD"/>
    <w:rsid w:val="00E429BD"/>
    <w:rsid w:val="00E433DB"/>
    <w:rsid w:val="00E437A5"/>
    <w:rsid w:val="00E4475F"/>
    <w:rsid w:val="00E448BF"/>
    <w:rsid w:val="00E455E3"/>
    <w:rsid w:val="00E4564A"/>
    <w:rsid w:val="00E45D01"/>
    <w:rsid w:val="00E46082"/>
    <w:rsid w:val="00E464E8"/>
    <w:rsid w:val="00E466D2"/>
    <w:rsid w:val="00E46F81"/>
    <w:rsid w:val="00E473B2"/>
    <w:rsid w:val="00E50C6E"/>
    <w:rsid w:val="00E5131C"/>
    <w:rsid w:val="00E518C2"/>
    <w:rsid w:val="00E51AB2"/>
    <w:rsid w:val="00E52148"/>
    <w:rsid w:val="00E534CB"/>
    <w:rsid w:val="00E53779"/>
    <w:rsid w:val="00E53A58"/>
    <w:rsid w:val="00E547CE"/>
    <w:rsid w:val="00E5559F"/>
    <w:rsid w:val="00E56331"/>
    <w:rsid w:val="00E57D3C"/>
    <w:rsid w:val="00E60735"/>
    <w:rsid w:val="00E60DA5"/>
    <w:rsid w:val="00E61C5D"/>
    <w:rsid w:val="00E62258"/>
    <w:rsid w:val="00E622A4"/>
    <w:rsid w:val="00E627AD"/>
    <w:rsid w:val="00E6492E"/>
    <w:rsid w:val="00E64D78"/>
    <w:rsid w:val="00E64FFA"/>
    <w:rsid w:val="00E65130"/>
    <w:rsid w:val="00E65A7E"/>
    <w:rsid w:val="00E66F5C"/>
    <w:rsid w:val="00E70240"/>
    <w:rsid w:val="00E70BF7"/>
    <w:rsid w:val="00E72065"/>
    <w:rsid w:val="00E725F4"/>
    <w:rsid w:val="00E72CC3"/>
    <w:rsid w:val="00E7300D"/>
    <w:rsid w:val="00E7333E"/>
    <w:rsid w:val="00E738DE"/>
    <w:rsid w:val="00E73EB9"/>
    <w:rsid w:val="00E7423C"/>
    <w:rsid w:val="00E75143"/>
    <w:rsid w:val="00E75680"/>
    <w:rsid w:val="00E7585F"/>
    <w:rsid w:val="00E75F8F"/>
    <w:rsid w:val="00E77E86"/>
    <w:rsid w:val="00E80943"/>
    <w:rsid w:val="00E80B83"/>
    <w:rsid w:val="00E80D8A"/>
    <w:rsid w:val="00E80E0D"/>
    <w:rsid w:val="00E80F86"/>
    <w:rsid w:val="00E81EA6"/>
    <w:rsid w:val="00E826CE"/>
    <w:rsid w:val="00E82948"/>
    <w:rsid w:val="00E82D88"/>
    <w:rsid w:val="00E8306B"/>
    <w:rsid w:val="00E83EC1"/>
    <w:rsid w:val="00E8430B"/>
    <w:rsid w:val="00E84AE3"/>
    <w:rsid w:val="00E84D2E"/>
    <w:rsid w:val="00E85257"/>
    <w:rsid w:val="00E85893"/>
    <w:rsid w:val="00E86A0A"/>
    <w:rsid w:val="00E86ABF"/>
    <w:rsid w:val="00E87B60"/>
    <w:rsid w:val="00E87DA9"/>
    <w:rsid w:val="00E87F8A"/>
    <w:rsid w:val="00E90421"/>
    <w:rsid w:val="00E90710"/>
    <w:rsid w:val="00E914FC"/>
    <w:rsid w:val="00E938C1"/>
    <w:rsid w:val="00E94D37"/>
    <w:rsid w:val="00E94E6C"/>
    <w:rsid w:val="00E9523A"/>
    <w:rsid w:val="00E96AB4"/>
    <w:rsid w:val="00E97C1C"/>
    <w:rsid w:val="00E97F95"/>
    <w:rsid w:val="00E97FAB"/>
    <w:rsid w:val="00EA06C5"/>
    <w:rsid w:val="00EA0A30"/>
    <w:rsid w:val="00EA1832"/>
    <w:rsid w:val="00EA2CE2"/>
    <w:rsid w:val="00EA2CFA"/>
    <w:rsid w:val="00EA46B3"/>
    <w:rsid w:val="00EA5B25"/>
    <w:rsid w:val="00EA6257"/>
    <w:rsid w:val="00EA6BCE"/>
    <w:rsid w:val="00EA70CB"/>
    <w:rsid w:val="00EB00CF"/>
    <w:rsid w:val="00EB040B"/>
    <w:rsid w:val="00EB140B"/>
    <w:rsid w:val="00EB1B3B"/>
    <w:rsid w:val="00EB265B"/>
    <w:rsid w:val="00EB2939"/>
    <w:rsid w:val="00EB2FBC"/>
    <w:rsid w:val="00EB3871"/>
    <w:rsid w:val="00EB5733"/>
    <w:rsid w:val="00EB6159"/>
    <w:rsid w:val="00EB6D3E"/>
    <w:rsid w:val="00EB7C3C"/>
    <w:rsid w:val="00EC08BD"/>
    <w:rsid w:val="00EC0E7E"/>
    <w:rsid w:val="00EC1115"/>
    <w:rsid w:val="00EC2839"/>
    <w:rsid w:val="00EC398D"/>
    <w:rsid w:val="00EC41E2"/>
    <w:rsid w:val="00EC4689"/>
    <w:rsid w:val="00EC4DF4"/>
    <w:rsid w:val="00EC4EE6"/>
    <w:rsid w:val="00EC5BF7"/>
    <w:rsid w:val="00EC626A"/>
    <w:rsid w:val="00EC76C7"/>
    <w:rsid w:val="00ED09F3"/>
    <w:rsid w:val="00ED0DE9"/>
    <w:rsid w:val="00ED1B3B"/>
    <w:rsid w:val="00ED1E40"/>
    <w:rsid w:val="00ED2B45"/>
    <w:rsid w:val="00ED3732"/>
    <w:rsid w:val="00ED3CD1"/>
    <w:rsid w:val="00ED3E2D"/>
    <w:rsid w:val="00ED4126"/>
    <w:rsid w:val="00ED43C4"/>
    <w:rsid w:val="00ED4BA5"/>
    <w:rsid w:val="00ED54B3"/>
    <w:rsid w:val="00ED5C23"/>
    <w:rsid w:val="00ED679A"/>
    <w:rsid w:val="00ED69E8"/>
    <w:rsid w:val="00ED7287"/>
    <w:rsid w:val="00ED7C0F"/>
    <w:rsid w:val="00EE0CBA"/>
    <w:rsid w:val="00EE1B2B"/>
    <w:rsid w:val="00EE22B8"/>
    <w:rsid w:val="00EE3102"/>
    <w:rsid w:val="00EE409A"/>
    <w:rsid w:val="00EE4170"/>
    <w:rsid w:val="00EE42A2"/>
    <w:rsid w:val="00EE48D1"/>
    <w:rsid w:val="00EE5017"/>
    <w:rsid w:val="00EE5102"/>
    <w:rsid w:val="00EE5299"/>
    <w:rsid w:val="00EE5B33"/>
    <w:rsid w:val="00EE6BA1"/>
    <w:rsid w:val="00EE6CEB"/>
    <w:rsid w:val="00EF08AB"/>
    <w:rsid w:val="00EF0A21"/>
    <w:rsid w:val="00EF10A5"/>
    <w:rsid w:val="00EF1D0C"/>
    <w:rsid w:val="00EF20FB"/>
    <w:rsid w:val="00EF20FD"/>
    <w:rsid w:val="00EF2614"/>
    <w:rsid w:val="00EF27E0"/>
    <w:rsid w:val="00EF2EA9"/>
    <w:rsid w:val="00EF33B8"/>
    <w:rsid w:val="00EF45B7"/>
    <w:rsid w:val="00EF498A"/>
    <w:rsid w:val="00EF53BA"/>
    <w:rsid w:val="00EF5AE9"/>
    <w:rsid w:val="00EF691D"/>
    <w:rsid w:val="00EF6BDA"/>
    <w:rsid w:val="00EF6F77"/>
    <w:rsid w:val="00F001FB"/>
    <w:rsid w:val="00F008E5"/>
    <w:rsid w:val="00F01B07"/>
    <w:rsid w:val="00F02B19"/>
    <w:rsid w:val="00F02E6F"/>
    <w:rsid w:val="00F03C02"/>
    <w:rsid w:val="00F03F1F"/>
    <w:rsid w:val="00F0496B"/>
    <w:rsid w:val="00F0560A"/>
    <w:rsid w:val="00F064BB"/>
    <w:rsid w:val="00F068C9"/>
    <w:rsid w:val="00F06FAD"/>
    <w:rsid w:val="00F102F7"/>
    <w:rsid w:val="00F113B4"/>
    <w:rsid w:val="00F11776"/>
    <w:rsid w:val="00F11AC9"/>
    <w:rsid w:val="00F11E98"/>
    <w:rsid w:val="00F136F9"/>
    <w:rsid w:val="00F14810"/>
    <w:rsid w:val="00F14B11"/>
    <w:rsid w:val="00F14B6E"/>
    <w:rsid w:val="00F1559A"/>
    <w:rsid w:val="00F15FC4"/>
    <w:rsid w:val="00F17A8C"/>
    <w:rsid w:val="00F207D5"/>
    <w:rsid w:val="00F2101E"/>
    <w:rsid w:val="00F21686"/>
    <w:rsid w:val="00F269B7"/>
    <w:rsid w:val="00F26A34"/>
    <w:rsid w:val="00F26F04"/>
    <w:rsid w:val="00F3053B"/>
    <w:rsid w:val="00F30BCE"/>
    <w:rsid w:val="00F32461"/>
    <w:rsid w:val="00F329BB"/>
    <w:rsid w:val="00F32C1F"/>
    <w:rsid w:val="00F3433A"/>
    <w:rsid w:val="00F350C5"/>
    <w:rsid w:val="00F3529A"/>
    <w:rsid w:val="00F36AA5"/>
    <w:rsid w:val="00F37586"/>
    <w:rsid w:val="00F4177D"/>
    <w:rsid w:val="00F41926"/>
    <w:rsid w:val="00F41BBF"/>
    <w:rsid w:val="00F41DEC"/>
    <w:rsid w:val="00F427FF"/>
    <w:rsid w:val="00F432DC"/>
    <w:rsid w:val="00F434B4"/>
    <w:rsid w:val="00F44FBD"/>
    <w:rsid w:val="00F455D3"/>
    <w:rsid w:val="00F455EA"/>
    <w:rsid w:val="00F468AF"/>
    <w:rsid w:val="00F46CDF"/>
    <w:rsid w:val="00F4764D"/>
    <w:rsid w:val="00F47F55"/>
    <w:rsid w:val="00F5051B"/>
    <w:rsid w:val="00F52E2E"/>
    <w:rsid w:val="00F532AF"/>
    <w:rsid w:val="00F548DB"/>
    <w:rsid w:val="00F553F2"/>
    <w:rsid w:val="00F562A3"/>
    <w:rsid w:val="00F569C6"/>
    <w:rsid w:val="00F604EB"/>
    <w:rsid w:val="00F606DD"/>
    <w:rsid w:val="00F61286"/>
    <w:rsid w:val="00F613BD"/>
    <w:rsid w:val="00F61AD0"/>
    <w:rsid w:val="00F63781"/>
    <w:rsid w:val="00F64903"/>
    <w:rsid w:val="00F651E6"/>
    <w:rsid w:val="00F656ED"/>
    <w:rsid w:val="00F66267"/>
    <w:rsid w:val="00F66F02"/>
    <w:rsid w:val="00F7000C"/>
    <w:rsid w:val="00F705F3"/>
    <w:rsid w:val="00F71FED"/>
    <w:rsid w:val="00F74316"/>
    <w:rsid w:val="00F748CC"/>
    <w:rsid w:val="00F74E60"/>
    <w:rsid w:val="00F74FDC"/>
    <w:rsid w:val="00F75ED8"/>
    <w:rsid w:val="00F76406"/>
    <w:rsid w:val="00F76634"/>
    <w:rsid w:val="00F76672"/>
    <w:rsid w:val="00F80433"/>
    <w:rsid w:val="00F8079D"/>
    <w:rsid w:val="00F80EBA"/>
    <w:rsid w:val="00F81237"/>
    <w:rsid w:val="00F8222F"/>
    <w:rsid w:val="00F836D5"/>
    <w:rsid w:val="00F839D6"/>
    <w:rsid w:val="00F83BB2"/>
    <w:rsid w:val="00F83C19"/>
    <w:rsid w:val="00F83F1E"/>
    <w:rsid w:val="00F84117"/>
    <w:rsid w:val="00F84474"/>
    <w:rsid w:val="00F84A50"/>
    <w:rsid w:val="00F8583E"/>
    <w:rsid w:val="00F87525"/>
    <w:rsid w:val="00F877C5"/>
    <w:rsid w:val="00F878C9"/>
    <w:rsid w:val="00F87A24"/>
    <w:rsid w:val="00F90272"/>
    <w:rsid w:val="00F9188C"/>
    <w:rsid w:val="00F91C31"/>
    <w:rsid w:val="00F9292F"/>
    <w:rsid w:val="00F92C19"/>
    <w:rsid w:val="00F938B9"/>
    <w:rsid w:val="00F94677"/>
    <w:rsid w:val="00F95166"/>
    <w:rsid w:val="00F9646F"/>
    <w:rsid w:val="00F96512"/>
    <w:rsid w:val="00F97991"/>
    <w:rsid w:val="00FA01BB"/>
    <w:rsid w:val="00FA194D"/>
    <w:rsid w:val="00FA1972"/>
    <w:rsid w:val="00FA1BCB"/>
    <w:rsid w:val="00FA1F09"/>
    <w:rsid w:val="00FA2601"/>
    <w:rsid w:val="00FA328E"/>
    <w:rsid w:val="00FA3647"/>
    <w:rsid w:val="00FA4961"/>
    <w:rsid w:val="00FA4E7E"/>
    <w:rsid w:val="00FA4F56"/>
    <w:rsid w:val="00FA5A68"/>
    <w:rsid w:val="00FA66BA"/>
    <w:rsid w:val="00FA678E"/>
    <w:rsid w:val="00FA690E"/>
    <w:rsid w:val="00FA6AE9"/>
    <w:rsid w:val="00FA7067"/>
    <w:rsid w:val="00FA7552"/>
    <w:rsid w:val="00FB0CA1"/>
    <w:rsid w:val="00FB1D52"/>
    <w:rsid w:val="00FB21D8"/>
    <w:rsid w:val="00FB2770"/>
    <w:rsid w:val="00FB3280"/>
    <w:rsid w:val="00FB52E6"/>
    <w:rsid w:val="00FB54BA"/>
    <w:rsid w:val="00FB63E5"/>
    <w:rsid w:val="00FB673D"/>
    <w:rsid w:val="00FC0C94"/>
    <w:rsid w:val="00FC124B"/>
    <w:rsid w:val="00FC155C"/>
    <w:rsid w:val="00FC2BDC"/>
    <w:rsid w:val="00FC3415"/>
    <w:rsid w:val="00FC3D59"/>
    <w:rsid w:val="00FC49D8"/>
    <w:rsid w:val="00FC4C6C"/>
    <w:rsid w:val="00FC5EB5"/>
    <w:rsid w:val="00FC616D"/>
    <w:rsid w:val="00FC6FAB"/>
    <w:rsid w:val="00FC7EDA"/>
    <w:rsid w:val="00FD05D4"/>
    <w:rsid w:val="00FD20D5"/>
    <w:rsid w:val="00FD328A"/>
    <w:rsid w:val="00FD40A0"/>
    <w:rsid w:val="00FD4EB6"/>
    <w:rsid w:val="00FD697D"/>
    <w:rsid w:val="00FD6F6E"/>
    <w:rsid w:val="00FD7088"/>
    <w:rsid w:val="00FD774E"/>
    <w:rsid w:val="00FD7D2F"/>
    <w:rsid w:val="00FD7D71"/>
    <w:rsid w:val="00FE09FC"/>
    <w:rsid w:val="00FE0D51"/>
    <w:rsid w:val="00FE248C"/>
    <w:rsid w:val="00FE2EFD"/>
    <w:rsid w:val="00FE3309"/>
    <w:rsid w:val="00FE44A0"/>
    <w:rsid w:val="00FE44EE"/>
    <w:rsid w:val="00FE4660"/>
    <w:rsid w:val="00FE48BE"/>
    <w:rsid w:val="00FE5AAE"/>
    <w:rsid w:val="00FE5DBD"/>
    <w:rsid w:val="00FE5FD2"/>
    <w:rsid w:val="00FE64F0"/>
    <w:rsid w:val="00FE6577"/>
    <w:rsid w:val="00FE66E8"/>
    <w:rsid w:val="00FE69F4"/>
    <w:rsid w:val="00FE6F89"/>
    <w:rsid w:val="00FE7770"/>
    <w:rsid w:val="00FF04A3"/>
    <w:rsid w:val="00FF0D06"/>
    <w:rsid w:val="00FF26FF"/>
    <w:rsid w:val="00FF28D7"/>
    <w:rsid w:val="00FF30D3"/>
    <w:rsid w:val="00FF3663"/>
    <w:rsid w:val="00FF4FE3"/>
    <w:rsid w:val="00FF6C5E"/>
    <w:rsid w:val="010A2620"/>
    <w:rsid w:val="019D0F55"/>
    <w:rsid w:val="0249777F"/>
    <w:rsid w:val="0299403A"/>
    <w:rsid w:val="02E01C47"/>
    <w:rsid w:val="03C438A9"/>
    <w:rsid w:val="047F723D"/>
    <w:rsid w:val="05475895"/>
    <w:rsid w:val="059A237E"/>
    <w:rsid w:val="05B6031E"/>
    <w:rsid w:val="061C4EB4"/>
    <w:rsid w:val="06252A4E"/>
    <w:rsid w:val="066C40FF"/>
    <w:rsid w:val="06941303"/>
    <w:rsid w:val="06DE6B94"/>
    <w:rsid w:val="07E710E0"/>
    <w:rsid w:val="08531055"/>
    <w:rsid w:val="08EB188A"/>
    <w:rsid w:val="09127D33"/>
    <w:rsid w:val="09624D44"/>
    <w:rsid w:val="09C06AC0"/>
    <w:rsid w:val="09DC7F62"/>
    <w:rsid w:val="09DF72EA"/>
    <w:rsid w:val="0AA8305F"/>
    <w:rsid w:val="0AC51879"/>
    <w:rsid w:val="0B0D3A94"/>
    <w:rsid w:val="0B9B5DD8"/>
    <w:rsid w:val="0C071540"/>
    <w:rsid w:val="0C320B42"/>
    <w:rsid w:val="0DED4F95"/>
    <w:rsid w:val="0E9953A0"/>
    <w:rsid w:val="0F640675"/>
    <w:rsid w:val="0F73174D"/>
    <w:rsid w:val="0FE86963"/>
    <w:rsid w:val="111C0867"/>
    <w:rsid w:val="115C600E"/>
    <w:rsid w:val="11E76422"/>
    <w:rsid w:val="13BF6C60"/>
    <w:rsid w:val="14411E19"/>
    <w:rsid w:val="14665D24"/>
    <w:rsid w:val="15096519"/>
    <w:rsid w:val="15D53026"/>
    <w:rsid w:val="161E2C62"/>
    <w:rsid w:val="161F1D69"/>
    <w:rsid w:val="16660238"/>
    <w:rsid w:val="16981454"/>
    <w:rsid w:val="16D83B02"/>
    <w:rsid w:val="176D73C9"/>
    <w:rsid w:val="17DC33B7"/>
    <w:rsid w:val="18483610"/>
    <w:rsid w:val="19436634"/>
    <w:rsid w:val="196F7429"/>
    <w:rsid w:val="1A624CAA"/>
    <w:rsid w:val="1A75696C"/>
    <w:rsid w:val="1A7B12E8"/>
    <w:rsid w:val="1AFD051C"/>
    <w:rsid w:val="1B912840"/>
    <w:rsid w:val="1C312DFB"/>
    <w:rsid w:val="1CD557F5"/>
    <w:rsid w:val="1D41705B"/>
    <w:rsid w:val="1E067C30"/>
    <w:rsid w:val="1E1D17E7"/>
    <w:rsid w:val="1EB96B37"/>
    <w:rsid w:val="1F6003F8"/>
    <w:rsid w:val="1F946E9E"/>
    <w:rsid w:val="1FB35766"/>
    <w:rsid w:val="20252D88"/>
    <w:rsid w:val="20402F06"/>
    <w:rsid w:val="20564E9E"/>
    <w:rsid w:val="211D776A"/>
    <w:rsid w:val="21872291"/>
    <w:rsid w:val="21E87BEA"/>
    <w:rsid w:val="22B61B2B"/>
    <w:rsid w:val="22C17101"/>
    <w:rsid w:val="22DB45DF"/>
    <w:rsid w:val="22F015DA"/>
    <w:rsid w:val="23610D01"/>
    <w:rsid w:val="23827D58"/>
    <w:rsid w:val="23856DAC"/>
    <w:rsid w:val="241E3F25"/>
    <w:rsid w:val="245232E9"/>
    <w:rsid w:val="24A05699"/>
    <w:rsid w:val="25081F8D"/>
    <w:rsid w:val="250E1576"/>
    <w:rsid w:val="254E7231"/>
    <w:rsid w:val="26136A29"/>
    <w:rsid w:val="264803D1"/>
    <w:rsid w:val="2689674B"/>
    <w:rsid w:val="270E074B"/>
    <w:rsid w:val="278F60C4"/>
    <w:rsid w:val="27A50686"/>
    <w:rsid w:val="28A028BB"/>
    <w:rsid w:val="28B5297E"/>
    <w:rsid w:val="298A5082"/>
    <w:rsid w:val="29997502"/>
    <w:rsid w:val="2A430D6C"/>
    <w:rsid w:val="2A5B4EDD"/>
    <w:rsid w:val="2AAE38A4"/>
    <w:rsid w:val="2AE53FC2"/>
    <w:rsid w:val="2AF8615D"/>
    <w:rsid w:val="2AFE37A8"/>
    <w:rsid w:val="2B30238E"/>
    <w:rsid w:val="2B3C739B"/>
    <w:rsid w:val="2B4D3220"/>
    <w:rsid w:val="2BFA5278"/>
    <w:rsid w:val="2C192E6C"/>
    <w:rsid w:val="2C916F25"/>
    <w:rsid w:val="2CAF71D6"/>
    <w:rsid w:val="2D1779EC"/>
    <w:rsid w:val="2D3B4547"/>
    <w:rsid w:val="2D4B5015"/>
    <w:rsid w:val="2DB9081B"/>
    <w:rsid w:val="2DC01BA9"/>
    <w:rsid w:val="2EA858BA"/>
    <w:rsid w:val="2EB508C0"/>
    <w:rsid w:val="2EBF1231"/>
    <w:rsid w:val="2F001C15"/>
    <w:rsid w:val="2F0658A7"/>
    <w:rsid w:val="2FE209E4"/>
    <w:rsid w:val="2FF3678D"/>
    <w:rsid w:val="30C37EBF"/>
    <w:rsid w:val="30F7119F"/>
    <w:rsid w:val="328E671A"/>
    <w:rsid w:val="32936248"/>
    <w:rsid w:val="330E4EEF"/>
    <w:rsid w:val="33584C40"/>
    <w:rsid w:val="351E2AB9"/>
    <w:rsid w:val="35D07049"/>
    <w:rsid w:val="35F448CE"/>
    <w:rsid w:val="36557632"/>
    <w:rsid w:val="366D7C02"/>
    <w:rsid w:val="36854E1B"/>
    <w:rsid w:val="371232AB"/>
    <w:rsid w:val="37AE5168"/>
    <w:rsid w:val="38080D1C"/>
    <w:rsid w:val="389A0682"/>
    <w:rsid w:val="39730417"/>
    <w:rsid w:val="3A9D7642"/>
    <w:rsid w:val="3BAC6D1A"/>
    <w:rsid w:val="3BDB7553"/>
    <w:rsid w:val="3C9963E7"/>
    <w:rsid w:val="3D0133FE"/>
    <w:rsid w:val="3D253E8F"/>
    <w:rsid w:val="3E3F7BBB"/>
    <w:rsid w:val="3E8310FD"/>
    <w:rsid w:val="3EBC3A7C"/>
    <w:rsid w:val="3FF91B81"/>
    <w:rsid w:val="41283EAE"/>
    <w:rsid w:val="41393870"/>
    <w:rsid w:val="41EC3710"/>
    <w:rsid w:val="41FB236E"/>
    <w:rsid w:val="42B3600A"/>
    <w:rsid w:val="42E14644"/>
    <w:rsid w:val="438E4BFB"/>
    <w:rsid w:val="43C41379"/>
    <w:rsid w:val="43E11433"/>
    <w:rsid w:val="44A32C2D"/>
    <w:rsid w:val="45460F35"/>
    <w:rsid w:val="45BA51D4"/>
    <w:rsid w:val="45E10CC7"/>
    <w:rsid w:val="46F801AE"/>
    <w:rsid w:val="47004C46"/>
    <w:rsid w:val="47385911"/>
    <w:rsid w:val="475606BC"/>
    <w:rsid w:val="47771696"/>
    <w:rsid w:val="47C02A7A"/>
    <w:rsid w:val="480B4604"/>
    <w:rsid w:val="48DF1625"/>
    <w:rsid w:val="48FA37EC"/>
    <w:rsid w:val="490A4B5A"/>
    <w:rsid w:val="49CA5730"/>
    <w:rsid w:val="4A2C167E"/>
    <w:rsid w:val="4A6F4C2B"/>
    <w:rsid w:val="4A7864B8"/>
    <w:rsid w:val="4AE01685"/>
    <w:rsid w:val="4B2B16B5"/>
    <w:rsid w:val="4B553060"/>
    <w:rsid w:val="4B7E16B4"/>
    <w:rsid w:val="4B991F60"/>
    <w:rsid w:val="4C1F0A50"/>
    <w:rsid w:val="4C983FC5"/>
    <w:rsid w:val="4CC27294"/>
    <w:rsid w:val="4CD648EC"/>
    <w:rsid w:val="4CF53F5B"/>
    <w:rsid w:val="4D776C7A"/>
    <w:rsid w:val="4DFD3B03"/>
    <w:rsid w:val="4EFC05BD"/>
    <w:rsid w:val="4F033995"/>
    <w:rsid w:val="4F313B58"/>
    <w:rsid w:val="50B4697C"/>
    <w:rsid w:val="50E10BFD"/>
    <w:rsid w:val="520259BA"/>
    <w:rsid w:val="5312130F"/>
    <w:rsid w:val="5316487D"/>
    <w:rsid w:val="53566988"/>
    <w:rsid w:val="538716A3"/>
    <w:rsid w:val="5417154B"/>
    <w:rsid w:val="550B7C76"/>
    <w:rsid w:val="55114CFD"/>
    <w:rsid w:val="555A13D3"/>
    <w:rsid w:val="55C13EC5"/>
    <w:rsid w:val="562007BB"/>
    <w:rsid w:val="568648EA"/>
    <w:rsid w:val="56C34335"/>
    <w:rsid w:val="57236AF7"/>
    <w:rsid w:val="58401C98"/>
    <w:rsid w:val="58431A0E"/>
    <w:rsid w:val="58757E44"/>
    <w:rsid w:val="591477A3"/>
    <w:rsid w:val="59750523"/>
    <w:rsid w:val="59C65C16"/>
    <w:rsid w:val="59C73AB3"/>
    <w:rsid w:val="59F81732"/>
    <w:rsid w:val="5A937986"/>
    <w:rsid w:val="5AD36B10"/>
    <w:rsid w:val="5AD84127"/>
    <w:rsid w:val="5B195385"/>
    <w:rsid w:val="5B1F7C1E"/>
    <w:rsid w:val="5B3C4A53"/>
    <w:rsid w:val="5BAA3847"/>
    <w:rsid w:val="5BAF1F2F"/>
    <w:rsid w:val="5CCB1C6A"/>
    <w:rsid w:val="5D8C4D14"/>
    <w:rsid w:val="5DDC435D"/>
    <w:rsid w:val="5E202086"/>
    <w:rsid w:val="5F1710DD"/>
    <w:rsid w:val="5F4132A5"/>
    <w:rsid w:val="60461264"/>
    <w:rsid w:val="60F069CD"/>
    <w:rsid w:val="62605AA4"/>
    <w:rsid w:val="62FA4EA6"/>
    <w:rsid w:val="63036E6F"/>
    <w:rsid w:val="638D2BE6"/>
    <w:rsid w:val="63D32C9D"/>
    <w:rsid w:val="63DE24E7"/>
    <w:rsid w:val="649233B2"/>
    <w:rsid w:val="64F82293"/>
    <w:rsid w:val="654D33EE"/>
    <w:rsid w:val="655F791E"/>
    <w:rsid w:val="667C62AE"/>
    <w:rsid w:val="674228E4"/>
    <w:rsid w:val="676451C9"/>
    <w:rsid w:val="67C80DEF"/>
    <w:rsid w:val="68871C06"/>
    <w:rsid w:val="688D1356"/>
    <w:rsid w:val="68D52E8E"/>
    <w:rsid w:val="68E819D9"/>
    <w:rsid w:val="696C7DCD"/>
    <w:rsid w:val="69D361E5"/>
    <w:rsid w:val="6A0445F0"/>
    <w:rsid w:val="6A2534A8"/>
    <w:rsid w:val="6A535578"/>
    <w:rsid w:val="6A6933C4"/>
    <w:rsid w:val="6B125DCB"/>
    <w:rsid w:val="6B50097C"/>
    <w:rsid w:val="6B595226"/>
    <w:rsid w:val="6BCB193B"/>
    <w:rsid w:val="6BD36C1B"/>
    <w:rsid w:val="6C513A5D"/>
    <w:rsid w:val="6D32024A"/>
    <w:rsid w:val="6D5D474F"/>
    <w:rsid w:val="6DA34120"/>
    <w:rsid w:val="6E0378EF"/>
    <w:rsid w:val="6E5042A8"/>
    <w:rsid w:val="6E9F6339"/>
    <w:rsid w:val="6EBC053F"/>
    <w:rsid w:val="6ED20C54"/>
    <w:rsid w:val="6F0E5DEC"/>
    <w:rsid w:val="6F215C44"/>
    <w:rsid w:val="6FAC70EA"/>
    <w:rsid w:val="6FC84B6D"/>
    <w:rsid w:val="6FFD045F"/>
    <w:rsid w:val="70902282"/>
    <w:rsid w:val="70B256B2"/>
    <w:rsid w:val="70E21403"/>
    <w:rsid w:val="71266D28"/>
    <w:rsid w:val="71D1687B"/>
    <w:rsid w:val="72FB1818"/>
    <w:rsid w:val="73022FEB"/>
    <w:rsid w:val="731C4A9B"/>
    <w:rsid w:val="73214465"/>
    <w:rsid w:val="73DE5B32"/>
    <w:rsid w:val="74C947FE"/>
    <w:rsid w:val="74DA2B1D"/>
    <w:rsid w:val="753D2153"/>
    <w:rsid w:val="75621937"/>
    <w:rsid w:val="75887D86"/>
    <w:rsid w:val="7622190D"/>
    <w:rsid w:val="76FA1474"/>
    <w:rsid w:val="773D797E"/>
    <w:rsid w:val="774C75D7"/>
    <w:rsid w:val="7792284E"/>
    <w:rsid w:val="781338F5"/>
    <w:rsid w:val="78557889"/>
    <w:rsid w:val="79892836"/>
    <w:rsid w:val="7A071910"/>
    <w:rsid w:val="7A393D3B"/>
    <w:rsid w:val="7A884DCA"/>
    <w:rsid w:val="7AA31BAF"/>
    <w:rsid w:val="7AB6595C"/>
    <w:rsid w:val="7B88353D"/>
    <w:rsid w:val="7BEE3673"/>
    <w:rsid w:val="7D8952D5"/>
    <w:rsid w:val="7E8F3D0A"/>
    <w:rsid w:val="7EE10F4C"/>
    <w:rsid w:val="7EE828BD"/>
    <w:rsid w:val="7F5A62F6"/>
    <w:rsid w:val="7F5C7263"/>
    <w:rsid w:val="7FBF42FA"/>
    <w:rsid w:val="7FDB5511"/>
    <w:rsid w:val="7FF274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99" w:semiHidden="0" w:name="toc 3"/>
    <w:lsdException w:qFormat="1" w:uiPriority="31" w:semiHidden="0" w:name="toc 4"/>
    <w:lsdException w:qFormat="1" w:uiPriority="32" w:semiHidden="0" w:name="toc 5"/>
    <w:lsdException w:qFormat="1" w:uiPriority="33" w:semiHidden="0" w:name="toc 6"/>
    <w:lsdException w:qFormat="1" w:uiPriority="34" w:semiHidden="0" w:name="toc 7"/>
    <w:lsdException w:qFormat="1" w:uiPriority="35" w:semiHidden="0" w:name="toc 8"/>
    <w:lsdException w:qFormat="1" w:uiPriority="36"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nhideWhenUsed="0" w:uiPriority="0" w:semiHidden="0" w:name="List Bullet"/>
    <w:lsdException w:uiPriority="99" w:semiHidden="0" w:name="List Number"/>
    <w:lsdException w:uiPriority="99" w:name="List 2"/>
    <w:lsdException w:uiPriority="99" w:name="List 3"/>
    <w:lsdException w:uiPriority="99" w:name="List 4"/>
    <w:lsdException w:uiPriority="99" w:name="List 5"/>
    <w:lsdException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nhideWhenUsed="0" w:uiPriority="0"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nhideWhenUsed="0" w:uiPriority="0"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
    <w:lsdException w:qFormat="1" w:unhideWhenUsed="0" w:uiPriority="0"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3">
    <w:name w:val="heading 1"/>
    <w:basedOn w:val="1"/>
    <w:next w:val="1"/>
    <w:link w:val="61"/>
    <w:qFormat/>
    <w:uiPriority w:val="9"/>
    <w:pPr>
      <w:keepNext/>
      <w:keepLines/>
      <w:spacing w:before="340" w:beforeLines="0" w:after="330" w:afterLines="0" w:line="576" w:lineRule="auto"/>
      <w:outlineLvl w:val="0"/>
    </w:pPr>
    <w:rPr>
      <w:rFonts w:ascii="Calibri" w:hAnsi="Calibri"/>
      <w:b/>
      <w:bCs/>
      <w:kern w:val="44"/>
      <w:sz w:val="44"/>
      <w:szCs w:val="44"/>
    </w:rPr>
  </w:style>
  <w:style w:type="paragraph" w:styleId="4">
    <w:name w:val="heading 2"/>
    <w:basedOn w:val="1"/>
    <w:next w:val="1"/>
    <w:link w:val="62"/>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1"/>
    <w:link w:val="63"/>
    <w:qFormat/>
    <w:uiPriority w:val="0"/>
    <w:pPr>
      <w:keepNext/>
      <w:keepLines/>
      <w:spacing w:before="260" w:beforeLines="0" w:after="260" w:afterLines="0" w:line="416" w:lineRule="auto"/>
      <w:outlineLvl w:val="2"/>
    </w:pPr>
    <w:rPr>
      <w:rFonts w:ascii="Calibri" w:hAnsi="Calibri"/>
      <w:b/>
      <w:bCs/>
      <w:sz w:val="32"/>
      <w:szCs w:val="32"/>
    </w:rPr>
  </w:style>
  <w:style w:type="paragraph" w:styleId="6">
    <w:name w:val="heading 4"/>
    <w:basedOn w:val="1"/>
    <w:next w:val="1"/>
    <w:link w:val="64"/>
    <w:qFormat/>
    <w:uiPriority w:val="0"/>
    <w:pPr>
      <w:keepNext/>
      <w:keepLines/>
      <w:spacing w:before="280" w:after="290" w:line="376" w:lineRule="auto"/>
      <w:outlineLvl w:val="3"/>
    </w:pPr>
    <w:rPr>
      <w:rFonts w:ascii="Cambria" w:hAnsi="Cambria"/>
      <w:b/>
      <w:bCs/>
      <w:color w:val="000000"/>
      <w:kern w:val="0"/>
      <w:sz w:val="28"/>
      <w:szCs w:val="28"/>
    </w:rPr>
  </w:style>
  <w:style w:type="paragraph" w:styleId="7">
    <w:name w:val="heading 5"/>
    <w:basedOn w:val="1"/>
    <w:next w:val="8"/>
    <w:link w:val="65"/>
    <w:qFormat/>
    <w:uiPriority w:val="0"/>
    <w:pPr>
      <w:adjustRightInd w:val="0"/>
      <w:outlineLvl w:val="4"/>
    </w:pPr>
    <w:rPr>
      <w:rFonts w:ascii="宋体" w:hAnsi="Calibri"/>
      <w:szCs w:val="20"/>
    </w:rPr>
  </w:style>
  <w:style w:type="paragraph" w:styleId="10">
    <w:name w:val="heading 6"/>
    <w:basedOn w:val="1"/>
    <w:next w:val="1"/>
    <w:link w:val="68"/>
    <w:qFormat/>
    <w:uiPriority w:val="0"/>
    <w:pPr>
      <w:keepNext/>
      <w:keepLines/>
      <w:spacing w:before="240" w:beforeLines="0" w:after="64" w:afterLines="0" w:line="320" w:lineRule="auto"/>
      <w:outlineLvl w:val="5"/>
    </w:pPr>
    <w:rPr>
      <w:rFonts w:ascii="Arial" w:hAnsi="Arial" w:eastAsia="黑体"/>
      <w:b/>
      <w:bCs/>
      <w:sz w:val="24"/>
    </w:rPr>
  </w:style>
  <w:style w:type="paragraph" w:styleId="11">
    <w:name w:val="heading 7"/>
    <w:basedOn w:val="1"/>
    <w:next w:val="8"/>
    <w:link w:val="69"/>
    <w:qFormat/>
    <w:uiPriority w:val="0"/>
    <w:pPr>
      <w:adjustRightInd w:val="0"/>
      <w:outlineLvl w:val="6"/>
    </w:pPr>
    <w:rPr>
      <w:rFonts w:ascii="宋体" w:hAnsi="Calibri"/>
      <w:szCs w:val="20"/>
    </w:rPr>
  </w:style>
  <w:style w:type="paragraph" w:styleId="12">
    <w:name w:val="heading 8"/>
    <w:basedOn w:val="1"/>
    <w:next w:val="1"/>
    <w:link w:val="70"/>
    <w:qFormat/>
    <w:uiPriority w:val="0"/>
    <w:pPr>
      <w:keepNext/>
      <w:keepLines/>
      <w:spacing w:before="240" w:after="64" w:line="317" w:lineRule="auto"/>
      <w:outlineLvl w:val="7"/>
    </w:pPr>
    <w:rPr>
      <w:rFonts w:ascii="Arial" w:hAnsi="Arial" w:eastAsia="黑体"/>
      <w:sz w:val="24"/>
    </w:rPr>
  </w:style>
  <w:style w:type="paragraph" w:styleId="13">
    <w:name w:val="heading 9"/>
    <w:basedOn w:val="1"/>
    <w:next w:val="8"/>
    <w:link w:val="71"/>
    <w:qFormat/>
    <w:uiPriority w:val="0"/>
    <w:pPr>
      <w:adjustRightInd w:val="0"/>
      <w:outlineLvl w:val="8"/>
    </w:pPr>
    <w:rPr>
      <w:rFonts w:ascii="宋体" w:hAnsi="Calibri"/>
      <w:kern w:val="21"/>
      <w:szCs w:val="20"/>
    </w:rPr>
  </w:style>
  <w:style w:type="character" w:default="1" w:styleId="54">
    <w:name w:val="Default Paragraph Font"/>
    <w:uiPriority w:val="0"/>
    <w:rPr>
      <w:rFonts w:ascii="Calibri" w:hAnsi="Calibri" w:eastAsia="宋体" w:cs="Times New Roman"/>
    </w:rPr>
  </w:style>
  <w:style w:type="table" w:default="1" w:styleId="51">
    <w:name w:val="Normal Table"/>
    <w:uiPriority w:val="0"/>
    <w:rPr>
      <w:rFonts w:ascii="Calibri" w:hAnsi="Calibri" w:eastAsia="宋体" w:cs="Times New Roman"/>
    </w:rPr>
    <w:tblPr>
      <w:tblStyle w:val="51"/>
      <w:tblCellMar>
        <w:top w:w="0" w:type="dxa"/>
        <w:left w:w="108" w:type="dxa"/>
        <w:bottom w:w="0" w:type="dxa"/>
        <w:right w:w="108" w:type="dxa"/>
      </w:tblCellMar>
    </w:tblPr>
  </w:style>
  <w:style w:type="paragraph" w:customStyle="1" w:styleId="2">
    <w:name w:val="章正文"/>
    <w:basedOn w:val="1"/>
    <w:uiPriority w:val="0"/>
    <w:pPr>
      <w:spacing w:before="156" w:beforeLines="50" w:after="120" w:line="300" w:lineRule="auto"/>
      <w:ind w:firstLine="480"/>
    </w:pPr>
    <w:rPr>
      <w:rFonts w:ascii="Helvetica" w:hAnsi="Helvetica" w:eastAsia="宋体" w:cs="Times New Roman"/>
      <w:kern w:val="0"/>
      <w:sz w:val="24"/>
    </w:rPr>
  </w:style>
  <w:style w:type="paragraph" w:styleId="8">
    <w:name w:val="Body Text First Indent"/>
    <w:basedOn w:val="9"/>
    <w:next w:val="1"/>
    <w:link w:val="67"/>
    <w:qFormat/>
    <w:uiPriority w:val="0"/>
    <w:pPr>
      <w:ind w:firstLine="420" w:firstLineChars="100"/>
    </w:pPr>
  </w:style>
  <w:style w:type="paragraph" w:styleId="9">
    <w:name w:val="Body Text"/>
    <w:basedOn w:val="1"/>
    <w:next w:val="8"/>
    <w:link w:val="66"/>
    <w:qFormat/>
    <w:uiPriority w:val="99"/>
    <w:pPr>
      <w:spacing w:after="120" w:afterLines="0"/>
    </w:pPr>
    <w:rPr>
      <w:rFonts w:ascii="Calibri" w:hAnsi="Calibri"/>
    </w:rPr>
  </w:style>
  <w:style w:type="paragraph" w:styleId="14">
    <w:name w:val="toc 7"/>
    <w:unhideWhenUsed/>
    <w:qFormat/>
    <w:uiPriority w:val="34"/>
    <w:pPr>
      <w:ind w:left="2550"/>
      <w:jc w:val="both"/>
    </w:pPr>
    <w:rPr>
      <w:sz w:val="21"/>
      <w:szCs w:val="21"/>
      <w:lang w:val="en-US" w:eastAsia="zh-CN" w:bidi="ar-SA"/>
    </w:rPr>
  </w:style>
  <w:style w:type="paragraph" w:styleId="15">
    <w:name w:val="List Number"/>
    <w:basedOn w:val="1"/>
    <w:unhideWhenUsed/>
    <w:uiPriority w:val="99"/>
    <w:pPr>
      <w:numPr>
        <w:ilvl w:val="0"/>
        <w:numId w:val="1"/>
      </w:numPr>
      <w:contextualSpacing/>
    </w:pPr>
  </w:style>
  <w:style w:type="paragraph" w:styleId="16">
    <w:name w:val="Normal Indent"/>
    <w:basedOn w:val="1"/>
    <w:link w:val="72"/>
    <w:qFormat/>
    <w:uiPriority w:val="0"/>
    <w:pPr>
      <w:adjustRightInd w:val="0"/>
      <w:spacing w:line="312" w:lineRule="atLeast"/>
      <w:ind w:firstLine="420"/>
      <w:textAlignment w:val="baseline"/>
    </w:pPr>
    <w:rPr>
      <w:rFonts w:ascii="Calibri" w:hAnsi="Calibri"/>
      <w:kern w:val="0"/>
      <w:szCs w:val="20"/>
    </w:rPr>
  </w:style>
  <w:style w:type="paragraph" w:styleId="17">
    <w:name w:val="caption"/>
    <w:basedOn w:val="1"/>
    <w:next w:val="1"/>
    <w:link w:val="73"/>
    <w:qFormat/>
    <w:uiPriority w:val="0"/>
    <w:pPr>
      <w:spacing w:before="152" w:after="160"/>
    </w:pPr>
    <w:rPr>
      <w:rFonts w:ascii="Arial" w:hAnsi="Arial" w:eastAsia="黑体"/>
      <w:sz w:val="20"/>
      <w:szCs w:val="20"/>
    </w:rPr>
  </w:style>
  <w:style w:type="paragraph" w:styleId="18">
    <w:name w:val="List Bullet"/>
    <w:basedOn w:val="1"/>
    <w:uiPriority w:val="0"/>
    <w:pPr>
      <w:widowControl/>
      <w:tabs>
        <w:tab w:val="left" w:pos="964"/>
      </w:tabs>
      <w:spacing w:before="100" w:beforeAutospacing="1" w:after="100" w:afterLines="50" w:afterAutospacing="1"/>
      <w:ind w:left="964" w:hanging="482"/>
      <w:jc w:val="left"/>
    </w:pPr>
    <w:rPr>
      <w:rFonts w:ascii="Calibri" w:hAnsi="Calibri" w:eastAsia="宋体" w:cs="Times New Roman"/>
      <w:kern w:val="0"/>
      <w:szCs w:val="20"/>
    </w:rPr>
  </w:style>
  <w:style w:type="paragraph" w:styleId="19">
    <w:name w:val="Document Map"/>
    <w:basedOn w:val="1"/>
    <w:link w:val="74"/>
    <w:qFormat/>
    <w:uiPriority w:val="99"/>
    <w:pPr>
      <w:shd w:val="clear" w:color="auto" w:fill="000080"/>
    </w:pPr>
    <w:rPr>
      <w:rFonts w:ascii="Calibri" w:hAnsi="Calibri"/>
    </w:rPr>
  </w:style>
  <w:style w:type="paragraph" w:styleId="20">
    <w:name w:val="annotation text"/>
    <w:basedOn w:val="1"/>
    <w:link w:val="75"/>
    <w:qFormat/>
    <w:uiPriority w:val="0"/>
    <w:pPr>
      <w:jc w:val="left"/>
    </w:pPr>
    <w:rPr>
      <w:rFonts w:ascii="Calibri" w:hAnsi="Calibri"/>
    </w:rPr>
  </w:style>
  <w:style w:type="paragraph" w:styleId="21">
    <w:name w:val="Body Text 3"/>
    <w:basedOn w:val="1"/>
    <w:link w:val="76"/>
    <w:uiPriority w:val="0"/>
    <w:pPr>
      <w:spacing w:after="120"/>
    </w:pPr>
    <w:rPr>
      <w:rFonts w:ascii="Calibri" w:hAnsi="Calibri"/>
      <w:sz w:val="16"/>
      <w:szCs w:val="16"/>
    </w:rPr>
  </w:style>
  <w:style w:type="paragraph" w:styleId="22">
    <w:name w:val="Body Text Indent"/>
    <w:basedOn w:val="1"/>
    <w:link w:val="77"/>
    <w:qFormat/>
    <w:uiPriority w:val="0"/>
    <w:pPr>
      <w:spacing w:line="200" w:lineRule="exact"/>
      <w:ind w:firstLine="301"/>
    </w:pPr>
    <w:rPr>
      <w:rFonts w:ascii="宋体" w:hAnsi="Courier New"/>
      <w:spacing w:val="-4"/>
      <w:sz w:val="18"/>
      <w:szCs w:val="20"/>
    </w:rPr>
  </w:style>
  <w:style w:type="paragraph" w:styleId="23">
    <w:name w:val="Block Text"/>
    <w:basedOn w:val="1"/>
    <w:qFormat/>
    <w:uiPriority w:val="0"/>
    <w:pPr>
      <w:spacing w:after="120"/>
      <w:ind w:left="1440" w:leftChars="700" w:right="1440" w:rightChars="700"/>
    </w:pPr>
    <w:rPr>
      <w:szCs w:val="22"/>
    </w:rPr>
  </w:style>
  <w:style w:type="paragraph" w:styleId="24">
    <w:name w:val="List Bullet 2"/>
    <w:basedOn w:val="1"/>
    <w:uiPriority w:val="0"/>
    <w:pPr>
      <w:tabs>
        <w:tab w:val="left" w:pos="360"/>
        <w:tab w:val="left" w:pos="1191"/>
      </w:tabs>
      <w:snapToGrid w:val="0"/>
      <w:spacing w:line="360" w:lineRule="auto"/>
      <w:ind w:left="482" w:hanging="482" w:hangingChars="200"/>
      <w:jc w:val="left"/>
    </w:pPr>
    <w:rPr>
      <w:rFonts w:ascii="Calibri" w:hAnsi="Calibri" w:eastAsia="宋体" w:cs="Times New Roman"/>
      <w:b/>
      <w:bCs/>
      <w:sz w:val="24"/>
      <w:szCs w:val="32"/>
    </w:rPr>
  </w:style>
  <w:style w:type="paragraph" w:styleId="25">
    <w:name w:val="toc 5"/>
    <w:unhideWhenUsed/>
    <w:qFormat/>
    <w:uiPriority w:val="32"/>
    <w:pPr>
      <w:ind w:left="1700"/>
      <w:jc w:val="both"/>
    </w:pPr>
    <w:rPr>
      <w:sz w:val="21"/>
      <w:szCs w:val="21"/>
      <w:lang w:val="en-US" w:eastAsia="zh-CN" w:bidi="ar-SA"/>
    </w:rPr>
  </w:style>
  <w:style w:type="paragraph" w:styleId="26">
    <w:name w:val="toc 3"/>
    <w:basedOn w:val="1"/>
    <w:next w:val="1"/>
    <w:qFormat/>
    <w:uiPriority w:val="99"/>
    <w:pPr>
      <w:ind w:left="840" w:leftChars="400"/>
    </w:pPr>
    <w:rPr>
      <w:rFonts w:ascii="Times New Roman" w:hAnsi="Times New Roman" w:eastAsia="宋体" w:cs="Times New Roman"/>
    </w:rPr>
  </w:style>
  <w:style w:type="paragraph" w:styleId="27">
    <w:name w:val="Plain Text"/>
    <w:basedOn w:val="1"/>
    <w:next w:val="28"/>
    <w:link w:val="78"/>
    <w:qFormat/>
    <w:uiPriority w:val="0"/>
    <w:rPr>
      <w:rFonts w:ascii="宋体" w:hAnsi="Courier New"/>
      <w:szCs w:val="20"/>
    </w:rPr>
  </w:style>
  <w:style w:type="paragraph" w:styleId="28">
    <w:name w:val="index 7"/>
    <w:basedOn w:val="1"/>
    <w:next w:val="1"/>
    <w:qFormat/>
    <w:uiPriority w:val="0"/>
    <w:pPr>
      <w:autoSpaceDE/>
      <w:autoSpaceDN/>
      <w:adjustRightInd/>
      <w:ind w:left="1200" w:leftChars="1200"/>
    </w:pPr>
    <w:rPr>
      <w:color w:val="auto"/>
      <w:kern w:val="2"/>
      <w:szCs w:val="24"/>
    </w:rPr>
  </w:style>
  <w:style w:type="paragraph" w:styleId="29">
    <w:name w:val="toc 8"/>
    <w:unhideWhenUsed/>
    <w:qFormat/>
    <w:uiPriority w:val="35"/>
    <w:pPr>
      <w:ind w:left="2975"/>
      <w:jc w:val="both"/>
    </w:pPr>
    <w:rPr>
      <w:sz w:val="21"/>
      <w:szCs w:val="21"/>
      <w:lang w:val="en-US" w:eastAsia="zh-CN" w:bidi="ar-SA"/>
    </w:rPr>
  </w:style>
  <w:style w:type="paragraph" w:styleId="30">
    <w:name w:val="Date"/>
    <w:basedOn w:val="1"/>
    <w:next w:val="1"/>
    <w:link w:val="79"/>
    <w:qFormat/>
    <w:uiPriority w:val="0"/>
    <w:pPr>
      <w:spacing w:line="440" w:lineRule="exact"/>
    </w:pPr>
    <w:rPr>
      <w:rFonts w:ascii="Calibri" w:hAnsi="Calibri"/>
      <w:spacing w:val="12"/>
      <w:sz w:val="24"/>
      <w:szCs w:val="20"/>
    </w:rPr>
  </w:style>
  <w:style w:type="paragraph" w:styleId="31">
    <w:name w:val="Body Text Indent 2"/>
    <w:basedOn w:val="1"/>
    <w:link w:val="80"/>
    <w:qFormat/>
    <w:uiPriority w:val="0"/>
    <w:pPr>
      <w:spacing w:after="120" w:afterLines="0" w:line="480" w:lineRule="auto"/>
      <w:ind w:left="420" w:leftChars="200"/>
    </w:pPr>
    <w:rPr>
      <w:rFonts w:ascii="Calibri" w:hAnsi="Calibri"/>
    </w:rPr>
  </w:style>
  <w:style w:type="paragraph" w:styleId="32">
    <w:name w:val="endnote text"/>
    <w:basedOn w:val="1"/>
    <w:link w:val="81"/>
    <w:uiPriority w:val="0"/>
    <w:pPr>
      <w:numPr>
        <w:ilvl w:val="0"/>
        <w:numId w:val="2"/>
      </w:numPr>
      <w:tabs>
        <w:tab w:val="clear" w:pos="360"/>
      </w:tabs>
      <w:snapToGrid w:val="0"/>
      <w:spacing w:after="156" w:afterLines="50"/>
      <w:ind w:left="0" w:firstLine="0"/>
      <w:jc w:val="left"/>
    </w:pPr>
    <w:rPr>
      <w:rFonts w:ascii="宋体"/>
      <w:snapToGrid w:val="0"/>
      <w:kern w:val="0"/>
      <w:szCs w:val="20"/>
    </w:rPr>
  </w:style>
  <w:style w:type="paragraph" w:styleId="33">
    <w:name w:val="Balloon Text"/>
    <w:basedOn w:val="1"/>
    <w:link w:val="82"/>
    <w:qFormat/>
    <w:uiPriority w:val="99"/>
    <w:rPr>
      <w:rFonts w:ascii="Calibri" w:hAnsi="Calibri"/>
      <w:sz w:val="18"/>
      <w:szCs w:val="18"/>
    </w:rPr>
  </w:style>
  <w:style w:type="paragraph" w:styleId="34">
    <w:name w:val="footer"/>
    <w:basedOn w:val="1"/>
    <w:link w:val="83"/>
    <w:qFormat/>
    <w:uiPriority w:val="99"/>
    <w:pPr>
      <w:tabs>
        <w:tab w:val="center" w:pos="4153"/>
        <w:tab w:val="right" w:pos="8306"/>
      </w:tabs>
      <w:snapToGrid w:val="0"/>
      <w:jc w:val="left"/>
    </w:pPr>
    <w:rPr>
      <w:rFonts w:ascii="Calibri" w:hAnsi="Calibri"/>
      <w:sz w:val="18"/>
      <w:szCs w:val="18"/>
    </w:rPr>
  </w:style>
  <w:style w:type="paragraph" w:styleId="35">
    <w:name w:val="header"/>
    <w:basedOn w:val="1"/>
    <w:link w:val="84"/>
    <w:qFormat/>
    <w:uiPriority w:val="99"/>
    <w:pPr>
      <w:pBdr>
        <w:bottom w:val="single" w:color="auto" w:sz="0" w:space="1"/>
      </w:pBdr>
      <w:tabs>
        <w:tab w:val="center" w:pos="4153"/>
        <w:tab w:val="right" w:pos="8306"/>
      </w:tabs>
      <w:snapToGrid w:val="0"/>
      <w:jc w:val="center"/>
    </w:pPr>
    <w:rPr>
      <w:rFonts w:ascii="Calibri" w:hAnsi="Calibri"/>
      <w:sz w:val="18"/>
      <w:szCs w:val="18"/>
    </w:rPr>
  </w:style>
  <w:style w:type="paragraph" w:styleId="36">
    <w:name w:val="toc 1"/>
    <w:basedOn w:val="1"/>
    <w:next w:val="1"/>
    <w:qFormat/>
    <w:uiPriority w:val="0"/>
    <w:pPr>
      <w:spacing w:line="360" w:lineRule="exact"/>
      <w:ind w:left="718" w:hanging="718" w:hangingChars="342"/>
    </w:pPr>
    <w:rPr>
      <w:rFonts w:ascii="Arial" w:hAnsi="Arial" w:eastAsia="楷体_GB2312" w:cs="Arial"/>
    </w:rPr>
  </w:style>
  <w:style w:type="paragraph" w:styleId="37">
    <w:name w:val="toc 4"/>
    <w:unhideWhenUsed/>
    <w:qFormat/>
    <w:uiPriority w:val="31"/>
    <w:pPr>
      <w:ind w:left="1275"/>
      <w:jc w:val="both"/>
    </w:pPr>
    <w:rPr>
      <w:sz w:val="21"/>
      <w:szCs w:val="21"/>
      <w:lang w:val="en-US" w:eastAsia="zh-CN" w:bidi="ar-SA"/>
    </w:rPr>
  </w:style>
  <w:style w:type="paragraph" w:styleId="38">
    <w:name w:val="Subtitle"/>
    <w:basedOn w:val="1"/>
    <w:link w:val="85"/>
    <w:qFormat/>
    <w:uiPriority w:val="0"/>
    <w:pPr>
      <w:spacing w:after="156" w:afterLines="50"/>
      <w:jc w:val="center"/>
    </w:pPr>
    <w:rPr>
      <w:rFonts w:ascii="宋体" w:hAnsi="Calibri"/>
      <w:i/>
      <w:snapToGrid w:val="0"/>
      <w:kern w:val="0"/>
      <w:sz w:val="36"/>
      <w:szCs w:val="20"/>
      <w:lang w:val="en-AU"/>
    </w:rPr>
  </w:style>
  <w:style w:type="paragraph" w:styleId="39">
    <w:name w:val="List"/>
    <w:basedOn w:val="1"/>
    <w:qFormat/>
    <w:uiPriority w:val="0"/>
    <w:pPr>
      <w:ind w:left="200" w:hanging="200" w:hangingChars="200"/>
    </w:pPr>
    <w:rPr>
      <w:rFonts w:ascii="Calibri" w:hAnsi="Calibri" w:eastAsia="宋体" w:cs="Times New Roman"/>
      <w:sz w:val="28"/>
    </w:rPr>
  </w:style>
  <w:style w:type="paragraph" w:styleId="40">
    <w:name w:val="toc 6"/>
    <w:unhideWhenUsed/>
    <w:qFormat/>
    <w:uiPriority w:val="33"/>
    <w:pPr>
      <w:ind w:left="2125"/>
      <w:jc w:val="both"/>
    </w:pPr>
    <w:rPr>
      <w:sz w:val="21"/>
      <w:szCs w:val="21"/>
      <w:lang w:val="en-US" w:eastAsia="zh-CN" w:bidi="ar-SA"/>
    </w:rPr>
  </w:style>
  <w:style w:type="paragraph" w:styleId="41">
    <w:name w:val="Body Text Indent 3"/>
    <w:basedOn w:val="1"/>
    <w:link w:val="86"/>
    <w:qFormat/>
    <w:uiPriority w:val="0"/>
    <w:pPr>
      <w:spacing w:after="120" w:afterLines="0"/>
      <w:ind w:left="420" w:leftChars="200"/>
    </w:pPr>
    <w:rPr>
      <w:rFonts w:ascii="Calibri" w:hAnsi="Calibri"/>
      <w:sz w:val="16"/>
      <w:szCs w:val="16"/>
    </w:rPr>
  </w:style>
  <w:style w:type="paragraph" w:styleId="42">
    <w:name w:val="toc 2"/>
    <w:basedOn w:val="1"/>
    <w:next w:val="1"/>
    <w:qFormat/>
    <w:uiPriority w:val="39"/>
    <w:pPr>
      <w:ind w:left="420" w:leftChars="200"/>
    </w:pPr>
    <w:rPr>
      <w:rFonts w:ascii="Calibri" w:hAnsi="Calibri" w:eastAsia="宋体" w:cs="Times New Roman"/>
    </w:rPr>
  </w:style>
  <w:style w:type="paragraph" w:styleId="43">
    <w:name w:val="toc 9"/>
    <w:unhideWhenUsed/>
    <w:qFormat/>
    <w:uiPriority w:val="36"/>
    <w:pPr>
      <w:ind w:left="3400"/>
      <w:jc w:val="both"/>
    </w:pPr>
    <w:rPr>
      <w:sz w:val="21"/>
      <w:szCs w:val="21"/>
      <w:lang w:val="en-US" w:eastAsia="zh-CN" w:bidi="ar-SA"/>
    </w:rPr>
  </w:style>
  <w:style w:type="paragraph" w:styleId="44">
    <w:name w:val="Body Text 2"/>
    <w:basedOn w:val="1"/>
    <w:link w:val="87"/>
    <w:uiPriority w:val="0"/>
    <w:pPr>
      <w:spacing w:after="120" w:line="480" w:lineRule="auto"/>
    </w:pPr>
    <w:rPr>
      <w:rFonts w:ascii="Calibri" w:hAnsi="Calibri"/>
    </w:rPr>
  </w:style>
  <w:style w:type="paragraph" w:styleId="45">
    <w:name w:val="HTML Preformatted"/>
    <w:basedOn w:val="1"/>
    <w:link w:val="88"/>
    <w:qFormat/>
    <w:uiPriority w:val="99"/>
    <w:rPr>
      <w:rFonts w:ascii="Courier New" w:hAnsi="Courier New"/>
      <w:sz w:val="20"/>
      <w:szCs w:val="20"/>
    </w:rPr>
  </w:style>
  <w:style w:type="paragraph" w:styleId="46">
    <w:name w:val="Normal (Web)"/>
    <w:basedOn w:val="1"/>
    <w:qFormat/>
    <w:uiPriority w:val="99"/>
    <w:pPr>
      <w:widowControl/>
      <w:spacing w:before="100" w:beforeLines="0" w:beforeAutospacing="1" w:after="100" w:afterLines="0" w:afterAutospacing="1"/>
      <w:jc w:val="left"/>
    </w:pPr>
    <w:rPr>
      <w:rFonts w:hint="eastAsia" w:ascii="宋体" w:hAnsi="宋体" w:eastAsia="宋体" w:cs="Times New Roman"/>
      <w:color w:val="000000"/>
      <w:kern w:val="0"/>
      <w:sz w:val="24"/>
    </w:rPr>
  </w:style>
  <w:style w:type="paragraph" w:styleId="47">
    <w:name w:val="index 1"/>
    <w:basedOn w:val="1"/>
    <w:next w:val="1"/>
    <w:uiPriority w:val="0"/>
    <w:pPr>
      <w:spacing w:line="260" w:lineRule="exact"/>
      <w:jc w:val="center"/>
    </w:pPr>
    <w:rPr>
      <w:rFonts w:ascii="Calibri" w:hAnsi="Calibri" w:eastAsia="宋体" w:cs="Times New Roman"/>
    </w:rPr>
  </w:style>
  <w:style w:type="paragraph" w:styleId="48">
    <w:name w:val="index 2"/>
    <w:basedOn w:val="1"/>
    <w:next w:val="1"/>
    <w:uiPriority w:val="0"/>
    <w:pPr>
      <w:ind w:left="200" w:leftChars="200"/>
    </w:pPr>
    <w:rPr>
      <w:rFonts w:ascii="Calibri" w:hAnsi="Calibri" w:eastAsia="宋体" w:cs="Times New Roman"/>
    </w:rPr>
  </w:style>
  <w:style w:type="paragraph" w:styleId="49">
    <w:name w:val="Title"/>
    <w:basedOn w:val="1"/>
    <w:next w:val="1"/>
    <w:link w:val="89"/>
    <w:qFormat/>
    <w:uiPriority w:val="0"/>
    <w:pPr>
      <w:spacing w:before="240" w:after="60"/>
      <w:jc w:val="center"/>
      <w:outlineLvl w:val="0"/>
    </w:pPr>
    <w:rPr>
      <w:rFonts w:ascii="Cambria" w:hAnsi="Cambria"/>
      <w:b/>
      <w:bCs/>
      <w:sz w:val="32"/>
      <w:szCs w:val="32"/>
    </w:rPr>
  </w:style>
  <w:style w:type="paragraph" w:styleId="50">
    <w:name w:val="annotation subject"/>
    <w:basedOn w:val="20"/>
    <w:next w:val="20"/>
    <w:link w:val="90"/>
    <w:qFormat/>
    <w:uiPriority w:val="0"/>
    <w:rPr>
      <w:b/>
      <w:bCs/>
    </w:rPr>
  </w:style>
  <w:style w:type="table" w:styleId="52">
    <w:name w:val="Table Grid"/>
    <w:basedOn w:val="51"/>
    <w:qFormat/>
    <w:uiPriority w:val="0"/>
    <w:pPr>
      <w:jc w:val="both"/>
    </w:pPr>
    <w:rPr>
      <w:rFonts w:ascii="Calibri" w:hAnsi="Calibri" w:eastAsia="宋体" w:cs="Times New Roman"/>
      <w:kern w:val="2"/>
      <w:sz w:val="21"/>
      <w:szCs w:val="22"/>
    </w:rPr>
    <w:tblPr>
      <w:tblStyle w:val="5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3">
    <w:name w:val="Colorful List Accent 1"/>
    <w:basedOn w:val="51"/>
    <w:unhideWhenUsed/>
    <w:uiPriority w:val="34"/>
    <w:rPr>
      <w:rFonts w:ascii="Arial Unicode MS" w:hAnsi="Arial Unicode MS" w:eastAsia="微软雅黑"/>
      <w:kern w:val="2"/>
      <w:sz w:val="21"/>
      <w:szCs w:val="22"/>
    </w:rPr>
    <w:tblPr>
      <w:tblStyle w:val="51"/>
      <w:tblStyleRowBandSize w:val="1"/>
      <w:tblStyleColBandSize w:val="1"/>
    </w:tblPr>
    <w:tcPr>
      <w:shd w:val="clear" w:color="auto" w:fill="EDF2F8"/>
    </w:tcPr>
    <w:tblStylePr w:type="firstRow">
      <w:rPr>
        <w:b/>
        <w:bCs/>
        <w:color w:val="FFFFFF"/>
      </w:rPr>
      <w:tblPr>
        <w:tblStyle w:val="51"/>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blPr>
        <w:tblStyle w:val="51"/>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Style w:val="51"/>
      </w:tblPr>
      <w:tcPr>
        <w:tcBorders>
          <w:top w:val="nil"/>
          <w:left w:val="nil"/>
          <w:bottom w:val="nil"/>
          <w:right w:val="nil"/>
          <w:insideH w:val="nil"/>
          <w:insideV w:val="nil"/>
          <w:tl2br w:val="nil"/>
          <w:tr2bl w:val="nil"/>
        </w:tcBorders>
        <w:shd w:val="clear" w:color="auto" w:fill="D3DFEE"/>
      </w:tcPr>
    </w:tblStylePr>
    <w:tblStylePr w:type="band1Horz">
      <w:tblPr>
        <w:tblStyle w:val="51"/>
      </w:tblPr>
      <w:tcPr>
        <w:shd w:val="clear" w:color="auto" w:fill="DBE5F1"/>
      </w:tcPr>
    </w:tblStylePr>
  </w:style>
  <w:style w:type="character" w:styleId="55">
    <w:name w:val="Strong"/>
    <w:qFormat/>
    <w:uiPriority w:val="22"/>
    <w:rPr>
      <w:rFonts w:ascii="Calibri" w:hAnsi="Calibri" w:eastAsia="宋体" w:cs="Times New Roman"/>
      <w:b/>
    </w:rPr>
  </w:style>
  <w:style w:type="character" w:styleId="56">
    <w:name w:val="page number"/>
    <w:uiPriority w:val="0"/>
    <w:rPr>
      <w:rFonts w:ascii="Calibri" w:hAnsi="Calibri" w:eastAsia="宋体" w:cs="Times New Roman"/>
    </w:rPr>
  </w:style>
  <w:style w:type="character" w:styleId="57">
    <w:name w:val="FollowedHyperlink"/>
    <w:uiPriority w:val="99"/>
    <w:rPr>
      <w:rFonts w:ascii="Calibri" w:hAnsi="Calibri" w:eastAsia="宋体" w:cs="Times New Roman"/>
      <w:color w:val="000000"/>
      <w:u w:val="none"/>
    </w:rPr>
  </w:style>
  <w:style w:type="character" w:styleId="58">
    <w:name w:val="Emphasis"/>
    <w:qFormat/>
    <w:uiPriority w:val="0"/>
    <w:rPr>
      <w:rFonts w:ascii="Calibri" w:hAnsi="Calibri" w:eastAsia="宋体" w:cs="Times New Roman"/>
      <w:color w:val="CC0000"/>
    </w:rPr>
  </w:style>
  <w:style w:type="character" w:styleId="59">
    <w:name w:val="Hyperlink"/>
    <w:qFormat/>
    <w:uiPriority w:val="99"/>
    <w:rPr>
      <w:rFonts w:ascii="Calibri" w:hAnsi="Calibri" w:eastAsia="宋体" w:cs="Times New Roman"/>
      <w:color w:val="000000"/>
      <w:u w:val="none"/>
    </w:rPr>
  </w:style>
  <w:style w:type="character" w:styleId="60">
    <w:name w:val="annotation reference"/>
    <w:qFormat/>
    <w:uiPriority w:val="0"/>
    <w:rPr>
      <w:rFonts w:ascii="Calibri" w:hAnsi="Calibri" w:eastAsia="宋体" w:cs="Times New Roman"/>
      <w:sz w:val="21"/>
      <w:szCs w:val="21"/>
    </w:rPr>
  </w:style>
  <w:style w:type="character" w:customStyle="1" w:styleId="61">
    <w:name w:val="标题 1 Char"/>
    <w:link w:val="3"/>
    <w:qFormat/>
    <w:uiPriority w:val="9"/>
    <w:rPr>
      <w:rFonts w:ascii="Calibri" w:hAnsi="Calibri" w:eastAsia="宋体" w:cs="Times New Roman"/>
      <w:b/>
      <w:bCs/>
      <w:kern w:val="44"/>
      <w:sz w:val="44"/>
      <w:szCs w:val="44"/>
    </w:rPr>
  </w:style>
  <w:style w:type="character" w:customStyle="1" w:styleId="62">
    <w:name w:val="标题 2 Char"/>
    <w:link w:val="4"/>
    <w:qFormat/>
    <w:uiPriority w:val="0"/>
    <w:rPr>
      <w:rFonts w:ascii="Arial" w:hAnsi="Arial" w:eastAsia="黑体" w:cs="Times New Roman"/>
      <w:b/>
      <w:bCs/>
      <w:kern w:val="2"/>
      <w:sz w:val="32"/>
      <w:szCs w:val="32"/>
    </w:rPr>
  </w:style>
  <w:style w:type="character" w:customStyle="1" w:styleId="63">
    <w:name w:val="标题 3 Char"/>
    <w:link w:val="5"/>
    <w:qFormat/>
    <w:uiPriority w:val="0"/>
    <w:rPr>
      <w:rFonts w:ascii="Calibri" w:hAnsi="Calibri" w:eastAsia="宋体" w:cs="Times New Roman"/>
      <w:b/>
      <w:bCs/>
      <w:kern w:val="2"/>
      <w:sz w:val="32"/>
      <w:szCs w:val="32"/>
    </w:rPr>
  </w:style>
  <w:style w:type="character" w:customStyle="1" w:styleId="64">
    <w:name w:val="标题 4 Char"/>
    <w:link w:val="6"/>
    <w:qFormat/>
    <w:uiPriority w:val="0"/>
    <w:rPr>
      <w:rFonts w:ascii="Cambria" w:hAnsi="Cambria" w:eastAsia="宋体" w:cs="Times New Roman"/>
      <w:b/>
      <w:bCs/>
      <w:color w:val="000000"/>
      <w:sz w:val="28"/>
      <w:szCs w:val="28"/>
    </w:rPr>
  </w:style>
  <w:style w:type="character" w:customStyle="1" w:styleId="65">
    <w:name w:val="标题 5 Char"/>
    <w:link w:val="7"/>
    <w:qFormat/>
    <w:uiPriority w:val="0"/>
    <w:rPr>
      <w:rFonts w:ascii="宋体" w:hAnsi="Calibri" w:eastAsia="宋体" w:cs="Times New Roman"/>
      <w:kern w:val="2"/>
      <w:sz w:val="21"/>
    </w:rPr>
  </w:style>
  <w:style w:type="character" w:customStyle="1" w:styleId="66">
    <w:name w:val="正文文本 Char"/>
    <w:link w:val="9"/>
    <w:qFormat/>
    <w:uiPriority w:val="99"/>
    <w:rPr>
      <w:rFonts w:ascii="Calibri" w:hAnsi="Calibri" w:eastAsia="宋体" w:cs="Times New Roman"/>
      <w:kern w:val="2"/>
      <w:sz w:val="21"/>
      <w:szCs w:val="24"/>
    </w:rPr>
  </w:style>
  <w:style w:type="character" w:customStyle="1" w:styleId="67">
    <w:name w:val="正文首行缩进 Char"/>
    <w:link w:val="8"/>
    <w:qFormat/>
    <w:uiPriority w:val="0"/>
    <w:rPr>
      <w:rFonts w:ascii="Calibri" w:hAnsi="Calibri" w:eastAsia="宋体" w:cs="Times New Roman"/>
      <w:kern w:val="2"/>
      <w:sz w:val="21"/>
      <w:szCs w:val="24"/>
    </w:rPr>
  </w:style>
  <w:style w:type="character" w:customStyle="1" w:styleId="68">
    <w:name w:val="标题 6 Char"/>
    <w:link w:val="10"/>
    <w:qFormat/>
    <w:uiPriority w:val="0"/>
    <w:rPr>
      <w:rFonts w:ascii="Arial" w:hAnsi="Arial" w:eastAsia="黑体" w:cs="Times New Roman"/>
      <w:b/>
      <w:bCs/>
      <w:kern w:val="2"/>
      <w:sz w:val="24"/>
      <w:szCs w:val="24"/>
    </w:rPr>
  </w:style>
  <w:style w:type="character" w:customStyle="1" w:styleId="69">
    <w:name w:val="标题 7 Char"/>
    <w:link w:val="11"/>
    <w:qFormat/>
    <w:uiPriority w:val="0"/>
    <w:rPr>
      <w:rFonts w:ascii="宋体" w:hAnsi="Calibri" w:eastAsia="宋体" w:cs="Times New Roman"/>
      <w:kern w:val="2"/>
      <w:sz w:val="21"/>
    </w:rPr>
  </w:style>
  <w:style w:type="character" w:customStyle="1" w:styleId="70">
    <w:name w:val="标题 8 Char"/>
    <w:link w:val="12"/>
    <w:qFormat/>
    <w:uiPriority w:val="0"/>
    <w:rPr>
      <w:rFonts w:ascii="Arial" w:hAnsi="Arial" w:eastAsia="黑体" w:cs="Times New Roman"/>
      <w:kern w:val="2"/>
      <w:sz w:val="24"/>
      <w:szCs w:val="24"/>
    </w:rPr>
  </w:style>
  <w:style w:type="character" w:customStyle="1" w:styleId="71">
    <w:name w:val="标题 9 Char"/>
    <w:link w:val="13"/>
    <w:uiPriority w:val="0"/>
    <w:rPr>
      <w:rFonts w:ascii="宋体" w:hAnsi="Calibri" w:eastAsia="宋体" w:cs="Times New Roman"/>
      <w:kern w:val="21"/>
      <w:sz w:val="21"/>
    </w:rPr>
  </w:style>
  <w:style w:type="character" w:customStyle="1" w:styleId="72">
    <w:name w:val="正文缩进 Char"/>
    <w:link w:val="16"/>
    <w:qFormat/>
    <w:uiPriority w:val="0"/>
    <w:rPr>
      <w:rFonts w:ascii="Calibri" w:hAnsi="Calibri" w:eastAsia="宋体" w:cs="Times New Roman"/>
      <w:sz w:val="21"/>
      <w:lang w:val="en-US" w:eastAsia="zh-CN" w:bidi="ar-SA"/>
    </w:rPr>
  </w:style>
  <w:style w:type="character" w:customStyle="1" w:styleId="73">
    <w:name w:val="题注 Char"/>
    <w:link w:val="17"/>
    <w:qFormat/>
    <w:uiPriority w:val="0"/>
    <w:rPr>
      <w:rFonts w:ascii="Arial" w:hAnsi="Arial" w:eastAsia="黑体" w:cs="Arial"/>
      <w:kern w:val="2"/>
    </w:rPr>
  </w:style>
  <w:style w:type="character" w:customStyle="1" w:styleId="74">
    <w:name w:val="文档结构图 Char"/>
    <w:link w:val="19"/>
    <w:qFormat/>
    <w:uiPriority w:val="99"/>
    <w:rPr>
      <w:rFonts w:ascii="Calibri" w:hAnsi="Calibri" w:eastAsia="宋体" w:cs="Times New Roman"/>
      <w:kern w:val="2"/>
      <w:sz w:val="21"/>
      <w:szCs w:val="24"/>
      <w:shd w:val="clear" w:color="auto" w:fill="000080"/>
    </w:rPr>
  </w:style>
  <w:style w:type="character" w:customStyle="1" w:styleId="75">
    <w:name w:val="批注文字 Char"/>
    <w:link w:val="20"/>
    <w:qFormat/>
    <w:uiPriority w:val="0"/>
    <w:rPr>
      <w:rFonts w:ascii="Calibri" w:hAnsi="Calibri" w:eastAsia="宋体" w:cs="Times New Roman"/>
      <w:kern w:val="2"/>
      <w:sz w:val="21"/>
      <w:szCs w:val="24"/>
    </w:rPr>
  </w:style>
  <w:style w:type="character" w:customStyle="1" w:styleId="76">
    <w:name w:val="正文文本 3 Char"/>
    <w:link w:val="21"/>
    <w:uiPriority w:val="0"/>
    <w:rPr>
      <w:rFonts w:ascii="Calibri" w:hAnsi="Calibri" w:eastAsia="宋体" w:cs="Times New Roman"/>
      <w:kern w:val="2"/>
      <w:sz w:val="16"/>
      <w:szCs w:val="16"/>
    </w:rPr>
  </w:style>
  <w:style w:type="character" w:customStyle="1" w:styleId="77">
    <w:name w:val="正文文本缩进 Char"/>
    <w:link w:val="22"/>
    <w:qFormat/>
    <w:uiPriority w:val="0"/>
    <w:rPr>
      <w:rFonts w:ascii="宋体" w:hAnsi="Courier New" w:eastAsia="宋体" w:cs="Times New Roman"/>
      <w:spacing w:val="-4"/>
      <w:kern w:val="2"/>
      <w:sz w:val="18"/>
    </w:rPr>
  </w:style>
  <w:style w:type="character" w:customStyle="1" w:styleId="78">
    <w:name w:val="纯文本 Char"/>
    <w:link w:val="27"/>
    <w:qFormat/>
    <w:uiPriority w:val="0"/>
    <w:rPr>
      <w:rFonts w:ascii="宋体" w:hAnsi="Courier New" w:eastAsia="宋体" w:cs="Times New Roman"/>
      <w:kern w:val="2"/>
      <w:sz w:val="21"/>
      <w:lang w:val="en-US" w:eastAsia="zh-CN" w:bidi="ar-SA"/>
    </w:rPr>
  </w:style>
  <w:style w:type="character" w:customStyle="1" w:styleId="79">
    <w:name w:val="日期 Char"/>
    <w:link w:val="30"/>
    <w:qFormat/>
    <w:uiPriority w:val="0"/>
    <w:rPr>
      <w:rFonts w:ascii="Calibri" w:hAnsi="Calibri" w:eastAsia="宋体" w:cs="Times New Roman"/>
      <w:spacing w:val="12"/>
      <w:kern w:val="2"/>
      <w:sz w:val="24"/>
    </w:rPr>
  </w:style>
  <w:style w:type="character" w:customStyle="1" w:styleId="80">
    <w:name w:val="正文文本缩进 2 Char"/>
    <w:link w:val="31"/>
    <w:qFormat/>
    <w:uiPriority w:val="0"/>
    <w:rPr>
      <w:rFonts w:ascii="Calibri" w:hAnsi="Calibri" w:eastAsia="宋体" w:cs="Times New Roman"/>
      <w:kern w:val="2"/>
      <w:sz w:val="21"/>
      <w:szCs w:val="24"/>
    </w:rPr>
  </w:style>
  <w:style w:type="character" w:customStyle="1" w:styleId="81">
    <w:name w:val="尾注文本 Char"/>
    <w:link w:val="32"/>
    <w:uiPriority w:val="0"/>
    <w:rPr>
      <w:rFonts w:ascii="宋体"/>
      <w:snapToGrid w:val="0"/>
      <w:sz w:val="21"/>
    </w:rPr>
  </w:style>
  <w:style w:type="character" w:customStyle="1" w:styleId="82">
    <w:name w:val="批注框文本 Char"/>
    <w:link w:val="33"/>
    <w:qFormat/>
    <w:uiPriority w:val="99"/>
    <w:rPr>
      <w:rFonts w:ascii="Calibri" w:hAnsi="Calibri" w:eastAsia="宋体" w:cs="Times New Roman"/>
      <w:kern w:val="2"/>
      <w:sz w:val="18"/>
      <w:szCs w:val="18"/>
    </w:rPr>
  </w:style>
  <w:style w:type="character" w:customStyle="1" w:styleId="83">
    <w:name w:val="页脚 Char"/>
    <w:link w:val="34"/>
    <w:qFormat/>
    <w:uiPriority w:val="99"/>
    <w:rPr>
      <w:rFonts w:ascii="Calibri" w:hAnsi="Calibri" w:eastAsia="宋体" w:cs="Times New Roman"/>
      <w:kern w:val="2"/>
      <w:sz w:val="18"/>
      <w:szCs w:val="18"/>
    </w:rPr>
  </w:style>
  <w:style w:type="character" w:customStyle="1" w:styleId="84">
    <w:name w:val="页眉 Char"/>
    <w:link w:val="35"/>
    <w:qFormat/>
    <w:uiPriority w:val="99"/>
    <w:rPr>
      <w:rFonts w:ascii="Calibri" w:hAnsi="Calibri" w:eastAsia="宋体" w:cs="Times New Roman"/>
      <w:kern w:val="2"/>
      <w:sz w:val="18"/>
      <w:szCs w:val="18"/>
    </w:rPr>
  </w:style>
  <w:style w:type="character" w:customStyle="1" w:styleId="85">
    <w:name w:val="副标题 Char"/>
    <w:link w:val="38"/>
    <w:qFormat/>
    <w:uiPriority w:val="0"/>
    <w:rPr>
      <w:rFonts w:ascii="宋体" w:hAnsi="Calibri" w:eastAsia="宋体" w:cs="Times New Roman"/>
      <w:i/>
      <w:snapToGrid w:val="0"/>
      <w:sz w:val="36"/>
      <w:lang w:val="en-AU"/>
    </w:rPr>
  </w:style>
  <w:style w:type="character" w:customStyle="1" w:styleId="86">
    <w:name w:val="正文文本缩进 3 Char"/>
    <w:link w:val="41"/>
    <w:qFormat/>
    <w:uiPriority w:val="0"/>
    <w:rPr>
      <w:rFonts w:ascii="Calibri" w:hAnsi="Calibri" w:eastAsia="宋体" w:cs="Times New Roman"/>
      <w:kern w:val="2"/>
      <w:sz w:val="16"/>
      <w:szCs w:val="16"/>
    </w:rPr>
  </w:style>
  <w:style w:type="character" w:customStyle="1" w:styleId="87">
    <w:name w:val="正文文本 2 Char"/>
    <w:link w:val="44"/>
    <w:uiPriority w:val="0"/>
    <w:rPr>
      <w:rFonts w:ascii="Calibri" w:hAnsi="Calibri" w:eastAsia="宋体" w:cs="Times New Roman"/>
      <w:kern w:val="2"/>
      <w:sz w:val="21"/>
      <w:szCs w:val="24"/>
    </w:rPr>
  </w:style>
  <w:style w:type="character" w:customStyle="1" w:styleId="88">
    <w:name w:val="HTML 预设格式 Char"/>
    <w:link w:val="45"/>
    <w:qFormat/>
    <w:uiPriority w:val="99"/>
    <w:rPr>
      <w:rFonts w:ascii="Courier New" w:hAnsi="Courier New" w:eastAsia="宋体" w:cs="Courier New"/>
      <w:kern w:val="2"/>
    </w:rPr>
  </w:style>
  <w:style w:type="character" w:customStyle="1" w:styleId="89">
    <w:name w:val="标题 Char"/>
    <w:link w:val="49"/>
    <w:uiPriority w:val="0"/>
    <w:rPr>
      <w:rFonts w:ascii="Cambria" w:hAnsi="Cambria" w:eastAsia="宋体" w:cs="Times New Roman"/>
      <w:b/>
      <w:bCs/>
      <w:kern w:val="2"/>
      <w:sz w:val="32"/>
      <w:szCs w:val="32"/>
    </w:rPr>
  </w:style>
  <w:style w:type="character" w:customStyle="1" w:styleId="90">
    <w:name w:val="批注主题 Char"/>
    <w:link w:val="50"/>
    <w:uiPriority w:val="0"/>
    <w:rPr>
      <w:rFonts w:ascii="Calibri" w:hAnsi="Calibri" w:eastAsia="宋体" w:cs="Times New Roman"/>
      <w:b/>
      <w:bCs/>
      <w:kern w:val="2"/>
      <w:sz w:val="21"/>
      <w:szCs w:val="24"/>
    </w:rPr>
  </w:style>
  <w:style w:type="character" w:customStyle="1" w:styleId="91">
    <w:name w:val=" Char Char Char"/>
    <w:uiPriority w:val="0"/>
    <w:rPr>
      <w:rFonts w:ascii="宋体" w:hAnsi="Courier New" w:eastAsia="宋体" w:cs="Times New Roman"/>
      <w:sz w:val="21"/>
      <w:szCs w:val="21"/>
      <w:lang w:val="en-US" w:eastAsia="zh-CN" w:bidi="ar-SA"/>
    </w:rPr>
  </w:style>
  <w:style w:type="character" w:customStyle="1" w:styleId="92">
    <w:name w:val="不明显参考1"/>
    <w:qFormat/>
    <w:uiPriority w:val="23"/>
    <w:rPr>
      <w:smallCaps/>
      <w:color w:val="5A5A5A"/>
      <w:w w:val="100"/>
      <w:sz w:val="21"/>
      <w:szCs w:val="21"/>
      <w:shd w:val="clear" w:color="auto" w:fill="auto"/>
    </w:rPr>
  </w:style>
  <w:style w:type="character" w:customStyle="1" w:styleId="93">
    <w:name w:val="style7"/>
    <w:qFormat/>
    <w:uiPriority w:val="0"/>
    <w:rPr>
      <w:rFonts w:cs="Times New Roman"/>
    </w:rPr>
  </w:style>
  <w:style w:type="character" w:styleId="94">
    <w:name w:val=""/>
    <w:qFormat/>
    <w:uiPriority w:val="19"/>
    <w:rPr>
      <w:i/>
      <w:color w:val="5B9BD5"/>
      <w:w w:val="100"/>
      <w:sz w:val="21"/>
      <w:szCs w:val="21"/>
      <w:shd w:val="clear" w:color="auto" w:fill="auto"/>
    </w:rPr>
  </w:style>
  <w:style w:type="character" w:customStyle="1" w:styleId="95">
    <w:name w:val="纯文本 Char3"/>
    <w:basedOn w:val="54"/>
    <w:uiPriority w:val="0"/>
    <w:rPr>
      <w:rFonts w:hint="eastAsia" w:ascii="宋体" w:hAnsi="Courier New" w:cs="Courier New"/>
      <w:szCs w:val="21"/>
    </w:rPr>
  </w:style>
  <w:style w:type="character" w:customStyle="1" w:styleId="96">
    <w:name w:val="15"/>
    <w:uiPriority w:val="0"/>
    <w:rPr>
      <w:rFonts w:hint="default" w:ascii="Times New Roman" w:hAnsi="Times New Roman" w:eastAsia="宋体" w:cs="Times New Roman"/>
      <w:i/>
      <w:iCs/>
    </w:rPr>
  </w:style>
  <w:style w:type="character" w:customStyle="1" w:styleId="97">
    <w:name w:val="文档正文 Char"/>
    <w:link w:val="98"/>
    <w:qFormat/>
    <w:uiPriority w:val="0"/>
    <w:rPr>
      <w:rFonts w:ascii="Arial Narrow" w:hAnsi="Arial Narrow"/>
      <w:sz w:val="24"/>
      <w:szCs w:val="24"/>
    </w:rPr>
  </w:style>
  <w:style w:type="paragraph" w:customStyle="1" w:styleId="98">
    <w:name w:val="文档正文"/>
    <w:basedOn w:val="1"/>
    <w:link w:val="97"/>
    <w:qFormat/>
    <w:uiPriority w:val="0"/>
    <w:pPr>
      <w:adjustRightInd w:val="0"/>
      <w:spacing w:line="440" w:lineRule="exact"/>
      <w:ind w:firstLine="567"/>
      <w:textAlignment w:val="baseline"/>
    </w:pPr>
    <w:rPr>
      <w:rFonts w:ascii="Arial Narrow" w:hAnsi="Arial Narrow"/>
      <w:kern w:val="0"/>
      <w:sz w:val="24"/>
    </w:rPr>
  </w:style>
  <w:style w:type="character" w:customStyle="1" w:styleId="99">
    <w:name w:val="bookmark-item"/>
    <w:basedOn w:val="54"/>
    <w:uiPriority w:val="0"/>
  </w:style>
  <w:style w:type="character" w:customStyle="1" w:styleId="100">
    <w:name w:val="正文-雅黑 Char"/>
    <w:link w:val="101"/>
    <w:qFormat/>
    <w:uiPriority w:val="0"/>
    <w:rPr>
      <w:rFonts w:eastAsia="微软雅黑"/>
      <w:szCs w:val="24"/>
    </w:rPr>
  </w:style>
  <w:style w:type="paragraph" w:customStyle="1" w:styleId="101">
    <w:name w:val="正文-雅黑"/>
    <w:basedOn w:val="1"/>
    <w:link w:val="100"/>
    <w:qFormat/>
    <w:uiPriority w:val="0"/>
    <w:pPr>
      <w:ind w:firstLine="480" w:firstLineChars="200"/>
    </w:pPr>
    <w:rPr>
      <w:rFonts w:eastAsia="微软雅黑"/>
      <w:kern w:val="0"/>
      <w:sz w:val="20"/>
    </w:rPr>
  </w:style>
  <w:style w:type="character" w:customStyle="1" w:styleId="102">
    <w:name w:val="批注框文本 Char2"/>
    <w:locked/>
    <w:uiPriority w:val="0"/>
    <w:rPr>
      <w:kern w:val="2"/>
      <w:sz w:val="18"/>
      <w:szCs w:val="18"/>
    </w:rPr>
  </w:style>
  <w:style w:type="character" w:customStyle="1" w:styleId="103">
    <w:name w:val="已访问的超链接1"/>
    <w:unhideWhenUsed/>
    <w:uiPriority w:val="99"/>
    <w:rPr>
      <w:color w:val="800080"/>
      <w:u w:val="single"/>
    </w:rPr>
  </w:style>
  <w:style w:type="character" w:customStyle="1" w:styleId="104">
    <w:name w:val="文档结构图 Char1"/>
    <w:basedOn w:val="54"/>
    <w:qFormat/>
    <w:uiPriority w:val="0"/>
    <w:rPr>
      <w:rFonts w:ascii="宋体"/>
      <w:kern w:val="2"/>
      <w:sz w:val="18"/>
      <w:szCs w:val="18"/>
    </w:rPr>
  </w:style>
  <w:style w:type="character" w:customStyle="1" w:styleId="105">
    <w:name w:val="font11"/>
    <w:qFormat/>
    <w:uiPriority w:val="0"/>
    <w:rPr>
      <w:rFonts w:hint="default" w:ascii="Arial" w:hAnsi="Arial" w:cs="Arial"/>
      <w:color w:val="000000"/>
      <w:sz w:val="21"/>
      <w:szCs w:val="21"/>
      <w:u w:val="none"/>
    </w:rPr>
  </w:style>
  <w:style w:type="character" w:customStyle="1" w:styleId="106">
    <w:name w:val="普通(网站) Char Char"/>
    <w:uiPriority w:val="0"/>
    <w:rPr>
      <w:rFonts w:ascii="宋体" w:hAnsi="宋体" w:eastAsia="宋体" w:cs="宋体"/>
      <w:sz w:val="24"/>
      <w:szCs w:val="24"/>
      <w:lang w:val="en-US" w:eastAsia="zh-CN" w:bidi="ar-SA"/>
    </w:rPr>
  </w:style>
  <w:style w:type="character" w:customStyle="1" w:styleId="107">
    <w:name w:val="标题 Char1"/>
    <w:qFormat/>
    <w:uiPriority w:val="10"/>
    <w:rPr>
      <w:rFonts w:ascii="Cambria" w:hAnsi="Cambria" w:eastAsia="宋体" w:cs="Times New Roman"/>
      <w:b/>
      <w:bCs/>
      <w:sz w:val="32"/>
      <w:szCs w:val="32"/>
    </w:rPr>
  </w:style>
  <w:style w:type="character" w:styleId="108">
    <w:name w:val=""/>
    <w:qFormat/>
    <w:uiPriority w:val="25"/>
    <w:rPr>
      <w:b/>
      <w:i/>
      <w:w w:val="100"/>
      <w:sz w:val="21"/>
      <w:szCs w:val="21"/>
      <w:shd w:val="clear" w:color="auto" w:fill="auto"/>
    </w:rPr>
  </w:style>
  <w:style w:type="character" w:customStyle="1" w:styleId="109">
    <w:name w:val="列出段落 Char"/>
    <w:link w:val="110"/>
    <w:qFormat/>
    <w:uiPriority w:val="0"/>
    <w:rPr>
      <w:rFonts w:ascii="Calibri" w:hAnsi="Calibri" w:eastAsia="宋体" w:cs="Times New Roman"/>
      <w:kern w:val="2"/>
      <w:sz w:val="21"/>
      <w:szCs w:val="22"/>
    </w:rPr>
  </w:style>
  <w:style w:type="paragraph" w:styleId="110">
    <w:name w:val="List Paragraph"/>
    <w:basedOn w:val="1"/>
    <w:link w:val="109"/>
    <w:qFormat/>
    <w:uiPriority w:val="0"/>
    <w:pPr>
      <w:ind w:firstLine="420" w:firstLineChars="200"/>
    </w:pPr>
    <w:rPr>
      <w:rFonts w:ascii="Calibri" w:hAnsi="Calibri"/>
      <w:szCs w:val="22"/>
    </w:rPr>
  </w:style>
  <w:style w:type="character" w:customStyle="1" w:styleId="111">
    <w:name w:val="内容 Char"/>
    <w:link w:val="112"/>
    <w:qFormat/>
    <w:locked/>
    <w:uiPriority w:val="99"/>
    <w:rPr>
      <w:rFonts w:ascii="宋体" w:hAnsi="宋体"/>
      <w:sz w:val="24"/>
      <w:szCs w:val="24"/>
      <w:lang w:val="en-US" w:eastAsia="zh-CN" w:bidi="ar-SA"/>
    </w:rPr>
  </w:style>
  <w:style w:type="paragraph" w:customStyle="1" w:styleId="112">
    <w:name w:val="内容"/>
    <w:link w:val="111"/>
    <w:qFormat/>
    <w:uiPriority w:val="99"/>
    <w:pPr>
      <w:spacing w:line="360" w:lineRule="auto"/>
      <w:ind w:firstLine="480" w:firstLineChars="200"/>
    </w:pPr>
    <w:rPr>
      <w:rFonts w:ascii="宋体" w:hAnsi="宋体"/>
      <w:sz w:val="24"/>
      <w:szCs w:val="24"/>
      <w:lang w:val="en-US" w:eastAsia="zh-CN" w:bidi="ar-SA"/>
    </w:rPr>
  </w:style>
  <w:style w:type="character" w:customStyle="1" w:styleId="113">
    <w:name w:val="companytext"/>
    <w:uiPriority w:val="0"/>
    <w:rPr>
      <w:rFonts w:ascii="Calibri" w:hAnsi="Calibri" w:eastAsia="宋体" w:cs="Times New Roman"/>
    </w:rPr>
  </w:style>
  <w:style w:type="character" w:customStyle="1" w:styleId="114">
    <w:name w:val="批注框文本 Char3"/>
    <w:qFormat/>
    <w:uiPriority w:val="0"/>
    <w:rPr>
      <w:rFonts w:ascii="Times New Roman" w:hAnsi="Times New Roman" w:eastAsia="宋体" w:cs="Times New Roman"/>
      <w:sz w:val="18"/>
      <w:szCs w:val="18"/>
    </w:rPr>
  </w:style>
  <w:style w:type="character" w:customStyle="1" w:styleId="115">
    <w:name w:val="标3 Char"/>
    <w:link w:val="116"/>
    <w:locked/>
    <w:uiPriority w:val="99"/>
    <w:rPr>
      <w:rFonts w:ascii="黑体" w:hAnsi="黑体" w:eastAsia="黑体"/>
      <w:sz w:val="28"/>
      <w:szCs w:val="28"/>
      <w:lang w:val="en-US" w:eastAsia="zh-CN" w:bidi="ar-SA"/>
    </w:rPr>
  </w:style>
  <w:style w:type="paragraph" w:customStyle="1" w:styleId="116">
    <w:name w:val="标3"/>
    <w:next w:val="112"/>
    <w:link w:val="115"/>
    <w:qFormat/>
    <w:uiPriority w:val="99"/>
    <w:pPr>
      <w:ind w:left="50" w:leftChars="50" w:right="50" w:rightChars="50"/>
      <w:outlineLvl w:val="2"/>
    </w:pPr>
    <w:rPr>
      <w:rFonts w:ascii="黑体" w:hAnsi="黑体" w:eastAsia="黑体"/>
      <w:sz w:val="28"/>
      <w:szCs w:val="28"/>
      <w:lang w:val="en-US" w:eastAsia="zh-CN" w:bidi="ar-SA"/>
    </w:rPr>
  </w:style>
  <w:style w:type="character" w:customStyle="1" w:styleId="117">
    <w:name w:val="正文文本缩进 2 Char2"/>
    <w:basedOn w:val="54"/>
    <w:qFormat/>
    <w:uiPriority w:val="0"/>
    <w:rPr>
      <w:kern w:val="2"/>
      <w:sz w:val="21"/>
      <w:szCs w:val="24"/>
    </w:rPr>
  </w:style>
  <w:style w:type="character" w:customStyle="1" w:styleId="118">
    <w:name w:val="font12"/>
    <w:basedOn w:val="54"/>
    <w:uiPriority w:val="0"/>
    <w:rPr>
      <w:rFonts w:hint="eastAsia" w:ascii="宋体" w:hAnsi="宋体" w:cs="宋体"/>
      <w:color w:val="000000"/>
      <w:sz w:val="22"/>
      <w:szCs w:val="22"/>
      <w:u w:val="none"/>
    </w:rPr>
  </w:style>
  <w:style w:type="character" w:customStyle="1" w:styleId="119">
    <w:name w:val="标题 2 Char1"/>
    <w:uiPriority w:val="0"/>
    <w:rPr>
      <w:rFonts w:ascii="Arial" w:hAnsi="Arial" w:eastAsia="黑体"/>
      <w:b/>
      <w:bCs/>
      <w:kern w:val="2"/>
      <w:sz w:val="32"/>
      <w:szCs w:val="32"/>
    </w:rPr>
  </w:style>
  <w:style w:type="character" w:customStyle="1" w:styleId="120">
    <w:name w:val="明显强调1"/>
    <w:qFormat/>
    <w:uiPriority w:val="19"/>
    <w:rPr>
      <w:i/>
      <w:color w:val="5B9BD5"/>
      <w:w w:val="100"/>
      <w:sz w:val="21"/>
      <w:szCs w:val="21"/>
      <w:shd w:val="clear" w:color="auto" w:fill="auto"/>
    </w:rPr>
  </w:style>
  <w:style w:type="character" w:customStyle="1" w:styleId="121">
    <w:name w:val="apple-converted-space"/>
    <w:qFormat/>
    <w:uiPriority w:val="0"/>
    <w:rPr>
      <w:rFonts w:ascii="Calibri" w:hAnsi="Calibri" w:eastAsia="宋体" w:cs="Times New Roman"/>
    </w:rPr>
  </w:style>
  <w:style w:type="character" w:customStyle="1" w:styleId="122">
    <w:name w:val="纯文本 Char1"/>
    <w:aliases w:val=" Char Char1,小 Char,纯文本 Char Char1,普通文字 Char Char Char1,普通文字 Char Char Char Char1,普通文字 Char Char Char Char Char"/>
    <w:qFormat/>
    <w:uiPriority w:val="99"/>
    <w:rPr>
      <w:rFonts w:ascii="宋体" w:hAnsi="Courier New" w:eastAsia="宋体" w:cs="Courier New"/>
      <w:kern w:val="2"/>
      <w:sz w:val="21"/>
      <w:szCs w:val="21"/>
      <w:lang w:val="en-US" w:eastAsia="zh-CN" w:bidi="ar-SA"/>
    </w:rPr>
  </w:style>
  <w:style w:type="character" w:customStyle="1" w:styleId="123">
    <w:name w:val="无间隔 Char"/>
    <w:link w:val="124"/>
    <w:qFormat/>
    <w:uiPriority w:val="1"/>
    <w:rPr>
      <w:rFonts w:ascii="楷体_GB2312" w:hAnsi="宋体" w:eastAsia="楷体_GB2312"/>
      <w:bCs/>
      <w:kern w:val="2"/>
      <w:sz w:val="24"/>
      <w:szCs w:val="24"/>
      <w:u w:val="single"/>
      <w:lang w:val="en-US" w:eastAsia="zh-CN" w:bidi="ar-SA"/>
    </w:rPr>
  </w:style>
  <w:style w:type="paragraph" w:customStyle="1" w:styleId="124">
    <w:name w:val="无间隔1"/>
    <w:link w:val="123"/>
    <w:qFormat/>
    <w:uiPriority w:val="1"/>
    <w:pPr>
      <w:widowControl w:val="0"/>
      <w:spacing w:line="300" w:lineRule="auto"/>
    </w:pPr>
    <w:rPr>
      <w:rFonts w:ascii="楷体_GB2312" w:hAnsi="宋体" w:eastAsia="楷体_GB2312"/>
      <w:bCs/>
      <w:kern w:val="2"/>
      <w:sz w:val="24"/>
      <w:szCs w:val="24"/>
      <w:u w:val="single"/>
      <w:lang w:val="en-US" w:eastAsia="zh-CN" w:bidi="ar-SA"/>
    </w:rPr>
  </w:style>
  <w:style w:type="character" w:styleId="125">
    <w:name w:val=""/>
    <w:qFormat/>
    <w:uiPriority w:val="17"/>
    <w:rPr>
      <w:i/>
      <w:color w:val="404040"/>
      <w:w w:val="100"/>
      <w:sz w:val="21"/>
      <w:szCs w:val="21"/>
      <w:shd w:val="clear" w:color="auto" w:fill="auto"/>
    </w:rPr>
  </w:style>
  <w:style w:type="character" w:customStyle="1" w:styleId="126">
    <w:name w:val="页眉 Char1"/>
    <w:qFormat/>
    <w:uiPriority w:val="0"/>
    <w:rPr>
      <w:kern w:val="2"/>
      <w:sz w:val="18"/>
      <w:szCs w:val="18"/>
    </w:rPr>
  </w:style>
  <w:style w:type="character" w:customStyle="1" w:styleId="127">
    <w:name w:val="彩色列表 - 着色 1 字符"/>
    <w:uiPriority w:val="34"/>
    <w:rPr>
      <w:rFonts w:ascii="Arial Unicode MS" w:hAnsi="Arial Unicode MS" w:eastAsia="微软雅黑"/>
      <w:kern w:val="2"/>
      <w:sz w:val="21"/>
      <w:szCs w:val="22"/>
    </w:rPr>
  </w:style>
  <w:style w:type="character" w:customStyle="1" w:styleId="128">
    <w:name w:val="font01"/>
    <w:qFormat/>
    <w:uiPriority w:val="0"/>
    <w:rPr>
      <w:rFonts w:hint="default" w:ascii="Times New Roman" w:hAnsi="Times New Roman" w:cs="Times New Roman"/>
      <w:color w:val="000000"/>
      <w:sz w:val="22"/>
      <w:szCs w:val="22"/>
      <w:u w:val="none"/>
    </w:rPr>
  </w:style>
  <w:style w:type="character" w:customStyle="1" w:styleId="129">
    <w:name w:val="批注主题 Char1"/>
    <w:semiHidden/>
    <w:qFormat/>
    <w:uiPriority w:val="99"/>
    <w:rPr>
      <w:rFonts w:ascii="Times New Roman" w:hAnsi="Times New Roman"/>
      <w:b/>
      <w:bCs/>
      <w:kern w:val="2"/>
      <w:sz w:val="21"/>
      <w:szCs w:val="24"/>
    </w:rPr>
  </w:style>
  <w:style w:type="character" w:customStyle="1" w:styleId="130">
    <w:name w:val="页脚 Char1"/>
    <w:qFormat/>
    <w:uiPriority w:val="0"/>
    <w:rPr>
      <w:kern w:val="2"/>
      <w:sz w:val="18"/>
      <w:szCs w:val="18"/>
    </w:rPr>
  </w:style>
  <w:style w:type="character" w:customStyle="1" w:styleId="131">
    <w:name w:val="Char Char1"/>
    <w:aliases w:val="Texte Char,小 Char Char"/>
    <w:uiPriority w:val="0"/>
    <w:rPr>
      <w:rFonts w:ascii="宋体" w:hAnsi="Courier New" w:eastAsia="宋体" w:cs="Times New Roman"/>
      <w:kern w:val="2"/>
      <w:sz w:val="21"/>
      <w:lang w:val="en-US" w:eastAsia="zh-CN" w:bidi="ar-SA"/>
    </w:rPr>
  </w:style>
  <w:style w:type="character" w:customStyle="1" w:styleId="132">
    <w:name w:val="正文+首缩 Char"/>
    <w:link w:val="133"/>
    <w:uiPriority w:val="0"/>
    <w:rPr>
      <w:rFonts w:ascii="Arial" w:hAnsi="Arial" w:eastAsia="宋体" w:cs="Times New Roman"/>
      <w:kern w:val="2"/>
      <w:sz w:val="21"/>
    </w:rPr>
  </w:style>
  <w:style w:type="paragraph" w:customStyle="1" w:styleId="133">
    <w:name w:val="正文+首缩"/>
    <w:basedOn w:val="1"/>
    <w:next w:val="1"/>
    <w:link w:val="132"/>
    <w:uiPriority w:val="0"/>
    <w:pPr>
      <w:spacing w:line="360" w:lineRule="auto"/>
      <w:ind w:firstLine="420" w:firstLineChars="200"/>
    </w:pPr>
    <w:rPr>
      <w:rFonts w:ascii="Arial" w:hAnsi="Arial"/>
      <w:szCs w:val="20"/>
    </w:rPr>
  </w:style>
  <w:style w:type="character" w:customStyle="1" w:styleId="134">
    <w:name w:val="标书正文 Char Char"/>
    <w:link w:val="135"/>
    <w:uiPriority w:val="0"/>
    <w:rPr>
      <w:rFonts w:ascii="Calibri" w:hAnsi="Calibri" w:eastAsia="宋体" w:cs="Times New Roman"/>
    </w:rPr>
  </w:style>
  <w:style w:type="paragraph" w:customStyle="1" w:styleId="135">
    <w:name w:val="标书正文"/>
    <w:basedOn w:val="1"/>
    <w:link w:val="134"/>
    <w:uiPriority w:val="0"/>
    <w:pPr>
      <w:spacing w:before="156" w:beforeLines="50" w:after="156" w:afterLines="50"/>
      <w:ind w:left="800" w:leftChars="800" w:firstLine="200" w:firstLineChars="200"/>
    </w:pPr>
    <w:rPr>
      <w:rFonts w:ascii="Calibri" w:hAnsi="Calibri"/>
      <w:kern w:val="0"/>
      <w:sz w:val="20"/>
      <w:szCs w:val="20"/>
    </w:rPr>
  </w:style>
  <w:style w:type="character" w:customStyle="1" w:styleId="136">
    <w:name w:val="Footer Char"/>
    <w:uiPriority w:val="0"/>
    <w:rPr>
      <w:rFonts w:ascii="Times New Roman" w:hAnsi="Times New Roman" w:eastAsia="宋体" w:cs="Times New Roman"/>
      <w:sz w:val="18"/>
      <w:szCs w:val="18"/>
    </w:rPr>
  </w:style>
  <w:style w:type="character" w:customStyle="1" w:styleId="137">
    <w:name w:val="彩色列表 - 强调文字颜色 1 Char"/>
    <w:link w:val="138"/>
    <w:uiPriority w:val="0"/>
    <w:rPr>
      <w:rFonts w:ascii="Calibri" w:hAnsi="Calibri" w:eastAsia="宋体" w:cs="Times New Roman"/>
      <w:kern w:val="2"/>
      <w:sz w:val="21"/>
      <w:szCs w:val="24"/>
      <w:lang w:val="en-US" w:eastAsia="zh-CN" w:bidi="ar-SA"/>
    </w:rPr>
  </w:style>
  <w:style w:type="paragraph" w:customStyle="1" w:styleId="138">
    <w:name w:val="彩色列表 - 强调文字颜色 11"/>
    <w:basedOn w:val="1"/>
    <w:link w:val="137"/>
    <w:uiPriority w:val="0"/>
    <w:pPr>
      <w:ind w:firstLine="420" w:firstLineChars="200"/>
    </w:pPr>
    <w:rPr>
      <w:rFonts w:ascii="Calibri" w:hAnsi="Calibri"/>
    </w:rPr>
  </w:style>
  <w:style w:type="character" w:customStyle="1" w:styleId="139">
    <w:name w:val="正文2 Char Char"/>
    <w:link w:val="140"/>
    <w:qFormat/>
    <w:uiPriority w:val="0"/>
    <w:rPr>
      <w:rFonts w:ascii="Calibri" w:hAnsi="Calibri" w:eastAsia="宋体" w:cs="Times New Roman"/>
      <w:sz w:val="24"/>
    </w:rPr>
  </w:style>
  <w:style w:type="paragraph" w:customStyle="1" w:styleId="140">
    <w:name w:val="正文2"/>
    <w:basedOn w:val="1"/>
    <w:link w:val="139"/>
    <w:qFormat/>
    <w:uiPriority w:val="0"/>
    <w:pPr>
      <w:adjustRightInd w:val="0"/>
      <w:spacing w:before="156" w:line="360" w:lineRule="auto"/>
      <w:ind w:firstLine="510" w:firstLineChars="200"/>
    </w:pPr>
    <w:rPr>
      <w:rFonts w:ascii="Calibri" w:hAnsi="Calibri"/>
      <w:kern w:val="0"/>
      <w:sz w:val="24"/>
      <w:szCs w:val="20"/>
    </w:rPr>
  </w:style>
  <w:style w:type="character" w:customStyle="1" w:styleId="141">
    <w:name w:val="标题3 附件1 Char"/>
    <w:link w:val="142"/>
    <w:qFormat/>
    <w:uiPriority w:val="0"/>
    <w:rPr>
      <w:b/>
      <w:bCs/>
      <w:kern w:val="44"/>
      <w:sz w:val="21"/>
      <w:szCs w:val="21"/>
    </w:rPr>
  </w:style>
  <w:style w:type="paragraph" w:customStyle="1" w:styleId="142">
    <w:name w:val="标题3 附件1"/>
    <w:basedOn w:val="1"/>
    <w:link w:val="141"/>
    <w:qFormat/>
    <w:uiPriority w:val="0"/>
    <w:pPr>
      <w:keepNext/>
      <w:keepLines/>
      <w:spacing w:before="340" w:after="330" w:line="360" w:lineRule="exact"/>
      <w:jc w:val="left"/>
      <w:outlineLvl w:val="2"/>
    </w:pPr>
    <w:rPr>
      <w:b/>
      <w:bCs/>
      <w:kern w:val="44"/>
      <w:szCs w:val="21"/>
    </w:rPr>
  </w:style>
  <w:style w:type="character" w:customStyle="1" w:styleId="143">
    <w:name w:val="首行缩进2字符 Char"/>
    <w:link w:val="144"/>
    <w:qFormat/>
    <w:locked/>
    <w:uiPriority w:val="0"/>
    <w:rPr>
      <w:rFonts w:ascii="Times New Roman" w:hAnsi="仿宋_GB2312" w:eastAsia="仿宋_GB2312"/>
      <w:sz w:val="32"/>
      <w:szCs w:val="32"/>
    </w:rPr>
  </w:style>
  <w:style w:type="paragraph" w:customStyle="1" w:styleId="144">
    <w:name w:val="首行缩进2字符"/>
    <w:basedOn w:val="1"/>
    <w:next w:val="1"/>
    <w:link w:val="143"/>
    <w:qFormat/>
    <w:uiPriority w:val="0"/>
    <w:pPr>
      <w:snapToGrid w:val="0"/>
      <w:spacing w:line="560" w:lineRule="exact"/>
      <w:ind w:firstLine="200" w:firstLineChars="200"/>
      <w:jc w:val="left"/>
    </w:pPr>
    <w:rPr>
      <w:rFonts w:hAnsi="仿宋_GB2312" w:eastAsia="仿宋_GB2312"/>
      <w:kern w:val="0"/>
      <w:sz w:val="32"/>
      <w:szCs w:val="32"/>
    </w:rPr>
  </w:style>
  <w:style w:type="character" w:customStyle="1" w:styleId="145">
    <w:name w:val="批注文字 Char3"/>
    <w:qFormat/>
    <w:uiPriority w:val="0"/>
    <w:rPr>
      <w:rFonts w:hint="default" w:ascii="Times New Roman" w:hAnsi="Times New Roman" w:eastAsia="宋体" w:cs="Times New Roman"/>
      <w:szCs w:val="24"/>
    </w:rPr>
  </w:style>
  <w:style w:type="character" w:customStyle="1" w:styleId="146">
    <w:name w:val="批注主题 Char2"/>
    <w:qFormat/>
    <w:uiPriority w:val="0"/>
    <w:rPr>
      <w:b/>
      <w:bCs/>
      <w:kern w:val="2"/>
      <w:sz w:val="21"/>
      <w:szCs w:val="24"/>
    </w:rPr>
  </w:style>
  <w:style w:type="character" w:styleId="147">
    <w:name w:val=""/>
    <w:qFormat/>
    <w:uiPriority w:val="23"/>
    <w:rPr>
      <w:smallCaps/>
      <w:color w:val="5A5A5A"/>
      <w:w w:val="100"/>
      <w:sz w:val="21"/>
      <w:szCs w:val="21"/>
      <w:shd w:val="clear" w:color="auto" w:fill="auto"/>
    </w:rPr>
  </w:style>
  <w:style w:type="character" w:customStyle="1" w:styleId="148">
    <w:name w:val="font131"/>
    <w:basedOn w:val="54"/>
    <w:uiPriority w:val="0"/>
    <w:rPr>
      <w:rFonts w:hint="eastAsia" w:ascii="宋体" w:hAnsi="宋体" w:cs="宋体"/>
      <w:color w:val="000000"/>
      <w:sz w:val="22"/>
      <w:szCs w:val="22"/>
      <w:u w:val="none"/>
    </w:rPr>
  </w:style>
  <w:style w:type="character" w:customStyle="1" w:styleId="149">
    <w:name w:val="lineb1"/>
    <w:uiPriority w:val="0"/>
    <w:rPr>
      <w:rFonts w:ascii="Calibri" w:hAnsi="Calibri" w:eastAsia="宋体" w:cs="Times New Roman"/>
      <w:kern w:val="2"/>
      <w:sz w:val="24"/>
      <w:szCs w:val="24"/>
      <w:lang w:val="en-US" w:eastAsia="zh-CN" w:bidi="ar-SA"/>
    </w:rPr>
  </w:style>
  <w:style w:type="character" w:customStyle="1" w:styleId="150">
    <w:name w:val="font151"/>
    <w:basedOn w:val="54"/>
    <w:uiPriority w:val="0"/>
    <w:rPr>
      <w:rFonts w:hint="eastAsia" w:ascii="宋体" w:hAnsi="宋体" w:cs="宋体"/>
      <w:b/>
      <w:bCs/>
      <w:color w:val="FF0000"/>
      <w:sz w:val="22"/>
      <w:szCs w:val="22"/>
      <w:u w:val="none"/>
    </w:rPr>
  </w:style>
  <w:style w:type="character" w:customStyle="1" w:styleId="151">
    <w:name w:val="不明显强调1"/>
    <w:qFormat/>
    <w:uiPriority w:val="17"/>
    <w:rPr>
      <w:i/>
      <w:color w:val="404040"/>
      <w:w w:val="100"/>
      <w:sz w:val="21"/>
      <w:szCs w:val="21"/>
      <w:shd w:val="clear" w:color="auto" w:fill="auto"/>
    </w:rPr>
  </w:style>
  <w:style w:type="character" w:customStyle="1" w:styleId="152">
    <w:name w:val="正文（首行缩进两字） Char"/>
    <w:aliases w:val="正文缩进 Char1 Char,正文（首行缩进两字） Char1 Char,文2 Char Char,ALT+Z Char Char,表正文 Char Char,正文非缩进 Char Char,特点 Char1 Char,段1 Char Char,标题4 Char Char,特点 Char Char Char1 Char,特点 Char Char Char Char Char,标题4 Char Char Char Char Char,四号 Char Char"/>
    <w:qFormat/>
    <w:uiPriority w:val="0"/>
    <w:rPr>
      <w:rFonts w:ascii="Calibri" w:hAnsi="Calibri" w:eastAsia="宋体" w:cs="Times New Roman"/>
      <w:sz w:val="21"/>
      <w:lang w:val="en-US" w:eastAsia="zh-CN" w:bidi="ar-SA"/>
    </w:rPr>
  </w:style>
  <w:style w:type="character" w:customStyle="1" w:styleId="153">
    <w:name w:val="日期 Char1"/>
    <w:qFormat/>
    <w:uiPriority w:val="0"/>
    <w:rPr>
      <w:szCs w:val="24"/>
    </w:rPr>
  </w:style>
  <w:style w:type="character" w:customStyle="1" w:styleId="154">
    <w:name w:val="明显引用 Char"/>
    <w:basedOn w:val="54"/>
    <w:link w:val="155"/>
    <w:uiPriority w:val="22"/>
    <w:rPr>
      <w:i/>
      <w:color w:val="5B9BD5"/>
      <w:sz w:val="21"/>
      <w:szCs w:val="21"/>
      <w:lang w:val="en-US" w:eastAsia="zh-CN" w:bidi="ar-SA"/>
    </w:rPr>
  </w:style>
  <w:style w:type="paragraph" w:styleId="155">
    <w:name w:val="Intense Quote"/>
    <w:link w:val="154"/>
    <w:qFormat/>
    <w:uiPriority w:val="22"/>
    <w:pPr>
      <w:ind w:left="950" w:right="950"/>
      <w:jc w:val="center"/>
    </w:pPr>
    <w:rPr>
      <w:i/>
      <w:color w:val="5B9BD5"/>
      <w:sz w:val="21"/>
      <w:szCs w:val="21"/>
      <w:lang w:val="en-US" w:eastAsia="zh-CN" w:bidi="ar-SA"/>
    </w:rPr>
  </w:style>
  <w:style w:type="character" w:customStyle="1" w:styleId="156">
    <w:name w:val="标题 3 Char1"/>
    <w:qFormat/>
    <w:uiPriority w:val="0"/>
    <w:rPr>
      <w:b/>
      <w:bCs/>
      <w:kern w:val="2"/>
      <w:sz w:val="32"/>
      <w:szCs w:val="32"/>
    </w:rPr>
  </w:style>
  <w:style w:type="character" w:customStyle="1" w:styleId="157">
    <w:name w:val="chs1"/>
    <w:uiPriority w:val="0"/>
    <w:rPr>
      <w:rFonts w:hint="default" w:ascii="_x000B__x000C_" w:hAnsi="_x000B__x000C_" w:eastAsia="宋体" w:cs="Times New Roman"/>
      <w:sz w:val="18"/>
      <w:szCs w:val="18"/>
    </w:rPr>
  </w:style>
  <w:style w:type="character" w:customStyle="1" w:styleId="158">
    <w:name w:val="批注框文本 Char1"/>
    <w:semiHidden/>
    <w:qFormat/>
    <w:uiPriority w:val="99"/>
    <w:rPr>
      <w:rFonts w:ascii="Times New Roman" w:hAnsi="Times New Roman"/>
      <w:kern w:val="2"/>
      <w:sz w:val="18"/>
      <w:szCs w:val="18"/>
    </w:rPr>
  </w:style>
  <w:style w:type="character" w:customStyle="1" w:styleId="159">
    <w:name w:val="批注文字 Char2"/>
    <w:uiPriority w:val="0"/>
    <w:rPr>
      <w:kern w:val="2"/>
      <w:sz w:val="21"/>
      <w:szCs w:val="24"/>
    </w:rPr>
  </w:style>
  <w:style w:type="character" w:customStyle="1" w:styleId="160">
    <w:name w:val="unnamed51"/>
    <w:uiPriority w:val="0"/>
    <w:rPr>
      <w:rFonts w:ascii="Calibri" w:hAnsi="Calibri" w:eastAsia="宋体" w:cs="Times New Roman"/>
      <w:sz w:val="22"/>
      <w:szCs w:val="22"/>
    </w:rPr>
  </w:style>
  <w:style w:type="character" w:customStyle="1" w:styleId="161">
    <w:name w:val="font31"/>
    <w:qFormat/>
    <w:uiPriority w:val="0"/>
    <w:rPr>
      <w:rFonts w:hint="eastAsia" w:ascii="宋体" w:hAnsi="宋体" w:eastAsia="宋体" w:cs="宋体"/>
      <w:color w:val="000000"/>
      <w:sz w:val="24"/>
      <w:szCs w:val="24"/>
      <w:u w:val="none"/>
    </w:rPr>
  </w:style>
  <w:style w:type="character" w:customStyle="1" w:styleId="162">
    <w:name w:val="prodname"/>
    <w:qFormat/>
    <w:uiPriority w:val="0"/>
  </w:style>
  <w:style w:type="character" w:customStyle="1" w:styleId="163">
    <w:name w:val="纯文本 Char2"/>
    <w:qFormat/>
    <w:uiPriority w:val="99"/>
    <w:rPr>
      <w:rFonts w:ascii="宋体" w:hAnsi="Courier New" w:eastAsia="宋体"/>
      <w:kern w:val="2"/>
      <w:sz w:val="21"/>
      <w:lang w:val="en-US" w:eastAsia="zh-CN" w:bidi="ar-SA"/>
    </w:rPr>
  </w:style>
  <w:style w:type="character" w:customStyle="1" w:styleId="164">
    <w:name w:val="List Paragraph Char Char"/>
    <w:link w:val="165"/>
    <w:uiPriority w:val="0"/>
    <w:rPr>
      <w:rFonts w:ascii="Calibri" w:hAnsi="Calibri" w:eastAsia="宋体" w:cs="Times New Roman"/>
      <w:kern w:val="2"/>
      <w:sz w:val="21"/>
      <w:szCs w:val="24"/>
    </w:rPr>
  </w:style>
  <w:style w:type="paragraph" w:customStyle="1" w:styleId="165">
    <w:name w:val="List Paragraph"/>
    <w:basedOn w:val="1"/>
    <w:link w:val="164"/>
    <w:uiPriority w:val="0"/>
    <w:pPr>
      <w:ind w:firstLine="420" w:firstLineChars="200"/>
    </w:pPr>
    <w:rPr>
      <w:rFonts w:ascii="Calibri" w:hAnsi="Calibri"/>
    </w:rPr>
  </w:style>
  <w:style w:type="character" w:customStyle="1" w:styleId="166">
    <w:name w:val="正文文本缩进 Char2"/>
    <w:uiPriority w:val="0"/>
    <w:rPr>
      <w:rFonts w:ascii="宋体" w:hAnsi="Courier New"/>
      <w:spacing w:val="-4"/>
      <w:kern w:val="2"/>
      <w:sz w:val="18"/>
    </w:rPr>
  </w:style>
  <w:style w:type="character" w:customStyle="1" w:styleId="167">
    <w:name w:val="正文文本缩进 2 Char1"/>
    <w:qFormat/>
    <w:uiPriority w:val="0"/>
    <w:rPr>
      <w:kern w:val="2"/>
      <w:sz w:val="21"/>
      <w:szCs w:val="24"/>
    </w:rPr>
  </w:style>
  <w:style w:type="character" w:customStyle="1" w:styleId="168">
    <w:name w:val="页脚 字符"/>
    <w:uiPriority w:val="99"/>
    <w:rPr>
      <w:sz w:val="18"/>
      <w:szCs w:val="18"/>
    </w:rPr>
  </w:style>
  <w:style w:type="character" w:customStyle="1" w:styleId="169">
    <w:name w:val="标2 Char"/>
    <w:link w:val="170"/>
    <w:qFormat/>
    <w:locked/>
    <w:uiPriority w:val="99"/>
    <w:rPr>
      <w:rFonts w:ascii="黑体" w:hAnsi="黑体" w:eastAsia="黑体"/>
      <w:sz w:val="28"/>
      <w:szCs w:val="28"/>
      <w:lang w:val="en-US" w:eastAsia="zh-CN" w:bidi="ar-SA"/>
    </w:rPr>
  </w:style>
  <w:style w:type="paragraph" w:customStyle="1" w:styleId="170">
    <w:name w:val="标2"/>
    <w:next w:val="112"/>
    <w:link w:val="169"/>
    <w:qFormat/>
    <w:uiPriority w:val="99"/>
    <w:pPr>
      <w:spacing w:beforeLines="50" w:afterLines="50"/>
      <w:outlineLvl w:val="1"/>
    </w:pPr>
    <w:rPr>
      <w:rFonts w:ascii="黑体" w:hAnsi="黑体" w:eastAsia="黑体"/>
      <w:sz w:val="28"/>
      <w:szCs w:val="28"/>
      <w:lang w:val="en-US" w:eastAsia="zh-CN" w:bidi="ar-SA"/>
    </w:rPr>
  </w:style>
  <w:style w:type="character" w:customStyle="1" w:styleId="171">
    <w:name w:val="title1"/>
    <w:uiPriority w:val="0"/>
    <w:rPr>
      <w:rFonts w:hint="eastAsia" w:ascii="宋体" w:hAnsi="宋体" w:eastAsia="宋体" w:cs="Times New Roman"/>
      <w:b/>
      <w:bCs/>
      <w:sz w:val="22"/>
      <w:szCs w:val="22"/>
    </w:rPr>
  </w:style>
  <w:style w:type="character" w:customStyle="1" w:styleId="172">
    <w:name w:val="批注主题 Char3"/>
    <w:qFormat/>
    <w:uiPriority w:val="0"/>
    <w:rPr>
      <w:rFonts w:ascii="Times New Roman" w:hAnsi="Times New Roman" w:eastAsia="宋体" w:cs="Times New Roman"/>
      <w:b/>
      <w:szCs w:val="24"/>
    </w:rPr>
  </w:style>
  <w:style w:type="character" w:customStyle="1" w:styleId="173">
    <w:name w:val="正文样式 Char"/>
    <w:link w:val="174"/>
    <w:qFormat/>
    <w:uiPriority w:val="0"/>
    <w:rPr>
      <w:rFonts w:eastAsia="微软雅黑"/>
      <w:szCs w:val="24"/>
    </w:rPr>
  </w:style>
  <w:style w:type="paragraph" w:customStyle="1" w:styleId="174">
    <w:name w:val="正文样式"/>
    <w:basedOn w:val="101"/>
    <w:link w:val="173"/>
    <w:qFormat/>
    <w:uiPriority w:val="0"/>
  </w:style>
  <w:style w:type="character" w:customStyle="1" w:styleId="175">
    <w:name w:val="Texte Char Char"/>
    <w:uiPriority w:val="0"/>
    <w:rPr>
      <w:rFonts w:ascii="宋体" w:hAnsi="Courier New" w:eastAsia="宋体" w:cs="Times New Roman"/>
      <w:sz w:val="21"/>
      <w:szCs w:val="21"/>
      <w:lang w:val="en-US" w:eastAsia="zh-CN" w:bidi="ar-SA"/>
    </w:rPr>
  </w:style>
  <w:style w:type="character" w:styleId="176">
    <w:name w:val=""/>
    <w:qFormat/>
    <w:uiPriority w:val="24"/>
    <w:rPr>
      <w:b/>
      <w:smallCaps/>
      <w:color w:val="5B9BD5"/>
      <w:w w:val="100"/>
      <w:sz w:val="21"/>
      <w:szCs w:val="21"/>
      <w:shd w:val="clear" w:color="auto" w:fill="auto"/>
    </w:rPr>
  </w:style>
  <w:style w:type="character" w:customStyle="1" w:styleId="177">
    <w:name w:val="正文文本缩进 3 Char1"/>
    <w:basedOn w:val="54"/>
    <w:qFormat/>
    <w:uiPriority w:val="0"/>
    <w:rPr>
      <w:kern w:val="2"/>
      <w:sz w:val="16"/>
      <w:szCs w:val="16"/>
    </w:rPr>
  </w:style>
  <w:style w:type="character" w:customStyle="1" w:styleId="178">
    <w:name w:val="样式1 Char"/>
    <w:link w:val="179"/>
    <w:qFormat/>
    <w:uiPriority w:val="0"/>
    <w:rPr>
      <w:rFonts w:ascii="仿宋_GB2312" w:hAnsi="宋体" w:eastAsia="仿宋_GB2312"/>
      <w:b/>
      <w:bCs/>
      <w:sz w:val="28"/>
      <w:szCs w:val="28"/>
    </w:rPr>
  </w:style>
  <w:style w:type="paragraph" w:customStyle="1" w:styleId="179">
    <w:name w:val="样式1"/>
    <w:basedOn w:val="5"/>
    <w:link w:val="178"/>
    <w:qFormat/>
    <w:uiPriority w:val="0"/>
    <w:pPr>
      <w:widowControl/>
      <w:tabs>
        <w:tab w:val="left" w:pos="1440"/>
      </w:tabs>
      <w:spacing w:before="60" w:after="60" w:line="440" w:lineRule="exact"/>
    </w:pPr>
    <w:rPr>
      <w:rFonts w:ascii="仿宋_GB2312" w:hAnsi="宋体" w:eastAsia="仿宋_GB2312"/>
      <w:kern w:val="0"/>
      <w:sz w:val="28"/>
      <w:szCs w:val="28"/>
    </w:rPr>
  </w:style>
  <w:style w:type="character" w:customStyle="1" w:styleId="180">
    <w:name w:val="标题 1 Char1"/>
    <w:locked/>
    <w:uiPriority w:val="0"/>
    <w:rPr>
      <w:b/>
      <w:bCs/>
      <w:kern w:val="44"/>
      <w:sz w:val="44"/>
      <w:szCs w:val="44"/>
    </w:rPr>
  </w:style>
  <w:style w:type="character" w:customStyle="1" w:styleId="181">
    <w:name w:val="param-name"/>
    <w:uiPriority w:val="0"/>
    <w:rPr>
      <w:rFonts w:ascii="Calibri" w:hAnsi="Calibri" w:eastAsia="宋体" w:cs="Times New Roman"/>
    </w:rPr>
  </w:style>
  <w:style w:type="character" w:customStyle="1" w:styleId="182">
    <w:name w:val="ca-18"/>
    <w:qFormat/>
    <w:uiPriority w:val="0"/>
    <w:rPr>
      <w:rFonts w:ascii="Calibri" w:hAnsi="Calibri" w:eastAsia="宋体" w:cs="Times New Roman"/>
    </w:rPr>
  </w:style>
  <w:style w:type="character" w:customStyle="1" w:styleId="183">
    <w:name w:val="style44"/>
    <w:uiPriority w:val="0"/>
  </w:style>
  <w:style w:type="character" w:customStyle="1" w:styleId="184">
    <w:name w:val="H21.1 Char"/>
    <w:link w:val="185"/>
    <w:qFormat/>
    <w:uiPriority w:val="0"/>
    <w:rPr>
      <w:rFonts w:ascii="Arial" w:hAnsi="Arial" w:eastAsia="黑体"/>
      <w:b/>
      <w:bCs/>
      <w:spacing w:val="20"/>
      <w:sz w:val="32"/>
      <w:szCs w:val="32"/>
    </w:rPr>
  </w:style>
  <w:style w:type="paragraph" w:customStyle="1" w:styleId="185">
    <w:name w:val="H21.1"/>
    <w:basedOn w:val="4"/>
    <w:link w:val="184"/>
    <w:qFormat/>
    <w:uiPriority w:val="0"/>
    <w:pPr>
      <w:tabs>
        <w:tab w:val="left" w:pos="576"/>
        <w:tab w:val="left" w:pos="1440"/>
      </w:tabs>
      <w:spacing w:afterLines="50"/>
      <w:jc w:val="left"/>
    </w:pPr>
    <w:rPr>
      <w:spacing w:val="20"/>
      <w:kern w:val="0"/>
    </w:rPr>
  </w:style>
  <w:style w:type="character" w:customStyle="1" w:styleId="186">
    <w:name w:val="标1 Char"/>
    <w:link w:val="187"/>
    <w:qFormat/>
    <w:locked/>
    <w:uiPriority w:val="99"/>
    <w:rPr>
      <w:rFonts w:ascii="Arial" w:hAnsi="Arial" w:eastAsia="黑体"/>
      <w:b/>
      <w:bCs/>
      <w:sz w:val="32"/>
      <w:szCs w:val="32"/>
      <w:lang w:val="en-US" w:eastAsia="zh-CN" w:bidi="ar-SA"/>
    </w:rPr>
  </w:style>
  <w:style w:type="paragraph" w:customStyle="1" w:styleId="187">
    <w:name w:val="标1"/>
    <w:next w:val="112"/>
    <w:link w:val="186"/>
    <w:qFormat/>
    <w:uiPriority w:val="99"/>
    <w:pPr>
      <w:spacing w:beforeLines="50" w:afterLines="100"/>
      <w:outlineLvl w:val="0"/>
    </w:pPr>
    <w:rPr>
      <w:rFonts w:ascii="Arial" w:hAnsi="Arial" w:eastAsia="黑体"/>
      <w:b/>
      <w:bCs/>
      <w:sz w:val="32"/>
      <w:szCs w:val="32"/>
      <w:lang w:val="en-US" w:eastAsia="zh-CN" w:bidi="ar-SA"/>
    </w:rPr>
  </w:style>
  <w:style w:type="character" w:customStyle="1" w:styleId="188">
    <w:name w:val="标题 1 Char Char"/>
    <w:uiPriority w:val="0"/>
    <w:rPr>
      <w:rFonts w:ascii="Calibri" w:hAnsi="Calibri" w:eastAsia="宋体" w:cs="Times New Roman"/>
      <w:b/>
      <w:spacing w:val="-2"/>
      <w:sz w:val="24"/>
      <w:lang w:val="en-US" w:eastAsia="zh-CN" w:bidi="ar-SA"/>
    </w:rPr>
  </w:style>
  <w:style w:type="character" w:customStyle="1" w:styleId="189">
    <w:name w:val="font101"/>
    <w:basedOn w:val="54"/>
    <w:uiPriority w:val="0"/>
    <w:rPr>
      <w:rFonts w:hint="eastAsia" w:ascii="宋体" w:hAnsi="宋体" w:cs="宋体"/>
      <w:b/>
      <w:bCs/>
      <w:color w:val="000000"/>
      <w:sz w:val="22"/>
      <w:szCs w:val="22"/>
      <w:u w:val="none"/>
    </w:rPr>
  </w:style>
  <w:style w:type="character" w:customStyle="1" w:styleId="190">
    <w:name w:val="正文文本缩进 Char1"/>
    <w:basedOn w:val="54"/>
    <w:qFormat/>
    <w:uiPriority w:val="0"/>
    <w:rPr>
      <w:kern w:val="2"/>
      <w:sz w:val="21"/>
      <w:szCs w:val="24"/>
    </w:rPr>
  </w:style>
  <w:style w:type="character" w:customStyle="1" w:styleId="191">
    <w:name w:val="标准文本 Char Char"/>
    <w:link w:val="192"/>
    <w:qFormat/>
    <w:uiPriority w:val="0"/>
    <w:rPr>
      <w:rFonts w:ascii="Calibri" w:hAnsi="Calibri" w:eastAsia="宋体" w:cs="Times New Roman"/>
      <w:sz w:val="24"/>
    </w:rPr>
  </w:style>
  <w:style w:type="paragraph" w:customStyle="1" w:styleId="192">
    <w:name w:val="标准文本"/>
    <w:basedOn w:val="1"/>
    <w:link w:val="191"/>
    <w:qFormat/>
    <w:uiPriority w:val="0"/>
    <w:pPr>
      <w:spacing w:line="360" w:lineRule="auto"/>
      <w:ind w:firstLine="480" w:firstLineChars="200"/>
    </w:pPr>
    <w:rPr>
      <w:rFonts w:ascii="Calibri" w:hAnsi="Calibri"/>
      <w:kern w:val="0"/>
      <w:sz w:val="24"/>
      <w:szCs w:val="20"/>
    </w:rPr>
  </w:style>
  <w:style w:type="character" w:customStyle="1" w:styleId="193">
    <w:name w:val="副标题 Char1"/>
    <w:basedOn w:val="54"/>
    <w:qFormat/>
    <w:uiPriority w:val="11"/>
    <w:rPr>
      <w:rFonts w:ascii="Cambria" w:hAnsi="Cambria"/>
      <w:b/>
      <w:bCs/>
      <w:kern w:val="28"/>
      <w:sz w:val="32"/>
      <w:szCs w:val="32"/>
    </w:rPr>
  </w:style>
  <w:style w:type="character" w:customStyle="1" w:styleId="194">
    <w:name w:val="正文文本 Char1"/>
    <w:basedOn w:val="54"/>
    <w:qFormat/>
    <w:uiPriority w:val="0"/>
    <w:rPr>
      <w:kern w:val="2"/>
      <w:sz w:val="21"/>
      <w:szCs w:val="24"/>
    </w:rPr>
  </w:style>
  <w:style w:type="character" w:customStyle="1" w:styleId="195">
    <w:name w:val="Header Char"/>
    <w:uiPriority w:val="0"/>
    <w:rPr>
      <w:rFonts w:ascii="Times New Roman" w:hAnsi="Times New Roman" w:eastAsia="宋体" w:cs="Times New Roman"/>
      <w:sz w:val="18"/>
      <w:szCs w:val="18"/>
    </w:rPr>
  </w:style>
  <w:style w:type="character" w:customStyle="1" w:styleId="196">
    <w:name w:val="书籍标题1"/>
    <w:qFormat/>
    <w:uiPriority w:val="25"/>
    <w:rPr>
      <w:b/>
      <w:i/>
      <w:w w:val="100"/>
      <w:sz w:val="21"/>
      <w:szCs w:val="21"/>
      <w:shd w:val="clear" w:color="auto" w:fill="auto"/>
    </w:rPr>
  </w:style>
  <w:style w:type="character" w:customStyle="1" w:styleId="197">
    <w:name w:val="明显参考1"/>
    <w:qFormat/>
    <w:uiPriority w:val="24"/>
    <w:rPr>
      <w:b/>
      <w:smallCaps/>
      <w:color w:val="5B9BD5"/>
      <w:w w:val="100"/>
      <w:sz w:val="21"/>
      <w:szCs w:val="21"/>
      <w:shd w:val="clear" w:color="auto" w:fill="auto"/>
    </w:rPr>
  </w:style>
  <w:style w:type="character" w:customStyle="1" w:styleId="198">
    <w:name w:val="font171"/>
    <w:basedOn w:val="54"/>
    <w:uiPriority w:val="0"/>
    <w:rPr>
      <w:rFonts w:ascii="Arial" w:hAnsi="Arial" w:cs="Arial"/>
      <w:color w:val="000000"/>
      <w:sz w:val="24"/>
      <w:szCs w:val="24"/>
      <w:u w:val="none"/>
    </w:rPr>
  </w:style>
  <w:style w:type="character" w:customStyle="1" w:styleId="199">
    <w:name w:val="普通文字 Char Char1"/>
    <w:aliases w:val="纯文本 Char Char Char2,普通文字 Char2,Texte Char1,纯文本 Char Char Char3,纯文本 Char Char Char,普通文字 Char1,普通文字1 Char,普通文字2 Char,普通文字3 Char,普通文字4 Char,普通文字5 Char,普通文字6 Char,普通文字11 Char,普通文字21 Char,普通文字31 Char,普通文字41 Char,普通文字7 Char,正 文 1 Ch"/>
    <w:uiPriority w:val="0"/>
    <w:rPr>
      <w:rFonts w:ascii="宋体" w:hAnsi="Courier New" w:eastAsia="宋体" w:cs="Times New Roman"/>
      <w:kern w:val="2"/>
      <w:sz w:val="21"/>
    </w:rPr>
  </w:style>
  <w:style w:type="character" w:customStyle="1" w:styleId="200">
    <w:name w:val="引用 Char"/>
    <w:basedOn w:val="54"/>
    <w:link w:val="201"/>
    <w:uiPriority w:val="21"/>
    <w:rPr>
      <w:i/>
      <w:color w:val="404040"/>
      <w:sz w:val="21"/>
      <w:szCs w:val="21"/>
      <w:lang w:val="en-US" w:eastAsia="zh-CN" w:bidi="ar-SA"/>
    </w:rPr>
  </w:style>
  <w:style w:type="paragraph" w:styleId="201">
    <w:name w:val="Quote"/>
    <w:link w:val="200"/>
    <w:qFormat/>
    <w:uiPriority w:val="21"/>
    <w:pPr>
      <w:ind w:left="864" w:right="864"/>
      <w:jc w:val="center"/>
    </w:pPr>
    <w:rPr>
      <w:i/>
      <w:color w:val="404040"/>
      <w:sz w:val="21"/>
      <w:szCs w:val="21"/>
      <w:lang w:val="en-US" w:eastAsia="zh-CN" w:bidi="ar-SA"/>
    </w:rPr>
  </w:style>
  <w:style w:type="character" w:customStyle="1" w:styleId="202">
    <w:name w:val="font21"/>
    <w:qFormat/>
    <w:uiPriority w:val="0"/>
    <w:rPr>
      <w:rFonts w:hint="eastAsia" w:ascii="宋体" w:hAnsi="宋体" w:eastAsia="宋体" w:cs="宋体"/>
      <w:color w:val="000000"/>
      <w:sz w:val="21"/>
      <w:szCs w:val="21"/>
      <w:u w:val="none"/>
    </w:rPr>
  </w:style>
  <w:style w:type="character" w:customStyle="1" w:styleId="203">
    <w:name w:val="批注文字 Char1"/>
    <w:qFormat/>
    <w:locked/>
    <w:uiPriority w:val="99"/>
    <w:rPr>
      <w:rFonts w:ascii="Arial" w:hAnsi="Arial" w:eastAsia="宋体" w:cs="Times New Roman"/>
      <w:kern w:val="0"/>
      <w:sz w:val="20"/>
      <w:szCs w:val="20"/>
      <w:lang w:val="en-GB" w:eastAsia="en-US"/>
    </w:rPr>
  </w:style>
  <w:style w:type="paragraph" w:customStyle="1" w:styleId="204">
    <w:name w:val="IBM 正文"/>
    <w:basedOn w:val="1"/>
    <w:uiPriority w:val="0"/>
    <w:pPr>
      <w:spacing w:line="360" w:lineRule="atLeast"/>
    </w:pPr>
    <w:rPr>
      <w:rFonts w:ascii="Calibri" w:hAnsi="Calibri" w:eastAsia="宋体" w:cs="Times New Roman"/>
      <w:sz w:val="24"/>
      <w:szCs w:val="20"/>
    </w:rPr>
  </w:style>
  <w:style w:type="paragraph" w:customStyle="1" w:styleId="205">
    <w:name w:val="Item List"/>
    <w:uiPriority w:val="0"/>
    <w:pPr>
      <w:tabs>
        <w:tab w:val="left" w:pos="812"/>
      </w:tabs>
      <w:spacing w:line="300" w:lineRule="auto"/>
      <w:ind w:left="812" w:hanging="360"/>
      <w:jc w:val="both"/>
    </w:pPr>
    <w:rPr>
      <w:rFonts w:ascii="Arial" w:hAnsi="Arial"/>
      <w:sz w:val="21"/>
      <w:lang w:val="en-US" w:eastAsia="en-US" w:bidi="ar-SA"/>
    </w:rPr>
  </w:style>
  <w:style w:type="paragraph" w:customStyle="1" w:styleId="206">
    <w:name w:val="P1"/>
    <w:basedOn w:val="1"/>
    <w:uiPriority w:val="0"/>
    <w:pPr>
      <w:widowControl/>
      <w:spacing w:before="240" w:line="240" w:lineRule="atLeast"/>
      <w:jc w:val="left"/>
    </w:pPr>
    <w:rPr>
      <w:rFonts w:ascii="Calibri" w:hAnsi="Calibri" w:eastAsia="宋体" w:cs="Times New Roman"/>
      <w:b/>
      <w:kern w:val="0"/>
      <w:szCs w:val="21"/>
      <w:lang w:val="en-AU" w:eastAsia="en-US"/>
    </w:rPr>
  </w:style>
  <w:style w:type="paragraph" w:customStyle="1" w:styleId="207">
    <w:name w:val="xl69"/>
    <w:basedOn w:val="1"/>
    <w:uiPriority w:val="0"/>
    <w:pPr>
      <w:widowControl/>
      <w:spacing w:before="100" w:beforeAutospacing="1" w:after="100" w:afterAutospacing="1"/>
      <w:jc w:val="left"/>
    </w:pPr>
    <w:rPr>
      <w:rFonts w:ascii="宋体" w:hAnsi="宋体" w:cs="宋体"/>
      <w:kern w:val="0"/>
      <w:sz w:val="24"/>
    </w:rPr>
  </w:style>
  <w:style w:type="paragraph" w:customStyle="1" w:styleId="208">
    <w:name w:val="最新标题1"/>
    <w:basedOn w:val="209"/>
    <w:next w:val="211"/>
    <w:uiPriority w:val="0"/>
    <w:pPr>
      <w:tabs>
        <w:tab w:val="left" w:pos="600"/>
        <w:tab w:val="left" w:pos="1140"/>
      </w:tabs>
      <w:spacing w:after="120"/>
      <w:ind w:left="1140" w:hanging="720"/>
    </w:pPr>
    <w:rPr>
      <w:rFonts w:ascii="Calibri" w:hAnsi="Calibri" w:eastAsia="宋体" w:cs="Times New Roman"/>
      <w:bCs w:val="0"/>
    </w:rPr>
  </w:style>
  <w:style w:type="paragraph" w:customStyle="1" w:styleId="209">
    <w:name w:val="样式 标题1"/>
    <w:basedOn w:val="210"/>
    <w:next w:val="211"/>
    <w:uiPriority w:val="0"/>
    <w:pPr>
      <w:tabs>
        <w:tab w:val="left" w:pos="1270"/>
      </w:tabs>
      <w:spacing w:after="50" w:afterLines="0"/>
      <w:ind w:left="1270" w:hanging="420"/>
    </w:pPr>
    <w:rPr>
      <w:rFonts w:ascii="Calibri" w:hAnsi="Calibri" w:eastAsia="宋体" w:cs="Times New Roman"/>
      <w:sz w:val="32"/>
    </w:rPr>
  </w:style>
  <w:style w:type="paragraph" w:customStyle="1" w:styleId="210">
    <w:name w:val="样式 标题 1 + 段后: 0.5 行"/>
    <w:basedOn w:val="3"/>
    <w:uiPriority w:val="0"/>
    <w:pPr>
      <w:keepLines w:val="0"/>
      <w:spacing w:before="120" w:after="156" w:afterLines="50" w:line="240" w:lineRule="auto"/>
      <w:jc w:val="left"/>
    </w:pPr>
    <w:rPr>
      <w:rFonts w:ascii="宋体" w:hAnsi="Calibri" w:eastAsia="宋体" w:cs="宋体"/>
      <w:snapToGrid w:val="0"/>
      <w:kern w:val="0"/>
      <w:sz w:val="28"/>
      <w:szCs w:val="20"/>
      <w:lang w:val="en-US" w:eastAsia="zh-CN"/>
    </w:rPr>
  </w:style>
  <w:style w:type="paragraph" w:customStyle="1" w:styleId="211">
    <w:name w:val="最新标题2"/>
    <w:basedOn w:val="212"/>
    <w:next w:val="213"/>
    <w:uiPriority w:val="0"/>
    <w:pPr>
      <w:tabs>
        <w:tab w:val="left" w:pos="600"/>
      </w:tabs>
      <w:spacing w:after="120" w:afterLines="0"/>
    </w:pPr>
    <w:rPr>
      <w:rFonts w:ascii="Calibri" w:hAnsi="Calibri" w:eastAsia="宋体" w:cs="Times New Roman"/>
    </w:rPr>
  </w:style>
  <w:style w:type="paragraph" w:customStyle="1" w:styleId="212">
    <w:name w:val="样式 标题 2"/>
    <w:basedOn w:val="4"/>
    <w:next w:val="213"/>
    <w:uiPriority w:val="0"/>
    <w:pPr>
      <w:keepLines w:val="0"/>
      <w:tabs>
        <w:tab w:val="left" w:pos="600"/>
      </w:tabs>
      <w:spacing w:before="120" w:after="156" w:afterLines="50" w:line="240" w:lineRule="auto"/>
      <w:ind w:left="380" w:hanging="380"/>
      <w:jc w:val="left"/>
    </w:pPr>
    <w:rPr>
      <w:rFonts w:ascii="宋体" w:hAnsi="Times New Roman" w:eastAsia="宋体" w:cs="宋体"/>
      <w:snapToGrid w:val="0"/>
      <w:kern w:val="0"/>
      <w:sz w:val="28"/>
      <w:szCs w:val="20"/>
      <w:lang w:val="en-US" w:eastAsia="zh-CN"/>
    </w:rPr>
  </w:style>
  <w:style w:type="paragraph" w:customStyle="1" w:styleId="213">
    <w:name w:val="最新标题3"/>
    <w:basedOn w:val="214"/>
    <w:next w:val="215"/>
    <w:uiPriority w:val="0"/>
    <w:pPr>
      <w:tabs>
        <w:tab w:val="left" w:pos="600"/>
      </w:tabs>
      <w:spacing w:after="120" w:afterLines="0"/>
    </w:pPr>
    <w:rPr>
      <w:rFonts w:ascii="Calibri" w:hAnsi="Calibri" w:eastAsia="宋体" w:cs="Times New Roman"/>
    </w:rPr>
  </w:style>
  <w:style w:type="paragraph" w:customStyle="1" w:styleId="214">
    <w:name w:val="样式 标题 3"/>
    <w:basedOn w:val="5"/>
    <w:next w:val="215"/>
    <w:uiPriority w:val="0"/>
    <w:pPr>
      <w:keepLines w:val="0"/>
      <w:tabs>
        <w:tab w:val="left" w:pos="600"/>
      </w:tabs>
      <w:spacing w:before="120" w:after="156" w:afterLines="50" w:line="240" w:lineRule="auto"/>
      <w:ind w:left="600" w:hanging="600"/>
      <w:jc w:val="left"/>
    </w:pPr>
    <w:rPr>
      <w:rFonts w:ascii="宋体" w:hAnsi="Calibri" w:eastAsia="宋体" w:cs="宋体"/>
      <w:snapToGrid w:val="0"/>
      <w:kern w:val="0"/>
      <w:sz w:val="24"/>
      <w:szCs w:val="20"/>
      <w:lang w:val="en-US" w:eastAsia="zh-CN"/>
    </w:rPr>
  </w:style>
  <w:style w:type="paragraph" w:customStyle="1" w:styleId="215">
    <w:name w:val="最新标题4"/>
    <w:basedOn w:val="216"/>
    <w:next w:val="1"/>
    <w:uiPriority w:val="0"/>
    <w:pPr>
      <w:tabs>
        <w:tab w:val="left" w:pos="600"/>
      </w:tabs>
      <w:spacing w:after="120"/>
      <w:ind w:left="0" w:firstLine="0"/>
    </w:pPr>
    <w:rPr>
      <w:rFonts w:ascii="Calibri" w:hAnsi="Calibri" w:eastAsia="宋体" w:cs="Times New Roman"/>
    </w:rPr>
  </w:style>
  <w:style w:type="paragraph" w:customStyle="1" w:styleId="216">
    <w:name w:val="样式 标题 4"/>
    <w:basedOn w:val="217"/>
    <w:next w:val="219"/>
    <w:uiPriority w:val="0"/>
    <w:pPr>
      <w:tabs>
        <w:tab w:val="left" w:pos="2530"/>
      </w:tabs>
      <w:spacing w:after="50"/>
      <w:ind w:left="2530" w:hanging="420"/>
    </w:pPr>
    <w:rPr>
      <w:rFonts w:ascii="Calibri" w:hAnsi="Calibri" w:eastAsia="宋体" w:cs="Times New Roman"/>
    </w:rPr>
  </w:style>
  <w:style w:type="paragraph" w:customStyle="1" w:styleId="217">
    <w:name w:val="样式 标题 4Chapter X.X.X.X. + 段后: 0.5 行1"/>
    <w:basedOn w:val="218"/>
    <w:uiPriority w:val="0"/>
    <w:pPr>
      <w:tabs>
        <w:tab w:val="left" w:pos="420"/>
      </w:tabs>
      <w:spacing w:after="120" w:afterLines="0"/>
    </w:pPr>
    <w:rPr>
      <w:rFonts w:ascii="Calibri" w:hAnsi="Calibri" w:eastAsia="宋体" w:cs="Times New Roman"/>
    </w:rPr>
  </w:style>
  <w:style w:type="paragraph" w:customStyle="1" w:styleId="218">
    <w:name w:val="样式 标题 4 + 段后: 0.5 行"/>
    <w:basedOn w:val="6"/>
    <w:uiPriority w:val="0"/>
    <w:pPr>
      <w:keepLines w:val="0"/>
      <w:spacing w:before="120" w:after="156" w:afterLines="50" w:line="240" w:lineRule="auto"/>
      <w:jc w:val="left"/>
    </w:pPr>
    <w:rPr>
      <w:rFonts w:ascii="宋体" w:hAnsi="Times New Roman" w:eastAsia="宋体" w:cs="宋体"/>
      <w:snapToGrid w:val="0"/>
      <w:color w:val="auto"/>
      <w:sz w:val="21"/>
      <w:szCs w:val="20"/>
    </w:rPr>
  </w:style>
  <w:style w:type="paragraph" w:customStyle="1" w:styleId="219">
    <w:name w:val="样式 正文"/>
    <w:basedOn w:val="1"/>
    <w:next w:val="1"/>
    <w:uiPriority w:val="0"/>
    <w:pPr>
      <w:tabs>
        <w:tab w:val="left" w:pos="600"/>
      </w:tabs>
      <w:spacing w:after="156" w:afterLines="50"/>
      <w:ind w:left="600" w:hanging="600"/>
      <w:jc w:val="left"/>
    </w:pPr>
    <w:rPr>
      <w:rFonts w:ascii="宋体" w:hAnsi="Calibri" w:eastAsia="宋体" w:cs="宋体"/>
      <w:snapToGrid w:val="0"/>
      <w:kern w:val="0"/>
      <w:szCs w:val="20"/>
    </w:rPr>
  </w:style>
  <w:style w:type="paragraph" w:customStyle="1" w:styleId="220">
    <w:name w:val="Table Description"/>
    <w:next w:val="1"/>
    <w:uiPriority w:val="0"/>
    <w:pPr>
      <w:keepNext/>
      <w:tabs>
        <w:tab w:val="left" w:pos="1152"/>
      </w:tabs>
      <w:snapToGrid w:val="0"/>
      <w:spacing w:before="160" w:after="80"/>
      <w:ind w:left="1152" w:hanging="1152"/>
      <w:jc w:val="center"/>
    </w:pPr>
    <w:rPr>
      <w:rFonts w:ascii="Arial" w:hAnsi="Arial" w:eastAsia="黑体"/>
      <w:sz w:val="18"/>
      <w:lang w:val="en-US" w:eastAsia="en-US" w:bidi="ar-SA"/>
    </w:rPr>
  </w:style>
  <w:style w:type="paragraph" w:customStyle="1" w:styleId="221">
    <w:name w:val="样式 三号 加粗 段后: 0.5 行"/>
    <w:basedOn w:val="1"/>
    <w:uiPriority w:val="0"/>
    <w:pPr>
      <w:spacing w:after="156" w:afterLines="50"/>
      <w:jc w:val="left"/>
    </w:pPr>
    <w:rPr>
      <w:rFonts w:ascii="宋体" w:hAnsi="Calibri" w:eastAsia="宋体" w:cs="宋体"/>
      <w:b/>
      <w:bCs/>
      <w:snapToGrid w:val="0"/>
      <w:kern w:val="0"/>
      <w:sz w:val="32"/>
      <w:szCs w:val="20"/>
    </w:rPr>
  </w:style>
  <w:style w:type="paragraph" w:customStyle="1" w:styleId="222">
    <w:name w:val="五号加粗"/>
    <w:qFormat/>
    <w:uiPriority w:val="0"/>
    <w:rPr>
      <w:b/>
      <w:kern w:val="2"/>
      <w:sz w:val="21"/>
      <w:szCs w:val="21"/>
      <w:lang w:val="en-US" w:eastAsia="zh-CN" w:bidi="ar-SA"/>
    </w:rPr>
  </w:style>
  <w:style w:type="paragraph" w:customStyle="1" w:styleId="223">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b/>
      <w:bCs/>
      <w:kern w:val="0"/>
      <w:sz w:val="28"/>
      <w:szCs w:val="28"/>
    </w:rPr>
  </w:style>
  <w:style w:type="paragraph" w:customStyle="1" w:styleId="224">
    <w:name w:val="样式 四号 首行缩进:  1 厘米"/>
    <w:basedOn w:val="1"/>
    <w:qFormat/>
    <w:uiPriority w:val="0"/>
    <w:pPr>
      <w:spacing w:line="440" w:lineRule="exact"/>
      <w:ind w:firstLine="567"/>
    </w:pPr>
    <w:rPr>
      <w:rFonts w:ascii="Calibri" w:hAnsi="Calibri" w:eastAsia="宋体" w:cs="宋体"/>
      <w:sz w:val="28"/>
      <w:szCs w:val="20"/>
    </w:rPr>
  </w:style>
  <w:style w:type="paragraph" w:customStyle="1" w:styleId="225">
    <w:name w:val="xl35"/>
    <w:basedOn w:val="1"/>
    <w:qFormat/>
    <w:uiPriority w:val="0"/>
    <w:pPr>
      <w:widowControl/>
      <w:pBdr>
        <w:left w:val="single" w:color="auto" w:sz="0" w:space="0"/>
        <w:bottom w:val="single" w:color="auto" w:sz="0" w:space="0"/>
        <w:right w:val="single" w:color="auto" w:sz="0" w:space="0"/>
      </w:pBdr>
      <w:spacing w:before="100" w:beforeLines="0" w:beforeAutospacing="1" w:after="100" w:afterLines="0" w:afterAutospacing="1"/>
      <w:textAlignment w:val="center"/>
    </w:pPr>
    <w:rPr>
      <w:rFonts w:ascii="Arial Unicode MS" w:hAnsi="Arial Unicode MS" w:eastAsia="Arial Unicode MS" w:cs="Times New Roman"/>
      <w:kern w:val="0"/>
      <w:sz w:val="24"/>
    </w:rPr>
  </w:style>
  <w:style w:type="paragraph" w:customStyle="1" w:styleId="226">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227">
    <w:name w:val="xl15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cs="宋体"/>
      <w:kern w:val="0"/>
      <w:sz w:val="18"/>
      <w:szCs w:val="18"/>
    </w:rPr>
  </w:style>
  <w:style w:type="paragraph" w:customStyle="1" w:styleId="228">
    <w:name w:val="GP标题1"/>
    <w:basedOn w:val="1"/>
    <w:next w:val="1"/>
    <w:qFormat/>
    <w:uiPriority w:val="0"/>
    <w:pPr>
      <w:numPr>
        <w:ilvl w:val="0"/>
        <w:numId w:val="3"/>
      </w:numPr>
      <w:spacing w:before="312" w:beforeLines="100" w:after="312" w:afterLines="100" w:line="360" w:lineRule="auto"/>
      <w:jc w:val="center"/>
      <w:outlineLvl w:val="0"/>
    </w:pPr>
    <w:rPr>
      <w:rFonts w:ascii="黑体" w:hAnsi="黑体" w:eastAsia="黑体" w:cs="Times New Roman"/>
      <w:b/>
      <w:sz w:val="36"/>
      <w:szCs w:val="21"/>
    </w:rPr>
  </w:style>
  <w:style w:type="paragraph" w:customStyle="1" w:styleId="229">
    <w:name w:val="Char Char Char2 Char"/>
    <w:basedOn w:val="1"/>
    <w:qFormat/>
    <w:uiPriority w:val="0"/>
    <w:pPr>
      <w:tabs>
        <w:tab w:val="left" w:pos="360"/>
      </w:tabs>
      <w:ind w:left="360" w:hanging="360"/>
    </w:pPr>
    <w:rPr>
      <w:rFonts w:ascii="Times New Roman" w:hAnsi="Times New Roman"/>
    </w:rPr>
  </w:style>
  <w:style w:type="paragraph" w:customStyle="1" w:styleId="230">
    <w:name w:val="表格内容"/>
    <w:basedOn w:val="9"/>
    <w:uiPriority w:val="0"/>
    <w:pPr>
      <w:suppressLineNumbers/>
      <w:suppressAutoHyphens/>
    </w:pPr>
    <w:rPr>
      <w:rFonts w:ascii="Calibri" w:hAnsi="Calibri" w:eastAsia="宋体" w:cs="Times New Roman"/>
      <w:kern w:val="1"/>
      <w:lang w:val="en-US" w:eastAsia="ar-SA"/>
    </w:rPr>
  </w:style>
  <w:style w:type="paragraph" w:customStyle="1" w:styleId="231">
    <w:name w:val="xl143"/>
    <w:basedOn w:val="1"/>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232">
    <w:name w:val="c1"/>
    <w:basedOn w:val="1"/>
    <w:uiPriority w:val="0"/>
    <w:pPr>
      <w:widowControl/>
      <w:spacing w:line="250" w:lineRule="atLeast"/>
      <w:jc w:val="left"/>
    </w:pPr>
    <w:rPr>
      <w:rFonts w:ascii="宋体" w:hAnsi="宋体" w:eastAsia="宋体" w:cs="宋体"/>
      <w:b/>
      <w:bCs/>
      <w:kern w:val="0"/>
      <w:sz w:val="24"/>
    </w:rPr>
  </w:style>
  <w:style w:type="paragraph" w:customStyle="1" w:styleId="233">
    <w:name w:val="xl78"/>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24"/>
    </w:rPr>
  </w:style>
  <w:style w:type="paragraph" w:customStyle="1" w:styleId="234">
    <w:name w:val="表格标题"/>
    <w:basedOn w:val="230"/>
    <w:uiPriority w:val="0"/>
    <w:pPr>
      <w:tabs>
        <w:tab w:val="left" w:pos="900"/>
      </w:tabs>
      <w:jc w:val="center"/>
    </w:pPr>
    <w:rPr>
      <w:rFonts w:ascii="Calibri" w:hAnsi="Calibri" w:eastAsia="宋体" w:cs="Times New Roman"/>
      <w:b/>
      <w:bCs/>
      <w:i/>
      <w:iCs/>
    </w:rPr>
  </w:style>
  <w:style w:type="paragraph" w:customStyle="1" w:styleId="235">
    <w:name w:val="样式 模板描述"/>
    <w:basedOn w:val="1"/>
    <w:next w:val="219"/>
    <w:uiPriority w:val="0"/>
    <w:pPr>
      <w:tabs>
        <w:tab w:val="left" w:pos="600"/>
      </w:tabs>
      <w:spacing w:after="156" w:afterLines="50"/>
      <w:jc w:val="left"/>
    </w:pPr>
    <w:rPr>
      <w:rFonts w:ascii="宋体" w:hAnsi="Calibri" w:eastAsia="宋体" w:cs="宋体"/>
      <w:i/>
      <w:iCs/>
      <w:snapToGrid w:val="0"/>
      <w:color w:val="0000FF"/>
      <w:kern w:val="0"/>
      <w:szCs w:val="21"/>
    </w:rPr>
  </w:style>
  <w:style w:type="paragraph" w:customStyle="1" w:styleId="236">
    <w:name w:val="段"/>
    <w:uiPriority w:val="0"/>
    <w:pPr>
      <w:autoSpaceDE w:val="0"/>
      <w:autoSpaceDN w:val="0"/>
      <w:ind w:firstLine="200" w:firstLineChars="200"/>
      <w:jc w:val="both"/>
    </w:pPr>
    <w:rPr>
      <w:rFonts w:ascii="宋体"/>
      <w:sz w:val="21"/>
      <w:lang w:val="en-US" w:eastAsia="zh-CN" w:bidi="ar-SA"/>
    </w:rPr>
  </w:style>
  <w:style w:type="paragraph" w:customStyle="1" w:styleId="237">
    <w:name w:val="Char Char Char Char Char Char Char Char Char1 Char"/>
    <w:basedOn w:val="1"/>
    <w:qFormat/>
    <w:uiPriority w:val="0"/>
    <w:rPr>
      <w:rFonts w:ascii="Times New Roman" w:hAnsi="Times New Roman"/>
      <w:szCs w:val="20"/>
    </w:rPr>
  </w:style>
  <w:style w:type="paragraph" w:customStyle="1" w:styleId="238">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239">
    <w:name w:val="Normal (Web)"/>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240">
    <w:name w:val="样式　标题4"/>
    <w:basedOn w:val="241"/>
    <w:next w:val="1"/>
    <w:uiPriority w:val="0"/>
    <w:pPr>
      <w:tabs>
        <w:tab w:val="left" w:pos="600"/>
      </w:tabs>
      <w:ind w:hangingChars="200"/>
    </w:pPr>
    <w:rPr>
      <w:rFonts w:ascii="Calibri" w:hAnsi="Calibri" w:eastAsia="宋体" w:cs="Times New Roman"/>
    </w:rPr>
  </w:style>
  <w:style w:type="paragraph" w:customStyle="1" w:styleId="241">
    <w:name w:val="样式 标题 4Chapter X.X.X. + 段后: 0.5 行1"/>
    <w:basedOn w:val="6"/>
    <w:next w:val="6"/>
    <w:uiPriority w:val="0"/>
    <w:pPr>
      <w:keepLines w:val="0"/>
      <w:tabs>
        <w:tab w:val="left" w:pos="420"/>
      </w:tabs>
      <w:spacing w:before="120" w:after="156" w:afterLines="50" w:line="240" w:lineRule="auto"/>
      <w:ind w:left="425" w:hanging="425"/>
      <w:jc w:val="left"/>
    </w:pPr>
    <w:rPr>
      <w:rFonts w:ascii="宋体" w:hAnsi="Times New Roman" w:eastAsia="宋体" w:cs="宋体"/>
      <w:snapToGrid w:val="0"/>
      <w:color w:val="auto"/>
      <w:sz w:val="21"/>
      <w:szCs w:val="20"/>
    </w:rPr>
  </w:style>
  <w:style w:type="paragraph" w:customStyle="1" w:styleId="242">
    <w:name w:val="样式 样式 正文文本缩进 + 仿宋_GB2312 小四 首行缩进:  0 厘米 行距: 1.5 倍行距 + (中文) 仿宋_GB... Char Char"/>
    <w:basedOn w:val="243"/>
    <w:uiPriority w:val="0"/>
    <w:pPr>
      <w:tabs>
        <w:tab w:val="left" w:pos="2100"/>
      </w:tabs>
      <w:ind w:firstLine="480" w:firstLineChars="200"/>
    </w:pPr>
    <w:rPr>
      <w:rFonts w:ascii="Calibri" w:hAnsi="Calibri" w:eastAsia="宋体" w:cs="Times New Roman"/>
    </w:rPr>
  </w:style>
  <w:style w:type="paragraph" w:customStyle="1" w:styleId="243">
    <w:name w:val="样式 正文文本缩进 + 仿宋_GB2312 小四 首行缩进:  0 厘米 行距: 1.5 倍行距"/>
    <w:basedOn w:val="22"/>
    <w:uiPriority w:val="0"/>
    <w:pPr>
      <w:numPr>
        <w:ilvl w:val="4"/>
        <w:numId w:val="4"/>
      </w:numPr>
      <w:spacing w:line="360" w:lineRule="auto"/>
      <w:ind w:left="0" w:firstLine="0"/>
    </w:pPr>
    <w:rPr>
      <w:rFonts w:ascii="仿宋_GB2312" w:hAnsi="Times New Roman" w:eastAsia="新宋体" w:cs="Times New Roman"/>
      <w:spacing w:val="0"/>
      <w:sz w:val="24"/>
      <w:lang w:val="en-US" w:eastAsia="zh-CN"/>
    </w:rPr>
  </w:style>
  <w:style w:type="paragraph" w:customStyle="1" w:styleId="244">
    <w:name w:val="首行缩进"/>
    <w:basedOn w:val="1"/>
    <w:uiPriority w:val="0"/>
    <w:pPr>
      <w:widowControl/>
      <w:tabs>
        <w:tab w:val="left" w:pos="822"/>
        <w:tab w:val="left" w:pos="1296"/>
      </w:tabs>
      <w:snapToGrid w:val="0"/>
      <w:spacing w:before="40" w:after="40" w:line="300" w:lineRule="atLeast"/>
      <w:ind w:left="1296" w:hanging="1296"/>
    </w:pPr>
    <w:rPr>
      <w:rFonts w:ascii="Arial" w:hAnsi="Arial" w:eastAsia="宋体" w:cs="Times New Roman"/>
      <w:kern w:val="0"/>
      <w:szCs w:val="20"/>
    </w:rPr>
  </w:style>
  <w:style w:type="paragraph" w:customStyle="1" w:styleId="245">
    <w:name w:val="标题二级1"/>
    <w:basedOn w:val="4"/>
    <w:uiPriority w:val="0"/>
    <w:pPr>
      <w:tabs>
        <w:tab w:val="left" w:pos="720"/>
      </w:tabs>
      <w:spacing w:before="0" w:after="0" w:line="360" w:lineRule="auto"/>
      <w:ind w:left="576" w:hanging="576"/>
      <w:jc w:val="left"/>
    </w:pPr>
    <w:rPr>
      <w:rFonts w:ascii="Times New Roman" w:hAnsi="Times New Roman" w:eastAsia="宋体" w:cs="Times New Roman"/>
      <w:bCs w:val="0"/>
      <w:sz w:val="28"/>
      <w:szCs w:val="20"/>
      <w:lang w:val="en-US" w:eastAsia="zh-CN"/>
    </w:rPr>
  </w:style>
  <w:style w:type="paragraph" w:customStyle="1" w:styleId="246">
    <w:name w:val="样式3"/>
    <w:basedOn w:val="12"/>
    <w:next w:val="1"/>
    <w:uiPriority w:val="0"/>
    <w:pPr>
      <w:tabs>
        <w:tab w:val="left" w:pos="1680"/>
      </w:tabs>
      <w:ind w:left="1680" w:hanging="420"/>
      <w:jc w:val="left"/>
    </w:pPr>
    <w:rPr>
      <w:rFonts w:ascii="Calibri" w:hAnsi="Calibri" w:eastAsia="宋体" w:cs="Times New Roman"/>
      <w:b/>
    </w:rPr>
  </w:style>
  <w:style w:type="paragraph" w:customStyle="1" w:styleId="247">
    <w:name w:val="xl14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cs="宋体"/>
      <w:color w:val="000000"/>
      <w:kern w:val="0"/>
      <w:sz w:val="18"/>
      <w:szCs w:val="18"/>
    </w:rPr>
  </w:style>
  <w:style w:type="paragraph" w:customStyle="1" w:styleId="248">
    <w:name w:val="Main Title"/>
    <w:basedOn w:val="1"/>
    <w:uiPriority w:val="0"/>
    <w:pPr>
      <w:spacing w:before="480" w:after="156" w:afterLines="50"/>
      <w:jc w:val="center"/>
    </w:pPr>
    <w:rPr>
      <w:rFonts w:ascii="宋体" w:hAnsi="Calibri" w:eastAsia="宋体" w:cs="Times New Roman"/>
      <w:b/>
      <w:snapToGrid w:val="0"/>
      <w:kern w:val="28"/>
      <w:sz w:val="32"/>
      <w:szCs w:val="20"/>
    </w:rPr>
  </w:style>
  <w:style w:type="paragraph" w:customStyle="1" w:styleId="249">
    <w:name w:val="正文－5"/>
    <w:uiPriority w:val="0"/>
    <w:pPr>
      <w:widowControl w:val="0"/>
      <w:spacing w:line="360" w:lineRule="exact"/>
      <w:jc w:val="both"/>
    </w:pPr>
    <w:rPr>
      <w:rFonts w:ascii="宋体" w:hAnsi="宋体"/>
      <w:bCs/>
      <w:kern w:val="2"/>
      <w:sz w:val="21"/>
      <w:szCs w:val="21"/>
      <w:lang w:val="en-US" w:eastAsia="zh-CN" w:bidi="ar-SA"/>
    </w:rPr>
  </w:style>
  <w:style w:type="paragraph" w:customStyle="1" w:styleId="250">
    <w:name w:val="Body Text1"/>
    <w:basedOn w:val="1"/>
    <w:qFormat/>
    <w:uiPriority w:val="0"/>
    <w:pPr>
      <w:spacing w:after="120"/>
    </w:pPr>
    <w:rPr>
      <w:rFonts w:ascii="Times New Roman" w:hAnsi="Times New Roman"/>
      <w:sz w:val="24"/>
    </w:rPr>
  </w:style>
  <w:style w:type="paragraph" w:customStyle="1" w:styleId="251">
    <w:name w:val="样式 标题 2Chapter X.X. Statementh22Header 2l2Level 2 Headhea..."/>
    <w:basedOn w:val="4"/>
    <w:uiPriority w:val="0"/>
    <w:pPr>
      <w:keepLines w:val="0"/>
      <w:spacing w:before="120" w:after="156" w:afterLines="50" w:line="240" w:lineRule="auto"/>
      <w:jc w:val="left"/>
    </w:pPr>
    <w:rPr>
      <w:rFonts w:ascii="宋体" w:hAnsi="Times New Roman" w:eastAsia="宋体" w:cs="宋体"/>
      <w:snapToGrid w:val="0"/>
      <w:kern w:val="0"/>
      <w:sz w:val="24"/>
      <w:szCs w:val="24"/>
      <w:lang w:val="en-US" w:eastAsia="zh-CN"/>
    </w:rPr>
  </w:style>
  <w:style w:type="paragraph" w:customStyle="1" w:styleId="252">
    <w:name w:val="表内容"/>
    <w:basedOn w:val="1"/>
    <w:uiPriority w:val="0"/>
    <w:pPr>
      <w:widowControl/>
      <w:spacing w:line="320" w:lineRule="exact"/>
      <w:jc w:val="left"/>
    </w:pPr>
    <w:rPr>
      <w:rFonts w:ascii="Calibri" w:hAnsi="Calibri" w:eastAsia="宋体" w:cs="Arial"/>
      <w:kern w:val="0"/>
      <w:sz w:val="20"/>
      <w:szCs w:val="20"/>
    </w:rPr>
  </w:style>
  <w:style w:type="paragraph" w:customStyle="1" w:styleId="253">
    <w:name w:val="列表段落1"/>
    <w:basedOn w:val="1"/>
    <w:qFormat/>
    <w:uiPriority w:val="99"/>
    <w:pPr>
      <w:ind w:firstLine="420" w:firstLineChars="200"/>
    </w:pPr>
    <w:rPr>
      <w:rFonts w:ascii="Calibri" w:hAnsi="Calibri" w:eastAsia="宋体" w:cs="Times New Roman"/>
    </w:rPr>
  </w:style>
  <w:style w:type="paragraph" w:customStyle="1" w:styleId="254">
    <w:name w:val="font9"/>
    <w:basedOn w:val="1"/>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55">
    <w:name w:val="bullet"/>
    <w:basedOn w:val="1"/>
    <w:uiPriority w:val="0"/>
    <w:pPr>
      <w:numPr>
        <w:ilvl w:val="0"/>
        <w:numId w:val="5"/>
      </w:numPr>
    </w:pPr>
    <w:rPr>
      <w:rFonts w:ascii="Calibri" w:hAnsi="Calibri" w:eastAsia="宋体" w:cs="Times New Roman"/>
    </w:rPr>
  </w:style>
  <w:style w:type="paragraph" w:customStyle="1" w:styleId="256">
    <w:name w:val="页面边线"/>
    <w:basedOn w:val="1"/>
    <w:uiPriority w:val="0"/>
    <w:pPr>
      <w:adjustRightInd w:val="0"/>
      <w:spacing w:line="360" w:lineRule="atLeast"/>
      <w:textAlignment w:val="baseline"/>
    </w:pPr>
    <w:rPr>
      <w:rFonts w:ascii="Century" w:hAnsi="Century" w:eastAsia="宋体" w:cs="Times New Roman"/>
      <w:kern w:val="0"/>
      <w:szCs w:val="20"/>
      <w:lang w:eastAsia="ja-JP"/>
    </w:rPr>
  </w:style>
  <w:style w:type="paragraph" w:customStyle="1" w:styleId="257">
    <w:name w:val="S4-I-U-L15-No-dot"/>
    <w:basedOn w:val="1"/>
    <w:uiPriority w:val="0"/>
    <w:pPr>
      <w:tabs>
        <w:tab w:val="left" w:pos="1112"/>
        <w:tab w:val="left" w:pos="1275"/>
      </w:tabs>
      <w:spacing w:after="120" w:line="360" w:lineRule="auto"/>
      <w:ind w:left="1112" w:hanging="420"/>
    </w:pPr>
    <w:rPr>
      <w:rFonts w:ascii="Calibri" w:hAnsi="Calibri" w:eastAsia="宋体" w:cs="Times New Roman"/>
      <w:i/>
      <w:sz w:val="24"/>
      <w:u w:val="single"/>
    </w:rPr>
  </w:style>
  <w:style w:type="paragraph" w:customStyle="1" w:styleId="258">
    <w:name w:val="cont"/>
    <w:basedOn w:val="1"/>
    <w:qFormat/>
    <w:uiPriority w:val="0"/>
    <w:pPr>
      <w:widowControl/>
      <w:adjustRightInd w:val="0"/>
      <w:spacing w:before="100" w:after="100" w:line="360" w:lineRule="auto"/>
      <w:ind w:firstLine="200" w:firstLineChars="200"/>
      <w:jc w:val="left"/>
      <w:textAlignment w:val="baseline"/>
    </w:pPr>
    <w:rPr>
      <w:rFonts w:ascii="Arial" w:hAnsi="Arial" w:cs="宋体"/>
      <w:kern w:val="0"/>
      <w:sz w:val="24"/>
      <w:szCs w:val="20"/>
    </w:rPr>
  </w:style>
  <w:style w:type="paragraph" w:customStyle="1" w:styleId="259">
    <w:name w:val="正文段落"/>
    <w:basedOn w:val="1"/>
    <w:qFormat/>
    <w:uiPriority w:val="0"/>
    <w:pPr>
      <w:widowControl/>
      <w:adjustRightInd w:val="0"/>
      <w:snapToGrid w:val="0"/>
      <w:spacing w:line="360" w:lineRule="auto"/>
      <w:ind w:right="210" w:rightChars="100"/>
      <w:jc w:val="center"/>
    </w:pPr>
    <w:rPr>
      <w:rFonts w:ascii="宋体" w:hAnsi="宋体" w:cs="宋体"/>
      <w:kern w:val="0"/>
      <w:sz w:val="24"/>
      <w:szCs w:val="20"/>
    </w:rPr>
  </w:style>
  <w:style w:type="paragraph" w:customStyle="1" w:styleId="260">
    <w:name w:val=" Char Char7 Char"/>
    <w:basedOn w:val="1"/>
    <w:uiPriority w:val="0"/>
    <w:pPr>
      <w:tabs>
        <w:tab w:val="left" w:pos="425"/>
      </w:tabs>
      <w:ind w:left="420" w:leftChars="200" w:firstLine="270" w:firstLineChars="150"/>
    </w:pPr>
    <w:rPr>
      <w:rFonts w:ascii="宋体" w:hAnsi="宋体" w:eastAsia="宋体" w:cs="Arial"/>
      <w:color w:val="5E5E5E"/>
      <w:kern w:val="0"/>
      <w:szCs w:val="21"/>
    </w:rPr>
  </w:style>
  <w:style w:type="paragraph" w:customStyle="1" w:styleId="261">
    <w:name w:val=" Char Char Char Char"/>
    <w:basedOn w:val="1"/>
    <w:uiPriority w:val="0"/>
    <w:rPr>
      <w:rFonts w:ascii="Tahoma" w:hAnsi="Tahoma" w:eastAsia="宋体" w:cs="Times New Roman"/>
      <w:sz w:val="24"/>
      <w:szCs w:val="20"/>
    </w:rPr>
  </w:style>
  <w:style w:type="paragraph" w:customStyle="1" w:styleId="262">
    <w:name w:val="p15"/>
    <w:basedOn w:val="1"/>
    <w:uiPriority w:val="0"/>
    <w:pPr>
      <w:widowControl/>
      <w:spacing w:before="100" w:beforeAutospacing="1" w:after="100" w:afterAutospacing="1"/>
      <w:jc w:val="left"/>
    </w:pPr>
    <w:rPr>
      <w:rFonts w:ascii="宋体" w:hAnsi="宋体" w:cs="宋体"/>
      <w:kern w:val="0"/>
      <w:sz w:val="24"/>
    </w:rPr>
  </w:style>
  <w:style w:type="paragraph" w:customStyle="1" w:styleId="263">
    <w:name w:val="_Style 70"/>
    <w:next w:val="1"/>
    <w:uiPriority w:val="0"/>
    <w:pPr>
      <w:widowControl w:val="0"/>
      <w:jc w:val="both"/>
    </w:pPr>
    <w:rPr>
      <w:kern w:val="2"/>
      <w:sz w:val="21"/>
      <w:szCs w:val="24"/>
      <w:lang w:val="en-US" w:eastAsia="zh-CN" w:bidi="ar-SA"/>
    </w:rPr>
  </w:style>
  <w:style w:type="paragraph" w:customStyle="1" w:styleId="264">
    <w:name w:val="InfoBlue"/>
    <w:basedOn w:val="1"/>
    <w:next w:val="9"/>
    <w:uiPriority w:val="0"/>
    <w:pPr>
      <w:spacing w:after="156" w:afterLines="50"/>
      <w:ind w:left="720"/>
      <w:jc w:val="left"/>
    </w:pPr>
    <w:rPr>
      <w:rFonts w:ascii="宋体" w:hAnsi="Calibri" w:eastAsia="宋体" w:cs="Times New Roman"/>
      <w:i/>
      <w:snapToGrid w:val="0"/>
      <w:color w:val="0000FF"/>
      <w:kern w:val="0"/>
      <w:szCs w:val="20"/>
    </w:rPr>
  </w:style>
  <w:style w:type="paragraph" w:customStyle="1" w:styleId="265">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66">
    <w:name w:val="xl63"/>
    <w:basedOn w:val="1"/>
    <w:uiPriority w:val="0"/>
    <w:pPr>
      <w:widowControl/>
      <w:spacing w:before="100" w:beforeAutospacing="1" w:after="100" w:afterAutospacing="1"/>
      <w:jc w:val="center"/>
    </w:pPr>
    <w:rPr>
      <w:rFonts w:ascii="宋体" w:hAnsi="宋体" w:cs="宋体"/>
      <w:kern w:val="0"/>
      <w:sz w:val="24"/>
    </w:rPr>
  </w:style>
  <w:style w:type="paragraph" w:customStyle="1" w:styleId="267">
    <w:name w:val="保留正文"/>
    <w:basedOn w:val="9"/>
    <w:uiPriority w:val="0"/>
    <w:pPr>
      <w:keepNext/>
      <w:spacing w:after="160"/>
    </w:pPr>
    <w:rPr>
      <w:rFonts w:ascii="Calibri" w:hAnsi="Calibri" w:eastAsia="宋体" w:cs="Times New Roman"/>
      <w:szCs w:val="20"/>
      <w:lang w:val="en-US" w:eastAsia="zh-CN"/>
    </w:rPr>
  </w:style>
  <w:style w:type="paragraph" w:customStyle="1" w:styleId="268">
    <w:name w:val="文本框内文字"/>
    <w:basedOn w:val="1"/>
    <w:uiPriority w:val="0"/>
    <w:pPr>
      <w:spacing w:line="0" w:lineRule="atLeast"/>
    </w:pPr>
    <w:rPr>
      <w:rFonts w:ascii="Calibri" w:hAnsi="Calibri" w:eastAsia="仿宋_GB2312" w:cs="Times New Roman"/>
      <w:sz w:val="22"/>
    </w:rPr>
  </w:style>
  <w:style w:type="paragraph" w:customStyle="1" w:styleId="269">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270">
    <w:name w:val="金宏发行正文 Char"/>
    <w:basedOn w:val="1"/>
    <w:qFormat/>
    <w:uiPriority w:val="0"/>
    <w:pPr>
      <w:widowControl/>
      <w:spacing w:line="500" w:lineRule="atLeast"/>
      <w:ind w:firstLine="560" w:firstLineChars="200"/>
      <w:jc w:val="left"/>
    </w:pPr>
    <w:rPr>
      <w:rFonts w:ascii="宋体" w:hAnsi="宋体" w:eastAsia="仿宋_GB2312" w:cs="宋体"/>
      <w:kern w:val="0"/>
      <w:sz w:val="28"/>
      <w:szCs w:val="20"/>
    </w:rPr>
  </w:style>
  <w:style w:type="paragraph" w:customStyle="1" w:styleId="271">
    <w:name w:val="正文 New New New New New"/>
    <w:uiPriority w:val="0"/>
    <w:pPr>
      <w:widowControl w:val="0"/>
      <w:jc w:val="both"/>
    </w:pPr>
    <w:rPr>
      <w:kern w:val="2"/>
      <w:sz w:val="21"/>
      <w:lang w:val="en-US" w:eastAsia="zh-CN" w:bidi="ar-SA"/>
    </w:rPr>
  </w:style>
  <w:style w:type="paragraph" w:customStyle="1" w:styleId="272">
    <w:name w:val="xl67"/>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73">
    <w:name w:val="Paragraph3"/>
    <w:basedOn w:val="1"/>
    <w:uiPriority w:val="0"/>
    <w:pPr>
      <w:spacing w:before="80" w:after="156" w:afterLines="50"/>
      <w:ind w:left="1530"/>
    </w:pPr>
    <w:rPr>
      <w:rFonts w:ascii="宋体" w:hAnsi="Calibri" w:eastAsia="宋体" w:cs="Times New Roman"/>
      <w:snapToGrid w:val="0"/>
      <w:kern w:val="0"/>
      <w:szCs w:val="20"/>
    </w:rPr>
  </w:style>
  <w:style w:type="paragraph" w:customStyle="1" w:styleId="274">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275">
    <w:name w:val="pbulletcmt"/>
    <w:basedOn w:val="1"/>
    <w:uiPriority w:val="0"/>
    <w:pPr>
      <w:widowControl/>
      <w:spacing w:before="100" w:beforeAutospacing="1" w:after="100" w:afterAutospacing="1"/>
      <w:jc w:val="left"/>
    </w:pPr>
    <w:rPr>
      <w:rFonts w:ascii="Calibri" w:hAnsi="Calibri" w:eastAsia="宋体" w:cs="Times New Roman"/>
      <w:kern w:val="0"/>
      <w:sz w:val="24"/>
    </w:rPr>
  </w:style>
  <w:style w:type="paragraph" w:customStyle="1" w:styleId="276">
    <w:name w:val="标题1"/>
    <w:basedOn w:val="27"/>
    <w:uiPriority w:val="0"/>
    <w:pPr>
      <w:spacing w:line="360" w:lineRule="auto"/>
    </w:pPr>
    <w:rPr>
      <w:rFonts w:ascii="Calibri" w:hAnsi="Calibri" w:eastAsia="宋体" w:cs="Times New Roman"/>
      <w:b/>
      <w:sz w:val="30"/>
    </w:rPr>
  </w:style>
  <w:style w:type="paragraph" w:customStyle="1" w:styleId="277">
    <w:name w:val="S4-B-L15"/>
    <w:basedOn w:val="1"/>
    <w:uiPriority w:val="0"/>
    <w:pPr>
      <w:spacing w:line="360" w:lineRule="auto"/>
    </w:pPr>
    <w:rPr>
      <w:rFonts w:ascii="Calibri" w:hAnsi="Calibri" w:eastAsia="宋体" w:cs="Times New Roman"/>
      <w:b/>
      <w:bCs/>
      <w:sz w:val="24"/>
    </w:rPr>
  </w:style>
  <w:style w:type="paragraph" w:customStyle="1" w:styleId="278">
    <w:name w:val="标准标题3"/>
    <w:basedOn w:val="5"/>
    <w:uiPriority w:val="0"/>
    <w:pPr>
      <w:tabs>
        <w:tab w:val="left" w:pos="780"/>
      </w:tabs>
      <w:spacing w:line="240" w:lineRule="auto"/>
      <w:ind w:leftChars="-258"/>
    </w:pPr>
    <w:rPr>
      <w:rFonts w:ascii="Calibri" w:hAnsi="Calibri" w:eastAsia="仿宋_GB2312" w:cs="Times New Roman"/>
      <w:sz w:val="28"/>
      <w:lang w:val="en-US" w:eastAsia="zh-CN"/>
    </w:rPr>
  </w:style>
  <w:style w:type="paragraph" w:customStyle="1" w:styleId="279">
    <w:name w:val="Blockquote"/>
    <w:basedOn w:val="1"/>
    <w:uiPriority w:val="0"/>
    <w:pPr>
      <w:widowControl/>
      <w:spacing w:before="100" w:after="156" w:afterLines="50"/>
      <w:ind w:left="360" w:right="360"/>
      <w:jc w:val="left"/>
    </w:pPr>
    <w:rPr>
      <w:rFonts w:ascii="宋体" w:hAnsi="Calibri" w:eastAsia="宋体" w:cs="Times New Roman"/>
      <w:snapToGrid w:val="0"/>
      <w:kern w:val="0"/>
      <w:sz w:val="24"/>
      <w:szCs w:val="20"/>
      <w:lang w:val="en-CA"/>
    </w:rPr>
  </w:style>
  <w:style w:type="paragraph" w:customStyle="1" w:styleId="280">
    <w:name w:val="沈标题四"/>
    <w:basedOn w:val="6"/>
    <w:next w:val="1"/>
    <w:uiPriority w:val="0"/>
    <w:pPr>
      <w:keepNext w:val="0"/>
      <w:keepLines w:val="0"/>
      <w:spacing w:line="377" w:lineRule="auto"/>
    </w:pPr>
    <w:rPr>
      <w:rFonts w:ascii="Arial Narrow" w:hAnsi="Arial Narrow" w:eastAsia="方正姚体" w:cs="Times New Roman"/>
      <w:b w:val="0"/>
      <w:color w:val="auto"/>
      <w:kern w:val="2"/>
      <w:sz w:val="24"/>
      <w:szCs w:val="24"/>
    </w:rPr>
  </w:style>
  <w:style w:type="paragraph" w:customStyle="1" w:styleId="281">
    <w:name w:val="样式 标题 4Chapter X.X.X. + 段后: 0.5 行1 + 段后: 0.5 行"/>
    <w:basedOn w:val="241"/>
    <w:uiPriority w:val="0"/>
    <w:rPr>
      <w:rFonts w:ascii="Calibri" w:hAnsi="Calibri" w:eastAsia="宋体" w:cs="Times New Roman"/>
      <w:szCs w:val="21"/>
    </w:rPr>
  </w:style>
  <w:style w:type="paragraph" w:customStyle="1" w:styleId="282">
    <w:name w:val="_Style 28"/>
    <w:basedOn w:val="1"/>
    <w:uiPriority w:val="0"/>
    <w:pPr>
      <w:ind w:firstLine="420" w:firstLineChars="200"/>
    </w:pPr>
    <w:rPr>
      <w:rFonts w:ascii="Calibri" w:hAnsi="Calibri" w:eastAsia="宋体" w:cs="Times New Roman"/>
      <w:szCs w:val="22"/>
    </w:rPr>
  </w:style>
  <w:style w:type="paragraph" w:customStyle="1" w:styleId="283">
    <w:name w:val="Char Char3 Char Char Char Char"/>
    <w:basedOn w:val="1"/>
    <w:uiPriority w:val="0"/>
    <w:pPr>
      <w:widowControl/>
      <w:spacing w:after="160" w:line="360" w:lineRule="auto"/>
      <w:jc w:val="left"/>
    </w:pPr>
    <w:rPr>
      <w:rFonts w:ascii="Verdana" w:hAnsi="Verdana" w:eastAsia="宋体" w:cs="Times New Roman"/>
      <w:kern w:val="0"/>
      <w:sz w:val="24"/>
      <w:szCs w:val="20"/>
      <w:lang w:eastAsia="en-US"/>
    </w:rPr>
  </w:style>
  <w:style w:type="paragraph" w:customStyle="1" w:styleId="284">
    <w:name w:val="样式 样式 标题 4 + 段后: 0.5 行 + 段后: 0.5 行"/>
    <w:basedOn w:val="218"/>
    <w:uiPriority w:val="0"/>
    <w:rPr>
      <w:rFonts w:ascii="Calibri" w:hAnsi="Calibri" w:eastAsia="宋体" w:cs="Times New Roman"/>
    </w:rPr>
  </w:style>
  <w:style w:type="paragraph" w:styleId="285">
    <w:name w:val=""/>
    <w:unhideWhenUsed/>
    <w:uiPriority w:val="99"/>
    <w:rPr>
      <w:kern w:val="2"/>
      <w:sz w:val="21"/>
      <w:szCs w:val="24"/>
      <w:lang w:val="en-US" w:eastAsia="zh-CN" w:bidi="ar-SA"/>
    </w:rPr>
  </w:style>
  <w:style w:type="paragraph" w:customStyle="1" w:styleId="286">
    <w:name w:val="样式 宋体 五号 首行缩进:  0.95 厘米"/>
    <w:basedOn w:val="1"/>
    <w:qFormat/>
    <w:uiPriority w:val="0"/>
    <w:pPr>
      <w:widowControl/>
      <w:tabs>
        <w:tab w:val="left" w:pos="4860"/>
      </w:tabs>
      <w:spacing w:line="360" w:lineRule="auto"/>
      <w:ind w:firstLine="569" w:firstLineChars="236"/>
      <w:jc w:val="left"/>
    </w:pPr>
    <w:rPr>
      <w:rFonts w:ascii="宋体" w:hAnsi="宋体" w:cs="宋体"/>
      <w:b/>
      <w:color w:val="FF0000"/>
      <w:kern w:val="0"/>
      <w:sz w:val="24"/>
    </w:rPr>
  </w:style>
  <w:style w:type="paragraph" w:customStyle="1" w:styleId="287">
    <w:name w:val="样式 标题 1 + 五号1 Char Char Char Char Char Char Char Char Char Char Char Char Char Char Char Char Char"/>
    <w:basedOn w:val="3"/>
    <w:uiPriority w:val="0"/>
    <w:pPr>
      <w:spacing w:before="0" w:after="0" w:line="480" w:lineRule="auto"/>
    </w:pPr>
    <w:rPr>
      <w:rFonts w:ascii="Calibri" w:hAnsi="Calibri" w:eastAsia="宋体" w:cs="Times New Roman"/>
      <w:sz w:val="21"/>
      <w:lang w:val="en-US" w:eastAsia="zh-CN"/>
    </w:rPr>
  </w:style>
  <w:style w:type="paragraph" w:customStyle="1" w:styleId="288">
    <w:name w:val="方案正文"/>
    <w:basedOn w:val="1"/>
    <w:qFormat/>
    <w:uiPriority w:val="0"/>
    <w:pPr>
      <w:widowControl/>
      <w:spacing w:before="120" w:line="360" w:lineRule="auto"/>
      <w:ind w:firstLine="425" w:firstLineChars="177"/>
      <w:jc w:val="left"/>
    </w:pPr>
    <w:rPr>
      <w:rFonts w:ascii="华文细黑" w:hAnsi="华文细黑" w:eastAsia="华文细黑" w:cs="宋体"/>
      <w:kern w:val="0"/>
      <w:sz w:val="24"/>
    </w:rPr>
  </w:style>
  <w:style w:type="paragraph" w:customStyle="1" w:styleId="289">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90">
    <w:name w:val="xl75"/>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华文细黑" w:hAnsi="华文细黑" w:eastAsia="华文细黑" w:cs="宋体"/>
      <w:kern w:val="0"/>
      <w:sz w:val="24"/>
    </w:rPr>
  </w:style>
  <w:style w:type="paragraph" w:customStyle="1" w:styleId="291">
    <w:name w:val="无间距"/>
    <w:qFormat/>
    <w:uiPriority w:val="0"/>
    <w:pPr>
      <w:widowControl w:val="0"/>
      <w:jc w:val="both"/>
    </w:pPr>
    <w:rPr>
      <w:kern w:val="2"/>
      <w:sz w:val="21"/>
      <w:szCs w:val="24"/>
      <w:lang w:val="en-US" w:eastAsia="zh-CN" w:bidi="ar-SA"/>
    </w:rPr>
  </w:style>
  <w:style w:type="paragraph" w:customStyle="1" w:styleId="292">
    <w:name w:val="Style-正文"/>
    <w:basedOn w:val="1"/>
    <w:uiPriority w:val="0"/>
    <w:pPr>
      <w:spacing w:line="360" w:lineRule="auto"/>
      <w:ind w:firstLine="420"/>
    </w:pPr>
    <w:rPr>
      <w:rFonts w:ascii="宋体" w:hAnsi="宋体" w:eastAsia="宋体" w:cs="Times New Roman"/>
      <w:sz w:val="24"/>
    </w:rPr>
  </w:style>
  <w:style w:type="paragraph" w:customStyle="1" w:styleId="293">
    <w:name w:val="Body Text First Indent 21"/>
    <w:basedOn w:val="1"/>
    <w:qFormat/>
    <w:uiPriority w:val="0"/>
    <w:pPr>
      <w:spacing w:after="120"/>
      <w:ind w:left="420" w:leftChars="200" w:firstLine="420"/>
    </w:pPr>
    <w:rPr>
      <w:rFonts w:ascii="Times New Roman" w:hAnsi="Times New Roman"/>
    </w:rPr>
  </w:style>
  <w:style w:type="paragraph" w:customStyle="1" w:styleId="294">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95">
    <w:name w:val="正文（首行缩进2字符）"/>
    <w:basedOn w:val="1"/>
    <w:qFormat/>
    <w:uiPriority w:val="0"/>
    <w:pPr>
      <w:spacing w:line="360" w:lineRule="auto"/>
      <w:ind w:firstLine="480" w:firstLineChars="200"/>
    </w:pPr>
    <w:rPr>
      <w:rFonts w:ascii="Times New Roman" w:hAnsi="Times New Roman"/>
      <w:sz w:val="24"/>
      <w:szCs w:val="20"/>
    </w:rPr>
  </w:style>
  <w:style w:type="paragraph" w:customStyle="1" w:styleId="296">
    <w:name w:val="正文 New New New New New New"/>
    <w:uiPriority w:val="0"/>
    <w:pPr>
      <w:widowControl w:val="0"/>
      <w:jc w:val="both"/>
    </w:pPr>
    <w:rPr>
      <w:kern w:val="2"/>
      <w:sz w:val="21"/>
      <w:szCs w:val="22"/>
      <w:lang w:val="en-US" w:eastAsia="zh-CN" w:bidi="ar-SA"/>
    </w:rPr>
  </w:style>
  <w:style w:type="paragraph" w:customStyle="1" w:styleId="297">
    <w:name w:val="xl138"/>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98">
    <w:name w:val="Tabletext"/>
    <w:basedOn w:val="1"/>
    <w:uiPriority w:val="0"/>
    <w:pPr>
      <w:keepLines/>
      <w:spacing w:after="156" w:afterLines="50"/>
      <w:jc w:val="left"/>
    </w:pPr>
    <w:rPr>
      <w:rFonts w:ascii="宋体" w:hAnsi="Calibri" w:eastAsia="宋体" w:cs="Times New Roman"/>
      <w:snapToGrid w:val="0"/>
      <w:kern w:val="0"/>
      <w:szCs w:val="20"/>
    </w:rPr>
  </w:style>
  <w:style w:type="paragraph" w:customStyle="1" w:styleId="299">
    <w:name w:val="默认段落字体 Para Char"/>
    <w:basedOn w:val="1"/>
    <w:uiPriority w:val="0"/>
    <w:rPr>
      <w:rFonts w:ascii="Calibri" w:hAnsi="Calibri" w:eastAsia="宋体" w:cs="Times New Roman"/>
      <w:szCs w:val="20"/>
    </w:rPr>
  </w:style>
  <w:style w:type="paragraph" w:customStyle="1" w:styleId="300">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301">
    <w:name w:val="默认段落字体 Para Char Char Char Char Char Char Char Char Char1 Char Char Char Char Char Char Char"/>
    <w:basedOn w:val="19"/>
    <w:uiPriority w:val="0"/>
    <w:rPr>
      <w:rFonts w:ascii="Tahoma" w:hAnsi="Tahoma" w:eastAsia="宋体" w:cs="Times New Roman"/>
      <w:sz w:val="24"/>
      <w:lang w:val="en-US" w:eastAsia="zh-CN"/>
    </w:rPr>
  </w:style>
  <w:style w:type="paragraph" w:customStyle="1" w:styleId="302">
    <w:name w:val="text4"/>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303">
    <w:name w:val="样式 样式 标题 4 + 段后: 0.5 行1"/>
    <w:basedOn w:val="218"/>
    <w:next w:val="32"/>
    <w:uiPriority w:val="0"/>
    <w:pPr>
      <w:spacing w:after="120" w:afterLines="0"/>
    </w:pPr>
    <w:rPr>
      <w:rFonts w:ascii="Calibri" w:hAnsi="Calibri" w:eastAsia="宋体" w:cs="Times New Roman"/>
    </w:rPr>
  </w:style>
  <w:style w:type="paragraph" w:customStyle="1" w:styleId="304">
    <w:name w:val="0表格样式"/>
    <w:uiPriority w:val="0"/>
    <w:rPr>
      <w:rFonts w:eastAsia="仿宋" w:cs="仿宋_GB2312"/>
      <w:kern w:val="2"/>
      <w:sz w:val="21"/>
      <w:szCs w:val="28"/>
      <w:lang w:val="en-US" w:eastAsia="zh-CN" w:bidi="ar-SA"/>
    </w:rPr>
  </w:style>
  <w:style w:type="paragraph" w:customStyle="1" w:styleId="305">
    <w:name w:val="No Spacing"/>
    <w:uiPriority w:val="0"/>
    <w:pPr>
      <w:widowControl w:val="0"/>
      <w:jc w:val="both"/>
    </w:pPr>
    <w:rPr>
      <w:rFonts w:ascii="仿宋_GB2312" w:hAnsi="宋体" w:eastAsia="仿宋_GB2312"/>
      <w:b/>
      <w:color w:val="000000"/>
      <w:sz w:val="21"/>
      <w:lang w:val="en-US" w:eastAsia="zh-CN" w:bidi="ar-SA"/>
    </w:rPr>
  </w:style>
  <w:style w:type="paragraph" w:customStyle="1" w:styleId="306">
    <w:name w:val="标准有序列表（L1）"/>
    <w:basedOn w:val="16"/>
    <w:uiPriority w:val="0"/>
    <w:pPr>
      <w:tabs>
        <w:tab w:val="left" w:pos="0"/>
        <w:tab w:val="left" w:pos="1890"/>
      </w:tabs>
      <w:adjustRightInd/>
      <w:spacing w:line="360" w:lineRule="auto"/>
      <w:ind w:firstLine="0"/>
      <w:textAlignment w:val="auto"/>
    </w:pPr>
    <w:rPr>
      <w:rFonts w:ascii="黑体" w:hAnsi="Calibri" w:eastAsia="黑体" w:cs="Times New Roman"/>
      <w:color w:val="000000"/>
      <w:kern w:val="2"/>
      <w:sz w:val="24"/>
    </w:rPr>
  </w:style>
  <w:style w:type="paragraph" w:customStyle="1" w:styleId="307">
    <w:name w:val="目录2"/>
    <w:basedOn w:val="49"/>
    <w:uiPriority w:val="0"/>
    <w:pPr>
      <w:spacing w:before="100" w:beforeAutospacing="1" w:after="100" w:afterAutospacing="1" w:line="440" w:lineRule="exact"/>
    </w:pPr>
    <w:rPr>
      <w:rFonts w:ascii="黑体" w:hAnsi="新宋体" w:eastAsia="黑体" w:cs="Times New Roman"/>
      <w:b w:val="0"/>
      <w:bCs w:val="0"/>
      <w:lang w:val="en-US" w:eastAsia="zh-CN"/>
    </w:rPr>
  </w:style>
  <w:style w:type="paragraph" w:customStyle="1" w:styleId="308">
    <w:name w:val="Char Char Char Char Char Char Char"/>
    <w:basedOn w:val="1"/>
    <w:uiPriority w:val="0"/>
    <w:pPr>
      <w:tabs>
        <w:tab w:val="left" w:pos="432"/>
      </w:tabs>
      <w:ind w:left="432" w:hanging="432"/>
    </w:pPr>
    <w:rPr>
      <w:rFonts w:ascii="Tahoma" w:hAnsi="Tahoma" w:eastAsia="宋体" w:cs="Times New Roman"/>
      <w:sz w:val="24"/>
      <w:szCs w:val="20"/>
    </w:rPr>
  </w:style>
  <w:style w:type="paragraph" w:customStyle="1" w:styleId="309">
    <w:name w:val="H5_小小点"/>
    <w:basedOn w:val="7"/>
    <w:qFormat/>
    <w:uiPriority w:val="0"/>
    <w:pPr>
      <w:keepNext/>
      <w:keepLines/>
      <w:numPr>
        <w:ilvl w:val="4"/>
        <w:numId w:val="0"/>
      </w:numPr>
      <w:adjustRightInd/>
      <w:spacing w:line="360" w:lineRule="auto"/>
      <w:jc w:val="left"/>
    </w:pPr>
    <w:rPr>
      <w:rFonts w:ascii="Times New Roman" w:hAnsi="Times New Roman" w:eastAsia="宋体" w:cs="Times New Roman"/>
      <w:b/>
      <w:bCs/>
      <w:sz w:val="24"/>
      <w:szCs w:val="28"/>
      <w:lang w:val="en-US" w:eastAsia="zh-CN"/>
    </w:rPr>
  </w:style>
  <w:style w:type="paragraph" w:customStyle="1" w:styleId="310">
    <w:name w:val="Paragraph4"/>
    <w:basedOn w:val="1"/>
    <w:uiPriority w:val="0"/>
    <w:pPr>
      <w:spacing w:before="80" w:after="156" w:afterLines="50"/>
      <w:ind w:left="2250"/>
    </w:pPr>
    <w:rPr>
      <w:rFonts w:ascii="宋体" w:hAnsi="Calibri" w:eastAsia="宋体" w:cs="Times New Roman"/>
      <w:snapToGrid w:val="0"/>
      <w:kern w:val="0"/>
      <w:szCs w:val="20"/>
    </w:rPr>
  </w:style>
  <w:style w:type="paragraph" w:customStyle="1" w:styleId="311">
    <w:name w:val=" Char3 Char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12">
    <w:name w:val="pa-8"/>
    <w:basedOn w:val="1"/>
    <w:qFormat/>
    <w:uiPriority w:val="0"/>
    <w:pPr>
      <w:widowControl/>
      <w:spacing w:before="150" w:beforeLines="0" w:after="150" w:afterLines="0"/>
      <w:jc w:val="left"/>
    </w:pPr>
    <w:rPr>
      <w:rFonts w:ascii="宋体" w:hAnsi="宋体" w:eastAsia="宋体" w:cs="宋体"/>
      <w:kern w:val="0"/>
      <w:sz w:val="24"/>
    </w:rPr>
  </w:style>
  <w:style w:type="paragraph" w:customStyle="1" w:styleId="313">
    <w:name w:val="xl85"/>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4">
    <w:name w:val="H4_小点"/>
    <w:basedOn w:val="6"/>
    <w:qFormat/>
    <w:uiPriority w:val="0"/>
    <w:pPr>
      <w:numPr>
        <w:ilvl w:val="3"/>
        <w:numId w:val="0"/>
      </w:numPr>
      <w:spacing w:before="0" w:after="0" w:line="360" w:lineRule="auto"/>
      <w:jc w:val="left"/>
    </w:pPr>
    <w:rPr>
      <w:rFonts w:ascii="Times New Roman" w:hAnsi="Times New Roman" w:eastAsia="宋体" w:cs="Times New Roman"/>
      <w:color w:val="auto"/>
      <w:kern w:val="2"/>
      <w:lang w:val="en-US" w:eastAsia="zh-CN"/>
    </w:rPr>
  </w:style>
  <w:style w:type="paragraph" w:customStyle="1" w:styleId="315">
    <w:name w:val="Item Step"/>
    <w:basedOn w:val="1"/>
    <w:qFormat/>
    <w:uiPriority w:val="0"/>
    <w:pPr>
      <w:widowControl/>
      <w:tabs>
        <w:tab w:val="left" w:pos="482"/>
      </w:tabs>
      <w:snapToGrid w:val="0"/>
      <w:spacing w:before="80" w:after="80" w:line="300" w:lineRule="auto"/>
      <w:ind w:left="737" w:hanging="397"/>
      <w:jc w:val="left"/>
    </w:pPr>
    <w:rPr>
      <w:rFonts w:ascii="Arial" w:hAnsi="Arial" w:cs="宋体"/>
      <w:kern w:val="0"/>
      <w:sz w:val="24"/>
      <w:szCs w:val="21"/>
    </w:rPr>
  </w:style>
  <w:style w:type="paragraph" w:customStyle="1" w:styleId="316">
    <w:name w:val="Table - Text"/>
    <w:basedOn w:val="1"/>
    <w:uiPriority w:val="0"/>
    <w:pPr>
      <w:widowControl/>
      <w:spacing w:before="60" w:after="156" w:afterLines="50"/>
      <w:jc w:val="left"/>
    </w:pPr>
    <w:rPr>
      <w:rFonts w:ascii="Calibri" w:hAnsi="Calibri" w:eastAsia="宋体" w:cs="Times New Roman"/>
      <w:kern w:val="0"/>
      <w:szCs w:val="20"/>
      <w:lang w:eastAsia="en-US"/>
    </w:rPr>
  </w:style>
  <w:style w:type="paragraph" w:customStyle="1" w:styleId="317">
    <w:name w:val="二级项目符号"/>
    <w:basedOn w:val="1"/>
    <w:uiPriority w:val="0"/>
    <w:pPr>
      <w:widowControl/>
      <w:numPr>
        <w:ilvl w:val="4"/>
        <w:numId w:val="6"/>
      </w:numPr>
      <w:tabs>
        <w:tab w:val="left" w:pos="360"/>
        <w:tab w:val="clear" w:pos="2040"/>
      </w:tabs>
      <w:spacing w:line="360" w:lineRule="auto"/>
      <w:ind w:left="0" w:firstLine="0"/>
    </w:pPr>
    <w:rPr>
      <w:rFonts w:ascii="Calibri" w:hAnsi="Calibri" w:eastAsia="宋体" w:cs="Times New Roman"/>
      <w:kern w:val="0"/>
      <w:sz w:val="24"/>
      <w:szCs w:val="20"/>
    </w:rPr>
  </w:style>
  <w:style w:type="paragraph" w:customStyle="1" w:styleId="318">
    <w:name w:val="xl14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color w:val="000000"/>
      <w:kern w:val="0"/>
      <w:sz w:val="18"/>
      <w:szCs w:val="18"/>
    </w:rPr>
  </w:style>
  <w:style w:type="paragraph" w:customStyle="1" w:styleId="319">
    <w:name w:val="xl68"/>
    <w:basedOn w:val="1"/>
    <w:uiPriority w:val="0"/>
    <w:pPr>
      <w:widowControl/>
      <w:spacing w:before="100" w:beforeAutospacing="1" w:after="100" w:afterAutospacing="1"/>
      <w:jc w:val="center"/>
    </w:pPr>
    <w:rPr>
      <w:rFonts w:ascii="宋体" w:hAnsi="宋体" w:cs="宋体"/>
      <w:kern w:val="0"/>
      <w:sz w:val="24"/>
    </w:rPr>
  </w:style>
  <w:style w:type="paragraph" w:customStyle="1" w:styleId="320">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1">
    <w:name w:val="Paragraph1"/>
    <w:basedOn w:val="1"/>
    <w:uiPriority w:val="0"/>
    <w:pPr>
      <w:spacing w:before="80" w:after="156" w:afterLines="50"/>
    </w:pPr>
    <w:rPr>
      <w:rFonts w:ascii="宋体" w:hAnsi="Calibri" w:eastAsia="宋体" w:cs="Times New Roman"/>
      <w:snapToGrid w:val="0"/>
      <w:kern w:val="0"/>
      <w:szCs w:val="20"/>
    </w:rPr>
  </w:style>
  <w:style w:type="paragraph" w:customStyle="1" w:styleId="322">
    <w:name w:val="Plain Text1"/>
    <w:basedOn w:val="1"/>
    <w:uiPriority w:val="0"/>
    <w:pPr>
      <w:autoSpaceDE w:val="0"/>
      <w:autoSpaceDN w:val="0"/>
      <w:adjustRightInd w:val="0"/>
      <w:spacing w:line="360" w:lineRule="auto"/>
    </w:pPr>
    <w:rPr>
      <w:rFonts w:hint="eastAsia" w:ascii="宋体" w:hAnsi="宋体" w:eastAsia="宋体" w:cs="Times New Roman"/>
      <w:sz w:val="24"/>
      <w:szCs w:val="20"/>
    </w:rPr>
  </w:style>
  <w:style w:type="paragraph" w:customStyle="1" w:styleId="323">
    <w:name w:val="正文 New New New New"/>
    <w:qFormat/>
    <w:uiPriority w:val="0"/>
    <w:pPr>
      <w:widowControl w:val="0"/>
      <w:jc w:val="both"/>
    </w:pPr>
    <w:rPr>
      <w:kern w:val="2"/>
      <w:sz w:val="21"/>
      <w:szCs w:val="24"/>
      <w:lang w:val="en-US" w:eastAsia="zh-CN" w:bidi="ar-SA"/>
    </w:rPr>
  </w:style>
  <w:style w:type="paragraph" w:customStyle="1" w:styleId="324">
    <w:name w:val="样式 样式 标题 1 + 段前: 0.5 行 + 段前: 0.5 行"/>
    <w:basedOn w:val="1"/>
    <w:uiPriority w:val="0"/>
    <w:pPr>
      <w:keepNext/>
      <w:keepLines/>
      <w:tabs>
        <w:tab w:val="left" w:pos="567"/>
      </w:tabs>
      <w:spacing w:beforeLines="50"/>
      <w:outlineLvl w:val="0"/>
    </w:pPr>
    <w:rPr>
      <w:rFonts w:ascii="Calibri" w:hAnsi="Calibri" w:eastAsia="宋体" w:cs="宋体"/>
      <w:b/>
      <w:bCs/>
      <w:kern w:val="44"/>
      <w:sz w:val="28"/>
      <w:szCs w:val="20"/>
    </w:rPr>
  </w:style>
  <w:style w:type="paragraph" w:customStyle="1" w:styleId="325">
    <w:name w:val="S4-L15"/>
    <w:basedOn w:val="1"/>
    <w:uiPriority w:val="0"/>
    <w:pPr>
      <w:spacing w:after="120" w:line="360" w:lineRule="auto"/>
      <w:ind w:left="720" w:firstLine="392"/>
    </w:pPr>
    <w:rPr>
      <w:rFonts w:ascii="Calibri" w:hAnsi="Calibri" w:eastAsia="宋体" w:cs="Times New Roman"/>
      <w:szCs w:val="21"/>
      <w:lang w:val="fr-FR"/>
    </w:rPr>
  </w:style>
  <w:style w:type="paragraph" w:customStyle="1" w:styleId="326">
    <w:name w:val="标题 3Chapter X.X.X. + 段后: 0.5 行 + 段后: 0.5 行 + 段后: 0.5 行1"/>
    <w:basedOn w:val="327"/>
    <w:uiPriority w:val="0"/>
    <w:rPr>
      <w:rFonts w:ascii="Calibri" w:hAnsi="Calibri" w:eastAsia="宋体" w:cs="Times New Roman"/>
    </w:rPr>
  </w:style>
  <w:style w:type="paragraph" w:customStyle="1" w:styleId="327">
    <w:name w:val="样式 样式 标题 3Chapter X.X.X. + 段后: 0.5 行 + 段后: 0.5 行"/>
    <w:basedOn w:val="328"/>
    <w:uiPriority w:val="0"/>
    <w:rPr>
      <w:rFonts w:ascii="Calibri" w:hAnsi="Calibri" w:eastAsia="宋体" w:cs="Times New Roman"/>
    </w:rPr>
  </w:style>
  <w:style w:type="paragraph" w:customStyle="1" w:styleId="328">
    <w:name w:val="样式 标题 3Chapter X.X.X. + 段后: 0.5 行"/>
    <w:basedOn w:val="5"/>
    <w:uiPriority w:val="0"/>
    <w:pPr>
      <w:keepLines w:val="0"/>
      <w:spacing w:before="120" w:after="156" w:afterLines="50" w:line="240" w:lineRule="auto"/>
      <w:jc w:val="left"/>
    </w:pPr>
    <w:rPr>
      <w:rFonts w:ascii="宋体" w:hAnsi="Calibri" w:eastAsia="宋体" w:cs="宋体"/>
      <w:snapToGrid w:val="0"/>
      <w:kern w:val="0"/>
      <w:sz w:val="24"/>
      <w:szCs w:val="20"/>
      <w:lang w:val="en-US" w:eastAsia="zh-CN"/>
    </w:rPr>
  </w:style>
  <w:style w:type="paragraph" w:customStyle="1" w:styleId="329">
    <w:name w:val=" Char1"/>
    <w:basedOn w:val="1"/>
    <w:uiPriority w:val="0"/>
    <w:rPr>
      <w:rFonts w:ascii="仿宋_GB2312" w:hAnsi="Calibri" w:eastAsia="仿宋_GB2312" w:cs="Times New Roman"/>
      <w:b/>
      <w:sz w:val="32"/>
      <w:szCs w:val="32"/>
    </w:rPr>
  </w:style>
  <w:style w:type="paragraph" w:customStyle="1" w:styleId="330">
    <w:name w:val="TOC 标题1"/>
    <w:basedOn w:val="3"/>
    <w:next w:val="1"/>
    <w:unhideWhenUsed/>
    <w:qFormat/>
    <w:uiPriority w:val="99"/>
    <w:pPr>
      <w:widowControl/>
      <w:spacing w:before="480" w:after="0" w:line="276" w:lineRule="auto"/>
      <w:jc w:val="left"/>
      <w:outlineLvl w:val="9"/>
    </w:pPr>
    <w:rPr>
      <w:rFonts w:ascii="Cambria" w:hAnsi="Cambria"/>
      <w:color w:val="365F91"/>
      <w:kern w:val="0"/>
      <w:sz w:val="28"/>
      <w:szCs w:val="28"/>
      <w:lang w:val="en-US" w:eastAsia="zh-CN"/>
    </w:rPr>
  </w:style>
  <w:style w:type="paragraph" w:customStyle="1" w:styleId="331">
    <w:name w:val="列出段落1"/>
    <w:basedOn w:val="1"/>
    <w:qFormat/>
    <w:uiPriority w:val="0"/>
    <w:pPr>
      <w:spacing w:line="415" w:lineRule="auto"/>
      <w:ind w:left="420" w:firstLine="420" w:firstLineChars="200"/>
      <w:jc w:val="left"/>
    </w:pPr>
    <w:rPr>
      <w:rFonts w:ascii="Calibri" w:hAnsi="Calibri" w:eastAsia="宋体" w:cs="Times New Roman"/>
      <w:sz w:val="28"/>
      <w:szCs w:val="22"/>
    </w:rPr>
  </w:style>
  <w:style w:type="paragraph" w:styleId="332">
    <w:name w:val=""/>
    <w:basedOn w:val="3"/>
    <w:next w:val="1"/>
    <w:qFormat/>
    <w:uiPriority w:val="39"/>
    <w:pPr>
      <w:widowControl/>
      <w:spacing w:before="240" w:after="0" w:line="259" w:lineRule="auto"/>
      <w:jc w:val="left"/>
      <w:outlineLvl w:val="9"/>
    </w:pPr>
    <w:rPr>
      <w:rFonts w:ascii="Cambria" w:hAnsi="Cambria" w:eastAsia="宋体" w:cs="Times New Roman"/>
      <w:b w:val="0"/>
      <w:bCs w:val="0"/>
      <w:color w:val="365F91"/>
      <w:kern w:val="0"/>
      <w:sz w:val="32"/>
      <w:szCs w:val="32"/>
      <w:lang w:val="en-US" w:eastAsia="zh-CN"/>
    </w:rPr>
  </w:style>
  <w:style w:type="paragraph" w:customStyle="1" w:styleId="333">
    <w:name w:val="xl76"/>
    <w:basedOn w:val="1"/>
    <w:uiPriority w:val="0"/>
    <w:pPr>
      <w:widowControl/>
      <w:spacing w:before="100" w:beforeAutospacing="1" w:after="100" w:afterAutospacing="1"/>
      <w:jc w:val="left"/>
    </w:pPr>
    <w:rPr>
      <w:rFonts w:ascii="宋体" w:hAnsi="宋体" w:cs="宋体"/>
      <w:kern w:val="0"/>
      <w:sz w:val="24"/>
    </w:rPr>
  </w:style>
  <w:style w:type="paragraph" w:customStyle="1" w:styleId="334">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35">
    <w:name w:val="Char Char Char Char Char Char Char Char Char Char Char Char Char"/>
    <w:basedOn w:val="1"/>
    <w:qFormat/>
    <w:uiPriority w:val="0"/>
    <w:rPr>
      <w:rFonts w:ascii="Calibri" w:hAnsi="Calibri" w:eastAsia="宋体" w:cs="Times New Roman"/>
    </w:rPr>
  </w:style>
  <w:style w:type="paragraph" w:customStyle="1" w:styleId="336">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7">
    <w:name w:val="style48"/>
    <w:basedOn w:val="1"/>
    <w:qFormat/>
    <w:uiPriority w:val="0"/>
    <w:pPr>
      <w:widowControl/>
      <w:jc w:val="left"/>
    </w:pPr>
    <w:rPr>
      <w:rFonts w:ascii="宋体" w:hAnsi="宋体" w:cs="宋体"/>
      <w:kern w:val="0"/>
      <w:sz w:val="24"/>
    </w:rPr>
  </w:style>
  <w:style w:type="paragraph" w:customStyle="1" w:styleId="338">
    <w:name w:val="p0"/>
    <w:basedOn w:val="1"/>
    <w:qFormat/>
    <w:uiPriority w:val="0"/>
    <w:pPr>
      <w:widowControl/>
    </w:pPr>
    <w:rPr>
      <w:rFonts w:ascii="Calibri" w:hAnsi="Calibri" w:eastAsia="宋体" w:cs="宋体"/>
      <w:kern w:val="0"/>
      <w:szCs w:val="21"/>
    </w:rPr>
  </w:style>
  <w:style w:type="paragraph" w:customStyle="1" w:styleId="339">
    <w:name w:val="样式 标题 3Chapter X.X.X. + 段后: 0.5 行1"/>
    <w:basedOn w:val="5"/>
    <w:next w:val="1"/>
    <w:uiPriority w:val="0"/>
    <w:pPr>
      <w:keepLines w:val="0"/>
      <w:spacing w:before="120" w:after="156" w:afterLines="50" w:line="240" w:lineRule="auto"/>
      <w:jc w:val="left"/>
    </w:pPr>
    <w:rPr>
      <w:rFonts w:ascii="宋体" w:hAnsi="Calibri" w:eastAsia="宋体" w:cs="宋体"/>
      <w:snapToGrid w:val="0"/>
      <w:kern w:val="0"/>
      <w:sz w:val="24"/>
      <w:szCs w:val="20"/>
      <w:lang w:val="en-US" w:eastAsia="zh-CN"/>
    </w:rPr>
  </w:style>
  <w:style w:type="paragraph" w:customStyle="1" w:styleId="340">
    <w:name w:val="_Style 5"/>
    <w:basedOn w:val="1"/>
    <w:uiPriority w:val="0"/>
    <w:pPr>
      <w:spacing w:line="360" w:lineRule="auto"/>
      <w:ind w:firstLine="420" w:firstLineChars="200"/>
    </w:pPr>
    <w:rPr>
      <w:rFonts w:ascii="Calibri" w:hAnsi="Calibri" w:eastAsia="宋体" w:cs="Times New Roman"/>
    </w:rPr>
  </w:style>
  <w:style w:type="paragraph" w:customStyle="1" w:styleId="341">
    <w:name w:val="_Style 49"/>
    <w:basedOn w:val="1"/>
    <w:qFormat/>
    <w:uiPriority w:val="0"/>
    <w:pPr>
      <w:tabs>
        <w:tab w:val="left" w:pos="360"/>
      </w:tabs>
      <w:spacing w:line="360" w:lineRule="auto"/>
      <w:ind w:left="482" w:firstLine="200" w:firstLineChars="200"/>
    </w:pPr>
    <w:rPr>
      <w:rFonts w:ascii="仿宋_GB2312" w:hAnsi="宋体" w:eastAsia="仿宋_GB2312"/>
      <w:color w:val="000000"/>
      <w:sz w:val="24"/>
      <w:szCs w:val="32"/>
    </w:rPr>
  </w:style>
  <w:style w:type="paragraph" w:customStyle="1" w:styleId="342">
    <w:name w:val="无间距2"/>
    <w:qFormat/>
    <w:uiPriority w:val="99"/>
    <w:pPr>
      <w:widowControl w:val="0"/>
      <w:jc w:val="both"/>
    </w:pPr>
    <w:rPr>
      <w:rFonts w:cs="Calibri"/>
      <w:kern w:val="2"/>
      <w:sz w:val="21"/>
      <w:szCs w:val="21"/>
      <w:lang w:val="en-US" w:eastAsia="zh-CN" w:bidi="ar-SA"/>
    </w:rPr>
  </w:style>
  <w:style w:type="paragraph" w:customStyle="1" w:styleId="343">
    <w:name w:val="Bullet"/>
    <w:basedOn w:val="1"/>
    <w:uiPriority w:val="0"/>
    <w:pPr>
      <w:widowControl/>
      <w:numPr>
        <w:ilvl w:val="0"/>
        <w:numId w:val="7"/>
      </w:numPr>
      <w:tabs>
        <w:tab w:val="left" w:pos="720"/>
        <w:tab w:val="clear" w:pos="360"/>
      </w:tabs>
      <w:spacing w:before="120" w:after="156" w:afterLines="50"/>
      <w:ind w:left="720" w:right="360" w:firstLine="0"/>
    </w:pPr>
    <w:rPr>
      <w:rFonts w:ascii="宋体" w:hAnsi="Calibri" w:eastAsia="宋体" w:cs="Times New Roman"/>
      <w:snapToGrid w:val="0"/>
      <w:kern w:val="0"/>
      <w:szCs w:val="20"/>
    </w:rPr>
  </w:style>
  <w:style w:type="paragraph" w:customStyle="1" w:styleId="344">
    <w:name w:val="表头"/>
    <w:qFormat/>
    <w:uiPriority w:val="0"/>
    <w:pPr>
      <w:jc w:val="center"/>
    </w:pPr>
    <w:rPr>
      <w:rFonts w:ascii="宋体"/>
      <w:b/>
      <w:kern w:val="2"/>
      <w:sz w:val="21"/>
      <w:szCs w:val="22"/>
      <w:lang w:val="en-US" w:eastAsia="zh-CN" w:bidi="ar-SA"/>
    </w:rPr>
  </w:style>
  <w:style w:type="paragraph" w:customStyle="1" w:styleId="345">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color w:val="000000"/>
      <w:kern w:val="0"/>
      <w:sz w:val="18"/>
      <w:szCs w:val="18"/>
    </w:rPr>
  </w:style>
  <w:style w:type="paragraph" w:customStyle="1" w:styleId="346">
    <w:name w:val="正文 New"/>
    <w:uiPriority w:val="0"/>
    <w:pPr>
      <w:widowControl w:val="0"/>
      <w:jc w:val="both"/>
    </w:pPr>
    <w:rPr>
      <w:szCs w:val="24"/>
      <w:lang w:val="en-US" w:eastAsia="zh-CN" w:bidi="ar-SA"/>
    </w:rPr>
  </w:style>
  <w:style w:type="paragraph" w:customStyle="1" w:styleId="347">
    <w:name w:val="Default"/>
    <w:qFormat/>
    <w:uiPriority w:val="0"/>
    <w:pPr>
      <w:widowControl w:val="0"/>
      <w:autoSpaceDE w:val="0"/>
      <w:autoSpaceDN w:val="0"/>
      <w:adjustRightInd w:val="0"/>
    </w:pPr>
    <w:rPr>
      <w:rFonts w:ascii="楷体" w:eastAsia="楷体" w:cs="楷体"/>
      <w:color w:val="000000"/>
      <w:sz w:val="24"/>
      <w:szCs w:val="24"/>
      <w:lang w:val="en-US" w:eastAsia="zh-CN" w:bidi="ar-SA"/>
    </w:rPr>
  </w:style>
  <w:style w:type="paragraph" w:customStyle="1" w:styleId="348">
    <w:name w:val="列出段落3"/>
    <w:qFormat/>
    <w:uiPriority w:val="99"/>
    <w:pPr>
      <w:ind w:firstLine="420" w:firstLineChars="200"/>
    </w:pPr>
    <w:rPr>
      <w:lang w:val="en-US" w:eastAsia="zh-CN" w:bidi="ar-SA"/>
    </w:rPr>
  </w:style>
  <w:style w:type="paragraph" w:customStyle="1" w:styleId="349">
    <w:name w:val="样式 标题 2 + 五号"/>
    <w:basedOn w:val="4"/>
    <w:uiPriority w:val="0"/>
    <w:pPr>
      <w:spacing w:before="0" w:after="0" w:line="240" w:lineRule="auto"/>
    </w:pPr>
    <w:rPr>
      <w:rFonts w:ascii="宋体" w:hAnsi="宋体" w:eastAsia="宋体" w:cs="Times New Roman"/>
      <w:sz w:val="21"/>
      <w:lang w:val="en-US" w:eastAsia="zh-CN"/>
    </w:rPr>
  </w:style>
  <w:style w:type="paragraph" w:customStyle="1" w:styleId="350">
    <w:name w:val="Table - Col. Head"/>
    <w:basedOn w:val="1"/>
    <w:uiPriority w:val="0"/>
    <w:pPr>
      <w:keepNext/>
      <w:widowControl/>
      <w:tabs>
        <w:tab w:val="left" w:pos="1140"/>
      </w:tabs>
      <w:spacing w:before="60" w:after="156" w:afterLines="50"/>
      <w:jc w:val="left"/>
    </w:pPr>
    <w:rPr>
      <w:rFonts w:ascii="Arial" w:hAnsi="Arial" w:eastAsia="宋体" w:cs="Times New Roman"/>
      <w:b/>
      <w:kern w:val="0"/>
      <w:sz w:val="18"/>
      <w:szCs w:val="20"/>
      <w:lang w:eastAsia="en-US"/>
    </w:rPr>
  </w:style>
  <w:style w:type="paragraph" w:customStyle="1" w:styleId="351">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细黑" w:hAnsi="华文细黑" w:eastAsia="华文细黑" w:cs="宋体"/>
      <w:kern w:val="0"/>
      <w:sz w:val="24"/>
    </w:rPr>
  </w:style>
  <w:style w:type="paragraph" w:customStyle="1" w:styleId="352">
    <w:name w:val="xl88"/>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53">
    <w:name w:val="S4-L15-C"/>
    <w:basedOn w:val="1"/>
    <w:uiPriority w:val="0"/>
    <w:pPr>
      <w:spacing w:after="120" w:line="360" w:lineRule="auto"/>
      <w:jc w:val="center"/>
    </w:pPr>
    <w:rPr>
      <w:rFonts w:ascii="Calibri" w:hAnsi="Calibri" w:eastAsia="宋体" w:cs="Times New Roman"/>
      <w:szCs w:val="21"/>
    </w:rPr>
  </w:style>
  <w:style w:type="paragraph" w:customStyle="1" w:styleId="354">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55">
    <w:name w:val="Bullet1"/>
    <w:basedOn w:val="1"/>
    <w:uiPriority w:val="0"/>
    <w:pPr>
      <w:tabs>
        <w:tab w:val="left" w:pos="810"/>
      </w:tabs>
      <w:spacing w:after="156" w:afterLines="50"/>
      <w:ind w:left="720" w:hanging="432"/>
      <w:jc w:val="left"/>
    </w:pPr>
    <w:rPr>
      <w:rFonts w:ascii="宋体" w:hAnsi="Calibri" w:eastAsia="宋体" w:cs="Times New Roman"/>
      <w:snapToGrid w:val="0"/>
      <w:kern w:val="0"/>
      <w:szCs w:val="20"/>
    </w:rPr>
  </w:style>
  <w:style w:type="paragraph" w:customStyle="1" w:styleId="356">
    <w:name w:val="xl14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color w:val="000000"/>
      <w:kern w:val="0"/>
      <w:sz w:val="18"/>
      <w:szCs w:val="18"/>
    </w:rPr>
  </w:style>
  <w:style w:type="paragraph" w:customStyle="1" w:styleId="357">
    <w:name w:val="_Style 7"/>
    <w:basedOn w:val="1"/>
    <w:uiPriority w:val="0"/>
    <w:pPr>
      <w:ind w:firstLine="420" w:firstLineChars="200"/>
    </w:pPr>
    <w:rPr>
      <w:rFonts w:ascii="Calibri" w:hAnsi="Calibri" w:eastAsia="宋体" w:cs="Times New Roman"/>
      <w:b/>
      <w:bCs/>
      <w:kern w:val="0"/>
      <w:sz w:val="20"/>
      <w:szCs w:val="20"/>
    </w:rPr>
  </w:style>
  <w:style w:type="paragraph" w:customStyle="1" w:styleId="358">
    <w:name w:val="正文5"/>
    <w:qFormat/>
    <w:uiPriority w:val="0"/>
    <w:pPr>
      <w:widowControl w:val="0"/>
      <w:jc w:val="both"/>
    </w:pPr>
    <w:rPr>
      <w:kern w:val="2"/>
      <w:sz w:val="21"/>
      <w:lang w:val="en-US" w:eastAsia="zh-CN" w:bidi="ar-SA"/>
    </w:rPr>
  </w:style>
  <w:style w:type="paragraph" w:customStyle="1" w:styleId="359">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60">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61">
    <w:name w:val="xl65"/>
    <w:basedOn w:val="1"/>
    <w:uiPriority w:val="0"/>
    <w:pPr>
      <w:widowControl/>
      <w:spacing w:before="100" w:beforeAutospacing="1" w:after="100" w:afterAutospacing="1"/>
      <w:jc w:val="center"/>
    </w:pPr>
    <w:rPr>
      <w:rFonts w:ascii="宋体" w:hAnsi="宋体" w:cs="宋体"/>
      <w:kern w:val="0"/>
      <w:sz w:val="24"/>
    </w:rPr>
  </w:style>
  <w:style w:type="paragraph" w:customStyle="1" w:styleId="362">
    <w:name w:val="表身（左）"/>
    <w:uiPriority w:val="0"/>
    <w:pPr>
      <w:adjustRightInd w:val="0"/>
      <w:snapToGrid w:val="0"/>
      <w:spacing w:line="300" w:lineRule="auto"/>
      <w:textAlignment w:val="center"/>
    </w:pPr>
    <w:rPr>
      <w:sz w:val="16"/>
      <w:lang w:val="en-US" w:eastAsia="zh-CN" w:bidi="ar-SA"/>
    </w:rPr>
  </w:style>
  <w:style w:type="paragraph" w:customStyle="1" w:styleId="363">
    <w:name w:val="xl73"/>
    <w:basedOn w:val="1"/>
    <w:uiPriority w:val="0"/>
    <w:pPr>
      <w:widowControl/>
      <w:pBdr>
        <w:top w:val="single" w:color="auto" w:sz="8" w:space="0"/>
        <w:left w:val="single" w:color="auto" w:sz="4" w:space="0"/>
        <w:right w:val="single" w:color="auto" w:sz="4" w:space="0"/>
      </w:pBdr>
      <w:spacing w:before="100" w:beforeAutospacing="1" w:after="100" w:afterAutospacing="1"/>
      <w:jc w:val="center"/>
    </w:pPr>
    <w:rPr>
      <w:rFonts w:ascii="华文细黑" w:hAnsi="华文细黑" w:eastAsia="华文细黑" w:cs="宋体"/>
      <w:kern w:val="0"/>
      <w:sz w:val="24"/>
    </w:rPr>
  </w:style>
  <w:style w:type="paragraph" w:customStyle="1" w:styleId="364">
    <w:name w:val="样式 标题 1 + 五号"/>
    <w:basedOn w:val="3"/>
    <w:uiPriority w:val="0"/>
    <w:pPr>
      <w:spacing w:before="0" w:after="0" w:line="240" w:lineRule="auto"/>
      <w:jc w:val="center"/>
    </w:pPr>
    <w:rPr>
      <w:rFonts w:ascii="Calibri" w:hAnsi="Calibri" w:eastAsia="宋体" w:cs="Times New Roman"/>
      <w:sz w:val="32"/>
      <w:szCs w:val="32"/>
      <w:lang w:val="en-US" w:eastAsia="zh-CN"/>
    </w:rPr>
  </w:style>
  <w:style w:type="paragraph" w:customStyle="1" w:styleId="365">
    <w:name w:val="此正文"/>
    <w:basedOn w:val="1"/>
    <w:uiPriority w:val="0"/>
    <w:pPr>
      <w:spacing w:line="360" w:lineRule="auto"/>
      <w:ind w:firstLine="200" w:firstLineChars="200"/>
    </w:pPr>
    <w:rPr>
      <w:rFonts w:ascii="Calibri" w:hAnsi="Calibri" w:eastAsia="宋体" w:cs="Times New Roman"/>
      <w:sz w:val="24"/>
      <w:szCs w:val="20"/>
    </w:rPr>
  </w:style>
  <w:style w:type="paragraph" w:customStyle="1" w:styleId="366">
    <w:name w:val="paragraph1"/>
    <w:basedOn w:val="1"/>
    <w:uiPriority w:val="0"/>
    <w:pPr>
      <w:spacing w:after="93" w:afterLines="30" w:line="360" w:lineRule="auto"/>
      <w:ind w:firstLine="420" w:firstLineChars="200"/>
    </w:pPr>
    <w:rPr>
      <w:rFonts w:ascii="Calibri" w:hAnsi="Calibri" w:eastAsia="楷体_GB2312" w:cs="Times New Roman"/>
      <w:sz w:val="24"/>
      <w:szCs w:val="20"/>
    </w:rPr>
  </w:style>
  <w:style w:type="paragraph" w:customStyle="1" w:styleId="367">
    <w:name w:val="圆点"/>
    <w:basedOn w:val="1"/>
    <w:uiPriority w:val="0"/>
    <w:pPr>
      <w:spacing w:before="156" w:beforeLines="50" w:after="156" w:afterLines="50" w:line="360" w:lineRule="auto"/>
      <w:ind w:firstLine="480" w:firstLineChars="200"/>
    </w:pPr>
    <w:rPr>
      <w:rFonts w:ascii="仿宋_GB2312" w:hAnsi="Calibri" w:eastAsia="仿宋_GB2312" w:cs="Times New Roman"/>
      <w:sz w:val="24"/>
    </w:rPr>
  </w:style>
  <w:style w:type="paragraph" w:customStyle="1" w:styleId="368">
    <w:name w:val="P3"/>
    <w:basedOn w:val="1"/>
    <w:uiPriority w:val="0"/>
    <w:pPr>
      <w:widowControl/>
      <w:spacing w:before="240" w:line="240" w:lineRule="atLeast"/>
      <w:ind w:left="1152"/>
      <w:jc w:val="left"/>
    </w:pPr>
    <w:rPr>
      <w:rFonts w:ascii="Calibri" w:hAnsi="Calibri" w:eastAsia="宋体" w:cs="Times New Roman"/>
      <w:b/>
      <w:kern w:val="0"/>
      <w:szCs w:val="21"/>
      <w:lang w:val="en-AU" w:eastAsia="en-US"/>
    </w:rPr>
  </w:style>
  <w:style w:type="paragraph" w:customStyle="1" w:styleId="369">
    <w:name w:val="正文格式"/>
    <w:basedOn w:val="1"/>
    <w:uiPriority w:val="0"/>
    <w:pPr>
      <w:widowControl/>
      <w:adjustRightInd w:val="0"/>
      <w:snapToGrid w:val="0"/>
      <w:spacing w:line="360" w:lineRule="auto"/>
      <w:ind w:firstLine="482"/>
      <w:textAlignment w:val="baseline"/>
    </w:pPr>
    <w:rPr>
      <w:rFonts w:ascii="Calibri" w:hAnsi="Calibri" w:eastAsia="宋体" w:cs="Times New Roman"/>
      <w:kern w:val="0"/>
      <w:sz w:val="24"/>
      <w:szCs w:val="20"/>
    </w:rPr>
  </w:style>
  <w:style w:type="paragraph" w:customStyle="1" w:styleId="370">
    <w:name w:val="H3_点"/>
    <w:basedOn w:val="5"/>
    <w:qFormat/>
    <w:uiPriority w:val="0"/>
    <w:pPr>
      <w:numPr>
        <w:ilvl w:val="2"/>
        <w:numId w:val="0"/>
      </w:numPr>
      <w:spacing w:before="0" w:after="0" w:line="360" w:lineRule="auto"/>
      <w:jc w:val="left"/>
    </w:pPr>
    <w:rPr>
      <w:rFonts w:ascii="Times New Roman" w:hAnsi="Times New Roman" w:eastAsia="宋体" w:cs="Times New Roman"/>
      <w:sz w:val="28"/>
      <w:lang w:val="en-US" w:eastAsia="zh-CN"/>
    </w:rPr>
  </w:style>
  <w:style w:type="paragraph" w:customStyle="1" w:styleId="371">
    <w:name w:val="样式 正文缩进表正文正文非缩进特点四号水上软件段1ALT+Z标题4正文双线正文（图说明文字居中）正文文字首...1"/>
    <w:basedOn w:val="16"/>
    <w:qFormat/>
    <w:uiPriority w:val="0"/>
    <w:pPr>
      <w:widowControl/>
      <w:spacing w:line="360" w:lineRule="auto"/>
      <w:ind w:left="567" w:firstLine="0"/>
      <w:jc w:val="left"/>
      <w:textAlignment w:val="auto"/>
    </w:pPr>
    <w:rPr>
      <w:rFonts w:ascii="楷体_GB2312" w:hAnsi="楷体_GB2312" w:eastAsia="楷体_GB2312" w:cs="宋体"/>
      <w:kern w:val="2"/>
      <w:sz w:val="24"/>
    </w:rPr>
  </w:style>
  <w:style w:type="paragraph" w:customStyle="1" w:styleId="372">
    <w:name w:val="xl74"/>
    <w:basedOn w:val="1"/>
    <w:uiPriority w:val="0"/>
    <w:pPr>
      <w:widowControl/>
      <w:pBdr>
        <w:left w:val="single" w:color="auto" w:sz="4" w:space="0"/>
        <w:right w:val="single" w:color="auto" w:sz="4" w:space="0"/>
      </w:pBdr>
      <w:spacing w:before="100" w:beforeAutospacing="1" w:after="100" w:afterAutospacing="1"/>
      <w:jc w:val="center"/>
    </w:pPr>
    <w:rPr>
      <w:rFonts w:ascii="华文细黑" w:hAnsi="华文细黑" w:eastAsia="华文细黑" w:cs="宋体"/>
      <w:kern w:val="0"/>
      <w:sz w:val="24"/>
    </w:rPr>
  </w:style>
  <w:style w:type="paragraph" w:customStyle="1" w:styleId="373">
    <w:name w:val=" Char1 Char Char Char Char Char Char"/>
    <w:basedOn w:val="1"/>
    <w:uiPriority w:val="0"/>
    <w:rPr>
      <w:rFonts w:ascii="Tahoma" w:hAnsi="Tahoma" w:eastAsia="宋体" w:cs="Times New Roman"/>
      <w:sz w:val="24"/>
      <w:szCs w:val="20"/>
    </w:rPr>
  </w:style>
  <w:style w:type="paragraph" w:customStyle="1" w:styleId="374">
    <w:name w:val="Char Char Char Char Char Char"/>
    <w:basedOn w:val="1"/>
    <w:qFormat/>
    <w:uiPriority w:val="0"/>
    <w:rPr>
      <w:rFonts w:ascii="Tahoma" w:hAnsi="Tahoma" w:eastAsia="宋体" w:cs="Times New Roman"/>
      <w:sz w:val="24"/>
      <w:szCs w:val="20"/>
    </w:rPr>
  </w:style>
  <w:style w:type="paragraph" w:customStyle="1" w:styleId="375">
    <w:name w:val="Bullet2"/>
    <w:basedOn w:val="1"/>
    <w:uiPriority w:val="0"/>
    <w:pPr>
      <w:numPr>
        <w:ilvl w:val="0"/>
        <w:numId w:val="8"/>
      </w:numPr>
      <w:spacing w:after="156" w:afterLines="50"/>
      <w:ind w:left="1440"/>
      <w:jc w:val="left"/>
    </w:pPr>
    <w:rPr>
      <w:rFonts w:ascii="宋体" w:hAnsi="Calibri" w:eastAsia="宋体" w:cs="Times New Roman"/>
      <w:snapToGrid w:val="0"/>
      <w:color w:val="000080"/>
      <w:kern w:val="0"/>
      <w:szCs w:val="20"/>
    </w:rPr>
  </w:style>
  <w:style w:type="paragraph" w:customStyle="1" w:styleId="376">
    <w:name w:val="纯文本2"/>
    <w:basedOn w:val="358"/>
    <w:qFormat/>
    <w:uiPriority w:val="0"/>
    <w:pPr>
      <w:widowControl/>
      <w:jc w:val="left"/>
    </w:pPr>
    <w:rPr>
      <w:rFonts w:ascii="宋体" w:hAnsi="Courier New"/>
    </w:rPr>
  </w:style>
  <w:style w:type="paragraph" w:customStyle="1" w:styleId="377">
    <w:name w:val="正文_0"/>
    <w:qFormat/>
    <w:uiPriority w:val="99"/>
    <w:rPr>
      <w:sz w:val="21"/>
      <w:lang w:val="en-US" w:eastAsia="zh-CN" w:bidi="ar-SA"/>
    </w:rPr>
  </w:style>
  <w:style w:type="paragraph" w:customStyle="1" w:styleId="378">
    <w:name w:val="Char Char Char Char1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79">
    <w:name w:val="样式2"/>
    <w:basedOn w:val="48"/>
    <w:qFormat/>
    <w:uiPriority w:val="0"/>
    <w:rPr>
      <w:rFonts w:ascii="Calibri" w:hAnsi="Calibri" w:eastAsia="宋体" w:cs="Times New Roman"/>
      <w:b/>
      <w:sz w:val="24"/>
    </w:rPr>
  </w:style>
  <w:style w:type="paragraph" w:customStyle="1" w:styleId="380">
    <w:name w:val="样式7"/>
    <w:basedOn w:val="1"/>
    <w:uiPriority w:val="0"/>
    <w:pPr>
      <w:adjustRightInd w:val="0"/>
      <w:spacing w:before="156" w:beforeLines="50" w:after="156" w:afterLines="50" w:line="360" w:lineRule="auto"/>
      <w:ind w:firstLine="669"/>
      <w:textAlignment w:val="baseline"/>
    </w:pPr>
    <w:rPr>
      <w:rFonts w:ascii="宋体" w:hAnsi="宋体" w:eastAsia="宋体" w:cs="Times New Roman"/>
      <w:kern w:val="0"/>
      <w:sz w:val="28"/>
      <w:szCs w:val="20"/>
    </w:rPr>
  </w:style>
  <w:style w:type="paragraph" w:customStyle="1" w:styleId="381">
    <w:name w:val=" Char1 Char Char Char"/>
    <w:basedOn w:val="1"/>
    <w:uiPriority w:val="0"/>
    <w:rPr>
      <w:rFonts w:ascii="Tahoma" w:hAnsi="Tahoma" w:eastAsia="宋体" w:cs="Times New Roman"/>
      <w:sz w:val="24"/>
      <w:szCs w:val="20"/>
    </w:rPr>
  </w:style>
  <w:style w:type="paragraph" w:customStyle="1" w:styleId="382">
    <w:name w:val="默认段落字体 Para Char Char Char Char"/>
    <w:basedOn w:val="1"/>
    <w:uiPriority w:val="0"/>
    <w:rPr>
      <w:rFonts w:ascii="Calibri" w:hAnsi="Calibri" w:eastAsia="宋体" w:cs="Times New Roman"/>
    </w:rPr>
  </w:style>
  <w:style w:type="paragraph" w:customStyle="1" w:styleId="383">
    <w:name w:val="样式 标题 2Chapter X.X. Statementh22Header 2l2Level 2 Headhea...1"/>
    <w:basedOn w:val="5"/>
    <w:uiPriority w:val="0"/>
    <w:pPr>
      <w:keepLines w:val="0"/>
      <w:tabs>
        <w:tab w:val="left" w:pos="1140"/>
      </w:tabs>
      <w:spacing w:before="120" w:after="156" w:afterLines="50" w:line="240" w:lineRule="auto"/>
      <w:jc w:val="left"/>
    </w:pPr>
    <w:rPr>
      <w:rFonts w:ascii="宋体" w:hAnsi="Calibri" w:eastAsia="宋体" w:cs="宋体"/>
      <w:snapToGrid w:val="0"/>
      <w:kern w:val="0"/>
      <w:sz w:val="24"/>
      <w:szCs w:val="20"/>
      <w:lang w:val="en-US" w:eastAsia="zh-CN"/>
    </w:rPr>
  </w:style>
  <w:style w:type="paragraph" w:customStyle="1" w:styleId="384">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85">
    <w:name w:val="xl55"/>
    <w:basedOn w:val="1"/>
    <w:qFormat/>
    <w:uiPriority w:val="0"/>
    <w:pPr>
      <w:widowControl/>
      <w:spacing w:before="100" w:beforeAutospacing="1" w:after="100" w:afterAutospacing="1"/>
      <w:jc w:val="center"/>
      <w:textAlignment w:val="center"/>
    </w:pPr>
    <w:rPr>
      <w:rFonts w:ascii="Arial Unicode MS" w:hAnsi="Arial Unicode MS" w:eastAsia="宋体" w:cs="Times New Roman"/>
      <w:kern w:val="0"/>
      <w:sz w:val="24"/>
    </w:rPr>
  </w:style>
  <w:style w:type="paragraph" w:customStyle="1" w:styleId="386">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87">
    <w:name w:val="正文文本 21"/>
    <w:basedOn w:val="1"/>
    <w:qFormat/>
    <w:uiPriority w:val="0"/>
    <w:pPr>
      <w:adjustRightInd w:val="0"/>
      <w:spacing w:line="300" w:lineRule="auto"/>
      <w:jc w:val="center"/>
    </w:pPr>
    <w:rPr>
      <w:rFonts w:ascii="宋体" w:hAnsi="宋体"/>
      <w:sz w:val="24"/>
      <w:szCs w:val="22"/>
    </w:rPr>
  </w:style>
  <w:style w:type="paragraph" w:customStyle="1" w:styleId="388">
    <w:name w:val="正文1"/>
    <w:basedOn w:val="1"/>
    <w:uiPriority w:val="0"/>
    <w:pPr>
      <w:spacing w:line="360" w:lineRule="auto"/>
      <w:ind w:firstLine="158" w:firstLineChars="75"/>
    </w:pPr>
    <w:rPr>
      <w:rFonts w:ascii="宋体" w:hAnsi="宋体" w:eastAsia="宋体" w:cs="Times New Roman"/>
      <w:b/>
      <w:color w:val="000000"/>
      <w:szCs w:val="21"/>
    </w:rPr>
  </w:style>
  <w:style w:type="paragraph" w:customStyle="1" w:styleId="389">
    <w:name w:val="P2"/>
    <w:basedOn w:val="1"/>
    <w:uiPriority w:val="0"/>
    <w:pPr>
      <w:widowControl/>
      <w:spacing w:before="240" w:line="240" w:lineRule="atLeast"/>
      <w:ind w:left="578"/>
      <w:jc w:val="left"/>
    </w:pPr>
    <w:rPr>
      <w:rFonts w:ascii="Calibri" w:hAnsi="Calibri" w:eastAsia="宋体" w:cs="Times New Roman"/>
      <w:b/>
      <w:kern w:val="0"/>
      <w:szCs w:val="21"/>
      <w:lang w:val="en-AU" w:eastAsia="en-US"/>
    </w:rPr>
  </w:style>
  <w:style w:type="paragraph" w:customStyle="1" w:styleId="390">
    <w:name w:val="五号正文项目（标准）"/>
    <w:basedOn w:val="1"/>
    <w:uiPriority w:val="0"/>
    <w:pPr>
      <w:tabs>
        <w:tab w:val="left" w:pos="360"/>
        <w:tab w:val="left" w:pos="900"/>
      </w:tabs>
      <w:spacing w:line="400" w:lineRule="exact"/>
      <w:ind w:left="900" w:hanging="540"/>
      <w:jc w:val="left"/>
    </w:pPr>
    <w:rPr>
      <w:rFonts w:ascii="宋体" w:hAnsi="宋体" w:eastAsia="宋体" w:cs="Times New Roman"/>
      <w:color w:val="000000"/>
      <w:szCs w:val="20"/>
      <w:lang/>
    </w:rPr>
  </w:style>
  <w:style w:type="paragraph" w:customStyle="1" w:styleId="391">
    <w:name w:val="样式6"/>
    <w:basedOn w:val="1"/>
    <w:uiPriority w:val="0"/>
    <w:pPr>
      <w:adjustRightInd w:val="0"/>
      <w:spacing w:before="156" w:beforeLines="50" w:after="156" w:afterLines="50"/>
      <w:ind w:firstLine="669"/>
      <w:textAlignment w:val="baseline"/>
    </w:pPr>
    <w:rPr>
      <w:rFonts w:ascii="宋体" w:hAnsi="宋体" w:eastAsia="宋体" w:cs="Times New Roman"/>
      <w:kern w:val="0"/>
      <w:sz w:val="28"/>
      <w:szCs w:val="20"/>
    </w:rPr>
  </w:style>
  <w:style w:type="paragraph" w:customStyle="1" w:styleId="392">
    <w:name w:val="表内文字"/>
    <w:basedOn w:val="1"/>
    <w:qFormat/>
    <w:uiPriority w:val="0"/>
    <w:pPr>
      <w:adjustRightInd w:val="0"/>
      <w:snapToGrid w:val="0"/>
      <w:spacing w:line="500" w:lineRule="atLeast"/>
      <w:jc w:val="center"/>
    </w:pPr>
    <w:rPr>
      <w:rFonts w:ascii="Arial" w:hAnsi="Arial" w:eastAsia="楷体_GB2312" w:cs="Arial"/>
      <w:sz w:val="24"/>
    </w:rPr>
  </w:style>
  <w:style w:type="paragraph" w:customStyle="1" w:styleId="393">
    <w:name w:val="S4-L15-No"/>
    <w:basedOn w:val="325"/>
    <w:uiPriority w:val="0"/>
    <w:pPr>
      <w:tabs>
        <w:tab w:val="left" w:pos="720"/>
      </w:tabs>
      <w:ind w:hanging="720"/>
    </w:pPr>
    <w:rPr>
      <w:rFonts w:ascii="Calibri" w:hAnsi="Calibri" w:eastAsia="宋体" w:cs="Times New Roman"/>
    </w:rPr>
  </w:style>
  <w:style w:type="paragraph" w:customStyle="1" w:styleId="394">
    <w:name w:val="Proposals body"/>
    <w:basedOn w:val="1"/>
    <w:next w:val="1"/>
    <w:uiPriority w:val="0"/>
    <w:pPr>
      <w:widowControl/>
      <w:spacing w:line="360" w:lineRule="auto"/>
      <w:jc w:val="left"/>
    </w:pPr>
    <w:rPr>
      <w:rFonts w:ascii="宋体" w:hAnsi="Calibri" w:eastAsia="宋体" w:cs="Times New Roman"/>
      <w:snapToGrid w:val="0"/>
      <w:color w:val="000000"/>
      <w:kern w:val="0"/>
      <w:sz w:val="24"/>
      <w:szCs w:val="20"/>
    </w:rPr>
  </w:style>
  <w:style w:type="paragraph" w:customStyle="1" w:styleId="395">
    <w:name w:val="无间距1"/>
    <w:qFormat/>
    <w:uiPriority w:val="99"/>
    <w:pPr>
      <w:widowControl w:val="0"/>
      <w:jc w:val="both"/>
    </w:pPr>
    <w:rPr>
      <w:rFonts w:cs="Calibri"/>
      <w:kern w:val="2"/>
      <w:sz w:val="21"/>
      <w:szCs w:val="21"/>
      <w:lang w:val="en-US" w:eastAsia="zh-CN" w:bidi="ar-SA"/>
    </w:rPr>
  </w:style>
  <w:style w:type="paragraph" w:customStyle="1" w:styleId="396">
    <w:name w:val="样式 样式3 + 宋体 五号 Char Char Char"/>
    <w:basedOn w:val="1"/>
    <w:uiPriority w:val="0"/>
    <w:pPr>
      <w:keepNext/>
      <w:keepLines/>
      <w:tabs>
        <w:tab w:val="left" w:pos="1680"/>
      </w:tabs>
      <w:ind w:left="1680" w:hanging="420"/>
      <w:jc w:val="left"/>
      <w:outlineLvl w:val="7"/>
    </w:pPr>
    <w:rPr>
      <w:rFonts w:ascii="宋体" w:hAnsi="宋体" w:eastAsia="宋体" w:cs="Times New Roman"/>
      <w:b/>
      <w:bCs/>
    </w:rPr>
  </w:style>
  <w:style w:type="paragraph" w:customStyle="1" w:styleId="397">
    <w:name w:val="文本"/>
    <w:basedOn w:val="1"/>
    <w:uiPriority w:val="0"/>
    <w:pPr>
      <w:ind w:firstLine="200" w:firstLineChars="200"/>
    </w:pPr>
    <w:rPr>
      <w:rFonts w:ascii="仿宋_GB2312" w:hAnsi="Calibri" w:eastAsia="仿宋_GB2312" w:cs="Times New Roman"/>
      <w:sz w:val="28"/>
      <w:szCs w:val="22"/>
    </w:rPr>
  </w:style>
  <w:style w:type="paragraph" w:customStyle="1" w:styleId="398">
    <w:name w:val="正文_0_0"/>
    <w:qFormat/>
    <w:uiPriority w:val="0"/>
    <w:pPr>
      <w:widowControl w:val="0"/>
      <w:jc w:val="both"/>
    </w:pPr>
    <w:rPr>
      <w:rFonts w:hint="eastAsia"/>
      <w:kern w:val="2"/>
      <w:sz w:val="21"/>
      <w:lang w:val="en-US" w:eastAsia="zh-CN" w:bidi="ar-SA"/>
    </w:rPr>
  </w:style>
  <w:style w:type="paragraph" w:customStyle="1" w:styleId="399">
    <w:name w:val="标准标题1"/>
    <w:basedOn w:val="3"/>
    <w:uiPriority w:val="0"/>
    <w:pPr>
      <w:pageBreakBefore/>
      <w:tabs>
        <w:tab w:val="left" w:pos="1080"/>
      </w:tabs>
      <w:ind w:left="425" w:hanging="425"/>
    </w:pPr>
    <w:rPr>
      <w:rFonts w:ascii="Calibri" w:hAnsi="Calibri" w:eastAsia="仿宋_GB2312" w:cs="Times New Roman"/>
      <w:sz w:val="32"/>
      <w:lang w:val="en-US" w:eastAsia="zh-CN"/>
    </w:rPr>
  </w:style>
  <w:style w:type="paragraph" w:customStyle="1" w:styleId="400">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401">
    <w:name w:val=" Char Char Char Char1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02">
    <w:name w:val="sanxiang3"/>
    <w:basedOn w:val="1"/>
    <w:uiPriority w:val="0"/>
    <w:pPr>
      <w:widowControl/>
      <w:tabs>
        <w:tab w:val="left" w:pos="686"/>
        <w:tab w:val="left" w:pos="728"/>
        <w:tab w:val="left" w:pos="966"/>
      </w:tabs>
      <w:spacing w:before="312" w:beforeLines="100" w:after="156" w:line="240" w:lineRule="atLeast"/>
      <w:ind w:left="359" w:hanging="359" w:hangingChars="149"/>
      <w:jc w:val="left"/>
      <w:outlineLvl w:val="2"/>
    </w:pPr>
    <w:rPr>
      <w:rFonts w:ascii="宋体" w:hAnsi="宋体" w:eastAsia="黑体" w:cs="Times New Roman"/>
      <w:b/>
      <w:bCs/>
      <w:kern w:val="0"/>
      <w:sz w:val="24"/>
    </w:rPr>
  </w:style>
  <w:style w:type="paragraph" w:customStyle="1" w:styleId="403">
    <w:name w:val="封面标准文稿编辑信息"/>
    <w:uiPriority w:val="0"/>
    <w:pPr>
      <w:spacing w:before="180" w:line="180" w:lineRule="exact"/>
      <w:jc w:val="center"/>
    </w:pPr>
    <w:rPr>
      <w:rFonts w:ascii="宋体"/>
      <w:sz w:val="21"/>
      <w:lang w:val="en-US" w:eastAsia="zh-CN" w:bidi="ar-SA"/>
    </w:rPr>
  </w:style>
  <w:style w:type="paragraph" w:customStyle="1" w:styleId="40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405">
    <w:name w:val="huide00"/>
    <w:basedOn w:val="1"/>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406">
    <w:name w:val="font8"/>
    <w:basedOn w:val="1"/>
    <w:uiPriority w:val="0"/>
    <w:pPr>
      <w:widowControl/>
      <w:spacing w:before="100" w:beforeAutospacing="1" w:after="100" w:afterAutospacing="1"/>
      <w:jc w:val="left"/>
    </w:pPr>
    <w:rPr>
      <w:rFonts w:ascii="新宋体" w:hAnsi="新宋体" w:eastAsia="新宋体" w:cs="宋体"/>
      <w:kern w:val="0"/>
      <w:sz w:val="22"/>
      <w:szCs w:val="22"/>
    </w:rPr>
  </w:style>
  <w:style w:type="paragraph" w:customStyle="1" w:styleId="407">
    <w:name w:val=" Char Char11"/>
    <w:basedOn w:val="1"/>
    <w:uiPriority w:val="0"/>
    <w:rPr>
      <w:rFonts w:ascii="Calibri" w:hAnsi="Calibri" w:eastAsia="宋体" w:cs="Times New Roman"/>
      <w:szCs w:val="20"/>
    </w:rPr>
  </w:style>
  <w:style w:type="paragraph" w:customStyle="1" w:styleId="408">
    <w:name w:val="Kotei图题注"/>
    <w:basedOn w:val="1"/>
    <w:uiPriority w:val="0"/>
    <w:pPr>
      <w:jc w:val="center"/>
    </w:pPr>
    <w:rPr>
      <w:rFonts w:ascii="Arial" w:hAnsi="Arial" w:eastAsia="宋体" w:cs="Times New Roman"/>
      <w:sz w:val="24"/>
      <w:szCs w:val="21"/>
    </w:rPr>
  </w:style>
  <w:style w:type="paragraph" w:customStyle="1" w:styleId="409">
    <w:name w:val="项目标号"/>
    <w:qFormat/>
    <w:uiPriority w:val="0"/>
    <w:pPr>
      <w:numPr>
        <w:ilvl w:val="1"/>
        <w:numId w:val="9"/>
      </w:numPr>
      <w:tabs>
        <w:tab w:val="left" w:pos="780"/>
        <w:tab w:val="clear" w:pos="360"/>
      </w:tabs>
      <w:spacing w:line="360" w:lineRule="auto"/>
    </w:pPr>
    <w:rPr>
      <w:sz w:val="24"/>
      <w:lang w:val="en-US" w:eastAsia="zh-CN" w:bidi="ar-SA"/>
    </w:rPr>
  </w:style>
  <w:style w:type="paragraph" w:customStyle="1" w:styleId="410">
    <w:name w:val="S4-I-L15-U"/>
    <w:basedOn w:val="1"/>
    <w:uiPriority w:val="0"/>
    <w:pPr>
      <w:spacing w:line="360" w:lineRule="auto"/>
    </w:pPr>
    <w:rPr>
      <w:rFonts w:ascii="Calibri" w:hAnsi="Calibri" w:eastAsia="宋体" w:cs="Times New Roman"/>
      <w:b/>
      <w:i/>
      <w:sz w:val="24"/>
      <w:u w:val="single"/>
    </w:rPr>
  </w:style>
  <w:style w:type="paragraph" w:customStyle="1" w:styleId="411">
    <w:name w:val="xl86"/>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12">
    <w:name w:val="图片"/>
    <w:qFormat/>
    <w:uiPriority w:val="0"/>
    <w:pPr>
      <w:jc w:val="center"/>
    </w:pPr>
    <w:rPr>
      <w:rFonts w:ascii="微软雅黑" w:hAnsi="微软雅黑" w:eastAsia="微软雅黑" w:cs="微软雅黑"/>
      <w:lang w:val="en-US" w:eastAsia="zh-CN" w:bidi="ar-SA"/>
    </w:rPr>
  </w:style>
  <w:style w:type="paragraph" w:customStyle="1" w:styleId="413">
    <w:name w:val="正文缩进1"/>
    <w:basedOn w:val="1"/>
    <w:qFormat/>
    <w:uiPriority w:val="0"/>
    <w:pPr>
      <w:spacing w:line="360" w:lineRule="auto"/>
      <w:ind w:firstLine="200" w:firstLineChars="200"/>
    </w:pPr>
    <w:rPr>
      <w:rFonts w:ascii="Times New Roman" w:hAnsi="Times New Roman"/>
    </w:rPr>
  </w:style>
  <w:style w:type="paragraph" w:customStyle="1" w:styleId="414">
    <w:name w:val="Char Char Char Char"/>
    <w:basedOn w:val="19"/>
    <w:qFormat/>
    <w:uiPriority w:val="0"/>
    <w:pPr>
      <w:adjustRightInd w:val="0"/>
      <w:spacing w:line="436" w:lineRule="exact"/>
      <w:ind w:left="357"/>
      <w:jc w:val="left"/>
      <w:outlineLvl w:val="3"/>
    </w:pPr>
    <w:rPr>
      <w:rFonts w:ascii="Tahoma" w:hAnsi="Tahoma" w:eastAsia="仿宋_GB2312"/>
      <w:b/>
      <w:kern w:val="0"/>
      <w:sz w:val="24"/>
      <w:szCs w:val="32"/>
      <w:lang w:val="en-US" w:eastAsia="zh-CN"/>
    </w:rPr>
  </w:style>
  <w:style w:type="paragraph" w:customStyle="1" w:styleId="415">
    <w:name w:val="A_正文"/>
    <w:qFormat/>
    <w:uiPriority w:val="0"/>
    <w:pPr>
      <w:spacing w:line="360" w:lineRule="auto"/>
      <w:ind w:firstLine="200" w:firstLineChars="200"/>
    </w:pPr>
    <w:rPr>
      <w:rFonts w:eastAsia="仿宋_GB2312"/>
      <w:kern w:val="2"/>
      <w:sz w:val="24"/>
      <w:szCs w:val="22"/>
      <w:lang w:val="en-US" w:eastAsia="zh-CN" w:bidi="ar-SA"/>
    </w:rPr>
  </w:style>
  <w:style w:type="paragraph" w:customStyle="1" w:styleId="416">
    <w:name w:val="Kotei图"/>
    <w:basedOn w:val="1"/>
    <w:uiPriority w:val="0"/>
    <w:pPr>
      <w:keepNext/>
      <w:jc w:val="center"/>
    </w:pPr>
    <w:rPr>
      <w:rFonts w:ascii="宋体" w:hAnsi="宋体" w:eastAsia="宋体" w:cs="宋体"/>
      <w:kern w:val="0"/>
      <w:sz w:val="18"/>
      <w:szCs w:val="18"/>
    </w:rPr>
  </w:style>
  <w:style w:type="paragraph" w:customStyle="1" w:styleId="417">
    <w:name w:val="样式 左侧:  1 厘米 段后: 0.5 行"/>
    <w:basedOn w:val="1"/>
    <w:uiPriority w:val="0"/>
    <w:pPr>
      <w:spacing w:after="156" w:afterLines="50"/>
      <w:ind w:firstLine="425"/>
      <w:jc w:val="left"/>
    </w:pPr>
    <w:rPr>
      <w:rFonts w:ascii="宋体" w:hAnsi="Calibri" w:eastAsia="宋体" w:cs="宋体"/>
      <w:snapToGrid w:val="0"/>
      <w:kern w:val="0"/>
      <w:szCs w:val="20"/>
    </w:rPr>
  </w:style>
  <w:style w:type="paragraph" w:customStyle="1" w:styleId="418">
    <w:name w:val="Body"/>
    <w:basedOn w:val="1"/>
    <w:uiPriority w:val="0"/>
    <w:pPr>
      <w:widowControl/>
      <w:spacing w:before="120" w:after="156" w:afterLines="50"/>
    </w:pPr>
    <w:rPr>
      <w:rFonts w:ascii="宋体" w:hAnsi="Calibri" w:eastAsia="宋体" w:cs="Times New Roman"/>
      <w:snapToGrid w:val="0"/>
      <w:kern w:val="0"/>
      <w:szCs w:val="20"/>
    </w:rPr>
  </w:style>
  <w:style w:type="paragraph" w:customStyle="1" w:styleId="419">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420">
    <w:name w:val="Char Char8 Char Char Char Char Char Char"/>
    <w:basedOn w:val="1"/>
    <w:qFormat/>
    <w:uiPriority w:val="0"/>
    <w:rPr>
      <w:rFonts w:ascii="仿宋_GB2312" w:hAnsi="Times New Roman" w:eastAsia="仿宋_GB2312"/>
      <w:b/>
      <w:sz w:val="32"/>
      <w:szCs w:val="32"/>
    </w:rPr>
  </w:style>
  <w:style w:type="paragraph" w:customStyle="1" w:styleId="421">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22">
    <w:name w:val="Paragraph2"/>
    <w:basedOn w:val="1"/>
    <w:uiPriority w:val="0"/>
    <w:pPr>
      <w:spacing w:before="80" w:after="156" w:afterLines="50"/>
      <w:ind w:left="720"/>
    </w:pPr>
    <w:rPr>
      <w:rFonts w:ascii="宋体" w:hAnsi="Calibri" w:eastAsia="宋体" w:cs="Times New Roman"/>
      <w:snapToGrid w:val="0"/>
      <w:color w:val="000000"/>
      <w:kern w:val="0"/>
      <w:szCs w:val="20"/>
      <w:lang w:val="en-AU"/>
    </w:rPr>
  </w:style>
  <w:style w:type="paragraph" w:customStyle="1" w:styleId="423">
    <w:name w:val="列表内容"/>
    <w:basedOn w:val="1"/>
    <w:next w:val="1"/>
    <w:uiPriority w:val="0"/>
    <w:pPr>
      <w:widowControl/>
      <w:tabs>
        <w:tab w:val="left" w:pos="840"/>
      </w:tabs>
      <w:ind w:left="360"/>
      <w:jc w:val="left"/>
    </w:pPr>
    <w:rPr>
      <w:rFonts w:ascii="Calibri" w:hAnsi="Calibri" w:eastAsia="宋体" w:cs="Times New Roman"/>
      <w:kern w:val="0"/>
      <w:sz w:val="18"/>
      <w:szCs w:val="20"/>
    </w:rPr>
  </w:style>
  <w:style w:type="paragraph" w:customStyle="1" w:styleId="424">
    <w:name w:val="列出段落2"/>
    <w:basedOn w:val="1"/>
    <w:qFormat/>
    <w:uiPriority w:val="0"/>
    <w:pPr>
      <w:ind w:firstLine="420"/>
    </w:pPr>
    <w:rPr>
      <w:rFonts w:ascii="Calibri" w:hAnsi="Calibri" w:eastAsia="宋体" w:cs="Times New Roman"/>
    </w:rPr>
  </w:style>
  <w:style w:type="paragraph" w:customStyle="1" w:styleId="425">
    <w:name w:val="标准标题2"/>
    <w:basedOn w:val="4"/>
    <w:uiPriority w:val="0"/>
    <w:pPr>
      <w:spacing w:line="360" w:lineRule="auto"/>
    </w:pPr>
    <w:rPr>
      <w:rFonts w:ascii="Calibri" w:hAnsi="Calibri" w:eastAsia="仿宋_GB2312" w:cs="Times New Roman"/>
      <w:bCs w:val="0"/>
      <w:sz w:val="28"/>
      <w:lang w:val="en-US" w:eastAsia="zh-CN"/>
    </w:rPr>
  </w:style>
  <w:style w:type="paragraph" w:customStyle="1" w:styleId="426">
    <w:name w:val="样式 样式 样式 标题 3Chapter X.X.X. + 段后: 0.5 行 + 段后: 0.5 行 + 段后: 0.5 行"/>
    <w:basedOn w:val="327"/>
    <w:uiPriority w:val="0"/>
    <w:pPr>
      <w:spacing w:after="120" w:afterLines="0"/>
    </w:pPr>
    <w:rPr>
      <w:rFonts w:ascii="Calibri" w:hAnsi="Calibri" w:eastAsia="宋体" w:cs="Times New Roman"/>
    </w:rPr>
  </w:style>
  <w:style w:type="paragraph" w:customStyle="1" w:styleId="427">
    <w:name w:val="样式 样式 正文文本缩进 + 仿宋_GB2312 小四 首行缩进:  0 厘米 行距: 1.5 倍行距 + (中文) 仿宋_GB..."/>
    <w:basedOn w:val="243"/>
    <w:uiPriority w:val="0"/>
    <w:pPr>
      <w:ind w:firstLine="480" w:firstLineChars="200"/>
    </w:pPr>
    <w:rPr>
      <w:rFonts w:ascii="Calibri" w:hAnsi="Calibri" w:eastAsia="宋体" w:cs="Times New Roman"/>
    </w:rPr>
  </w:style>
  <w:style w:type="paragraph" w:customStyle="1" w:styleId="428">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429">
    <w:name w:val="xl14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color w:val="000000"/>
      <w:kern w:val="0"/>
      <w:sz w:val="18"/>
      <w:szCs w:val="18"/>
    </w:rPr>
  </w:style>
  <w:style w:type="paragraph" w:customStyle="1" w:styleId="430">
    <w:name w:val="p13"/>
    <w:basedOn w:val="1"/>
    <w:uiPriority w:val="0"/>
    <w:pPr>
      <w:widowControl/>
      <w:spacing w:before="100" w:beforeAutospacing="1" w:after="100" w:afterAutospacing="1"/>
      <w:jc w:val="left"/>
    </w:pPr>
    <w:rPr>
      <w:rFonts w:ascii="宋体" w:hAnsi="宋体" w:cs="宋体"/>
      <w:kern w:val="0"/>
      <w:sz w:val="24"/>
    </w:rPr>
  </w:style>
  <w:style w:type="paragraph" w:customStyle="1" w:styleId="431">
    <w:name w:val="无间隔2"/>
    <w:qFormat/>
    <w:uiPriority w:val="0"/>
    <w:pPr>
      <w:widowControl w:val="0"/>
      <w:jc w:val="both"/>
    </w:pPr>
    <w:rPr>
      <w:kern w:val="2"/>
      <w:sz w:val="21"/>
      <w:szCs w:val="22"/>
      <w:lang w:val="en-US" w:eastAsia="zh-CN" w:bidi="ar-SA"/>
    </w:rPr>
  </w:style>
  <w:style w:type="paragraph" w:customStyle="1" w:styleId="432">
    <w:name w:val="纯文本1"/>
    <w:basedOn w:val="388"/>
    <w:qFormat/>
    <w:uiPriority w:val="0"/>
    <w:pPr>
      <w:widowControl/>
      <w:spacing w:line="240" w:lineRule="auto"/>
      <w:ind w:firstLine="0" w:firstLineChars="0"/>
      <w:jc w:val="left"/>
    </w:pPr>
    <w:rPr>
      <w:rFonts w:hAnsi="Courier New"/>
      <w:b w:val="0"/>
      <w:color w:val="auto"/>
      <w:szCs w:val="22"/>
    </w:rPr>
  </w:style>
  <w:style w:type="paragraph" w:customStyle="1" w:styleId="433">
    <w:name w:val="xl141"/>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434">
    <w:name w:val="Char Char Char"/>
    <w:basedOn w:val="1"/>
    <w:uiPriority w:val="0"/>
    <w:rPr>
      <w:rFonts w:ascii="Calibri" w:hAnsi="Calibri" w:eastAsia="宋体" w:cs="Times New Roman"/>
    </w:rPr>
  </w:style>
  <w:style w:type="paragraph" w:styleId="435">
    <w:name w:val="No Spacing"/>
    <w:qFormat/>
    <w:uiPriority w:val="1"/>
    <w:pPr>
      <w:widowControl w:val="0"/>
      <w:jc w:val="both"/>
    </w:pPr>
    <w:rPr>
      <w:kern w:val="2"/>
      <w:sz w:val="21"/>
      <w:szCs w:val="24"/>
      <w:lang w:val="en-US" w:eastAsia="zh-CN" w:bidi="ar-SA"/>
    </w:rPr>
  </w:style>
  <w:style w:type="paragraph" w:customStyle="1" w:styleId="436">
    <w:name w:val="p14"/>
    <w:basedOn w:val="1"/>
    <w:uiPriority w:val="0"/>
    <w:pPr>
      <w:widowControl/>
      <w:spacing w:before="100" w:beforeAutospacing="1" w:after="100" w:afterAutospacing="1"/>
      <w:jc w:val="left"/>
    </w:pPr>
    <w:rPr>
      <w:rFonts w:ascii="宋体" w:hAnsi="宋体" w:cs="宋体"/>
      <w:kern w:val="0"/>
      <w:sz w:val="24"/>
    </w:rPr>
  </w:style>
  <w:style w:type="paragraph" w:customStyle="1" w:styleId="437">
    <w:name w:val="样式 标题 3Chapter X.X.X. + 五号 段后: 0.5 行"/>
    <w:basedOn w:val="5"/>
    <w:uiPriority w:val="0"/>
    <w:pPr>
      <w:keepLines w:val="0"/>
      <w:spacing w:before="120" w:after="156" w:afterLines="50" w:line="240" w:lineRule="auto"/>
      <w:jc w:val="left"/>
    </w:pPr>
    <w:rPr>
      <w:rFonts w:ascii="宋体" w:hAnsi="Calibri" w:eastAsia="宋体" w:cs="宋体"/>
      <w:snapToGrid w:val="0"/>
      <w:kern w:val="0"/>
      <w:sz w:val="21"/>
      <w:szCs w:val="20"/>
      <w:lang w:val="en-US" w:eastAsia="zh-CN"/>
    </w:rPr>
  </w:style>
  <w:style w:type="paragraph" w:customStyle="1" w:styleId="438">
    <w:name w:val="Char Char"/>
    <w:basedOn w:val="1"/>
    <w:qFormat/>
    <w:uiPriority w:val="0"/>
    <w:rPr>
      <w:rFonts w:ascii="仿宋_GB2312" w:hAnsi="Calibri" w:eastAsia="仿宋_GB2312" w:cs="Times New Roman"/>
      <w:b/>
      <w:sz w:val="32"/>
      <w:szCs w:val="32"/>
    </w:rPr>
  </w:style>
  <w:style w:type="paragraph" w:customStyle="1" w:styleId="439">
    <w:name w:val="表格"/>
    <w:basedOn w:val="1"/>
    <w:qFormat/>
    <w:uiPriority w:val="0"/>
    <w:pPr>
      <w:widowControl/>
      <w:spacing w:before="200" w:after="200" w:line="276" w:lineRule="auto"/>
      <w:jc w:val="left"/>
    </w:pPr>
    <w:rPr>
      <w:rFonts w:ascii="宋体" w:hAnsi="宋体" w:cs="宋体"/>
      <w:kern w:val="0"/>
      <w:sz w:val="20"/>
      <w:szCs w:val="20"/>
      <w:lang w:eastAsia="en-US" w:bidi="en-US"/>
    </w:rPr>
  </w:style>
  <w:style w:type="paragraph" w:customStyle="1" w:styleId="440">
    <w:name w:val="样式 标题 3(A-3)sect1.2.3h3H3level_3PIM 3Level 3 HeadHeading..."/>
    <w:basedOn w:val="5"/>
    <w:uiPriority w:val="0"/>
    <w:pPr>
      <w:spacing w:line="413" w:lineRule="auto"/>
    </w:pPr>
    <w:rPr>
      <w:rFonts w:ascii="Arial" w:hAnsi="Arial" w:eastAsia="宋体" w:cs="Times New Roman"/>
      <w:sz w:val="30"/>
      <w:lang w:val="en-US" w:eastAsia="zh-CN"/>
    </w:rPr>
  </w:style>
  <w:style w:type="paragraph" w:customStyle="1" w:styleId="441">
    <w:name w:val="段(正文）"/>
    <w:uiPriority w:val="0"/>
    <w:pPr>
      <w:autoSpaceDE w:val="0"/>
      <w:autoSpaceDN w:val="0"/>
      <w:ind w:firstLine="420"/>
      <w:jc w:val="both"/>
    </w:pPr>
    <w:rPr>
      <w:rFonts w:ascii="宋体"/>
      <w:sz w:val="21"/>
      <w:lang w:val="en-US" w:eastAsia="zh-CN" w:bidi="ar-SA"/>
    </w:rPr>
  </w:style>
  <w:style w:type="paragraph" w:customStyle="1" w:styleId="442">
    <w:name w:val="默认段落字体 Para Char Char Char Char Char Char Char"/>
    <w:basedOn w:val="1"/>
    <w:qFormat/>
    <w:uiPriority w:val="99"/>
    <w:pPr>
      <w:adjustRightInd w:val="0"/>
      <w:spacing w:line="360" w:lineRule="auto"/>
    </w:pPr>
    <w:rPr>
      <w:rFonts w:ascii="Tahoma" w:hAnsi="Tahoma" w:eastAsia="宋体" w:cs="Times New Roman"/>
      <w:kern w:val="0"/>
      <w:sz w:val="24"/>
      <w:szCs w:val="20"/>
    </w:rPr>
  </w:style>
  <w:style w:type="paragraph" w:customStyle="1" w:styleId="443">
    <w:name w:val="标题5"/>
    <w:basedOn w:val="1"/>
    <w:uiPriority w:val="0"/>
    <w:pPr>
      <w:adjustRightInd w:val="0"/>
      <w:snapToGrid w:val="0"/>
      <w:spacing w:line="310" w:lineRule="atLeast"/>
      <w:ind w:firstLine="425"/>
    </w:pPr>
    <w:rPr>
      <w:rFonts w:ascii="Arial" w:hAnsi="Arial" w:eastAsia="黑体" w:cs="Times New Roman"/>
      <w:szCs w:val="20"/>
    </w:rPr>
  </w:style>
  <w:style w:type="paragraph" w:customStyle="1" w:styleId="444">
    <w:name w:val="Char"/>
    <w:basedOn w:val="1"/>
    <w:uiPriority w:val="0"/>
    <w:rPr>
      <w:rFonts w:ascii="Calibri" w:hAnsi="Calibri" w:eastAsia="宋体" w:cs="Times New Roman"/>
      <w:szCs w:val="20"/>
    </w:rPr>
  </w:style>
  <w:style w:type="paragraph" w:customStyle="1" w:styleId="445">
    <w:name w:val="标题 31"/>
    <w:next w:val="1"/>
    <w:unhideWhenUsed/>
    <w:qFormat/>
    <w:uiPriority w:val="9"/>
    <w:pPr>
      <w:keepNext/>
      <w:keepLines/>
      <w:spacing w:before="240"/>
      <w:outlineLvl w:val="2"/>
    </w:pPr>
    <w:rPr>
      <w:rFonts w:hint="eastAsia" w:ascii="微软雅黑" w:hAnsi="微软雅黑" w:eastAsia="微软雅黑"/>
      <w:sz w:val="30"/>
      <w:lang w:val="en-US" w:eastAsia="zh-CN" w:bidi="ar-SA"/>
    </w:rPr>
  </w:style>
  <w:style w:type="paragraph" w:customStyle="1" w:styleId="446">
    <w:name w:val=" Char Char Char Char Char Char Char"/>
    <w:basedOn w:val="1"/>
    <w:uiPriority w:val="0"/>
    <w:rPr>
      <w:rFonts w:ascii="仿宋_GB2312" w:hAnsi="Calibri" w:eastAsia="仿宋_GB2312" w:cs="Times New Roman"/>
      <w:b/>
      <w:sz w:val="32"/>
      <w:szCs w:val="32"/>
    </w:rPr>
  </w:style>
  <w:style w:type="paragraph" w:customStyle="1" w:styleId="447">
    <w:name w:val="Table Contents"/>
    <w:basedOn w:val="1"/>
    <w:uiPriority w:val="0"/>
    <w:pPr>
      <w:suppressAutoHyphens/>
      <w:autoSpaceDE w:val="0"/>
      <w:spacing w:after="120"/>
      <w:jc w:val="left"/>
    </w:pPr>
    <w:rPr>
      <w:rFonts w:ascii="Helvetica" w:hAnsi="Helvetica" w:eastAsia="宋体" w:cs="Times New Roman"/>
      <w:kern w:val="1"/>
      <w:sz w:val="20"/>
      <w:szCs w:val="20"/>
    </w:rPr>
  </w:style>
  <w:style w:type="paragraph" w:customStyle="1" w:styleId="448">
    <w:name w:val="TableCaption Char"/>
    <w:next w:val="1"/>
    <w:uiPriority w:val="0"/>
    <w:pPr>
      <w:numPr>
        <w:ilvl w:val="0"/>
        <w:numId w:val="10"/>
      </w:numPr>
      <w:spacing w:line="480" w:lineRule="auto"/>
      <w:ind w:left="907" w:hanging="907"/>
    </w:pPr>
    <w:rPr>
      <w:rFonts w:ascii="Arial" w:hAnsi="Arial"/>
      <w:color w:val="000000"/>
      <w:sz w:val="18"/>
      <w:lang w:val="en-US" w:eastAsia="en-US" w:bidi="ar-SA"/>
    </w:rPr>
  </w:style>
  <w:style w:type="paragraph" w:customStyle="1" w:styleId="449">
    <w:name w:val="WPSOffice手动目录 1"/>
    <w:uiPriority w:val="0"/>
    <w:rPr>
      <w:lang w:val="en-US" w:eastAsia="zh-CN" w:bidi="ar-SA"/>
    </w:rPr>
  </w:style>
  <w:style w:type="paragraph" w:customStyle="1" w:styleId="450">
    <w:name w:val="TOC 标题2"/>
    <w:unhideWhenUsed/>
    <w:qFormat/>
    <w:uiPriority w:val="39"/>
    <w:rPr>
      <w:color w:val="2E74B5"/>
      <w:sz w:val="32"/>
      <w:szCs w:val="32"/>
      <w:lang w:val="en-US" w:eastAsia="zh-CN" w:bidi="ar-SA"/>
    </w:rPr>
  </w:style>
  <w:style w:type="paragraph" w:customStyle="1" w:styleId="451">
    <w:name w:val="Pa5"/>
    <w:basedOn w:val="1"/>
    <w:next w:val="1"/>
    <w:qFormat/>
    <w:uiPriority w:val="99"/>
    <w:pPr>
      <w:autoSpaceDE w:val="0"/>
      <w:autoSpaceDN w:val="0"/>
      <w:spacing w:after="120" w:line="201" w:lineRule="atLeast"/>
    </w:pPr>
    <w:rPr>
      <w:rFonts w:ascii="Arial Unicode MS" w:hAnsi="Arial Unicode MS" w:cs="Arial Unicode MS"/>
      <w:sz w:val="24"/>
    </w:rPr>
  </w:style>
  <w:style w:type="paragraph" w:customStyle="1" w:styleId="452">
    <w:name w:val="Char1 Char Char Char Char"/>
    <w:basedOn w:val="19"/>
    <w:qFormat/>
    <w:uiPriority w:val="0"/>
    <w:rPr>
      <w:rFonts w:ascii="Tahoma" w:hAnsi="Tahoma" w:eastAsia="宋体" w:cs="Tahoma"/>
      <w:kern w:val="0"/>
      <w:sz w:val="18"/>
    </w:rPr>
  </w:style>
  <w:style w:type="paragraph" w:customStyle="1" w:styleId="453">
    <w:name w:val="样式 标题 3Chapter X.X.X"/>
    <w:basedOn w:val="326"/>
    <w:uiPriority w:val="0"/>
    <w:pPr>
      <w:spacing w:after="120" w:afterLines="0"/>
    </w:pPr>
    <w:rPr>
      <w:rFonts w:ascii="Calibri" w:hAnsi="Calibri" w:eastAsia="宋体" w:cs="Times New Roman"/>
    </w:rPr>
  </w:style>
  <w:style w:type="paragraph" w:customStyle="1" w:styleId="454">
    <w:name w:val="Figure Description"/>
    <w:next w:val="1"/>
    <w:uiPriority w:val="0"/>
    <w:pPr>
      <w:tabs>
        <w:tab w:val="left" w:pos="1008"/>
      </w:tabs>
      <w:snapToGrid w:val="0"/>
      <w:spacing w:before="80" w:after="320"/>
      <w:ind w:left="1008" w:hanging="1008"/>
      <w:jc w:val="center"/>
    </w:pPr>
    <w:rPr>
      <w:rFonts w:ascii="Arial" w:hAnsi="Arial" w:eastAsia="黑体"/>
      <w:sz w:val="18"/>
      <w:lang w:val="en-US" w:eastAsia="en-US" w:bidi="ar-SA"/>
    </w:rPr>
  </w:style>
  <w:style w:type="paragraph" w:customStyle="1" w:styleId="455">
    <w:name w:val="_Style 3"/>
    <w:basedOn w:val="1"/>
    <w:next w:val="110"/>
    <w:uiPriority w:val="0"/>
    <w:pPr>
      <w:ind w:firstLine="420" w:firstLineChars="200"/>
    </w:pPr>
    <w:rPr>
      <w:rFonts w:ascii="Calibri" w:hAnsi="Calibri" w:eastAsia="宋体" w:cs="Times New Roman"/>
      <w:szCs w:val="22"/>
    </w:rPr>
  </w:style>
  <w:style w:type="paragraph" w:customStyle="1" w:styleId="456">
    <w:name w:val="*正文"/>
    <w:basedOn w:val="1"/>
    <w:qFormat/>
    <w:uiPriority w:val="0"/>
    <w:pPr>
      <w:spacing w:line="360" w:lineRule="auto"/>
    </w:pPr>
    <w:rPr>
      <w:rFonts w:ascii="宋体" w:hAnsi="宋体" w:cs="新宋体"/>
      <w:sz w:val="22"/>
    </w:rPr>
  </w:style>
  <w:style w:type="paragraph" w:customStyle="1" w:styleId="457">
    <w:name w:val="xl14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color w:val="000000"/>
      <w:kern w:val="0"/>
      <w:sz w:val="18"/>
      <w:szCs w:val="18"/>
    </w:rPr>
  </w:style>
  <w:style w:type="character" w:customStyle="1" w:styleId="458">
    <w:name w:val="font61"/>
    <w:basedOn w:val="54"/>
    <w:qFormat/>
    <w:uiPriority w:val="0"/>
    <w:rPr>
      <w:rFonts w:hint="eastAsia" w:ascii="微软雅黑" w:hAnsi="微软雅黑" w:eastAsia="微软雅黑" w:cs="微软雅黑"/>
      <w:color w:val="000000"/>
      <w:sz w:val="18"/>
      <w:szCs w:val="18"/>
      <w:u w:val="none"/>
    </w:rPr>
  </w:style>
  <w:style w:type="character" w:customStyle="1" w:styleId="459">
    <w:name w:val="font91"/>
    <w:basedOn w:val="54"/>
    <w:qFormat/>
    <w:uiPriority w:val="0"/>
    <w:rPr>
      <w:rFonts w:hint="eastAsia" w:ascii="微软雅黑" w:hAnsi="微软雅黑" w:eastAsia="微软雅黑" w:cs="微软雅黑"/>
      <w:color w:val="000000"/>
      <w:sz w:val="18"/>
      <w:szCs w:val="18"/>
      <w:u w:val="none"/>
    </w:rPr>
  </w:style>
  <w:style w:type="character" w:customStyle="1" w:styleId="460">
    <w:name w:val="font51"/>
    <w:basedOn w:val="54"/>
    <w:uiPriority w:val="0"/>
    <w:rPr>
      <w:rFonts w:hint="eastAsia" w:ascii="微软雅黑" w:hAnsi="微软雅黑" w:eastAsia="微软雅黑" w:cs="微软雅黑"/>
      <w:color w:val="000000"/>
      <w:sz w:val="18"/>
      <w:szCs w:val="18"/>
      <w:u w:val="none"/>
    </w:rPr>
  </w:style>
  <w:style w:type="character" w:customStyle="1" w:styleId="461">
    <w:name w:val="font111"/>
    <w:basedOn w:val="54"/>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7.xml" Type="http://schemas.openxmlformats.org/officeDocument/2006/relationships/footer"/><Relationship Id="rId11" Target="footer8.xml" Type="http://schemas.openxmlformats.org/officeDocument/2006/relationships/footer"/><Relationship Id="rId12" Target="footer9.xml" Type="http://schemas.openxmlformats.org/officeDocument/2006/relationships/footer"/><Relationship Id="rId13" Target="footer10.xml" Type="http://schemas.openxmlformats.org/officeDocument/2006/relationships/footer"/><Relationship Id="rId14" Target="theme/theme1.xml" Type="http://schemas.openxmlformats.org/officeDocument/2006/relationships/theme"/><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settings.xml" Type="http://schemas.openxmlformats.org/officeDocument/2006/relationships/settings"/><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png" Type="http://schemas.openxmlformats.org/officeDocument/2006/relationships/image"/><Relationship Id="rId3" Target="footer1.xml" Type="http://schemas.openxmlformats.org/officeDocument/2006/relationships/footer"/><Relationship Id="rId30" Target="media/image16.png" Type="http://schemas.openxmlformats.org/officeDocument/2006/relationships/image"/><Relationship Id="rId31" Target="media/image17.png" Type="http://schemas.openxmlformats.org/officeDocument/2006/relationships/image"/><Relationship Id="rId32" Target="media/image18.png" Type="http://schemas.openxmlformats.org/officeDocument/2006/relationships/image"/><Relationship Id="rId33" Target="media/image19.png" Type="http://schemas.openxmlformats.org/officeDocument/2006/relationships/image"/><Relationship Id="rId34" Target="media/image20.png" Type="http://schemas.openxmlformats.org/officeDocument/2006/relationships/image"/><Relationship Id="rId35" Target="media/image21.png" Type="http://schemas.openxmlformats.org/officeDocument/2006/relationships/image"/><Relationship Id="rId36" Target="media/image22.png" Type="http://schemas.openxmlformats.org/officeDocument/2006/relationships/image"/><Relationship Id="rId37" Target="media/image23.png" Type="http://schemas.openxmlformats.org/officeDocument/2006/relationships/image"/><Relationship Id="rId38" Target="media/image24.png" Type="http://schemas.openxmlformats.org/officeDocument/2006/relationships/image"/><Relationship Id="rId39" Target="media/image25.png" Type="http://schemas.openxmlformats.org/officeDocument/2006/relationships/image"/><Relationship Id="rId4" Target="footer2.xml" Type="http://schemas.openxmlformats.org/officeDocument/2006/relationships/footer"/><Relationship Id="rId40" Target="media/image26.png" Type="http://schemas.openxmlformats.org/officeDocument/2006/relationships/image"/><Relationship Id="rId41" Target="media/image27.png" Type="http://schemas.openxmlformats.org/officeDocument/2006/relationships/image"/><Relationship Id="rId42" Target="media/image28.png" Type="http://schemas.openxmlformats.org/officeDocument/2006/relationships/image"/><Relationship Id="rId43" Target="media/image29.png" Type="http://schemas.openxmlformats.org/officeDocument/2006/relationships/image"/><Relationship Id="rId44" Target="media/image30.png" Type="http://schemas.openxmlformats.org/officeDocument/2006/relationships/image"/><Relationship Id="rId45" Target="media/image31.png" Type="http://schemas.openxmlformats.org/officeDocument/2006/relationships/image"/><Relationship Id="rId46" Target="media/image32.png" Type="http://schemas.openxmlformats.org/officeDocument/2006/relationships/image"/><Relationship Id="rId47" Target="media/image33.png" Type="http://schemas.openxmlformats.org/officeDocument/2006/relationships/image"/><Relationship Id="rId48" Target="media/image34.png" Type="http://schemas.openxmlformats.org/officeDocument/2006/relationships/image"/><Relationship Id="rId49" Target="media/image35.png" Type="http://schemas.openxmlformats.org/officeDocument/2006/relationships/image"/><Relationship Id="rId5" Target="footer3.xml" Type="http://schemas.openxmlformats.org/officeDocument/2006/relationships/footer"/><Relationship Id="rId50" Target="media/image36.png" Type="http://schemas.openxmlformats.org/officeDocument/2006/relationships/image"/><Relationship Id="rId51" Target="media/image37.png" Type="http://schemas.openxmlformats.org/officeDocument/2006/relationships/image"/><Relationship Id="rId52" Target="media/image38.png" Type="http://schemas.openxmlformats.org/officeDocument/2006/relationships/image"/><Relationship Id="rId53" Target="media/image39.png" Type="http://schemas.openxmlformats.org/officeDocument/2006/relationships/image"/><Relationship Id="rId54" Target="media/image40.png" Type="http://schemas.openxmlformats.org/officeDocument/2006/relationships/image"/><Relationship Id="rId55" Target="media/image41.png" Type="http://schemas.openxmlformats.org/officeDocument/2006/relationships/image"/><Relationship Id="rId56" Target="media/image42.png" Type="http://schemas.openxmlformats.org/officeDocument/2006/relationships/image"/><Relationship Id="rId57" Target="media/image43.png" Type="http://schemas.openxmlformats.org/officeDocument/2006/relationships/image"/><Relationship Id="rId58" Target="media/image44.png" Type="http://schemas.openxmlformats.org/officeDocument/2006/relationships/image"/><Relationship Id="rId59" Target="media/image45.png" Type="http://schemas.openxmlformats.org/officeDocument/2006/relationships/image"/><Relationship Id="rId6" Target="header1.xml" Type="http://schemas.openxmlformats.org/officeDocument/2006/relationships/header"/><Relationship Id="rId60" Target="../customXml/item1.xml" Type="http://schemas.openxmlformats.org/officeDocument/2006/relationships/customXml"/><Relationship Id="rId61" Target="numbering.xml" Type="http://schemas.openxmlformats.org/officeDocument/2006/relationships/numbering"/><Relationship Id="rId62" Target="fontTable.xml" Type="http://schemas.openxmlformats.org/officeDocument/2006/relationships/fontTable"/><Relationship Id="rId7" Target="footer4.xml" Type="http://schemas.openxmlformats.org/officeDocument/2006/relationships/footer"/><Relationship Id="rId8" Target="footer5.xml" Type="http://schemas.openxmlformats.org/officeDocument/2006/relationships/footer"/><Relationship Id="rId9" Target="footer6.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106</Pages>
  <Words>52849</Words>
  <Characters>60190</Characters>
  <Lines>480</Lines>
  <Paragraphs>135</Paragraphs>
  <TotalTime>0</TotalTime>
  <ScaleCrop>false</ScaleCrop>
  <LinksUpToDate>false</LinksUpToDate>
  <CharactersWithSpaces>63408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2021-12-22T01:28:00Z</dcterms:created>
  <dc:creator>猪猪猫.CN</dc:creator>
  <cp:lastModifiedBy>WPS_1701756769</cp:lastModifiedBy>
  <cp:lastPrinted>2022-08-15T05:45:00Z</cp:lastPrinted>
  <dcterms:modified xsi:type="dcterms:W3CDTF">2024-02-26T01:49:03Z</dcterms:modified>
  <cp:revision>8</cp:revision>
  <dc:title>温州市政府集中采购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4E2B9A05265D4229BD589CBAC3922689_13</vt:lpwstr>
  </property>
</Properties>
</file>