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360D4">
      <w:pPr>
        <w:spacing w:line="360" w:lineRule="auto"/>
        <w:jc w:val="center"/>
        <w:rPr>
          <w:rFonts w:hint="eastAsia" w:ascii="仿宋" w:hAnsi="仿宋" w:eastAsia="仿宋" w:cs="仿宋_GB2312"/>
          <w:b/>
          <w:sz w:val="44"/>
          <w:szCs w:val="44"/>
          <w:highlight w:val="none"/>
          <w:lang w:eastAsia="zh-CN"/>
        </w:rPr>
      </w:pPr>
    </w:p>
    <w:p w14:paraId="06EC9C2D">
      <w:pPr>
        <w:pStyle w:val="16"/>
        <w:rPr>
          <w:highlight w:val="none"/>
        </w:rPr>
      </w:pPr>
    </w:p>
    <w:p w14:paraId="1A197446">
      <w:pPr>
        <w:spacing w:line="360" w:lineRule="auto"/>
        <w:jc w:val="center"/>
        <w:rPr>
          <w:rFonts w:hint="eastAsia" w:ascii="仿宋" w:hAnsi="仿宋" w:eastAsia="仿宋" w:cs="仿宋_GB2312"/>
          <w:sz w:val="48"/>
          <w:szCs w:val="48"/>
          <w:highlight w:val="none"/>
          <w:lang w:eastAsia="zh-CN"/>
        </w:rPr>
      </w:pPr>
      <w:r>
        <w:rPr>
          <w:rFonts w:hint="eastAsia" w:ascii="仿宋" w:hAnsi="仿宋" w:eastAsia="仿宋" w:cs="仿宋_GB2312"/>
          <w:sz w:val="48"/>
          <w:szCs w:val="48"/>
          <w:highlight w:val="none"/>
          <w:lang w:eastAsia="zh-CN"/>
        </w:rPr>
        <w:t>北仑中学、顾国和外国语学校高中部2025年教师疗休养服务采购项目</w:t>
      </w:r>
    </w:p>
    <w:p w14:paraId="72C3FECA">
      <w:pPr>
        <w:spacing w:line="360" w:lineRule="auto"/>
        <w:jc w:val="center"/>
        <w:rPr>
          <w:rFonts w:hint="eastAsia" w:ascii="仿宋" w:hAnsi="仿宋" w:eastAsia="仿宋" w:cs="仿宋_GB2312"/>
          <w:sz w:val="48"/>
          <w:szCs w:val="48"/>
          <w:highlight w:val="none"/>
        </w:rPr>
      </w:pPr>
    </w:p>
    <w:p w14:paraId="3E67B964">
      <w:pPr>
        <w:pStyle w:val="28"/>
        <w:ind w:firstLine="560"/>
        <w:rPr>
          <w:rFonts w:hint="eastAsia"/>
          <w:highlight w:val="none"/>
        </w:rPr>
      </w:pPr>
    </w:p>
    <w:p w14:paraId="150F6D3E">
      <w:pPr>
        <w:spacing w:line="360" w:lineRule="auto"/>
        <w:jc w:val="center"/>
        <w:rPr>
          <w:rFonts w:ascii="仿宋" w:hAnsi="仿宋" w:eastAsia="仿宋" w:cs="仿宋_GB2312"/>
          <w:sz w:val="48"/>
          <w:szCs w:val="48"/>
          <w:highlight w:val="none"/>
        </w:rPr>
      </w:pPr>
      <w:r>
        <w:rPr>
          <w:rFonts w:hint="eastAsia" w:ascii="仿宋" w:hAnsi="仿宋" w:eastAsia="仿宋" w:cs="仿宋_GB2312"/>
          <w:sz w:val="48"/>
          <w:szCs w:val="48"/>
          <w:highlight w:val="none"/>
        </w:rPr>
        <w:t>招标文件</w:t>
      </w:r>
    </w:p>
    <w:p w14:paraId="22A8604B">
      <w:pPr>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（电子招投标）</w:t>
      </w:r>
    </w:p>
    <w:p w14:paraId="04C48C14">
      <w:pPr>
        <w:snapToGrid w:val="0"/>
        <w:spacing w:line="360" w:lineRule="auto"/>
        <w:jc w:val="center"/>
        <w:rPr>
          <w:rFonts w:hint="eastAsia" w:ascii="仿宋" w:hAnsi="仿宋" w:eastAsia="仿宋" w:cs="仿宋_GB2312"/>
          <w:sz w:val="30"/>
          <w:szCs w:val="30"/>
          <w:highlight w:val="none"/>
        </w:rPr>
      </w:pPr>
    </w:p>
    <w:p w14:paraId="6EC8AD66">
      <w:pPr>
        <w:snapToGrid w:val="0"/>
        <w:spacing w:line="360" w:lineRule="auto"/>
        <w:jc w:val="center"/>
        <w:rPr>
          <w:rFonts w:hint="eastAsia" w:ascii="仿宋" w:hAnsi="仿宋" w:eastAsia="仿宋" w:cs="仿宋_GB2312"/>
          <w:sz w:val="30"/>
          <w:szCs w:val="30"/>
          <w:highlight w:val="none"/>
          <w:lang w:eastAsia="zh-CN"/>
        </w:rPr>
      </w:pPr>
      <w:r>
        <w:rPr>
          <w:rFonts w:hint="eastAsia" w:ascii="仿宋" w:hAnsi="仿宋" w:eastAsia="仿宋" w:cs="仿宋_GB2312"/>
          <w:sz w:val="30"/>
          <w:szCs w:val="30"/>
          <w:highlight w:val="none"/>
        </w:rPr>
        <w:t>项目编号</w:t>
      </w:r>
      <w:r>
        <w:rPr>
          <w:rFonts w:hint="eastAsia" w:ascii="仿宋" w:hAnsi="仿宋" w:eastAsia="仿宋" w:cs="仿宋_GB2312"/>
          <w:sz w:val="30"/>
          <w:szCs w:val="30"/>
          <w:highlight w:val="none"/>
          <w:lang w:eastAsia="zh-CN"/>
        </w:rPr>
        <w:t>：NBYS2025145G</w:t>
      </w:r>
    </w:p>
    <w:p w14:paraId="00CA59F8">
      <w:pPr>
        <w:spacing w:line="360" w:lineRule="auto"/>
        <w:jc w:val="center"/>
        <w:rPr>
          <w:rFonts w:ascii="仿宋" w:hAnsi="仿宋" w:eastAsia="仿宋" w:cs="仿宋_GB2312"/>
          <w:b/>
          <w:sz w:val="44"/>
          <w:szCs w:val="44"/>
          <w:highlight w:val="none"/>
        </w:rPr>
      </w:pPr>
    </w:p>
    <w:p w14:paraId="26D97FD2">
      <w:pPr>
        <w:spacing w:line="360" w:lineRule="auto"/>
        <w:jc w:val="center"/>
        <w:rPr>
          <w:rFonts w:hint="eastAsia" w:ascii="仿宋" w:hAnsi="仿宋" w:eastAsia="仿宋" w:cs="仿宋_GB2312"/>
          <w:sz w:val="24"/>
          <w:highlight w:val="none"/>
        </w:rPr>
      </w:pPr>
    </w:p>
    <w:p w14:paraId="31E568A1">
      <w:pPr>
        <w:pStyle w:val="28"/>
        <w:ind w:firstLine="560"/>
        <w:jc w:val="center"/>
        <w:rPr>
          <w:rFonts w:hint="eastAsia"/>
          <w:highlight w:val="none"/>
        </w:rPr>
      </w:pPr>
    </w:p>
    <w:p w14:paraId="0F14CFDD">
      <w:pPr>
        <w:pStyle w:val="28"/>
        <w:ind w:firstLine="560"/>
        <w:rPr>
          <w:highlight w:val="none"/>
        </w:rPr>
      </w:pPr>
    </w:p>
    <w:p w14:paraId="496DA25A">
      <w:pPr>
        <w:spacing w:line="360" w:lineRule="auto"/>
        <w:jc w:val="center"/>
        <w:rPr>
          <w:rFonts w:ascii="仿宋" w:hAnsi="仿宋" w:eastAsia="仿宋" w:cs="仿宋_GB2312"/>
          <w:sz w:val="24"/>
          <w:highlight w:val="none"/>
        </w:rPr>
      </w:pPr>
    </w:p>
    <w:p w14:paraId="5E5DBAD6">
      <w:pPr>
        <w:snapToGrid w:val="0"/>
        <w:spacing w:line="360" w:lineRule="auto"/>
        <w:jc w:val="center"/>
        <w:rPr>
          <w:rFonts w:hint="eastAsia" w:ascii="仿宋" w:hAnsi="仿宋" w:eastAsia="仿宋" w:cs="仿宋_GB2312"/>
          <w:sz w:val="32"/>
          <w:szCs w:val="32"/>
          <w:highlight w:val="none"/>
          <w:lang w:eastAsia="zh-CN"/>
        </w:rPr>
      </w:pPr>
      <w:r>
        <w:rPr>
          <w:rFonts w:hint="eastAsia" w:ascii="仿宋" w:hAnsi="仿宋" w:eastAsia="仿宋" w:cs="仿宋_GB2312"/>
          <w:sz w:val="32"/>
          <w:szCs w:val="32"/>
          <w:highlight w:val="none"/>
          <w:lang w:eastAsia="zh-CN"/>
        </w:rPr>
        <w:t>宁波市北仑中学</w:t>
      </w:r>
    </w:p>
    <w:p w14:paraId="2201BC3B">
      <w:pPr>
        <w:snapToGrid w:val="0"/>
        <w:spacing w:line="360" w:lineRule="auto"/>
        <w:jc w:val="center"/>
        <w:rPr>
          <w:rFonts w:hint="eastAsia" w:ascii="仿宋" w:hAnsi="仿宋" w:eastAsia="仿宋" w:cs="仿宋_GB2312"/>
          <w:sz w:val="32"/>
          <w:szCs w:val="32"/>
          <w:highlight w:val="none"/>
          <w:lang w:eastAsia="zh-CN"/>
        </w:rPr>
      </w:pPr>
      <w:r>
        <w:rPr>
          <w:rFonts w:hint="eastAsia" w:ascii="仿宋" w:hAnsi="仿宋" w:eastAsia="仿宋" w:cs="仿宋_GB2312"/>
          <w:sz w:val="32"/>
          <w:szCs w:val="32"/>
          <w:highlight w:val="none"/>
          <w:lang w:eastAsia="zh-CN"/>
        </w:rPr>
        <w:t>宁波市北仑区顾国和外国语学校</w:t>
      </w:r>
    </w:p>
    <w:p w14:paraId="5FADD980">
      <w:pPr>
        <w:spacing w:line="360" w:lineRule="auto"/>
        <w:jc w:val="center"/>
        <w:rPr>
          <w:rFonts w:hint="eastAsia" w:ascii="仿宋" w:hAnsi="仿宋" w:eastAsia="仿宋" w:cs="仿宋_GB2312"/>
          <w:bCs/>
          <w:sz w:val="32"/>
          <w:szCs w:val="32"/>
          <w:highlight w:val="none"/>
          <w:lang w:eastAsia="zh-CN"/>
        </w:rPr>
      </w:pPr>
      <w:r>
        <w:rPr>
          <w:rFonts w:hint="eastAsia" w:ascii="仿宋" w:hAnsi="仿宋" w:eastAsia="仿宋" w:cs="仿宋_GB2312"/>
          <w:bCs/>
          <w:sz w:val="32"/>
          <w:szCs w:val="32"/>
          <w:highlight w:val="none"/>
          <w:lang w:eastAsia="zh-CN"/>
        </w:rPr>
        <w:t>宁波越升质量技术服务有限公司</w:t>
      </w:r>
    </w:p>
    <w:p w14:paraId="5A8276ED">
      <w:pPr>
        <w:snapToGrid w:val="0"/>
        <w:spacing w:line="360" w:lineRule="auto"/>
        <w:jc w:val="center"/>
        <w:rPr>
          <w:rFonts w:hint="eastAsia" w:ascii="仿宋_GB2312" w:hAnsi="仿宋_GB2312" w:eastAsia="仿宋_GB2312" w:cs="仿宋_GB2312"/>
          <w:bCs/>
          <w:sz w:val="32"/>
          <w:szCs w:val="32"/>
          <w:highlight w:val="none"/>
        </w:rPr>
      </w:pPr>
    </w:p>
    <w:p w14:paraId="5D91A9EB">
      <w:pPr>
        <w:snapToGrid w:val="0"/>
        <w:spacing w:line="360" w:lineRule="auto"/>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w:t>
      </w:r>
      <w:r>
        <w:rPr>
          <w:rFonts w:hint="eastAsia" w:ascii="宋体" w:hAnsi="宋体" w:cs="宋体"/>
          <w:bCs/>
          <w:sz w:val="32"/>
          <w:szCs w:val="32"/>
          <w:highlight w:val="none"/>
        </w:rPr>
        <w:t>〇</w:t>
      </w:r>
      <w:r>
        <w:rPr>
          <w:rFonts w:hint="eastAsia" w:ascii="仿宋_GB2312" w:hAnsi="仿宋_GB2312" w:eastAsia="仿宋_GB2312" w:cs="仿宋_GB2312"/>
          <w:bCs/>
          <w:sz w:val="32"/>
          <w:szCs w:val="32"/>
          <w:highlight w:val="none"/>
        </w:rPr>
        <w:t>二</w:t>
      </w:r>
      <w:r>
        <w:rPr>
          <w:rFonts w:hint="eastAsia" w:ascii="仿宋_GB2312" w:hAnsi="仿宋_GB2312" w:eastAsia="仿宋_GB2312" w:cs="仿宋_GB2312"/>
          <w:bCs/>
          <w:sz w:val="32"/>
          <w:szCs w:val="32"/>
          <w:highlight w:val="none"/>
          <w:lang w:val="en-US" w:eastAsia="zh-CN"/>
        </w:rPr>
        <w:t>五</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六</w:t>
      </w:r>
      <w:r>
        <w:rPr>
          <w:rFonts w:hint="eastAsia" w:ascii="仿宋_GB2312" w:hAnsi="仿宋_GB2312" w:eastAsia="仿宋_GB2312" w:cs="仿宋_GB2312"/>
          <w:bCs/>
          <w:sz w:val="32"/>
          <w:szCs w:val="32"/>
          <w:highlight w:val="none"/>
        </w:rPr>
        <w:t>月</w:t>
      </w:r>
    </w:p>
    <w:p w14:paraId="3EF02CDA">
      <w:pPr>
        <w:spacing w:line="360" w:lineRule="auto"/>
        <w:jc w:val="center"/>
        <w:rPr>
          <w:rFonts w:ascii="仿宋" w:hAnsi="仿宋" w:eastAsia="仿宋" w:cs="仿宋_GB2312"/>
          <w:sz w:val="24"/>
          <w:highlight w:val="none"/>
        </w:rPr>
      </w:pPr>
      <w:r>
        <w:rPr>
          <w:rFonts w:ascii="仿宋" w:hAnsi="仿宋" w:eastAsia="仿宋" w:cs="仿宋_GB2312"/>
          <w:sz w:val="24"/>
          <w:highlight w:val="none"/>
        </w:rPr>
        <w:br w:type="page"/>
      </w:r>
      <w:bookmarkStart w:id="0" w:name="_Hlt67893495"/>
      <w:bookmarkEnd w:id="0"/>
    </w:p>
    <w:p w14:paraId="590CCC68">
      <w:pPr>
        <w:spacing w:line="360" w:lineRule="auto"/>
        <w:jc w:val="center"/>
        <w:rPr>
          <w:rFonts w:ascii="仿宋" w:hAnsi="仿宋" w:eastAsia="仿宋" w:cs="仿宋_GB2312"/>
          <w:sz w:val="24"/>
          <w:highlight w:val="none"/>
        </w:rPr>
      </w:pPr>
    </w:p>
    <w:p w14:paraId="0A46F4F0">
      <w:pPr>
        <w:spacing w:line="360" w:lineRule="auto"/>
        <w:jc w:val="center"/>
        <w:rPr>
          <w:rFonts w:ascii="仿宋" w:hAnsi="仿宋" w:eastAsia="仿宋" w:cs="仿宋_GB2312"/>
          <w:b/>
          <w:sz w:val="48"/>
          <w:szCs w:val="48"/>
          <w:highlight w:val="none"/>
        </w:rPr>
      </w:pPr>
      <w:r>
        <w:rPr>
          <w:rFonts w:hint="eastAsia" w:ascii="仿宋" w:hAnsi="仿宋" w:eastAsia="仿宋" w:cs="仿宋_GB2312"/>
          <w:b/>
          <w:sz w:val="48"/>
          <w:szCs w:val="48"/>
          <w:highlight w:val="none"/>
        </w:rPr>
        <w:t>目</w:t>
      </w:r>
      <w:r>
        <w:rPr>
          <w:rFonts w:ascii="仿宋" w:hAnsi="仿宋" w:eastAsia="仿宋" w:cs="仿宋_GB2312"/>
          <w:b/>
          <w:sz w:val="48"/>
          <w:szCs w:val="48"/>
          <w:highlight w:val="none"/>
        </w:rPr>
        <w:t xml:space="preserve">  </w:t>
      </w:r>
      <w:r>
        <w:rPr>
          <w:rFonts w:hint="eastAsia" w:ascii="仿宋" w:hAnsi="仿宋" w:eastAsia="仿宋" w:cs="仿宋_GB2312"/>
          <w:b/>
          <w:sz w:val="48"/>
          <w:szCs w:val="48"/>
          <w:highlight w:val="none"/>
        </w:rPr>
        <w:t>录</w:t>
      </w:r>
    </w:p>
    <w:p w14:paraId="346FE0A7">
      <w:pPr>
        <w:spacing w:line="360" w:lineRule="auto"/>
        <w:rPr>
          <w:rFonts w:ascii="仿宋" w:hAnsi="仿宋" w:eastAsia="仿宋" w:cs="仿宋_GB2312"/>
          <w:sz w:val="32"/>
          <w:szCs w:val="32"/>
          <w:highlight w:val="none"/>
        </w:rPr>
      </w:pPr>
    </w:p>
    <w:p w14:paraId="6418FD3B">
      <w:pPr>
        <w:spacing w:line="360" w:lineRule="auto"/>
        <w:rPr>
          <w:rFonts w:ascii="仿宋" w:hAnsi="仿宋" w:eastAsia="仿宋" w:cs="仿宋_GB2312"/>
          <w:sz w:val="32"/>
          <w:szCs w:val="32"/>
          <w:highlight w:val="none"/>
        </w:rPr>
      </w:pPr>
    </w:p>
    <w:p w14:paraId="728F6ACB">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第一部分      招标公告</w:t>
      </w:r>
    </w:p>
    <w:p w14:paraId="43D3B69D">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第二部分      投标须知</w:t>
      </w:r>
    </w:p>
    <w:p w14:paraId="405C537E">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第三部分      采购需求</w:t>
      </w:r>
    </w:p>
    <w:p w14:paraId="013B8294">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第四部分      评标办法</w:t>
      </w:r>
    </w:p>
    <w:p w14:paraId="07948673">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第五部分      政府采购合同文本</w:t>
      </w:r>
    </w:p>
    <w:p w14:paraId="0A4E1F0A">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第六部分      应提交的有关格式范例</w:t>
      </w:r>
    </w:p>
    <w:p w14:paraId="52D448AC">
      <w:pPr>
        <w:spacing w:line="360" w:lineRule="auto"/>
        <w:ind w:firstLine="549" w:firstLineChars="229"/>
        <w:rPr>
          <w:rFonts w:hint="eastAsia" w:ascii="仿宋" w:hAnsi="仿宋" w:eastAsia="仿宋" w:cs="仿宋"/>
          <w:sz w:val="24"/>
          <w:highlight w:val="none"/>
        </w:rPr>
      </w:pPr>
      <w:bookmarkStart w:id="1" w:name="_Hlt91233176"/>
      <w:bookmarkEnd w:id="1"/>
      <w:bookmarkStart w:id="2" w:name="_Toc91899869"/>
    </w:p>
    <w:p w14:paraId="5854DC2B">
      <w:pPr>
        <w:spacing w:line="360" w:lineRule="auto"/>
        <w:ind w:firstLine="549" w:firstLineChars="229"/>
        <w:rPr>
          <w:rFonts w:hint="eastAsia" w:ascii="仿宋" w:hAnsi="仿宋" w:eastAsia="仿宋" w:cs="仿宋"/>
          <w:sz w:val="24"/>
          <w:highlight w:val="none"/>
        </w:rPr>
      </w:pPr>
    </w:p>
    <w:p w14:paraId="23CB5F0D">
      <w:pPr>
        <w:spacing w:line="360" w:lineRule="auto"/>
        <w:ind w:firstLine="549" w:firstLineChars="229"/>
        <w:rPr>
          <w:rFonts w:hint="eastAsia" w:ascii="仿宋" w:hAnsi="仿宋" w:eastAsia="仿宋" w:cs="仿宋"/>
          <w:sz w:val="24"/>
          <w:highlight w:val="none"/>
        </w:rPr>
      </w:pPr>
    </w:p>
    <w:p w14:paraId="2E4C54C5">
      <w:pPr>
        <w:spacing w:line="360" w:lineRule="auto"/>
        <w:ind w:firstLine="549" w:firstLineChars="229"/>
        <w:rPr>
          <w:rFonts w:hint="eastAsia" w:ascii="仿宋" w:hAnsi="仿宋" w:eastAsia="仿宋" w:cs="仿宋"/>
          <w:sz w:val="24"/>
          <w:highlight w:val="none"/>
        </w:rPr>
      </w:pPr>
    </w:p>
    <w:p w14:paraId="41E47C42">
      <w:pPr>
        <w:spacing w:line="360" w:lineRule="auto"/>
        <w:ind w:firstLine="549" w:firstLineChars="229"/>
        <w:rPr>
          <w:rFonts w:hint="eastAsia" w:ascii="仿宋" w:hAnsi="仿宋" w:eastAsia="仿宋" w:cs="仿宋"/>
          <w:sz w:val="24"/>
          <w:highlight w:val="none"/>
        </w:rPr>
      </w:pPr>
    </w:p>
    <w:p w14:paraId="524CE4C8">
      <w:pPr>
        <w:spacing w:line="360" w:lineRule="auto"/>
        <w:ind w:firstLine="549" w:firstLineChars="229"/>
        <w:rPr>
          <w:rFonts w:hint="eastAsia" w:ascii="仿宋" w:hAnsi="仿宋" w:eastAsia="仿宋" w:cs="仿宋"/>
          <w:sz w:val="24"/>
          <w:highlight w:val="none"/>
        </w:rPr>
      </w:pPr>
    </w:p>
    <w:p w14:paraId="4CBDEC58">
      <w:pPr>
        <w:spacing w:line="360" w:lineRule="auto"/>
        <w:ind w:firstLine="549" w:firstLineChars="229"/>
        <w:rPr>
          <w:rFonts w:hint="eastAsia" w:ascii="仿宋" w:hAnsi="仿宋" w:eastAsia="仿宋" w:cs="仿宋"/>
          <w:sz w:val="24"/>
          <w:highlight w:val="none"/>
        </w:rPr>
      </w:pPr>
    </w:p>
    <w:p w14:paraId="7EE82B94">
      <w:pPr>
        <w:spacing w:line="360" w:lineRule="auto"/>
        <w:ind w:firstLine="549" w:firstLineChars="229"/>
        <w:rPr>
          <w:rFonts w:hint="eastAsia" w:ascii="仿宋" w:hAnsi="仿宋" w:eastAsia="仿宋" w:cs="仿宋"/>
          <w:sz w:val="24"/>
          <w:highlight w:val="none"/>
        </w:rPr>
      </w:pPr>
    </w:p>
    <w:p w14:paraId="57324BB3">
      <w:pPr>
        <w:spacing w:line="360" w:lineRule="auto"/>
        <w:ind w:firstLine="549" w:firstLineChars="229"/>
        <w:rPr>
          <w:rFonts w:hint="eastAsia" w:ascii="仿宋" w:hAnsi="仿宋" w:eastAsia="仿宋" w:cs="仿宋"/>
          <w:sz w:val="24"/>
          <w:highlight w:val="none"/>
        </w:rPr>
      </w:pPr>
    </w:p>
    <w:p w14:paraId="65156E66">
      <w:pPr>
        <w:spacing w:line="360" w:lineRule="auto"/>
        <w:rPr>
          <w:rFonts w:hint="eastAsia" w:ascii="仿宋" w:hAnsi="仿宋" w:eastAsia="仿宋" w:cs="仿宋"/>
          <w:sz w:val="24"/>
          <w:highlight w:val="none"/>
        </w:rPr>
      </w:pPr>
    </w:p>
    <w:p w14:paraId="76D96B69">
      <w:pPr>
        <w:spacing w:line="360" w:lineRule="auto"/>
        <w:jc w:val="center"/>
        <w:outlineLvl w:val="0"/>
        <w:rPr>
          <w:rFonts w:hint="eastAsia" w:ascii="仿宋" w:hAnsi="仿宋" w:eastAsia="仿宋" w:cs="仿宋"/>
          <w:b/>
          <w:sz w:val="36"/>
          <w:szCs w:val="20"/>
          <w:highlight w:val="none"/>
        </w:rPr>
      </w:pPr>
      <w:bookmarkStart w:id="3" w:name="第一部分"/>
      <w:r>
        <w:rPr>
          <w:rFonts w:hint="eastAsia" w:ascii="仿宋" w:hAnsi="仿宋" w:eastAsia="仿宋" w:cs="仿宋"/>
          <w:b/>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
          <w:b/>
          <w:sz w:val="36"/>
          <w:szCs w:val="20"/>
          <w:highlight w:val="none"/>
        </w:rPr>
        <w:t>第一部分  招标公告</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3"/>
      </w:tblGrid>
      <w:tr w14:paraId="628C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9286" w:type="dxa"/>
            <w:noWrap w:val="0"/>
            <w:vAlign w:val="top"/>
          </w:tcPr>
          <w:p w14:paraId="4E758C62">
            <w:pPr>
              <w:pStyle w:val="28"/>
              <w:ind w:firstLine="0" w:firstLineChars="0"/>
              <w:rPr>
                <w:rFonts w:hint="eastAsia" w:ascii="仿宋" w:hAnsi="仿宋" w:eastAsia="仿宋"/>
                <w:szCs w:val="28"/>
                <w:highlight w:val="none"/>
              </w:rPr>
            </w:pPr>
            <w:r>
              <w:rPr>
                <w:rFonts w:hint="eastAsia" w:ascii="仿宋" w:hAnsi="仿宋" w:eastAsia="仿宋" w:cs="仿宋"/>
                <w:kern w:val="0"/>
                <w:szCs w:val="28"/>
                <w:highlight w:val="none"/>
              </w:rPr>
              <w:t>项目概况：</w:t>
            </w:r>
            <w:r>
              <w:rPr>
                <w:rFonts w:hint="eastAsia" w:ascii="仿宋" w:hAnsi="仿宋" w:eastAsia="仿宋" w:cs="仿宋"/>
                <w:kern w:val="0"/>
                <w:szCs w:val="28"/>
                <w:highlight w:val="none"/>
                <w:lang w:eastAsia="zh-CN"/>
              </w:rPr>
              <w:t>北仑中学、顾国和外国语学校高中部2025年教师疗休养服务采购项目</w:t>
            </w:r>
            <w:r>
              <w:rPr>
                <w:rFonts w:hint="eastAsia" w:ascii="仿宋" w:hAnsi="仿宋" w:eastAsia="仿宋" w:cs="仿宋"/>
                <w:kern w:val="0"/>
                <w:szCs w:val="28"/>
                <w:highlight w:val="none"/>
              </w:rPr>
              <w:t>的潜在供应商应在政采云平台（</w:t>
            </w:r>
            <w:r>
              <w:rPr>
                <w:rFonts w:hint="eastAsia" w:ascii="仿宋" w:hAnsi="仿宋" w:eastAsia="仿宋" w:cs="仿宋"/>
                <w:kern w:val="0"/>
                <w:szCs w:val="28"/>
                <w:highlight w:val="none"/>
              </w:rPr>
              <w:fldChar w:fldCharType="begin"/>
            </w:r>
            <w:r>
              <w:rPr>
                <w:rFonts w:hint="eastAsia" w:ascii="仿宋" w:hAnsi="仿宋" w:eastAsia="仿宋" w:cs="仿宋"/>
                <w:kern w:val="0"/>
                <w:szCs w:val="28"/>
                <w:highlight w:val="none"/>
              </w:rPr>
              <w:instrText xml:space="preserve"> HYPERLINK "https://www.zcygov.cn/）获取（下载）招标文件，并于2022年5月20日9点00分00秒" </w:instrText>
            </w:r>
            <w:r>
              <w:rPr>
                <w:rFonts w:hint="eastAsia" w:ascii="仿宋" w:hAnsi="仿宋" w:eastAsia="仿宋" w:cs="仿宋"/>
                <w:kern w:val="0"/>
                <w:szCs w:val="28"/>
                <w:highlight w:val="none"/>
              </w:rPr>
              <w:fldChar w:fldCharType="separate"/>
            </w:r>
            <w:r>
              <w:rPr>
                <w:rFonts w:hint="eastAsia" w:ascii="仿宋" w:hAnsi="仿宋" w:eastAsia="仿宋" w:cs="仿宋"/>
                <w:kern w:val="0"/>
                <w:szCs w:val="28"/>
                <w:highlight w:val="none"/>
              </w:rPr>
              <w:t>https</w:t>
            </w:r>
            <w:r>
              <w:rPr>
                <w:rFonts w:hint="eastAsia" w:ascii="仿宋" w:hAnsi="仿宋" w:eastAsia="仿宋" w:cs="仿宋"/>
                <w:kern w:val="0"/>
                <w:szCs w:val="28"/>
                <w:highlight w:val="none"/>
                <w:lang w:eastAsia="zh-CN"/>
              </w:rPr>
              <w:t>：</w:t>
            </w:r>
            <w:r>
              <w:rPr>
                <w:rFonts w:hint="eastAsia" w:ascii="仿宋" w:hAnsi="仿宋" w:eastAsia="仿宋" w:cs="仿宋"/>
                <w:kern w:val="0"/>
                <w:szCs w:val="28"/>
                <w:highlight w:val="none"/>
              </w:rPr>
              <w:t>//www.zcygov.cn/）获取（下载）招标文件，并于</w:t>
            </w:r>
            <w:r>
              <w:rPr>
                <w:rFonts w:hint="eastAsia" w:ascii="仿宋" w:hAnsi="仿宋" w:eastAsia="仿宋" w:cs="仿宋"/>
                <w:kern w:val="0"/>
                <w:szCs w:val="28"/>
                <w:highlight w:val="none"/>
                <w:lang w:eastAsia="zh-CN"/>
              </w:rPr>
              <w:t>2025</w:t>
            </w:r>
            <w:r>
              <w:rPr>
                <w:rFonts w:hint="eastAsia" w:ascii="仿宋" w:hAnsi="仿宋" w:eastAsia="仿宋" w:cs="仿宋"/>
                <w:kern w:val="0"/>
                <w:szCs w:val="28"/>
                <w:highlight w:val="none"/>
              </w:rPr>
              <w:t>年</w:t>
            </w:r>
            <w:r>
              <w:rPr>
                <w:rFonts w:hint="eastAsia" w:ascii="仿宋" w:hAnsi="仿宋" w:eastAsia="仿宋" w:cs="仿宋"/>
                <w:kern w:val="0"/>
                <w:szCs w:val="28"/>
                <w:highlight w:val="none"/>
                <w:lang w:val="en-US" w:eastAsia="zh-CN"/>
              </w:rPr>
              <w:t>7</w:t>
            </w:r>
            <w:r>
              <w:rPr>
                <w:rFonts w:hint="eastAsia" w:ascii="仿宋" w:hAnsi="仿宋" w:eastAsia="仿宋" w:cs="仿宋"/>
                <w:kern w:val="0"/>
                <w:szCs w:val="28"/>
                <w:highlight w:val="none"/>
              </w:rPr>
              <w:t>月</w:t>
            </w:r>
            <w:r>
              <w:rPr>
                <w:rFonts w:hint="eastAsia" w:ascii="仿宋" w:hAnsi="仿宋" w:eastAsia="仿宋" w:cs="仿宋"/>
                <w:kern w:val="0"/>
                <w:szCs w:val="28"/>
                <w:highlight w:val="none"/>
                <w:lang w:val="en-US" w:eastAsia="zh-CN"/>
              </w:rPr>
              <w:t>2</w:t>
            </w:r>
            <w:r>
              <w:rPr>
                <w:rFonts w:hint="eastAsia" w:ascii="仿宋" w:hAnsi="仿宋" w:eastAsia="仿宋" w:cs="仿宋"/>
                <w:kern w:val="0"/>
                <w:szCs w:val="28"/>
                <w:highlight w:val="none"/>
              </w:rPr>
              <w:t>日</w:t>
            </w:r>
            <w:r>
              <w:rPr>
                <w:rFonts w:hint="eastAsia" w:ascii="仿宋" w:hAnsi="仿宋" w:eastAsia="仿宋" w:cs="仿宋"/>
                <w:kern w:val="0"/>
                <w:szCs w:val="28"/>
                <w:highlight w:val="none"/>
                <w:lang w:val="en-US" w:eastAsia="zh-CN"/>
              </w:rPr>
              <w:t>9</w:t>
            </w:r>
            <w:r>
              <w:rPr>
                <w:rFonts w:hint="eastAsia" w:ascii="仿宋" w:hAnsi="仿宋" w:eastAsia="仿宋" w:cs="仿宋"/>
                <w:kern w:val="0"/>
                <w:szCs w:val="28"/>
                <w:highlight w:val="none"/>
              </w:rPr>
              <w:t>点</w:t>
            </w:r>
            <w:r>
              <w:rPr>
                <w:rFonts w:hint="eastAsia" w:ascii="仿宋" w:hAnsi="仿宋" w:eastAsia="仿宋" w:cs="仿宋"/>
                <w:kern w:val="0"/>
                <w:szCs w:val="28"/>
                <w:highlight w:val="none"/>
                <w:lang w:val="en-US" w:eastAsia="zh-CN"/>
              </w:rPr>
              <w:t>3</w:t>
            </w:r>
            <w:r>
              <w:rPr>
                <w:rFonts w:hint="eastAsia" w:ascii="仿宋" w:hAnsi="仿宋" w:eastAsia="仿宋" w:cs="仿宋"/>
                <w:kern w:val="0"/>
                <w:szCs w:val="28"/>
                <w:highlight w:val="none"/>
              </w:rPr>
              <w:t>0分00秒</w:t>
            </w:r>
            <w:r>
              <w:rPr>
                <w:rFonts w:hint="eastAsia" w:ascii="仿宋" w:hAnsi="仿宋" w:eastAsia="仿宋" w:cs="仿宋"/>
                <w:kern w:val="0"/>
                <w:szCs w:val="28"/>
                <w:highlight w:val="none"/>
              </w:rPr>
              <w:fldChar w:fldCharType="end"/>
            </w:r>
            <w:r>
              <w:rPr>
                <w:rFonts w:hint="eastAsia" w:ascii="仿宋" w:hAnsi="仿宋" w:eastAsia="仿宋" w:cs="仿宋"/>
                <w:kern w:val="0"/>
                <w:szCs w:val="28"/>
                <w:highlight w:val="none"/>
              </w:rPr>
              <w:t>（北京时间）前递交（上传）投标文件。</w:t>
            </w:r>
          </w:p>
        </w:tc>
      </w:tr>
    </w:tbl>
    <w:p w14:paraId="63C31219">
      <w:pPr>
        <w:spacing w:before="120" w:beforeLines="50" w:after="120" w:afterLines="50" w:line="360" w:lineRule="auto"/>
        <w:rPr>
          <w:rFonts w:hint="eastAsia" w:ascii="仿宋" w:hAnsi="仿宋" w:eastAsia="仿宋" w:cs="仿宋"/>
          <w:b/>
          <w:sz w:val="24"/>
          <w:highlight w:val="none"/>
        </w:rPr>
      </w:pPr>
      <w:r>
        <w:rPr>
          <w:rFonts w:hint="eastAsia" w:ascii="仿宋" w:hAnsi="仿宋" w:eastAsia="仿宋" w:cs="仿宋"/>
          <w:b/>
          <w:sz w:val="24"/>
          <w:highlight w:val="none"/>
        </w:rPr>
        <w:t>一、项目基本情况</w:t>
      </w:r>
    </w:p>
    <w:p w14:paraId="422387C6">
      <w:pPr>
        <w:spacing w:line="360" w:lineRule="auto"/>
        <w:ind w:firstLine="482" w:firstLineChars="200"/>
        <w:rPr>
          <w:rFonts w:hint="eastAsia" w:ascii="仿宋" w:hAnsi="仿宋" w:eastAsia="仿宋" w:cs="仿宋"/>
          <w:sz w:val="24"/>
          <w:highlight w:val="none"/>
          <w:lang w:eastAsia="zh-CN"/>
        </w:rPr>
      </w:pPr>
      <w:r>
        <w:rPr>
          <w:rFonts w:hint="eastAsia" w:ascii="仿宋" w:hAnsi="仿宋" w:eastAsia="仿宋" w:cs="仿宋"/>
          <w:b/>
          <w:sz w:val="24"/>
          <w:highlight w:val="none"/>
        </w:rPr>
        <w:t>项目编号：</w:t>
      </w:r>
      <w:r>
        <w:rPr>
          <w:rFonts w:hint="eastAsia" w:ascii="仿宋" w:hAnsi="仿宋" w:eastAsia="仿宋" w:cs="仿宋"/>
          <w:sz w:val="24"/>
          <w:highlight w:val="none"/>
          <w:lang w:eastAsia="zh-CN"/>
        </w:rPr>
        <w:t>NBYS2025145G</w:t>
      </w:r>
    </w:p>
    <w:p w14:paraId="1E0F0E59">
      <w:pPr>
        <w:spacing w:line="360" w:lineRule="auto"/>
        <w:ind w:firstLine="482" w:firstLineChars="200"/>
        <w:rPr>
          <w:rFonts w:hint="eastAsia" w:ascii="仿宋" w:hAnsi="仿宋" w:eastAsia="仿宋" w:cs="仿宋"/>
          <w:sz w:val="24"/>
          <w:highlight w:val="none"/>
          <w:lang w:eastAsia="zh-CN"/>
        </w:rPr>
      </w:pPr>
      <w:r>
        <w:rPr>
          <w:rFonts w:hint="eastAsia" w:ascii="仿宋" w:hAnsi="仿宋" w:eastAsia="仿宋" w:cs="仿宋"/>
          <w:b/>
          <w:sz w:val="24"/>
          <w:highlight w:val="none"/>
        </w:rPr>
        <w:t>项目名称：</w:t>
      </w:r>
      <w:r>
        <w:rPr>
          <w:rFonts w:hint="eastAsia" w:ascii="仿宋" w:hAnsi="仿宋" w:eastAsia="仿宋" w:cs="仿宋"/>
          <w:sz w:val="24"/>
          <w:highlight w:val="none"/>
          <w:lang w:eastAsia="zh-CN"/>
        </w:rPr>
        <w:t>北仑中学、顾国和外国语学校高中部2025年教师疗休养服务采购项目</w:t>
      </w:r>
    </w:p>
    <w:p w14:paraId="75FAFA6D">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预算金额（元）：</w:t>
      </w:r>
      <w:r>
        <w:rPr>
          <w:rFonts w:hint="eastAsia" w:ascii="仿宋" w:hAnsi="仿宋" w:eastAsia="仿宋" w:cs="仿宋"/>
          <w:sz w:val="24"/>
          <w:highlight w:val="none"/>
          <w:lang w:val="en-US" w:eastAsia="zh-CN"/>
        </w:rPr>
        <w:t>657000</w:t>
      </w:r>
      <w:r>
        <w:rPr>
          <w:rFonts w:hint="eastAsia" w:ascii="仿宋" w:hAnsi="仿宋" w:eastAsia="仿宋" w:cs="仿宋"/>
          <w:sz w:val="24"/>
          <w:highlight w:val="none"/>
        </w:rPr>
        <w:t>；</w:t>
      </w:r>
    </w:p>
    <w:p w14:paraId="2F20519F">
      <w:pPr>
        <w:spacing w:line="360" w:lineRule="auto"/>
        <w:ind w:firstLine="480"/>
        <w:rPr>
          <w:rFonts w:hint="eastAsia" w:ascii="仿宋" w:hAnsi="仿宋" w:eastAsia="仿宋" w:cs="仿宋"/>
          <w:sz w:val="24"/>
          <w:highlight w:val="none"/>
        </w:rPr>
      </w:pPr>
      <w:r>
        <w:rPr>
          <w:rFonts w:hint="eastAsia" w:ascii="仿宋" w:hAnsi="仿宋" w:eastAsia="仿宋" w:cs="仿宋"/>
          <w:b/>
          <w:sz w:val="24"/>
          <w:highlight w:val="none"/>
        </w:rPr>
        <w:t>最高限价（元）：</w:t>
      </w:r>
      <w:r>
        <w:rPr>
          <w:rFonts w:hint="eastAsia" w:ascii="仿宋" w:hAnsi="仿宋" w:eastAsia="仿宋" w:cs="仿宋"/>
          <w:sz w:val="24"/>
          <w:highlight w:val="none"/>
          <w:lang w:val="en-US" w:eastAsia="zh-CN"/>
        </w:rPr>
        <w:t>657000</w:t>
      </w:r>
      <w:r>
        <w:rPr>
          <w:rFonts w:hint="eastAsia" w:ascii="仿宋" w:hAnsi="仿宋" w:eastAsia="仿宋" w:cs="仿宋"/>
          <w:sz w:val="24"/>
          <w:highlight w:val="none"/>
        </w:rPr>
        <w:t>；</w:t>
      </w:r>
    </w:p>
    <w:p w14:paraId="68140CC5">
      <w:pPr>
        <w:pStyle w:val="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color w:val="auto"/>
          <w:sz w:val="24"/>
          <w:highlight w:val="none"/>
          <w:lang w:val="en-US" w:eastAsia="zh-CN"/>
        </w:rPr>
        <w:t>标项1：</w:t>
      </w:r>
      <w:r>
        <w:rPr>
          <w:rFonts w:hint="eastAsia" w:ascii="仿宋" w:hAnsi="仿宋" w:eastAsia="仿宋" w:cs="仿宋"/>
          <w:snapToGrid/>
          <w:color w:val="auto"/>
          <w:kern w:val="2"/>
          <w:sz w:val="24"/>
          <w:szCs w:val="24"/>
          <w:highlight w:val="none"/>
          <w:lang w:eastAsia="zh-CN"/>
        </w:rPr>
        <w:t>疗休养服务</w:t>
      </w:r>
      <w:r>
        <w:rPr>
          <w:rFonts w:hint="eastAsia" w:ascii="仿宋" w:hAnsi="仿宋" w:eastAsia="仿宋" w:cs="仿宋"/>
          <w:snapToGrid/>
          <w:color w:val="auto"/>
          <w:kern w:val="2"/>
          <w:sz w:val="24"/>
          <w:szCs w:val="24"/>
          <w:highlight w:val="none"/>
        </w:rPr>
        <w:t>。</w:t>
      </w:r>
      <w:r>
        <w:rPr>
          <w:rFonts w:hint="eastAsia" w:ascii="仿宋" w:hAnsi="仿宋" w:eastAsia="仿宋" w:cs="仿宋"/>
          <w:bCs/>
          <w:snapToGrid/>
          <w:color w:val="auto"/>
          <w:kern w:val="2"/>
          <w:sz w:val="24"/>
          <w:szCs w:val="24"/>
          <w:highlight w:val="none"/>
        </w:rPr>
        <w:t>详见招标文件第三部分采购需求。</w:t>
      </w:r>
    </w:p>
    <w:p w14:paraId="4A53BCCA">
      <w:pPr>
        <w:pStyle w:val="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合同履约期限：</w:t>
      </w:r>
      <w:r>
        <w:rPr>
          <w:rFonts w:hint="eastAsia" w:ascii="仿宋" w:hAnsi="仿宋" w:eastAsia="仿宋" w:cs="仿宋"/>
          <w:bCs/>
          <w:snapToGrid/>
          <w:color w:val="auto"/>
          <w:kern w:val="2"/>
          <w:sz w:val="24"/>
          <w:szCs w:val="24"/>
          <w:highlight w:val="none"/>
          <w:lang w:eastAsia="zh-CN"/>
        </w:rPr>
        <w:t>自合同生效之日至合同全部权利义务履行完毕之日止。</w:t>
      </w:r>
    </w:p>
    <w:p w14:paraId="576E4CAE">
      <w:pPr>
        <w:pStyle w:val="5"/>
        <w:spacing w:line="360" w:lineRule="auto"/>
        <w:ind w:firstLine="480"/>
        <w:rPr>
          <w:rFonts w:hint="eastAsia" w:ascii="仿宋" w:hAnsi="仿宋" w:eastAsia="仿宋" w:cs="仿宋"/>
          <w:b/>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00A8"/>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sym w:font="Wingdings" w:char="00FE"/>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358CDD72">
      <w:pPr>
        <w:spacing w:before="120" w:beforeLines="50" w:after="120" w:afterLines="50" w:line="360" w:lineRule="auto"/>
        <w:rPr>
          <w:rFonts w:hint="eastAsia" w:ascii="仿宋" w:hAnsi="仿宋" w:eastAsia="仿宋" w:cs="仿宋"/>
          <w:sz w:val="24"/>
          <w:highlight w:val="none"/>
        </w:rPr>
      </w:pPr>
      <w:r>
        <w:rPr>
          <w:rFonts w:hint="eastAsia" w:ascii="仿宋" w:hAnsi="仿宋" w:eastAsia="仿宋" w:cs="仿宋"/>
          <w:b/>
          <w:sz w:val="24"/>
          <w:highlight w:val="none"/>
        </w:rPr>
        <w:t>二、申请人的资格要求</w:t>
      </w:r>
    </w:p>
    <w:p w14:paraId="0C89C5CA">
      <w:pPr>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1.投标人满足《中华人民共和国政府采购法》第二十二条规定；未被“信用中国”（www.creditchina.gov.cn)、中国政府采购网（www.ccgp.gov.cn）列入失信被执行人、</w:t>
      </w:r>
      <w:r>
        <w:rPr>
          <w:rFonts w:hint="eastAsia" w:ascii="仿宋" w:hAnsi="仿宋" w:eastAsia="仿宋" w:cs="仿宋"/>
          <w:snapToGrid w:val="0"/>
          <w:kern w:val="28"/>
          <w:sz w:val="24"/>
          <w:szCs w:val="20"/>
          <w:highlight w:val="none"/>
          <w:lang w:eastAsia="zh-CN"/>
        </w:rPr>
        <w:t>重大税收违法失信主体</w:t>
      </w:r>
      <w:r>
        <w:rPr>
          <w:rFonts w:hint="eastAsia" w:ascii="仿宋" w:hAnsi="仿宋" w:eastAsia="仿宋" w:cs="仿宋"/>
          <w:snapToGrid w:val="0"/>
          <w:kern w:val="28"/>
          <w:sz w:val="24"/>
          <w:szCs w:val="20"/>
          <w:highlight w:val="none"/>
        </w:rPr>
        <w:t>、政府采购严重违法失信行为记录名单；</w:t>
      </w:r>
    </w:p>
    <w:p w14:paraId="5D53DA39">
      <w:pPr>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2.落实政府采购政策需满足的资格要求：</w:t>
      </w:r>
    </w:p>
    <w:p w14:paraId="3449D2D5">
      <w:pPr>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sym w:font="Wingdings" w:char="00A8"/>
      </w:r>
      <w:r>
        <w:rPr>
          <w:rFonts w:hint="eastAsia" w:ascii="仿宋" w:hAnsi="仿宋" w:eastAsia="仿宋" w:cs="仿宋"/>
          <w:snapToGrid w:val="0"/>
          <w:kern w:val="28"/>
          <w:sz w:val="24"/>
          <w:szCs w:val="20"/>
          <w:highlight w:val="none"/>
        </w:rPr>
        <w:t>无；</w:t>
      </w:r>
    </w:p>
    <w:p w14:paraId="0CA6A797">
      <w:pPr>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14:paraId="384BE626">
      <w:pPr>
        <w:spacing w:line="360" w:lineRule="auto"/>
        <w:ind w:firstLine="897" w:firstLineChars="374"/>
        <w:rPr>
          <w:rFonts w:hint="eastAsia" w:ascii="仿宋" w:hAnsi="仿宋" w:eastAsia="仿宋" w:cs="仿宋"/>
          <w:sz w:val="24"/>
          <w:highlight w:val="none"/>
          <w:u w:val="single"/>
        </w:rPr>
      </w:pPr>
      <w:r>
        <w:rPr>
          <w:rFonts w:hint="eastAsia" w:ascii="仿宋" w:hAnsi="仿宋" w:eastAsia="仿宋" w:cs="仿宋"/>
          <w:kern w:val="0"/>
          <w:sz w:val="24"/>
          <w:highlight w:val="none"/>
        </w:rPr>
        <w:sym w:font="Wingdings" w:char="00A8"/>
      </w:r>
      <w:r>
        <w:rPr>
          <w:rFonts w:hint="eastAsia" w:ascii="仿宋" w:hAnsi="仿宋" w:eastAsia="仿宋" w:cs="仿宋"/>
          <w:sz w:val="24"/>
          <w:highlight w:val="none"/>
        </w:rPr>
        <w:t>货物全部由符合政策要求的中小企业制造，提供中小企业声明函；</w:t>
      </w:r>
    </w:p>
    <w:p w14:paraId="3362C161">
      <w:pPr>
        <w:spacing w:line="360" w:lineRule="auto"/>
        <w:ind w:firstLine="897" w:firstLineChars="374"/>
        <w:rPr>
          <w:rFonts w:hint="eastAsia" w:ascii="仿宋" w:hAnsi="仿宋" w:eastAsia="仿宋" w:cs="仿宋"/>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sz w:val="24"/>
          <w:highlight w:val="none"/>
        </w:rPr>
        <w:t>货物全部由符合政策要求的小微企业制造，提供中小企业声明函；</w:t>
      </w:r>
    </w:p>
    <w:p w14:paraId="7EF550E8">
      <w:pPr>
        <w:spacing w:line="360" w:lineRule="auto"/>
        <w:ind w:firstLine="897" w:firstLineChars="374"/>
        <w:rPr>
          <w:rFonts w:hint="eastAsia"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sz w:val="24"/>
          <w:highlight w:val="none"/>
        </w:rPr>
        <w:t>服务全部由符合政策要求的中小企业承接，提供中小企业声明函；</w:t>
      </w:r>
    </w:p>
    <w:p w14:paraId="752C3835">
      <w:pPr>
        <w:spacing w:line="360" w:lineRule="auto"/>
        <w:ind w:firstLine="897" w:firstLineChars="374"/>
        <w:rPr>
          <w:rFonts w:hint="eastAsia" w:ascii="仿宋" w:hAnsi="仿宋" w:eastAsia="仿宋" w:cs="仿宋"/>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sz w:val="24"/>
          <w:highlight w:val="none"/>
        </w:rPr>
        <w:t>服务全部由符合政策要求的小微企业承接，提供中小企业声明函；</w:t>
      </w:r>
    </w:p>
    <w:p w14:paraId="098FDC93">
      <w:pPr>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sym w:font="Wingdings" w:char="00A8"/>
      </w:r>
      <w:r>
        <w:rPr>
          <w:rFonts w:hint="eastAsia" w:ascii="仿宋" w:hAnsi="仿宋" w:eastAsia="仿宋" w:cs="仿宋"/>
          <w:snapToGrid w:val="0"/>
          <w:kern w:val="28"/>
          <w:sz w:val="24"/>
          <w:szCs w:val="20"/>
          <w:highlight w:val="none"/>
        </w:rPr>
        <w:t>要求以联合体形式参加，提供联合协议和中小企业声明函，联合协议中中小企业合同金额应当达到</w:t>
      </w:r>
      <w:r>
        <w:rPr>
          <w:rFonts w:hint="eastAsia" w:ascii="仿宋" w:hAnsi="仿宋" w:eastAsia="仿宋" w:cs="仿宋"/>
          <w:snapToGrid w:val="0"/>
          <w:kern w:val="28"/>
          <w:sz w:val="24"/>
          <w:szCs w:val="20"/>
          <w:highlight w:val="none"/>
          <w:u w:val="single"/>
        </w:rPr>
        <w:t>/</w:t>
      </w:r>
      <w:r>
        <w:rPr>
          <w:rFonts w:hint="eastAsia" w:ascii="仿宋" w:hAnsi="仿宋" w:eastAsia="仿宋" w:cs="仿宋"/>
          <w:snapToGrid w:val="0"/>
          <w:kern w:val="28"/>
          <w:sz w:val="24"/>
          <w:szCs w:val="20"/>
          <w:highlight w:val="none"/>
        </w:rPr>
        <w:t>%，小微企业合同金额应当达到</w:t>
      </w:r>
      <w:r>
        <w:rPr>
          <w:rFonts w:hint="eastAsia" w:ascii="仿宋" w:hAnsi="仿宋" w:eastAsia="仿宋" w:cs="仿宋"/>
          <w:snapToGrid w:val="0"/>
          <w:kern w:val="28"/>
          <w:sz w:val="24"/>
          <w:szCs w:val="20"/>
          <w:highlight w:val="none"/>
          <w:u w:val="single"/>
        </w:rPr>
        <w:t>/</w:t>
      </w:r>
      <w:r>
        <w:rPr>
          <w:rFonts w:hint="eastAsia" w:ascii="仿宋" w:hAnsi="仿宋" w:eastAsia="仿宋" w:cs="仿宋"/>
          <w:snapToGrid w:val="0"/>
          <w:kern w:val="28"/>
          <w:sz w:val="24"/>
          <w:szCs w:val="20"/>
          <w:highlight w:val="none"/>
        </w:rPr>
        <w:t>%;如果供应商本身提供所有标的均由中小企业制造、承建或承接，视同符合了资格条件，无需再与其他中小企业组成联合体参加政府采购活动，无需提供联合协议；</w:t>
      </w:r>
    </w:p>
    <w:p w14:paraId="062A454E">
      <w:pPr>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sym w:font="Wingdings" w:char="00A8"/>
      </w:r>
      <w:r>
        <w:rPr>
          <w:rFonts w:hint="eastAsia" w:ascii="仿宋" w:hAnsi="仿宋" w:eastAsia="仿宋" w:cs="仿宋"/>
          <w:snapToGrid w:val="0"/>
          <w:kern w:val="28"/>
          <w:sz w:val="24"/>
          <w:szCs w:val="20"/>
          <w:highlight w:val="none"/>
        </w:rPr>
        <w:t>要求合同分包，提供分包意向协议和中小企业声明函，分包意向协议中中小企业合同金额应当达到达到</w:t>
      </w:r>
      <w:r>
        <w:rPr>
          <w:rFonts w:hint="eastAsia" w:ascii="仿宋" w:hAnsi="仿宋" w:eastAsia="仿宋" w:cs="仿宋"/>
          <w:snapToGrid w:val="0"/>
          <w:kern w:val="28"/>
          <w:sz w:val="24"/>
          <w:szCs w:val="20"/>
          <w:highlight w:val="none"/>
          <w:u w:val="single"/>
        </w:rPr>
        <w:t>/</w:t>
      </w:r>
      <w:r>
        <w:rPr>
          <w:rFonts w:hint="eastAsia" w:ascii="仿宋" w:hAnsi="仿宋" w:eastAsia="仿宋" w:cs="仿宋"/>
          <w:snapToGrid w:val="0"/>
          <w:kern w:val="28"/>
          <w:sz w:val="24"/>
          <w:szCs w:val="20"/>
          <w:highlight w:val="none"/>
        </w:rPr>
        <w:t>% ，小微企业合同金额应当达到</w:t>
      </w:r>
      <w:r>
        <w:rPr>
          <w:rFonts w:hint="eastAsia" w:ascii="仿宋" w:hAnsi="仿宋" w:eastAsia="仿宋" w:cs="仿宋"/>
          <w:snapToGrid w:val="0"/>
          <w:kern w:val="28"/>
          <w:sz w:val="24"/>
          <w:szCs w:val="20"/>
          <w:highlight w:val="none"/>
          <w:u w:val="single"/>
        </w:rPr>
        <w:t>/</w:t>
      </w:r>
      <w:r>
        <w:rPr>
          <w:rFonts w:hint="eastAsia" w:ascii="仿宋" w:hAnsi="仿宋" w:eastAsia="仿宋" w:cs="仿宋"/>
          <w:snapToGrid w:val="0"/>
          <w:kern w:val="28"/>
          <w:sz w:val="24"/>
          <w:szCs w:val="20"/>
          <w:highlight w:val="none"/>
        </w:rPr>
        <w:t>%;如果供应商本身提供所有标的均由中小企业制造、承建或承接，视同符合了资格条件，无需再向中小企业分包，无需提供分包意向协议；</w:t>
      </w:r>
    </w:p>
    <w:p w14:paraId="4F9B7201">
      <w:pPr>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3.本项目的特定资格要求：</w:t>
      </w:r>
      <w:r>
        <w:rPr>
          <w:rFonts w:hint="eastAsia" w:ascii="仿宋" w:hAnsi="仿宋" w:eastAsia="仿宋" w:cs="仿宋"/>
          <w:snapToGrid w:val="0"/>
          <w:kern w:val="28"/>
          <w:sz w:val="24"/>
          <w:szCs w:val="20"/>
          <w:highlight w:val="none"/>
          <w:lang w:val="en-US" w:eastAsia="zh-CN"/>
        </w:rPr>
        <w:t>投标人</w:t>
      </w:r>
      <w:r>
        <w:rPr>
          <w:rFonts w:hint="eastAsia" w:ascii="仿宋" w:hAnsi="仿宋" w:eastAsia="仿宋" w:cs="仿宋"/>
          <w:snapToGrid w:val="0"/>
          <w:kern w:val="28"/>
          <w:sz w:val="24"/>
          <w:szCs w:val="20"/>
          <w:highlight w:val="none"/>
        </w:rPr>
        <w:t>具有有效期内的《旅行社业务经营许可证》，许可经营业务范围须包含国内旅游业务；</w:t>
      </w:r>
    </w:p>
    <w:p w14:paraId="6C17A251">
      <w:pPr>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4.本项目</w:t>
      </w:r>
      <w:r>
        <w:rPr>
          <w:rFonts w:hint="eastAsia" w:ascii="仿宋" w:hAnsi="仿宋" w:eastAsia="仿宋" w:cs="仿宋"/>
          <w:snapToGrid w:val="0"/>
          <w:kern w:val="28"/>
          <w:sz w:val="24"/>
          <w:szCs w:val="20"/>
          <w:highlight w:val="none"/>
          <w:lang w:val="en-US" w:eastAsia="zh-CN"/>
        </w:rPr>
        <w:t>不</w:t>
      </w:r>
      <w:r>
        <w:rPr>
          <w:rFonts w:hint="eastAsia" w:ascii="仿宋" w:hAnsi="仿宋" w:eastAsia="仿宋" w:cs="仿宋"/>
          <w:snapToGrid w:val="0"/>
          <w:kern w:val="28"/>
          <w:sz w:val="24"/>
          <w:szCs w:val="20"/>
          <w:highlight w:val="none"/>
        </w:rPr>
        <w:t>接受联合体投标。</w:t>
      </w:r>
    </w:p>
    <w:p w14:paraId="40BABA26">
      <w:pPr>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C90B99D">
      <w:pPr>
        <w:spacing w:line="360" w:lineRule="auto"/>
        <w:ind w:firstLine="482" w:firstLineChars="200"/>
        <w:rPr>
          <w:rFonts w:hint="eastAsia" w:ascii="仿宋" w:hAnsi="仿宋" w:eastAsia="仿宋" w:cs="仿宋"/>
          <w:snapToGrid w:val="0"/>
          <w:kern w:val="28"/>
          <w:sz w:val="24"/>
          <w:szCs w:val="20"/>
          <w:highlight w:val="none"/>
        </w:rPr>
      </w:pPr>
      <w:r>
        <w:rPr>
          <w:rFonts w:hint="eastAsia" w:ascii="仿宋" w:hAnsi="仿宋" w:eastAsia="仿宋" w:cs="仿宋"/>
          <w:b/>
          <w:bCs/>
          <w:snapToGrid w:val="0"/>
          <w:kern w:val="28"/>
          <w:sz w:val="24"/>
          <w:szCs w:val="20"/>
          <w:highlight w:val="none"/>
          <w:lang w:val="en-US" w:eastAsia="zh-CN"/>
        </w:rPr>
        <w:t>6.</w:t>
      </w:r>
      <w:r>
        <w:rPr>
          <w:rFonts w:hint="eastAsia" w:ascii="仿宋" w:hAnsi="仿宋" w:eastAsia="仿宋" w:cs="仿宋"/>
          <w:b/>
          <w:bCs/>
          <w:snapToGrid w:val="0"/>
          <w:kern w:val="28"/>
          <w:sz w:val="24"/>
          <w:szCs w:val="20"/>
          <w:highlight w:val="none"/>
        </w:rPr>
        <w:t>特别说明：</w:t>
      </w:r>
      <w:r>
        <w:rPr>
          <w:rFonts w:hint="eastAsia" w:ascii="仿宋" w:hAnsi="仿宋" w:eastAsia="仿宋" w:cs="仿宋"/>
          <w:snapToGrid w:val="0"/>
          <w:kern w:val="28"/>
          <w:sz w:val="24"/>
          <w:szCs w:val="20"/>
          <w:highlight w:val="none"/>
        </w:rPr>
        <w:t>本项目采用统采分签方式进行采购。宁波市北仑中学负责牵头实施联合采购。宁波市北仑区顾国和外国语学校委托牵头单位宁波市北仑中学为采购主体进行教师疗休养服务采购。</w:t>
      </w:r>
    </w:p>
    <w:p w14:paraId="7BAEE3A6">
      <w:pPr>
        <w:spacing w:before="120" w:beforeLines="50" w:after="120" w:afterLines="50" w:line="360" w:lineRule="auto"/>
        <w:rPr>
          <w:rFonts w:hint="eastAsia" w:ascii="仿宋" w:hAnsi="仿宋" w:eastAsia="仿宋" w:cs="仿宋"/>
          <w:b/>
          <w:sz w:val="24"/>
          <w:highlight w:val="none"/>
        </w:rPr>
      </w:pPr>
      <w:r>
        <w:rPr>
          <w:rFonts w:hint="eastAsia" w:ascii="仿宋" w:hAnsi="仿宋" w:eastAsia="仿宋" w:cs="仿宋"/>
          <w:b/>
          <w:sz w:val="24"/>
          <w:highlight w:val="none"/>
        </w:rPr>
        <w:t>三、获取招标文件</w:t>
      </w:r>
    </w:p>
    <w:p w14:paraId="7F8A700D">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lang w:val="en-US" w:eastAsia="zh-CN"/>
        </w:rPr>
        <w:t>2025年06月05日至2025年06月12日</w:t>
      </w:r>
      <w:r>
        <w:rPr>
          <w:rFonts w:hint="eastAsia" w:ascii="仿宋" w:hAnsi="仿宋" w:eastAsia="仿宋" w:cs="仿宋"/>
          <w:sz w:val="24"/>
          <w:highlight w:val="none"/>
        </w:rPr>
        <w:t>，每天上午00</w:t>
      </w:r>
      <w:r>
        <w:rPr>
          <w:rFonts w:hint="eastAsia" w:ascii="仿宋" w:hAnsi="仿宋" w:eastAsia="仿宋" w:cs="仿宋"/>
          <w:sz w:val="24"/>
          <w:highlight w:val="none"/>
          <w:lang w:eastAsia="zh-CN"/>
        </w:rPr>
        <w:t>：</w:t>
      </w:r>
      <w:r>
        <w:rPr>
          <w:rFonts w:hint="eastAsia" w:ascii="仿宋" w:hAnsi="仿宋" w:eastAsia="仿宋" w:cs="仿宋"/>
          <w:sz w:val="24"/>
          <w:highlight w:val="none"/>
        </w:rPr>
        <w:t>00至12</w:t>
      </w:r>
      <w:r>
        <w:rPr>
          <w:rFonts w:hint="eastAsia" w:ascii="仿宋" w:hAnsi="仿宋" w:eastAsia="仿宋" w:cs="仿宋"/>
          <w:sz w:val="24"/>
          <w:highlight w:val="none"/>
          <w:lang w:eastAsia="zh-CN"/>
        </w:rPr>
        <w:t>：</w:t>
      </w:r>
      <w:r>
        <w:rPr>
          <w:rFonts w:hint="eastAsia" w:ascii="仿宋" w:hAnsi="仿宋" w:eastAsia="仿宋" w:cs="仿宋"/>
          <w:sz w:val="24"/>
          <w:highlight w:val="none"/>
        </w:rPr>
        <w:t>00，下午12</w:t>
      </w:r>
      <w:r>
        <w:rPr>
          <w:rFonts w:hint="eastAsia" w:ascii="仿宋" w:hAnsi="仿宋" w:eastAsia="仿宋" w:cs="仿宋"/>
          <w:sz w:val="24"/>
          <w:highlight w:val="none"/>
          <w:lang w:eastAsia="zh-CN"/>
        </w:rPr>
        <w:t>：</w:t>
      </w:r>
      <w:r>
        <w:rPr>
          <w:rFonts w:hint="eastAsia" w:ascii="仿宋" w:hAnsi="仿宋" w:eastAsia="仿宋" w:cs="仿宋"/>
          <w:sz w:val="24"/>
          <w:highlight w:val="none"/>
        </w:rPr>
        <w:t>00至23</w:t>
      </w:r>
      <w:r>
        <w:rPr>
          <w:rFonts w:hint="eastAsia" w:ascii="仿宋" w:hAnsi="仿宋" w:eastAsia="仿宋" w:cs="仿宋"/>
          <w:sz w:val="24"/>
          <w:highlight w:val="none"/>
          <w:lang w:eastAsia="zh-CN"/>
        </w:rPr>
        <w:t>：</w:t>
      </w:r>
      <w:r>
        <w:rPr>
          <w:rFonts w:hint="eastAsia" w:ascii="仿宋" w:hAnsi="仿宋" w:eastAsia="仿宋" w:cs="仿宋"/>
          <w:sz w:val="24"/>
          <w:highlight w:val="none"/>
        </w:rPr>
        <w:t>59（北京时间）。</w:t>
      </w:r>
    </w:p>
    <w:p w14:paraId="607AC51D">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政采云平台（https</w:t>
      </w:r>
      <w:r>
        <w:rPr>
          <w:rFonts w:hint="eastAsia" w:ascii="仿宋" w:hAnsi="仿宋" w:eastAsia="仿宋" w:cs="仿宋"/>
          <w:sz w:val="24"/>
          <w:highlight w:val="none"/>
          <w:lang w:eastAsia="zh-CN"/>
        </w:rPr>
        <w:t>：</w:t>
      </w:r>
      <w:r>
        <w:rPr>
          <w:rFonts w:hint="eastAsia" w:ascii="仿宋" w:hAnsi="仿宋" w:eastAsia="仿宋" w:cs="仿宋"/>
          <w:sz w:val="24"/>
          <w:highlight w:val="none"/>
        </w:rPr>
        <w:t>//www.zcygov.cn/）。</w:t>
      </w:r>
    </w:p>
    <w:p w14:paraId="6C2B92A1">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供应商登录政采云平台https</w:t>
      </w:r>
      <w:r>
        <w:rPr>
          <w:rFonts w:hint="eastAsia" w:ascii="仿宋" w:hAnsi="仿宋" w:eastAsia="仿宋" w:cs="仿宋"/>
          <w:sz w:val="24"/>
          <w:highlight w:val="none"/>
          <w:lang w:eastAsia="zh-CN"/>
        </w:rPr>
        <w:t>：</w:t>
      </w:r>
      <w:r>
        <w:rPr>
          <w:rFonts w:hint="eastAsia" w:ascii="仿宋" w:hAnsi="仿宋" w:eastAsia="仿宋" w:cs="仿宋"/>
          <w:sz w:val="24"/>
          <w:highlight w:val="none"/>
        </w:rPr>
        <w:t>//www.zcygov.cn/在线申请获取招标文件（进入“项目采购”应用，在获取招标文件菜单中选择项目，申请获取招标文件）。</w:t>
      </w:r>
    </w:p>
    <w:p w14:paraId="6E885B53">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0。</w:t>
      </w:r>
    </w:p>
    <w:p w14:paraId="760EF52E">
      <w:pPr>
        <w:spacing w:before="120" w:beforeLines="50" w:after="120" w:afterLines="50" w:line="360" w:lineRule="auto"/>
        <w:rPr>
          <w:rFonts w:hint="eastAsia"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14:paraId="44E64F20">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lang w:eastAsia="zh-CN"/>
        </w:rPr>
        <w:t>2025</w:t>
      </w:r>
      <w:r>
        <w:rPr>
          <w:rFonts w:hint="eastAsia" w:ascii="仿宋" w:hAnsi="仿宋" w:eastAsia="仿宋" w:cs="仿宋"/>
          <w:sz w:val="24"/>
          <w:highlight w:val="none"/>
        </w:rPr>
        <w:t>年</w:t>
      </w:r>
      <w:r>
        <w:rPr>
          <w:rFonts w:hint="eastAsia" w:ascii="仿宋" w:hAnsi="仿宋" w:eastAsia="仿宋" w:cs="仿宋"/>
          <w:sz w:val="24"/>
          <w:highlight w:val="none"/>
          <w:u w:val="single"/>
          <w:lang w:val="en-US" w:eastAsia="zh-CN"/>
        </w:rPr>
        <w:t>7</w:t>
      </w:r>
      <w:r>
        <w:rPr>
          <w:rFonts w:hint="eastAsia" w:ascii="仿宋" w:hAnsi="仿宋" w:eastAsia="仿宋" w:cs="仿宋"/>
          <w:sz w:val="24"/>
          <w:highlight w:val="none"/>
        </w:rPr>
        <w:t>月</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点</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0分（北京时间）。</w:t>
      </w:r>
    </w:p>
    <w:p w14:paraId="458B95D5">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政采云平台（https</w:t>
      </w:r>
      <w:r>
        <w:rPr>
          <w:rFonts w:hint="eastAsia" w:ascii="仿宋" w:hAnsi="仿宋" w:eastAsia="仿宋" w:cs="仿宋"/>
          <w:sz w:val="24"/>
          <w:highlight w:val="none"/>
          <w:lang w:eastAsia="zh-CN"/>
        </w:rPr>
        <w:t>：</w:t>
      </w:r>
      <w:r>
        <w:rPr>
          <w:rFonts w:hint="eastAsia" w:ascii="仿宋" w:hAnsi="仿宋" w:eastAsia="仿宋" w:cs="仿宋"/>
          <w:sz w:val="24"/>
          <w:highlight w:val="none"/>
        </w:rPr>
        <w:t>//www.zcygov.cn/）。</w:t>
      </w:r>
    </w:p>
    <w:p w14:paraId="01E01B9B">
      <w:pPr>
        <w:spacing w:line="360" w:lineRule="auto"/>
        <w:ind w:firstLine="482" w:firstLineChars="200"/>
        <w:rPr>
          <w:rFonts w:hint="eastAsia"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lang w:eastAsia="zh-CN"/>
        </w:rPr>
        <w:t>2025</w:t>
      </w:r>
      <w:r>
        <w:rPr>
          <w:rFonts w:hint="eastAsia" w:ascii="仿宋" w:hAnsi="仿宋" w:eastAsia="仿宋" w:cs="仿宋"/>
          <w:sz w:val="24"/>
          <w:highlight w:val="none"/>
        </w:rPr>
        <w:t>年</w:t>
      </w:r>
      <w:r>
        <w:rPr>
          <w:rFonts w:hint="eastAsia" w:ascii="仿宋" w:hAnsi="仿宋" w:eastAsia="仿宋" w:cs="仿宋"/>
          <w:sz w:val="24"/>
          <w:highlight w:val="none"/>
          <w:u w:val="single"/>
          <w:lang w:val="en-US" w:eastAsia="zh-CN"/>
        </w:rPr>
        <w:t>7</w:t>
      </w:r>
      <w:r>
        <w:rPr>
          <w:rFonts w:hint="eastAsia" w:ascii="仿宋" w:hAnsi="仿宋" w:eastAsia="仿宋" w:cs="仿宋"/>
          <w:sz w:val="24"/>
          <w:highlight w:val="none"/>
        </w:rPr>
        <w:t>月</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点</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0分</w:t>
      </w:r>
      <w:r>
        <w:rPr>
          <w:rFonts w:hint="eastAsia" w:ascii="仿宋" w:hAnsi="仿宋" w:eastAsia="仿宋" w:cs="仿宋"/>
          <w:bCs/>
          <w:sz w:val="24"/>
          <w:highlight w:val="none"/>
        </w:rPr>
        <w:t>。</w:t>
      </w:r>
    </w:p>
    <w:p w14:paraId="4F49E517">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开标地点（网址）：</w:t>
      </w:r>
      <w:r>
        <w:rPr>
          <w:rFonts w:hint="eastAsia" w:ascii="仿宋" w:hAnsi="仿宋" w:eastAsia="仿宋" w:cs="仿宋"/>
          <w:sz w:val="24"/>
          <w:highlight w:val="none"/>
        </w:rPr>
        <w:t>政采云平台（https</w:t>
      </w:r>
      <w:r>
        <w:rPr>
          <w:rFonts w:hint="eastAsia" w:ascii="仿宋" w:hAnsi="仿宋" w:eastAsia="仿宋" w:cs="仿宋"/>
          <w:sz w:val="24"/>
          <w:highlight w:val="none"/>
          <w:lang w:eastAsia="zh-CN"/>
        </w:rPr>
        <w:t>：</w:t>
      </w:r>
      <w:r>
        <w:rPr>
          <w:rFonts w:hint="eastAsia" w:ascii="仿宋" w:hAnsi="仿宋" w:eastAsia="仿宋" w:cs="仿宋"/>
          <w:sz w:val="24"/>
          <w:highlight w:val="none"/>
        </w:rPr>
        <w:t>//www.zcygov.cn/）。</w:t>
      </w:r>
    </w:p>
    <w:p w14:paraId="3DBF33FC">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开标地点（线下）：</w:t>
      </w:r>
      <w:r>
        <w:rPr>
          <w:rFonts w:hint="eastAsia" w:ascii="仿宋" w:hAnsi="仿宋" w:eastAsia="仿宋" w:cs="仿宋"/>
          <w:sz w:val="24"/>
          <w:highlight w:val="none"/>
        </w:rPr>
        <w:t>宁波市北仑区公共资源交易中心（宁波市北仑区长江路1166号北仑行政大楼B座三楼招投标中心交易厅</w:t>
      </w:r>
      <w:r>
        <w:rPr>
          <w:rFonts w:hint="eastAsia" w:ascii="仿宋" w:hAnsi="仿宋" w:eastAsia="仿宋" w:cs="仿宋"/>
          <w:sz w:val="24"/>
          <w:highlight w:val="none"/>
          <w:u w:val="single"/>
          <w:lang w:val="en-US" w:eastAsia="zh-CN"/>
        </w:rPr>
        <w:t>2</w:t>
      </w:r>
      <w:bookmarkStart w:id="400" w:name="_GoBack"/>
      <w:bookmarkEnd w:id="400"/>
      <w:r>
        <w:rPr>
          <w:rFonts w:hint="eastAsia" w:ascii="仿宋" w:hAnsi="仿宋" w:eastAsia="仿宋" w:cs="仿宋"/>
          <w:sz w:val="24"/>
          <w:highlight w:val="none"/>
        </w:rPr>
        <w:t>）。</w:t>
      </w:r>
    </w:p>
    <w:p w14:paraId="55A7CD4B">
      <w:pPr>
        <w:spacing w:before="120" w:beforeLines="50" w:after="120" w:afterLines="50" w:line="360" w:lineRule="auto"/>
        <w:rPr>
          <w:rFonts w:hint="eastAsia" w:ascii="仿宋" w:hAnsi="仿宋" w:eastAsia="仿宋" w:cs="仿宋"/>
          <w:b/>
          <w:sz w:val="24"/>
          <w:highlight w:val="none"/>
        </w:rPr>
      </w:pPr>
      <w:r>
        <w:rPr>
          <w:rFonts w:hint="eastAsia" w:ascii="仿宋" w:hAnsi="仿宋" w:eastAsia="仿宋" w:cs="仿宋"/>
          <w:b/>
          <w:sz w:val="24"/>
          <w:highlight w:val="none"/>
        </w:rPr>
        <w:t>五、公告期限</w:t>
      </w:r>
    </w:p>
    <w:p w14:paraId="7AC75E7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自本公告发布之日起5个工作日。</w:t>
      </w:r>
    </w:p>
    <w:p w14:paraId="098AA088">
      <w:pPr>
        <w:spacing w:before="120" w:beforeLines="50" w:after="120" w:afterLines="50" w:line="360" w:lineRule="auto"/>
        <w:rPr>
          <w:rFonts w:hint="eastAsia" w:ascii="仿宋" w:hAnsi="仿宋" w:eastAsia="仿宋" w:cs="仿宋"/>
          <w:b/>
          <w:sz w:val="24"/>
          <w:highlight w:val="none"/>
        </w:rPr>
      </w:pPr>
      <w:r>
        <w:rPr>
          <w:rFonts w:hint="eastAsia" w:ascii="仿宋" w:hAnsi="仿宋" w:eastAsia="仿宋" w:cs="仿宋"/>
          <w:b/>
          <w:sz w:val="24"/>
          <w:highlight w:val="none"/>
        </w:rPr>
        <w:t>六、其他补充事宜</w:t>
      </w:r>
    </w:p>
    <w:p w14:paraId="3CDCF89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436661D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https</w:t>
      </w:r>
      <w:r>
        <w:rPr>
          <w:rFonts w:hint="eastAsia" w:ascii="仿宋" w:hAnsi="仿宋" w:eastAsia="仿宋" w:cs="仿宋"/>
          <w:sz w:val="24"/>
          <w:highlight w:val="none"/>
          <w:lang w:eastAsia="zh-CN"/>
        </w:rPr>
        <w:t>：</w:t>
      </w:r>
      <w:r>
        <w:rPr>
          <w:rFonts w:hint="eastAsia" w:ascii="仿宋" w:hAnsi="仿宋" w:eastAsia="仿宋" w:cs="仿宋"/>
          <w:sz w:val="24"/>
          <w:highlight w:val="none"/>
        </w:rPr>
        <w:t>//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在开标前应确保成为浙江省政府采购网正式注册入库供应商，并完成CA数字证书办理。完成CA数字证书办理在资料齐全的情况下预计7个工作日左右，请各</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合理预估时间，及时办理。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解密：</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按照平台提示和招标文件的规定在半小时内完成在线解密。⑨具体操作指南：详见政采云平台“服务中心-帮助文档-项目采购-操作流程-电子招投标-政府采购项目电子交易管理操作指南-供应商”。</w:t>
      </w:r>
    </w:p>
    <w:p w14:paraId="6B79CC0A">
      <w:pPr>
        <w:spacing w:before="120" w:beforeLines="50" w:after="120" w:afterLines="50" w:line="360" w:lineRule="auto"/>
        <w:rPr>
          <w:rFonts w:hint="eastAsia" w:ascii="仿宋" w:hAnsi="仿宋" w:eastAsia="仿宋" w:cs="仿宋"/>
          <w:b/>
          <w:sz w:val="24"/>
          <w:highlight w:val="none"/>
        </w:rPr>
      </w:pPr>
      <w:r>
        <w:rPr>
          <w:rFonts w:hint="eastAsia" w:ascii="仿宋" w:hAnsi="仿宋" w:eastAsia="仿宋" w:cs="仿宋"/>
          <w:b/>
          <w:sz w:val="24"/>
          <w:highlight w:val="none"/>
        </w:rPr>
        <w:t>七、对本次采购提出询问、质疑、投诉，请按以下方式联系</w:t>
      </w:r>
    </w:p>
    <w:p w14:paraId="34671FC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1.采购人信息</w:t>
      </w:r>
    </w:p>
    <w:p w14:paraId="1BBF97B7">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名称：宁波市北仑中学</w:t>
      </w:r>
    </w:p>
    <w:p w14:paraId="21BD13AE">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地址：</w:t>
      </w:r>
      <w:r>
        <w:rPr>
          <w:rFonts w:hint="eastAsia" w:ascii="仿宋" w:hAnsi="仿宋" w:eastAsia="仿宋" w:cs="仿宋"/>
          <w:sz w:val="24"/>
          <w:highlight w:val="none"/>
          <w:lang w:val="en-US" w:eastAsia="zh-CN"/>
        </w:rPr>
        <w:t>北仑区泰东河路358号</w:t>
      </w:r>
    </w:p>
    <w:p w14:paraId="07A0CE80">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eastAsia="zh-CN"/>
        </w:rPr>
        <w:t>项目联系人（询问）：</w:t>
      </w:r>
      <w:r>
        <w:rPr>
          <w:rFonts w:hint="eastAsia" w:ascii="仿宋" w:hAnsi="仿宋" w:eastAsia="仿宋" w:cs="仿宋"/>
          <w:sz w:val="24"/>
          <w:highlight w:val="none"/>
          <w:lang w:val="en-US" w:eastAsia="zh-CN"/>
        </w:rPr>
        <w:t>邵老师</w:t>
      </w:r>
    </w:p>
    <w:p w14:paraId="5F1715E9">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eastAsia="zh-CN"/>
        </w:rPr>
        <w:t>项目联系方式（询问）：18358296669</w:t>
      </w:r>
    </w:p>
    <w:p w14:paraId="00E9A88C">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eastAsia="zh-CN"/>
        </w:rPr>
        <w:t>质疑联系人：</w:t>
      </w:r>
      <w:r>
        <w:rPr>
          <w:rFonts w:hint="eastAsia" w:ascii="仿宋" w:hAnsi="仿宋" w:eastAsia="仿宋" w:cs="仿宋"/>
          <w:sz w:val="24"/>
          <w:highlight w:val="none"/>
          <w:lang w:val="en-US" w:eastAsia="zh-CN"/>
        </w:rPr>
        <w:t>郑老师</w:t>
      </w:r>
    </w:p>
    <w:p w14:paraId="3AD911B1">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质疑联系方式：</w:t>
      </w:r>
      <w:r>
        <w:rPr>
          <w:rFonts w:hint="eastAsia" w:ascii="仿宋" w:hAnsi="仿宋" w:eastAsia="仿宋" w:cs="仿宋"/>
          <w:sz w:val="24"/>
          <w:highlight w:val="none"/>
          <w:lang w:val="en-US" w:eastAsia="zh-CN"/>
        </w:rPr>
        <w:t>13777231674</w:t>
      </w:r>
    </w:p>
    <w:p w14:paraId="3F7C0649">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2.采购代理机构信息</w:t>
      </w:r>
    </w:p>
    <w:p w14:paraId="5E00108E">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名称：</w:t>
      </w:r>
      <w:r>
        <w:rPr>
          <w:rFonts w:hint="eastAsia" w:ascii="仿宋" w:hAnsi="仿宋" w:eastAsia="仿宋" w:cs="仿宋"/>
          <w:sz w:val="24"/>
          <w:highlight w:val="none"/>
          <w:lang w:eastAsia="zh-CN"/>
        </w:rPr>
        <w:t>宁波越升质量技术服务有限公司</w:t>
      </w:r>
    </w:p>
    <w:p w14:paraId="539025D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地址：宁波市江北区洪盛路17号2幢</w:t>
      </w:r>
    </w:p>
    <w:p w14:paraId="7AFD55F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项目联系人（询问）：</w:t>
      </w:r>
      <w:r>
        <w:rPr>
          <w:rFonts w:hint="eastAsia" w:ascii="仿宋" w:hAnsi="仿宋" w:eastAsia="仿宋" w:cs="仿宋"/>
          <w:sz w:val="24"/>
          <w:lang w:val="en-US" w:eastAsia="zh-CN"/>
        </w:rPr>
        <w:t>胡淳淳</w:t>
      </w:r>
    </w:p>
    <w:p w14:paraId="380484D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项目联系方式（询问）：</w:t>
      </w:r>
      <w:r>
        <w:rPr>
          <w:rFonts w:hint="eastAsia" w:ascii="仿宋" w:hAnsi="仿宋" w:eastAsia="仿宋" w:cs="仿宋"/>
          <w:sz w:val="24"/>
          <w:lang w:val="en-US" w:eastAsia="zh-CN"/>
        </w:rPr>
        <w:t>13567861386</w:t>
      </w:r>
    </w:p>
    <w:p w14:paraId="58889B1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质疑联系人：</w:t>
      </w:r>
      <w:r>
        <w:rPr>
          <w:rFonts w:hint="eastAsia" w:ascii="仿宋" w:hAnsi="仿宋" w:eastAsia="仿宋" w:cs="仿宋"/>
          <w:sz w:val="24"/>
          <w:lang w:val="en-US" w:eastAsia="zh-CN"/>
        </w:rPr>
        <w:t>陈利民</w:t>
      </w:r>
    </w:p>
    <w:p w14:paraId="3B6A562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质疑联系方式：</w:t>
      </w:r>
      <w:r>
        <w:rPr>
          <w:rFonts w:hint="eastAsia" w:ascii="仿宋" w:hAnsi="仿宋" w:eastAsia="仿宋" w:cs="仿宋"/>
          <w:sz w:val="24"/>
          <w:lang w:val="en-US" w:eastAsia="zh-CN"/>
        </w:rPr>
        <w:t>13857812362</w:t>
      </w:r>
    </w:p>
    <w:p w14:paraId="3FFB8BF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3.同级政府采购监督管理部门</w:t>
      </w:r>
    </w:p>
    <w:p w14:paraId="2DEFB98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名称：宁波市北仑区财政局采购办</w:t>
      </w:r>
    </w:p>
    <w:p w14:paraId="4827230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地址：宁波市北仑区长江路 1166 号6楼</w:t>
      </w:r>
    </w:p>
    <w:p w14:paraId="3231793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lang w:val="en-US" w:eastAsia="zh-CN"/>
        </w:rPr>
        <w:t>田</w:t>
      </w:r>
      <w:r>
        <w:rPr>
          <w:rFonts w:hint="eastAsia" w:ascii="仿宋" w:hAnsi="仿宋" w:eastAsia="仿宋" w:cs="仿宋"/>
          <w:sz w:val="24"/>
          <w:highlight w:val="none"/>
        </w:rPr>
        <w:t>老师</w:t>
      </w:r>
    </w:p>
    <w:p w14:paraId="6CEAF65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监督投诉电话：0574-89383756</w:t>
      </w:r>
    </w:p>
    <w:p w14:paraId="1D578DBD">
      <w:pPr>
        <w:spacing w:line="360" w:lineRule="auto"/>
        <w:ind w:firstLine="480" w:firstLineChars="200"/>
        <w:rPr>
          <w:rFonts w:hint="eastAsia" w:ascii="仿宋" w:hAnsi="仿宋" w:eastAsia="仿宋" w:cs="仿宋"/>
          <w:sz w:val="24"/>
          <w:highlight w:val="none"/>
        </w:rPr>
      </w:pPr>
    </w:p>
    <w:p w14:paraId="0362651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若对项目采购电子交易系统操作有疑问，可登录政采云，点击右侧咨询小采，获取采小蜜智能服务管家帮助，或拨打政采云服务热线</w:t>
      </w:r>
      <w:r>
        <w:rPr>
          <w:rFonts w:hint="eastAsia" w:ascii="仿宋" w:hAnsi="仿宋" w:eastAsia="仿宋" w:cs="仿宋"/>
          <w:sz w:val="24"/>
          <w:highlight w:val="none"/>
          <w:lang w:val="en-US" w:eastAsia="zh-CN"/>
        </w:rPr>
        <w:t>95763</w:t>
      </w:r>
      <w:r>
        <w:rPr>
          <w:rFonts w:hint="eastAsia" w:ascii="仿宋" w:hAnsi="仿宋" w:eastAsia="仿宋" w:cs="仿宋"/>
          <w:sz w:val="24"/>
          <w:highlight w:val="none"/>
        </w:rPr>
        <w:t>获取热线服务帮助。</w:t>
      </w:r>
    </w:p>
    <w:p w14:paraId="6CEC200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CA问题联系电话（人工）：汇信CA 400-888-4636；天谷CA 400-087-8198。</w:t>
      </w:r>
    </w:p>
    <w:p w14:paraId="0C780673">
      <w:pPr>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r>
        <w:rPr>
          <w:rFonts w:hint="eastAsia" w:ascii="仿宋" w:hAnsi="仿宋" w:eastAsia="仿宋" w:cs="仿宋"/>
          <w:b/>
          <w:sz w:val="36"/>
          <w:szCs w:val="20"/>
          <w:highlight w:val="none"/>
        </w:rPr>
        <w:t>第二部分</w:t>
      </w:r>
      <w:bookmarkEnd w:id="8"/>
      <w:r>
        <w:rPr>
          <w:rFonts w:hint="eastAsia" w:ascii="仿宋" w:hAnsi="仿宋" w:eastAsia="仿宋" w:cs="仿宋"/>
          <w:b/>
          <w:sz w:val="36"/>
          <w:szCs w:val="20"/>
          <w:highlight w:val="none"/>
        </w:rPr>
        <w:t xml:space="preserve">  投标须知</w:t>
      </w:r>
      <w:bookmarkEnd w:id="9"/>
    </w:p>
    <w:p w14:paraId="19483E7F">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38"/>
        <w:gridCol w:w="1139"/>
        <w:gridCol w:w="7176"/>
      </w:tblGrid>
      <w:tr w14:paraId="41C9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738" w:type="dxa"/>
            <w:noWrap w:val="0"/>
            <w:vAlign w:val="center"/>
          </w:tcPr>
          <w:p w14:paraId="68776CD5">
            <w:pPr>
              <w:snapToGrid w:val="0"/>
              <w:spacing w:line="40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序号</w:t>
            </w:r>
          </w:p>
        </w:tc>
        <w:tc>
          <w:tcPr>
            <w:tcW w:w="0" w:type="auto"/>
            <w:noWrap w:val="0"/>
            <w:vAlign w:val="center"/>
          </w:tcPr>
          <w:p w14:paraId="67D8C8B2">
            <w:pPr>
              <w:snapToGrid w:val="0"/>
              <w:spacing w:line="40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事项</w:t>
            </w:r>
          </w:p>
        </w:tc>
        <w:tc>
          <w:tcPr>
            <w:tcW w:w="7176" w:type="dxa"/>
            <w:noWrap w:val="0"/>
            <w:vAlign w:val="center"/>
          </w:tcPr>
          <w:p w14:paraId="14B7423B">
            <w:pPr>
              <w:snapToGrid w:val="0"/>
              <w:spacing w:line="40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本项目的特别规定</w:t>
            </w:r>
          </w:p>
        </w:tc>
      </w:tr>
      <w:tr w14:paraId="3619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8" w:type="dxa"/>
            <w:noWrap w:val="0"/>
            <w:vAlign w:val="center"/>
          </w:tcPr>
          <w:p w14:paraId="00726BF0">
            <w:pPr>
              <w:snapToGrid w:val="0"/>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0" w:type="auto"/>
            <w:noWrap w:val="0"/>
            <w:vAlign w:val="center"/>
          </w:tcPr>
          <w:p w14:paraId="77242086">
            <w:pPr>
              <w:snapToGrid w:val="0"/>
              <w:spacing w:line="40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报价要求</w:t>
            </w:r>
          </w:p>
        </w:tc>
        <w:tc>
          <w:tcPr>
            <w:tcW w:w="7176" w:type="dxa"/>
            <w:noWrap w:val="0"/>
            <w:vAlign w:val="center"/>
          </w:tcPr>
          <w:p w14:paraId="69E522A2">
            <w:pPr>
              <w:spacing w:line="400" w:lineRule="exact"/>
              <w:jc w:val="left"/>
              <w:rPr>
                <w:rFonts w:hint="eastAsia" w:ascii="仿宋" w:hAnsi="仿宋" w:eastAsia="仿宋"/>
                <w:b/>
                <w:bCs/>
                <w:color w:val="000000"/>
                <w:szCs w:val="21"/>
                <w:highlight w:val="none"/>
              </w:rPr>
            </w:pPr>
            <w:r>
              <w:rPr>
                <w:rFonts w:hint="eastAsia" w:ascii="仿宋" w:hAnsi="仿宋" w:eastAsia="仿宋"/>
                <w:b/>
                <w:bCs/>
                <w:color w:val="000000"/>
                <w:szCs w:val="21"/>
                <w:highlight w:val="none"/>
              </w:rPr>
              <w:t>有关本项目实施所需的所有费用（含税费）均计入报价。开标一览表是报价的唯一载体。投标文件中价格全部采用人民币报价。招标文件未列明，而供应商认为必需的费用也需列入报价。</w:t>
            </w:r>
          </w:p>
          <w:p w14:paraId="34088FD1">
            <w:pPr>
              <w:spacing w:line="400" w:lineRule="exact"/>
              <w:jc w:val="left"/>
              <w:rPr>
                <w:rFonts w:hint="eastAsia" w:ascii="仿宋" w:hAnsi="仿宋" w:eastAsia="仿宋"/>
                <w:b/>
                <w:bCs/>
                <w:color w:val="000000"/>
                <w:szCs w:val="21"/>
                <w:highlight w:val="none"/>
              </w:rPr>
            </w:pPr>
            <w:r>
              <w:rPr>
                <w:rFonts w:hint="eastAsia" w:ascii="仿宋" w:hAnsi="仿宋" w:eastAsia="仿宋"/>
                <w:b/>
                <w:bCs/>
                <w:color w:val="000000"/>
                <w:szCs w:val="21"/>
                <w:highlight w:val="none"/>
              </w:rPr>
              <w:t>投标报价出现下列情形的，投标无效：</w:t>
            </w:r>
          </w:p>
          <w:p w14:paraId="7996E398">
            <w:pPr>
              <w:spacing w:line="400" w:lineRule="exact"/>
              <w:jc w:val="left"/>
              <w:rPr>
                <w:rFonts w:hint="eastAsia" w:ascii="仿宋" w:hAnsi="仿宋" w:eastAsia="仿宋"/>
                <w:b/>
                <w:bCs/>
                <w:color w:val="000000"/>
                <w:szCs w:val="21"/>
                <w:highlight w:val="none"/>
              </w:rPr>
            </w:pPr>
            <w:r>
              <w:rPr>
                <w:rFonts w:hint="eastAsia" w:ascii="仿宋" w:hAnsi="仿宋" w:eastAsia="仿宋"/>
                <w:b/>
                <w:bCs/>
                <w:color w:val="000000"/>
                <w:szCs w:val="21"/>
                <w:highlight w:val="none"/>
              </w:rPr>
              <w:t>①投标文件出现不是唯一的、有选择性投标报价的；</w:t>
            </w:r>
          </w:p>
          <w:p w14:paraId="7AD2855B">
            <w:pPr>
              <w:spacing w:line="400" w:lineRule="exact"/>
              <w:jc w:val="left"/>
              <w:rPr>
                <w:rFonts w:hint="eastAsia" w:ascii="仿宋" w:hAnsi="仿宋" w:eastAsia="仿宋"/>
                <w:b/>
                <w:bCs/>
                <w:color w:val="000000"/>
                <w:szCs w:val="21"/>
                <w:highlight w:val="none"/>
              </w:rPr>
            </w:pPr>
            <w:r>
              <w:rPr>
                <w:rFonts w:hint="eastAsia" w:ascii="仿宋" w:hAnsi="仿宋" w:eastAsia="仿宋"/>
                <w:b/>
                <w:bCs/>
                <w:color w:val="000000"/>
                <w:szCs w:val="21"/>
                <w:highlight w:val="none"/>
              </w:rPr>
              <w:t>②投标报价超过招标文件中规定的预算金额或者最高限价的；</w:t>
            </w:r>
          </w:p>
          <w:p w14:paraId="784A178D">
            <w:pPr>
              <w:spacing w:line="400" w:lineRule="exact"/>
              <w:jc w:val="left"/>
              <w:rPr>
                <w:rFonts w:hint="eastAsia" w:ascii="仿宋" w:hAnsi="仿宋" w:eastAsia="仿宋"/>
                <w:b/>
                <w:bCs/>
                <w:color w:val="000000"/>
                <w:szCs w:val="21"/>
                <w:highlight w:val="none"/>
              </w:rPr>
            </w:pPr>
            <w:r>
              <w:rPr>
                <w:rFonts w:hint="eastAsia" w:ascii="仿宋" w:hAnsi="仿宋" w:eastAsia="仿宋"/>
                <w:b/>
                <w:bCs/>
                <w:color w:val="000000"/>
                <w:szCs w:val="21"/>
                <w:highlight w:val="none"/>
              </w:rPr>
              <w:t>③报价明显低于其他通过符合性审查供应商的报价，有可能影响产品质量或者不能诚信履约的，未能按要求提供书面说明或者提交相关证明材料证明其报价合理性的；</w:t>
            </w:r>
          </w:p>
          <w:p w14:paraId="4C0B2628">
            <w:pPr>
              <w:spacing w:line="400" w:lineRule="exact"/>
              <w:jc w:val="left"/>
              <w:rPr>
                <w:rFonts w:hint="eastAsia" w:ascii="仿宋" w:hAnsi="仿宋" w:eastAsia="仿宋" w:cs="仿宋"/>
                <w:b/>
                <w:kern w:val="0"/>
                <w:szCs w:val="21"/>
                <w:highlight w:val="none"/>
              </w:rPr>
            </w:pPr>
            <w:r>
              <w:rPr>
                <w:rFonts w:hint="eastAsia" w:ascii="仿宋" w:hAnsi="仿宋" w:eastAsia="仿宋"/>
                <w:b/>
                <w:bCs/>
                <w:color w:val="000000"/>
                <w:szCs w:val="21"/>
                <w:highlight w:val="none"/>
              </w:rPr>
              <w:t>④供应商对根据修正原则修正后的报价不确认的。</w:t>
            </w:r>
          </w:p>
        </w:tc>
      </w:tr>
      <w:tr w14:paraId="2248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8" w:type="dxa"/>
            <w:noWrap w:val="0"/>
            <w:vAlign w:val="center"/>
          </w:tcPr>
          <w:p w14:paraId="470CDB0C">
            <w:pPr>
              <w:snapToGrid w:val="0"/>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0" w:type="auto"/>
            <w:noWrap w:val="0"/>
            <w:vAlign w:val="center"/>
          </w:tcPr>
          <w:p w14:paraId="5CF03C1B">
            <w:pPr>
              <w:pStyle w:val="10"/>
              <w:spacing w:line="400" w:lineRule="exact"/>
              <w:jc w:val="center"/>
              <w:rPr>
                <w:rFonts w:hint="eastAsia" w:ascii="仿宋" w:hAnsi="仿宋" w:eastAsia="仿宋" w:cs="仿宋"/>
                <w:b/>
                <w:highlight w:val="none"/>
              </w:rPr>
            </w:pPr>
            <w:r>
              <w:rPr>
                <w:rFonts w:hint="eastAsia" w:ascii="仿宋" w:hAnsi="仿宋" w:eastAsia="仿宋" w:cs="仿宋"/>
                <w:b/>
                <w:kern w:val="28"/>
                <w:highlight w:val="none"/>
              </w:rPr>
              <w:t>投标保证金</w:t>
            </w:r>
          </w:p>
        </w:tc>
        <w:tc>
          <w:tcPr>
            <w:tcW w:w="7176" w:type="dxa"/>
            <w:noWrap w:val="0"/>
            <w:vAlign w:val="center"/>
          </w:tcPr>
          <w:p w14:paraId="6ECDBF85">
            <w:pPr>
              <w:spacing w:line="400" w:lineRule="exact"/>
              <w:jc w:val="left"/>
              <w:rPr>
                <w:rFonts w:hint="eastAsia" w:ascii="仿宋" w:hAnsi="仿宋" w:eastAsia="仿宋" w:cs="仿宋"/>
                <w:b/>
                <w:kern w:val="0"/>
                <w:szCs w:val="21"/>
                <w:highlight w:val="none"/>
              </w:rPr>
            </w:pPr>
            <w:r>
              <w:rPr>
                <w:rFonts w:hint="eastAsia" w:ascii="仿宋" w:hAnsi="仿宋" w:eastAsia="仿宋"/>
                <w:bCs/>
                <w:color w:val="000000"/>
                <w:szCs w:val="21"/>
                <w:highlight w:val="none"/>
              </w:rPr>
              <w:t>本项目不需缴纳投标保证金。</w:t>
            </w:r>
          </w:p>
        </w:tc>
      </w:tr>
      <w:tr w14:paraId="179A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8" w:type="dxa"/>
            <w:noWrap w:val="0"/>
            <w:vAlign w:val="center"/>
          </w:tcPr>
          <w:p w14:paraId="05B58615">
            <w:pPr>
              <w:snapToGrid w:val="0"/>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0" w:type="auto"/>
            <w:noWrap w:val="0"/>
            <w:vAlign w:val="center"/>
          </w:tcPr>
          <w:p w14:paraId="0D1580A6">
            <w:pPr>
              <w:snapToGrid w:val="0"/>
              <w:spacing w:line="40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分包</w:t>
            </w:r>
          </w:p>
        </w:tc>
        <w:tc>
          <w:tcPr>
            <w:tcW w:w="7176" w:type="dxa"/>
            <w:noWrap w:val="0"/>
            <w:vAlign w:val="center"/>
          </w:tcPr>
          <w:p w14:paraId="0F9E8AAB">
            <w:pPr>
              <w:spacing w:line="400" w:lineRule="exact"/>
              <w:jc w:val="left"/>
              <w:rPr>
                <w:rFonts w:ascii="仿宋" w:hAnsi="仿宋" w:eastAsia="仿宋"/>
                <w:bCs/>
                <w:color w:val="000000"/>
                <w:szCs w:val="21"/>
                <w:highlight w:val="none"/>
              </w:rPr>
            </w:pPr>
            <w:r>
              <w:rPr>
                <w:rFonts w:hint="eastAsia" w:ascii="仿宋" w:hAnsi="仿宋" w:eastAsia="仿宋"/>
                <w:bCs/>
                <w:color w:val="000000"/>
                <w:szCs w:val="21"/>
                <w:highlight w:val="none"/>
              </w:rPr>
              <w:sym w:font="Wingdings" w:char="00A8"/>
            </w:r>
            <w:r>
              <w:rPr>
                <w:rFonts w:hint="eastAsia" w:ascii="仿宋" w:hAnsi="仿宋" w:eastAsia="仿宋"/>
                <w:bCs/>
                <w:color w:val="000000"/>
                <w:szCs w:val="21"/>
                <w:highlight w:val="none"/>
              </w:rPr>
              <w:t>A同意将非主体、非关键性的</w:t>
            </w:r>
            <w:r>
              <w:rPr>
                <w:rFonts w:hint="eastAsia" w:ascii="仿宋" w:hAnsi="仿宋" w:eastAsia="仿宋"/>
                <w:bCs/>
                <w:color w:val="000000"/>
                <w:szCs w:val="21"/>
                <w:highlight w:val="none"/>
                <w:u w:val="single"/>
              </w:rPr>
              <w:t xml:space="preserve">  /  </w:t>
            </w:r>
            <w:r>
              <w:rPr>
                <w:rFonts w:hint="eastAsia" w:ascii="仿宋" w:hAnsi="仿宋" w:eastAsia="仿宋"/>
                <w:bCs/>
                <w:color w:val="000000"/>
                <w:szCs w:val="21"/>
                <w:highlight w:val="none"/>
              </w:rPr>
              <w:t>工作分包。分包单位要求：</w:t>
            </w:r>
            <w:r>
              <w:rPr>
                <w:rFonts w:hint="eastAsia" w:ascii="仿宋" w:hAnsi="仿宋" w:eastAsia="仿宋"/>
                <w:bCs/>
                <w:color w:val="000000"/>
                <w:szCs w:val="21"/>
                <w:highlight w:val="none"/>
                <w:u w:val="single"/>
              </w:rPr>
              <w:t xml:space="preserve">  /   </w:t>
            </w:r>
            <w:r>
              <w:rPr>
                <w:rFonts w:hint="eastAsia" w:ascii="仿宋" w:hAnsi="仿宋" w:eastAsia="仿宋"/>
                <w:bCs/>
                <w:color w:val="000000"/>
                <w:szCs w:val="21"/>
                <w:highlight w:val="none"/>
              </w:rPr>
              <w:t>。</w:t>
            </w:r>
          </w:p>
          <w:p w14:paraId="699B5BE4">
            <w:pPr>
              <w:spacing w:line="400" w:lineRule="exact"/>
              <w:jc w:val="left"/>
              <w:rPr>
                <w:rFonts w:hint="eastAsia" w:ascii="仿宋" w:hAnsi="仿宋" w:eastAsia="仿宋" w:cs="仿宋"/>
                <w:szCs w:val="21"/>
                <w:highlight w:val="none"/>
              </w:rPr>
            </w:pPr>
            <w:r>
              <w:rPr>
                <w:rFonts w:hint="eastAsia" w:ascii="仿宋" w:hAnsi="仿宋" w:eastAsia="仿宋"/>
                <w:bCs/>
                <w:color w:val="000000"/>
                <w:szCs w:val="21"/>
                <w:highlight w:val="none"/>
              </w:rPr>
              <w:sym w:font="Wingdings" w:char="00FE"/>
            </w:r>
            <w:r>
              <w:rPr>
                <w:rFonts w:hint="eastAsia" w:ascii="仿宋" w:hAnsi="仿宋" w:eastAsia="仿宋"/>
                <w:bCs/>
                <w:color w:val="000000"/>
                <w:szCs w:val="21"/>
                <w:highlight w:val="none"/>
              </w:rPr>
              <w:t>B不同意分包。</w:t>
            </w:r>
          </w:p>
        </w:tc>
      </w:tr>
      <w:tr w14:paraId="0173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8" w:type="dxa"/>
            <w:noWrap w:val="0"/>
            <w:vAlign w:val="center"/>
          </w:tcPr>
          <w:p w14:paraId="58292270">
            <w:pPr>
              <w:snapToGrid w:val="0"/>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0" w:type="auto"/>
            <w:noWrap w:val="0"/>
            <w:vAlign w:val="center"/>
          </w:tcPr>
          <w:p w14:paraId="69632C12">
            <w:pPr>
              <w:snapToGrid w:val="0"/>
              <w:spacing w:line="40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供应商应当提供的资格文件</w:t>
            </w:r>
          </w:p>
        </w:tc>
        <w:tc>
          <w:tcPr>
            <w:tcW w:w="7176" w:type="dxa"/>
            <w:noWrap w:val="0"/>
            <w:vAlign w:val="center"/>
          </w:tcPr>
          <w:p w14:paraId="18CC42ED">
            <w:pPr>
              <w:spacing w:line="400" w:lineRule="exact"/>
              <w:jc w:val="left"/>
              <w:rPr>
                <w:rFonts w:hint="eastAsia" w:ascii="仿宋" w:hAnsi="仿宋" w:eastAsia="仿宋"/>
                <w:bCs/>
                <w:color w:val="000000"/>
                <w:szCs w:val="21"/>
                <w:highlight w:val="none"/>
              </w:rPr>
            </w:pPr>
            <w:r>
              <w:rPr>
                <w:rFonts w:hint="eastAsia" w:ascii="仿宋" w:hAnsi="仿宋" w:eastAsia="仿宋"/>
                <w:bCs/>
                <w:color w:val="000000"/>
                <w:szCs w:val="21"/>
                <w:highlight w:val="none"/>
              </w:rPr>
              <w:t>资格证明文件：见招标文件第二部分9.1。</w:t>
            </w:r>
          </w:p>
          <w:p w14:paraId="4E226F17">
            <w:pPr>
              <w:spacing w:line="400" w:lineRule="exact"/>
              <w:jc w:val="left"/>
              <w:rPr>
                <w:rFonts w:hint="eastAsia" w:ascii="仿宋" w:hAnsi="仿宋" w:eastAsia="仿宋" w:cs="仿宋"/>
                <w:kern w:val="0"/>
                <w:szCs w:val="21"/>
                <w:highlight w:val="none"/>
              </w:rPr>
            </w:pPr>
            <w:r>
              <w:rPr>
                <w:rFonts w:hint="eastAsia" w:ascii="仿宋" w:hAnsi="仿宋" w:eastAsia="仿宋"/>
                <w:bCs/>
                <w:color w:val="000000"/>
                <w:szCs w:val="21"/>
                <w:highlight w:val="none"/>
              </w:rPr>
              <w:t>资格证明文件不全的或者不符合招标文件标明的资格要求的，视为供应商不具备招标文件中规定的资格要求，投标无效。</w:t>
            </w:r>
          </w:p>
        </w:tc>
      </w:tr>
      <w:tr w14:paraId="4B1D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8" w:type="dxa"/>
            <w:noWrap w:val="0"/>
            <w:vAlign w:val="center"/>
          </w:tcPr>
          <w:p w14:paraId="73354B0A">
            <w:pPr>
              <w:snapToGrid w:val="0"/>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0" w:type="auto"/>
            <w:noWrap w:val="0"/>
            <w:vAlign w:val="center"/>
          </w:tcPr>
          <w:p w14:paraId="510D2CCF">
            <w:pPr>
              <w:snapToGrid w:val="0"/>
              <w:spacing w:line="40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开标前答疑会或现场考察</w:t>
            </w:r>
          </w:p>
        </w:tc>
        <w:tc>
          <w:tcPr>
            <w:tcW w:w="7176" w:type="dxa"/>
            <w:noWrap w:val="0"/>
            <w:vAlign w:val="center"/>
          </w:tcPr>
          <w:p w14:paraId="43F2759A">
            <w:pPr>
              <w:spacing w:line="400" w:lineRule="exact"/>
              <w:rPr>
                <w:rFonts w:hint="eastAsia" w:ascii="仿宋" w:hAnsi="仿宋" w:eastAsia="仿宋" w:cs="仿宋"/>
                <w:szCs w:val="21"/>
                <w:highlight w:val="none"/>
              </w:rPr>
            </w:pPr>
            <w:r>
              <w:rPr>
                <w:rFonts w:hint="eastAsia" w:ascii="仿宋" w:hAnsi="仿宋" w:eastAsia="仿宋" w:cs="仿宋"/>
                <w:kern w:val="0"/>
                <w:szCs w:val="21"/>
                <w:highlight w:val="none"/>
              </w:rPr>
              <w:sym w:font="Wingdings" w:char="F0FE"/>
            </w:r>
            <w:r>
              <w:rPr>
                <w:rFonts w:hint="eastAsia" w:ascii="仿宋" w:hAnsi="仿宋" w:eastAsia="仿宋" w:cs="仿宋"/>
                <w:kern w:val="0"/>
                <w:szCs w:val="21"/>
                <w:highlight w:val="none"/>
              </w:rPr>
              <w:t>A</w:t>
            </w:r>
            <w:r>
              <w:rPr>
                <w:rFonts w:hint="eastAsia" w:ascii="仿宋" w:hAnsi="仿宋" w:eastAsia="仿宋" w:cs="仿宋"/>
                <w:szCs w:val="21"/>
                <w:highlight w:val="none"/>
              </w:rPr>
              <w:t>不组织。</w:t>
            </w:r>
          </w:p>
          <w:p w14:paraId="74F92962">
            <w:pPr>
              <w:spacing w:line="400" w:lineRule="exact"/>
              <w:rPr>
                <w:rFonts w:hint="eastAsia" w:ascii="仿宋" w:hAnsi="仿宋" w:eastAsia="仿宋" w:cs="仿宋"/>
                <w:szCs w:val="21"/>
                <w:highlight w:val="none"/>
              </w:rPr>
            </w:pPr>
            <w:r>
              <w:rPr>
                <w:rFonts w:hint="eastAsia" w:ascii="仿宋" w:hAnsi="MS Gothic" w:eastAsia="MS Gothic" w:cs="MS Gothic"/>
                <w:kern w:val="0"/>
                <w:szCs w:val="21"/>
                <w:highlight w:val="none"/>
              </w:rPr>
              <w:t>☐</w:t>
            </w:r>
            <w:r>
              <w:rPr>
                <w:rFonts w:hint="eastAsia" w:ascii="仿宋" w:hAnsi="仿宋" w:eastAsia="仿宋" w:cs="仿宋"/>
                <w:kern w:val="0"/>
                <w:szCs w:val="21"/>
                <w:highlight w:val="none"/>
              </w:rPr>
              <w:t>B组织，</w:t>
            </w:r>
            <w:r>
              <w:rPr>
                <w:rFonts w:hint="eastAsia" w:ascii="仿宋" w:hAnsi="仿宋" w:eastAsia="仿宋" w:cs="仿宋"/>
                <w:szCs w:val="21"/>
                <w:highlight w:val="none"/>
              </w:rPr>
              <w:t>时间：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，地点：</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，联系人：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，联系方式：</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tc>
      </w:tr>
      <w:tr w14:paraId="322A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8" w:type="dxa"/>
            <w:noWrap w:val="0"/>
            <w:vAlign w:val="center"/>
          </w:tcPr>
          <w:p w14:paraId="0276C38F">
            <w:pPr>
              <w:snapToGrid w:val="0"/>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0" w:type="auto"/>
            <w:noWrap w:val="0"/>
            <w:vAlign w:val="center"/>
          </w:tcPr>
          <w:p w14:paraId="04CC31D1">
            <w:pPr>
              <w:snapToGrid w:val="0"/>
              <w:spacing w:line="40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样品提供</w:t>
            </w:r>
          </w:p>
        </w:tc>
        <w:tc>
          <w:tcPr>
            <w:tcW w:w="7176" w:type="dxa"/>
            <w:noWrap w:val="0"/>
            <w:vAlign w:val="center"/>
          </w:tcPr>
          <w:p w14:paraId="6069263D">
            <w:pPr>
              <w:spacing w:line="400" w:lineRule="exact"/>
              <w:jc w:val="left"/>
              <w:rPr>
                <w:rFonts w:hint="eastAsia" w:ascii="仿宋" w:hAnsi="仿宋" w:eastAsia="仿宋"/>
                <w:bCs/>
                <w:color w:val="000000"/>
                <w:szCs w:val="21"/>
                <w:highlight w:val="none"/>
              </w:rPr>
            </w:pPr>
            <w:r>
              <w:rPr>
                <w:rFonts w:hint="eastAsia" w:ascii="仿宋" w:hAnsi="仿宋" w:eastAsia="仿宋"/>
                <w:bCs/>
                <w:color w:val="000000"/>
                <w:szCs w:val="21"/>
                <w:highlight w:val="none"/>
              </w:rPr>
              <w:sym w:font="Wingdings" w:char="F0FE"/>
            </w:r>
            <w:r>
              <w:rPr>
                <w:rFonts w:hint="eastAsia" w:ascii="仿宋" w:hAnsi="仿宋" w:eastAsia="仿宋"/>
                <w:bCs/>
                <w:color w:val="000000"/>
                <w:szCs w:val="21"/>
                <w:highlight w:val="none"/>
              </w:rPr>
              <w:t>A不要求提供。</w:t>
            </w:r>
          </w:p>
          <w:p w14:paraId="2880401F">
            <w:pPr>
              <w:spacing w:line="400" w:lineRule="exact"/>
              <w:jc w:val="left"/>
              <w:rPr>
                <w:rFonts w:hint="eastAsia" w:ascii="仿宋" w:hAnsi="仿宋" w:eastAsia="仿宋"/>
                <w:bCs/>
                <w:color w:val="000000"/>
                <w:szCs w:val="21"/>
                <w:highlight w:val="none"/>
              </w:rPr>
            </w:pPr>
            <w:r>
              <w:rPr>
                <w:rFonts w:hint="eastAsia" w:ascii="仿宋" w:hAnsi="仿宋" w:eastAsia="仿宋"/>
                <w:bCs/>
                <w:color w:val="000000"/>
                <w:szCs w:val="21"/>
                <w:highlight w:val="none"/>
              </w:rPr>
              <w:sym w:font="Wingdings" w:char="00A8"/>
            </w:r>
            <w:r>
              <w:rPr>
                <w:rFonts w:hint="eastAsia" w:ascii="仿宋" w:hAnsi="仿宋" w:eastAsia="仿宋"/>
                <w:bCs/>
                <w:color w:val="000000"/>
                <w:szCs w:val="21"/>
                <w:highlight w:val="none"/>
              </w:rPr>
              <w:t>B要求提供，</w:t>
            </w:r>
          </w:p>
          <w:p w14:paraId="567E91C0">
            <w:pPr>
              <w:spacing w:line="400" w:lineRule="exact"/>
              <w:jc w:val="left"/>
              <w:rPr>
                <w:rFonts w:hint="eastAsia" w:ascii="仿宋" w:hAnsi="仿宋" w:eastAsia="仿宋"/>
                <w:bCs/>
                <w:color w:val="000000"/>
                <w:szCs w:val="21"/>
                <w:highlight w:val="none"/>
              </w:rPr>
            </w:pPr>
            <w:r>
              <w:rPr>
                <w:rFonts w:hint="eastAsia" w:ascii="仿宋" w:hAnsi="仿宋" w:eastAsia="仿宋"/>
                <w:bCs/>
                <w:color w:val="000000"/>
                <w:szCs w:val="21"/>
                <w:highlight w:val="none"/>
              </w:rPr>
              <w:t>（1）样品：</w:t>
            </w:r>
            <w:r>
              <w:rPr>
                <w:rFonts w:hint="eastAsia" w:ascii="仿宋" w:hAnsi="仿宋" w:eastAsia="仿宋"/>
                <w:bCs/>
                <w:color w:val="000000"/>
                <w:szCs w:val="21"/>
                <w:highlight w:val="none"/>
                <w:u w:val="single"/>
              </w:rPr>
              <w:t xml:space="preserve">    </w:t>
            </w:r>
            <w:r>
              <w:rPr>
                <w:rFonts w:hint="eastAsia" w:ascii="仿宋" w:hAnsi="仿宋" w:eastAsia="仿宋"/>
                <w:bCs/>
                <w:color w:val="000000"/>
                <w:szCs w:val="21"/>
                <w:highlight w:val="none"/>
              </w:rPr>
              <w:t>；</w:t>
            </w:r>
          </w:p>
          <w:p w14:paraId="190723E5">
            <w:pPr>
              <w:spacing w:line="400" w:lineRule="exact"/>
              <w:jc w:val="left"/>
              <w:rPr>
                <w:rFonts w:hint="eastAsia" w:ascii="仿宋" w:hAnsi="仿宋" w:eastAsia="仿宋"/>
                <w:bCs/>
                <w:color w:val="000000"/>
                <w:szCs w:val="21"/>
                <w:highlight w:val="none"/>
              </w:rPr>
            </w:pPr>
            <w:r>
              <w:rPr>
                <w:rFonts w:hint="eastAsia" w:ascii="仿宋" w:hAnsi="仿宋" w:eastAsia="仿宋"/>
                <w:bCs/>
                <w:color w:val="000000"/>
                <w:szCs w:val="21"/>
                <w:highlight w:val="none"/>
              </w:rPr>
              <w:t>（2）样品制作的标准和要求：</w:t>
            </w:r>
            <w:r>
              <w:rPr>
                <w:rFonts w:hint="eastAsia" w:ascii="仿宋" w:hAnsi="仿宋" w:eastAsia="仿宋"/>
                <w:bCs/>
                <w:color w:val="000000"/>
                <w:szCs w:val="21"/>
                <w:highlight w:val="none"/>
                <w:u w:val="single"/>
              </w:rPr>
              <w:t xml:space="preserve">    </w:t>
            </w:r>
            <w:r>
              <w:rPr>
                <w:rFonts w:hint="eastAsia" w:ascii="仿宋" w:hAnsi="仿宋" w:eastAsia="仿宋"/>
                <w:bCs/>
                <w:color w:val="000000"/>
                <w:szCs w:val="21"/>
                <w:highlight w:val="none"/>
              </w:rPr>
              <w:t>；</w:t>
            </w:r>
          </w:p>
          <w:p w14:paraId="39AB7D95">
            <w:pPr>
              <w:spacing w:line="400" w:lineRule="exact"/>
              <w:jc w:val="left"/>
              <w:rPr>
                <w:rFonts w:hint="eastAsia" w:ascii="仿宋" w:hAnsi="仿宋" w:eastAsia="仿宋"/>
                <w:bCs/>
                <w:color w:val="000000"/>
                <w:szCs w:val="21"/>
                <w:highlight w:val="none"/>
              </w:rPr>
            </w:pPr>
            <w:r>
              <w:rPr>
                <w:rFonts w:hint="eastAsia" w:ascii="仿宋" w:hAnsi="仿宋" w:eastAsia="仿宋"/>
                <w:bCs/>
                <w:color w:val="000000"/>
                <w:szCs w:val="21"/>
                <w:highlight w:val="none"/>
              </w:rPr>
              <w:t>（3）样品的评审方法以及评审标准：详见</w:t>
            </w:r>
            <w:r>
              <w:rPr>
                <w:rFonts w:hint="eastAsia" w:ascii="仿宋" w:hAnsi="仿宋" w:eastAsia="仿宋"/>
                <w:bCs/>
                <w:color w:val="000000"/>
                <w:szCs w:val="21"/>
                <w:highlight w:val="none"/>
                <w:u w:val="single"/>
              </w:rPr>
              <w:t>评标办法</w:t>
            </w:r>
            <w:r>
              <w:rPr>
                <w:rFonts w:hint="eastAsia" w:ascii="仿宋" w:hAnsi="仿宋" w:eastAsia="仿宋"/>
                <w:bCs/>
                <w:color w:val="000000"/>
                <w:szCs w:val="21"/>
                <w:highlight w:val="none"/>
              </w:rPr>
              <w:t>；</w:t>
            </w:r>
          </w:p>
          <w:p w14:paraId="49A166AF">
            <w:pPr>
              <w:spacing w:line="400" w:lineRule="exact"/>
              <w:jc w:val="left"/>
              <w:rPr>
                <w:rFonts w:hint="eastAsia" w:ascii="仿宋" w:hAnsi="仿宋" w:eastAsia="仿宋"/>
                <w:bCs/>
                <w:color w:val="000000"/>
                <w:szCs w:val="21"/>
                <w:highlight w:val="none"/>
              </w:rPr>
            </w:pPr>
            <w:r>
              <w:rPr>
                <w:rFonts w:hint="eastAsia" w:ascii="仿宋" w:hAnsi="仿宋" w:eastAsia="仿宋"/>
                <w:bCs/>
                <w:color w:val="000000"/>
                <w:szCs w:val="21"/>
                <w:highlight w:val="none"/>
              </w:rPr>
              <w:t>（4）是否需要随样品提交检测报告：</w:t>
            </w:r>
            <w:r>
              <w:rPr>
                <w:rFonts w:hint="eastAsia" w:ascii="仿宋" w:hAnsi="仿宋" w:eastAsia="仿宋"/>
                <w:bCs/>
                <w:color w:val="000000"/>
                <w:szCs w:val="21"/>
                <w:highlight w:val="none"/>
              </w:rPr>
              <w:sym w:font="Wingdings" w:char="00A8"/>
            </w:r>
            <w:r>
              <w:rPr>
                <w:rFonts w:hint="eastAsia" w:ascii="仿宋" w:hAnsi="仿宋" w:eastAsia="仿宋"/>
                <w:bCs/>
                <w:color w:val="000000"/>
                <w:szCs w:val="21"/>
                <w:highlight w:val="none"/>
              </w:rPr>
              <w:t>否；☐是，检测机构的要求：</w:t>
            </w:r>
            <w:r>
              <w:rPr>
                <w:rFonts w:hint="eastAsia" w:ascii="仿宋" w:hAnsi="仿宋" w:eastAsia="仿宋"/>
                <w:bCs/>
                <w:color w:val="000000"/>
                <w:szCs w:val="21"/>
                <w:highlight w:val="none"/>
                <w:u w:val="single"/>
              </w:rPr>
              <w:t xml:space="preserve">       </w:t>
            </w:r>
            <w:r>
              <w:rPr>
                <w:rFonts w:hint="eastAsia" w:ascii="仿宋" w:hAnsi="仿宋" w:eastAsia="仿宋"/>
                <w:bCs/>
                <w:color w:val="000000"/>
                <w:szCs w:val="21"/>
                <w:highlight w:val="none"/>
              </w:rPr>
              <w:t>；检测内容：</w:t>
            </w:r>
            <w:r>
              <w:rPr>
                <w:rFonts w:hint="eastAsia" w:ascii="仿宋" w:hAnsi="仿宋" w:eastAsia="仿宋"/>
                <w:bCs/>
                <w:color w:val="000000"/>
                <w:szCs w:val="21"/>
                <w:highlight w:val="none"/>
                <w:u w:val="single"/>
              </w:rPr>
              <w:t xml:space="preserve">         </w:t>
            </w:r>
            <w:r>
              <w:rPr>
                <w:rFonts w:hint="eastAsia" w:ascii="仿宋" w:hAnsi="仿宋" w:eastAsia="仿宋"/>
                <w:bCs/>
                <w:color w:val="000000"/>
                <w:szCs w:val="21"/>
                <w:highlight w:val="none"/>
              </w:rPr>
              <w:t>。</w:t>
            </w:r>
          </w:p>
          <w:p w14:paraId="2C042536">
            <w:pPr>
              <w:spacing w:line="400" w:lineRule="exact"/>
              <w:jc w:val="left"/>
              <w:rPr>
                <w:rFonts w:hint="eastAsia" w:ascii="仿宋" w:hAnsi="仿宋" w:eastAsia="仿宋"/>
                <w:bCs/>
                <w:color w:val="000000"/>
                <w:szCs w:val="21"/>
                <w:highlight w:val="none"/>
              </w:rPr>
            </w:pPr>
            <w:r>
              <w:rPr>
                <w:rFonts w:hint="eastAsia" w:ascii="仿宋" w:hAnsi="仿宋" w:eastAsia="仿宋"/>
                <w:bCs/>
                <w:color w:val="000000"/>
                <w:szCs w:val="21"/>
                <w:highlight w:val="none"/>
              </w:rPr>
              <w:t>（5）提供样品的时间：</w:t>
            </w:r>
            <w:r>
              <w:rPr>
                <w:rFonts w:hint="eastAsia" w:ascii="仿宋" w:hAnsi="仿宋" w:eastAsia="仿宋"/>
                <w:bCs/>
                <w:color w:val="000000"/>
                <w:szCs w:val="21"/>
                <w:highlight w:val="none"/>
                <w:u w:val="single"/>
              </w:rPr>
              <w:t xml:space="preserve">    </w:t>
            </w:r>
            <w:r>
              <w:rPr>
                <w:rFonts w:hint="eastAsia" w:ascii="仿宋" w:hAnsi="仿宋" w:eastAsia="仿宋"/>
                <w:bCs/>
                <w:color w:val="000000"/>
                <w:szCs w:val="21"/>
                <w:highlight w:val="none"/>
              </w:rPr>
              <w:t>；地点：</w:t>
            </w:r>
            <w:r>
              <w:rPr>
                <w:rFonts w:hint="eastAsia" w:ascii="仿宋" w:hAnsi="仿宋" w:eastAsia="仿宋"/>
                <w:bCs/>
                <w:color w:val="000000"/>
                <w:szCs w:val="21"/>
                <w:highlight w:val="none"/>
                <w:u w:val="single"/>
              </w:rPr>
              <w:t xml:space="preserve">    </w:t>
            </w:r>
            <w:r>
              <w:rPr>
                <w:rFonts w:hint="eastAsia" w:ascii="仿宋" w:hAnsi="仿宋" w:eastAsia="仿宋"/>
                <w:bCs/>
                <w:color w:val="000000"/>
                <w:szCs w:val="21"/>
                <w:highlight w:val="none"/>
              </w:rPr>
              <w:t>；联系人：</w:t>
            </w:r>
            <w:r>
              <w:rPr>
                <w:rFonts w:hint="eastAsia" w:ascii="仿宋" w:hAnsi="仿宋" w:eastAsia="仿宋"/>
                <w:bCs/>
                <w:color w:val="000000"/>
                <w:szCs w:val="21"/>
                <w:highlight w:val="none"/>
                <w:u w:val="single"/>
              </w:rPr>
              <w:t xml:space="preserve">   </w:t>
            </w:r>
            <w:r>
              <w:rPr>
                <w:rFonts w:hint="eastAsia" w:ascii="仿宋" w:hAnsi="仿宋" w:eastAsia="仿宋"/>
                <w:bCs/>
                <w:color w:val="000000"/>
                <w:szCs w:val="21"/>
                <w:highlight w:val="none"/>
              </w:rPr>
              <w:t>，联系电话：</w:t>
            </w:r>
            <w:r>
              <w:rPr>
                <w:rFonts w:hint="eastAsia" w:ascii="仿宋" w:hAnsi="仿宋" w:eastAsia="仿宋"/>
                <w:bCs/>
                <w:color w:val="000000"/>
                <w:szCs w:val="21"/>
                <w:highlight w:val="none"/>
                <w:u w:val="single"/>
              </w:rPr>
              <w:t xml:space="preserve">    </w:t>
            </w:r>
            <w:r>
              <w:rPr>
                <w:rFonts w:hint="eastAsia" w:ascii="仿宋" w:hAnsi="仿宋" w:eastAsia="仿宋"/>
                <w:bCs/>
                <w:color w:val="000000"/>
                <w:szCs w:val="21"/>
                <w:highlight w:val="none"/>
              </w:rPr>
              <w:t>。请供应商在上述时间内提供样品并按规定位置安装完毕。超过截止时间的，采购人或采购代理机构将不予接收，并将清场并封闭样品现场。</w:t>
            </w:r>
          </w:p>
          <w:p w14:paraId="35AABE14">
            <w:pPr>
              <w:spacing w:line="400" w:lineRule="exact"/>
              <w:jc w:val="left"/>
              <w:rPr>
                <w:rFonts w:hint="eastAsia" w:ascii="仿宋" w:hAnsi="仿宋" w:eastAsia="仿宋"/>
                <w:bCs/>
                <w:color w:val="000000"/>
                <w:szCs w:val="21"/>
                <w:highlight w:val="none"/>
              </w:rPr>
            </w:pPr>
            <w:r>
              <w:rPr>
                <w:rFonts w:hint="eastAsia" w:ascii="仿宋" w:hAnsi="仿宋" w:eastAsia="仿宋"/>
                <w:bCs/>
                <w:color w:val="000000"/>
                <w:szCs w:val="21"/>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413F9AD">
            <w:pPr>
              <w:spacing w:line="400" w:lineRule="exact"/>
              <w:jc w:val="left"/>
              <w:rPr>
                <w:rFonts w:hint="eastAsia" w:ascii="仿宋" w:hAnsi="仿宋" w:eastAsia="仿宋" w:cs="仿宋"/>
                <w:b/>
                <w:szCs w:val="21"/>
                <w:highlight w:val="none"/>
              </w:rPr>
            </w:pPr>
            <w:r>
              <w:rPr>
                <w:rFonts w:hint="eastAsia" w:ascii="仿宋" w:hAnsi="仿宋" w:eastAsia="仿宋"/>
                <w:bCs/>
                <w:color w:val="000000"/>
                <w:szCs w:val="21"/>
                <w:highlight w:val="none"/>
              </w:rPr>
              <w:t>（7）制作、运输、安装和保管样品所发生的一切费用由供应商。</w:t>
            </w:r>
          </w:p>
        </w:tc>
      </w:tr>
      <w:tr w14:paraId="292F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8" w:type="dxa"/>
            <w:noWrap w:val="0"/>
            <w:vAlign w:val="center"/>
          </w:tcPr>
          <w:p w14:paraId="0C3BD064">
            <w:pPr>
              <w:snapToGrid w:val="0"/>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0" w:type="auto"/>
            <w:noWrap w:val="0"/>
            <w:vAlign w:val="center"/>
          </w:tcPr>
          <w:p w14:paraId="4C891A4D">
            <w:pPr>
              <w:snapToGrid w:val="0"/>
              <w:spacing w:line="400" w:lineRule="exact"/>
              <w:jc w:val="center"/>
              <w:rPr>
                <w:rFonts w:hint="eastAsia" w:ascii="仿宋" w:hAnsi="仿宋" w:eastAsia="仿宋" w:cs="仿宋"/>
                <w:bCs/>
                <w:szCs w:val="21"/>
                <w:highlight w:val="none"/>
              </w:rPr>
            </w:pPr>
            <w:r>
              <w:rPr>
                <w:rFonts w:hint="eastAsia" w:ascii="仿宋" w:hAnsi="仿宋" w:eastAsia="仿宋" w:cs="仿宋"/>
                <w:b/>
                <w:szCs w:val="21"/>
                <w:highlight w:val="none"/>
              </w:rPr>
              <w:t>方案讲解演示</w:t>
            </w:r>
          </w:p>
        </w:tc>
        <w:tc>
          <w:tcPr>
            <w:tcW w:w="7176" w:type="dxa"/>
            <w:noWrap w:val="0"/>
            <w:vAlign w:val="center"/>
          </w:tcPr>
          <w:p w14:paraId="34A9A67B">
            <w:pPr>
              <w:spacing w:line="400" w:lineRule="exact"/>
              <w:jc w:val="left"/>
              <w:rPr>
                <w:rFonts w:hint="eastAsia" w:ascii="仿宋" w:hAnsi="仿宋" w:eastAsia="仿宋"/>
                <w:bCs/>
                <w:color w:val="000000"/>
                <w:szCs w:val="21"/>
                <w:highlight w:val="none"/>
              </w:rPr>
            </w:pPr>
            <w:r>
              <w:rPr>
                <w:rFonts w:hint="eastAsia" w:ascii="仿宋" w:hAnsi="仿宋" w:eastAsia="仿宋"/>
                <w:bCs/>
                <w:color w:val="000000"/>
                <w:szCs w:val="21"/>
                <w:highlight w:val="none"/>
              </w:rPr>
              <w:sym w:font="Wingdings" w:char="F0FE"/>
            </w:r>
            <w:r>
              <w:rPr>
                <w:rFonts w:hint="eastAsia" w:ascii="仿宋" w:hAnsi="仿宋" w:eastAsia="仿宋"/>
                <w:bCs/>
                <w:color w:val="000000"/>
                <w:szCs w:val="21"/>
                <w:highlight w:val="none"/>
              </w:rPr>
              <w:t>A不组织。</w:t>
            </w:r>
          </w:p>
          <w:p w14:paraId="24FD85B5">
            <w:pPr>
              <w:spacing w:line="400" w:lineRule="exact"/>
              <w:jc w:val="left"/>
              <w:rPr>
                <w:rFonts w:hint="eastAsia" w:ascii="仿宋" w:hAnsi="仿宋" w:eastAsia="仿宋"/>
                <w:bCs/>
                <w:color w:val="000000"/>
                <w:szCs w:val="21"/>
                <w:highlight w:val="none"/>
              </w:rPr>
            </w:pPr>
            <w:r>
              <w:rPr>
                <w:rFonts w:hint="eastAsia" w:ascii="仿宋" w:hAnsi="仿宋" w:eastAsia="仿宋"/>
                <w:bCs/>
                <w:color w:val="000000"/>
                <w:szCs w:val="21"/>
                <w:highlight w:val="none"/>
              </w:rPr>
              <w:t>☐B组织。</w:t>
            </w:r>
          </w:p>
          <w:p w14:paraId="26DB637C">
            <w:pPr>
              <w:spacing w:line="400" w:lineRule="exact"/>
              <w:jc w:val="left"/>
              <w:rPr>
                <w:rFonts w:hint="eastAsia" w:ascii="仿宋" w:hAnsi="仿宋" w:eastAsia="仿宋"/>
                <w:bCs/>
                <w:color w:val="000000"/>
                <w:szCs w:val="21"/>
                <w:highlight w:val="none"/>
              </w:rPr>
            </w:pPr>
            <w:r>
              <w:rPr>
                <w:rFonts w:hint="eastAsia" w:ascii="仿宋" w:hAnsi="仿宋" w:eastAsia="仿宋"/>
                <w:bCs/>
                <w:color w:val="000000"/>
                <w:szCs w:val="21"/>
                <w:highlight w:val="none"/>
              </w:rPr>
              <w:t>（1）在评标时安排每个供应商进行方案讲解演示。每个供应商时间不超过</w:t>
            </w:r>
            <w:r>
              <w:rPr>
                <w:rFonts w:hint="eastAsia" w:ascii="仿宋" w:hAnsi="仿宋" w:eastAsia="仿宋"/>
                <w:bCs/>
                <w:color w:val="000000"/>
                <w:szCs w:val="21"/>
                <w:highlight w:val="none"/>
                <w:u w:val="single"/>
              </w:rPr>
              <w:t xml:space="preserve">    </w:t>
            </w:r>
            <w:r>
              <w:rPr>
                <w:rFonts w:hint="eastAsia" w:ascii="仿宋" w:hAnsi="仿宋" w:eastAsia="仿宋"/>
                <w:bCs/>
                <w:color w:val="000000"/>
                <w:szCs w:val="21"/>
                <w:highlight w:val="none"/>
              </w:rPr>
              <w:t>分钟，讲解次序以投标文件解密时间先后次序为准，讲解演示人员不超过</w:t>
            </w:r>
            <w:r>
              <w:rPr>
                <w:rFonts w:hint="eastAsia" w:ascii="仿宋" w:hAnsi="仿宋" w:eastAsia="仿宋"/>
                <w:bCs/>
                <w:color w:val="000000"/>
                <w:szCs w:val="21"/>
                <w:highlight w:val="none"/>
                <w:u w:val="single"/>
              </w:rPr>
              <w:t xml:space="preserve">    </w:t>
            </w:r>
            <w:r>
              <w:rPr>
                <w:rFonts w:hint="eastAsia" w:ascii="仿宋" w:hAnsi="仿宋" w:eastAsia="仿宋"/>
                <w:bCs/>
                <w:color w:val="000000"/>
                <w:szCs w:val="21"/>
                <w:highlight w:val="none"/>
              </w:rPr>
              <w:t>人。讲解演示结束后按要求解答评标委员会提问。</w:t>
            </w:r>
          </w:p>
          <w:p w14:paraId="559449E2">
            <w:pPr>
              <w:spacing w:line="400" w:lineRule="exact"/>
              <w:jc w:val="left"/>
              <w:rPr>
                <w:rFonts w:hint="eastAsia" w:ascii="仿宋" w:hAnsi="仿宋" w:eastAsia="仿宋"/>
                <w:bCs/>
                <w:color w:val="000000"/>
                <w:szCs w:val="21"/>
                <w:highlight w:val="none"/>
              </w:rPr>
            </w:pPr>
            <w:r>
              <w:rPr>
                <w:rFonts w:hint="eastAsia" w:ascii="仿宋" w:hAnsi="仿宋" w:eastAsia="仿宋"/>
                <w:bCs/>
                <w:color w:val="000000"/>
                <w:szCs w:val="21"/>
                <w:highlight w:val="none"/>
              </w:rPr>
              <w:t>（2）方案讲解演示可选择以下其中一种方式：</w:t>
            </w:r>
          </w:p>
          <w:p w14:paraId="1ECC2074">
            <w:pPr>
              <w:spacing w:line="400" w:lineRule="exact"/>
              <w:jc w:val="left"/>
              <w:rPr>
                <w:rFonts w:hint="eastAsia" w:ascii="仿宋" w:hAnsi="仿宋" w:eastAsia="仿宋"/>
                <w:bCs/>
                <w:color w:val="000000"/>
                <w:szCs w:val="21"/>
                <w:highlight w:val="none"/>
              </w:rPr>
            </w:pPr>
            <w:r>
              <w:rPr>
                <w:rFonts w:hint="eastAsia" w:ascii="仿宋" w:hAnsi="仿宋" w:eastAsia="仿宋"/>
                <w:bCs/>
                <w:color w:val="000000"/>
                <w:szCs w:val="21"/>
                <w:highlight w:val="none"/>
              </w:rPr>
              <w:t>方式一：政采云平台在线讲解演示。政采云平台在线讲解需供应商根据政采云平台操作要求做好准备工作，提前完善软硬件配置环境。</w:t>
            </w:r>
          </w:p>
          <w:p w14:paraId="21E80AD1">
            <w:pPr>
              <w:spacing w:line="400" w:lineRule="exact"/>
              <w:jc w:val="left"/>
              <w:rPr>
                <w:rFonts w:hint="eastAsia" w:ascii="仿宋" w:hAnsi="仿宋" w:eastAsia="仿宋"/>
                <w:bCs/>
                <w:color w:val="000000"/>
                <w:szCs w:val="21"/>
                <w:highlight w:val="none"/>
              </w:rPr>
            </w:pPr>
            <w:r>
              <w:rPr>
                <w:rFonts w:hint="eastAsia" w:ascii="仿宋" w:hAnsi="仿宋" w:eastAsia="仿宋"/>
                <w:bCs/>
                <w:color w:val="000000"/>
                <w:szCs w:val="21"/>
                <w:highlight w:val="none"/>
              </w:rPr>
              <w:t>方式二：交易中心现场讲解演示。现场讲解地点为</w:t>
            </w:r>
            <w:r>
              <w:rPr>
                <w:rFonts w:hint="eastAsia" w:ascii="仿宋" w:hAnsi="仿宋" w:eastAsia="仿宋"/>
                <w:bCs/>
                <w:color w:val="000000"/>
                <w:szCs w:val="21"/>
                <w:highlight w:val="none"/>
                <w:u w:val="single"/>
              </w:rPr>
              <w:t xml:space="preserve">        </w:t>
            </w:r>
            <w:r>
              <w:rPr>
                <w:rFonts w:hint="eastAsia" w:ascii="仿宋" w:hAnsi="仿宋" w:eastAsia="仿宋"/>
                <w:bCs/>
                <w:color w:val="000000"/>
                <w:szCs w:val="21"/>
                <w:highlight w:val="none"/>
              </w:rPr>
              <w:t>，讲解演示所用电脑等设备由供应商自备。现场讲解演示人员进场时提供讲解人员名单（加盖公章）及身份证明，否则不得讲解演示。</w:t>
            </w:r>
          </w:p>
          <w:p w14:paraId="71468F7A">
            <w:pPr>
              <w:spacing w:line="400" w:lineRule="exact"/>
              <w:jc w:val="left"/>
              <w:rPr>
                <w:rFonts w:hint="eastAsia" w:ascii="仿宋" w:hAnsi="仿宋" w:eastAsia="仿宋" w:cs="仿宋"/>
                <w:b/>
                <w:kern w:val="0"/>
                <w:szCs w:val="21"/>
                <w:highlight w:val="none"/>
                <w:lang w:val="zh-CN"/>
              </w:rPr>
            </w:pPr>
            <w:r>
              <w:rPr>
                <w:rFonts w:hint="eastAsia" w:ascii="仿宋" w:hAnsi="仿宋" w:eastAsia="仿宋"/>
                <w:bCs/>
                <w:color w:val="000000"/>
                <w:szCs w:val="21"/>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67F7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8" w:type="dxa"/>
            <w:noWrap w:val="0"/>
            <w:vAlign w:val="center"/>
          </w:tcPr>
          <w:p w14:paraId="5ED47679">
            <w:pPr>
              <w:snapToGrid w:val="0"/>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8</w:t>
            </w:r>
          </w:p>
        </w:tc>
        <w:tc>
          <w:tcPr>
            <w:tcW w:w="0" w:type="auto"/>
            <w:noWrap w:val="0"/>
            <w:vAlign w:val="center"/>
          </w:tcPr>
          <w:p w14:paraId="61B6D2D9">
            <w:pPr>
              <w:snapToGrid w:val="0"/>
              <w:spacing w:line="40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是否允许采购进口产品</w:t>
            </w:r>
          </w:p>
        </w:tc>
        <w:tc>
          <w:tcPr>
            <w:tcW w:w="7176" w:type="dxa"/>
            <w:noWrap w:val="0"/>
            <w:vAlign w:val="center"/>
          </w:tcPr>
          <w:p w14:paraId="17EA5C0F">
            <w:pPr>
              <w:spacing w:line="400" w:lineRule="exact"/>
              <w:jc w:val="left"/>
              <w:rPr>
                <w:rFonts w:hint="eastAsia" w:ascii="仿宋" w:hAnsi="仿宋" w:eastAsia="仿宋"/>
                <w:bCs/>
                <w:color w:val="000000"/>
                <w:szCs w:val="21"/>
                <w:highlight w:val="none"/>
              </w:rPr>
            </w:pPr>
            <w:r>
              <w:rPr>
                <w:rFonts w:hint="eastAsia" w:ascii="仿宋" w:hAnsi="仿宋" w:eastAsia="仿宋"/>
                <w:bCs/>
                <w:color w:val="000000"/>
                <w:szCs w:val="21"/>
                <w:highlight w:val="none"/>
              </w:rPr>
              <w:sym w:font="Wingdings" w:char="F0FE"/>
            </w:r>
            <w:r>
              <w:rPr>
                <w:rFonts w:hint="eastAsia" w:ascii="仿宋" w:hAnsi="仿宋" w:eastAsia="仿宋"/>
                <w:bCs/>
                <w:color w:val="000000"/>
                <w:szCs w:val="21"/>
                <w:highlight w:val="none"/>
              </w:rPr>
              <w:t>本项目不允许采购进口产品。</w:t>
            </w:r>
          </w:p>
          <w:p w14:paraId="286BD156">
            <w:pPr>
              <w:spacing w:line="400" w:lineRule="exact"/>
              <w:jc w:val="left"/>
              <w:rPr>
                <w:rFonts w:hint="eastAsia" w:ascii="仿宋" w:hAnsi="仿宋" w:eastAsia="仿宋" w:cs="仿宋"/>
                <w:szCs w:val="21"/>
                <w:highlight w:val="none"/>
              </w:rPr>
            </w:pPr>
            <w:r>
              <w:rPr>
                <w:rFonts w:hint="eastAsia" w:ascii="仿宋" w:hAnsi="仿宋" w:eastAsia="仿宋"/>
                <w:bCs/>
                <w:color w:val="000000"/>
                <w:szCs w:val="21"/>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9BB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8" w:type="dxa"/>
            <w:noWrap w:val="0"/>
            <w:vAlign w:val="center"/>
          </w:tcPr>
          <w:p w14:paraId="0C9B18EC">
            <w:pPr>
              <w:snapToGrid w:val="0"/>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9</w:t>
            </w:r>
          </w:p>
        </w:tc>
        <w:tc>
          <w:tcPr>
            <w:tcW w:w="0" w:type="auto"/>
            <w:noWrap w:val="0"/>
            <w:vAlign w:val="center"/>
          </w:tcPr>
          <w:p w14:paraId="657980E5">
            <w:pPr>
              <w:snapToGrid w:val="0"/>
              <w:spacing w:line="40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项目属性与核心产品</w:t>
            </w:r>
          </w:p>
        </w:tc>
        <w:tc>
          <w:tcPr>
            <w:tcW w:w="7176" w:type="dxa"/>
            <w:noWrap w:val="0"/>
            <w:vAlign w:val="center"/>
          </w:tcPr>
          <w:p w14:paraId="1093CB19">
            <w:pPr>
              <w:spacing w:line="400" w:lineRule="exact"/>
              <w:jc w:val="left"/>
              <w:rPr>
                <w:rFonts w:hint="eastAsia" w:ascii="仿宋" w:hAnsi="仿宋" w:eastAsia="仿宋"/>
                <w:bCs/>
                <w:color w:val="000000"/>
                <w:szCs w:val="21"/>
                <w:highlight w:val="none"/>
              </w:rPr>
            </w:pPr>
            <w:r>
              <w:rPr>
                <w:rFonts w:hint="eastAsia" w:ascii="仿宋" w:hAnsi="仿宋" w:eastAsia="仿宋"/>
                <w:bCs/>
                <w:color w:val="000000"/>
                <w:szCs w:val="21"/>
                <w:highlight w:val="none"/>
              </w:rPr>
              <w:t>☐A货物类，单一产品或核心产品为：</w:t>
            </w:r>
            <w:r>
              <w:rPr>
                <w:rFonts w:hint="eastAsia" w:ascii="仿宋" w:hAnsi="仿宋" w:eastAsia="仿宋"/>
                <w:bCs/>
                <w:color w:val="000000"/>
                <w:szCs w:val="21"/>
                <w:highlight w:val="none"/>
                <w:u w:val="single"/>
              </w:rPr>
              <w:t xml:space="preserve">    /    </w:t>
            </w:r>
            <w:r>
              <w:rPr>
                <w:rFonts w:hint="eastAsia" w:ascii="仿宋" w:hAnsi="仿宋" w:eastAsia="仿宋"/>
                <w:bCs/>
                <w:color w:val="000000"/>
                <w:szCs w:val="21"/>
                <w:highlight w:val="none"/>
              </w:rPr>
              <w:t>。</w:t>
            </w:r>
          </w:p>
          <w:p w14:paraId="40341439">
            <w:pPr>
              <w:spacing w:line="400" w:lineRule="exact"/>
              <w:jc w:val="left"/>
              <w:rPr>
                <w:rFonts w:hint="eastAsia" w:ascii="仿宋" w:hAnsi="仿宋" w:eastAsia="仿宋"/>
                <w:bCs/>
                <w:color w:val="000000"/>
                <w:szCs w:val="21"/>
                <w:highlight w:val="none"/>
              </w:rPr>
            </w:pPr>
            <w:r>
              <w:rPr>
                <w:rFonts w:hint="eastAsia" w:ascii="仿宋" w:hAnsi="仿宋" w:eastAsia="仿宋"/>
                <w:bCs/>
                <w:color w:val="000000"/>
                <w:szCs w:val="21"/>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报价评审得分最高的同品牌供应商获得中标人推荐资格；评审得分和报价评审得分均相同的，由采购人或评标委员会采取随机抽取方式确定，其他同品牌供应商不作为中标候选人。</w:t>
            </w:r>
          </w:p>
          <w:p w14:paraId="25EEDCA5">
            <w:pPr>
              <w:spacing w:line="400" w:lineRule="exact"/>
              <w:jc w:val="left"/>
              <w:rPr>
                <w:rFonts w:hint="eastAsia" w:ascii="仿宋" w:hAnsi="仿宋" w:eastAsia="仿宋" w:cs="仿宋"/>
                <w:szCs w:val="21"/>
                <w:highlight w:val="none"/>
              </w:rPr>
            </w:pPr>
            <w:r>
              <w:rPr>
                <w:rFonts w:hint="eastAsia" w:ascii="仿宋" w:hAnsi="仿宋" w:eastAsia="仿宋"/>
                <w:bCs/>
                <w:color w:val="000000"/>
                <w:szCs w:val="21"/>
                <w:highlight w:val="none"/>
              </w:rPr>
              <w:sym w:font="Wingdings" w:char="F0FE"/>
            </w:r>
            <w:r>
              <w:rPr>
                <w:rFonts w:hint="eastAsia" w:ascii="仿宋" w:hAnsi="仿宋" w:eastAsia="仿宋"/>
                <w:bCs/>
                <w:color w:val="000000"/>
                <w:szCs w:val="21"/>
                <w:highlight w:val="none"/>
              </w:rPr>
              <w:t>B服务类。</w:t>
            </w:r>
          </w:p>
        </w:tc>
      </w:tr>
      <w:tr w14:paraId="3ECF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8" w:type="dxa"/>
            <w:noWrap w:val="0"/>
            <w:vAlign w:val="center"/>
          </w:tcPr>
          <w:p w14:paraId="6E19C1EE">
            <w:pPr>
              <w:snapToGrid w:val="0"/>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10</w:t>
            </w:r>
          </w:p>
        </w:tc>
        <w:tc>
          <w:tcPr>
            <w:tcW w:w="0" w:type="auto"/>
            <w:noWrap w:val="0"/>
            <w:vAlign w:val="center"/>
          </w:tcPr>
          <w:p w14:paraId="31291783">
            <w:pPr>
              <w:snapToGrid w:val="0"/>
              <w:spacing w:line="40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采购标的对应的中小企业划分标准所属行业</w:t>
            </w:r>
          </w:p>
        </w:tc>
        <w:tc>
          <w:tcPr>
            <w:tcW w:w="7176" w:type="dxa"/>
            <w:noWrap w:val="0"/>
            <w:vAlign w:val="center"/>
          </w:tcPr>
          <w:p w14:paraId="5BAD1425">
            <w:pPr>
              <w:spacing w:line="400" w:lineRule="exact"/>
              <w:jc w:val="left"/>
              <w:rPr>
                <w:rFonts w:hint="eastAsia" w:ascii="仿宋" w:hAnsi="仿宋" w:eastAsia="仿宋" w:cs="Times New Roman"/>
                <w:bCs/>
                <w:color w:val="000000"/>
                <w:szCs w:val="21"/>
                <w:highlight w:val="none"/>
                <w:lang w:val="en-US" w:eastAsia="zh-CN"/>
              </w:rPr>
            </w:pPr>
            <w:r>
              <w:rPr>
                <w:rFonts w:hint="eastAsia" w:ascii="仿宋" w:hAnsi="仿宋" w:eastAsia="仿宋" w:cs="Times New Roman"/>
                <w:bCs/>
                <w:color w:val="000000"/>
                <w:szCs w:val="21"/>
                <w:highlight w:val="none"/>
              </w:rPr>
              <w:t>标项1</w:t>
            </w:r>
            <w:r>
              <w:rPr>
                <w:rFonts w:hint="eastAsia" w:ascii="仿宋" w:hAnsi="仿宋" w:eastAsia="仿宋" w:cs="Times New Roman"/>
                <w:bCs/>
                <w:color w:val="000000"/>
                <w:szCs w:val="21"/>
                <w:highlight w:val="none"/>
                <w:lang w:eastAsia="zh-CN"/>
              </w:rPr>
              <w:t>：疗休养</w:t>
            </w:r>
            <w:r>
              <w:rPr>
                <w:rFonts w:hint="eastAsia" w:ascii="仿宋" w:hAnsi="仿宋" w:eastAsia="仿宋" w:cs="Times New Roman"/>
                <w:bCs/>
                <w:color w:val="000000"/>
                <w:szCs w:val="21"/>
                <w:highlight w:val="none"/>
                <w:lang w:val="en-US" w:eastAsia="zh-CN"/>
              </w:rPr>
              <w:t>服务，属于</w:t>
            </w:r>
            <w:r>
              <w:rPr>
                <w:rFonts w:hint="eastAsia" w:ascii="仿宋" w:hAnsi="仿宋" w:eastAsia="仿宋" w:cs="Times New Roman"/>
                <w:bCs/>
                <w:color w:val="000000"/>
                <w:szCs w:val="21"/>
                <w:highlight w:val="none"/>
                <w:u w:val="single"/>
                <w:lang w:val="en-US" w:eastAsia="zh-CN"/>
              </w:rPr>
              <w:t xml:space="preserve">  租赁和商务服务业  </w:t>
            </w:r>
            <w:r>
              <w:rPr>
                <w:rFonts w:hint="eastAsia" w:ascii="仿宋" w:hAnsi="仿宋" w:eastAsia="仿宋" w:cs="Times New Roman"/>
                <w:bCs/>
                <w:color w:val="000000"/>
                <w:szCs w:val="21"/>
                <w:highlight w:val="none"/>
                <w:lang w:val="en-US" w:eastAsia="zh-CN"/>
              </w:rPr>
              <w:t>。</w:t>
            </w:r>
          </w:p>
          <w:p w14:paraId="5DE79C93">
            <w:pPr>
              <w:spacing w:line="400" w:lineRule="exact"/>
              <w:jc w:val="left"/>
              <w:rPr>
                <w:rFonts w:hint="eastAsia" w:ascii="仿宋" w:hAnsi="仿宋" w:eastAsia="仿宋"/>
                <w:bCs/>
                <w:color w:val="000000"/>
                <w:szCs w:val="21"/>
                <w:highlight w:val="none"/>
              </w:rPr>
            </w:pPr>
            <w:r>
              <w:rPr>
                <w:rFonts w:hint="eastAsia" w:ascii="仿宋" w:hAnsi="仿宋" w:eastAsia="仿宋" w:cs="Times New Roman"/>
                <w:bCs/>
                <w:color w:val="000000"/>
                <w:szCs w:val="21"/>
                <w:highlight w:val="none"/>
              </w:rPr>
              <w:t>具体内容详见第六部分应提交的有关格式范例之</w:t>
            </w:r>
            <w:r>
              <w:rPr>
                <w:rFonts w:hint="eastAsia" w:ascii="仿宋" w:hAnsi="仿宋" w:eastAsia="仿宋" w:cs="Times New Roman"/>
                <w:bCs/>
                <w:color w:val="000000"/>
                <w:szCs w:val="21"/>
                <w:highlight w:val="none"/>
                <w:lang w:val="zh-CN"/>
              </w:rPr>
              <w:t>中小企业声明函（</w:t>
            </w:r>
            <w:r>
              <w:rPr>
                <w:rFonts w:hint="eastAsia" w:ascii="仿宋" w:hAnsi="仿宋" w:eastAsia="仿宋" w:cs="Times New Roman"/>
                <w:bCs/>
                <w:color w:val="000000"/>
                <w:szCs w:val="21"/>
                <w:highlight w:val="none"/>
                <w:lang w:val="en-US" w:eastAsia="zh-CN"/>
              </w:rPr>
              <w:t>服务</w:t>
            </w:r>
            <w:r>
              <w:rPr>
                <w:rFonts w:hint="eastAsia" w:ascii="仿宋" w:hAnsi="仿宋" w:eastAsia="仿宋" w:cs="Times New Roman"/>
                <w:bCs/>
                <w:color w:val="000000"/>
                <w:szCs w:val="21"/>
                <w:highlight w:val="none"/>
                <w:lang w:val="zh-CN"/>
              </w:rPr>
              <w:t>）。</w:t>
            </w:r>
          </w:p>
        </w:tc>
      </w:tr>
      <w:tr w14:paraId="25996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8" w:type="dxa"/>
            <w:noWrap w:val="0"/>
            <w:vAlign w:val="center"/>
          </w:tcPr>
          <w:p w14:paraId="72EEC56A">
            <w:pPr>
              <w:snapToGrid w:val="0"/>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11</w:t>
            </w:r>
          </w:p>
        </w:tc>
        <w:tc>
          <w:tcPr>
            <w:tcW w:w="0" w:type="auto"/>
            <w:noWrap w:val="0"/>
            <w:vAlign w:val="center"/>
          </w:tcPr>
          <w:p w14:paraId="6F258C2A">
            <w:pPr>
              <w:snapToGrid w:val="0"/>
              <w:spacing w:line="40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节能产品、环境标志产品</w:t>
            </w:r>
          </w:p>
        </w:tc>
        <w:tc>
          <w:tcPr>
            <w:tcW w:w="7176" w:type="dxa"/>
            <w:noWrap w:val="0"/>
            <w:vAlign w:val="center"/>
          </w:tcPr>
          <w:p w14:paraId="6ADF98D1">
            <w:pPr>
              <w:spacing w:line="400" w:lineRule="exact"/>
              <w:jc w:val="left"/>
              <w:rPr>
                <w:rFonts w:hint="eastAsia" w:ascii="仿宋" w:hAnsi="仿宋" w:eastAsia="仿宋" w:cs="MS Mincho"/>
                <w:bCs/>
                <w:color w:val="000000"/>
                <w:szCs w:val="21"/>
                <w:highlight w:val="none"/>
              </w:rPr>
            </w:pPr>
            <w:r>
              <w:rPr>
                <w:rFonts w:hint="eastAsia" w:ascii="仿宋" w:hAnsi="仿宋" w:eastAsia="仿宋"/>
                <w:bCs/>
                <w:color w:val="000000"/>
                <w:szCs w:val="21"/>
                <w:highlight w:val="none"/>
              </w:rPr>
              <w:sym w:font="Wingdings" w:char="00FE"/>
            </w:r>
            <w:r>
              <w:rPr>
                <w:rFonts w:hint="eastAsia" w:ascii="仿宋" w:hAnsi="仿宋" w:eastAsia="仿宋"/>
                <w:bCs/>
                <w:color w:val="000000"/>
                <w:szCs w:val="21"/>
                <w:highlight w:val="none"/>
              </w:rPr>
              <w:t>无。</w:t>
            </w:r>
          </w:p>
          <w:p w14:paraId="13DF8180">
            <w:pPr>
              <w:spacing w:line="400" w:lineRule="exact"/>
              <w:jc w:val="left"/>
              <w:rPr>
                <w:rFonts w:hint="eastAsia" w:ascii="仿宋" w:hAnsi="仿宋" w:eastAsia="仿宋"/>
                <w:bCs/>
                <w:color w:val="000000"/>
                <w:szCs w:val="21"/>
                <w:highlight w:val="none"/>
              </w:rPr>
            </w:pPr>
            <w:r>
              <w:rPr>
                <w:rFonts w:hint="eastAsia" w:ascii="仿宋" w:hAnsi="MS Mincho" w:eastAsia="MS Mincho" w:cs="MS Mincho"/>
                <w:bCs/>
                <w:color w:val="000000"/>
                <w:szCs w:val="21"/>
                <w:highlight w:val="none"/>
              </w:rPr>
              <w:t>☐</w:t>
            </w:r>
            <w:r>
              <w:rPr>
                <w:rFonts w:hint="eastAsia" w:ascii="仿宋" w:hAnsi="仿宋" w:eastAsia="仿宋"/>
                <w:bCs/>
                <w:color w:val="00000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95D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8" w:type="dxa"/>
            <w:noWrap w:val="0"/>
            <w:vAlign w:val="center"/>
          </w:tcPr>
          <w:p w14:paraId="76C6DE3B">
            <w:pPr>
              <w:snapToGrid w:val="0"/>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12</w:t>
            </w:r>
          </w:p>
        </w:tc>
        <w:tc>
          <w:tcPr>
            <w:tcW w:w="0" w:type="auto"/>
            <w:noWrap w:val="0"/>
            <w:vAlign w:val="center"/>
          </w:tcPr>
          <w:p w14:paraId="4B869ECF">
            <w:pPr>
              <w:snapToGrid w:val="0"/>
              <w:spacing w:line="40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中小企业信用融资</w:t>
            </w:r>
          </w:p>
        </w:tc>
        <w:tc>
          <w:tcPr>
            <w:tcW w:w="7176" w:type="dxa"/>
            <w:noWrap w:val="0"/>
            <w:vAlign w:val="center"/>
          </w:tcPr>
          <w:p w14:paraId="2A24A51B">
            <w:pPr>
              <w:spacing w:line="400" w:lineRule="exact"/>
              <w:jc w:val="left"/>
              <w:rPr>
                <w:rFonts w:hint="eastAsia" w:ascii="仿宋" w:hAnsi="仿宋" w:eastAsia="仿宋"/>
                <w:bCs/>
                <w:color w:val="000000"/>
                <w:szCs w:val="21"/>
                <w:highlight w:val="none"/>
              </w:rPr>
            </w:pPr>
            <w:r>
              <w:rPr>
                <w:rFonts w:hint="eastAsia" w:ascii="仿宋" w:hAnsi="仿宋" w:eastAsia="仿宋"/>
                <w:bCs/>
                <w:color w:val="000000"/>
                <w:szCs w:val="21"/>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4574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38" w:type="dxa"/>
            <w:noWrap w:val="0"/>
            <w:vAlign w:val="center"/>
          </w:tcPr>
          <w:p w14:paraId="2970B718">
            <w:pPr>
              <w:snapToGrid w:val="0"/>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13</w:t>
            </w:r>
          </w:p>
        </w:tc>
        <w:tc>
          <w:tcPr>
            <w:tcW w:w="0" w:type="auto"/>
            <w:noWrap w:val="0"/>
            <w:vAlign w:val="center"/>
          </w:tcPr>
          <w:p w14:paraId="636710A4">
            <w:pPr>
              <w:snapToGrid w:val="0"/>
              <w:spacing w:line="40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中标服务费</w:t>
            </w:r>
          </w:p>
        </w:tc>
        <w:tc>
          <w:tcPr>
            <w:tcW w:w="7176" w:type="dxa"/>
            <w:noWrap w:val="0"/>
            <w:vAlign w:val="center"/>
          </w:tcPr>
          <w:p w14:paraId="01D6AE4A">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☐无。</w:t>
            </w:r>
          </w:p>
          <w:p w14:paraId="6A254D10">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sym w:font="Wingdings" w:char="00FE"/>
            </w:r>
            <w:r>
              <w:rPr>
                <w:rFonts w:hint="eastAsia" w:ascii="仿宋" w:hAnsi="仿宋" w:eastAsia="仿宋"/>
                <w:bCs/>
                <w:color w:val="000000"/>
                <w:szCs w:val="21"/>
              </w:rPr>
              <w:t>中标人向采购代理机构支付中标服务费</w:t>
            </w:r>
            <w:r>
              <w:rPr>
                <w:rFonts w:hint="eastAsia" w:ascii="仿宋" w:hAnsi="仿宋" w:eastAsia="仿宋"/>
                <w:bCs/>
                <w:color w:val="000000"/>
                <w:szCs w:val="21"/>
                <w:u w:val="single"/>
                <w:lang w:val="en-US" w:eastAsia="zh-CN"/>
              </w:rPr>
              <w:t>8000</w:t>
            </w:r>
            <w:r>
              <w:rPr>
                <w:rFonts w:hint="eastAsia" w:ascii="仿宋" w:hAnsi="仿宋" w:eastAsia="仿宋"/>
                <w:bCs/>
                <w:color w:val="000000"/>
                <w:szCs w:val="21"/>
              </w:rPr>
              <w:t>元。</w:t>
            </w:r>
          </w:p>
          <w:p w14:paraId="315976C9">
            <w:pPr>
              <w:spacing w:line="400" w:lineRule="exact"/>
              <w:jc w:val="left"/>
              <w:rPr>
                <w:rFonts w:hint="eastAsia" w:ascii="仿宋" w:hAnsi="仿宋" w:eastAsia="仿宋" w:cs="仿宋"/>
                <w:snapToGrid w:val="0"/>
                <w:kern w:val="28"/>
                <w:szCs w:val="21"/>
                <w:highlight w:val="none"/>
              </w:rPr>
            </w:pPr>
            <w:r>
              <w:rPr>
                <w:rFonts w:hint="eastAsia" w:ascii="仿宋" w:hAnsi="仿宋" w:eastAsia="仿宋"/>
                <w:bCs/>
                <w:color w:val="000000"/>
                <w:szCs w:val="21"/>
              </w:rPr>
              <w:sym w:font="Wingdings" w:char="00A8"/>
            </w:r>
            <w:r>
              <w:rPr>
                <w:rFonts w:hint="eastAsia" w:ascii="仿宋" w:hAnsi="仿宋" w:eastAsia="仿宋"/>
                <w:bCs/>
                <w:color w:val="000000"/>
                <w:szCs w:val="21"/>
              </w:rPr>
              <w:t>根据国家发改委发改办价格[2003]857号通知和原国家计委计价格[2002]1980号文件规定的</w:t>
            </w:r>
            <w:r>
              <w:rPr>
                <w:rFonts w:hint="eastAsia" w:ascii="仿宋" w:hAnsi="仿宋" w:eastAsia="仿宋"/>
                <w:bCs/>
                <w:color w:val="000000"/>
                <w:szCs w:val="21"/>
                <w:u w:val="single"/>
                <w:lang w:val="en-US" w:eastAsia="zh-CN"/>
              </w:rPr>
              <w:t>服务</w:t>
            </w:r>
            <w:r>
              <w:rPr>
                <w:rFonts w:hint="eastAsia" w:ascii="仿宋" w:hAnsi="仿宋" w:eastAsia="仿宋"/>
                <w:bCs/>
                <w:color w:val="000000"/>
                <w:szCs w:val="21"/>
              </w:rPr>
              <w:t>招标费率标准收取中标服务费，按照中标通知书确定的中标价，向中标供应商收取中标服务费。中标通知书发出后5个工作日内，中标人向采购代理机构支付中标服务费。</w:t>
            </w:r>
          </w:p>
        </w:tc>
      </w:tr>
      <w:tr w14:paraId="5296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9" w:hRule="atLeast"/>
          <w:jc w:val="center"/>
        </w:trPr>
        <w:tc>
          <w:tcPr>
            <w:tcW w:w="738" w:type="dxa"/>
            <w:noWrap w:val="0"/>
            <w:vAlign w:val="center"/>
          </w:tcPr>
          <w:p w14:paraId="259C4A14">
            <w:pPr>
              <w:snapToGrid w:val="0"/>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14</w:t>
            </w:r>
          </w:p>
        </w:tc>
        <w:tc>
          <w:tcPr>
            <w:tcW w:w="0" w:type="auto"/>
            <w:noWrap w:val="0"/>
            <w:vAlign w:val="center"/>
          </w:tcPr>
          <w:p w14:paraId="6A01A26A">
            <w:pPr>
              <w:snapToGrid w:val="0"/>
              <w:spacing w:line="40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特别说明</w:t>
            </w:r>
          </w:p>
        </w:tc>
        <w:tc>
          <w:tcPr>
            <w:tcW w:w="7176" w:type="dxa"/>
            <w:noWrap w:val="0"/>
            <w:vAlign w:val="center"/>
          </w:tcPr>
          <w:p w14:paraId="0475A789">
            <w:pPr>
              <w:spacing w:line="400" w:lineRule="exact"/>
              <w:jc w:val="left"/>
              <w:rPr>
                <w:rFonts w:hint="eastAsia" w:ascii="仿宋" w:hAnsi="仿宋" w:eastAsia="仿宋" w:cs="Times New Roman"/>
                <w:bCs/>
                <w:color w:val="000000"/>
                <w:szCs w:val="21"/>
                <w:highlight w:val="none"/>
                <w:lang w:eastAsia="zh-CN"/>
              </w:rPr>
            </w:pPr>
            <w:r>
              <w:rPr>
                <w:rFonts w:hint="eastAsia" w:ascii="仿宋" w:hAnsi="仿宋" w:eastAsia="仿宋" w:cs="Times New Roman"/>
                <w:bCs/>
                <w:color w:val="000000"/>
                <w:szCs w:val="21"/>
                <w:highlight w:val="none"/>
                <w:lang w:val="en-US" w:eastAsia="zh-CN"/>
              </w:rPr>
              <w:t>1、</w:t>
            </w:r>
            <w:r>
              <w:rPr>
                <w:rFonts w:hint="eastAsia" w:ascii="仿宋" w:hAnsi="仿宋" w:eastAsia="仿宋" w:cs="Times New Roman"/>
                <w:bCs/>
                <w:color w:val="000000"/>
                <w:szCs w:val="21"/>
                <w:highlight w:val="none"/>
              </w:rPr>
              <w:t>公益一类事业单位不属于政府购买服务的承接主体，不得参与承接政府购买服务</w:t>
            </w:r>
            <w:r>
              <w:rPr>
                <w:rFonts w:hint="eastAsia" w:ascii="仿宋" w:hAnsi="仿宋" w:eastAsia="仿宋" w:cs="Times New Roman"/>
                <w:bCs/>
                <w:color w:val="000000"/>
                <w:szCs w:val="21"/>
                <w:highlight w:val="none"/>
                <w:lang w:eastAsia="zh-CN"/>
              </w:rPr>
              <w:t>。</w:t>
            </w:r>
          </w:p>
          <w:p w14:paraId="453DC409">
            <w:pPr>
              <w:spacing w:line="400" w:lineRule="exact"/>
              <w:jc w:val="left"/>
              <w:rPr>
                <w:rFonts w:hint="eastAsia" w:ascii="仿宋" w:hAnsi="仿宋" w:eastAsia="仿宋" w:cs="Times New Roman"/>
                <w:bCs/>
                <w:color w:val="000000"/>
                <w:szCs w:val="21"/>
                <w:highlight w:val="none"/>
              </w:rPr>
            </w:pPr>
            <w:r>
              <w:rPr>
                <w:rFonts w:hint="eastAsia" w:ascii="仿宋" w:hAnsi="仿宋" w:eastAsia="仿宋" w:cs="Times New Roman"/>
                <w:bCs/>
                <w:color w:val="000000"/>
                <w:szCs w:val="21"/>
                <w:highlight w:val="none"/>
                <w:lang w:val="en-US" w:eastAsia="zh-CN"/>
              </w:rPr>
              <w:t>2、鼓励供应商依据《住房公积金管理条例》，为单位职工规范缴纳住房公积金</w:t>
            </w:r>
            <w:r>
              <w:rPr>
                <w:rFonts w:hint="eastAsia" w:ascii="仿宋" w:hAnsi="仿宋" w:eastAsia="仿宋" w:cs="Times New Roman"/>
                <w:bCs/>
                <w:color w:val="000000"/>
                <w:szCs w:val="21"/>
                <w:highlight w:val="none"/>
              </w:rPr>
              <w:t>。</w:t>
            </w:r>
          </w:p>
        </w:tc>
      </w:tr>
      <w:tr w14:paraId="7748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9" w:hRule="atLeast"/>
          <w:jc w:val="center"/>
        </w:trPr>
        <w:tc>
          <w:tcPr>
            <w:tcW w:w="738" w:type="dxa"/>
            <w:noWrap w:val="0"/>
            <w:vAlign w:val="center"/>
          </w:tcPr>
          <w:p w14:paraId="7AC5EB65">
            <w:pPr>
              <w:snapToGrid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15</w:t>
            </w:r>
          </w:p>
        </w:tc>
        <w:tc>
          <w:tcPr>
            <w:tcW w:w="0" w:type="auto"/>
            <w:noWrap w:val="0"/>
            <w:vAlign w:val="center"/>
          </w:tcPr>
          <w:p w14:paraId="7860976A">
            <w:pPr>
              <w:snapToGrid w:val="0"/>
              <w:spacing w:line="400" w:lineRule="exact"/>
              <w:jc w:val="center"/>
              <w:rPr>
                <w:rFonts w:ascii="仿宋" w:hAnsi="仿宋" w:eastAsia="仿宋" w:cs="仿宋"/>
                <w:b/>
                <w:szCs w:val="21"/>
                <w:highlight w:val="none"/>
              </w:rPr>
            </w:pPr>
            <w:r>
              <w:rPr>
                <w:rFonts w:hint="eastAsia" w:ascii="仿宋" w:hAnsi="仿宋" w:eastAsia="仿宋"/>
                <w:b/>
                <w:color w:val="000000"/>
                <w:szCs w:val="21"/>
                <w:highlight w:val="none"/>
              </w:rPr>
              <w:t>关于联合体投标的说明</w:t>
            </w:r>
          </w:p>
        </w:tc>
        <w:tc>
          <w:tcPr>
            <w:tcW w:w="7176" w:type="dxa"/>
            <w:noWrap w:val="0"/>
            <w:vAlign w:val="center"/>
          </w:tcPr>
          <w:p w14:paraId="5531B063">
            <w:pPr>
              <w:spacing w:line="400" w:lineRule="exact"/>
              <w:jc w:val="left"/>
              <w:rPr>
                <w:rFonts w:hint="eastAsia" w:ascii="仿宋" w:hAnsi="仿宋" w:eastAsia="仿宋"/>
                <w:bCs/>
                <w:color w:val="000000"/>
                <w:szCs w:val="21"/>
                <w:highlight w:val="none"/>
                <w:lang w:eastAsia="zh-CN"/>
              </w:rPr>
            </w:pPr>
            <w:r>
              <w:rPr>
                <w:rFonts w:hint="eastAsia" w:ascii="仿宋" w:hAnsi="仿宋" w:eastAsia="仿宋"/>
                <w:b/>
                <w:color w:val="000000"/>
                <w:szCs w:val="21"/>
                <w:highlight w:val="none"/>
              </w:rPr>
              <w:t>若联合体投标的，除招标文件另有约定外，投标人（供应商）均指联合体各方。</w:t>
            </w:r>
            <w:r>
              <w:rPr>
                <w:rFonts w:hint="eastAsia" w:ascii="仿宋" w:hAnsi="仿宋" w:eastAsia="仿宋"/>
                <w:b/>
                <w:color w:val="000000"/>
                <w:szCs w:val="21"/>
                <w:highlight w:val="none"/>
                <w:lang w:eastAsia="zh-CN"/>
              </w:rPr>
              <w:t>（</w:t>
            </w:r>
            <w:r>
              <w:rPr>
                <w:rFonts w:hint="eastAsia" w:ascii="仿宋" w:hAnsi="仿宋" w:eastAsia="仿宋"/>
                <w:b/>
                <w:color w:val="000000"/>
                <w:szCs w:val="21"/>
                <w:highlight w:val="none"/>
                <w:lang w:val="en-US" w:eastAsia="zh-CN"/>
              </w:rPr>
              <w:t>本项目不适用</w:t>
            </w:r>
            <w:r>
              <w:rPr>
                <w:rFonts w:hint="eastAsia" w:ascii="仿宋" w:hAnsi="仿宋" w:eastAsia="仿宋"/>
                <w:b/>
                <w:color w:val="000000"/>
                <w:szCs w:val="21"/>
                <w:highlight w:val="none"/>
                <w:lang w:eastAsia="zh-CN"/>
              </w:rPr>
              <w:t>）</w:t>
            </w:r>
          </w:p>
        </w:tc>
      </w:tr>
    </w:tbl>
    <w:p w14:paraId="551DF5A6">
      <w:pPr>
        <w:snapToGrid w:val="0"/>
        <w:spacing w:line="360" w:lineRule="auto"/>
        <w:jc w:val="center"/>
        <w:rPr>
          <w:rFonts w:hint="eastAsia" w:ascii="仿宋" w:hAnsi="仿宋" w:eastAsia="仿宋" w:cs="仿宋"/>
          <w:b/>
          <w:sz w:val="32"/>
          <w:szCs w:val="20"/>
          <w:highlight w:val="none"/>
        </w:rPr>
      </w:pPr>
    </w:p>
    <w:bookmarkEnd w:id="10"/>
    <w:p w14:paraId="38ED4E03">
      <w:pPr>
        <w:spacing w:before="120" w:beforeLines="50" w:after="120" w:afterLines="50" w:line="360" w:lineRule="auto"/>
        <w:jc w:val="center"/>
        <w:outlineLvl w:val="0"/>
        <w:rPr>
          <w:rFonts w:hint="eastAsia" w:ascii="仿宋" w:hAnsi="仿宋" w:eastAsia="仿宋" w:cs="仿宋"/>
          <w:b/>
          <w:sz w:val="32"/>
          <w:szCs w:val="20"/>
          <w:highlight w:val="none"/>
        </w:rPr>
      </w:pPr>
      <w:bookmarkStart w:id="11" w:name="_Toc164416483"/>
      <w:bookmarkStart w:id="12" w:name="第三部分"/>
      <w:r>
        <w:rPr>
          <w:rFonts w:ascii="仿宋" w:hAnsi="仿宋" w:eastAsia="仿宋" w:cs="仿宋"/>
          <w:b/>
          <w:sz w:val="32"/>
          <w:szCs w:val="20"/>
          <w:highlight w:val="none"/>
        </w:rPr>
        <w:br w:type="page"/>
      </w:r>
      <w:r>
        <w:rPr>
          <w:rFonts w:hint="eastAsia" w:ascii="仿宋" w:hAnsi="仿宋" w:eastAsia="仿宋" w:cs="仿宋"/>
          <w:b/>
          <w:sz w:val="32"/>
          <w:szCs w:val="20"/>
          <w:highlight w:val="none"/>
        </w:rPr>
        <w:t>一、总则</w:t>
      </w:r>
    </w:p>
    <w:p w14:paraId="25E35591">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适用范围</w:t>
      </w:r>
    </w:p>
    <w:p w14:paraId="72959073">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14:paraId="20DE20A4">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定义</w:t>
      </w:r>
    </w:p>
    <w:p w14:paraId="6DC39D2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2.1“采购人”系指招标公告中载明的本项目的采购人。</w:t>
      </w:r>
    </w:p>
    <w:p w14:paraId="1366BF2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2.2“采购代理机构”系指招标公告中载明的本项目的采购代理机构。</w:t>
      </w:r>
    </w:p>
    <w:p w14:paraId="03648F8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”系指是指响应招标、参加投标竞争的法人、其他组织或者自然人。</w:t>
      </w:r>
    </w:p>
    <w:p w14:paraId="63B3CC9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2.4“负责人”系指法人企业的法定负责人，或其他组织为法律、行政法规规定代表单位行使职权的主要负责人，或自然人本人。</w:t>
      </w:r>
    </w:p>
    <w:p w14:paraId="1BDCF2A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w:t>
      </w:r>
    </w:p>
    <w:p w14:paraId="5ED9F65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2.6“电子交易平台”是指本项目政府采购活动所依托的政府采购云平台（https</w:t>
      </w:r>
      <w:r>
        <w:rPr>
          <w:rFonts w:hint="eastAsia" w:ascii="仿宋" w:hAnsi="仿宋" w:eastAsia="仿宋" w:cs="仿宋"/>
          <w:sz w:val="24"/>
          <w:highlight w:val="none"/>
          <w:lang w:eastAsia="zh-CN"/>
        </w:rPr>
        <w:t>：</w:t>
      </w:r>
      <w:r>
        <w:rPr>
          <w:rFonts w:hint="eastAsia" w:ascii="仿宋" w:hAnsi="仿宋" w:eastAsia="仿宋" w:cs="仿宋"/>
          <w:sz w:val="24"/>
          <w:highlight w:val="none"/>
        </w:rPr>
        <w:t>//www.zcygov.cn/）。</w:t>
      </w:r>
    </w:p>
    <w:p w14:paraId="29AEB1D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2.7“▲”系指实质性要求条款；“</w:t>
      </w:r>
      <w:r>
        <w:rPr>
          <w:rFonts w:ascii="Wingdings" w:hAnsi="Wingdings" w:eastAsia="仿宋" w:cs="仿宋"/>
          <w:kern w:val="0"/>
          <w:sz w:val="24"/>
          <w:highlight w:val="none"/>
        </w:rPr>
        <w:t></w:t>
      </w:r>
      <w:r>
        <w:rPr>
          <w:rFonts w:hint="eastAsia" w:ascii="仿宋" w:hAnsi="仿宋" w:eastAsia="仿宋" w:cs="仿宋"/>
          <w:sz w:val="24"/>
          <w:highlight w:val="none"/>
        </w:rPr>
        <w:t>”系指适用本项目的要求；“</w:t>
      </w:r>
      <w:r>
        <w:rPr>
          <w:rFonts w:hint="eastAsia" w:ascii="仿宋" w:hAnsi="仿宋" w:eastAsia="仿宋" w:cs="仿宋"/>
          <w:kern w:val="0"/>
          <w:sz w:val="24"/>
          <w:highlight w:val="none"/>
        </w:rPr>
        <w:t>☐</w:t>
      </w:r>
      <w:r>
        <w:rPr>
          <w:rFonts w:hint="eastAsia" w:ascii="仿宋" w:hAnsi="仿宋" w:eastAsia="仿宋" w:cs="仿宋"/>
          <w:sz w:val="24"/>
          <w:highlight w:val="none"/>
        </w:rPr>
        <w:t>”系指不适用本项目的要求。</w:t>
      </w:r>
    </w:p>
    <w:p w14:paraId="61D4EDCB">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采购项目需要落实的政府采购政策</w:t>
      </w:r>
    </w:p>
    <w:p w14:paraId="0026E95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2701755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3.2支持绿色发展</w:t>
      </w:r>
    </w:p>
    <w:p w14:paraId="09BDF7F8">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须按招标文件要求提供相关产品认证证书。▲</w:t>
      </w:r>
      <w:r>
        <w:rPr>
          <w:rFonts w:hint="eastAsia" w:ascii="仿宋" w:hAnsi="仿宋" w:eastAsia="仿宋" w:cs="仿宋"/>
          <w:b/>
          <w:sz w:val="24"/>
          <w:highlight w:val="none"/>
        </w:rPr>
        <w:t>采购人拟采购的产品属于政府强制采购的节能产品品目清单范围的，供应商未按招标文件要求提供国家确定的认证机构出具的、处于有效期之内的节能产品认证证书的，投标无效。（本项目不适用）</w:t>
      </w:r>
    </w:p>
    <w:p w14:paraId="6CEA63B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3.3支持中小企业发展</w:t>
      </w:r>
    </w:p>
    <w:p w14:paraId="3E57EDD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9AA064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73D1680E">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w:t>
      </w:r>
      <w:r>
        <w:rPr>
          <w:rFonts w:hint="eastAsia" w:ascii="仿宋" w:hAnsi="仿宋" w:eastAsia="仿宋" w:cs="仿宋"/>
          <w:kern w:val="0"/>
          <w:sz w:val="24"/>
          <w:highlight w:val="none"/>
          <w:lang w:val="zh-CN"/>
        </w:rPr>
        <w:t>供应商</w:t>
      </w:r>
      <w:r>
        <w:rPr>
          <w:rFonts w:hint="eastAsia" w:ascii="仿宋" w:hAnsi="仿宋" w:eastAsia="仿宋" w:cs="仿宋"/>
          <w:kern w:val="0"/>
          <w:sz w:val="24"/>
          <w:highlight w:val="none"/>
        </w:rPr>
        <w:t>提供的货物、工程或者服务符合下列情形的，享受中小企业扶持政策：</w:t>
      </w:r>
    </w:p>
    <w:p w14:paraId="2ACA17C5">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3.3.2.1在货物采购项目中，货物由中小企业制造，即货物由中小企业生产且使用该中小企业商号或者注册商标；</w:t>
      </w:r>
    </w:p>
    <w:p w14:paraId="67055321">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3.3.2.2在工程采购项目中，工程由中小企业承建，即工程施工单位为中小企业；</w:t>
      </w:r>
    </w:p>
    <w:p w14:paraId="68578A30">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3.3.2.3在服务采购项目中，服务由中小企业承接，即提供服务的人员为中小企业依照《中华人民共和国劳动</w:t>
      </w:r>
      <w:r>
        <w:rPr>
          <w:rFonts w:hint="eastAsia" w:ascii="仿宋" w:hAnsi="仿宋" w:eastAsia="仿宋" w:cs="仿宋"/>
          <w:kern w:val="0"/>
          <w:sz w:val="24"/>
          <w:highlight w:val="none"/>
          <w:lang w:val="en-US" w:eastAsia="zh-CN"/>
        </w:rPr>
        <w:t>合同法</w:t>
      </w:r>
      <w:r>
        <w:rPr>
          <w:rFonts w:hint="eastAsia" w:ascii="仿宋" w:hAnsi="仿宋" w:eastAsia="仿宋" w:cs="仿宋"/>
          <w:kern w:val="0"/>
          <w:sz w:val="24"/>
          <w:highlight w:val="none"/>
        </w:rPr>
        <w:t>》订立劳动合同的从业人员。</w:t>
      </w:r>
    </w:p>
    <w:p w14:paraId="1F3A7D3D">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在货物采购项目中，</w:t>
      </w:r>
      <w:r>
        <w:rPr>
          <w:rFonts w:hint="eastAsia" w:ascii="仿宋" w:hAnsi="仿宋" w:eastAsia="仿宋" w:cs="仿宋"/>
          <w:kern w:val="0"/>
          <w:sz w:val="24"/>
          <w:highlight w:val="none"/>
          <w:lang w:val="zh-CN"/>
        </w:rPr>
        <w:t>供应商</w:t>
      </w:r>
      <w:r>
        <w:rPr>
          <w:rFonts w:hint="eastAsia" w:ascii="仿宋" w:hAnsi="仿宋" w:eastAsia="仿宋" w:cs="仿宋"/>
          <w:kern w:val="0"/>
          <w:sz w:val="24"/>
          <w:highlight w:val="none"/>
        </w:rPr>
        <w:t>提供的货物既有中小企业制造货物，也有大型企业制造货物的，不享受中小企业扶持政策。</w:t>
      </w:r>
    </w:p>
    <w:p w14:paraId="4D9999E4">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14:paraId="27B9F51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%的扣除，用扣除后的价格参加评审。组成联合体或者接受分包的小微企业与联合体内其他企业、分包企业之间存在直接控股、管理关系的，不享受价格扣除优惠政策。</w:t>
      </w:r>
      <w:r>
        <w:rPr>
          <w:rFonts w:hint="eastAsia" w:ascii="仿宋" w:hAnsi="仿宋" w:eastAsia="仿宋" w:cs="仿宋"/>
          <w:b/>
          <w:sz w:val="24"/>
          <w:highlight w:val="none"/>
        </w:rPr>
        <w:t>（本项目不适用）</w:t>
      </w:r>
    </w:p>
    <w:p w14:paraId="149AFB5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3.3.4符合《关于促进残疾人就业政府采购政策的通知》（财库〔2017〕141号）规定的条件并提供《残疾人福利性单位声明函》的残疾人福利性单位视同小型、微型企业。</w:t>
      </w:r>
    </w:p>
    <w:p w14:paraId="3595195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5CDBC5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3.3.6可享受中小企业扶持政策的</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应按照招标文件格式要求提供《中小企业声明函》，</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提供的《中小企业声明函》与实际情况不符的，不享受中小企业扶持政策。声明内容不实的，属于提供虚假材料谋取中标、成交的，依法承担法律责任。</w:t>
      </w:r>
    </w:p>
    <w:p w14:paraId="72853E3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3.3.7中小企业享受扶持政策获得政府采购合同的，小微企业不得将合同分包给大中型企业，中型企业不得将合同分包给大型企业。</w:t>
      </w:r>
    </w:p>
    <w:p w14:paraId="4E9E666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3.4支持创新发展</w:t>
      </w:r>
    </w:p>
    <w:p w14:paraId="02BE27A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3.4.1采购人优先采购被认定为首台套产品和“制造精品”的自主创新产品。</w:t>
      </w:r>
    </w:p>
    <w:p w14:paraId="1C13EE2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1B15100E">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特别说明</w:t>
      </w:r>
    </w:p>
    <w:p w14:paraId="167C4C9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4.1关于分公司投标</w:t>
      </w:r>
    </w:p>
    <w:p w14:paraId="09CEBA6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除银行、保险、石油石化、电力、电信等特殊行业外。法人的分支机构由于不能独立承担民事责任，不能以分支机构的身份参加政府采购，只能以法人身份参加。</w:t>
      </w:r>
    </w:p>
    <w:p w14:paraId="527523D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4.2关于知识产权</w:t>
      </w:r>
    </w:p>
    <w:p w14:paraId="37950C8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4.2.1</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承担。</w:t>
      </w:r>
    </w:p>
    <w:p w14:paraId="038D913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4.2.2投标报价应包含所有应向所有权人支付的专利权、商标权或其它知识产权的一切相关费用。</w:t>
      </w:r>
    </w:p>
    <w:p w14:paraId="748F6C9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4.2.3系统软件、通用软件必须是具有在中国境内的合法使用权或版权的正版软件，涉及到第三方提出侵权或知识产权的起诉及支付版税等费用由</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承担所有责任及费用。</w:t>
      </w:r>
    </w:p>
    <w:p w14:paraId="090EF8E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的风险</w:t>
      </w:r>
    </w:p>
    <w:p w14:paraId="6437A6D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4.3.1</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应详细阅读招标文件中的全部内容和要求，按照招标文件的要求提交投标文件，没有按照招标文件要求提供投标文件和资料导致的风险由</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承担，并对所提供的全部资料的真实性承担法律责任。</w:t>
      </w:r>
    </w:p>
    <w:p w14:paraId="540C5FC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4.3.2无论因何种原因导致本次采购活动终止致</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损失的，相关责任人均不承担任何责任。</w:t>
      </w:r>
    </w:p>
    <w:p w14:paraId="367BD810">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询问、质疑、投诉</w:t>
      </w:r>
    </w:p>
    <w:p w14:paraId="3219353B">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5</w:t>
      </w:r>
      <w:r>
        <w:rPr>
          <w:rFonts w:hint="eastAsia" w:ascii="仿宋" w:hAnsi="仿宋" w:eastAsia="仿宋" w:cs="仿宋"/>
          <w:sz w:val="24"/>
          <w:highlight w:val="none"/>
          <w:lang w:val="zh-CN"/>
        </w:rPr>
        <w:t>.1供应商询问</w:t>
      </w:r>
    </w:p>
    <w:p w14:paraId="7C91803A">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98145EF">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5</w:t>
      </w:r>
      <w:r>
        <w:rPr>
          <w:rFonts w:hint="eastAsia" w:ascii="仿宋" w:hAnsi="仿宋" w:eastAsia="仿宋" w:cs="仿宋"/>
          <w:sz w:val="24"/>
          <w:highlight w:val="none"/>
          <w:lang w:val="zh-CN"/>
        </w:rPr>
        <w:t>.2供应商质疑</w:t>
      </w:r>
    </w:p>
    <w:p w14:paraId="1DDD578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w:t>
      </w:r>
      <w:r>
        <w:rPr>
          <w:rFonts w:hint="eastAsia" w:ascii="仿宋" w:hAnsi="仿宋" w:eastAsia="仿宋" w:cs="仿宋"/>
          <w:sz w:val="24"/>
          <w:highlight w:val="none"/>
          <w:lang w:val="zh-CN"/>
        </w:rPr>
        <w:t>.2</w:t>
      </w:r>
      <w:r>
        <w:rPr>
          <w:rFonts w:hint="eastAsia" w:ascii="仿宋" w:hAnsi="仿宋" w:eastAsia="仿宋" w:cs="仿宋"/>
          <w:sz w:val="24"/>
          <w:highlight w:val="none"/>
        </w:rPr>
        <w:t>.1提出质疑的供应商应当是参与所质疑项目采购活动的供应商。潜在供应商已依法获取其可质疑的招标文件的，可以对该文件提出质疑。</w:t>
      </w:r>
    </w:p>
    <w:p w14:paraId="7132401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w:t>
      </w:r>
      <w:r>
        <w:rPr>
          <w:rFonts w:hint="eastAsia" w:ascii="仿宋" w:hAnsi="仿宋" w:eastAsia="仿宋" w:cs="仿宋"/>
          <w:sz w:val="24"/>
          <w:highlight w:val="none"/>
          <w:lang w:val="zh-CN"/>
        </w:rPr>
        <w:t>.2</w:t>
      </w:r>
      <w:r>
        <w:rPr>
          <w:rFonts w:hint="eastAsia" w:ascii="仿宋" w:hAnsi="仿宋" w:eastAsia="仿宋" w:cs="仿宋"/>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363939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5.2.2.1对招标文件提出质疑的，质疑期限为供应商获得招标文件之日或者招标文件公告期限届满之日起计算。</w:t>
      </w:r>
    </w:p>
    <w:p w14:paraId="48F2FCD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5.2.2.2对采购过程提出质疑的，质疑期限为各采购程序环节结束之日起计算。</w:t>
      </w:r>
    </w:p>
    <w:p w14:paraId="59FC566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5.2.2.3对采购结果提出质疑的，质疑期限自采购结果公告期限届满之日起计算。</w:t>
      </w:r>
    </w:p>
    <w:p w14:paraId="332568C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5.2.2.4对同一采购程序环节的质疑，供应商须一次性提出。</w:t>
      </w:r>
    </w:p>
    <w:p w14:paraId="198C691E">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5</w:t>
      </w:r>
      <w:r>
        <w:rPr>
          <w:rFonts w:hint="eastAsia" w:ascii="仿宋" w:hAnsi="仿宋" w:eastAsia="仿宋" w:cs="仿宋"/>
          <w:sz w:val="24"/>
          <w:highlight w:val="none"/>
          <w:lang w:val="zh-CN"/>
        </w:rPr>
        <w:t>.2.3</w:t>
      </w:r>
      <w:r>
        <w:rPr>
          <w:rFonts w:hint="eastAsia" w:ascii="仿宋" w:hAnsi="仿宋" w:eastAsia="仿宋" w:cs="仿宋"/>
          <w:sz w:val="24"/>
          <w:highlight w:val="none"/>
        </w:rPr>
        <w:t>供应商提出质疑应当提交质疑函和必要的证明材料。质疑函应当包括下列内容：</w:t>
      </w:r>
    </w:p>
    <w:p w14:paraId="3D54E21C">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5</w:t>
      </w:r>
      <w:r>
        <w:rPr>
          <w:rFonts w:hint="eastAsia" w:ascii="仿宋" w:hAnsi="仿宋" w:eastAsia="仿宋" w:cs="仿宋"/>
          <w:sz w:val="24"/>
          <w:highlight w:val="none"/>
          <w:lang w:val="zh-CN"/>
        </w:rPr>
        <w:t>.2.3.1供应商的姓名或者名称、地址、邮编、联系人及联系电话；</w:t>
      </w:r>
    </w:p>
    <w:p w14:paraId="6A3090B6">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5</w:t>
      </w:r>
      <w:r>
        <w:rPr>
          <w:rFonts w:hint="eastAsia" w:ascii="仿宋" w:hAnsi="仿宋" w:eastAsia="仿宋" w:cs="仿宋"/>
          <w:sz w:val="24"/>
          <w:highlight w:val="none"/>
          <w:lang w:val="zh-CN"/>
        </w:rPr>
        <w:t>.2.3.2质疑项目的名称、编号；</w:t>
      </w:r>
    </w:p>
    <w:p w14:paraId="5C37C09E">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5</w:t>
      </w:r>
      <w:r>
        <w:rPr>
          <w:rFonts w:hint="eastAsia" w:ascii="仿宋" w:hAnsi="仿宋" w:eastAsia="仿宋" w:cs="仿宋"/>
          <w:sz w:val="24"/>
          <w:highlight w:val="none"/>
          <w:lang w:val="zh-CN"/>
        </w:rPr>
        <w:t>.2.3.3具体、明确的质疑事项和与质疑事项相关的请求；</w:t>
      </w:r>
    </w:p>
    <w:p w14:paraId="4CBAF816">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5</w:t>
      </w:r>
      <w:r>
        <w:rPr>
          <w:rFonts w:hint="eastAsia" w:ascii="仿宋" w:hAnsi="仿宋" w:eastAsia="仿宋" w:cs="仿宋"/>
          <w:sz w:val="24"/>
          <w:highlight w:val="none"/>
          <w:lang w:val="zh-CN"/>
        </w:rPr>
        <w:t>.2.3.4事实依据；</w:t>
      </w:r>
    </w:p>
    <w:p w14:paraId="3934CD95">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5</w:t>
      </w:r>
      <w:r>
        <w:rPr>
          <w:rFonts w:hint="eastAsia" w:ascii="仿宋" w:hAnsi="仿宋" w:eastAsia="仿宋" w:cs="仿宋"/>
          <w:sz w:val="24"/>
          <w:highlight w:val="none"/>
          <w:lang w:val="zh-CN"/>
        </w:rPr>
        <w:t>.2.3.5必要的法律依据；</w:t>
      </w:r>
    </w:p>
    <w:p w14:paraId="7AA06D9A">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5</w:t>
      </w:r>
      <w:r>
        <w:rPr>
          <w:rFonts w:hint="eastAsia" w:ascii="仿宋" w:hAnsi="仿宋" w:eastAsia="仿宋" w:cs="仿宋"/>
          <w:sz w:val="24"/>
          <w:highlight w:val="none"/>
          <w:lang w:val="zh-CN"/>
        </w:rPr>
        <w:t>.2.3.6提出质疑的日期。</w:t>
      </w:r>
    </w:p>
    <w:p w14:paraId="21D5F57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5.2.3.7对招标文件提出质疑的需要提供在政采云平台获取招标文件的截图。</w:t>
      </w:r>
    </w:p>
    <w:p w14:paraId="5DA8EBE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74A4EB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质疑函范本请到浙江政府采购网下载专区下载。</w:t>
      </w:r>
    </w:p>
    <w:p w14:paraId="3DF4B75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w:t>
      </w:r>
      <w:r>
        <w:rPr>
          <w:rFonts w:hint="eastAsia" w:ascii="仿宋" w:hAnsi="仿宋" w:eastAsia="仿宋" w:cs="仿宋"/>
          <w:sz w:val="24"/>
          <w:highlight w:val="none"/>
          <w:lang w:val="zh-CN"/>
        </w:rPr>
        <w:t>.2</w:t>
      </w:r>
      <w:r>
        <w:rPr>
          <w:rFonts w:hint="eastAsia" w:ascii="仿宋" w:hAnsi="仿宋" w:eastAsia="仿宋" w:cs="仿宋"/>
          <w:sz w:val="24"/>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4619BB2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w:t>
      </w:r>
      <w:r>
        <w:rPr>
          <w:rFonts w:hint="eastAsia" w:ascii="仿宋" w:hAnsi="仿宋" w:eastAsia="仿宋" w:cs="仿宋"/>
          <w:sz w:val="24"/>
          <w:highlight w:val="none"/>
          <w:lang w:val="zh-CN"/>
        </w:rPr>
        <w:t>.2</w:t>
      </w:r>
      <w:r>
        <w:rPr>
          <w:rFonts w:hint="eastAsia" w:ascii="仿宋" w:hAnsi="仿宋" w:eastAsia="仿宋" w:cs="仿宋"/>
          <w:sz w:val="24"/>
          <w:highlight w:val="none"/>
        </w:rPr>
        <w:t>.5询问或者质疑事项可能影响采购结果的，采购人应当暂停签订合同，已经签订合同的，应当中止履行合同。</w:t>
      </w:r>
    </w:p>
    <w:p w14:paraId="72D6F19B">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5</w:t>
      </w:r>
      <w:r>
        <w:rPr>
          <w:rFonts w:hint="eastAsia" w:ascii="仿宋" w:hAnsi="仿宋" w:eastAsia="仿宋" w:cs="仿宋"/>
          <w:sz w:val="24"/>
          <w:highlight w:val="none"/>
          <w:lang w:val="zh-CN"/>
        </w:rPr>
        <w:t>.3供应商投诉</w:t>
      </w:r>
    </w:p>
    <w:p w14:paraId="132AB06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5.3.1质疑供应商对采购人、采购代理机构的答复不满意或者采购人、采购代理机构未在规定的时间内作出答复的，可以在答复期满后十五个工作日内向同级政府采购监督管理部门提出投诉。</w:t>
      </w:r>
    </w:p>
    <w:p w14:paraId="4FFDCCB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5.3.</w:t>
      </w:r>
      <w:r>
        <w:rPr>
          <w:rFonts w:hint="eastAsia" w:ascii="仿宋" w:hAnsi="仿宋" w:eastAsia="仿宋" w:cs="仿宋"/>
          <w:sz w:val="24"/>
          <w:highlight w:val="none"/>
          <w:lang w:val="zh-CN"/>
        </w:rPr>
        <w:t>2</w:t>
      </w:r>
      <w:r>
        <w:rPr>
          <w:rFonts w:hint="eastAsia" w:ascii="仿宋" w:hAnsi="仿宋" w:eastAsia="仿宋" w:cs="仿宋"/>
          <w:sz w:val="24"/>
          <w:highlight w:val="none"/>
        </w:rPr>
        <w:t>供应商投诉的事项不得超出已质疑事项的范围，基于质疑答复内容提出的投诉事项除外。</w:t>
      </w:r>
    </w:p>
    <w:p w14:paraId="2EBE09D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5.3.3供应商投诉应当有明确的请求和必要的证明材料。</w:t>
      </w:r>
    </w:p>
    <w:p w14:paraId="7E92DF6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5.3.5以联合体形式参加政府采购活动的，其投诉应当由组成联合体的所有供应商共同提出。</w:t>
      </w:r>
    </w:p>
    <w:p w14:paraId="45D3C3E5">
      <w:pPr>
        <w:spacing w:line="360" w:lineRule="auto"/>
        <w:ind w:firstLine="480" w:firstLineChars="200"/>
        <w:rPr>
          <w:rFonts w:hint="eastAsia" w:ascii="仿宋" w:hAnsi="仿宋" w:eastAsia="仿宋" w:cs="仿宋"/>
          <w:sz w:val="18"/>
          <w:szCs w:val="18"/>
          <w:highlight w:val="none"/>
        </w:rPr>
      </w:pPr>
      <w:r>
        <w:rPr>
          <w:rFonts w:hint="eastAsia" w:ascii="仿宋" w:hAnsi="仿宋" w:eastAsia="仿宋" w:cs="仿宋"/>
          <w:sz w:val="24"/>
          <w:highlight w:val="none"/>
        </w:rPr>
        <w:t>投诉书范本请到浙江政府采购网下载专区下载。</w:t>
      </w:r>
    </w:p>
    <w:p w14:paraId="45A8E6C4">
      <w:pPr>
        <w:spacing w:before="120" w:beforeLines="50" w:after="120" w:afterLines="50"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二、招标文件的构成、澄清、修改</w:t>
      </w:r>
    </w:p>
    <w:p w14:paraId="382D9237">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招标文件的构成</w:t>
      </w:r>
    </w:p>
    <w:p w14:paraId="6C8DE10C">
      <w:pPr>
        <w:pStyle w:val="1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6.1招标文件包括下列文件及附件：</w:t>
      </w:r>
    </w:p>
    <w:p w14:paraId="268AE618">
      <w:pPr>
        <w:pStyle w:val="1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6.1.1招标公告；</w:t>
      </w:r>
    </w:p>
    <w:p w14:paraId="2C5EC083">
      <w:pPr>
        <w:pStyle w:val="1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6.1.2</w:t>
      </w:r>
      <w:r>
        <w:rPr>
          <w:rFonts w:hint="eastAsia" w:ascii="仿宋" w:hAnsi="仿宋" w:eastAsia="仿宋" w:cs="仿宋"/>
          <w:sz w:val="24"/>
          <w:szCs w:val="24"/>
          <w:highlight w:val="none"/>
          <w:lang w:val="zh-CN"/>
        </w:rPr>
        <w:t>投标</w:t>
      </w:r>
      <w:r>
        <w:rPr>
          <w:rFonts w:hint="eastAsia" w:ascii="仿宋" w:hAnsi="仿宋" w:eastAsia="仿宋" w:cs="仿宋"/>
          <w:sz w:val="24"/>
          <w:szCs w:val="24"/>
          <w:highlight w:val="none"/>
        </w:rPr>
        <w:t>须知；</w:t>
      </w:r>
    </w:p>
    <w:p w14:paraId="24679E76">
      <w:pPr>
        <w:pStyle w:val="1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6.1.3采购需求；</w:t>
      </w:r>
    </w:p>
    <w:p w14:paraId="00F7EA8E">
      <w:pPr>
        <w:pStyle w:val="1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6.1.4评标办法；</w:t>
      </w:r>
    </w:p>
    <w:p w14:paraId="2093587F">
      <w:pPr>
        <w:pStyle w:val="1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6.1.5政府采购合同文本；</w:t>
      </w:r>
    </w:p>
    <w:p w14:paraId="4FB99D7A">
      <w:pPr>
        <w:pStyle w:val="1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6.1.6应提交的有关格式范例。</w:t>
      </w:r>
    </w:p>
    <w:p w14:paraId="75EB1FE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6.2与本项目有关的</w:t>
      </w:r>
      <w:r>
        <w:rPr>
          <w:rFonts w:hint="eastAsia" w:ascii="仿宋" w:hAnsi="仿宋" w:eastAsia="仿宋" w:cs="仿宋"/>
          <w:bCs/>
          <w:sz w:val="24"/>
          <w:highlight w:val="none"/>
        </w:rPr>
        <w:t>澄清或者修改的内容为招标文件的组成部分</w:t>
      </w:r>
      <w:r>
        <w:rPr>
          <w:rFonts w:hint="eastAsia" w:ascii="仿宋" w:hAnsi="仿宋" w:eastAsia="仿宋" w:cs="仿宋"/>
          <w:sz w:val="24"/>
          <w:highlight w:val="none"/>
        </w:rPr>
        <w:t>。</w:t>
      </w:r>
    </w:p>
    <w:p w14:paraId="7A3C05A1">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招标文件的澄清、修改</w:t>
      </w:r>
    </w:p>
    <w:p w14:paraId="187299A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7.1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40DCDFC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7.2更正公告为招标文件的组成部分，一经在网站发布，视同已通知所有招标文件的收受人，不再采用其它方式传达相关信息， 若因未能及时了解到上述网站上发布的相关信息而导致的一切后果自行承担。</w:t>
      </w:r>
    </w:p>
    <w:p w14:paraId="4BD2074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7.3如更正公告有重新发布电子招标文件的，</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应下载最新发布的电子招标文件制作投标文件。</w:t>
      </w:r>
    </w:p>
    <w:p w14:paraId="1312D185">
      <w:pPr>
        <w:spacing w:line="360" w:lineRule="auto"/>
        <w:ind w:firstLine="480" w:firstLineChars="200"/>
        <w:rPr>
          <w:rFonts w:hint="eastAsia" w:ascii="仿宋" w:hAnsi="仿宋" w:eastAsia="仿宋" w:cs="仿宋"/>
          <w:b/>
          <w:sz w:val="30"/>
          <w:szCs w:val="20"/>
          <w:highlight w:val="none"/>
        </w:rPr>
      </w:pPr>
      <w:r>
        <w:rPr>
          <w:rFonts w:hint="eastAsia" w:ascii="仿宋" w:hAnsi="仿宋" w:eastAsia="仿宋" w:cs="仿宋"/>
          <w:sz w:val="24"/>
          <w:highlight w:val="none"/>
        </w:rPr>
        <w:t>7.4已获取招标文件的潜在</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，若有问题需要澄清，应于投标截止时间前，以书面形式向采购代理机构提出。</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在规定的时间内未对招标文件提出疑问、质疑或要求澄清的，将视其为无异议。对招标文件中描述有歧义或前后不一致的地方，评标委员会有权进行评判，但对同一条款的评判应适用于每个</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w:t>
      </w:r>
    </w:p>
    <w:p w14:paraId="5B77D96B">
      <w:pPr>
        <w:spacing w:before="120" w:beforeLines="50" w:after="120" w:afterLines="50"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三、投标</w:t>
      </w:r>
    </w:p>
    <w:p w14:paraId="6FB50411">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投标文件的语言</w:t>
      </w:r>
    </w:p>
    <w:p w14:paraId="4B9E0429">
      <w:pPr>
        <w:autoSpaceDE w:val="0"/>
        <w:autoSpaceDN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投标文件及</w:t>
      </w:r>
      <w:r>
        <w:rPr>
          <w:rFonts w:hint="eastAsia" w:ascii="仿宋" w:hAnsi="仿宋" w:eastAsia="仿宋" w:cs="仿宋"/>
          <w:kern w:val="0"/>
          <w:sz w:val="24"/>
          <w:highlight w:val="none"/>
          <w:lang w:val="zh-CN"/>
        </w:rPr>
        <w:t>供应商</w:t>
      </w:r>
      <w:r>
        <w:rPr>
          <w:rFonts w:hint="eastAsia" w:ascii="仿宋" w:hAnsi="仿宋" w:eastAsia="仿宋" w:cs="仿宋"/>
          <w:sz w:val="24"/>
          <w:highlight w:val="none"/>
        </w:rPr>
        <w:t>与采购有关的来往通知、函件和文件均应使用中文。</w:t>
      </w:r>
    </w:p>
    <w:p w14:paraId="39509E90">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投标文件的组成</w:t>
      </w:r>
    </w:p>
    <w:p w14:paraId="23A3422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9.1</w:t>
      </w:r>
      <w:r>
        <w:rPr>
          <w:rFonts w:hint="eastAsia" w:ascii="仿宋" w:hAnsi="仿宋" w:eastAsia="仿宋" w:cs="仿宋"/>
          <w:b/>
          <w:sz w:val="24"/>
          <w:highlight w:val="none"/>
        </w:rPr>
        <w:t>资格文件</w:t>
      </w:r>
      <w:r>
        <w:rPr>
          <w:rFonts w:hint="eastAsia" w:ascii="仿宋" w:hAnsi="仿宋" w:eastAsia="仿宋" w:cs="仿宋"/>
          <w:sz w:val="24"/>
          <w:highlight w:val="none"/>
        </w:rPr>
        <w:t>：</w:t>
      </w:r>
    </w:p>
    <w:p w14:paraId="565853C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9.1.1有效的企业法人营业执照（或事业法人登记证）、其他组织（个体工商户）的营业执照或者民办非企业单位登记证书；</w:t>
      </w:r>
    </w:p>
    <w:p w14:paraId="6ECE901A">
      <w:pPr>
        <w:snapToGrid w:val="0"/>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9.1.2符合参加政府采购活动应当具备的一般条件的承诺函(格式见第六部分)</w:t>
      </w:r>
      <w:r>
        <w:rPr>
          <w:rFonts w:hint="eastAsia" w:ascii="仿宋" w:hAnsi="仿宋" w:eastAsia="仿宋" w:cs="仿宋"/>
          <w:sz w:val="24"/>
          <w:highlight w:val="none"/>
          <w:lang w:eastAsia="zh-CN"/>
        </w:rPr>
        <w:t>；</w:t>
      </w:r>
    </w:p>
    <w:p w14:paraId="4C027CD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9.1.3落实政府采购政策需满足的资格要求（必须提供满足下列清单之一）；</w:t>
      </w:r>
    </w:p>
    <w:p w14:paraId="3C3AC62D">
      <w:pPr>
        <w:snapToGrid w:val="0"/>
        <w:spacing w:line="360"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rPr>
        <w:t>9.1.3.1中小企业声明函；</w:t>
      </w:r>
    </w:p>
    <w:p w14:paraId="31D0F7AD">
      <w:pPr>
        <w:snapToGrid w:val="0"/>
        <w:spacing w:line="360"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rPr>
        <w:t>9.1.3.2残疾人福利性单位声明函；</w:t>
      </w:r>
    </w:p>
    <w:p w14:paraId="3471A408">
      <w:pPr>
        <w:snapToGrid w:val="0"/>
        <w:spacing w:line="360"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rPr>
        <w:t>9.1.3.3监狱企业的证明文件；</w:t>
      </w:r>
    </w:p>
    <w:p w14:paraId="7BCE9876">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9.1.4联合协议（如有）；</w:t>
      </w:r>
    </w:p>
    <w:p w14:paraId="24A55FD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9.1.5分包意向协议（如有）；</w:t>
      </w:r>
    </w:p>
    <w:p w14:paraId="1B16FEB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9.1.6本项目的特定资格要求（如有）。</w:t>
      </w:r>
    </w:p>
    <w:p w14:paraId="3CD4FA25">
      <w:pPr>
        <w:snapToGrid w:val="0"/>
        <w:spacing w:line="360" w:lineRule="auto"/>
        <w:ind w:firstLine="480" w:firstLineChars="200"/>
        <w:rPr>
          <w:rFonts w:hint="eastAsia" w:ascii="仿宋" w:hAnsi="仿宋" w:eastAsia="仿宋" w:cs="仿宋"/>
          <w:b/>
          <w:bCs/>
          <w:sz w:val="24"/>
          <w:highlight w:val="none"/>
          <w:lang w:val="zh-CN"/>
        </w:rPr>
      </w:pPr>
      <w:r>
        <w:rPr>
          <w:rFonts w:hint="eastAsia" w:ascii="仿宋" w:hAnsi="仿宋" w:eastAsia="仿宋" w:cs="仿宋"/>
          <w:sz w:val="24"/>
          <w:highlight w:val="none"/>
        </w:rPr>
        <w:t>9</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b/>
          <w:bCs/>
          <w:sz w:val="24"/>
          <w:highlight w:val="none"/>
        </w:rPr>
        <w:t>商务技术</w:t>
      </w:r>
      <w:r>
        <w:rPr>
          <w:rFonts w:hint="eastAsia" w:ascii="仿宋" w:hAnsi="仿宋" w:eastAsia="仿宋" w:cs="仿宋"/>
          <w:b/>
          <w:bCs/>
          <w:sz w:val="24"/>
          <w:highlight w:val="none"/>
          <w:lang w:val="zh-CN"/>
        </w:rPr>
        <w:t>文件：</w:t>
      </w:r>
    </w:p>
    <w:p w14:paraId="3E658D6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9.2.1符合性自查表；</w:t>
      </w:r>
    </w:p>
    <w:p w14:paraId="35FD69F0">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9.2.2投标函；</w:t>
      </w:r>
    </w:p>
    <w:p w14:paraId="48D7DE55">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9.2.3授权委托书或法定代表人（单位负责人、自然人本人）身份证明；</w:t>
      </w:r>
    </w:p>
    <w:p w14:paraId="6C141519">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9.2.4供应商情况表；</w:t>
      </w:r>
    </w:p>
    <w:p w14:paraId="579078E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9.2.5距采购人最近或者能为本项目提供最优服务的网点情况表；</w:t>
      </w:r>
    </w:p>
    <w:p w14:paraId="5A350C65">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9.2.6</w:t>
      </w:r>
      <w:r>
        <w:rPr>
          <w:rFonts w:hint="eastAsia" w:ascii="仿宋" w:hAnsi="仿宋" w:eastAsia="仿宋" w:cs="仿宋"/>
          <w:sz w:val="24"/>
          <w:highlight w:val="none"/>
          <w:lang w:eastAsia="zh-CN"/>
        </w:rPr>
        <w:t>详细的职工疗休养服务方案</w:t>
      </w:r>
      <w:r>
        <w:rPr>
          <w:rFonts w:hint="eastAsia" w:ascii="仿宋" w:hAnsi="仿宋" w:eastAsia="仿宋" w:cs="仿宋"/>
          <w:sz w:val="24"/>
          <w:highlight w:val="none"/>
        </w:rPr>
        <w:t>；</w:t>
      </w:r>
    </w:p>
    <w:p w14:paraId="14A150B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7评标标准相应的商务技术资料；</w:t>
      </w:r>
    </w:p>
    <w:p w14:paraId="052C0A1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9.2.8商务响应表；</w:t>
      </w:r>
    </w:p>
    <w:p w14:paraId="72AD758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9.2.9技术响应表；</w:t>
      </w:r>
    </w:p>
    <w:p w14:paraId="446A99B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9.2.10同类业绩情况一览表；</w:t>
      </w:r>
    </w:p>
    <w:p w14:paraId="49966B39">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9.2.11</w:t>
      </w:r>
      <w:r>
        <w:rPr>
          <w:rFonts w:hint="eastAsia" w:ascii="仿宋" w:hAnsi="仿宋" w:eastAsia="仿宋" w:cs="仿宋"/>
          <w:sz w:val="24"/>
          <w:highlight w:val="none"/>
          <w:lang w:val="zh-CN"/>
        </w:rPr>
        <w:t>政府采购供应商廉洁自律承诺书；</w:t>
      </w:r>
    </w:p>
    <w:p w14:paraId="013A9C9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9.2.12其他资料（如有）。</w:t>
      </w:r>
    </w:p>
    <w:p w14:paraId="25A55D27">
      <w:pPr>
        <w:snapToGrid w:val="0"/>
        <w:spacing w:line="360" w:lineRule="auto"/>
        <w:ind w:firstLine="480" w:firstLineChars="200"/>
        <w:rPr>
          <w:rFonts w:hint="eastAsia" w:ascii="仿宋" w:hAnsi="仿宋" w:eastAsia="仿宋" w:cs="仿宋"/>
          <w:sz w:val="24"/>
          <w:highlight w:val="none"/>
          <w:u w:val="single"/>
          <w:lang w:val="zh-CN"/>
        </w:rPr>
      </w:pPr>
      <w:r>
        <w:rPr>
          <w:rFonts w:hint="eastAsia" w:ascii="仿宋" w:hAnsi="仿宋" w:eastAsia="仿宋" w:cs="仿宋"/>
          <w:kern w:val="0"/>
          <w:sz w:val="24"/>
          <w:highlight w:val="none"/>
        </w:rPr>
        <w:t>9</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3</w:t>
      </w:r>
      <w:r>
        <w:rPr>
          <w:rFonts w:hint="eastAsia" w:ascii="仿宋" w:hAnsi="仿宋" w:eastAsia="仿宋" w:cs="仿宋"/>
          <w:b/>
          <w:sz w:val="24"/>
          <w:highlight w:val="none"/>
        </w:rPr>
        <w:t>报价文件：</w:t>
      </w:r>
    </w:p>
    <w:p w14:paraId="561793F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9.3.1开标一览表；</w:t>
      </w:r>
    </w:p>
    <w:p w14:paraId="7590D7B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9.3.2投标报价明细表；</w:t>
      </w:r>
    </w:p>
    <w:p w14:paraId="2B0FC85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9.3.3政府采购统计基础信息表；</w:t>
      </w:r>
    </w:p>
    <w:p w14:paraId="08BB32A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9.3.4其他资料（如有）。</w:t>
      </w:r>
    </w:p>
    <w:p w14:paraId="45D2071A">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投标文件的编制</w:t>
      </w:r>
    </w:p>
    <w:p w14:paraId="3277E330">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rPr>
        <w:t>0</w:t>
      </w:r>
      <w:r>
        <w:rPr>
          <w:rFonts w:hint="eastAsia" w:ascii="仿宋" w:hAnsi="仿宋" w:eastAsia="仿宋" w:cs="仿宋"/>
          <w:kern w:val="0"/>
          <w:sz w:val="24"/>
          <w:highlight w:val="none"/>
          <w:lang w:val="zh-CN"/>
        </w:rPr>
        <w:t>.1投标文件分为资格文件、商务技术文件、报价文件三部分。各供应商在编制投标文件时请按照招标文件第六部分规定的格式进行。</w:t>
      </w:r>
      <w:r>
        <w:rPr>
          <w:rFonts w:hint="eastAsia" w:ascii="仿宋" w:hAnsi="仿宋" w:eastAsia="仿宋" w:cs="仿宋"/>
          <w:kern w:val="0"/>
          <w:sz w:val="24"/>
          <w:highlight w:val="none"/>
        </w:rPr>
        <w:t>未有规定格式的资料，</w:t>
      </w:r>
      <w:r>
        <w:rPr>
          <w:rFonts w:hint="eastAsia" w:ascii="仿宋" w:hAnsi="仿宋" w:eastAsia="仿宋" w:cs="仿宋"/>
          <w:kern w:val="0"/>
          <w:sz w:val="24"/>
          <w:highlight w:val="none"/>
          <w:lang w:val="zh-CN"/>
        </w:rPr>
        <w:t>供应商</w:t>
      </w:r>
      <w:r>
        <w:rPr>
          <w:rFonts w:hint="eastAsia" w:ascii="仿宋" w:hAnsi="仿宋" w:eastAsia="仿宋" w:cs="仿宋"/>
          <w:kern w:val="0"/>
          <w:sz w:val="24"/>
          <w:highlight w:val="none"/>
        </w:rPr>
        <w:t>应自行编制，但至少须包含9.投标文件组成中的内容。</w:t>
      </w:r>
      <w:r>
        <w:rPr>
          <w:rFonts w:hint="eastAsia" w:ascii="仿宋" w:hAnsi="仿宋" w:eastAsia="仿宋" w:cs="仿宋"/>
          <w:kern w:val="0"/>
          <w:sz w:val="24"/>
          <w:highlight w:val="none"/>
          <w:lang w:val="zh-CN"/>
        </w:rPr>
        <w:t>混乱的编排导致投标文件被误读或评标委员会查找不到有效文件是供应商的风险。</w:t>
      </w:r>
    </w:p>
    <w:p w14:paraId="25D74833">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rPr>
        <w:t>0</w:t>
      </w:r>
      <w:r>
        <w:rPr>
          <w:rFonts w:hint="eastAsia" w:ascii="仿宋" w:hAnsi="仿宋" w:eastAsia="仿宋" w:cs="仿宋"/>
          <w:kern w:val="0"/>
          <w:sz w:val="24"/>
          <w:highlight w:val="none"/>
          <w:lang w:val="zh-CN"/>
        </w:rPr>
        <w:t>.2供应商进行电子投标应安装客户端软件—“政采云电子交易客户端”，并按照招标文件和电子交易平台的要求编制并加密投标文件。供应商未按规定加密的投标文件，电子交易平台将拒收并提示。</w:t>
      </w:r>
    </w:p>
    <w:p w14:paraId="76E824E3">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rPr>
        <w:t>0</w:t>
      </w:r>
      <w:r>
        <w:rPr>
          <w:rFonts w:hint="eastAsia" w:ascii="仿宋" w:hAnsi="仿宋" w:eastAsia="仿宋" w:cs="仿宋"/>
          <w:kern w:val="0"/>
          <w:sz w:val="24"/>
          <w:highlight w:val="none"/>
          <w:lang w:val="zh-CN"/>
        </w:rPr>
        <w:t>.3使用“政采云电子交易客户端”需要提前申领CA数字证书，申领流程请自行前往“浙江政府采购网-下载专区-电子交易客户端-CA驱动和申领流程”进行查阅。</w:t>
      </w:r>
    </w:p>
    <w:p w14:paraId="3F1A728C">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投标文件的签署、盖章</w:t>
      </w:r>
    </w:p>
    <w:p w14:paraId="41C58A81">
      <w:pPr>
        <w:pStyle w:val="36"/>
        <w:snapToGrid w:val="0"/>
        <w:spacing w:before="0"/>
        <w:ind w:firstLine="480"/>
        <w:rPr>
          <w:rFonts w:hint="eastAsia" w:ascii="仿宋" w:hAnsi="仿宋" w:eastAsia="仿宋" w:cs="仿宋"/>
          <w:b/>
          <w:highlight w:val="none"/>
        </w:rPr>
      </w:pPr>
      <w:r>
        <w:rPr>
          <w:rFonts w:hint="eastAsia" w:ascii="仿宋" w:hAnsi="仿宋" w:eastAsia="仿宋" w:cs="仿宋"/>
          <w:szCs w:val="24"/>
          <w:highlight w:val="none"/>
        </w:rPr>
        <w:t>11.1投标文件按照招标文件第六部分格式要</w:t>
      </w:r>
      <w:r>
        <w:rPr>
          <w:rFonts w:hint="eastAsia" w:ascii="仿宋" w:hAnsi="仿宋" w:eastAsia="仿宋" w:cs="仿宋"/>
          <w:highlight w:val="none"/>
        </w:rPr>
        <w:t>求进行签署、盖章。</w:t>
      </w:r>
      <w:r>
        <w:rPr>
          <w:rFonts w:hint="eastAsia" w:ascii="仿宋" w:hAnsi="仿宋" w:eastAsia="仿宋" w:cs="仿宋"/>
          <w:b/>
          <w:highlight w:val="none"/>
        </w:rPr>
        <w:t>▲供应商的投标文件未按照招标文件要求签署、盖章</w:t>
      </w:r>
      <w:r>
        <w:rPr>
          <w:rFonts w:hint="eastAsia" w:ascii="仿宋" w:hAnsi="仿宋" w:eastAsia="仿宋" w:cs="仿宋"/>
          <w:b/>
        </w:rPr>
        <w:t>影响效力</w:t>
      </w:r>
      <w:r>
        <w:rPr>
          <w:rFonts w:hint="eastAsia" w:ascii="仿宋" w:hAnsi="仿宋" w:eastAsia="仿宋" w:cs="仿宋"/>
          <w:b/>
          <w:highlight w:val="none"/>
        </w:rPr>
        <w:t>的，其投标无效</w:t>
      </w:r>
      <w:r>
        <w:rPr>
          <w:rFonts w:hint="eastAsia" w:ascii="仿宋" w:hAnsi="仿宋" w:eastAsia="仿宋" w:cs="仿宋"/>
          <w:szCs w:val="24"/>
          <w:highlight w:val="none"/>
        </w:rPr>
        <w:t>。</w:t>
      </w:r>
    </w:p>
    <w:p w14:paraId="2D8A38DB">
      <w:pPr>
        <w:pStyle w:val="36"/>
        <w:snapToGrid w:val="0"/>
        <w:spacing w:before="0"/>
        <w:ind w:firstLine="480"/>
        <w:rPr>
          <w:rFonts w:hint="eastAsia" w:ascii="仿宋" w:hAnsi="仿宋" w:eastAsia="仿宋" w:cs="仿宋"/>
          <w:highlight w:val="none"/>
        </w:rPr>
      </w:pPr>
      <w:r>
        <w:rPr>
          <w:rFonts w:hint="eastAsia" w:ascii="仿宋" w:hAnsi="仿宋" w:eastAsia="仿宋" w:cs="仿宋"/>
          <w:highlight w:val="none"/>
        </w:rPr>
        <w:t>11.2为确保网上操作合法、有效和安全，</w:t>
      </w:r>
      <w:r>
        <w:rPr>
          <w:rFonts w:hint="eastAsia" w:ascii="仿宋" w:hAnsi="仿宋" w:eastAsia="仿宋" w:cs="仿宋"/>
          <w:kern w:val="0"/>
          <w:highlight w:val="none"/>
          <w:lang w:val="zh-CN"/>
        </w:rPr>
        <w:t>供应商</w:t>
      </w:r>
      <w:r>
        <w:rPr>
          <w:rFonts w:hint="eastAsia" w:ascii="仿宋" w:hAnsi="仿宋" w:eastAsia="仿宋" w:cs="仿宋"/>
          <w:highlight w:val="none"/>
        </w:rPr>
        <w:t>应当在投标截止时间前完成在“政府采购云平台”的身份认证，确保在电子投标过程中能够对相关数据电文进行加密和使用电子签名。</w:t>
      </w:r>
    </w:p>
    <w:p w14:paraId="55B435C1">
      <w:pPr>
        <w:pStyle w:val="36"/>
        <w:snapToGrid w:val="0"/>
        <w:spacing w:before="0"/>
        <w:ind w:firstLine="480"/>
        <w:rPr>
          <w:rFonts w:hint="eastAsia" w:ascii="仿宋" w:hAnsi="仿宋" w:eastAsia="仿宋" w:cs="仿宋"/>
          <w:szCs w:val="24"/>
          <w:highlight w:val="none"/>
        </w:rPr>
      </w:pPr>
      <w:r>
        <w:rPr>
          <w:rFonts w:hint="eastAsia" w:ascii="仿宋" w:hAnsi="仿宋" w:eastAsia="仿宋" w:cs="仿宋"/>
          <w:highlight w:val="none"/>
        </w:rPr>
        <w:t>11.3招标文件对投标文件签署、盖章的要求适用于电子签名。</w:t>
      </w:r>
    </w:p>
    <w:p w14:paraId="34830E94">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投标文件的提交、补充、修改、撤回</w:t>
      </w:r>
    </w:p>
    <w:p w14:paraId="52CC9BF5">
      <w:pPr>
        <w:pStyle w:val="36"/>
        <w:ind w:firstLine="480"/>
        <w:rPr>
          <w:rFonts w:hint="eastAsia" w:ascii="仿宋" w:hAnsi="仿宋" w:eastAsia="仿宋" w:cs="仿宋"/>
          <w:szCs w:val="24"/>
          <w:highlight w:val="none"/>
        </w:rPr>
      </w:pPr>
      <w:r>
        <w:rPr>
          <w:rFonts w:hint="eastAsia" w:ascii="仿宋" w:hAnsi="仿宋" w:eastAsia="仿宋" w:cs="仿宋"/>
          <w:szCs w:val="24"/>
          <w:highlight w:val="none"/>
        </w:rPr>
        <w:t>12.1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C300D1">
      <w:pPr>
        <w:pStyle w:val="3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12.2电子交易平台收到投标文件，将妥善保存并即时向供应商发出确认回执通知。在投标截止时间前，除供应商补充、修改或者撤回投标文件外，任何单位和个人不得解密或提取投标文件。</w:t>
      </w:r>
    </w:p>
    <w:p w14:paraId="3DCBB892">
      <w:pPr>
        <w:pStyle w:val="3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12.3采购人、采购代理机构可以视情况延长投标文件提交的截止时间。在上述情况下，采购代理机构与</w:t>
      </w:r>
      <w:r>
        <w:rPr>
          <w:rFonts w:hint="eastAsia" w:ascii="仿宋" w:hAnsi="仿宋" w:eastAsia="仿宋" w:cs="仿宋"/>
          <w:kern w:val="0"/>
          <w:highlight w:val="none"/>
          <w:lang w:val="zh-CN"/>
        </w:rPr>
        <w:t>供应商</w:t>
      </w:r>
      <w:r>
        <w:rPr>
          <w:rFonts w:hint="eastAsia" w:ascii="仿宋" w:hAnsi="仿宋" w:eastAsia="仿宋" w:cs="仿宋"/>
          <w:szCs w:val="24"/>
          <w:highlight w:val="none"/>
        </w:rPr>
        <w:t>以前在投标截止期方面的全部权利、责任和义务，将适用于延长至新的投标截止期。</w:t>
      </w:r>
    </w:p>
    <w:p w14:paraId="23F47C1D">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投标有效期</w:t>
      </w:r>
    </w:p>
    <w:p w14:paraId="62A3B32C">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投标有效期为从提交投标文件的截止之日起90天。</w:t>
      </w:r>
    </w:p>
    <w:p w14:paraId="62260532">
      <w:pPr>
        <w:spacing w:line="360" w:lineRule="auto"/>
        <w:ind w:firstLine="480" w:firstLineChars="200"/>
        <w:rPr>
          <w:rFonts w:hint="eastAsia" w:ascii="仿宋" w:hAnsi="仿宋" w:eastAsia="仿宋" w:cs="仿宋"/>
          <w:b/>
          <w:sz w:val="24"/>
          <w:szCs w:val="21"/>
          <w:highlight w:val="none"/>
        </w:rPr>
      </w:pPr>
      <w:r>
        <w:rPr>
          <w:rFonts w:hint="eastAsia" w:ascii="仿宋" w:hAnsi="仿宋" w:eastAsia="仿宋" w:cs="仿宋"/>
          <w:sz w:val="24"/>
          <w:szCs w:val="20"/>
          <w:highlight w:val="none"/>
        </w:rPr>
        <w:t>▲</w:t>
      </w:r>
      <w:r>
        <w:rPr>
          <w:rFonts w:hint="eastAsia" w:ascii="仿宋" w:hAnsi="仿宋" w:eastAsia="仿宋" w:cs="仿宋"/>
          <w:b/>
          <w:sz w:val="24"/>
          <w:szCs w:val="20"/>
          <w:highlight w:val="none"/>
        </w:rPr>
        <w:t>供应商的投标文件中承</w:t>
      </w:r>
      <w:r>
        <w:rPr>
          <w:rFonts w:hint="eastAsia" w:ascii="仿宋" w:hAnsi="仿宋" w:eastAsia="仿宋" w:cs="仿宋"/>
          <w:b/>
          <w:sz w:val="24"/>
          <w:szCs w:val="21"/>
          <w:highlight w:val="none"/>
        </w:rPr>
        <w:t>诺的投标有效期少于招标文件中载明的投标有效期的，投标无效。</w:t>
      </w:r>
    </w:p>
    <w:p w14:paraId="75CD14D8">
      <w:pPr>
        <w:spacing w:before="120" w:beforeLines="50" w:after="120" w:afterLines="50"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四、开标、资格审查与信用信息查询</w:t>
      </w:r>
    </w:p>
    <w:p w14:paraId="63B3C18F">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开标</w:t>
      </w:r>
    </w:p>
    <w:p w14:paraId="70484398">
      <w:pPr>
        <w:pStyle w:val="31"/>
        <w:spacing w:before="0" w:line="360" w:lineRule="auto"/>
        <w:ind w:left="0"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14.1采购代理机构按照招标文件规定的时间通过电子交易平台组织开标，所有</w:t>
      </w:r>
      <w:r>
        <w:rPr>
          <w:rFonts w:hint="eastAsia" w:ascii="仿宋" w:hAnsi="仿宋" w:eastAsia="仿宋" w:cs="仿宋"/>
          <w:sz w:val="24"/>
          <w:highlight w:val="none"/>
          <w:lang w:val="zh-CN"/>
        </w:rPr>
        <w:t>供应商</w:t>
      </w:r>
      <w:r>
        <w:rPr>
          <w:rFonts w:hint="eastAsia" w:ascii="仿宋" w:hAnsi="仿宋" w:eastAsia="仿宋" w:cs="仿宋"/>
          <w:sz w:val="24"/>
          <w:highlight w:val="none"/>
        </w:rPr>
        <w:t>均应当准时在线参加。</w:t>
      </w:r>
      <w:r>
        <w:rPr>
          <w:rFonts w:hint="eastAsia" w:ascii="仿宋" w:hAnsi="仿宋" w:eastAsia="仿宋" w:cs="仿宋"/>
          <w:sz w:val="24"/>
          <w:highlight w:val="none"/>
          <w:lang w:val="en-US" w:eastAsia="zh-CN"/>
        </w:rPr>
        <w:t>投标标项</w:t>
      </w:r>
      <w:r>
        <w:rPr>
          <w:rFonts w:hint="eastAsia" w:ascii="仿宋" w:hAnsi="仿宋" w:eastAsia="仿宋" w:cs="仿宋"/>
          <w:sz w:val="24"/>
          <w:highlight w:val="none"/>
          <w:lang w:val="zh-CN"/>
        </w:rPr>
        <w:t>供应商</w:t>
      </w:r>
      <w:r>
        <w:rPr>
          <w:rFonts w:hint="eastAsia" w:ascii="仿宋" w:hAnsi="仿宋" w:eastAsia="仿宋" w:cs="仿宋"/>
          <w:sz w:val="24"/>
          <w:highlight w:val="none"/>
        </w:rPr>
        <w:t>不足3家的，不开启</w:t>
      </w:r>
      <w:r>
        <w:rPr>
          <w:rFonts w:hint="eastAsia" w:ascii="仿宋" w:hAnsi="仿宋" w:eastAsia="仿宋" w:cs="仿宋"/>
          <w:sz w:val="24"/>
          <w:highlight w:val="none"/>
          <w:lang w:val="en-US" w:eastAsia="zh-CN"/>
        </w:rPr>
        <w:t>该标项</w:t>
      </w:r>
      <w:r>
        <w:rPr>
          <w:rFonts w:hint="eastAsia" w:ascii="仿宋" w:hAnsi="仿宋" w:eastAsia="仿宋" w:cs="仿宋"/>
          <w:sz w:val="24"/>
          <w:highlight w:val="none"/>
        </w:rPr>
        <w:t>电子投标文件，终止</w:t>
      </w:r>
      <w:r>
        <w:rPr>
          <w:rFonts w:hint="eastAsia" w:ascii="仿宋" w:hAnsi="仿宋" w:eastAsia="仿宋" w:cs="仿宋"/>
          <w:sz w:val="24"/>
          <w:highlight w:val="none"/>
          <w:lang w:val="en-US" w:eastAsia="zh-CN"/>
        </w:rPr>
        <w:t>该标项</w:t>
      </w:r>
      <w:r>
        <w:rPr>
          <w:rFonts w:hint="eastAsia" w:ascii="仿宋" w:hAnsi="仿宋" w:eastAsia="仿宋" w:cs="仿宋"/>
          <w:sz w:val="24"/>
          <w:highlight w:val="none"/>
        </w:rPr>
        <w:t>采购活动。</w:t>
      </w:r>
    </w:p>
    <w:p w14:paraId="5D277365">
      <w:pPr>
        <w:pStyle w:val="31"/>
        <w:spacing w:before="0" w:line="360" w:lineRule="auto"/>
        <w:ind w:left="0"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14.2开标时，电子交易平台按开标时间自动提取所有投标文件。采购代理机构依托电子交易平台发起开始解密指令，</w:t>
      </w:r>
      <w:r>
        <w:rPr>
          <w:rFonts w:hint="eastAsia" w:ascii="仿宋" w:hAnsi="仿宋" w:eastAsia="仿宋" w:cs="仿宋"/>
          <w:sz w:val="24"/>
          <w:highlight w:val="none"/>
          <w:lang w:val="zh-CN"/>
        </w:rPr>
        <w:t>供应商</w:t>
      </w:r>
      <w:r>
        <w:rPr>
          <w:rFonts w:hint="eastAsia" w:ascii="仿宋" w:hAnsi="仿宋" w:eastAsia="仿宋" w:cs="仿宋"/>
          <w:sz w:val="24"/>
          <w:highlight w:val="none"/>
        </w:rPr>
        <w:t>按照平台提示和招标文件的规定在半小时内完成在线解密。</w:t>
      </w:r>
    </w:p>
    <w:p w14:paraId="7421B519">
      <w:pPr>
        <w:pStyle w:val="31"/>
        <w:spacing w:before="0" w:line="360" w:lineRule="auto"/>
        <w:ind w:left="0"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14.3本项目为两阶段开标，先开启资格文件和商务技术文件，资格文件和商务技术文件评审结束后，开启报价文件，进行报价评审。具体流程参照浙财采监(2015)13号文件规定的开标流程。</w:t>
      </w:r>
    </w:p>
    <w:p w14:paraId="2CC819CA">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资格审查</w:t>
      </w:r>
    </w:p>
    <w:p w14:paraId="3FD5EEAF">
      <w:pPr>
        <w:pStyle w:val="36"/>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15.1开标后，采购人或采购代理机构依据法律法规和招标文件的规定，对供应商的资格条件进行审查。</w:t>
      </w:r>
    </w:p>
    <w:p w14:paraId="29D676AB">
      <w:pPr>
        <w:pStyle w:val="36"/>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15.</w:t>
      </w:r>
      <w:r>
        <w:rPr>
          <w:rFonts w:hint="eastAsia" w:ascii="仿宋" w:hAnsi="仿宋" w:eastAsia="仿宋" w:cs="仿宋"/>
          <w:highlight w:val="none"/>
        </w:rPr>
        <w:t>2对未通过资格审查的供应商，采购人或采购代理机构告知其未通过的原因。</w:t>
      </w:r>
    </w:p>
    <w:p w14:paraId="21224C4D">
      <w:pPr>
        <w:pStyle w:val="36"/>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15.</w:t>
      </w:r>
      <w:r>
        <w:rPr>
          <w:rFonts w:hint="eastAsia" w:ascii="仿宋" w:hAnsi="仿宋" w:eastAsia="仿宋" w:cs="仿宋"/>
          <w:highlight w:val="none"/>
        </w:rPr>
        <w:t>3合格供应商不足3家的，不再评标。</w:t>
      </w:r>
    </w:p>
    <w:p w14:paraId="46EE36BB">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信用信息查询</w:t>
      </w:r>
    </w:p>
    <w:p w14:paraId="2E66BB2F">
      <w:pPr>
        <w:pStyle w:val="36"/>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16.1信用信息查询渠道及截止时间：采购代理机构将通过“信用中国”网站(www.creditchina.gov.cn)、中国政府采购网(www.ccgp.gov.cn)渠道查询供应商投标截止时间当天的信用记录。</w:t>
      </w:r>
    </w:p>
    <w:p w14:paraId="75F808AA">
      <w:pPr>
        <w:pStyle w:val="36"/>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16.2信用信息的使用规则：经查询列入失信被执行人名单、重大税收违法失信主体、政府采购严重违法失信行为记录名单的</w:t>
      </w:r>
      <w:r>
        <w:rPr>
          <w:rFonts w:hint="eastAsia" w:ascii="仿宋" w:hAnsi="仿宋" w:eastAsia="仿宋" w:cs="仿宋"/>
          <w:kern w:val="0"/>
          <w:highlight w:val="none"/>
          <w:lang w:val="zh-CN"/>
        </w:rPr>
        <w:t>供应商</w:t>
      </w:r>
      <w:r>
        <w:rPr>
          <w:rFonts w:hint="eastAsia" w:ascii="仿宋" w:hAnsi="仿宋" w:eastAsia="仿宋" w:cs="仿宋"/>
          <w:kern w:val="0"/>
          <w:szCs w:val="24"/>
          <w:highlight w:val="none"/>
        </w:rPr>
        <w:t>将被拒绝参与政府采购活动。</w:t>
      </w:r>
    </w:p>
    <w:p w14:paraId="288C5ABE">
      <w:pPr>
        <w:pStyle w:val="36"/>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16.3联合体信用信息查询：两个以上的自然人、法人或者其他组织组成一个联合体，以一个供应商的身份共同参加政府采购活动的，对所有联合体成员进行信用记录查询，联合体成员存在不良信用记录的，视同联合体存在不良信用记录</w:t>
      </w:r>
      <w:r>
        <w:rPr>
          <w:rFonts w:hint="eastAsia" w:ascii="仿宋" w:hAnsi="仿宋" w:eastAsia="仿宋" w:cs="仿宋"/>
          <w:highlight w:val="none"/>
        </w:rPr>
        <w:t>。</w:t>
      </w:r>
    </w:p>
    <w:p w14:paraId="59439C7E">
      <w:pPr>
        <w:spacing w:before="120" w:beforeLines="50" w:after="120" w:afterLines="50"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五、评标</w:t>
      </w:r>
    </w:p>
    <w:p w14:paraId="65498E64">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bookmarkStart w:id="13" w:name="_Toc91899903"/>
      <w:r>
        <w:rPr>
          <w:rFonts w:hint="eastAsia" w:ascii="仿宋" w:hAnsi="仿宋" w:eastAsia="仿宋" w:cs="仿宋"/>
          <w:b/>
          <w:sz w:val="24"/>
          <w:highlight w:val="none"/>
        </w:rPr>
        <w:t>评标委员会</w:t>
      </w:r>
    </w:p>
    <w:p w14:paraId="37CCDE86">
      <w:pPr>
        <w:pStyle w:val="36"/>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17.1本次招标依法组建评标委员会。评标委员会由采购人代表和评审专家组成，评审专家从专家库随机抽取。</w:t>
      </w:r>
    </w:p>
    <w:p w14:paraId="25506B08">
      <w:pPr>
        <w:pStyle w:val="36"/>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17.2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0BBCB6B9">
      <w:pPr>
        <w:pStyle w:val="36"/>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17.3评审专家有下列情形之一的，应主动提出回避，采购当事人也可以要求该评审专家回避：</w:t>
      </w:r>
    </w:p>
    <w:p w14:paraId="4D8F7BE7">
      <w:pPr>
        <w:pStyle w:val="36"/>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17.3.1参加采购活动前3年内与供应商存在劳动关系；</w:t>
      </w:r>
    </w:p>
    <w:p w14:paraId="421CFB8B">
      <w:pPr>
        <w:pStyle w:val="36"/>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17.3.2参加采购活动前3年内担任供应商的董事、监事；</w:t>
      </w:r>
    </w:p>
    <w:p w14:paraId="71287276">
      <w:pPr>
        <w:pStyle w:val="36"/>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17.3.3参加采购活动前3年内是供应商的控股股东或者实际控制人；</w:t>
      </w:r>
    </w:p>
    <w:p w14:paraId="301331D8">
      <w:pPr>
        <w:pStyle w:val="36"/>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17.3.4与供应商的法定代表人或者负责人有夫妻、直系血亲、三代以内旁系血亲或者近姻亲关系；</w:t>
      </w:r>
    </w:p>
    <w:p w14:paraId="687B9DBA">
      <w:pPr>
        <w:pStyle w:val="36"/>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17.3.5与供应商有其他可能影响政府采购活动公平、公正进行的关系。</w:t>
      </w:r>
    </w:p>
    <w:p w14:paraId="46B37484">
      <w:pPr>
        <w:pStyle w:val="36"/>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17.3.6曾经参加过该采购项目招标文件的论证工作；</w:t>
      </w:r>
    </w:p>
    <w:p w14:paraId="12991D77">
      <w:pPr>
        <w:pStyle w:val="36"/>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17.3.7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07AA853">
      <w:pPr>
        <w:pStyle w:val="36"/>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17.4评标委员会判断投标文件的有效性、合格性和响应情况，仅依据投标人所递交一切文件的真实表述，不受与本项目无直接关联的外部信息、传言而影响自身的专业判断。</w:t>
      </w:r>
    </w:p>
    <w:p w14:paraId="61D4361A">
      <w:pPr>
        <w:pStyle w:val="36"/>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17.5评委依法独立评审，并对评审意见承担个人责任。评委对需要共同认定的事项存在争议的，按照少数服从多数的原则做出结论。持不同意见的评委应当在评审报告上签署不同意见并说明理由，否则视为同意。</w:t>
      </w:r>
    </w:p>
    <w:p w14:paraId="6D05DDFA">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评标</w:t>
      </w:r>
    </w:p>
    <w:p w14:paraId="50FAF9B9">
      <w:pPr>
        <w:pStyle w:val="36"/>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评标委员会将根据招标文件和有关规定，履行评标工作职责，并按照评标方法及评分标准，全面衡量各</w:t>
      </w:r>
      <w:r>
        <w:rPr>
          <w:rFonts w:hint="eastAsia" w:ascii="仿宋" w:hAnsi="仿宋" w:eastAsia="仿宋" w:cs="仿宋"/>
          <w:kern w:val="0"/>
          <w:szCs w:val="24"/>
          <w:highlight w:val="none"/>
          <w:lang w:val="zh-CN"/>
        </w:rPr>
        <w:t>供应商</w:t>
      </w:r>
      <w:r>
        <w:rPr>
          <w:rFonts w:hint="eastAsia" w:ascii="仿宋" w:hAnsi="仿宋" w:eastAsia="仿宋" w:cs="仿宋"/>
          <w:kern w:val="0"/>
          <w:szCs w:val="24"/>
          <w:highlight w:val="none"/>
        </w:rPr>
        <w:t>对招标文件的响应情况。对实质上响应招标文件的</w:t>
      </w:r>
      <w:r>
        <w:rPr>
          <w:rFonts w:hint="eastAsia" w:ascii="仿宋" w:hAnsi="仿宋" w:eastAsia="仿宋" w:cs="仿宋"/>
          <w:kern w:val="0"/>
          <w:szCs w:val="24"/>
          <w:highlight w:val="none"/>
          <w:lang w:val="zh-CN"/>
        </w:rPr>
        <w:t>供应商</w:t>
      </w:r>
      <w:r>
        <w:rPr>
          <w:rFonts w:hint="eastAsia" w:ascii="仿宋" w:hAnsi="仿宋" w:eastAsia="仿宋" w:cs="仿宋"/>
          <w:kern w:val="0"/>
          <w:szCs w:val="24"/>
          <w:highlight w:val="none"/>
        </w:rPr>
        <w:t>，按照评审因素的量化指标推荐综合得分排名第一的为中标候选人。</w:t>
      </w:r>
    </w:p>
    <w:p w14:paraId="2E6C7794">
      <w:pPr>
        <w:pStyle w:val="36"/>
        <w:spacing w:before="0"/>
        <w:ind w:firstLine="480"/>
        <w:rPr>
          <w:rFonts w:hint="eastAsia" w:ascii="仿宋" w:hAnsi="仿宋" w:eastAsia="仿宋" w:cs="仿宋"/>
          <w:b/>
          <w:bCs/>
          <w:kern w:val="0"/>
          <w:szCs w:val="24"/>
          <w:highlight w:val="none"/>
        </w:rPr>
      </w:pPr>
      <w:r>
        <w:rPr>
          <w:rFonts w:hint="eastAsia" w:ascii="仿宋" w:hAnsi="仿宋" w:eastAsia="仿宋" w:cs="仿宋"/>
          <w:kern w:val="0"/>
          <w:szCs w:val="24"/>
          <w:highlight w:val="none"/>
        </w:rPr>
        <w:t>得分相同的，按投标报价由低到高顺序排列。得分且投标报价相同的，投标文件满足招标文件全部实质性要求，且按照评审因素的量化指标评审得分最高的</w:t>
      </w:r>
      <w:r>
        <w:rPr>
          <w:rFonts w:hint="eastAsia" w:ascii="仿宋" w:hAnsi="仿宋" w:eastAsia="仿宋" w:cs="仿宋"/>
          <w:kern w:val="0"/>
          <w:szCs w:val="24"/>
          <w:highlight w:val="none"/>
          <w:lang w:val="zh-CN"/>
        </w:rPr>
        <w:t>供应商</w:t>
      </w:r>
      <w:r>
        <w:rPr>
          <w:rFonts w:hint="eastAsia" w:ascii="仿宋" w:hAnsi="仿宋" w:eastAsia="仿宋" w:cs="仿宋"/>
          <w:kern w:val="0"/>
          <w:szCs w:val="24"/>
          <w:highlight w:val="none"/>
        </w:rPr>
        <w:t>为排名第一的中标候选人。</w:t>
      </w:r>
    </w:p>
    <w:p w14:paraId="40B08A71">
      <w:pPr>
        <w:pStyle w:val="36"/>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详见招标文件第四部分评标办法。</w:t>
      </w:r>
    </w:p>
    <w:p w14:paraId="78BD5D36">
      <w:pPr>
        <w:spacing w:before="120" w:beforeLines="50" w:after="120" w:afterLines="50"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六、定标</w:t>
      </w:r>
    </w:p>
    <w:p w14:paraId="24259F20">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确定中标供应商</w:t>
      </w:r>
    </w:p>
    <w:p w14:paraId="0FB931EF">
      <w:pPr>
        <w:pStyle w:val="36"/>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本项目由评标委员会推荐1家中标候选人；采购人不得在评标委员会推荐的中标候选人以外确定中标候选人。</w:t>
      </w:r>
    </w:p>
    <w:p w14:paraId="19818B76">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中标通知与中标结果公告</w:t>
      </w:r>
    </w:p>
    <w:p w14:paraId="1166F086">
      <w:pPr>
        <w:pStyle w:val="36"/>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20.1自中标人确定之日起2个工作日内，采购代理机构通过电子交易平台向中标人发出中标通知书，同时编制发布采购结果公告。采购代理机构也可以以纸质形式进行中标通知。</w:t>
      </w:r>
    </w:p>
    <w:p w14:paraId="50816CF0">
      <w:pPr>
        <w:pStyle w:val="36"/>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20.2中标结果公告内容包括采购人及其委托的采购代理机构的名称、地址、联系方式，项目名称和项目编号，中标人名称、地址和中标金额，主要中标标的的名称、规格型号、数量、单价、服务要求，开标记录、中标公告期限以及评审专家名单、评分汇总及明细。</w:t>
      </w:r>
    </w:p>
    <w:p w14:paraId="0C0F1B92">
      <w:pPr>
        <w:pStyle w:val="36"/>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20.3中标结果公告期限为1个工作日。</w:t>
      </w:r>
    </w:p>
    <w:p w14:paraId="15666F01">
      <w:pPr>
        <w:spacing w:before="120" w:beforeLines="50" w:after="120" w:afterLines="50"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七、合同授予</w:t>
      </w:r>
    </w:p>
    <w:p w14:paraId="00310D69">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合同授予</w:t>
      </w:r>
    </w:p>
    <w:p w14:paraId="2961D9EC">
      <w:pPr>
        <w:pStyle w:val="36"/>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合同主要条款详见第五部分政府采购合同文本。</w:t>
      </w:r>
    </w:p>
    <w:p w14:paraId="25F32201">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合同的签订</w:t>
      </w:r>
    </w:p>
    <w:p w14:paraId="40DD9DEF">
      <w:pPr>
        <w:pStyle w:val="36"/>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22.1采购人与中标供应商应当通过电子交易平台在中标通知书发出之日起三十日内，按照招标文件及中标供应商的投标文件确定的事项签订政府采购合同，并在合同签订之日起2个工作日内依法发布合同公告。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7A813C53">
      <w:pPr>
        <w:pStyle w:val="36"/>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lang w:val="zh-CN"/>
        </w:rPr>
        <w:t>2</w:t>
      </w:r>
      <w:r>
        <w:rPr>
          <w:rFonts w:hint="eastAsia" w:ascii="仿宋" w:hAnsi="仿宋" w:eastAsia="仿宋" w:cs="仿宋"/>
          <w:kern w:val="0"/>
          <w:szCs w:val="24"/>
          <w:highlight w:val="none"/>
        </w:rPr>
        <w:t>2</w:t>
      </w:r>
      <w:r>
        <w:rPr>
          <w:rFonts w:hint="eastAsia" w:ascii="仿宋" w:hAnsi="仿宋" w:eastAsia="仿宋" w:cs="仿宋"/>
          <w:kern w:val="0"/>
          <w:szCs w:val="24"/>
          <w:highlight w:val="none"/>
          <w:lang w:val="zh-CN"/>
        </w:rPr>
        <w:t>.2中标供应商按规定的日期、时间、地点，由法定代表人或其授权代表与采购人代表签订合同。如中标人为联合体的，由联合体成员各方法定代表人或其授权代表与采购人代表签订合同。</w:t>
      </w:r>
    </w:p>
    <w:p w14:paraId="37D916CA">
      <w:pPr>
        <w:pStyle w:val="36"/>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22.3如签订合同并生效后，供应商无故拒绝或延期，除按照合同条款处理外，列入不良行为记录名单，并给予通报。</w:t>
      </w:r>
    </w:p>
    <w:p w14:paraId="197A6A93">
      <w:pPr>
        <w:pStyle w:val="36"/>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22.4中标供应商拒绝与采购人签订合同的，列入不良行为记录名单，采购人、采购代理机构重新开展政府采购活动。</w:t>
      </w:r>
    </w:p>
    <w:p w14:paraId="22A5255C">
      <w:pPr>
        <w:pStyle w:val="36"/>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22.5采购合同由采购人与中标供应商根据招标文件、投标文件等内容通过政府采购电子交易平台在线签订，自动备案。</w:t>
      </w:r>
    </w:p>
    <w:p w14:paraId="0FD63B93">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履约保证金</w:t>
      </w:r>
    </w:p>
    <w:p w14:paraId="08D314FC">
      <w:pPr>
        <w:tabs>
          <w:tab w:val="left" w:pos="0"/>
        </w:tabs>
        <w:spacing w:line="360" w:lineRule="auto"/>
        <w:ind w:firstLine="482"/>
        <w:rPr>
          <w:rFonts w:hint="eastAsia" w:ascii="仿宋" w:hAnsi="仿宋" w:eastAsia="仿宋" w:cs="仿宋"/>
          <w:sz w:val="24"/>
          <w:highlight w:val="none"/>
        </w:rPr>
      </w:pPr>
      <w:r>
        <w:rPr>
          <w:rFonts w:hint="eastAsia" w:ascii="仿宋" w:hAnsi="仿宋" w:eastAsia="仿宋" w:cs="仿宋"/>
          <w:kern w:val="0"/>
          <w:sz w:val="24"/>
          <w:highlight w:val="none"/>
        </w:rPr>
        <w:t>政府采购合同文本要求中标供应商提交履约保证金的，供应商应当以支票、汇票、本票或者金融机构、担保机构出具的保函等非现金形式提交</w:t>
      </w:r>
      <w:r>
        <w:rPr>
          <w:rFonts w:hint="eastAsia" w:ascii="仿宋" w:hAnsi="仿宋" w:eastAsia="仿宋" w:cs="仿宋"/>
          <w:sz w:val="24"/>
          <w:highlight w:val="none"/>
        </w:rPr>
        <w:t>。履约保证金的数额不得超过政府采购合同金额的1%。鼓励和支持供应商以银行、保险公司出具的保函形式提供履约保证金。采购人不得拒收履约保函。</w:t>
      </w:r>
    </w:p>
    <w:p w14:paraId="731DF62B">
      <w:pPr>
        <w:spacing w:before="120" w:beforeLines="50" w:after="120" w:afterLines="50"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八、电子交易活动的中止</w:t>
      </w:r>
    </w:p>
    <w:p w14:paraId="78BA0F1C">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电子交易活动的中止</w:t>
      </w:r>
    </w:p>
    <w:p w14:paraId="68D5E9E9">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采购过程中出现以下情形，导致电子交易平台无法正常运行，或者无法保证电子交易的公平、公正和安全时，采购代理机构可中止电子交易活动：</w:t>
      </w:r>
    </w:p>
    <w:p w14:paraId="77BEBA77">
      <w:pPr>
        <w:pStyle w:val="36"/>
        <w:snapToGrid w:val="0"/>
        <w:spacing w:before="0"/>
        <w:ind w:firstLine="480"/>
        <w:rPr>
          <w:rFonts w:hint="eastAsia" w:ascii="仿宋" w:hAnsi="仿宋" w:eastAsia="仿宋" w:cs="仿宋"/>
          <w:highlight w:val="none"/>
        </w:rPr>
      </w:pPr>
      <w:r>
        <w:rPr>
          <w:rFonts w:hint="eastAsia" w:ascii="仿宋" w:hAnsi="仿宋" w:eastAsia="仿宋" w:cs="仿宋"/>
          <w:highlight w:val="none"/>
        </w:rPr>
        <w:t>24.1电子交易平台发生故障而无法登录访问的；</w:t>
      </w:r>
    </w:p>
    <w:p w14:paraId="7963CFD8">
      <w:pPr>
        <w:pStyle w:val="36"/>
        <w:snapToGrid w:val="0"/>
        <w:spacing w:before="0"/>
        <w:ind w:firstLine="480"/>
        <w:rPr>
          <w:rFonts w:hint="eastAsia" w:ascii="仿宋" w:hAnsi="仿宋" w:eastAsia="仿宋" w:cs="仿宋"/>
          <w:highlight w:val="none"/>
        </w:rPr>
      </w:pPr>
      <w:r>
        <w:rPr>
          <w:rFonts w:hint="eastAsia" w:ascii="仿宋" w:hAnsi="仿宋" w:eastAsia="仿宋" w:cs="仿宋"/>
          <w:highlight w:val="none"/>
        </w:rPr>
        <w:t>24.2电子交易平台应用或数据库出现错误，不能进行正常操作的；</w:t>
      </w:r>
    </w:p>
    <w:p w14:paraId="695BAD33">
      <w:pPr>
        <w:pStyle w:val="36"/>
        <w:snapToGrid w:val="0"/>
        <w:spacing w:before="0"/>
        <w:ind w:firstLine="480"/>
        <w:rPr>
          <w:rFonts w:hint="eastAsia" w:ascii="仿宋" w:hAnsi="仿宋" w:eastAsia="仿宋" w:cs="仿宋"/>
          <w:highlight w:val="none"/>
        </w:rPr>
      </w:pPr>
      <w:r>
        <w:rPr>
          <w:rFonts w:hint="eastAsia" w:ascii="仿宋" w:hAnsi="仿宋" w:eastAsia="仿宋" w:cs="仿宋"/>
          <w:highlight w:val="none"/>
        </w:rPr>
        <w:t>24.3电子交易平台发现严重安全漏洞，有潜在泄密危险的；</w:t>
      </w:r>
    </w:p>
    <w:p w14:paraId="7E57B18E">
      <w:pPr>
        <w:pStyle w:val="36"/>
        <w:snapToGrid w:val="0"/>
        <w:spacing w:before="0"/>
        <w:ind w:firstLine="480"/>
        <w:rPr>
          <w:rFonts w:hint="eastAsia" w:ascii="仿宋" w:hAnsi="仿宋" w:eastAsia="仿宋" w:cs="仿宋"/>
          <w:highlight w:val="none"/>
        </w:rPr>
      </w:pPr>
      <w:r>
        <w:rPr>
          <w:rFonts w:hint="eastAsia" w:ascii="仿宋" w:hAnsi="仿宋" w:eastAsia="仿宋" w:cs="仿宋"/>
          <w:highlight w:val="none"/>
        </w:rPr>
        <w:t>24.4病毒发作导致不能进行正常操作的；</w:t>
      </w:r>
    </w:p>
    <w:p w14:paraId="3D0EB86B">
      <w:pPr>
        <w:pStyle w:val="36"/>
        <w:snapToGrid w:val="0"/>
        <w:spacing w:before="0"/>
        <w:ind w:firstLine="480"/>
        <w:rPr>
          <w:rFonts w:hint="eastAsia" w:ascii="仿宋" w:hAnsi="仿宋" w:eastAsia="仿宋" w:cs="仿宋"/>
          <w:highlight w:val="none"/>
        </w:rPr>
      </w:pPr>
      <w:r>
        <w:rPr>
          <w:rFonts w:hint="eastAsia" w:ascii="仿宋" w:hAnsi="仿宋" w:eastAsia="仿宋" w:cs="仿宋"/>
          <w:highlight w:val="none"/>
        </w:rPr>
        <w:t>24.5其他无法保证电子交易的公平、公正和安全的情况。</w:t>
      </w:r>
    </w:p>
    <w:p w14:paraId="565FF052">
      <w:pPr>
        <w:spacing w:before="120" w:beforeLines="50" w:after="120" w:afterLines="50"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九、验收</w:t>
      </w:r>
    </w:p>
    <w:p w14:paraId="4F85A3A0">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验收</w:t>
      </w:r>
    </w:p>
    <w:p w14:paraId="514B7520">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C5FB4A">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25.</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83AD0D">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25.</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bookmarkStart w:id="14" w:name="_Hlt74714665"/>
      <w:bookmarkEnd w:id="14"/>
      <w:bookmarkStart w:id="15" w:name="_Hlt68073093"/>
      <w:bookmarkEnd w:id="15"/>
      <w:bookmarkStart w:id="16" w:name="_Hlt68403820"/>
      <w:bookmarkEnd w:id="16"/>
      <w:bookmarkStart w:id="17" w:name="_Hlt74729768"/>
      <w:bookmarkEnd w:id="17"/>
      <w:bookmarkStart w:id="18" w:name="_Hlt68072998"/>
      <w:bookmarkEnd w:id="18"/>
      <w:bookmarkStart w:id="19" w:name="_Hlt75236101"/>
      <w:bookmarkEnd w:id="19"/>
      <w:bookmarkStart w:id="20" w:name="_Hlt75236290"/>
      <w:bookmarkEnd w:id="20"/>
      <w:bookmarkStart w:id="21" w:name="_Hlt74730295"/>
      <w:bookmarkEnd w:id="21"/>
      <w:bookmarkStart w:id="22" w:name="_Hlt68057669"/>
      <w:bookmarkEnd w:id="22"/>
      <w:bookmarkStart w:id="23" w:name="_Hlt74707468"/>
      <w:bookmarkEnd w:id="23"/>
      <w:bookmarkStart w:id="24" w:name="_Hlt75236011"/>
      <w:bookmarkEnd w:id="24"/>
      <w:bookmarkStart w:id="25" w:name="_Hlt68072990"/>
      <w:bookmarkEnd w:id="25"/>
      <w:bookmarkStart w:id="26" w:name="第四部分"/>
    </w:p>
    <w:p w14:paraId="77281421">
      <w:pPr>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kern w:val="0"/>
          <w:sz w:val="24"/>
          <w:highlight w:val="none"/>
        </w:rPr>
        <w:br w:type="page"/>
      </w:r>
      <w:r>
        <w:rPr>
          <w:rFonts w:hint="eastAsia" w:ascii="仿宋" w:hAnsi="仿宋" w:eastAsia="仿宋" w:cs="仿宋"/>
          <w:b/>
          <w:sz w:val="36"/>
          <w:szCs w:val="20"/>
          <w:highlight w:val="none"/>
        </w:rPr>
        <w:t>第三部分  采购需求</w:t>
      </w:r>
    </w:p>
    <w:p w14:paraId="32AB7E9A">
      <w:pPr>
        <w:spacing w:before="120" w:beforeLines="50" w:after="120" w:afterLines="5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一、项目概况</w:t>
      </w:r>
    </w:p>
    <w:p w14:paraId="0F1AF449">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1"/>
          <w:szCs w:val="21"/>
          <w:highlight w:val="none"/>
        </w:rPr>
        <w:t>为进一步满足广大职工对美好生活的需求，维护职工基本权利，激发广大职工的工作热情，严格落实职工疗休养工作有关文件规定，对职工疗休养</w:t>
      </w:r>
      <w:r>
        <w:rPr>
          <w:rFonts w:hint="eastAsia" w:ascii="仿宋" w:hAnsi="仿宋" w:eastAsia="仿宋" w:cs="仿宋"/>
          <w:kern w:val="0"/>
          <w:sz w:val="21"/>
          <w:szCs w:val="21"/>
          <w:highlight w:val="none"/>
          <w:lang w:val="en-US" w:eastAsia="zh-CN"/>
        </w:rPr>
        <w:t>服务项目</w:t>
      </w:r>
      <w:r>
        <w:rPr>
          <w:rFonts w:hint="eastAsia" w:ascii="仿宋" w:hAnsi="仿宋" w:eastAsia="仿宋" w:cs="仿宋"/>
          <w:kern w:val="0"/>
          <w:sz w:val="21"/>
          <w:szCs w:val="21"/>
          <w:highlight w:val="none"/>
        </w:rPr>
        <w:t>进行</w:t>
      </w:r>
      <w:r>
        <w:rPr>
          <w:rFonts w:hint="eastAsia" w:ascii="仿宋" w:hAnsi="仿宋" w:eastAsia="仿宋" w:cs="仿宋"/>
          <w:kern w:val="0"/>
          <w:sz w:val="21"/>
          <w:szCs w:val="21"/>
          <w:highlight w:val="none"/>
          <w:lang w:val="en-US" w:eastAsia="zh-CN"/>
        </w:rPr>
        <w:t>公开招标</w:t>
      </w:r>
      <w:r>
        <w:rPr>
          <w:rFonts w:hint="eastAsia" w:ascii="仿宋" w:hAnsi="仿宋" w:eastAsia="仿宋" w:cs="仿宋"/>
          <w:kern w:val="0"/>
          <w:sz w:val="24"/>
          <w:highlight w:val="none"/>
        </w:rPr>
        <w:t>。</w:t>
      </w:r>
    </w:p>
    <w:p w14:paraId="000C3291">
      <w:pPr>
        <w:spacing w:before="120" w:beforeLines="50" w:after="120" w:afterLines="5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val="en-US" w:eastAsia="zh-CN"/>
        </w:rPr>
        <w:t>二、</w:t>
      </w:r>
      <w:r>
        <w:rPr>
          <w:rFonts w:hint="eastAsia" w:ascii="仿宋" w:hAnsi="仿宋" w:eastAsia="仿宋" w:cs="仿宋"/>
          <w:b/>
          <w:color w:val="auto"/>
          <w:kern w:val="0"/>
          <w:sz w:val="24"/>
          <w:highlight w:val="none"/>
        </w:rPr>
        <w:t>服务要求</w:t>
      </w:r>
    </w:p>
    <w:p w14:paraId="035B60E8">
      <w:pPr>
        <w:spacing w:line="360" w:lineRule="auto"/>
        <w:ind w:firstLine="482" w:firstLineChars="200"/>
        <w:rPr>
          <w:rFonts w:hint="eastAsia" w:ascii="仿宋" w:hAnsi="仿宋" w:eastAsia="仿宋" w:cs="Times New Roman"/>
          <w:b/>
          <w:bCs/>
          <w:sz w:val="24"/>
          <w:szCs w:val="24"/>
          <w:highlight w:val="none"/>
        </w:rPr>
      </w:pPr>
      <w:r>
        <w:rPr>
          <w:rFonts w:hint="eastAsia" w:ascii="仿宋" w:hAnsi="仿宋" w:eastAsia="仿宋" w:cs="Times New Roman"/>
          <w:b/>
          <w:bCs/>
          <w:sz w:val="24"/>
          <w:szCs w:val="24"/>
          <w:highlight w:val="none"/>
          <w:lang w:val="en-US" w:eastAsia="zh-CN"/>
        </w:rPr>
        <w:t>（一）疗休养</w:t>
      </w:r>
      <w:r>
        <w:rPr>
          <w:rFonts w:hint="eastAsia" w:ascii="仿宋" w:hAnsi="仿宋" w:eastAsia="仿宋" w:cs="Times New Roman"/>
          <w:b/>
          <w:bCs/>
          <w:sz w:val="24"/>
          <w:szCs w:val="24"/>
          <w:highlight w:val="none"/>
        </w:rPr>
        <w:t>对象及人数</w:t>
      </w:r>
    </w:p>
    <w:p w14:paraId="040FC4F1">
      <w:pPr>
        <w:spacing w:line="360" w:lineRule="auto"/>
        <w:ind w:firstLine="480" w:firstLineChars="200"/>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职工参加人数约219人（以实际参加人数为准）。职工疗休养经费标准为3000元/人</w:t>
      </w:r>
      <w:r>
        <w:rPr>
          <w:rFonts w:hint="eastAsia" w:ascii="仿宋" w:hAnsi="仿宋" w:eastAsia="仿宋" w:cs="Times New Roman"/>
          <w:b/>
          <w:bCs/>
          <w:sz w:val="24"/>
          <w:szCs w:val="24"/>
          <w:highlight w:val="none"/>
          <w:lang w:val="en-US" w:eastAsia="zh-CN"/>
        </w:rPr>
        <w:t>。</w:t>
      </w:r>
      <w:r>
        <w:rPr>
          <w:rFonts w:hint="eastAsia" w:ascii="仿宋" w:hAnsi="仿宋" w:eastAsia="仿宋" w:cs="Times New Roman"/>
          <w:sz w:val="24"/>
          <w:szCs w:val="24"/>
          <w:highlight w:val="none"/>
          <w:lang w:val="en-US" w:eastAsia="zh-CN"/>
        </w:rPr>
        <w:t>本项目费用标准固定不变，不因旅游旺季或淡季，出行人数的多少，或其他原因做调整。供应商必须服从采购人的出行安排。</w:t>
      </w:r>
    </w:p>
    <w:p w14:paraId="54E0FC50">
      <w:pPr>
        <w:spacing w:line="360" w:lineRule="auto"/>
        <w:ind w:firstLine="482" w:firstLineChars="200"/>
        <w:rPr>
          <w:rFonts w:hint="eastAsia" w:ascii="仿宋" w:hAnsi="仿宋" w:eastAsia="仿宋" w:cs="Times New Roman"/>
          <w:sz w:val="24"/>
          <w:szCs w:val="24"/>
          <w:highlight w:val="none"/>
          <w:lang w:val="en-US" w:eastAsia="zh-CN"/>
        </w:rPr>
      </w:pPr>
      <w:r>
        <w:rPr>
          <w:rFonts w:hint="eastAsia" w:ascii="仿宋" w:hAnsi="仿宋" w:eastAsia="仿宋" w:cs="Times New Roman"/>
          <w:b/>
          <w:bCs/>
          <w:sz w:val="24"/>
          <w:szCs w:val="24"/>
          <w:highlight w:val="none"/>
          <w:lang w:val="en-US" w:eastAsia="zh-CN"/>
        </w:rPr>
        <w:t>直系亲属说明：</w:t>
      </w:r>
      <w:r>
        <w:rPr>
          <w:rFonts w:hint="eastAsia" w:ascii="仿宋" w:hAnsi="仿宋" w:eastAsia="仿宋" w:cs="Times New Roman"/>
          <w:sz w:val="24"/>
          <w:szCs w:val="24"/>
          <w:highlight w:val="none"/>
          <w:lang w:val="en-US" w:eastAsia="zh-CN"/>
        </w:rPr>
        <w:t>本次疗休养活动有直系亲属随同参加的，由教职工本人提出申请，经双方单位审批同意后，方可参加。同时，直系亲属必须与旅行社单独签订合同，单独开具发票，费用自理。直系亲属具体人数以实际参加人数为准。</w:t>
      </w:r>
    </w:p>
    <w:p w14:paraId="1BBF02F8">
      <w:pPr>
        <w:spacing w:line="360" w:lineRule="auto"/>
        <w:ind w:firstLine="482" w:firstLineChars="200"/>
        <w:rPr>
          <w:rFonts w:hint="default" w:ascii="仿宋" w:hAnsi="仿宋" w:eastAsia="仿宋" w:cs="Times New Roman"/>
          <w:b/>
          <w:bCs/>
          <w:sz w:val="24"/>
          <w:szCs w:val="24"/>
          <w:lang w:val="en-US" w:eastAsia="zh-CN"/>
        </w:rPr>
      </w:pPr>
      <w:r>
        <w:rPr>
          <w:rFonts w:hint="eastAsia" w:ascii="仿宋" w:hAnsi="仿宋" w:eastAsia="仿宋" w:cs="Times New Roman"/>
          <w:b/>
          <w:bCs/>
          <w:sz w:val="24"/>
          <w:szCs w:val="24"/>
          <w:lang w:val="en-US" w:eastAsia="zh-CN"/>
        </w:rPr>
        <w:t>（二）疗休养方案</w:t>
      </w:r>
    </w:p>
    <w:p w14:paraId="48D55C29">
      <w:pPr>
        <w:spacing w:line="360" w:lineRule="auto"/>
        <w:ind w:firstLine="480" w:firstLineChars="200"/>
        <w:rPr>
          <w:rFonts w:hint="eastAsia"/>
        </w:rPr>
      </w:pPr>
      <w:r>
        <w:rPr>
          <w:rFonts w:hint="eastAsia" w:ascii="仿宋" w:hAnsi="仿宋" w:eastAsia="仿宋" w:cs="Times New Roman"/>
          <w:sz w:val="24"/>
          <w:szCs w:val="24"/>
          <w:lang w:val="en-US" w:eastAsia="zh-CN"/>
        </w:rPr>
        <w:t>行程安排：本次疗休养服务采用固定价招标，采购人已经列出了各条线路的必经点，投标人根据给定的必经点及固定价金额，合理设计安排疗休养线路，并在投标文件内详细阐述（阐述内部包括但不限于各线路的具体行程、交通、住宿、餐饮、导游安排及有关保险责任，提供详细行程安排并注明各景点门票、交通、住宿餐饮等人均费用）。若投标人设计的线路未包含必经点的，其投标无效。</w:t>
      </w:r>
    </w:p>
    <w:tbl>
      <w:tblPr>
        <w:tblStyle w:val="17"/>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3591"/>
        <w:gridCol w:w="1156"/>
        <w:gridCol w:w="1482"/>
        <w:gridCol w:w="1353"/>
      </w:tblGrid>
      <w:tr w14:paraId="7E94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blHeader/>
          <w:jc w:val="center"/>
        </w:trPr>
        <w:tc>
          <w:tcPr>
            <w:tcW w:w="1036" w:type="dxa"/>
            <w:tcBorders>
              <w:top w:val="single" w:color="auto" w:sz="4" w:space="0"/>
              <w:left w:val="single" w:color="auto" w:sz="4" w:space="0"/>
              <w:bottom w:val="single" w:color="auto" w:sz="4" w:space="0"/>
              <w:right w:val="single" w:color="auto" w:sz="4" w:space="0"/>
            </w:tcBorders>
            <w:noWrap w:val="0"/>
            <w:vAlign w:val="center"/>
          </w:tcPr>
          <w:p w14:paraId="534AA144">
            <w:pPr>
              <w:spacing w:line="460" w:lineRule="exact"/>
              <w:jc w:val="center"/>
              <w:rPr>
                <w:rFonts w:hint="eastAsia" w:ascii="仿宋" w:hAnsi="仿宋" w:eastAsia="仿宋" w:cs="仿宋"/>
                <w:b/>
                <w:highlight w:val="none"/>
              </w:rPr>
            </w:pPr>
            <w:r>
              <w:rPr>
                <w:rFonts w:hint="eastAsia" w:ascii="仿宋" w:hAnsi="仿宋" w:eastAsia="仿宋" w:cs="仿宋"/>
                <w:b/>
                <w:highlight w:val="none"/>
              </w:rPr>
              <w:t>线路</w:t>
            </w:r>
          </w:p>
        </w:tc>
        <w:tc>
          <w:tcPr>
            <w:tcW w:w="3591" w:type="dxa"/>
            <w:tcBorders>
              <w:top w:val="single" w:color="auto" w:sz="4" w:space="0"/>
              <w:left w:val="single" w:color="auto" w:sz="4" w:space="0"/>
              <w:bottom w:val="single" w:color="auto" w:sz="4" w:space="0"/>
              <w:right w:val="single" w:color="auto" w:sz="4" w:space="0"/>
            </w:tcBorders>
            <w:noWrap w:val="0"/>
            <w:vAlign w:val="center"/>
          </w:tcPr>
          <w:p w14:paraId="49DFB4EC">
            <w:pPr>
              <w:spacing w:line="460" w:lineRule="exact"/>
              <w:jc w:val="center"/>
              <w:rPr>
                <w:rFonts w:hint="eastAsia" w:ascii="仿宋" w:hAnsi="仿宋" w:eastAsia="仿宋" w:cs="仿宋"/>
                <w:b/>
                <w:highlight w:val="none"/>
              </w:rPr>
            </w:pPr>
            <w:r>
              <w:rPr>
                <w:rFonts w:hint="eastAsia" w:ascii="仿宋" w:hAnsi="仿宋" w:eastAsia="仿宋" w:cs="仿宋"/>
                <w:b/>
                <w:highlight w:val="none"/>
              </w:rPr>
              <w:t>必经旅游景点或地点</w:t>
            </w:r>
          </w:p>
        </w:tc>
        <w:tc>
          <w:tcPr>
            <w:tcW w:w="1156" w:type="dxa"/>
            <w:tcBorders>
              <w:top w:val="single" w:color="auto" w:sz="4" w:space="0"/>
              <w:left w:val="single" w:color="auto" w:sz="4" w:space="0"/>
              <w:bottom w:val="single" w:color="auto" w:sz="4" w:space="0"/>
              <w:right w:val="single" w:color="auto" w:sz="4" w:space="0"/>
            </w:tcBorders>
            <w:noWrap w:val="0"/>
            <w:vAlign w:val="center"/>
          </w:tcPr>
          <w:p w14:paraId="45DFDABA">
            <w:pPr>
              <w:spacing w:line="460" w:lineRule="exact"/>
              <w:jc w:val="center"/>
              <w:rPr>
                <w:rFonts w:hint="eastAsia" w:ascii="仿宋" w:hAnsi="仿宋" w:eastAsia="仿宋" w:cs="仿宋"/>
                <w:b/>
                <w:highlight w:val="none"/>
              </w:rPr>
            </w:pPr>
            <w:r>
              <w:rPr>
                <w:rFonts w:hint="eastAsia" w:ascii="仿宋" w:hAnsi="仿宋" w:eastAsia="仿宋" w:cs="仿宋"/>
                <w:b/>
                <w:highlight w:val="none"/>
              </w:rPr>
              <w:t>线路时长</w:t>
            </w:r>
          </w:p>
        </w:tc>
        <w:tc>
          <w:tcPr>
            <w:tcW w:w="1482" w:type="dxa"/>
            <w:tcBorders>
              <w:top w:val="single" w:color="auto" w:sz="4" w:space="0"/>
              <w:left w:val="single" w:color="auto" w:sz="4" w:space="0"/>
              <w:bottom w:val="single" w:color="auto" w:sz="4" w:space="0"/>
              <w:right w:val="single" w:color="auto" w:sz="4" w:space="0"/>
            </w:tcBorders>
            <w:noWrap w:val="0"/>
            <w:vAlign w:val="center"/>
          </w:tcPr>
          <w:p w14:paraId="463CA24D">
            <w:pPr>
              <w:spacing w:line="460" w:lineRule="exact"/>
              <w:jc w:val="center"/>
              <w:rPr>
                <w:rFonts w:hint="eastAsia" w:ascii="仿宋" w:hAnsi="仿宋" w:eastAsia="仿宋" w:cs="仿宋"/>
                <w:b/>
                <w:highlight w:val="none"/>
              </w:rPr>
            </w:pPr>
            <w:r>
              <w:rPr>
                <w:rFonts w:hint="eastAsia" w:ascii="仿宋" w:hAnsi="仿宋" w:eastAsia="仿宋" w:cs="仿宋"/>
                <w:b/>
                <w:highlight w:val="none"/>
              </w:rPr>
              <w:t>固定价</w:t>
            </w:r>
          </w:p>
        </w:tc>
        <w:tc>
          <w:tcPr>
            <w:tcW w:w="1353" w:type="dxa"/>
            <w:tcBorders>
              <w:top w:val="single" w:color="auto" w:sz="4" w:space="0"/>
              <w:left w:val="single" w:color="auto" w:sz="4" w:space="0"/>
              <w:bottom w:val="single" w:color="auto" w:sz="4" w:space="0"/>
              <w:right w:val="single" w:color="auto" w:sz="4" w:space="0"/>
            </w:tcBorders>
            <w:noWrap w:val="0"/>
            <w:vAlign w:val="center"/>
          </w:tcPr>
          <w:p w14:paraId="35968502">
            <w:pPr>
              <w:spacing w:line="460" w:lineRule="exact"/>
              <w:jc w:val="center"/>
              <w:rPr>
                <w:rFonts w:hint="default" w:ascii="仿宋" w:hAnsi="仿宋" w:eastAsia="仿宋" w:cs="仿宋"/>
                <w:b/>
                <w:highlight w:val="none"/>
                <w:lang w:val="en-US" w:eastAsia="zh-CN"/>
              </w:rPr>
            </w:pPr>
            <w:r>
              <w:rPr>
                <w:rFonts w:hint="eastAsia" w:ascii="仿宋" w:hAnsi="仿宋" w:eastAsia="仿宋" w:cs="仿宋"/>
                <w:b/>
                <w:highlight w:val="none"/>
                <w:lang w:val="en-US" w:eastAsia="zh-CN"/>
              </w:rPr>
              <w:t>预计人数</w:t>
            </w:r>
          </w:p>
        </w:tc>
      </w:tr>
      <w:tr w14:paraId="28899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36" w:type="dxa"/>
            <w:noWrap w:val="0"/>
            <w:vAlign w:val="center"/>
          </w:tcPr>
          <w:p w14:paraId="750DB06A">
            <w:pPr>
              <w:spacing w:line="46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3591" w:type="dxa"/>
            <w:noWrap w:val="0"/>
            <w:vAlign w:val="center"/>
          </w:tcPr>
          <w:p w14:paraId="41B81361">
            <w:pPr>
              <w:spacing w:line="460" w:lineRule="exac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长春、长白山、延吉</w:t>
            </w:r>
          </w:p>
        </w:tc>
        <w:tc>
          <w:tcPr>
            <w:tcW w:w="1156" w:type="dxa"/>
            <w:noWrap w:val="0"/>
            <w:vAlign w:val="center"/>
          </w:tcPr>
          <w:p w14:paraId="517974F9">
            <w:pPr>
              <w:spacing w:line="460" w:lineRule="exact"/>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5天</w:t>
            </w:r>
          </w:p>
        </w:tc>
        <w:tc>
          <w:tcPr>
            <w:tcW w:w="1482" w:type="dxa"/>
            <w:noWrap w:val="0"/>
            <w:vAlign w:val="center"/>
          </w:tcPr>
          <w:p w14:paraId="3219EB58">
            <w:pPr>
              <w:spacing w:line="460" w:lineRule="exac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5300元/人</w:t>
            </w:r>
          </w:p>
        </w:tc>
        <w:tc>
          <w:tcPr>
            <w:tcW w:w="1353" w:type="dxa"/>
            <w:noWrap w:val="0"/>
            <w:vAlign w:val="center"/>
          </w:tcPr>
          <w:p w14:paraId="059B1EAB">
            <w:pPr>
              <w:spacing w:line="460" w:lineRule="exact"/>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30人</w:t>
            </w:r>
          </w:p>
        </w:tc>
      </w:tr>
      <w:tr w14:paraId="7776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6" w:type="dxa"/>
            <w:noWrap w:val="0"/>
            <w:vAlign w:val="center"/>
          </w:tcPr>
          <w:p w14:paraId="75987482">
            <w:pPr>
              <w:spacing w:line="46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3591" w:type="dxa"/>
            <w:noWrap w:val="0"/>
            <w:vAlign w:val="center"/>
          </w:tcPr>
          <w:p w14:paraId="478E6954">
            <w:pPr>
              <w:spacing w:line="460" w:lineRule="exact"/>
              <w:jc w:val="center"/>
              <w:rPr>
                <w:rFonts w:hint="default" w:ascii="仿宋" w:hAnsi="仿宋" w:eastAsia="仿宋" w:cs="仿宋"/>
                <w:highlight w:val="none"/>
                <w:lang w:val="en-US" w:eastAsia="zh-CN"/>
              </w:rPr>
            </w:pPr>
            <w:r>
              <w:rPr>
                <w:rFonts w:hint="eastAsia" w:ascii="仿宋" w:hAnsi="仿宋" w:eastAsia="仿宋" w:cs="仿宋"/>
                <w:color w:val="auto"/>
                <w:highlight w:val="none"/>
                <w:lang w:val="en-US" w:eastAsia="zh-CN"/>
              </w:rPr>
              <w:t>宁波大市线路</w:t>
            </w:r>
          </w:p>
        </w:tc>
        <w:tc>
          <w:tcPr>
            <w:tcW w:w="1156" w:type="dxa"/>
            <w:noWrap w:val="0"/>
            <w:vAlign w:val="center"/>
          </w:tcPr>
          <w:p w14:paraId="19FD4AFA">
            <w:pPr>
              <w:spacing w:line="460" w:lineRule="exact"/>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5天</w:t>
            </w:r>
          </w:p>
        </w:tc>
        <w:tc>
          <w:tcPr>
            <w:tcW w:w="1482" w:type="dxa"/>
            <w:noWrap w:val="0"/>
            <w:vAlign w:val="center"/>
          </w:tcPr>
          <w:p w14:paraId="24F9E428">
            <w:pPr>
              <w:spacing w:line="460" w:lineRule="exac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3000元/人</w:t>
            </w:r>
          </w:p>
        </w:tc>
        <w:tc>
          <w:tcPr>
            <w:tcW w:w="1353" w:type="dxa"/>
            <w:noWrap w:val="0"/>
            <w:vAlign w:val="center"/>
          </w:tcPr>
          <w:p w14:paraId="0147EEA8">
            <w:pPr>
              <w:spacing w:line="460" w:lineRule="exact"/>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189人</w:t>
            </w:r>
          </w:p>
        </w:tc>
      </w:tr>
    </w:tbl>
    <w:p w14:paraId="2285AE8F">
      <w:pPr>
        <w:spacing w:line="360" w:lineRule="auto"/>
        <w:ind w:firstLine="482" w:firstLineChars="200"/>
        <w:rPr>
          <w:rFonts w:hint="eastAsia" w:ascii="仿宋" w:hAnsi="仿宋" w:eastAsia="仿宋" w:cs="Times New Roman"/>
          <w:b/>
          <w:bCs/>
          <w:sz w:val="24"/>
          <w:szCs w:val="24"/>
          <w:lang w:val="en-US" w:eastAsia="zh-CN"/>
        </w:rPr>
      </w:pPr>
      <w:r>
        <w:rPr>
          <w:rFonts w:hint="eastAsia" w:ascii="仿宋" w:hAnsi="仿宋" w:eastAsia="仿宋" w:cs="Times New Roman"/>
          <w:b/>
          <w:bCs/>
          <w:sz w:val="24"/>
          <w:szCs w:val="24"/>
          <w:lang w:val="en-US" w:eastAsia="zh-CN"/>
        </w:rPr>
        <w:t>特别说明：职工疗休养经费标准为3000元/人。</w:t>
      </w:r>
      <w:r>
        <w:rPr>
          <w:rFonts w:hint="eastAsia" w:ascii="仿宋" w:hAnsi="仿宋" w:eastAsia="仿宋" w:cs="Times New Roman"/>
          <w:b/>
          <w:bCs/>
          <w:sz w:val="24"/>
          <w:szCs w:val="24"/>
          <w:lang w:val="en-US" w:eastAsia="zh-CN"/>
        </w:rPr>
        <w:t>经费超标准部分由职工个人承担。</w:t>
      </w:r>
    </w:p>
    <w:p w14:paraId="0BC94599">
      <w:pPr>
        <w:spacing w:line="36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固定价组成：疗休养经费包括完成服务期限内疗休养的交通费、住宿费、餐费，各旅游景点的所有门票、导游（含宁波过去的全程陪同及疗养地的地陪）、司机的费用、服务费、责任险和意外险费（不少于100万元/人（其中医疗部分不少于10万元/人））、管理费、招标代理服务费、税金、规费以及履行合同所需的所有风险、责任等其他一切隐含及不可预见的费用。</w:t>
      </w:r>
    </w:p>
    <w:p w14:paraId="5D0B052E">
      <w:pPr>
        <w:spacing w:line="360" w:lineRule="auto"/>
        <w:ind w:firstLine="482" w:firstLineChars="200"/>
        <w:rPr>
          <w:rFonts w:hint="default" w:ascii="仿宋" w:hAnsi="仿宋" w:eastAsia="仿宋" w:cs="Times New Roman"/>
          <w:sz w:val="24"/>
          <w:szCs w:val="24"/>
          <w:highlight w:val="none"/>
          <w:lang w:val="en-US" w:eastAsia="zh-CN"/>
        </w:rPr>
      </w:pPr>
      <w:r>
        <w:rPr>
          <w:rFonts w:hint="eastAsia" w:ascii="仿宋" w:hAnsi="仿宋" w:eastAsia="仿宋" w:cs="Times New Roman"/>
          <w:b/>
          <w:bCs/>
          <w:sz w:val="24"/>
          <w:szCs w:val="24"/>
          <w:lang w:val="en-US" w:eastAsia="zh-CN"/>
        </w:rPr>
        <w:t>上述各路线的职工人数为预计数，具体以实际合同履行的人数，按实结算。投标人需考虑若发生人数不足的情况，需提供应急方案以供采购人选择。</w:t>
      </w:r>
    </w:p>
    <w:p w14:paraId="28DE5566">
      <w:pPr>
        <w:spacing w:line="360" w:lineRule="auto"/>
        <w:ind w:firstLine="482" w:firstLineChars="200"/>
        <w:rPr>
          <w:rFonts w:hint="eastAsia" w:ascii="仿宋" w:hAnsi="仿宋" w:eastAsia="仿宋" w:cs="Times New Roman"/>
          <w:b/>
          <w:bCs/>
          <w:sz w:val="24"/>
          <w:szCs w:val="24"/>
          <w:lang w:eastAsia="zh-CN"/>
        </w:rPr>
      </w:pPr>
      <w:r>
        <w:rPr>
          <w:rFonts w:hint="eastAsia" w:ascii="仿宋" w:hAnsi="仿宋" w:eastAsia="仿宋" w:cs="Times New Roman"/>
          <w:b/>
          <w:bCs/>
          <w:sz w:val="24"/>
          <w:szCs w:val="24"/>
          <w:lang w:eastAsia="zh-CN"/>
        </w:rPr>
        <w:t>（</w:t>
      </w:r>
      <w:r>
        <w:rPr>
          <w:rFonts w:hint="eastAsia" w:ascii="仿宋" w:hAnsi="仿宋" w:eastAsia="仿宋" w:cs="Times New Roman"/>
          <w:b/>
          <w:bCs/>
          <w:sz w:val="24"/>
          <w:szCs w:val="24"/>
          <w:lang w:val="en-US" w:eastAsia="zh-CN"/>
        </w:rPr>
        <w:t>三</w:t>
      </w:r>
      <w:r>
        <w:rPr>
          <w:rFonts w:hint="eastAsia" w:ascii="仿宋" w:hAnsi="仿宋" w:eastAsia="仿宋" w:cs="Times New Roman"/>
          <w:b/>
          <w:bCs/>
          <w:sz w:val="24"/>
          <w:szCs w:val="24"/>
          <w:lang w:eastAsia="zh-CN"/>
        </w:rPr>
        <w:t>）</w:t>
      </w:r>
      <w:r>
        <w:rPr>
          <w:rFonts w:hint="eastAsia" w:ascii="仿宋" w:hAnsi="仿宋" w:eastAsia="仿宋" w:cs="Times New Roman"/>
          <w:b/>
          <w:bCs/>
          <w:sz w:val="24"/>
          <w:szCs w:val="24"/>
          <w:lang w:val="en-US" w:eastAsia="zh-CN"/>
        </w:rPr>
        <w:t>项目</w:t>
      </w:r>
      <w:r>
        <w:rPr>
          <w:rFonts w:hint="eastAsia" w:ascii="仿宋" w:hAnsi="仿宋" w:eastAsia="仿宋" w:cs="Times New Roman"/>
          <w:b/>
          <w:bCs/>
          <w:sz w:val="24"/>
          <w:szCs w:val="24"/>
        </w:rPr>
        <w:t>要求</w:t>
      </w:r>
    </w:p>
    <w:p w14:paraId="0DFB309B">
      <w:pPr>
        <w:spacing w:line="36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1、如果某疗休养专线报名人数未达到最低组团标准（10人），供应商应及时进行调整或提出线路更改意见。</w:t>
      </w:r>
    </w:p>
    <w:p w14:paraId="7DAC3148">
      <w:pPr>
        <w:spacing w:line="36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2、确定疗休养行程后，若采购人在出发日5天前告知供应商取消行程的，不支付任何费用。</w:t>
      </w:r>
    </w:p>
    <w:p w14:paraId="12DC715F">
      <w:pPr>
        <w:spacing w:line="36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3、职工参加疗休养必须按照政策规定旅游线路，凭身份证向中标人的指定联系人报名，由采购人统一与中标人签订国家旅游局最新版旅游合同。</w:t>
      </w:r>
    </w:p>
    <w:p w14:paraId="69C0B2C4">
      <w:pPr>
        <w:spacing w:line="360" w:lineRule="auto"/>
        <w:ind w:firstLine="480" w:firstLineChars="200"/>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4、合同履行期间，可参照以上方案进行出行，如采购人要求，也可进行协商制定，但不低于参加投标时的设计方案同等标准。</w:t>
      </w:r>
    </w:p>
    <w:p w14:paraId="7698A987">
      <w:pPr>
        <w:spacing w:line="36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highlight w:val="none"/>
          <w:lang w:val="en-US" w:eastAsia="zh-CN"/>
        </w:rPr>
        <w:t>5、本项目合同履约期间，按最新发布的文件要求执行（投标人须考虑项目不确定因素，并自行承担该风险产生的费用和责任，中标后不能以此作为拒绝履行本项目的理由，否则采购人有权追究其法律及经济责任）。遇上级政策变化，原</w:t>
      </w:r>
      <w:r>
        <w:rPr>
          <w:rFonts w:hint="eastAsia" w:ascii="仿宋" w:hAnsi="仿宋" w:eastAsia="仿宋" w:cs="Times New Roman"/>
          <w:sz w:val="24"/>
          <w:szCs w:val="24"/>
          <w:lang w:val="en-US" w:eastAsia="zh-CN"/>
        </w:rPr>
        <w:t>定方案根据政策要求作及时调整，双方协商后实施。</w:t>
      </w:r>
    </w:p>
    <w:p w14:paraId="018E2A4E">
      <w:pPr>
        <w:spacing w:line="36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6、每次组团后报请采购人同</w:t>
      </w:r>
      <w:r>
        <w:rPr>
          <w:rFonts w:hint="eastAsia" w:ascii="仿宋" w:hAnsi="仿宋" w:eastAsia="仿宋" w:cs="Times New Roman"/>
          <w:i w:val="0"/>
          <w:iCs w:val="0"/>
          <w:sz w:val="24"/>
          <w:szCs w:val="24"/>
          <w:lang w:val="en-US" w:eastAsia="zh-CN"/>
        </w:rPr>
        <w:t>意后方可实施；</w:t>
      </w:r>
      <w:r>
        <w:rPr>
          <w:rFonts w:hint="eastAsia" w:ascii="仿宋" w:hAnsi="仿宋" w:eastAsia="仿宋" w:cs="Times New Roman"/>
          <w:sz w:val="24"/>
          <w:szCs w:val="24"/>
          <w:lang w:val="en-US" w:eastAsia="zh-CN"/>
        </w:rPr>
        <w:t>遇上级政策变化，原定方案根据政策要求作及时调整，协商后实施。</w:t>
      </w:r>
    </w:p>
    <w:p w14:paraId="00E66001">
      <w:pPr>
        <w:spacing w:line="36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7、供应商根据采购人要求分批次（以采购人实际所分批次为准）的疗休养，含早饭、午饭、晚饭，其中早饭由酒店提供，午饭及晚饭规格不低于50元/人/餐。中晚餐每桌提供2瓶饮料。且途中应提供足够的零食、水果、饮料。</w:t>
      </w:r>
    </w:p>
    <w:p w14:paraId="75EA0E4F">
      <w:pPr>
        <w:spacing w:line="36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8、住宿：住宿综合环境好，挂牌四星或网评四钻及以上（民宿等特殊情况除外）且设施较好的酒店（一般标准2人间，如因男女人数为单，剩下两人须安排一人一间,费用不作增加）。如因职工个人要求单住房，由该人员补交差价。要求标注每天住宿酒店的名称、星级和具体地址，</w:t>
      </w:r>
      <w:r>
        <w:rPr>
          <w:rFonts w:hint="eastAsia" w:ascii="仿宋" w:hAnsi="仿宋" w:eastAsia="仿宋" w:cs="Times New Roman"/>
          <w:sz w:val="24"/>
          <w:szCs w:val="24"/>
          <w:highlight w:val="none"/>
          <w:lang w:val="en-US" w:eastAsia="zh-CN"/>
        </w:rPr>
        <w:t>不得出现同级酒店字样，如实际接待中，投标指定酒</w:t>
      </w:r>
      <w:r>
        <w:rPr>
          <w:rFonts w:hint="eastAsia" w:ascii="仿宋" w:hAnsi="仿宋" w:eastAsia="仿宋" w:cs="Times New Roman"/>
          <w:sz w:val="24"/>
          <w:szCs w:val="24"/>
          <w:lang w:val="en-US" w:eastAsia="zh-CN"/>
        </w:rPr>
        <w:t>店无法安排，需要安排高一级酒店。</w:t>
      </w:r>
    </w:p>
    <w:p w14:paraId="5A82EC4E">
      <w:pPr>
        <w:spacing w:line="360" w:lineRule="auto"/>
        <w:ind w:firstLine="480" w:firstLineChars="200"/>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lang w:val="en-US" w:eastAsia="zh-CN"/>
        </w:rPr>
        <w:t>9</w:t>
      </w:r>
      <w:r>
        <w:rPr>
          <w:rFonts w:hint="eastAsia" w:ascii="仿宋" w:hAnsi="仿宋" w:eastAsia="仿宋" w:cs="Times New Roman"/>
          <w:sz w:val="24"/>
          <w:szCs w:val="24"/>
          <w:highlight w:val="none"/>
          <w:lang w:val="en-US" w:eastAsia="zh-CN"/>
        </w:rPr>
        <w:t>、用车要求：统一为全程空调旅游车（3年内购置），必须保证每人一正座（座位按人数1：1.2比例配备）要求车况好，冷暖空调效果好，车内整洁、明亮，司机必须安全行车5年或以上且无重大安全事故和严重交通违规记录，车上需备一次性塑料袋。</w:t>
      </w:r>
    </w:p>
    <w:p w14:paraId="3F9B764C">
      <w:pPr>
        <w:spacing w:line="360" w:lineRule="auto"/>
        <w:ind w:firstLine="480" w:firstLineChars="200"/>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10、服务人员：设本项目服务专员（项目负责人），要求具备一定的资历资格和丰富的从业经验，加强双方沟通，根据采购人要求及时调整方案并获得采购人认可，应急处理相关事务等。具体出团全程（高铁除外）配导游（地陪），要求不少于三年导游经验，引导、讲解景点山水、典故等，解决旅途中可能出现的突发事件，并给予游客食、宿、行等方面的帮助。</w:t>
      </w:r>
    </w:p>
    <w:p w14:paraId="539BB01E">
      <w:pPr>
        <w:spacing w:line="360" w:lineRule="auto"/>
        <w:ind w:firstLine="480" w:firstLineChars="200"/>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11、导游：要求全程提供持国导证全陪、地陪导游服务【全陪导游须持有导游证3年以上，出发前应制作行程表，短信提示注意事项（集合时间、地点、身份证等）】。</w:t>
      </w:r>
    </w:p>
    <w:p w14:paraId="7845CE8A">
      <w:pPr>
        <w:spacing w:line="360" w:lineRule="auto"/>
        <w:ind w:firstLine="480" w:firstLineChars="200"/>
        <w:rPr>
          <w:rFonts w:hint="default"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12、本项目须满足职工直系亲属随同参加疗休养需求。本次疗休养经本人申请，经双方单位批准同意后，职工直系亲属随同参加疗休养活动。职工直系亲属参加疗休养的，直接与中标人订立旅游合同并支付费用，成人按响应单价费用支付；子女根据相关国家规定，按子女身高、是否占床按实支付。</w:t>
      </w:r>
    </w:p>
    <w:p w14:paraId="15BB931F">
      <w:pPr>
        <w:spacing w:line="360" w:lineRule="auto"/>
        <w:ind w:firstLine="482" w:firstLineChars="200"/>
        <w:rPr>
          <w:rFonts w:hint="eastAsia" w:ascii="仿宋" w:hAnsi="仿宋" w:eastAsia="仿宋" w:cs="Times New Roman"/>
          <w:b/>
          <w:bCs/>
          <w:sz w:val="24"/>
          <w:szCs w:val="24"/>
          <w:highlight w:val="none"/>
          <w:lang w:val="en-US" w:eastAsia="zh-CN"/>
        </w:rPr>
      </w:pPr>
      <w:r>
        <w:rPr>
          <w:rFonts w:hint="eastAsia" w:ascii="仿宋" w:hAnsi="仿宋" w:eastAsia="仿宋" w:cs="Times New Roman"/>
          <w:b/>
          <w:bCs/>
          <w:sz w:val="24"/>
          <w:szCs w:val="24"/>
          <w:highlight w:val="none"/>
          <w:lang w:val="en-US" w:eastAsia="zh-CN"/>
        </w:rPr>
        <w:t>（四）服务承诺</w:t>
      </w:r>
    </w:p>
    <w:p w14:paraId="48358C4F">
      <w:pPr>
        <w:spacing w:line="36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供应商</w:t>
      </w:r>
      <w:r>
        <w:rPr>
          <w:rFonts w:hint="eastAsia" w:ascii="仿宋" w:hAnsi="仿宋" w:eastAsia="仿宋" w:cs="Times New Roman"/>
          <w:sz w:val="24"/>
          <w:szCs w:val="24"/>
        </w:rPr>
        <w:t>必须对本次</w:t>
      </w:r>
      <w:r>
        <w:rPr>
          <w:rFonts w:hint="eastAsia" w:ascii="仿宋" w:hAnsi="仿宋" w:eastAsia="仿宋" w:cs="Times New Roman"/>
          <w:sz w:val="24"/>
          <w:szCs w:val="24"/>
          <w:lang w:val="en-US" w:eastAsia="zh-CN"/>
        </w:rPr>
        <w:t>职工</w:t>
      </w:r>
      <w:r>
        <w:rPr>
          <w:rFonts w:hint="eastAsia" w:ascii="仿宋" w:hAnsi="仿宋" w:eastAsia="仿宋" w:cs="Times New Roman"/>
          <w:sz w:val="24"/>
          <w:szCs w:val="24"/>
        </w:rPr>
        <w:t>疗休养的有关服务内容做出服务承诺，包括：</w:t>
      </w:r>
    </w:p>
    <w:p w14:paraId="15831954">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lang w:val="en-US" w:eastAsia="zh-CN"/>
        </w:rPr>
        <w:t>1、</w:t>
      </w:r>
      <w:r>
        <w:rPr>
          <w:rFonts w:hint="eastAsia" w:ascii="仿宋" w:hAnsi="仿宋" w:eastAsia="仿宋" w:cs="Times New Roman"/>
          <w:sz w:val="24"/>
          <w:szCs w:val="24"/>
        </w:rPr>
        <w:t>经营质量方面的承诺：</w:t>
      </w:r>
    </w:p>
    <w:p w14:paraId="14BE116B">
      <w:pPr>
        <w:spacing w:line="36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①供应商向职工提供的旅游服务信息必须真实可靠，不得作虚假宣传。因供应商原因不能成行，未经职工同意擅自转团、拼团，一经核实，承诺支付该批次疗休养费用总额的50%比例违约金，情节严重的采购人有权终止合同，取消其承办单位资格。</w:t>
      </w:r>
    </w:p>
    <w:p w14:paraId="41BA509F">
      <w:pPr>
        <w:spacing w:line="36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②未经职工同意，供应商不得在旅游合同约定之外提供其他有偿服务。一经核实，承诺支付该批次疗休养费用总额的50%比例违约金，情节严重的采购人有权终止合同，取消其承办单位资格。</w:t>
      </w:r>
    </w:p>
    <w:p w14:paraId="636711D8">
      <w:pPr>
        <w:spacing w:line="36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③疗休养线路不得安排购物点或强制购物。一经核实，承诺支付该批次疗休养费用总额的50%比例违约金，情节严重的采购人有权终止合同，取消其承办单位资格。</w:t>
      </w:r>
    </w:p>
    <w:p w14:paraId="573BB181">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lang w:val="en-US" w:eastAsia="zh-CN"/>
        </w:rPr>
        <w:t>④</w:t>
      </w:r>
      <w:r>
        <w:rPr>
          <w:rFonts w:hint="eastAsia" w:ascii="仿宋" w:hAnsi="仿宋" w:eastAsia="仿宋" w:cs="Times New Roman"/>
          <w:sz w:val="24"/>
          <w:szCs w:val="24"/>
        </w:rPr>
        <w:t>因</w:t>
      </w:r>
      <w:r>
        <w:rPr>
          <w:rFonts w:hint="eastAsia" w:ascii="仿宋" w:hAnsi="仿宋" w:eastAsia="仿宋" w:cs="Times New Roman"/>
          <w:sz w:val="24"/>
          <w:szCs w:val="24"/>
          <w:lang w:val="en-US" w:eastAsia="zh-CN"/>
        </w:rPr>
        <w:t>供应商</w:t>
      </w:r>
      <w:r>
        <w:rPr>
          <w:rFonts w:hint="eastAsia" w:ascii="仿宋" w:hAnsi="仿宋" w:eastAsia="仿宋" w:cs="Times New Roman"/>
          <w:sz w:val="24"/>
          <w:szCs w:val="24"/>
        </w:rPr>
        <w:t>原因造成需方疗休养人员或第三方人员人身损害或财产损失的，</w:t>
      </w:r>
      <w:r>
        <w:rPr>
          <w:rFonts w:hint="eastAsia" w:ascii="仿宋" w:hAnsi="仿宋" w:eastAsia="仿宋" w:cs="Times New Roman"/>
          <w:sz w:val="24"/>
          <w:szCs w:val="24"/>
          <w:lang w:val="en-US" w:eastAsia="zh-CN"/>
        </w:rPr>
        <w:t>供应商</w:t>
      </w:r>
      <w:r>
        <w:rPr>
          <w:rFonts w:hint="eastAsia" w:ascii="仿宋" w:hAnsi="仿宋" w:eastAsia="仿宋" w:cs="Times New Roman"/>
          <w:sz w:val="24"/>
          <w:szCs w:val="24"/>
        </w:rPr>
        <w:t>应承担全部责任。因</w:t>
      </w:r>
      <w:r>
        <w:rPr>
          <w:rFonts w:hint="eastAsia" w:ascii="仿宋" w:hAnsi="仿宋" w:eastAsia="仿宋" w:cs="Times New Roman"/>
          <w:sz w:val="24"/>
          <w:szCs w:val="24"/>
          <w:lang w:val="en-US" w:eastAsia="zh-CN"/>
        </w:rPr>
        <w:t>采购人</w:t>
      </w:r>
      <w:r>
        <w:rPr>
          <w:rFonts w:hint="eastAsia" w:ascii="仿宋" w:hAnsi="仿宋" w:eastAsia="仿宋" w:cs="Times New Roman"/>
          <w:sz w:val="24"/>
          <w:szCs w:val="24"/>
        </w:rPr>
        <w:t>疗休养人员自身原因造成的人身损害或财产损失，</w:t>
      </w:r>
      <w:r>
        <w:rPr>
          <w:rFonts w:hint="eastAsia" w:ascii="仿宋" w:hAnsi="仿宋" w:eastAsia="仿宋" w:cs="Times New Roman"/>
          <w:sz w:val="24"/>
          <w:szCs w:val="24"/>
          <w:lang w:val="en-US" w:eastAsia="zh-CN"/>
        </w:rPr>
        <w:t>供应商</w:t>
      </w:r>
      <w:r>
        <w:rPr>
          <w:rFonts w:hint="eastAsia" w:ascii="仿宋" w:hAnsi="仿宋" w:eastAsia="仿宋" w:cs="Times New Roman"/>
          <w:sz w:val="24"/>
          <w:szCs w:val="24"/>
        </w:rPr>
        <w:t>应尽一切努力协助</w:t>
      </w:r>
      <w:r>
        <w:rPr>
          <w:rFonts w:hint="eastAsia" w:ascii="仿宋" w:hAnsi="仿宋" w:eastAsia="仿宋" w:cs="Times New Roman"/>
          <w:sz w:val="24"/>
          <w:szCs w:val="24"/>
          <w:lang w:val="en-US" w:eastAsia="zh-CN"/>
        </w:rPr>
        <w:t>采购人</w:t>
      </w:r>
      <w:r>
        <w:rPr>
          <w:rFonts w:hint="eastAsia" w:ascii="仿宋" w:hAnsi="仿宋" w:eastAsia="仿宋" w:cs="Times New Roman"/>
          <w:sz w:val="24"/>
          <w:szCs w:val="24"/>
        </w:rPr>
        <w:t>进行处置，以协助减少损害、损失。</w:t>
      </w:r>
    </w:p>
    <w:p w14:paraId="452ABD16">
      <w:pPr>
        <w:spacing w:line="36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⑤供应商必须严格兑现投标文件中承诺的所有服务标准和内容，若发现为职工提供的服务与标书不符，一经查实，供应商承诺按该批次疗休养费用总额的50%支付违约金，情节严重的采购人有权终止合同，取消其承办单位资格。</w:t>
      </w:r>
    </w:p>
    <w:p w14:paraId="6CE4D2AE">
      <w:pPr>
        <w:spacing w:line="36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⑥供应商为职工安排或者介绍的旅游活动不得含有违反有关法律、法规规定的内容。一经核实，承诺支付该批次疗休养费用总额的50%比例违约金，情节严重的采购人有权终止合同，取消其承办单位资格。</w:t>
      </w:r>
    </w:p>
    <w:p w14:paraId="2A9D70F2">
      <w:pPr>
        <w:spacing w:line="36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⑦中标人应当按照合同约定履行义务，完成成交项目，不得将成交项目转让(转包)给其他供应商，一经查实，供应商承诺赔偿由此带来的全部损失，同时采购人终止合同，取消其承办单位资格。</w:t>
      </w:r>
    </w:p>
    <w:p w14:paraId="50E04BE6">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lang w:val="en-US" w:eastAsia="zh-CN"/>
        </w:rPr>
        <w:t>2、</w:t>
      </w:r>
      <w:r>
        <w:rPr>
          <w:rFonts w:hint="eastAsia" w:ascii="仿宋" w:hAnsi="仿宋" w:eastAsia="仿宋" w:cs="Times New Roman"/>
          <w:sz w:val="24"/>
          <w:szCs w:val="24"/>
        </w:rPr>
        <w:t>经营服务方面的承诺：</w:t>
      </w:r>
    </w:p>
    <w:p w14:paraId="3B348A3A">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lang w:val="en-US" w:eastAsia="zh-CN"/>
        </w:rPr>
        <w:t>供应商</w:t>
      </w:r>
      <w:r>
        <w:rPr>
          <w:rFonts w:hint="eastAsia" w:ascii="仿宋" w:hAnsi="仿宋" w:eastAsia="仿宋" w:cs="Times New Roman"/>
          <w:sz w:val="24"/>
          <w:szCs w:val="24"/>
        </w:rPr>
        <w:t>为</w:t>
      </w:r>
      <w:r>
        <w:rPr>
          <w:rFonts w:hint="eastAsia" w:ascii="仿宋" w:hAnsi="仿宋" w:eastAsia="仿宋" w:cs="Times New Roman"/>
          <w:sz w:val="24"/>
          <w:szCs w:val="24"/>
          <w:lang w:val="en-US" w:eastAsia="zh-CN"/>
        </w:rPr>
        <w:t>职工</w:t>
      </w:r>
      <w:r>
        <w:rPr>
          <w:rFonts w:hint="eastAsia" w:ascii="仿宋" w:hAnsi="仿宋" w:eastAsia="仿宋" w:cs="Times New Roman"/>
          <w:sz w:val="24"/>
          <w:szCs w:val="24"/>
        </w:rPr>
        <w:t>提供服务，应当与</w:t>
      </w:r>
      <w:r>
        <w:rPr>
          <w:rFonts w:hint="eastAsia" w:ascii="仿宋" w:hAnsi="仿宋" w:eastAsia="仿宋" w:cs="Times New Roman"/>
          <w:sz w:val="24"/>
          <w:szCs w:val="24"/>
          <w:lang w:val="en-US" w:eastAsia="zh-CN"/>
        </w:rPr>
        <w:t>职工</w:t>
      </w:r>
      <w:r>
        <w:rPr>
          <w:rFonts w:hint="eastAsia" w:ascii="仿宋" w:hAnsi="仿宋" w:eastAsia="仿宋" w:cs="Times New Roman"/>
          <w:sz w:val="24"/>
          <w:szCs w:val="24"/>
        </w:rPr>
        <w:t>签订国家旅游局新版旅游合同（最新版）并载明下列事项</w:t>
      </w:r>
      <w:r>
        <w:rPr>
          <w:rFonts w:hint="eastAsia" w:ascii="仿宋" w:hAnsi="仿宋" w:eastAsia="仿宋" w:cs="Times New Roman"/>
          <w:sz w:val="24"/>
          <w:szCs w:val="24"/>
          <w:lang w:eastAsia="zh-CN"/>
        </w:rPr>
        <w:t>：</w:t>
      </w:r>
    </w:p>
    <w:p w14:paraId="4A0FAA46">
      <w:pPr>
        <w:spacing w:line="36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①供应商的名称及其经营范围、地址、联系电话和旅行社业务经营许可证编号；</w:t>
      </w:r>
    </w:p>
    <w:p w14:paraId="2AFAF53C">
      <w:pPr>
        <w:spacing w:line="36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②供应商经办人的姓名、联系电话；</w:t>
      </w:r>
    </w:p>
    <w:p w14:paraId="3C489B66">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③签约地点和日期；</w:t>
      </w:r>
    </w:p>
    <w:p w14:paraId="1951A97D">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④旅游行程的出发地、途经地和目的地；</w:t>
      </w:r>
    </w:p>
    <w:p w14:paraId="31931D07">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⑤旅游行程中交通、住宿、餐饮服务安排及其标准；</w:t>
      </w:r>
    </w:p>
    <w:p w14:paraId="73DC8B19">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⑥</w:t>
      </w:r>
      <w:r>
        <w:rPr>
          <w:rFonts w:hint="eastAsia" w:ascii="仿宋" w:hAnsi="仿宋" w:eastAsia="仿宋" w:cs="Times New Roman"/>
          <w:sz w:val="24"/>
          <w:szCs w:val="24"/>
          <w:lang w:val="en-US" w:eastAsia="zh-CN"/>
        </w:rPr>
        <w:t>职工</w:t>
      </w:r>
      <w:r>
        <w:rPr>
          <w:rFonts w:hint="eastAsia" w:ascii="仿宋" w:hAnsi="仿宋" w:eastAsia="仿宋" w:cs="Times New Roman"/>
          <w:sz w:val="24"/>
          <w:szCs w:val="24"/>
        </w:rPr>
        <w:t>另行付费的游览项目及价格；</w:t>
      </w:r>
    </w:p>
    <w:p w14:paraId="363E2F77">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⑦解除或者变更合同的条件和提前通知的期限；</w:t>
      </w:r>
    </w:p>
    <w:p w14:paraId="4DDE8765">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⑧违反合同的</w:t>
      </w:r>
      <w:r>
        <w:rPr>
          <w:rFonts w:hint="eastAsia" w:ascii="仿宋" w:hAnsi="仿宋" w:eastAsia="仿宋" w:cs="Times New Roman"/>
          <w:sz w:val="24"/>
          <w:szCs w:val="24"/>
        </w:rPr>
        <w:fldChar w:fldCharType="begin"/>
      </w:r>
      <w:r>
        <w:rPr>
          <w:rFonts w:hint="eastAsia" w:ascii="仿宋" w:hAnsi="仿宋" w:eastAsia="仿宋" w:cs="Times New Roman"/>
          <w:sz w:val="24"/>
          <w:szCs w:val="24"/>
        </w:rPr>
        <w:instrText xml:space="preserve"> HYPERLINK "http://baike.baidu.com/view/3798199.htm" \t "_blank" </w:instrText>
      </w:r>
      <w:r>
        <w:rPr>
          <w:rFonts w:hint="eastAsia" w:ascii="仿宋" w:hAnsi="仿宋" w:eastAsia="仿宋" w:cs="Times New Roman"/>
          <w:sz w:val="24"/>
          <w:szCs w:val="24"/>
        </w:rPr>
        <w:fldChar w:fldCharType="separate"/>
      </w:r>
      <w:r>
        <w:rPr>
          <w:rFonts w:hint="eastAsia" w:ascii="仿宋" w:hAnsi="仿宋" w:eastAsia="仿宋" w:cs="Times New Roman"/>
          <w:sz w:val="24"/>
          <w:szCs w:val="24"/>
        </w:rPr>
        <w:t>纠纷解决</w:t>
      </w:r>
      <w:r>
        <w:rPr>
          <w:rFonts w:hint="eastAsia" w:ascii="仿宋" w:hAnsi="仿宋" w:eastAsia="仿宋" w:cs="Times New Roman"/>
          <w:sz w:val="24"/>
          <w:szCs w:val="24"/>
        </w:rPr>
        <w:fldChar w:fldCharType="end"/>
      </w:r>
      <w:r>
        <w:rPr>
          <w:rFonts w:hint="eastAsia" w:ascii="仿宋" w:hAnsi="仿宋" w:eastAsia="仿宋" w:cs="Times New Roman"/>
          <w:sz w:val="24"/>
          <w:szCs w:val="24"/>
        </w:rPr>
        <w:t>机制及应当承担的责任；</w:t>
      </w:r>
    </w:p>
    <w:p w14:paraId="403EA8B6">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⑨旅游服务监督、投诉电话；</w:t>
      </w:r>
    </w:p>
    <w:p w14:paraId="604829A4">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⑩双方协商一致的其他内容。</w:t>
      </w:r>
    </w:p>
    <w:p w14:paraId="69890AF3">
      <w:pPr>
        <w:spacing w:line="360" w:lineRule="auto"/>
        <w:ind w:firstLine="482" w:firstLineChars="200"/>
        <w:rPr>
          <w:rFonts w:hint="eastAsia" w:ascii="仿宋" w:hAnsi="仿宋" w:eastAsia="仿宋" w:cs="Times New Roman"/>
          <w:b/>
          <w:bCs/>
          <w:sz w:val="24"/>
          <w:szCs w:val="24"/>
        </w:rPr>
      </w:pPr>
      <w:r>
        <w:rPr>
          <w:rFonts w:hint="eastAsia" w:ascii="仿宋" w:hAnsi="仿宋" w:eastAsia="仿宋" w:cs="Times New Roman"/>
          <w:b/>
          <w:bCs/>
          <w:sz w:val="24"/>
          <w:szCs w:val="24"/>
          <w:lang w:eastAsia="zh-CN"/>
        </w:rPr>
        <w:t>（</w:t>
      </w:r>
      <w:r>
        <w:rPr>
          <w:rFonts w:hint="eastAsia" w:ascii="仿宋" w:hAnsi="仿宋" w:eastAsia="仿宋" w:cs="Times New Roman"/>
          <w:b/>
          <w:bCs/>
          <w:sz w:val="24"/>
          <w:szCs w:val="24"/>
          <w:lang w:val="en-US" w:eastAsia="zh-CN"/>
        </w:rPr>
        <w:t>五</w:t>
      </w:r>
      <w:r>
        <w:rPr>
          <w:rFonts w:hint="eastAsia" w:ascii="仿宋" w:hAnsi="仿宋" w:eastAsia="仿宋" w:cs="Times New Roman"/>
          <w:b/>
          <w:bCs/>
          <w:sz w:val="24"/>
          <w:szCs w:val="24"/>
          <w:lang w:eastAsia="zh-CN"/>
        </w:rPr>
        <w:t>）</w:t>
      </w:r>
      <w:r>
        <w:rPr>
          <w:rFonts w:hint="eastAsia" w:ascii="仿宋" w:hAnsi="仿宋" w:eastAsia="仿宋" w:cs="Times New Roman"/>
          <w:b/>
          <w:bCs/>
          <w:sz w:val="24"/>
          <w:szCs w:val="24"/>
        </w:rPr>
        <w:t>保险</w:t>
      </w:r>
    </w:p>
    <w:p w14:paraId="3EE80D1F">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lang w:val="en-US" w:eastAsia="zh-CN"/>
        </w:rPr>
        <w:t>▲</w:t>
      </w:r>
      <w:r>
        <w:rPr>
          <w:rFonts w:hint="eastAsia" w:ascii="仿宋" w:hAnsi="仿宋" w:eastAsia="仿宋" w:cs="Times New Roman"/>
          <w:sz w:val="24"/>
          <w:szCs w:val="24"/>
        </w:rPr>
        <w:t>1、</w:t>
      </w:r>
      <w:r>
        <w:rPr>
          <w:rFonts w:hint="eastAsia" w:ascii="仿宋" w:hAnsi="仿宋" w:eastAsia="仿宋" w:cs="Times New Roman"/>
          <w:sz w:val="24"/>
          <w:szCs w:val="24"/>
          <w:lang w:val="en-US" w:eastAsia="zh-CN"/>
        </w:rPr>
        <w:t>中标人</w:t>
      </w:r>
      <w:r>
        <w:rPr>
          <w:rFonts w:hint="eastAsia" w:ascii="仿宋" w:hAnsi="仿宋" w:eastAsia="仿宋" w:cs="Times New Roman"/>
          <w:sz w:val="24"/>
          <w:szCs w:val="24"/>
        </w:rPr>
        <w:t>必须为参加疗休养的</w:t>
      </w:r>
      <w:r>
        <w:rPr>
          <w:rFonts w:hint="eastAsia" w:ascii="仿宋" w:hAnsi="仿宋" w:eastAsia="仿宋" w:cs="Times New Roman"/>
          <w:sz w:val="24"/>
          <w:szCs w:val="24"/>
          <w:lang w:val="en-US" w:eastAsia="zh-CN"/>
        </w:rPr>
        <w:t>职工</w:t>
      </w:r>
      <w:r>
        <w:rPr>
          <w:rFonts w:hint="eastAsia" w:ascii="仿宋" w:hAnsi="仿宋" w:eastAsia="仿宋" w:cs="Times New Roman"/>
          <w:sz w:val="24"/>
          <w:szCs w:val="24"/>
        </w:rPr>
        <w:t>购买旅行社责任险和人身意外保险（</w:t>
      </w:r>
      <w:r>
        <w:rPr>
          <w:rFonts w:hint="eastAsia" w:ascii="仿宋" w:hAnsi="仿宋" w:eastAsia="仿宋" w:cs="Times New Roman"/>
          <w:sz w:val="24"/>
          <w:szCs w:val="24"/>
          <w:lang w:val="en-US" w:eastAsia="zh-CN"/>
        </w:rPr>
        <w:t>额度不少于100万元，其中医疗部分不少于10万元，</w:t>
      </w:r>
      <w:r>
        <w:rPr>
          <w:rFonts w:hint="eastAsia" w:ascii="仿宋" w:hAnsi="仿宋" w:eastAsia="仿宋" w:cs="Times New Roman"/>
          <w:sz w:val="24"/>
          <w:szCs w:val="24"/>
        </w:rPr>
        <w:t>费用含在报价中）。</w:t>
      </w:r>
    </w:p>
    <w:p w14:paraId="4ADE2F32">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2、</w:t>
      </w:r>
      <w:r>
        <w:rPr>
          <w:rFonts w:hint="eastAsia" w:ascii="仿宋" w:hAnsi="仿宋" w:eastAsia="仿宋" w:cs="Times New Roman"/>
          <w:sz w:val="24"/>
          <w:szCs w:val="24"/>
          <w:lang w:val="en-US" w:eastAsia="zh-CN"/>
        </w:rPr>
        <w:t>中标人</w:t>
      </w:r>
      <w:r>
        <w:rPr>
          <w:rFonts w:hint="eastAsia" w:ascii="仿宋" w:hAnsi="仿宋" w:eastAsia="仿宋" w:cs="Times New Roman"/>
          <w:sz w:val="24"/>
          <w:szCs w:val="24"/>
        </w:rPr>
        <w:t>在结帐时应提供</w:t>
      </w:r>
      <w:r>
        <w:rPr>
          <w:rFonts w:hint="eastAsia" w:ascii="仿宋" w:hAnsi="仿宋" w:eastAsia="仿宋" w:cs="Times New Roman"/>
          <w:sz w:val="24"/>
          <w:szCs w:val="24"/>
          <w:lang w:val="en-US" w:eastAsia="zh-CN"/>
        </w:rPr>
        <w:t>职工</w:t>
      </w:r>
      <w:r>
        <w:rPr>
          <w:rFonts w:hint="eastAsia" w:ascii="仿宋" w:hAnsi="仿宋" w:eastAsia="仿宋" w:cs="Times New Roman"/>
          <w:sz w:val="24"/>
          <w:szCs w:val="24"/>
        </w:rPr>
        <w:t>旅游合同复印件一份、投保人身意外保险复印件一份。</w:t>
      </w:r>
    </w:p>
    <w:p w14:paraId="39E404C9">
      <w:pPr>
        <w:spacing w:line="360" w:lineRule="auto"/>
        <w:ind w:firstLine="480" w:firstLineChars="200"/>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六</w:t>
      </w:r>
      <w:r>
        <w:rPr>
          <w:rFonts w:hint="eastAsia" w:ascii="仿宋" w:hAnsi="仿宋" w:eastAsia="仿宋" w:cs="Times New Roman"/>
          <w:sz w:val="24"/>
          <w:szCs w:val="24"/>
          <w:lang w:eastAsia="zh-CN"/>
        </w:rPr>
        <w:t>）合同签订及执行</w:t>
      </w:r>
    </w:p>
    <w:p w14:paraId="03298124">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1、</w:t>
      </w:r>
      <w:r>
        <w:rPr>
          <w:rFonts w:hint="eastAsia" w:ascii="仿宋" w:hAnsi="仿宋" w:eastAsia="仿宋" w:cs="Times New Roman"/>
          <w:sz w:val="24"/>
          <w:szCs w:val="24"/>
          <w:lang w:val="en-US" w:eastAsia="zh-CN"/>
        </w:rPr>
        <w:t>中标人</w:t>
      </w:r>
      <w:r>
        <w:rPr>
          <w:rFonts w:hint="eastAsia" w:ascii="仿宋" w:hAnsi="仿宋" w:eastAsia="仿宋" w:cs="Times New Roman"/>
          <w:sz w:val="24"/>
          <w:szCs w:val="24"/>
        </w:rPr>
        <w:t>根据</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原则及本</w:t>
      </w:r>
      <w:r>
        <w:rPr>
          <w:rFonts w:hint="eastAsia" w:ascii="仿宋" w:hAnsi="仿宋" w:eastAsia="仿宋" w:cs="Times New Roman"/>
          <w:sz w:val="24"/>
          <w:szCs w:val="24"/>
          <w:lang w:val="en-US" w:eastAsia="zh-CN"/>
        </w:rPr>
        <w:t>采购文件</w:t>
      </w:r>
      <w:r>
        <w:rPr>
          <w:rFonts w:hint="eastAsia" w:ascii="仿宋" w:hAnsi="仿宋" w:eastAsia="仿宋" w:cs="Times New Roman"/>
          <w:sz w:val="24"/>
          <w:szCs w:val="24"/>
        </w:rPr>
        <w:t>要求的有关条款，与采购人签订合同，由双方共同严格遵守执行。</w:t>
      </w:r>
    </w:p>
    <w:p w14:paraId="5EA5D60C">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2、合同书应由双方代表亲自签字。</w:t>
      </w:r>
    </w:p>
    <w:p w14:paraId="76DE2640">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3、签订合同后项目不得转包。</w:t>
      </w:r>
    </w:p>
    <w:p w14:paraId="491622CC">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4、签订合同后，任何一方违约均应赔偿给对方造成的经济损失，并支付对方违约金2万元。任何一方未经协商或通知对方而擅自单方终止合同的，应赔偿对方违约金5万元，以补偿对方的损失。</w:t>
      </w:r>
    </w:p>
    <w:p w14:paraId="2CD3FAC3">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5、采购人会对</w:t>
      </w:r>
      <w:r>
        <w:rPr>
          <w:rFonts w:hint="eastAsia" w:ascii="仿宋" w:hAnsi="仿宋" w:eastAsia="仿宋" w:cs="Times New Roman"/>
          <w:sz w:val="24"/>
          <w:szCs w:val="24"/>
          <w:lang w:val="en-US" w:eastAsia="zh-CN"/>
        </w:rPr>
        <w:t>职工</w:t>
      </w:r>
      <w:r>
        <w:rPr>
          <w:rFonts w:hint="eastAsia" w:ascii="仿宋" w:hAnsi="仿宋" w:eastAsia="仿宋" w:cs="Times New Roman"/>
          <w:sz w:val="24"/>
          <w:szCs w:val="24"/>
        </w:rPr>
        <w:t>疗休养相关内容（包括线路设定、旅游社导游、住宿餐饮安排以及交通工具质量等）进行满意度测评，如满意度偏低，采购人有权终止合同。</w:t>
      </w:r>
    </w:p>
    <w:p w14:paraId="3F693E06">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6、遇有双方不能协商解决的问题时，任何一方都有权向需方所在地人民法院提起诉讼，由所在地人民法院依法裁决。</w:t>
      </w:r>
    </w:p>
    <w:p w14:paraId="753AD20F">
      <w:pPr>
        <w:spacing w:line="360" w:lineRule="auto"/>
        <w:ind w:firstLine="482" w:firstLineChars="200"/>
        <w:rPr>
          <w:rFonts w:hint="eastAsia" w:ascii="仿宋" w:hAnsi="仿宋" w:eastAsia="仿宋" w:cs="Times New Roman"/>
          <w:b/>
          <w:bCs/>
          <w:sz w:val="24"/>
          <w:szCs w:val="24"/>
          <w:lang w:val="en-US" w:eastAsia="zh-CN"/>
        </w:rPr>
      </w:pPr>
      <w:r>
        <w:rPr>
          <w:rFonts w:hint="eastAsia" w:ascii="仿宋" w:hAnsi="仿宋" w:eastAsia="仿宋" w:cs="Times New Roman"/>
          <w:b/>
          <w:bCs/>
          <w:sz w:val="24"/>
          <w:szCs w:val="24"/>
          <w:lang w:val="en-US" w:eastAsia="zh-CN"/>
        </w:rPr>
        <w:t>（七）服务方案要求</w:t>
      </w:r>
    </w:p>
    <w:p w14:paraId="405AD86F">
      <w:pPr>
        <w:spacing w:line="360" w:lineRule="auto"/>
        <w:ind w:firstLine="480" w:firstLineChars="200"/>
        <w:rPr>
          <w:rFonts w:hint="eastAsia" w:ascii="仿宋" w:hAnsi="仿宋" w:eastAsia="仿宋" w:cs="Times New Roman"/>
          <w:sz w:val="24"/>
          <w:szCs w:val="24"/>
          <w:highlight w:val="none"/>
        </w:rPr>
      </w:pPr>
      <w:r>
        <w:rPr>
          <w:rFonts w:hint="eastAsia" w:ascii="仿宋" w:hAnsi="仿宋" w:eastAsia="仿宋" w:cs="Times New Roman"/>
          <w:sz w:val="24"/>
          <w:szCs w:val="24"/>
          <w:lang w:val="en-US" w:eastAsia="zh-CN"/>
        </w:rPr>
        <w:t>供应商根据</w:t>
      </w:r>
      <w:r>
        <w:rPr>
          <w:rFonts w:hint="eastAsia" w:ascii="仿宋" w:hAnsi="仿宋" w:eastAsia="仿宋" w:cs="Times New Roman"/>
          <w:sz w:val="24"/>
          <w:szCs w:val="24"/>
        </w:rPr>
        <w:t>职工疗休养</w:t>
      </w:r>
      <w:r>
        <w:rPr>
          <w:rFonts w:hint="eastAsia" w:ascii="仿宋" w:hAnsi="仿宋" w:eastAsia="仿宋" w:cs="Times New Roman"/>
          <w:sz w:val="24"/>
          <w:szCs w:val="24"/>
          <w:lang w:val="en-US" w:eastAsia="zh-CN"/>
        </w:rPr>
        <w:t>相关规定，作出详细的服务方案，针对政策规定的疗休养地点，</w:t>
      </w:r>
      <w:r>
        <w:rPr>
          <w:rFonts w:hint="eastAsia" w:ascii="仿宋" w:hAnsi="仿宋" w:eastAsia="仿宋" w:cs="Times New Roman"/>
          <w:sz w:val="24"/>
          <w:szCs w:val="24"/>
        </w:rPr>
        <w:t>根据每条线路制定详细的方案</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包括</w:t>
      </w:r>
      <w:r>
        <w:rPr>
          <w:rFonts w:hint="eastAsia" w:ascii="仿宋" w:hAnsi="仿宋" w:eastAsia="仿宋" w:cs="Times New Roman"/>
          <w:sz w:val="24"/>
          <w:szCs w:val="24"/>
          <w:highlight w:val="none"/>
          <w:lang w:val="en-US" w:eastAsia="zh-CN"/>
        </w:rPr>
        <w:t>但不限于行程安排、</w:t>
      </w:r>
      <w:r>
        <w:rPr>
          <w:rFonts w:hint="eastAsia" w:ascii="仿宋" w:hAnsi="仿宋" w:eastAsia="仿宋" w:cs="Times New Roman"/>
          <w:sz w:val="24"/>
          <w:szCs w:val="24"/>
          <w:highlight w:val="none"/>
          <w:lang w:val="zh-CN"/>
        </w:rPr>
        <w:t>住宿安排、就餐安排、交通出行安排、</w:t>
      </w:r>
      <w:r>
        <w:rPr>
          <w:rFonts w:hint="eastAsia" w:ascii="仿宋" w:hAnsi="仿宋" w:eastAsia="仿宋" w:cs="Times New Roman"/>
          <w:sz w:val="24"/>
          <w:szCs w:val="24"/>
          <w:highlight w:val="none"/>
        </w:rPr>
        <w:t>门票、</w:t>
      </w:r>
      <w:r>
        <w:rPr>
          <w:rFonts w:hint="eastAsia" w:ascii="仿宋" w:hAnsi="仿宋" w:eastAsia="仿宋" w:cs="Times New Roman"/>
          <w:sz w:val="24"/>
          <w:szCs w:val="24"/>
          <w:highlight w:val="none"/>
          <w:lang w:val="en-US" w:eastAsia="zh-CN"/>
        </w:rPr>
        <w:t>服务团队人员、景点介绍</w:t>
      </w:r>
      <w:r>
        <w:rPr>
          <w:rFonts w:hint="eastAsia" w:ascii="仿宋" w:hAnsi="仿宋" w:eastAsia="仿宋" w:cs="Times New Roman"/>
          <w:sz w:val="24"/>
          <w:szCs w:val="24"/>
          <w:highlight w:val="none"/>
        </w:rPr>
        <w:t>等各项内容。</w:t>
      </w:r>
      <w:r>
        <w:rPr>
          <w:rFonts w:hint="eastAsia" w:ascii="仿宋" w:hAnsi="仿宋" w:eastAsia="仿宋" w:cs="Times New Roman"/>
          <w:sz w:val="24"/>
          <w:szCs w:val="24"/>
          <w:highlight w:val="none"/>
          <w:lang w:val="zh-CN"/>
        </w:rPr>
        <w:t>方案在考虑人均费用、组团人数、淡旺季等因素时，</w:t>
      </w:r>
      <w:r>
        <w:rPr>
          <w:rFonts w:hint="eastAsia" w:ascii="仿宋" w:hAnsi="仿宋" w:eastAsia="仿宋" w:cs="Times New Roman"/>
          <w:sz w:val="24"/>
          <w:szCs w:val="24"/>
          <w:highlight w:val="none"/>
          <w:lang w:val="en-US" w:eastAsia="zh-CN"/>
        </w:rPr>
        <w:t>所有线路</w:t>
      </w:r>
      <w:r>
        <w:rPr>
          <w:rFonts w:hint="eastAsia" w:ascii="仿宋" w:hAnsi="仿宋" w:eastAsia="仿宋" w:cs="Times New Roman"/>
          <w:sz w:val="24"/>
          <w:szCs w:val="24"/>
          <w:highlight w:val="none"/>
          <w:lang w:val="zh-CN" w:eastAsia="zh-CN"/>
        </w:rPr>
        <w:t>不能超过</w:t>
      </w:r>
      <w:r>
        <w:rPr>
          <w:rFonts w:hint="eastAsia" w:ascii="仿宋" w:hAnsi="仿宋" w:eastAsia="仿宋" w:cs="Times New Roman"/>
          <w:sz w:val="24"/>
          <w:szCs w:val="24"/>
          <w:highlight w:val="none"/>
          <w:lang w:val="en-US" w:eastAsia="zh-CN"/>
        </w:rPr>
        <w:t>固定价金额</w:t>
      </w:r>
      <w:r>
        <w:rPr>
          <w:rFonts w:hint="eastAsia" w:ascii="仿宋" w:hAnsi="仿宋" w:eastAsia="仿宋" w:cs="Times New Roman"/>
          <w:sz w:val="24"/>
          <w:szCs w:val="24"/>
          <w:highlight w:val="none"/>
          <w:lang w:val="zh-CN" w:eastAsia="zh-CN"/>
        </w:rPr>
        <w:t>。</w:t>
      </w:r>
    </w:p>
    <w:p w14:paraId="60A8DA5E">
      <w:pPr>
        <w:spacing w:line="360" w:lineRule="auto"/>
        <w:ind w:firstLine="482" w:firstLineChars="200"/>
        <w:rPr>
          <w:rFonts w:hint="eastAsia" w:ascii="仿宋" w:hAnsi="仿宋" w:eastAsia="仿宋" w:cs="Times New Roman"/>
          <w:b/>
          <w:bCs/>
          <w:sz w:val="24"/>
          <w:szCs w:val="24"/>
          <w:highlight w:val="none"/>
          <w:lang w:val="en-US" w:eastAsia="zh-CN"/>
        </w:rPr>
      </w:pPr>
      <w:r>
        <w:rPr>
          <w:rFonts w:hint="eastAsia" w:ascii="仿宋" w:hAnsi="仿宋" w:eastAsia="仿宋" w:cs="Times New Roman"/>
          <w:b/>
          <w:bCs/>
          <w:sz w:val="24"/>
          <w:szCs w:val="24"/>
          <w:highlight w:val="none"/>
          <w:lang w:val="en-US" w:eastAsia="zh-CN"/>
        </w:rPr>
        <w:t>三</w:t>
      </w:r>
      <w:r>
        <w:rPr>
          <w:rFonts w:hint="eastAsia" w:ascii="仿宋" w:hAnsi="仿宋" w:eastAsia="仿宋" w:cs="Times New Roman"/>
          <w:b/>
          <w:bCs/>
          <w:sz w:val="24"/>
          <w:szCs w:val="24"/>
          <w:highlight w:val="none"/>
        </w:rPr>
        <w:t>、</w:t>
      </w:r>
      <w:r>
        <w:rPr>
          <w:rFonts w:hint="eastAsia" w:ascii="仿宋" w:hAnsi="仿宋" w:eastAsia="仿宋" w:cs="Times New Roman"/>
          <w:b/>
          <w:bCs/>
          <w:sz w:val="24"/>
          <w:szCs w:val="24"/>
          <w:highlight w:val="none"/>
          <w:lang w:val="en-US" w:eastAsia="zh-CN"/>
        </w:rPr>
        <w:t>商务条款</w:t>
      </w:r>
    </w:p>
    <w:p w14:paraId="11B2EF99">
      <w:pPr>
        <w:spacing w:line="360" w:lineRule="auto"/>
        <w:ind w:firstLine="480" w:firstLineChars="200"/>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eastAsia="zh-CN"/>
        </w:rPr>
        <w:t>（</w:t>
      </w:r>
      <w:r>
        <w:rPr>
          <w:rFonts w:hint="eastAsia" w:ascii="仿宋" w:hAnsi="仿宋" w:eastAsia="仿宋" w:cs="Times New Roman"/>
          <w:sz w:val="24"/>
          <w:szCs w:val="24"/>
          <w:highlight w:val="none"/>
          <w:lang w:val="en-US" w:eastAsia="zh-CN"/>
        </w:rPr>
        <w:t>一</w:t>
      </w:r>
      <w:r>
        <w:rPr>
          <w:rFonts w:hint="eastAsia" w:ascii="仿宋" w:hAnsi="仿宋" w:eastAsia="仿宋" w:cs="Times New Roman"/>
          <w:sz w:val="24"/>
          <w:szCs w:val="24"/>
          <w:highlight w:val="none"/>
          <w:lang w:eastAsia="zh-CN"/>
        </w:rPr>
        <w:t>）</w:t>
      </w:r>
      <w:r>
        <w:rPr>
          <w:rFonts w:hint="eastAsia" w:ascii="仿宋" w:hAnsi="仿宋" w:eastAsia="仿宋" w:cs="Times New Roman"/>
          <w:sz w:val="24"/>
          <w:szCs w:val="24"/>
          <w:highlight w:val="none"/>
          <w:lang w:val="en-US" w:eastAsia="zh-CN"/>
        </w:rPr>
        <w:t>付款方式：合同签订生效以及具备实施条件后7个工作日内中标人向采购人提交预算金额40%的预付款保函或其他金融担保措施后，采购人支付预算金额的40%作为预付款；每次疗休养活动结束以后（无有效投诉和质量问题），凭正规有效发票原件及相关佐证材料（职工旅游合同、保险单复印件等），经审核后结算。每次结算先从预付款中扣回，待预付款金额全额扣回后，继续支付。</w:t>
      </w:r>
    </w:p>
    <w:p w14:paraId="44C2A23F">
      <w:pPr>
        <w:spacing w:line="360" w:lineRule="auto"/>
        <w:ind w:firstLine="480" w:firstLineChars="200"/>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在签订合同时，中标人明确表示无需预付款或者主动要求降低预付款比例的，以中标人意愿为准。</w:t>
      </w:r>
    </w:p>
    <w:p w14:paraId="2CF97EAD">
      <w:pPr>
        <w:spacing w:line="360" w:lineRule="auto"/>
        <w:ind w:firstLine="480" w:firstLineChars="200"/>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（二）履约保证金：无。</w:t>
      </w:r>
    </w:p>
    <w:p w14:paraId="611FBCA9">
      <w:pPr>
        <w:spacing w:line="360" w:lineRule="auto"/>
        <w:ind w:firstLine="480" w:firstLineChars="200"/>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（三）合同履约期限：自合同生效之日至合同全部权利义务履行完毕之日止。</w:t>
      </w:r>
    </w:p>
    <w:p w14:paraId="0D71F7ED">
      <w:pPr>
        <w:spacing w:line="360" w:lineRule="auto"/>
        <w:ind w:firstLine="480" w:firstLineChars="200"/>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（四）合同签订时间：中标通知书发出后30日内。</w:t>
      </w:r>
    </w:p>
    <w:p w14:paraId="73B4F196">
      <w:pPr>
        <w:spacing w:line="360" w:lineRule="auto"/>
        <w:ind w:firstLine="480" w:firstLineChars="200"/>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五）合同终止：中标人在合同有效期内，不得以任何理由终止合同，确有特殊情况的，须提前一个月向采购人提出书面申请，经采购人同意后，方可终止合同；如中标人单方面终止合同的，需向采购人支付5万元的违约金。因中标人不能保证工作质量，或发生重大差错事故的，采购人可有权终止协议，中标人承担全部责任。</w:t>
      </w:r>
    </w:p>
    <w:p w14:paraId="783D16F2">
      <w:pPr>
        <w:spacing w:line="360" w:lineRule="auto"/>
        <w:ind w:firstLine="480" w:firstLineChars="200"/>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（六）考核及其他要求：</w:t>
      </w:r>
    </w:p>
    <w:p w14:paraId="7E27CEFF">
      <w:pPr>
        <w:spacing w:line="360" w:lineRule="auto"/>
        <w:ind w:firstLine="480" w:firstLineChars="200"/>
        <w:rPr>
          <w:rFonts w:hint="eastAsia" w:ascii="仿宋" w:hAnsi="仿宋" w:eastAsia="仿宋" w:cs="Times New Roman"/>
          <w:sz w:val="24"/>
          <w:szCs w:val="24"/>
          <w:highlight w:val="none"/>
        </w:rPr>
      </w:pPr>
      <w:r>
        <w:rPr>
          <w:rFonts w:hint="eastAsia" w:ascii="仿宋" w:hAnsi="仿宋" w:eastAsia="仿宋" w:cs="Times New Roman"/>
          <w:sz w:val="24"/>
          <w:szCs w:val="24"/>
          <w:highlight w:val="none"/>
          <w:lang w:val="en-US" w:eastAsia="zh-CN"/>
        </w:rPr>
        <w:t>1、考核方式：每次完成疗养服务回程时，导游发放《满意度调查表》，出行职工对本次出行计划、酒店、就餐等情况进行满意度评分并填写《满意度调查表》（调查表选项填写不全或赋分不在设定范围的无效），满意度调查结果由导游（或中标人代表）和职工代表签字留存并当场宣布，采购人根据满意度平均分确认当次疗休养费用。</w:t>
      </w:r>
    </w:p>
    <w:p w14:paraId="435FDA21">
      <w:pPr>
        <w:spacing w:line="360" w:lineRule="auto"/>
        <w:ind w:firstLine="480" w:firstLineChars="200"/>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val="en-US" w:eastAsia="zh-CN"/>
        </w:rPr>
        <w:t>2、</w:t>
      </w:r>
      <w:r>
        <w:rPr>
          <w:rFonts w:hint="eastAsia" w:ascii="仿宋" w:hAnsi="仿宋" w:eastAsia="仿宋" w:cs="Times New Roman"/>
          <w:sz w:val="24"/>
          <w:szCs w:val="24"/>
          <w:highlight w:val="none"/>
          <w:lang w:eastAsia="zh-CN"/>
        </w:rPr>
        <w:t>考核标准：当次满意度平均分高于85分（含），支付当次疗休养费用的100%；当次满意度平均分高于75分（含）低于85分，扣减当次疗休养费用5%；当次满意度平均分低75分，扣减当次疗休养费用20%。</w:t>
      </w:r>
    </w:p>
    <w:p w14:paraId="583F594C">
      <w:pPr>
        <w:spacing w:line="360" w:lineRule="auto"/>
        <w:ind w:firstLine="480" w:firstLineChars="200"/>
        <w:rPr>
          <w:rFonts w:hint="eastAsia" w:ascii="仿宋" w:hAnsi="仿宋" w:eastAsia="仿宋" w:cs="Times New Roman"/>
          <w:sz w:val="24"/>
          <w:szCs w:val="24"/>
          <w:highlight w:val="none"/>
          <w:lang w:eastAsia="zh-CN"/>
        </w:rPr>
      </w:pPr>
    </w:p>
    <w:p w14:paraId="338B24AF">
      <w:pPr>
        <w:spacing w:line="360" w:lineRule="auto"/>
        <w:ind w:firstLine="480" w:firstLineChars="200"/>
        <w:rPr>
          <w:rFonts w:hint="eastAsia" w:ascii="仿宋" w:hAnsi="仿宋" w:eastAsia="仿宋" w:cs="Times New Roman"/>
          <w:sz w:val="24"/>
          <w:szCs w:val="24"/>
          <w:highlight w:val="none"/>
          <w:lang w:eastAsia="zh-CN"/>
        </w:rPr>
      </w:pPr>
    </w:p>
    <w:tbl>
      <w:tblPr>
        <w:tblStyle w:val="17"/>
        <w:tblW w:w="0" w:type="auto"/>
        <w:tblInd w:w="91" w:type="dxa"/>
        <w:tblLayout w:type="fixed"/>
        <w:tblCellMar>
          <w:top w:w="0" w:type="dxa"/>
          <w:left w:w="108" w:type="dxa"/>
          <w:bottom w:w="0" w:type="dxa"/>
          <w:right w:w="108" w:type="dxa"/>
        </w:tblCellMar>
      </w:tblPr>
      <w:tblGrid>
        <w:gridCol w:w="521"/>
        <w:gridCol w:w="4604"/>
        <w:gridCol w:w="1269"/>
        <w:gridCol w:w="785"/>
        <w:gridCol w:w="784"/>
        <w:gridCol w:w="1046"/>
      </w:tblGrid>
      <w:tr w14:paraId="77D9AE0B">
        <w:tblPrEx>
          <w:tblCellMar>
            <w:top w:w="0" w:type="dxa"/>
            <w:left w:w="108" w:type="dxa"/>
            <w:bottom w:w="0" w:type="dxa"/>
            <w:right w:w="108" w:type="dxa"/>
          </w:tblCellMar>
        </w:tblPrEx>
        <w:trPr>
          <w:trHeight w:val="340" w:hRule="atLeast"/>
        </w:trPr>
        <w:tc>
          <w:tcPr>
            <w:tcW w:w="9009" w:type="dxa"/>
            <w:gridSpan w:val="6"/>
            <w:tcBorders>
              <w:top w:val="nil"/>
              <w:left w:val="nil"/>
              <w:bottom w:val="nil"/>
              <w:right w:val="nil"/>
            </w:tcBorders>
            <w:noWrap w:val="0"/>
            <w:vAlign w:val="center"/>
          </w:tcPr>
          <w:p w14:paraId="06C5F576">
            <w:pPr>
              <w:pStyle w:val="9"/>
              <w:ind w:left="0" w:leftChars="0" w:firstLine="0" w:firstLineChars="0"/>
              <w:jc w:val="center"/>
              <w:rPr>
                <w:rFonts w:hint="eastAsia" w:ascii="仿宋" w:hAnsi="仿宋" w:eastAsia="仿宋" w:cs="仿宋"/>
                <w:b/>
                <w:bCs/>
                <w:color w:val="000000"/>
                <w:kern w:val="0"/>
                <w:sz w:val="21"/>
                <w:szCs w:val="21"/>
                <w:highlight w:val="none"/>
              </w:rPr>
            </w:pPr>
            <w:r>
              <w:rPr>
                <w:rFonts w:hint="eastAsia"/>
                <w:sz w:val="21"/>
                <w:szCs w:val="21"/>
                <w:lang w:eastAsia="zh-CN"/>
              </w:rPr>
              <w:br w:type="page"/>
            </w:r>
            <w:r>
              <w:rPr>
                <w:rFonts w:hint="eastAsia" w:ascii="仿宋" w:hAnsi="仿宋" w:eastAsia="仿宋" w:cs="仿宋"/>
                <w:b/>
                <w:bCs/>
                <w:color w:val="000000"/>
                <w:kern w:val="0"/>
                <w:sz w:val="21"/>
                <w:szCs w:val="21"/>
                <w:highlight w:val="none"/>
                <w:lang w:val="en-US" w:eastAsia="zh-CN"/>
              </w:rPr>
              <w:t>职工</w:t>
            </w:r>
            <w:r>
              <w:rPr>
                <w:rFonts w:hint="eastAsia" w:ascii="仿宋" w:hAnsi="仿宋" w:eastAsia="仿宋" w:cs="仿宋"/>
                <w:b/>
                <w:bCs/>
                <w:color w:val="000000"/>
                <w:kern w:val="0"/>
                <w:sz w:val="21"/>
                <w:szCs w:val="21"/>
                <w:highlight w:val="none"/>
              </w:rPr>
              <w:t>疗休养服务评分反馈表</w:t>
            </w:r>
          </w:p>
        </w:tc>
      </w:tr>
      <w:tr w14:paraId="6244C780">
        <w:tblPrEx>
          <w:tblCellMar>
            <w:top w:w="0" w:type="dxa"/>
            <w:left w:w="108" w:type="dxa"/>
            <w:bottom w:w="0" w:type="dxa"/>
            <w:right w:w="108" w:type="dxa"/>
          </w:tblCellMar>
        </w:tblPrEx>
        <w:trPr>
          <w:trHeight w:val="340" w:hRule="atLeast"/>
        </w:trPr>
        <w:tc>
          <w:tcPr>
            <w:tcW w:w="9009" w:type="dxa"/>
            <w:gridSpan w:val="6"/>
            <w:tcBorders>
              <w:top w:val="nil"/>
              <w:left w:val="nil"/>
              <w:bottom w:val="nil"/>
              <w:right w:val="nil"/>
            </w:tcBorders>
            <w:noWrap w:val="0"/>
            <w:vAlign w:val="center"/>
          </w:tcPr>
          <w:p w14:paraId="126D6A89">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感谢您对旅行社的服务情况进行评分反馈。希望您能认真、详实地填写。同时为耽误您的宝贵时间表示歉意。</w:t>
            </w:r>
          </w:p>
        </w:tc>
      </w:tr>
      <w:tr w14:paraId="0BD5D5B0">
        <w:tblPrEx>
          <w:tblCellMar>
            <w:top w:w="0" w:type="dxa"/>
            <w:left w:w="108" w:type="dxa"/>
            <w:bottom w:w="0" w:type="dxa"/>
            <w:right w:w="108" w:type="dxa"/>
          </w:tblCellMar>
        </w:tblPrEx>
        <w:trPr>
          <w:trHeight w:val="340" w:hRule="atLeast"/>
        </w:trPr>
        <w:tc>
          <w:tcPr>
            <w:tcW w:w="9009" w:type="dxa"/>
            <w:gridSpan w:val="6"/>
            <w:tcBorders>
              <w:top w:val="nil"/>
              <w:left w:val="nil"/>
              <w:bottom w:val="nil"/>
              <w:right w:val="nil"/>
            </w:tcBorders>
            <w:noWrap w:val="0"/>
            <w:vAlign w:val="center"/>
          </w:tcPr>
          <w:p w14:paraId="16B4A42F">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为您服务的旅行社名称：                           疗休养线路：</w:t>
            </w:r>
          </w:p>
        </w:tc>
      </w:tr>
      <w:tr w14:paraId="50C5D4FE">
        <w:tblPrEx>
          <w:tblCellMar>
            <w:top w:w="0" w:type="dxa"/>
            <w:left w:w="108" w:type="dxa"/>
            <w:bottom w:w="0" w:type="dxa"/>
            <w:right w:w="108" w:type="dxa"/>
          </w:tblCellMar>
        </w:tblPrEx>
        <w:trPr>
          <w:trHeight w:val="340" w:hRule="atLeast"/>
        </w:trPr>
        <w:tc>
          <w:tcPr>
            <w:tcW w:w="9009" w:type="dxa"/>
            <w:gridSpan w:val="6"/>
            <w:tcBorders>
              <w:top w:val="nil"/>
              <w:left w:val="nil"/>
              <w:bottom w:val="nil"/>
              <w:right w:val="nil"/>
            </w:tcBorders>
            <w:noWrap w:val="0"/>
            <w:vAlign w:val="center"/>
          </w:tcPr>
          <w:p w14:paraId="0D35699D">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请根据您的实际感受对以下各项进行评分：</w:t>
            </w:r>
          </w:p>
        </w:tc>
      </w:tr>
      <w:tr w14:paraId="37426E42">
        <w:tblPrEx>
          <w:tblCellMar>
            <w:top w:w="0" w:type="dxa"/>
            <w:left w:w="108" w:type="dxa"/>
            <w:bottom w:w="0" w:type="dxa"/>
            <w:right w:w="108" w:type="dxa"/>
          </w:tblCellMar>
        </w:tblPrEx>
        <w:trPr>
          <w:trHeight w:val="340" w:hRule="atLeast"/>
        </w:trPr>
        <w:tc>
          <w:tcPr>
            <w:tcW w:w="512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205D059">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评价内容</w:t>
            </w:r>
          </w:p>
        </w:tc>
        <w:tc>
          <w:tcPr>
            <w:tcW w:w="3884" w:type="dxa"/>
            <w:gridSpan w:val="4"/>
            <w:tcBorders>
              <w:top w:val="single" w:color="auto" w:sz="4" w:space="0"/>
              <w:left w:val="nil"/>
              <w:bottom w:val="single" w:color="auto" w:sz="4" w:space="0"/>
              <w:right w:val="single" w:color="auto" w:sz="4" w:space="0"/>
            </w:tcBorders>
            <w:noWrap w:val="0"/>
            <w:vAlign w:val="center"/>
          </w:tcPr>
          <w:p w14:paraId="48A31C29">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满意度评分（0-100分）</w:t>
            </w:r>
          </w:p>
        </w:tc>
      </w:tr>
      <w:tr w14:paraId="1CFA0884">
        <w:tblPrEx>
          <w:tblCellMar>
            <w:top w:w="0" w:type="dxa"/>
            <w:left w:w="108" w:type="dxa"/>
            <w:bottom w:w="0" w:type="dxa"/>
            <w:right w:w="108" w:type="dxa"/>
          </w:tblCellMar>
        </w:tblPrEx>
        <w:trPr>
          <w:trHeight w:val="340" w:hRule="atLeast"/>
        </w:trPr>
        <w:tc>
          <w:tcPr>
            <w:tcW w:w="512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9321293">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p>
        </w:tc>
        <w:tc>
          <w:tcPr>
            <w:tcW w:w="1269" w:type="dxa"/>
            <w:tcBorders>
              <w:top w:val="nil"/>
              <w:left w:val="nil"/>
              <w:bottom w:val="single" w:color="auto" w:sz="4" w:space="0"/>
              <w:right w:val="single" w:color="auto" w:sz="4" w:space="0"/>
            </w:tcBorders>
            <w:noWrap w:val="0"/>
            <w:vAlign w:val="center"/>
          </w:tcPr>
          <w:p w14:paraId="0B77D0A9">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非常满意</w:t>
            </w:r>
          </w:p>
        </w:tc>
        <w:tc>
          <w:tcPr>
            <w:tcW w:w="785" w:type="dxa"/>
            <w:tcBorders>
              <w:top w:val="nil"/>
              <w:left w:val="nil"/>
              <w:bottom w:val="single" w:color="auto" w:sz="4" w:space="0"/>
              <w:right w:val="single" w:color="auto" w:sz="4" w:space="0"/>
            </w:tcBorders>
            <w:noWrap w:val="0"/>
            <w:vAlign w:val="center"/>
          </w:tcPr>
          <w:p w14:paraId="52FD850A">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满意</w:t>
            </w:r>
          </w:p>
        </w:tc>
        <w:tc>
          <w:tcPr>
            <w:tcW w:w="784" w:type="dxa"/>
            <w:tcBorders>
              <w:top w:val="nil"/>
              <w:left w:val="nil"/>
              <w:bottom w:val="single" w:color="auto" w:sz="4" w:space="0"/>
              <w:right w:val="single" w:color="auto" w:sz="4" w:space="0"/>
            </w:tcBorders>
            <w:noWrap w:val="0"/>
            <w:vAlign w:val="center"/>
          </w:tcPr>
          <w:p w14:paraId="21E13283">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一般</w:t>
            </w:r>
          </w:p>
        </w:tc>
        <w:tc>
          <w:tcPr>
            <w:tcW w:w="1046" w:type="dxa"/>
            <w:tcBorders>
              <w:top w:val="nil"/>
              <w:left w:val="nil"/>
              <w:bottom w:val="single" w:color="auto" w:sz="4" w:space="0"/>
              <w:right w:val="single" w:color="auto" w:sz="4" w:space="0"/>
            </w:tcBorders>
            <w:noWrap w:val="0"/>
            <w:vAlign w:val="center"/>
          </w:tcPr>
          <w:p w14:paraId="79A0E26A">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不满意</w:t>
            </w:r>
          </w:p>
        </w:tc>
      </w:tr>
      <w:tr w14:paraId="3CB7F338">
        <w:tblPrEx>
          <w:tblCellMar>
            <w:top w:w="0" w:type="dxa"/>
            <w:left w:w="108" w:type="dxa"/>
            <w:bottom w:w="0" w:type="dxa"/>
            <w:right w:w="108" w:type="dxa"/>
          </w:tblCellMar>
        </w:tblPrEx>
        <w:trPr>
          <w:trHeight w:val="340" w:hRule="atLeast"/>
        </w:trPr>
        <w:tc>
          <w:tcPr>
            <w:tcW w:w="5125" w:type="dxa"/>
            <w:gridSpan w:val="2"/>
            <w:tcBorders>
              <w:top w:val="single" w:color="auto" w:sz="4" w:space="0"/>
              <w:left w:val="single" w:color="auto" w:sz="4" w:space="0"/>
              <w:bottom w:val="single" w:color="auto" w:sz="4" w:space="0"/>
              <w:right w:val="single" w:color="auto" w:sz="4" w:space="0"/>
            </w:tcBorders>
            <w:noWrap w:val="0"/>
            <w:vAlign w:val="center"/>
          </w:tcPr>
          <w:p w14:paraId="65C23821">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分值</w:t>
            </w:r>
          </w:p>
        </w:tc>
        <w:tc>
          <w:tcPr>
            <w:tcW w:w="1269" w:type="dxa"/>
            <w:tcBorders>
              <w:top w:val="nil"/>
              <w:left w:val="nil"/>
              <w:bottom w:val="single" w:color="auto" w:sz="4" w:space="0"/>
              <w:right w:val="single" w:color="auto" w:sz="4" w:space="0"/>
            </w:tcBorders>
            <w:noWrap w:val="0"/>
            <w:vAlign w:val="center"/>
          </w:tcPr>
          <w:p w14:paraId="4D3CAFFA">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w:t>
            </w:r>
          </w:p>
        </w:tc>
        <w:tc>
          <w:tcPr>
            <w:tcW w:w="785" w:type="dxa"/>
            <w:tcBorders>
              <w:top w:val="nil"/>
              <w:left w:val="nil"/>
              <w:bottom w:val="single" w:color="auto" w:sz="4" w:space="0"/>
              <w:right w:val="single" w:color="auto" w:sz="4" w:space="0"/>
            </w:tcBorders>
            <w:noWrap w:val="0"/>
            <w:vAlign w:val="center"/>
          </w:tcPr>
          <w:p w14:paraId="50CE5908">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4</w:t>
            </w:r>
          </w:p>
        </w:tc>
        <w:tc>
          <w:tcPr>
            <w:tcW w:w="784" w:type="dxa"/>
            <w:tcBorders>
              <w:top w:val="nil"/>
              <w:left w:val="nil"/>
              <w:bottom w:val="single" w:color="auto" w:sz="4" w:space="0"/>
              <w:right w:val="single" w:color="auto" w:sz="4" w:space="0"/>
            </w:tcBorders>
            <w:noWrap w:val="0"/>
            <w:vAlign w:val="center"/>
          </w:tcPr>
          <w:p w14:paraId="326CD2A2">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w:t>
            </w:r>
          </w:p>
        </w:tc>
        <w:tc>
          <w:tcPr>
            <w:tcW w:w="1046" w:type="dxa"/>
            <w:tcBorders>
              <w:top w:val="nil"/>
              <w:left w:val="nil"/>
              <w:bottom w:val="single" w:color="auto" w:sz="4" w:space="0"/>
              <w:right w:val="single" w:color="auto" w:sz="4" w:space="0"/>
            </w:tcBorders>
            <w:noWrap w:val="0"/>
            <w:vAlign w:val="center"/>
          </w:tcPr>
          <w:p w14:paraId="51AC68DA">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0</w:t>
            </w:r>
          </w:p>
        </w:tc>
      </w:tr>
      <w:tr w14:paraId="7F645947">
        <w:tblPrEx>
          <w:tblCellMar>
            <w:top w:w="0" w:type="dxa"/>
            <w:left w:w="108" w:type="dxa"/>
            <w:bottom w:w="0" w:type="dxa"/>
            <w:right w:w="108" w:type="dxa"/>
          </w:tblCellMar>
        </w:tblPrEx>
        <w:trPr>
          <w:trHeight w:val="340" w:hRule="atLeast"/>
        </w:trPr>
        <w:tc>
          <w:tcPr>
            <w:tcW w:w="521" w:type="dxa"/>
            <w:vMerge w:val="restart"/>
            <w:tcBorders>
              <w:top w:val="nil"/>
              <w:left w:val="single" w:color="auto" w:sz="4" w:space="0"/>
              <w:bottom w:val="single" w:color="auto" w:sz="4" w:space="0"/>
              <w:right w:val="single" w:color="auto" w:sz="4" w:space="0"/>
            </w:tcBorders>
            <w:noWrap w:val="0"/>
            <w:vAlign w:val="center"/>
          </w:tcPr>
          <w:p w14:paraId="7A588D1C">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rPr>
              <w:t>交</w:t>
            </w:r>
          </w:p>
          <w:p w14:paraId="022EF454">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rPr>
              <w:t>通</w:t>
            </w:r>
          </w:p>
          <w:p w14:paraId="26D2B915">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rPr>
              <w:t>安</w:t>
            </w:r>
          </w:p>
          <w:p w14:paraId="5A3DAC31">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排</w:t>
            </w:r>
          </w:p>
        </w:tc>
        <w:tc>
          <w:tcPr>
            <w:tcW w:w="4604" w:type="dxa"/>
            <w:tcBorders>
              <w:top w:val="nil"/>
              <w:left w:val="nil"/>
              <w:bottom w:val="single" w:color="auto" w:sz="4" w:space="0"/>
              <w:right w:val="single" w:color="auto" w:sz="4" w:space="0"/>
            </w:tcBorders>
            <w:noWrap w:val="0"/>
            <w:vAlign w:val="center"/>
          </w:tcPr>
          <w:p w14:paraId="3F0BC6A7">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车况及性能</w:t>
            </w:r>
          </w:p>
        </w:tc>
        <w:tc>
          <w:tcPr>
            <w:tcW w:w="1269" w:type="dxa"/>
            <w:tcBorders>
              <w:top w:val="nil"/>
              <w:left w:val="nil"/>
              <w:bottom w:val="single" w:color="auto" w:sz="4" w:space="0"/>
              <w:right w:val="single" w:color="auto" w:sz="4" w:space="0"/>
            </w:tcBorders>
            <w:noWrap w:val="0"/>
            <w:vAlign w:val="center"/>
          </w:tcPr>
          <w:p w14:paraId="6FA36437">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5" w:type="dxa"/>
            <w:tcBorders>
              <w:top w:val="nil"/>
              <w:left w:val="nil"/>
              <w:bottom w:val="single" w:color="auto" w:sz="4" w:space="0"/>
              <w:right w:val="single" w:color="auto" w:sz="4" w:space="0"/>
            </w:tcBorders>
            <w:noWrap w:val="0"/>
            <w:vAlign w:val="center"/>
          </w:tcPr>
          <w:p w14:paraId="15E6C0B0">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4" w:type="dxa"/>
            <w:tcBorders>
              <w:top w:val="nil"/>
              <w:left w:val="nil"/>
              <w:bottom w:val="single" w:color="auto" w:sz="4" w:space="0"/>
              <w:right w:val="single" w:color="auto" w:sz="4" w:space="0"/>
            </w:tcBorders>
            <w:noWrap w:val="0"/>
            <w:vAlign w:val="center"/>
          </w:tcPr>
          <w:p w14:paraId="703F74F2">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1046" w:type="dxa"/>
            <w:tcBorders>
              <w:top w:val="nil"/>
              <w:left w:val="nil"/>
              <w:bottom w:val="single" w:color="auto" w:sz="4" w:space="0"/>
              <w:right w:val="single" w:color="auto" w:sz="4" w:space="0"/>
            </w:tcBorders>
            <w:noWrap w:val="0"/>
            <w:vAlign w:val="center"/>
          </w:tcPr>
          <w:p w14:paraId="7445C1C2">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r>
      <w:tr w14:paraId="18762870">
        <w:tblPrEx>
          <w:tblCellMar>
            <w:top w:w="0" w:type="dxa"/>
            <w:left w:w="108" w:type="dxa"/>
            <w:bottom w:w="0" w:type="dxa"/>
            <w:right w:w="108" w:type="dxa"/>
          </w:tblCellMar>
        </w:tblPrEx>
        <w:trPr>
          <w:trHeight w:val="340" w:hRule="atLeast"/>
        </w:trPr>
        <w:tc>
          <w:tcPr>
            <w:tcW w:w="521" w:type="dxa"/>
            <w:vMerge w:val="continue"/>
            <w:tcBorders>
              <w:top w:val="nil"/>
              <w:left w:val="single" w:color="auto" w:sz="4" w:space="0"/>
              <w:bottom w:val="single" w:color="auto" w:sz="4" w:space="0"/>
              <w:right w:val="single" w:color="auto" w:sz="4" w:space="0"/>
            </w:tcBorders>
            <w:noWrap w:val="0"/>
            <w:vAlign w:val="center"/>
          </w:tcPr>
          <w:p w14:paraId="5EEE2D82">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p>
        </w:tc>
        <w:tc>
          <w:tcPr>
            <w:tcW w:w="4604" w:type="dxa"/>
            <w:tcBorders>
              <w:top w:val="nil"/>
              <w:left w:val="nil"/>
              <w:bottom w:val="single" w:color="auto" w:sz="4" w:space="0"/>
              <w:right w:val="single" w:color="auto" w:sz="4" w:space="0"/>
            </w:tcBorders>
            <w:noWrap w:val="0"/>
            <w:vAlign w:val="center"/>
          </w:tcPr>
          <w:p w14:paraId="478378F5">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到点准时</w:t>
            </w:r>
          </w:p>
        </w:tc>
        <w:tc>
          <w:tcPr>
            <w:tcW w:w="1269" w:type="dxa"/>
            <w:tcBorders>
              <w:top w:val="nil"/>
              <w:left w:val="nil"/>
              <w:bottom w:val="single" w:color="auto" w:sz="4" w:space="0"/>
              <w:right w:val="single" w:color="auto" w:sz="4" w:space="0"/>
            </w:tcBorders>
            <w:noWrap w:val="0"/>
            <w:vAlign w:val="center"/>
          </w:tcPr>
          <w:p w14:paraId="51AA4085">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5" w:type="dxa"/>
            <w:tcBorders>
              <w:top w:val="nil"/>
              <w:left w:val="nil"/>
              <w:bottom w:val="single" w:color="auto" w:sz="4" w:space="0"/>
              <w:right w:val="single" w:color="auto" w:sz="4" w:space="0"/>
            </w:tcBorders>
            <w:noWrap w:val="0"/>
            <w:vAlign w:val="center"/>
          </w:tcPr>
          <w:p w14:paraId="217B0342">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4" w:type="dxa"/>
            <w:tcBorders>
              <w:top w:val="nil"/>
              <w:left w:val="nil"/>
              <w:bottom w:val="single" w:color="auto" w:sz="4" w:space="0"/>
              <w:right w:val="single" w:color="auto" w:sz="4" w:space="0"/>
            </w:tcBorders>
            <w:noWrap w:val="0"/>
            <w:vAlign w:val="center"/>
          </w:tcPr>
          <w:p w14:paraId="2E5A9958">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1046" w:type="dxa"/>
            <w:tcBorders>
              <w:top w:val="nil"/>
              <w:left w:val="nil"/>
              <w:bottom w:val="single" w:color="auto" w:sz="4" w:space="0"/>
              <w:right w:val="single" w:color="auto" w:sz="4" w:space="0"/>
            </w:tcBorders>
            <w:noWrap w:val="0"/>
            <w:vAlign w:val="center"/>
          </w:tcPr>
          <w:p w14:paraId="2F840EF9">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r>
      <w:tr w14:paraId="2574318F">
        <w:tblPrEx>
          <w:tblCellMar>
            <w:top w:w="0" w:type="dxa"/>
            <w:left w:w="108" w:type="dxa"/>
            <w:bottom w:w="0" w:type="dxa"/>
            <w:right w:w="108" w:type="dxa"/>
          </w:tblCellMar>
        </w:tblPrEx>
        <w:trPr>
          <w:trHeight w:val="340" w:hRule="atLeast"/>
        </w:trPr>
        <w:tc>
          <w:tcPr>
            <w:tcW w:w="521" w:type="dxa"/>
            <w:vMerge w:val="continue"/>
            <w:tcBorders>
              <w:top w:val="nil"/>
              <w:left w:val="single" w:color="auto" w:sz="4" w:space="0"/>
              <w:bottom w:val="single" w:color="auto" w:sz="4" w:space="0"/>
              <w:right w:val="single" w:color="auto" w:sz="4" w:space="0"/>
            </w:tcBorders>
            <w:noWrap w:val="0"/>
            <w:vAlign w:val="center"/>
          </w:tcPr>
          <w:p w14:paraId="1D31031F">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p>
        </w:tc>
        <w:tc>
          <w:tcPr>
            <w:tcW w:w="4604" w:type="dxa"/>
            <w:tcBorders>
              <w:top w:val="nil"/>
              <w:left w:val="nil"/>
              <w:bottom w:val="single" w:color="auto" w:sz="4" w:space="0"/>
              <w:right w:val="single" w:color="auto" w:sz="4" w:space="0"/>
            </w:tcBorders>
            <w:noWrap w:val="0"/>
            <w:vAlign w:val="center"/>
          </w:tcPr>
          <w:p w14:paraId="6124EE7C">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司机态度及技术</w:t>
            </w:r>
          </w:p>
        </w:tc>
        <w:tc>
          <w:tcPr>
            <w:tcW w:w="1269" w:type="dxa"/>
            <w:tcBorders>
              <w:top w:val="nil"/>
              <w:left w:val="nil"/>
              <w:bottom w:val="single" w:color="auto" w:sz="4" w:space="0"/>
              <w:right w:val="single" w:color="auto" w:sz="4" w:space="0"/>
            </w:tcBorders>
            <w:noWrap w:val="0"/>
            <w:vAlign w:val="center"/>
          </w:tcPr>
          <w:p w14:paraId="43CDAC71">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5" w:type="dxa"/>
            <w:tcBorders>
              <w:top w:val="nil"/>
              <w:left w:val="nil"/>
              <w:bottom w:val="single" w:color="auto" w:sz="4" w:space="0"/>
              <w:right w:val="single" w:color="auto" w:sz="4" w:space="0"/>
            </w:tcBorders>
            <w:noWrap w:val="0"/>
            <w:vAlign w:val="center"/>
          </w:tcPr>
          <w:p w14:paraId="1612DBCE">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4" w:type="dxa"/>
            <w:tcBorders>
              <w:top w:val="nil"/>
              <w:left w:val="nil"/>
              <w:bottom w:val="single" w:color="auto" w:sz="4" w:space="0"/>
              <w:right w:val="single" w:color="auto" w:sz="4" w:space="0"/>
            </w:tcBorders>
            <w:noWrap w:val="0"/>
            <w:vAlign w:val="center"/>
          </w:tcPr>
          <w:p w14:paraId="7F6E4BE0">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1046" w:type="dxa"/>
            <w:tcBorders>
              <w:top w:val="nil"/>
              <w:left w:val="nil"/>
              <w:bottom w:val="single" w:color="auto" w:sz="4" w:space="0"/>
              <w:right w:val="single" w:color="auto" w:sz="4" w:space="0"/>
            </w:tcBorders>
            <w:noWrap w:val="0"/>
            <w:vAlign w:val="center"/>
          </w:tcPr>
          <w:p w14:paraId="148018E6">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r>
      <w:tr w14:paraId="02B4A8C5">
        <w:tblPrEx>
          <w:tblCellMar>
            <w:top w:w="0" w:type="dxa"/>
            <w:left w:w="108" w:type="dxa"/>
            <w:bottom w:w="0" w:type="dxa"/>
            <w:right w:w="108" w:type="dxa"/>
          </w:tblCellMar>
        </w:tblPrEx>
        <w:trPr>
          <w:trHeight w:val="340" w:hRule="atLeast"/>
        </w:trPr>
        <w:tc>
          <w:tcPr>
            <w:tcW w:w="521" w:type="dxa"/>
            <w:vMerge w:val="continue"/>
            <w:tcBorders>
              <w:top w:val="nil"/>
              <w:left w:val="single" w:color="auto" w:sz="4" w:space="0"/>
              <w:bottom w:val="single" w:color="auto" w:sz="4" w:space="0"/>
              <w:right w:val="single" w:color="auto" w:sz="4" w:space="0"/>
            </w:tcBorders>
            <w:noWrap w:val="0"/>
            <w:vAlign w:val="center"/>
          </w:tcPr>
          <w:p w14:paraId="0699165D">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p>
        </w:tc>
        <w:tc>
          <w:tcPr>
            <w:tcW w:w="4604" w:type="dxa"/>
            <w:tcBorders>
              <w:top w:val="nil"/>
              <w:left w:val="nil"/>
              <w:bottom w:val="single" w:color="auto" w:sz="4" w:space="0"/>
              <w:right w:val="single" w:color="auto" w:sz="4" w:space="0"/>
            </w:tcBorders>
            <w:noWrap w:val="0"/>
            <w:vAlign w:val="center"/>
          </w:tcPr>
          <w:p w14:paraId="258DD1A5">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全程交通衔接及总体满意程度</w:t>
            </w:r>
          </w:p>
        </w:tc>
        <w:tc>
          <w:tcPr>
            <w:tcW w:w="1269" w:type="dxa"/>
            <w:tcBorders>
              <w:top w:val="nil"/>
              <w:left w:val="nil"/>
              <w:bottom w:val="single" w:color="auto" w:sz="4" w:space="0"/>
              <w:right w:val="single" w:color="auto" w:sz="4" w:space="0"/>
            </w:tcBorders>
            <w:noWrap w:val="0"/>
            <w:vAlign w:val="center"/>
          </w:tcPr>
          <w:p w14:paraId="35A6FB9B">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5" w:type="dxa"/>
            <w:tcBorders>
              <w:top w:val="nil"/>
              <w:left w:val="nil"/>
              <w:bottom w:val="single" w:color="auto" w:sz="4" w:space="0"/>
              <w:right w:val="single" w:color="auto" w:sz="4" w:space="0"/>
            </w:tcBorders>
            <w:noWrap w:val="0"/>
            <w:vAlign w:val="center"/>
          </w:tcPr>
          <w:p w14:paraId="38427BF7">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4" w:type="dxa"/>
            <w:tcBorders>
              <w:top w:val="nil"/>
              <w:left w:val="nil"/>
              <w:bottom w:val="single" w:color="auto" w:sz="4" w:space="0"/>
              <w:right w:val="single" w:color="auto" w:sz="4" w:space="0"/>
            </w:tcBorders>
            <w:noWrap w:val="0"/>
            <w:vAlign w:val="center"/>
          </w:tcPr>
          <w:p w14:paraId="384E07C3">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1046" w:type="dxa"/>
            <w:tcBorders>
              <w:top w:val="nil"/>
              <w:left w:val="nil"/>
              <w:bottom w:val="single" w:color="auto" w:sz="4" w:space="0"/>
              <w:right w:val="single" w:color="auto" w:sz="4" w:space="0"/>
            </w:tcBorders>
            <w:noWrap w:val="0"/>
            <w:vAlign w:val="center"/>
          </w:tcPr>
          <w:p w14:paraId="3A910340">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r>
      <w:tr w14:paraId="20C672FF">
        <w:tblPrEx>
          <w:tblCellMar>
            <w:top w:w="0" w:type="dxa"/>
            <w:left w:w="108" w:type="dxa"/>
            <w:bottom w:w="0" w:type="dxa"/>
            <w:right w:w="108" w:type="dxa"/>
          </w:tblCellMar>
        </w:tblPrEx>
        <w:trPr>
          <w:trHeight w:val="340" w:hRule="atLeast"/>
        </w:trPr>
        <w:tc>
          <w:tcPr>
            <w:tcW w:w="521" w:type="dxa"/>
            <w:vMerge w:val="restart"/>
            <w:tcBorders>
              <w:top w:val="nil"/>
              <w:left w:val="single" w:color="auto" w:sz="4" w:space="0"/>
              <w:bottom w:val="single" w:color="auto" w:sz="4" w:space="0"/>
              <w:right w:val="single" w:color="auto" w:sz="4" w:space="0"/>
            </w:tcBorders>
            <w:noWrap w:val="0"/>
            <w:vAlign w:val="center"/>
          </w:tcPr>
          <w:p w14:paraId="5E0330C9">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rPr>
              <w:t>住</w:t>
            </w:r>
          </w:p>
          <w:p w14:paraId="72375DA2">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rPr>
              <w:t>宿</w:t>
            </w:r>
          </w:p>
          <w:p w14:paraId="0EAEF74E">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rPr>
              <w:t>安</w:t>
            </w:r>
          </w:p>
          <w:p w14:paraId="67E6B280">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排</w:t>
            </w:r>
          </w:p>
        </w:tc>
        <w:tc>
          <w:tcPr>
            <w:tcW w:w="4604" w:type="dxa"/>
            <w:tcBorders>
              <w:top w:val="nil"/>
              <w:left w:val="nil"/>
              <w:bottom w:val="single" w:color="auto" w:sz="4" w:space="0"/>
              <w:right w:val="single" w:color="auto" w:sz="4" w:space="0"/>
            </w:tcBorders>
            <w:noWrap w:val="0"/>
            <w:vAlign w:val="center"/>
          </w:tcPr>
          <w:p w14:paraId="4DFBA729">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周边环境安全，客房卫生整洁</w:t>
            </w:r>
          </w:p>
        </w:tc>
        <w:tc>
          <w:tcPr>
            <w:tcW w:w="1269" w:type="dxa"/>
            <w:tcBorders>
              <w:top w:val="nil"/>
              <w:left w:val="nil"/>
              <w:bottom w:val="single" w:color="auto" w:sz="4" w:space="0"/>
              <w:right w:val="single" w:color="auto" w:sz="4" w:space="0"/>
            </w:tcBorders>
            <w:noWrap w:val="0"/>
            <w:vAlign w:val="center"/>
          </w:tcPr>
          <w:p w14:paraId="675C40B7">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5" w:type="dxa"/>
            <w:tcBorders>
              <w:top w:val="nil"/>
              <w:left w:val="nil"/>
              <w:bottom w:val="single" w:color="auto" w:sz="4" w:space="0"/>
              <w:right w:val="single" w:color="auto" w:sz="4" w:space="0"/>
            </w:tcBorders>
            <w:noWrap w:val="0"/>
            <w:vAlign w:val="center"/>
          </w:tcPr>
          <w:p w14:paraId="0C475689">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4" w:type="dxa"/>
            <w:tcBorders>
              <w:top w:val="nil"/>
              <w:left w:val="nil"/>
              <w:bottom w:val="single" w:color="auto" w:sz="4" w:space="0"/>
              <w:right w:val="single" w:color="auto" w:sz="4" w:space="0"/>
            </w:tcBorders>
            <w:noWrap w:val="0"/>
            <w:vAlign w:val="center"/>
          </w:tcPr>
          <w:p w14:paraId="70D7A874">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1046" w:type="dxa"/>
            <w:tcBorders>
              <w:top w:val="nil"/>
              <w:left w:val="nil"/>
              <w:bottom w:val="single" w:color="auto" w:sz="4" w:space="0"/>
              <w:right w:val="single" w:color="auto" w:sz="4" w:space="0"/>
            </w:tcBorders>
            <w:noWrap w:val="0"/>
            <w:vAlign w:val="center"/>
          </w:tcPr>
          <w:p w14:paraId="2BCFA997">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r>
      <w:tr w14:paraId="3B1A52BD">
        <w:tblPrEx>
          <w:tblCellMar>
            <w:top w:w="0" w:type="dxa"/>
            <w:left w:w="108" w:type="dxa"/>
            <w:bottom w:w="0" w:type="dxa"/>
            <w:right w:w="108" w:type="dxa"/>
          </w:tblCellMar>
        </w:tblPrEx>
        <w:trPr>
          <w:trHeight w:val="340" w:hRule="atLeast"/>
        </w:trPr>
        <w:tc>
          <w:tcPr>
            <w:tcW w:w="521" w:type="dxa"/>
            <w:vMerge w:val="continue"/>
            <w:tcBorders>
              <w:top w:val="nil"/>
              <w:left w:val="single" w:color="auto" w:sz="4" w:space="0"/>
              <w:bottom w:val="single" w:color="auto" w:sz="4" w:space="0"/>
              <w:right w:val="single" w:color="auto" w:sz="4" w:space="0"/>
            </w:tcBorders>
            <w:noWrap w:val="0"/>
            <w:vAlign w:val="center"/>
          </w:tcPr>
          <w:p w14:paraId="4DE782C3">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p>
        </w:tc>
        <w:tc>
          <w:tcPr>
            <w:tcW w:w="4604" w:type="dxa"/>
            <w:tcBorders>
              <w:top w:val="nil"/>
              <w:left w:val="nil"/>
              <w:bottom w:val="single" w:color="auto" w:sz="4" w:space="0"/>
              <w:right w:val="single" w:color="auto" w:sz="4" w:space="0"/>
            </w:tcBorders>
            <w:noWrap w:val="0"/>
            <w:vAlign w:val="center"/>
          </w:tcPr>
          <w:p w14:paraId="65A5F990">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住宿地点交通便捷</w:t>
            </w:r>
          </w:p>
        </w:tc>
        <w:tc>
          <w:tcPr>
            <w:tcW w:w="1269" w:type="dxa"/>
            <w:tcBorders>
              <w:top w:val="nil"/>
              <w:left w:val="nil"/>
              <w:bottom w:val="single" w:color="auto" w:sz="4" w:space="0"/>
              <w:right w:val="single" w:color="auto" w:sz="4" w:space="0"/>
            </w:tcBorders>
            <w:noWrap w:val="0"/>
            <w:vAlign w:val="center"/>
          </w:tcPr>
          <w:p w14:paraId="272E6B97">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5" w:type="dxa"/>
            <w:tcBorders>
              <w:top w:val="nil"/>
              <w:left w:val="nil"/>
              <w:bottom w:val="single" w:color="auto" w:sz="4" w:space="0"/>
              <w:right w:val="single" w:color="auto" w:sz="4" w:space="0"/>
            </w:tcBorders>
            <w:noWrap w:val="0"/>
            <w:vAlign w:val="center"/>
          </w:tcPr>
          <w:p w14:paraId="3E3D47E9">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4" w:type="dxa"/>
            <w:tcBorders>
              <w:top w:val="nil"/>
              <w:left w:val="nil"/>
              <w:bottom w:val="single" w:color="auto" w:sz="4" w:space="0"/>
              <w:right w:val="single" w:color="auto" w:sz="4" w:space="0"/>
            </w:tcBorders>
            <w:noWrap w:val="0"/>
            <w:vAlign w:val="center"/>
          </w:tcPr>
          <w:p w14:paraId="7BAA4BDD">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1046" w:type="dxa"/>
            <w:tcBorders>
              <w:top w:val="nil"/>
              <w:left w:val="nil"/>
              <w:bottom w:val="single" w:color="auto" w:sz="4" w:space="0"/>
              <w:right w:val="single" w:color="auto" w:sz="4" w:space="0"/>
            </w:tcBorders>
            <w:noWrap w:val="0"/>
            <w:vAlign w:val="center"/>
          </w:tcPr>
          <w:p w14:paraId="121FDC24">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r>
      <w:tr w14:paraId="6F599C16">
        <w:tblPrEx>
          <w:tblCellMar>
            <w:top w:w="0" w:type="dxa"/>
            <w:left w:w="108" w:type="dxa"/>
            <w:bottom w:w="0" w:type="dxa"/>
            <w:right w:w="108" w:type="dxa"/>
          </w:tblCellMar>
        </w:tblPrEx>
        <w:trPr>
          <w:trHeight w:val="340" w:hRule="atLeast"/>
        </w:trPr>
        <w:tc>
          <w:tcPr>
            <w:tcW w:w="521" w:type="dxa"/>
            <w:vMerge w:val="continue"/>
            <w:tcBorders>
              <w:top w:val="nil"/>
              <w:left w:val="single" w:color="auto" w:sz="4" w:space="0"/>
              <w:bottom w:val="single" w:color="auto" w:sz="4" w:space="0"/>
              <w:right w:val="single" w:color="auto" w:sz="4" w:space="0"/>
            </w:tcBorders>
            <w:noWrap w:val="0"/>
            <w:vAlign w:val="center"/>
          </w:tcPr>
          <w:p w14:paraId="0DD678B1">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p>
        </w:tc>
        <w:tc>
          <w:tcPr>
            <w:tcW w:w="4604" w:type="dxa"/>
            <w:tcBorders>
              <w:top w:val="nil"/>
              <w:left w:val="nil"/>
              <w:bottom w:val="single" w:color="auto" w:sz="4" w:space="0"/>
              <w:right w:val="single" w:color="auto" w:sz="4" w:space="0"/>
            </w:tcBorders>
            <w:noWrap w:val="0"/>
            <w:vAlign w:val="center"/>
          </w:tcPr>
          <w:p w14:paraId="50BF2889">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宾馆设施及使用性能</w:t>
            </w:r>
          </w:p>
        </w:tc>
        <w:tc>
          <w:tcPr>
            <w:tcW w:w="1269" w:type="dxa"/>
            <w:tcBorders>
              <w:top w:val="nil"/>
              <w:left w:val="nil"/>
              <w:bottom w:val="single" w:color="auto" w:sz="4" w:space="0"/>
              <w:right w:val="single" w:color="auto" w:sz="4" w:space="0"/>
            </w:tcBorders>
            <w:noWrap w:val="0"/>
            <w:vAlign w:val="center"/>
          </w:tcPr>
          <w:p w14:paraId="4EC925C5">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5" w:type="dxa"/>
            <w:tcBorders>
              <w:top w:val="nil"/>
              <w:left w:val="nil"/>
              <w:bottom w:val="single" w:color="auto" w:sz="4" w:space="0"/>
              <w:right w:val="single" w:color="auto" w:sz="4" w:space="0"/>
            </w:tcBorders>
            <w:noWrap w:val="0"/>
            <w:vAlign w:val="center"/>
          </w:tcPr>
          <w:p w14:paraId="18F21003">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4" w:type="dxa"/>
            <w:tcBorders>
              <w:top w:val="nil"/>
              <w:left w:val="nil"/>
              <w:bottom w:val="single" w:color="auto" w:sz="4" w:space="0"/>
              <w:right w:val="single" w:color="auto" w:sz="4" w:space="0"/>
            </w:tcBorders>
            <w:noWrap w:val="0"/>
            <w:vAlign w:val="center"/>
          </w:tcPr>
          <w:p w14:paraId="0C73112F">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1046" w:type="dxa"/>
            <w:tcBorders>
              <w:top w:val="nil"/>
              <w:left w:val="nil"/>
              <w:bottom w:val="single" w:color="auto" w:sz="4" w:space="0"/>
              <w:right w:val="single" w:color="auto" w:sz="4" w:space="0"/>
            </w:tcBorders>
            <w:noWrap w:val="0"/>
            <w:vAlign w:val="center"/>
          </w:tcPr>
          <w:p w14:paraId="7110A5D5">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r>
      <w:tr w14:paraId="3EC2831C">
        <w:tblPrEx>
          <w:tblCellMar>
            <w:top w:w="0" w:type="dxa"/>
            <w:left w:w="108" w:type="dxa"/>
            <w:bottom w:w="0" w:type="dxa"/>
            <w:right w:w="108" w:type="dxa"/>
          </w:tblCellMar>
        </w:tblPrEx>
        <w:trPr>
          <w:trHeight w:val="340" w:hRule="atLeast"/>
        </w:trPr>
        <w:tc>
          <w:tcPr>
            <w:tcW w:w="521" w:type="dxa"/>
            <w:vMerge w:val="continue"/>
            <w:tcBorders>
              <w:top w:val="nil"/>
              <w:left w:val="single" w:color="auto" w:sz="4" w:space="0"/>
              <w:bottom w:val="single" w:color="auto" w:sz="4" w:space="0"/>
              <w:right w:val="single" w:color="auto" w:sz="4" w:space="0"/>
            </w:tcBorders>
            <w:noWrap w:val="0"/>
            <w:vAlign w:val="center"/>
          </w:tcPr>
          <w:p w14:paraId="3DD0B1C2">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p>
        </w:tc>
        <w:tc>
          <w:tcPr>
            <w:tcW w:w="4604" w:type="dxa"/>
            <w:tcBorders>
              <w:top w:val="nil"/>
              <w:left w:val="nil"/>
              <w:bottom w:val="single" w:color="auto" w:sz="4" w:space="0"/>
              <w:right w:val="single" w:color="auto" w:sz="4" w:space="0"/>
            </w:tcBorders>
            <w:noWrap w:val="0"/>
            <w:vAlign w:val="center"/>
          </w:tcPr>
          <w:p w14:paraId="4D1B9FA9">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服务水平及态度</w:t>
            </w:r>
          </w:p>
        </w:tc>
        <w:tc>
          <w:tcPr>
            <w:tcW w:w="1269" w:type="dxa"/>
            <w:tcBorders>
              <w:top w:val="nil"/>
              <w:left w:val="nil"/>
              <w:bottom w:val="single" w:color="auto" w:sz="4" w:space="0"/>
              <w:right w:val="single" w:color="auto" w:sz="4" w:space="0"/>
            </w:tcBorders>
            <w:noWrap w:val="0"/>
            <w:vAlign w:val="center"/>
          </w:tcPr>
          <w:p w14:paraId="17F85F22">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5" w:type="dxa"/>
            <w:tcBorders>
              <w:top w:val="nil"/>
              <w:left w:val="nil"/>
              <w:bottom w:val="single" w:color="auto" w:sz="4" w:space="0"/>
              <w:right w:val="single" w:color="auto" w:sz="4" w:space="0"/>
            </w:tcBorders>
            <w:noWrap w:val="0"/>
            <w:vAlign w:val="center"/>
          </w:tcPr>
          <w:p w14:paraId="38235647">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4" w:type="dxa"/>
            <w:tcBorders>
              <w:top w:val="nil"/>
              <w:left w:val="nil"/>
              <w:bottom w:val="single" w:color="auto" w:sz="4" w:space="0"/>
              <w:right w:val="single" w:color="auto" w:sz="4" w:space="0"/>
            </w:tcBorders>
            <w:noWrap w:val="0"/>
            <w:vAlign w:val="center"/>
          </w:tcPr>
          <w:p w14:paraId="64891287">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1046" w:type="dxa"/>
            <w:tcBorders>
              <w:top w:val="nil"/>
              <w:left w:val="nil"/>
              <w:bottom w:val="single" w:color="auto" w:sz="4" w:space="0"/>
              <w:right w:val="single" w:color="auto" w:sz="4" w:space="0"/>
            </w:tcBorders>
            <w:noWrap w:val="0"/>
            <w:vAlign w:val="center"/>
          </w:tcPr>
          <w:p w14:paraId="01586FD1">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r>
      <w:tr w14:paraId="06FA3966">
        <w:tblPrEx>
          <w:tblCellMar>
            <w:top w:w="0" w:type="dxa"/>
            <w:left w:w="108" w:type="dxa"/>
            <w:bottom w:w="0" w:type="dxa"/>
            <w:right w:w="108" w:type="dxa"/>
          </w:tblCellMar>
        </w:tblPrEx>
        <w:trPr>
          <w:trHeight w:val="340" w:hRule="atLeast"/>
        </w:trPr>
        <w:tc>
          <w:tcPr>
            <w:tcW w:w="521" w:type="dxa"/>
            <w:vMerge w:val="continue"/>
            <w:tcBorders>
              <w:top w:val="nil"/>
              <w:left w:val="single" w:color="auto" w:sz="4" w:space="0"/>
              <w:bottom w:val="single" w:color="auto" w:sz="4" w:space="0"/>
              <w:right w:val="single" w:color="auto" w:sz="4" w:space="0"/>
            </w:tcBorders>
            <w:noWrap w:val="0"/>
            <w:vAlign w:val="center"/>
          </w:tcPr>
          <w:p w14:paraId="0AADFA39">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p>
        </w:tc>
        <w:tc>
          <w:tcPr>
            <w:tcW w:w="4604" w:type="dxa"/>
            <w:tcBorders>
              <w:top w:val="nil"/>
              <w:left w:val="nil"/>
              <w:bottom w:val="single" w:color="auto" w:sz="4" w:space="0"/>
              <w:right w:val="single" w:color="auto" w:sz="4" w:space="0"/>
            </w:tcBorders>
            <w:noWrap w:val="0"/>
            <w:vAlign w:val="center"/>
          </w:tcPr>
          <w:p w14:paraId="43A48A7D">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住宿安排总体满意程度</w:t>
            </w:r>
          </w:p>
        </w:tc>
        <w:tc>
          <w:tcPr>
            <w:tcW w:w="1269" w:type="dxa"/>
            <w:tcBorders>
              <w:top w:val="nil"/>
              <w:left w:val="nil"/>
              <w:bottom w:val="single" w:color="auto" w:sz="4" w:space="0"/>
              <w:right w:val="single" w:color="auto" w:sz="4" w:space="0"/>
            </w:tcBorders>
            <w:noWrap w:val="0"/>
            <w:vAlign w:val="center"/>
          </w:tcPr>
          <w:p w14:paraId="18ACD11B">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5" w:type="dxa"/>
            <w:tcBorders>
              <w:top w:val="nil"/>
              <w:left w:val="nil"/>
              <w:bottom w:val="single" w:color="auto" w:sz="4" w:space="0"/>
              <w:right w:val="single" w:color="auto" w:sz="4" w:space="0"/>
            </w:tcBorders>
            <w:noWrap w:val="0"/>
            <w:vAlign w:val="center"/>
          </w:tcPr>
          <w:p w14:paraId="1C296CDB">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4" w:type="dxa"/>
            <w:tcBorders>
              <w:top w:val="nil"/>
              <w:left w:val="nil"/>
              <w:bottom w:val="single" w:color="auto" w:sz="4" w:space="0"/>
              <w:right w:val="single" w:color="auto" w:sz="4" w:space="0"/>
            </w:tcBorders>
            <w:noWrap w:val="0"/>
            <w:vAlign w:val="center"/>
          </w:tcPr>
          <w:p w14:paraId="3A87C9AF">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1046" w:type="dxa"/>
            <w:tcBorders>
              <w:top w:val="nil"/>
              <w:left w:val="nil"/>
              <w:bottom w:val="single" w:color="auto" w:sz="4" w:space="0"/>
              <w:right w:val="single" w:color="auto" w:sz="4" w:space="0"/>
            </w:tcBorders>
            <w:noWrap w:val="0"/>
            <w:vAlign w:val="center"/>
          </w:tcPr>
          <w:p w14:paraId="0A128CD5">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r>
      <w:tr w14:paraId="381C68E9">
        <w:tblPrEx>
          <w:tblCellMar>
            <w:top w:w="0" w:type="dxa"/>
            <w:left w:w="108" w:type="dxa"/>
            <w:bottom w:w="0" w:type="dxa"/>
            <w:right w:w="108" w:type="dxa"/>
          </w:tblCellMar>
        </w:tblPrEx>
        <w:trPr>
          <w:trHeight w:val="340" w:hRule="atLeast"/>
        </w:trPr>
        <w:tc>
          <w:tcPr>
            <w:tcW w:w="521" w:type="dxa"/>
            <w:vMerge w:val="restart"/>
            <w:tcBorders>
              <w:top w:val="nil"/>
              <w:left w:val="single" w:color="auto" w:sz="4" w:space="0"/>
              <w:bottom w:val="single" w:color="auto" w:sz="4" w:space="0"/>
              <w:right w:val="single" w:color="auto" w:sz="4" w:space="0"/>
            </w:tcBorders>
            <w:noWrap w:val="0"/>
            <w:vAlign w:val="center"/>
          </w:tcPr>
          <w:p w14:paraId="360D5F92">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rPr>
              <w:t>餐</w:t>
            </w:r>
          </w:p>
          <w:p w14:paraId="1C5830B9">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rPr>
              <w:t>饮</w:t>
            </w:r>
          </w:p>
          <w:p w14:paraId="363FC8F0">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rPr>
              <w:t>安</w:t>
            </w:r>
          </w:p>
          <w:p w14:paraId="4DA44794">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排</w:t>
            </w:r>
          </w:p>
        </w:tc>
        <w:tc>
          <w:tcPr>
            <w:tcW w:w="4604" w:type="dxa"/>
            <w:tcBorders>
              <w:top w:val="nil"/>
              <w:left w:val="nil"/>
              <w:bottom w:val="single" w:color="auto" w:sz="4" w:space="0"/>
              <w:right w:val="single" w:color="auto" w:sz="4" w:space="0"/>
            </w:tcBorders>
            <w:noWrap w:val="0"/>
            <w:vAlign w:val="center"/>
          </w:tcPr>
          <w:p w14:paraId="56F7B9EB">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就餐环境</w:t>
            </w:r>
          </w:p>
        </w:tc>
        <w:tc>
          <w:tcPr>
            <w:tcW w:w="1269" w:type="dxa"/>
            <w:tcBorders>
              <w:top w:val="nil"/>
              <w:left w:val="nil"/>
              <w:bottom w:val="single" w:color="auto" w:sz="4" w:space="0"/>
              <w:right w:val="single" w:color="auto" w:sz="4" w:space="0"/>
            </w:tcBorders>
            <w:noWrap w:val="0"/>
            <w:vAlign w:val="center"/>
          </w:tcPr>
          <w:p w14:paraId="672DC1C2">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5" w:type="dxa"/>
            <w:tcBorders>
              <w:top w:val="nil"/>
              <w:left w:val="nil"/>
              <w:bottom w:val="single" w:color="auto" w:sz="4" w:space="0"/>
              <w:right w:val="single" w:color="auto" w:sz="4" w:space="0"/>
            </w:tcBorders>
            <w:noWrap w:val="0"/>
            <w:vAlign w:val="center"/>
          </w:tcPr>
          <w:p w14:paraId="6CD63980">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4" w:type="dxa"/>
            <w:tcBorders>
              <w:top w:val="nil"/>
              <w:left w:val="nil"/>
              <w:bottom w:val="single" w:color="auto" w:sz="4" w:space="0"/>
              <w:right w:val="single" w:color="auto" w:sz="4" w:space="0"/>
            </w:tcBorders>
            <w:noWrap w:val="0"/>
            <w:vAlign w:val="center"/>
          </w:tcPr>
          <w:p w14:paraId="5DA4A9C4">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1046" w:type="dxa"/>
            <w:tcBorders>
              <w:top w:val="nil"/>
              <w:left w:val="nil"/>
              <w:bottom w:val="single" w:color="auto" w:sz="4" w:space="0"/>
              <w:right w:val="single" w:color="auto" w:sz="4" w:space="0"/>
            </w:tcBorders>
            <w:noWrap w:val="0"/>
            <w:vAlign w:val="center"/>
          </w:tcPr>
          <w:p w14:paraId="559935F3">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r>
      <w:tr w14:paraId="58EB7C67">
        <w:tblPrEx>
          <w:tblCellMar>
            <w:top w:w="0" w:type="dxa"/>
            <w:left w:w="108" w:type="dxa"/>
            <w:bottom w:w="0" w:type="dxa"/>
            <w:right w:w="108" w:type="dxa"/>
          </w:tblCellMar>
        </w:tblPrEx>
        <w:trPr>
          <w:trHeight w:val="340" w:hRule="atLeast"/>
        </w:trPr>
        <w:tc>
          <w:tcPr>
            <w:tcW w:w="521" w:type="dxa"/>
            <w:vMerge w:val="continue"/>
            <w:tcBorders>
              <w:top w:val="nil"/>
              <w:left w:val="single" w:color="auto" w:sz="4" w:space="0"/>
              <w:bottom w:val="single" w:color="auto" w:sz="4" w:space="0"/>
              <w:right w:val="single" w:color="auto" w:sz="4" w:space="0"/>
            </w:tcBorders>
            <w:noWrap w:val="0"/>
            <w:vAlign w:val="center"/>
          </w:tcPr>
          <w:p w14:paraId="1015CE9D">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p>
        </w:tc>
        <w:tc>
          <w:tcPr>
            <w:tcW w:w="4604" w:type="dxa"/>
            <w:tcBorders>
              <w:top w:val="nil"/>
              <w:left w:val="nil"/>
              <w:bottom w:val="single" w:color="auto" w:sz="4" w:space="0"/>
              <w:right w:val="single" w:color="auto" w:sz="4" w:space="0"/>
            </w:tcBorders>
            <w:noWrap w:val="0"/>
            <w:vAlign w:val="center"/>
          </w:tcPr>
          <w:p w14:paraId="540FF66F">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菜肴卫生</w:t>
            </w:r>
          </w:p>
        </w:tc>
        <w:tc>
          <w:tcPr>
            <w:tcW w:w="1269" w:type="dxa"/>
            <w:tcBorders>
              <w:top w:val="nil"/>
              <w:left w:val="nil"/>
              <w:bottom w:val="single" w:color="auto" w:sz="4" w:space="0"/>
              <w:right w:val="single" w:color="auto" w:sz="4" w:space="0"/>
            </w:tcBorders>
            <w:noWrap w:val="0"/>
            <w:vAlign w:val="center"/>
          </w:tcPr>
          <w:p w14:paraId="3378E8E1">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5" w:type="dxa"/>
            <w:tcBorders>
              <w:top w:val="nil"/>
              <w:left w:val="nil"/>
              <w:bottom w:val="single" w:color="auto" w:sz="4" w:space="0"/>
              <w:right w:val="single" w:color="auto" w:sz="4" w:space="0"/>
            </w:tcBorders>
            <w:noWrap w:val="0"/>
            <w:vAlign w:val="center"/>
          </w:tcPr>
          <w:p w14:paraId="3BA0F369">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4" w:type="dxa"/>
            <w:tcBorders>
              <w:top w:val="nil"/>
              <w:left w:val="nil"/>
              <w:bottom w:val="single" w:color="auto" w:sz="4" w:space="0"/>
              <w:right w:val="single" w:color="auto" w:sz="4" w:space="0"/>
            </w:tcBorders>
            <w:noWrap w:val="0"/>
            <w:vAlign w:val="center"/>
          </w:tcPr>
          <w:p w14:paraId="7F9AE96D">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1046" w:type="dxa"/>
            <w:tcBorders>
              <w:top w:val="nil"/>
              <w:left w:val="nil"/>
              <w:bottom w:val="single" w:color="auto" w:sz="4" w:space="0"/>
              <w:right w:val="single" w:color="auto" w:sz="4" w:space="0"/>
            </w:tcBorders>
            <w:noWrap w:val="0"/>
            <w:vAlign w:val="center"/>
          </w:tcPr>
          <w:p w14:paraId="0A1A7B49">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r>
      <w:tr w14:paraId="1F1DA2CD">
        <w:tblPrEx>
          <w:tblCellMar>
            <w:top w:w="0" w:type="dxa"/>
            <w:left w:w="108" w:type="dxa"/>
            <w:bottom w:w="0" w:type="dxa"/>
            <w:right w:w="108" w:type="dxa"/>
          </w:tblCellMar>
        </w:tblPrEx>
        <w:trPr>
          <w:trHeight w:val="340" w:hRule="atLeast"/>
        </w:trPr>
        <w:tc>
          <w:tcPr>
            <w:tcW w:w="521" w:type="dxa"/>
            <w:vMerge w:val="continue"/>
            <w:tcBorders>
              <w:top w:val="nil"/>
              <w:left w:val="single" w:color="auto" w:sz="4" w:space="0"/>
              <w:bottom w:val="single" w:color="auto" w:sz="4" w:space="0"/>
              <w:right w:val="single" w:color="auto" w:sz="4" w:space="0"/>
            </w:tcBorders>
            <w:noWrap w:val="0"/>
            <w:vAlign w:val="center"/>
          </w:tcPr>
          <w:p w14:paraId="4F299745">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p>
        </w:tc>
        <w:tc>
          <w:tcPr>
            <w:tcW w:w="4604" w:type="dxa"/>
            <w:tcBorders>
              <w:top w:val="nil"/>
              <w:left w:val="nil"/>
              <w:bottom w:val="single" w:color="auto" w:sz="4" w:space="0"/>
              <w:right w:val="single" w:color="auto" w:sz="4" w:space="0"/>
            </w:tcBorders>
            <w:noWrap w:val="0"/>
            <w:vAlign w:val="center"/>
          </w:tcPr>
          <w:p w14:paraId="3D7F4012">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餐饮安排总体满意程度</w:t>
            </w:r>
          </w:p>
        </w:tc>
        <w:tc>
          <w:tcPr>
            <w:tcW w:w="1269" w:type="dxa"/>
            <w:tcBorders>
              <w:top w:val="nil"/>
              <w:left w:val="nil"/>
              <w:bottom w:val="single" w:color="auto" w:sz="4" w:space="0"/>
              <w:right w:val="single" w:color="auto" w:sz="4" w:space="0"/>
            </w:tcBorders>
            <w:noWrap w:val="0"/>
            <w:vAlign w:val="center"/>
          </w:tcPr>
          <w:p w14:paraId="02DA2EC8">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5" w:type="dxa"/>
            <w:tcBorders>
              <w:top w:val="nil"/>
              <w:left w:val="nil"/>
              <w:bottom w:val="single" w:color="auto" w:sz="4" w:space="0"/>
              <w:right w:val="single" w:color="auto" w:sz="4" w:space="0"/>
            </w:tcBorders>
            <w:noWrap w:val="0"/>
            <w:vAlign w:val="center"/>
          </w:tcPr>
          <w:p w14:paraId="776369BC">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4" w:type="dxa"/>
            <w:tcBorders>
              <w:top w:val="nil"/>
              <w:left w:val="nil"/>
              <w:bottom w:val="single" w:color="auto" w:sz="4" w:space="0"/>
              <w:right w:val="single" w:color="auto" w:sz="4" w:space="0"/>
            </w:tcBorders>
            <w:noWrap w:val="0"/>
            <w:vAlign w:val="center"/>
          </w:tcPr>
          <w:p w14:paraId="3FA51A8B">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1046" w:type="dxa"/>
            <w:tcBorders>
              <w:top w:val="nil"/>
              <w:left w:val="nil"/>
              <w:bottom w:val="single" w:color="auto" w:sz="4" w:space="0"/>
              <w:right w:val="single" w:color="auto" w:sz="4" w:space="0"/>
            </w:tcBorders>
            <w:noWrap w:val="0"/>
            <w:vAlign w:val="center"/>
          </w:tcPr>
          <w:p w14:paraId="0570379D">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r>
      <w:tr w14:paraId="0519E13D">
        <w:trPr>
          <w:trHeight w:val="340" w:hRule="atLeast"/>
        </w:trPr>
        <w:tc>
          <w:tcPr>
            <w:tcW w:w="521" w:type="dxa"/>
            <w:vMerge w:val="restart"/>
            <w:tcBorders>
              <w:top w:val="nil"/>
              <w:left w:val="single" w:color="auto" w:sz="4" w:space="0"/>
              <w:bottom w:val="single" w:color="auto" w:sz="4" w:space="0"/>
              <w:right w:val="single" w:color="auto" w:sz="4" w:space="0"/>
            </w:tcBorders>
            <w:noWrap w:val="0"/>
            <w:vAlign w:val="center"/>
          </w:tcPr>
          <w:p w14:paraId="77AE3260">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rPr>
              <w:t>景</w:t>
            </w:r>
          </w:p>
          <w:p w14:paraId="1983DB40">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rPr>
              <w:t>点</w:t>
            </w:r>
          </w:p>
          <w:p w14:paraId="20A17F5D">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rPr>
              <w:t>安</w:t>
            </w:r>
          </w:p>
          <w:p w14:paraId="6FCD5847">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排</w:t>
            </w:r>
          </w:p>
        </w:tc>
        <w:tc>
          <w:tcPr>
            <w:tcW w:w="4604" w:type="dxa"/>
            <w:tcBorders>
              <w:top w:val="nil"/>
              <w:left w:val="nil"/>
              <w:bottom w:val="single" w:color="auto" w:sz="4" w:space="0"/>
              <w:right w:val="single" w:color="auto" w:sz="4" w:space="0"/>
            </w:tcBorders>
            <w:noWrap w:val="0"/>
            <w:vAlign w:val="center"/>
          </w:tcPr>
          <w:p w14:paraId="2F913491">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景点地方特色</w:t>
            </w:r>
          </w:p>
        </w:tc>
        <w:tc>
          <w:tcPr>
            <w:tcW w:w="1269" w:type="dxa"/>
            <w:tcBorders>
              <w:top w:val="nil"/>
              <w:left w:val="nil"/>
              <w:bottom w:val="single" w:color="auto" w:sz="4" w:space="0"/>
              <w:right w:val="single" w:color="auto" w:sz="4" w:space="0"/>
            </w:tcBorders>
            <w:noWrap w:val="0"/>
            <w:vAlign w:val="center"/>
          </w:tcPr>
          <w:p w14:paraId="4C32D7A9">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5" w:type="dxa"/>
            <w:tcBorders>
              <w:top w:val="nil"/>
              <w:left w:val="nil"/>
              <w:bottom w:val="single" w:color="auto" w:sz="4" w:space="0"/>
              <w:right w:val="single" w:color="auto" w:sz="4" w:space="0"/>
            </w:tcBorders>
            <w:noWrap w:val="0"/>
            <w:vAlign w:val="center"/>
          </w:tcPr>
          <w:p w14:paraId="1A9E7C60">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4" w:type="dxa"/>
            <w:tcBorders>
              <w:top w:val="nil"/>
              <w:left w:val="nil"/>
              <w:bottom w:val="single" w:color="auto" w:sz="4" w:space="0"/>
              <w:right w:val="single" w:color="auto" w:sz="4" w:space="0"/>
            </w:tcBorders>
            <w:noWrap w:val="0"/>
            <w:vAlign w:val="center"/>
          </w:tcPr>
          <w:p w14:paraId="4AD44362">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1046" w:type="dxa"/>
            <w:tcBorders>
              <w:top w:val="nil"/>
              <w:left w:val="nil"/>
              <w:bottom w:val="single" w:color="auto" w:sz="4" w:space="0"/>
              <w:right w:val="single" w:color="auto" w:sz="4" w:space="0"/>
            </w:tcBorders>
            <w:noWrap w:val="0"/>
            <w:vAlign w:val="center"/>
          </w:tcPr>
          <w:p w14:paraId="65462C08">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r>
      <w:tr w14:paraId="637E5F42">
        <w:tblPrEx>
          <w:tblCellMar>
            <w:top w:w="0" w:type="dxa"/>
            <w:left w:w="108" w:type="dxa"/>
            <w:bottom w:w="0" w:type="dxa"/>
            <w:right w:w="108" w:type="dxa"/>
          </w:tblCellMar>
        </w:tblPrEx>
        <w:trPr>
          <w:trHeight w:val="340" w:hRule="atLeast"/>
        </w:trPr>
        <w:tc>
          <w:tcPr>
            <w:tcW w:w="521" w:type="dxa"/>
            <w:vMerge w:val="continue"/>
            <w:tcBorders>
              <w:top w:val="nil"/>
              <w:left w:val="single" w:color="auto" w:sz="4" w:space="0"/>
              <w:bottom w:val="single" w:color="auto" w:sz="4" w:space="0"/>
              <w:right w:val="single" w:color="auto" w:sz="4" w:space="0"/>
            </w:tcBorders>
            <w:noWrap w:val="0"/>
            <w:vAlign w:val="center"/>
          </w:tcPr>
          <w:p w14:paraId="2114439C">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p>
        </w:tc>
        <w:tc>
          <w:tcPr>
            <w:tcW w:w="4604" w:type="dxa"/>
            <w:tcBorders>
              <w:top w:val="nil"/>
              <w:left w:val="nil"/>
              <w:bottom w:val="single" w:color="auto" w:sz="4" w:space="0"/>
              <w:right w:val="single" w:color="auto" w:sz="4" w:space="0"/>
            </w:tcBorders>
            <w:noWrap w:val="0"/>
            <w:vAlign w:val="center"/>
          </w:tcPr>
          <w:p w14:paraId="6A29AFE4">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讲解内容完整</w:t>
            </w:r>
          </w:p>
        </w:tc>
        <w:tc>
          <w:tcPr>
            <w:tcW w:w="1269" w:type="dxa"/>
            <w:tcBorders>
              <w:top w:val="nil"/>
              <w:left w:val="nil"/>
              <w:bottom w:val="single" w:color="auto" w:sz="4" w:space="0"/>
              <w:right w:val="single" w:color="auto" w:sz="4" w:space="0"/>
            </w:tcBorders>
            <w:noWrap w:val="0"/>
            <w:vAlign w:val="center"/>
          </w:tcPr>
          <w:p w14:paraId="63814C4C">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5" w:type="dxa"/>
            <w:tcBorders>
              <w:top w:val="nil"/>
              <w:left w:val="nil"/>
              <w:bottom w:val="single" w:color="auto" w:sz="4" w:space="0"/>
              <w:right w:val="single" w:color="auto" w:sz="4" w:space="0"/>
            </w:tcBorders>
            <w:noWrap w:val="0"/>
            <w:vAlign w:val="center"/>
          </w:tcPr>
          <w:p w14:paraId="2502DFFD">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4" w:type="dxa"/>
            <w:tcBorders>
              <w:top w:val="nil"/>
              <w:left w:val="nil"/>
              <w:bottom w:val="single" w:color="auto" w:sz="4" w:space="0"/>
              <w:right w:val="single" w:color="auto" w:sz="4" w:space="0"/>
            </w:tcBorders>
            <w:noWrap w:val="0"/>
            <w:vAlign w:val="center"/>
          </w:tcPr>
          <w:p w14:paraId="30F6E67F">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1046" w:type="dxa"/>
            <w:tcBorders>
              <w:top w:val="nil"/>
              <w:left w:val="nil"/>
              <w:bottom w:val="single" w:color="auto" w:sz="4" w:space="0"/>
              <w:right w:val="single" w:color="auto" w:sz="4" w:space="0"/>
            </w:tcBorders>
            <w:noWrap w:val="0"/>
            <w:vAlign w:val="center"/>
          </w:tcPr>
          <w:p w14:paraId="6FD4470F">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r>
      <w:tr w14:paraId="64C61D22">
        <w:tblPrEx>
          <w:tblCellMar>
            <w:top w:w="0" w:type="dxa"/>
            <w:left w:w="108" w:type="dxa"/>
            <w:bottom w:w="0" w:type="dxa"/>
            <w:right w:w="108" w:type="dxa"/>
          </w:tblCellMar>
        </w:tblPrEx>
        <w:trPr>
          <w:trHeight w:val="340" w:hRule="atLeast"/>
        </w:trPr>
        <w:tc>
          <w:tcPr>
            <w:tcW w:w="521" w:type="dxa"/>
            <w:vMerge w:val="continue"/>
            <w:tcBorders>
              <w:top w:val="nil"/>
              <w:left w:val="single" w:color="auto" w:sz="4" w:space="0"/>
              <w:bottom w:val="single" w:color="auto" w:sz="4" w:space="0"/>
              <w:right w:val="single" w:color="auto" w:sz="4" w:space="0"/>
            </w:tcBorders>
            <w:noWrap w:val="0"/>
            <w:vAlign w:val="center"/>
          </w:tcPr>
          <w:p w14:paraId="1E878A19">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p>
        </w:tc>
        <w:tc>
          <w:tcPr>
            <w:tcW w:w="4604" w:type="dxa"/>
            <w:tcBorders>
              <w:top w:val="nil"/>
              <w:left w:val="nil"/>
              <w:bottom w:val="single" w:color="auto" w:sz="4" w:space="0"/>
              <w:right w:val="single" w:color="auto" w:sz="4" w:space="0"/>
            </w:tcBorders>
            <w:noWrap w:val="0"/>
            <w:vAlign w:val="center"/>
          </w:tcPr>
          <w:p w14:paraId="465E418F">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讲解语言美感</w:t>
            </w:r>
          </w:p>
        </w:tc>
        <w:tc>
          <w:tcPr>
            <w:tcW w:w="1269" w:type="dxa"/>
            <w:tcBorders>
              <w:top w:val="nil"/>
              <w:left w:val="nil"/>
              <w:bottom w:val="single" w:color="auto" w:sz="4" w:space="0"/>
              <w:right w:val="single" w:color="auto" w:sz="4" w:space="0"/>
            </w:tcBorders>
            <w:noWrap w:val="0"/>
            <w:vAlign w:val="center"/>
          </w:tcPr>
          <w:p w14:paraId="7E722F1F">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5" w:type="dxa"/>
            <w:tcBorders>
              <w:top w:val="nil"/>
              <w:left w:val="nil"/>
              <w:bottom w:val="single" w:color="auto" w:sz="4" w:space="0"/>
              <w:right w:val="single" w:color="auto" w:sz="4" w:space="0"/>
            </w:tcBorders>
            <w:noWrap w:val="0"/>
            <w:vAlign w:val="center"/>
          </w:tcPr>
          <w:p w14:paraId="736B5640">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4" w:type="dxa"/>
            <w:tcBorders>
              <w:top w:val="nil"/>
              <w:left w:val="nil"/>
              <w:bottom w:val="single" w:color="auto" w:sz="4" w:space="0"/>
              <w:right w:val="single" w:color="auto" w:sz="4" w:space="0"/>
            </w:tcBorders>
            <w:noWrap w:val="0"/>
            <w:vAlign w:val="center"/>
          </w:tcPr>
          <w:p w14:paraId="478BF1A4">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1046" w:type="dxa"/>
            <w:tcBorders>
              <w:top w:val="nil"/>
              <w:left w:val="nil"/>
              <w:bottom w:val="single" w:color="auto" w:sz="4" w:space="0"/>
              <w:right w:val="single" w:color="auto" w:sz="4" w:space="0"/>
            </w:tcBorders>
            <w:noWrap w:val="0"/>
            <w:vAlign w:val="center"/>
          </w:tcPr>
          <w:p w14:paraId="6102BDAB">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r>
      <w:tr w14:paraId="04AEA0C8">
        <w:tblPrEx>
          <w:tblCellMar>
            <w:top w:w="0" w:type="dxa"/>
            <w:left w:w="108" w:type="dxa"/>
            <w:bottom w:w="0" w:type="dxa"/>
            <w:right w:w="108" w:type="dxa"/>
          </w:tblCellMar>
        </w:tblPrEx>
        <w:trPr>
          <w:trHeight w:val="340" w:hRule="atLeast"/>
        </w:trPr>
        <w:tc>
          <w:tcPr>
            <w:tcW w:w="521" w:type="dxa"/>
            <w:vMerge w:val="continue"/>
            <w:tcBorders>
              <w:top w:val="nil"/>
              <w:left w:val="single" w:color="auto" w:sz="4" w:space="0"/>
              <w:bottom w:val="single" w:color="auto" w:sz="4" w:space="0"/>
              <w:right w:val="single" w:color="auto" w:sz="4" w:space="0"/>
            </w:tcBorders>
            <w:noWrap w:val="0"/>
            <w:vAlign w:val="center"/>
          </w:tcPr>
          <w:p w14:paraId="13BCCEF6">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p>
        </w:tc>
        <w:tc>
          <w:tcPr>
            <w:tcW w:w="4604" w:type="dxa"/>
            <w:tcBorders>
              <w:top w:val="nil"/>
              <w:left w:val="nil"/>
              <w:bottom w:val="nil"/>
              <w:right w:val="single" w:color="auto" w:sz="4" w:space="0"/>
            </w:tcBorders>
            <w:noWrap w:val="0"/>
            <w:vAlign w:val="center"/>
          </w:tcPr>
          <w:p w14:paraId="1A224AD5">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景点内时间安排合理</w:t>
            </w:r>
          </w:p>
        </w:tc>
        <w:tc>
          <w:tcPr>
            <w:tcW w:w="1269" w:type="dxa"/>
            <w:tcBorders>
              <w:top w:val="nil"/>
              <w:left w:val="nil"/>
              <w:bottom w:val="nil"/>
              <w:right w:val="single" w:color="auto" w:sz="4" w:space="0"/>
            </w:tcBorders>
            <w:noWrap w:val="0"/>
            <w:vAlign w:val="center"/>
          </w:tcPr>
          <w:p w14:paraId="12DB2378">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5" w:type="dxa"/>
            <w:tcBorders>
              <w:top w:val="nil"/>
              <w:left w:val="nil"/>
              <w:bottom w:val="nil"/>
              <w:right w:val="single" w:color="auto" w:sz="4" w:space="0"/>
            </w:tcBorders>
            <w:noWrap w:val="0"/>
            <w:vAlign w:val="center"/>
          </w:tcPr>
          <w:p w14:paraId="00A133D6">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4" w:type="dxa"/>
            <w:tcBorders>
              <w:top w:val="nil"/>
              <w:left w:val="nil"/>
              <w:bottom w:val="nil"/>
              <w:right w:val="single" w:color="auto" w:sz="4" w:space="0"/>
            </w:tcBorders>
            <w:noWrap w:val="0"/>
            <w:vAlign w:val="center"/>
          </w:tcPr>
          <w:p w14:paraId="4E970059">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1046" w:type="dxa"/>
            <w:tcBorders>
              <w:top w:val="nil"/>
              <w:left w:val="nil"/>
              <w:bottom w:val="nil"/>
              <w:right w:val="single" w:color="auto" w:sz="4" w:space="0"/>
            </w:tcBorders>
            <w:noWrap w:val="0"/>
            <w:vAlign w:val="center"/>
          </w:tcPr>
          <w:p w14:paraId="3113E1DF">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r>
      <w:tr w14:paraId="789D447D">
        <w:tblPrEx>
          <w:tblCellMar>
            <w:top w:w="0" w:type="dxa"/>
            <w:left w:w="108" w:type="dxa"/>
            <w:bottom w:w="0" w:type="dxa"/>
            <w:right w:w="108" w:type="dxa"/>
          </w:tblCellMar>
        </w:tblPrEx>
        <w:trPr>
          <w:trHeight w:val="340" w:hRule="atLeast"/>
        </w:trPr>
        <w:tc>
          <w:tcPr>
            <w:tcW w:w="521" w:type="dxa"/>
            <w:vMerge w:val="restart"/>
            <w:tcBorders>
              <w:top w:val="nil"/>
              <w:left w:val="single" w:color="auto" w:sz="4" w:space="0"/>
              <w:bottom w:val="single" w:color="auto" w:sz="4" w:space="0"/>
              <w:right w:val="single" w:color="auto" w:sz="4" w:space="0"/>
            </w:tcBorders>
            <w:noWrap w:val="0"/>
            <w:vAlign w:val="center"/>
          </w:tcPr>
          <w:p w14:paraId="52A48593">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rPr>
              <w:t>导</w:t>
            </w:r>
          </w:p>
          <w:p w14:paraId="0248D0B4">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rPr>
              <w:t>游</w:t>
            </w:r>
          </w:p>
          <w:p w14:paraId="7156117E">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rPr>
              <w:t>服</w:t>
            </w:r>
          </w:p>
          <w:p w14:paraId="7CFA6C8D">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务</w:t>
            </w:r>
          </w:p>
        </w:tc>
        <w:tc>
          <w:tcPr>
            <w:tcW w:w="4604" w:type="dxa"/>
            <w:tcBorders>
              <w:top w:val="single" w:color="auto" w:sz="4" w:space="0"/>
              <w:left w:val="nil"/>
              <w:bottom w:val="single" w:color="auto" w:sz="4" w:space="0"/>
              <w:right w:val="single" w:color="auto" w:sz="4" w:space="0"/>
            </w:tcBorders>
            <w:noWrap w:val="0"/>
            <w:vAlign w:val="center"/>
          </w:tcPr>
          <w:p w14:paraId="00BF478D">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佩带有效证件上岗，全程服务不迟到早退</w:t>
            </w:r>
          </w:p>
        </w:tc>
        <w:tc>
          <w:tcPr>
            <w:tcW w:w="1269" w:type="dxa"/>
            <w:tcBorders>
              <w:top w:val="single" w:color="auto" w:sz="4" w:space="0"/>
              <w:left w:val="nil"/>
              <w:bottom w:val="single" w:color="auto" w:sz="4" w:space="0"/>
              <w:right w:val="single" w:color="auto" w:sz="4" w:space="0"/>
            </w:tcBorders>
            <w:noWrap w:val="0"/>
            <w:vAlign w:val="center"/>
          </w:tcPr>
          <w:p w14:paraId="4B96AE6F">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5" w:type="dxa"/>
            <w:tcBorders>
              <w:top w:val="single" w:color="auto" w:sz="4" w:space="0"/>
              <w:left w:val="nil"/>
              <w:bottom w:val="single" w:color="auto" w:sz="4" w:space="0"/>
              <w:right w:val="single" w:color="auto" w:sz="4" w:space="0"/>
            </w:tcBorders>
            <w:noWrap w:val="0"/>
            <w:vAlign w:val="center"/>
          </w:tcPr>
          <w:p w14:paraId="74067831">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4" w:type="dxa"/>
            <w:tcBorders>
              <w:top w:val="single" w:color="auto" w:sz="4" w:space="0"/>
              <w:left w:val="nil"/>
              <w:bottom w:val="single" w:color="auto" w:sz="4" w:space="0"/>
              <w:right w:val="single" w:color="auto" w:sz="4" w:space="0"/>
            </w:tcBorders>
            <w:noWrap w:val="0"/>
            <w:vAlign w:val="center"/>
          </w:tcPr>
          <w:p w14:paraId="42E35CFA">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1046" w:type="dxa"/>
            <w:tcBorders>
              <w:top w:val="single" w:color="auto" w:sz="4" w:space="0"/>
              <w:left w:val="nil"/>
              <w:bottom w:val="single" w:color="auto" w:sz="4" w:space="0"/>
              <w:right w:val="single" w:color="auto" w:sz="4" w:space="0"/>
            </w:tcBorders>
            <w:noWrap w:val="0"/>
            <w:vAlign w:val="center"/>
          </w:tcPr>
          <w:p w14:paraId="22A9DBC0">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r>
      <w:tr w14:paraId="4D6A979A">
        <w:tblPrEx>
          <w:tblCellMar>
            <w:top w:w="0" w:type="dxa"/>
            <w:left w:w="108" w:type="dxa"/>
            <w:bottom w:w="0" w:type="dxa"/>
            <w:right w:w="108" w:type="dxa"/>
          </w:tblCellMar>
        </w:tblPrEx>
        <w:trPr>
          <w:trHeight w:val="340" w:hRule="atLeast"/>
        </w:trPr>
        <w:tc>
          <w:tcPr>
            <w:tcW w:w="521" w:type="dxa"/>
            <w:vMerge w:val="continue"/>
            <w:tcBorders>
              <w:top w:val="nil"/>
              <w:left w:val="single" w:color="auto" w:sz="4" w:space="0"/>
              <w:bottom w:val="single" w:color="auto" w:sz="4" w:space="0"/>
              <w:right w:val="single" w:color="auto" w:sz="4" w:space="0"/>
            </w:tcBorders>
            <w:noWrap w:val="0"/>
            <w:vAlign w:val="center"/>
          </w:tcPr>
          <w:p w14:paraId="21EF2C3F">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p>
        </w:tc>
        <w:tc>
          <w:tcPr>
            <w:tcW w:w="4604" w:type="dxa"/>
            <w:tcBorders>
              <w:top w:val="nil"/>
              <w:left w:val="nil"/>
              <w:bottom w:val="single" w:color="auto" w:sz="4" w:space="0"/>
              <w:right w:val="single" w:color="auto" w:sz="4" w:space="0"/>
            </w:tcBorders>
            <w:noWrap w:val="0"/>
            <w:vAlign w:val="center"/>
          </w:tcPr>
          <w:p w14:paraId="235382C7">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无擅自增减旅游项目或擅自终止导游活动</w:t>
            </w:r>
          </w:p>
        </w:tc>
        <w:tc>
          <w:tcPr>
            <w:tcW w:w="1269" w:type="dxa"/>
            <w:tcBorders>
              <w:top w:val="nil"/>
              <w:left w:val="nil"/>
              <w:bottom w:val="single" w:color="auto" w:sz="4" w:space="0"/>
              <w:right w:val="single" w:color="auto" w:sz="4" w:space="0"/>
            </w:tcBorders>
            <w:noWrap w:val="0"/>
            <w:vAlign w:val="center"/>
          </w:tcPr>
          <w:p w14:paraId="2619D2BB">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5" w:type="dxa"/>
            <w:tcBorders>
              <w:top w:val="nil"/>
              <w:left w:val="nil"/>
              <w:bottom w:val="single" w:color="auto" w:sz="4" w:space="0"/>
              <w:right w:val="single" w:color="auto" w:sz="4" w:space="0"/>
            </w:tcBorders>
            <w:noWrap w:val="0"/>
            <w:vAlign w:val="center"/>
          </w:tcPr>
          <w:p w14:paraId="6E7DFDE5">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4" w:type="dxa"/>
            <w:tcBorders>
              <w:top w:val="nil"/>
              <w:left w:val="nil"/>
              <w:bottom w:val="single" w:color="auto" w:sz="4" w:space="0"/>
              <w:right w:val="single" w:color="auto" w:sz="4" w:space="0"/>
            </w:tcBorders>
            <w:noWrap w:val="0"/>
            <w:vAlign w:val="center"/>
          </w:tcPr>
          <w:p w14:paraId="6A202012">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1046" w:type="dxa"/>
            <w:tcBorders>
              <w:top w:val="nil"/>
              <w:left w:val="nil"/>
              <w:bottom w:val="single" w:color="auto" w:sz="4" w:space="0"/>
              <w:right w:val="single" w:color="auto" w:sz="4" w:space="0"/>
            </w:tcBorders>
            <w:noWrap w:val="0"/>
            <w:vAlign w:val="center"/>
          </w:tcPr>
          <w:p w14:paraId="3AA10B7B">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r>
      <w:tr w14:paraId="2D888820">
        <w:tblPrEx>
          <w:tblCellMar>
            <w:top w:w="0" w:type="dxa"/>
            <w:left w:w="108" w:type="dxa"/>
            <w:bottom w:w="0" w:type="dxa"/>
            <w:right w:w="108" w:type="dxa"/>
          </w:tblCellMar>
        </w:tblPrEx>
        <w:trPr>
          <w:trHeight w:val="340" w:hRule="atLeast"/>
        </w:trPr>
        <w:tc>
          <w:tcPr>
            <w:tcW w:w="521" w:type="dxa"/>
            <w:vMerge w:val="continue"/>
            <w:tcBorders>
              <w:top w:val="nil"/>
              <w:left w:val="single" w:color="auto" w:sz="4" w:space="0"/>
              <w:bottom w:val="single" w:color="auto" w:sz="4" w:space="0"/>
              <w:right w:val="single" w:color="auto" w:sz="4" w:space="0"/>
            </w:tcBorders>
            <w:noWrap w:val="0"/>
            <w:vAlign w:val="center"/>
          </w:tcPr>
          <w:p w14:paraId="368E234B">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p>
        </w:tc>
        <w:tc>
          <w:tcPr>
            <w:tcW w:w="4604" w:type="dxa"/>
            <w:tcBorders>
              <w:top w:val="nil"/>
              <w:left w:val="nil"/>
              <w:bottom w:val="single" w:color="auto" w:sz="4" w:space="0"/>
              <w:right w:val="single" w:color="auto" w:sz="4" w:space="0"/>
            </w:tcBorders>
            <w:noWrap w:val="0"/>
            <w:vAlign w:val="center"/>
          </w:tcPr>
          <w:p w14:paraId="38810533">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对可预见的情况有警示说明及防范措施</w:t>
            </w:r>
          </w:p>
        </w:tc>
        <w:tc>
          <w:tcPr>
            <w:tcW w:w="1269" w:type="dxa"/>
            <w:tcBorders>
              <w:top w:val="nil"/>
              <w:left w:val="nil"/>
              <w:bottom w:val="single" w:color="auto" w:sz="4" w:space="0"/>
              <w:right w:val="single" w:color="auto" w:sz="4" w:space="0"/>
            </w:tcBorders>
            <w:noWrap w:val="0"/>
            <w:vAlign w:val="center"/>
          </w:tcPr>
          <w:p w14:paraId="6A2445A3">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5" w:type="dxa"/>
            <w:tcBorders>
              <w:top w:val="nil"/>
              <w:left w:val="nil"/>
              <w:bottom w:val="single" w:color="auto" w:sz="4" w:space="0"/>
              <w:right w:val="single" w:color="auto" w:sz="4" w:space="0"/>
            </w:tcBorders>
            <w:noWrap w:val="0"/>
            <w:vAlign w:val="center"/>
          </w:tcPr>
          <w:p w14:paraId="636113E9">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4" w:type="dxa"/>
            <w:tcBorders>
              <w:top w:val="nil"/>
              <w:left w:val="nil"/>
              <w:bottom w:val="single" w:color="auto" w:sz="4" w:space="0"/>
              <w:right w:val="single" w:color="auto" w:sz="4" w:space="0"/>
            </w:tcBorders>
            <w:noWrap w:val="0"/>
            <w:vAlign w:val="center"/>
          </w:tcPr>
          <w:p w14:paraId="2860C3CE">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1046" w:type="dxa"/>
            <w:tcBorders>
              <w:top w:val="nil"/>
              <w:left w:val="nil"/>
              <w:bottom w:val="single" w:color="auto" w:sz="4" w:space="0"/>
              <w:right w:val="single" w:color="auto" w:sz="4" w:space="0"/>
            </w:tcBorders>
            <w:noWrap w:val="0"/>
            <w:vAlign w:val="center"/>
          </w:tcPr>
          <w:p w14:paraId="0D3D73CA">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r>
      <w:tr w14:paraId="58419325">
        <w:tblPrEx>
          <w:tblCellMar>
            <w:top w:w="0" w:type="dxa"/>
            <w:left w:w="108" w:type="dxa"/>
            <w:bottom w:w="0" w:type="dxa"/>
            <w:right w:w="108" w:type="dxa"/>
          </w:tblCellMar>
        </w:tblPrEx>
        <w:trPr>
          <w:trHeight w:val="340" w:hRule="atLeast"/>
        </w:trPr>
        <w:tc>
          <w:tcPr>
            <w:tcW w:w="521" w:type="dxa"/>
            <w:vMerge w:val="continue"/>
            <w:tcBorders>
              <w:top w:val="nil"/>
              <w:left w:val="single" w:color="auto" w:sz="4" w:space="0"/>
              <w:bottom w:val="single" w:color="auto" w:sz="4" w:space="0"/>
              <w:right w:val="single" w:color="auto" w:sz="4" w:space="0"/>
            </w:tcBorders>
            <w:noWrap w:val="0"/>
            <w:vAlign w:val="center"/>
          </w:tcPr>
          <w:p w14:paraId="396E5A93">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p>
        </w:tc>
        <w:tc>
          <w:tcPr>
            <w:tcW w:w="4604" w:type="dxa"/>
            <w:tcBorders>
              <w:top w:val="nil"/>
              <w:left w:val="nil"/>
              <w:bottom w:val="single" w:color="auto" w:sz="4" w:space="0"/>
              <w:right w:val="single" w:color="auto" w:sz="4" w:space="0"/>
            </w:tcBorders>
            <w:noWrap w:val="0"/>
            <w:vAlign w:val="center"/>
          </w:tcPr>
          <w:p w14:paraId="15C4DC16">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语言表达能力、沟通能力及专业知识掌握</w:t>
            </w:r>
          </w:p>
        </w:tc>
        <w:tc>
          <w:tcPr>
            <w:tcW w:w="1269" w:type="dxa"/>
            <w:tcBorders>
              <w:top w:val="nil"/>
              <w:left w:val="nil"/>
              <w:bottom w:val="single" w:color="auto" w:sz="4" w:space="0"/>
              <w:right w:val="single" w:color="auto" w:sz="4" w:space="0"/>
            </w:tcBorders>
            <w:noWrap w:val="0"/>
            <w:vAlign w:val="center"/>
          </w:tcPr>
          <w:p w14:paraId="3883824B">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5" w:type="dxa"/>
            <w:tcBorders>
              <w:top w:val="nil"/>
              <w:left w:val="nil"/>
              <w:bottom w:val="single" w:color="auto" w:sz="4" w:space="0"/>
              <w:right w:val="single" w:color="auto" w:sz="4" w:space="0"/>
            </w:tcBorders>
            <w:noWrap w:val="0"/>
            <w:vAlign w:val="center"/>
          </w:tcPr>
          <w:p w14:paraId="1633BE85">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784" w:type="dxa"/>
            <w:tcBorders>
              <w:top w:val="nil"/>
              <w:left w:val="nil"/>
              <w:bottom w:val="single" w:color="auto" w:sz="4" w:space="0"/>
              <w:right w:val="single" w:color="auto" w:sz="4" w:space="0"/>
            </w:tcBorders>
            <w:noWrap w:val="0"/>
            <w:vAlign w:val="center"/>
          </w:tcPr>
          <w:p w14:paraId="58A519C6">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c>
          <w:tcPr>
            <w:tcW w:w="1046" w:type="dxa"/>
            <w:tcBorders>
              <w:top w:val="nil"/>
              <w:left w:val="nil"/>
              <w:bottom w:val="single" w:color="auto" w:sz="4" w:space="0"/>
              <w:right w:val="single" w:color="auto" w:sz="4" w:space="0"/>
            </w:tcBorders>
            <w:noWrap w:val="0"/>
            <w:vAlign w:val="center"/>
          </w:tcPr>
          <w:p w14:paraId="22A40C70">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21"/>
                <w:szCs w:val="21"/>
                <w:highlight w:val="none"/>
              </w:rPr>
            </w:pPr>
          </w:p>
        </w:tc>
      </w:tr>
      <w:tr w14:paraId="33B536C6">
        <w:tblPrEx>
          <w:tblCellMar>
            <w:top w:w="0" w:type="dxa"/>
            <w:left w:w="108" w:type="dxa"/>
            <w:bottom w:w="0" w:type="dxa"/>
            <w:right w:w="108" w:type="dxa"/>
          </w:tblCellMar>
        </w:tblPrEx>
        <w:trPr>
          <w:trHeight w:val="340" w:hRule="atLeast"/>
        </w:trPr>
        <w:tc>
          <w:tcPr>
            <w:tcW w:w="9009" w:type="dxa"/>
            <w:gridSpan w:val="6"/>
            <w:tcBorders>
              <w:top w:val="single" w:color="auto" w:sz="4" w:space="0"/>
              <w:left w:val="nil"/>
              <w:bottom w:val="nil"/>
              <w:right w:val="nil"/>
            </w:tcBorders>
            <w:noWrap w:val="0"/>
            <w:vAlign w:val="top"/>
          </w:tcPr>
          <w:p w14:paraId="0BD414F4">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您需要补充的意见和建议：</w:t>
            </w:r>
          </w:p>
        </w:tc>
      </w:tr>
    </w:tbl>
    <w:p w14:paraId="034830C8">
      <w:pPr>
        <w:tabs>
          <w:tab w:val="left" w:pos="0"/>
        </w:tabs>
        <w:spacing w:line="360" w:lineRule="auto"/>
        <w:ind w:firstLine="480"/>
        <w:jc w:val="center"/>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r>
        <w:rPr>
          <w:rFonts w:hint="eastAsia" w:ascii="仿宋" w:hAnsi="仿宋" w:eastAsia="仿宋" w:cs="仿宋"/>
          <w:b/>
          <w:sz w:val="36"/>
          <w:szCs w:val="20"/>
          <w:highlight w:val="none"/>
        </w:rPr>
        <w:t xml:space="preserve">第四部分   </w:t>
      </w:r>
      <w:bookmarkStart w:id="27" w:name="_Toc184310277"/>
      <w:bookmarkEnd w:id="27"/>
      <w:bookmarkStart w:id="28" w:name="_Toc184310331"/>
      <w:bookmarkEnd w:id="28"/>
      <w:bookmarkStart w:id="29" w:name="_Toc184310278"/>
      <w:bookmarkEnd w:id="29"/>
      <w:bookmarkStart w:id="30" w:name="_Toc184312107"/>
      <w:bookmarkEnd w:id="30"/>
      <w:bookmarkStart w:id="31" w:name="_Toc184314417"/>
      <w:bookmarkEnd w:id="31"/>
      <w:bookmarkStart w:id="32" w:name="_Toc184312067"/>
      <w:bookmarkEnd w:id="32"/>
      <w:bookmarkStart w:id="33" w:name="_Toc184314454"/>
      <w:bookmarkEnd w:id="33"/>
      <w:bookmarkStart w:id="34" w:name="_Toc184312087"/>
      <w:bookmarkEnd w:id="34"/>
      <w:bookmarkStart w:id="35" w:name="_Toc184313252"/>
      <w:bookmarkEnd w:id="35"/>
      <w:bookmarkStart w:id="36" w:name="_Toc184314435"/>
      <w:bookmarkEnd w:id="36"/>
      <w:bookmarkStart w:id="37" w:name="_Toc184310338"/>
      <w:bookmarkEnd w:id="37"/>
      <w:bookmarkStart w:id="38" w:name="_Toc184308073"/>
      <w:bookmarkEnd w:id="38"/>
      <w:bookmarkStart w:id="39" w:name="_Toc184310339"/>
      <w:bookmarkEnd w:id="39"/>
      <w:bookmarkStart w:id="40" w:name="_Toc184314422"/>
      <w:bookmarkEnd w:id="40"/>
      <w:bookmarkStart w:id="41" w:name="_Toc184308044"/>
      <w:bookmarkEnd w:id="41"/>
      <w:bookmarkStart w:id="42" w:name="_Toc184314410"/>
      <w:bookmarkEnd w:id="42"/>
      <w:bookmarkStart w:id="43" w:name="_Toc184312077"/>
      <w:bookmarkEnd w:id="43"/>
      <w:bookmarkStart w:id="44" w:name="_Toc184313308"/>
      <w:bookmarkEnd w:id="44"/>
      <w:bookmarkStart w:id="45" w:name="_Toc184308047"/>
      <w:bookmarkEnd w:id="45"/>
      <w:bookmarkStart w:id="46" w:name="_Toc184312080"/>
      <w:bookmarkEnd w:id="46"/>
      <w:bookmarkStart w:id="47" w:name="_Toc184313298"/>
      <w:bookmarkEnd w:id="47"/>
      <w:bookmarkStart w:id="48" w:name="_Toc184310295"/>
      <w:bookmarkEnd w:id="48"/>
      <w:bookmarkStart w:id="49" w:name="_Toc184313264"/>
      <w:bookmarkEnd w:id="49"/>
      <w:bookmarkStart w:id="50" w:name="_Toc184312118"/>
      <w:bookmarkEnd w:id="50"/>
      <w:bookmarkStart w:id="51" w:name="_Toc184314463"/>
      <w:bookmarkEnd w:id="51"/>
      <w:bookmarkStart w:id="52" w:name="_Toc184308060"/>
      <w:bookmarkEnd w:id="52"/>
      <w:bookmarkStart w:id="53" w:name="_Toc184308100"/>
      <w:bookmarkEnd w:id="53"/>
      <w:bookmarkStart w:id="54" w:name="_Toc184310327"/>
      <w:bookmarkEnd w:id="54"/>
      <w:bookmarkStart w:id="55" w:name="_Toc184310302"/>
      <w:bookmarkEnd w:id="55"/>
      <w:bookmarkStart w:id="56" w:name="_Toc184310308"/>
      <w:bookmarkEnd w:id="56"/>
      <w:bookmarkStart w:id="57" w:name="_Toc184310318"/>
      <w:bookmarkEnd w:id="57"/>
      <w:bookmarkStart w:id="58" w:name="_Toc184313254"/>
      <w:bookmarkEnd w:id="58"/>
      <w:bookmarkStart w:id="59" w:name="_Toc184310298"/>
      <w:bookmarkEnd w:id="59"/>
      <w:bookmarkStart w:id="60" w:name="_Toc184313301"/>
      <w:bookmarkEnd w:id="60"/>
      <w:bookmarkStart w:id="61" w:name="_Toc184314473"/>
      <w:bookmarkEnd w:id="61"/>
      <w:bookmarkStart w:id="62" w:name="_Toc184313277"/>
      <w:bookmarkEnd w:id="62"/>
      <w:bookmarkStart w:id="63" w:name="_Toc184310332"/>
      <w:bookmarkEnd w:id="63"/>
      <w:bookmarkStart w:id="64" w:name="_Toc184313296"/>
      <w:bookmarkEnd w:id="64"/>
      <w:bookmarkStart w:id="65" w:name="_Toc184312126"/>
      <w:bookmarkEnd w:id="65"/>
      <w:bookmarkStart w:id="66" w:name="_Toc184312086"/>
      <w:bookmarkEnd w:id="66"/>
      <w:bookmarkStart w:id="67" w:name="_Toc184310275"/>
      <w:bookmarkEnd w:id="67"/>
      <w:bookmarkStart w:id="68" w:name="_Toc184313280"/>
      <w:bookmarkEnd w:id="68"/>
      <w:bookmarkStart w:id="69" w:name="_Toc184314440"/>
      <w:bookmarkEnd w:id="69"/>
      <w:bookmarkStart w:id="70" w:name="_Toc184312093"/>
      <w:bookmarkEnd w:id="70"/>
      <w:bookmarkStart w:id="71" w:name="_Toc184308042"/>
      <w:bookmarkEnd w:id="71"/>
      <w:bookmarkStart w:id="72" w:name="_Toc184313246"/>
      <w:bookmarkEnd w:id="72"/>
      <w:bookmarkStart w:id="73" w:name="_Toc184310272"/>
      <w:bookmarkEnd w:id="73"/>
      <w:bookmarkStart w:id="74" w:name="_Toc184313285"/>
      <w:bookmarkEnd w:id="74"/>
      <w:bookmarkStart w:id="75" w:name="_Toc184308096"/>
      <w:bookmarkEnd w:id="75"/>
      <w:bookmarkStart w:id="76" w:name="_Toc184313295"/>
      <w:bookmarkEnd w:id="76"/>
      <w:bookmarkStart w:id="77" w:name="_Toc184312123"/>
      <w:bookmarkEnd w:id="77"/>
      <w:bookmarkStart w:id="78" w:name="_Toc184313282"/>
      <w:bookmarkEnd w:id="78"/>
      <w:bookmarkStart w:id="79" w:name="_Toc184312095"/>
      <w:bookmarkEnd w:id="79"/>
      <w:bookmarkStart w:id="80" w:name="_Toc184312081"/>
      <w:bookmarkEnd w:id="80"/>
      <w:bookmarkStart w:id="81" w:name="_Toc184310306"/>
      <w:bookmarkEnd w:id="81"/>
      <w:bookmarkStart w:id="82" w:name="_Toc184310300"/>
      <w:bookmarkEnd w:id="82"/>
      <w:bookmarkStart w:id="83" w:name="_Toc184312074"/>
      <w:bookmarkEnd w:id="83"/>
      <w:bookmarkStart w:id="84" w:name="_Toc184308108"/>
      <w:bookmarkEnd w:id="84"/>
      <w:bookmarkStart w:id="85" w:name="_Toc184310330"/>
      <w:bookmarkEnd w:id="85"/>
      <w:bookmarkStart w:id="86" w:name="_Toc184310296"/>
      <w:bookmarkEnd w:id="86"/>
      <w:bookmarkStart w:id="87" w:name="_Toc184308088"/>
      <w:bookmarkEnd w:id="87"/>
      <w:bookmarkStart w:id="88" w:name="_Toc184314453"/>
      <w:bookmarkEnd w:id="88"/>
      <w:bookmarkStart w:id="89" w:name="_Toc184310312"/>
      <w:bookmarkEnd w:id="89"/>
      <w:bookmarkStart w:id="90" w:name="_Toc184308037"/>
      <w:bookmarkEnd w:id="90"/>
      <w:bookmarkStart w:id="91" w:name="_Toc184312133"/>
      <w:bookmarkEnd w:id="91"/>
      <w:bookmarkStart w:id="92" w:name="_Toc184312128"/>
      <w:bookmarkEnd w:id="92"/>
      <w:bookmarkStart w:id="93" w:name="_Toc184310326"/>
      <w:bookmarkEnd w:id="93"/>
      <w:bookmarkStart w:id="94" w:name="_Toc184308102"/>
      <w:bookmarkEnd w:id="94"/>
      <w:bookmarkStart w:id="95" w:name="_Toc184308040"/>
      <w:bookmarkEnd w:id="95"/>
      <w:bookmarkStart w:id="96" w:name="_Toc184308056"/>
      <w:bookmarkEnd w:id="96"/>
      <w:bookmarkStart w:id="97" w:name="_Toc184308079"/>
      <w:bookmarkEnd w:id="97"/>
      <w:bookmarkStart w:id="98" w:name="_Toc184312075"/>
      <w:bookmarkEnd w:id="98"/>
      <w:bookmarkStart w:id="99" w:name="_Toc184313251"/>
      <w:bookmarkEnd w:id="99"/>
      <w:bookmarkStart w:id="100" w:name="_Toc184314457"/>
      <w:bookmarkEnd w:id="100"/>
      <w:bookmarkStart w:id="101" w:name="_Toc184313253"/>
      <w:bookmarkEnd w:id="101"/>
      <w:bookmarkStart w:id="102" w:name="_Toc184312109"/>
      <w:bookmarkEnd w:id="102"/>
      <w:bookmarkStart w:id="103" w:name="_Toc184308103"/>
      <w:bookmarkEnd w:id="103"/>
      <w:bookmarkStart w:id="104" w:name="_Toc184313275"/>
      <w:bookmarkEnd w:id="104"/>
      <w:bookmarkStart w:id="105" w:name="_Toc184312139"/>
      <w:bookmarkEnd w:id="105"/>
      <w:bookmarkStart w:id="106" w:name="_Toc184308051"/>
      <w:bookmarkEnd w:id="106"/>
      <w:bookmarkStart w:id="107" w:name="_Toc184313289"/>
      <w:bookmarkEnd w:id="107"/>
      <w:bookmarkStart w:id="108" w:name="_Toc184313241"/>
      <w:bookmarkEnd w:id="108"/>
      <w:bookmarkStart w:id="109" w:name="_Toc184312105"/>
      <w:bookmarkEnd w:id="109"/>
      <w:bookmarkStart w:id="110" w:name="_Toc184313278"/>
      <w:bookmarkEnd w:id="110"/>
      <w:bookmarkStart w:id="111" w:name="_Toc184314464"/>
      <w:bookmarkEnd w:id="111"/>
      <w:bookmarkStart w:id="112" w:name="_Toc184310329"/>
      <w:bookmarkEnd w:id="112"/>
      <w:bookmarkStart w:id="113" w:name="_Toc184308063"/>
      <w:bookmarkEnd w:id="113"/>
      <w:bookmarkStart w:id="114" w:name="_Toc184313260"/>
      <w:bookmarkEnd w:id="114"/>
      <w:bookmarkStart w:id="115" w:name="_Toc184308095"/>
      <w:bookmarkEnd w:id="115"/>
      <w:bookmarkStart w:id="116" w:name="_Toc184308071"/>
      <w:bookmarkEnd w:id="116"/>
      <w:bookmarkStart w:id="117" w:name="_Toc184314465"/>
      <w:bookmarkEnd w:id="117"/>
      <w:bookmarkStart w:id="118" w:name="_Toc184308080"/>
      <w:bookmarkEnd w:id="118"/>
      <w:bookmarkStart w:id="119" w:name="_Toc184312131"/>
      <w:bookmarkEnd w:id="119"/>
      <w:bookmarkStart w:id="120" w:name="_Toc184308065"/>
      <w:bookmarkEnd w:id="120"/>
      <w:bookmarkStart w:id="121" w:name="_Toc184308075"/>
      <w:bookmarkEnd w:id="121"/>
      <w:bookmarkStart w:id="122" w:name="_Toc184313274"/>
      <w:bookmarkEnd w:id="122"/>
      <w:bookmarkStart w:id="123" w:name="_Toc184312102"/>
      <w:bookmarkEnd w:id="123"/>
      <w:bookmarkStart w:id="124" w:name="_Toc184310282"/>
      <w:bookmarkEnd w:id="124"/>
      <w:bookmarkStart w:id="125" w:name="_Toc184308092"/>
      <w:bookmarkEnd w:id="125"/>
      <w:bookmarkStart w:id="126" w:name="_Toc184310297"/>
      <w:bookmarkEnd w:id="126"/>
      <w:bookmarkStart w:id="127" w:name="_Toc184312121"/>
      <w:bookmarkEnd w:id="127"/>
      <w:bookmarkStart w:id="128" w:name="_Toc184314451"/>
      <w:bookmarkEnd w:id="128"/>
      <w:bookmarkStart w:id="129" w:name="_Toc184314413"/>
      <w:bookmarkEnd w:id="129"/>
      <w:bookmarkStart w:id="130" w:name="_Toc184312108"/>
      <w:bookmarkEnd w:id="130"/>
      <w:bookmarkStart w:id="131" w:name="_Toc184312125"/>
      <w:bookmarkEnd w:id="131"/>
      <w:bookmarkStart w:id="132" w:name="_Toc184310299"/>
      <w:bookmarkEnd w:id="132"/>
      <w:bookmarkStart w:id="133" w:name="_Toc184310325"/>
      <w:bookmarkEnd w:id="133"/>
      <w:bookmarkStart w:id="134" w:name="_Toc184314469"/>
      <w:bookmarkEnd w:id="134"/>
      <w:bookmarkStart w:id="135" w:name="_Toc184314439"/>
      <w:bookmarkEnd w:id="135"/>
      <w:bookmarkStart w:id="136" w:name="_Toc184310344"/>
      <w:bookmarkEnd w:id="136"/>
      <w:bookmarkStart w:id="137" w:name="_Toc184310301"/>
      <w:bookmarkEnd w:id="137"/>
      <w:bookmarkStart w:id="138" w:name="_Toc184313279"/>
      <w:bookmarkEnd w:id="138"/>
      <w:bookmarkStart w:id="139" w:name="_Toc184314471"/>
      <w:bookmarkEnd w:id="139"/>
      <w:bookmarkStart w:id="140" w:name="_Toc184310337"/>
      <w:bookmarkEnd w:id="140"/>
      <w:bookmarkStart w:id="141" w:name="_Toc184313255"/>
      <w:bookmarkEnd w:id="141"/>
      <w:bookmarkStart w:id="142" w:name="_Toc184312070"/>
      <w:bookmarkEnd w:id="142"/>
      <w:bookmarkStart w:id="143" w:name="_Toc184314432"/>
      <w:bookmarkEnd w:id="143"/>
      <w:bookmarkStart w:id="144" w:name="_Toc184314434"/>
      <w:bookmarkEnd w:id="144"/>
      <w:bookmarkStart w:id="145" w:name="_Toc184308107"/>
      <w:bookmarkEnd w:id="145"/>
      <w:bookmarkStart w:id="146" w:name="_Toc184313250"/>
      <w:bookmarkEnd w:id="146"/>
      <w:bookmarkStart w:id="147" w:name="_Toc184314433"/>
      <w:bookmarkEnd w:id="147"/>
      <w:bookmarkStart w:id="148" w:name="_Toc184314478"/>
      <w:bookmarkEnd w:id="148"/>
      <w:bookmarkStart w:id="149" w:name="_Toc184312069"/>
      <w:bookmarkEnd w:id="149"/>
      <w:bookmarkStart w:id="150" w:name="_Toc184314472"/>
      <w:bookmarkEnd w:id="150"/>
      <w:bookmarkStart w:id="151" w:name="_Toc184310333"/>
      <w:bookmarkEnd w:id="151"/>
      <w:bookmarkStart w:id="152" w:name="_Toc184314428"/>
      <w:bookmarkEnd w:id="152"/>
      <w:bookmarkStart w:id="153" w:name="_Toc184312073"/>
      <w:bookmarkEnd w:id="153"/>
      <w:bookmarkStart w:id="154" w:name="_Toc184314468"/>
      <w:bookmarkEnd w:id="154"/>
      <w:bookmarkStart w:id="155" w:name="_Toc184312116"/>
      <w:bookmarkEnd w:id="155"/>
      <w:bookmarkStart w:id="156" w:name="_Toc184312085"/>
      <w:bookmarkEnd w:id="156"/>
      <w:bookmarkStart w:id="157" w:name="_Toc184308104"/>
      <w:bookmarkEnd w:id="157"/>
      <w:bookmarkStart w:id="158" w:name="_Toc184313287"/>
      <w:bookmarkEnd w:id="158"/>
      <w:bookmarkStart w:id="159" w:name="_Toc184314444"/>
      <w:bookmarkEnd w:id="159"/>
      <w:bookmarkStart w:id="160" w:name="_Toc184308064"/>
      <w:bookmarkEnd w:id="160"/>
      <w:bookmarkStart w:id="161" w:name="_Toc184312127"/>
      <w:bookmarkEnd w:id="161"/>
      <w:bookmarkStart w:id="162" w:name="_Toc184310289"/>
      <w:bookmarkEnd w:id="162"/>
      <w:bookmarkStart w:id="163" w:name="_Toc184310305"/>
      <w:bookmarkEnd w:id="163"/>
      <w:bookmarkStart w:id="164" w:name="_Toc184314467"/>
      <w:bookmarkEnd w:id="164"/>
      <w:bookmarkStart w:id="165" w:name="_Toc184310324"/>
      <w:bookmarkEnd w:id="165"/>
      <w:bookmarkStart w:id="166" w:name="_Toc184308101"/>
      <w:bookmarkEnd w:id="166"/>
      <w:bookmarkStart w:id="167" w:name="_Toc184308077"/>
      <w:bookmarkEnd w:id="167"/>
      <w:bookmarkStart w:id="168" w:name="_Toc184314441"/>
      <w:bookmarkEnd w:id="168"/>
      <w:bookmarkStart w:id="169" w:name="_Toc184312071"/>
      <w:bookmarkEnd w:id="169"/>
      <w:bookmarkStart w:id="170" w:name="_Toc184310336"/>
      <w:bookmarkEnd w:id="170"/>
      <w:bookmarkStart w:id="171" w:name="_Toc184312098"/>
      <w:bookmarkEnd w:id="171"/>
      <w:bookmarkStart w:id="172" w:name="_Toc184310343"/>
      <w:bookmarkEnd w:id="172"/>
      <w:bookmarkStart w:id="173" w:name="_Toc184314424"/>
      <w:bookmarkEnd w:id="173"/>
      <w:bookmarkStart w:id="174" w:name="_Toc184314480"/>
      <w:bookmarkEnd w:id="174"/>
      <w:bookmarkStart w:id="175" w:name="_Toc184314479"/>
      <w:bookmarkEnd w:id="175"/>
      <w:bookmarkStart w:id="176" w:name="_Toc184313305"/>
      <w:bookmarkEnd w:id="176"/>
      <w:bookmarkStart w:id="177" w:name="_Toc184313281"/>
      <w:bookmarkEnd w:id="177"/>
      <w:bookmarkStart w:id="178" w:name="_Toc184313258"/>
      <w:bookmarkEnd w:id="178"/>
      <w:bookmarkStart w:id="179" w:name="_Toc184313288"/>
      <w:bookmarkEnd w:id="179"/>
      <w:bookmarkStart w:id="180" w:name="_Toc184308090"/>
      <w:bookmarkEnd w:id="180"/>
      <w:bookmarkStart w:id="181" w:name="_Toc184314448"/>
      <w:bookmarkEnd w:id="181"/>
      <w:bookmarkStart w:id="182" w:name="_Toc184314449"/>
      <w:bookmarkEnd w:id="182"/>
      <w:bookmarkStart w:id="183" w:name="_Toc184308045"/>
      <w:bookmarkEnd w:id="183"/>
      <w:bookmarkStart w:id="184" w:name="_Toc184312130"/>
      <w:bookmarkEnd w:id="184"/>
      <w:bookmarkStart w:id="185" w:name="_Toc184312110"/>
      <w:bookmarkEnd w:id="185"/>
      <w:bookmarkStart w:id="186" w:name="_Toc184310281"/>
      <w:bookmarkEnd w:id="186"/>
      <w:bookmarkStart w:id="187" w:name="_Toc184312083"/>
      <w:bookmarkEnd w:id="187"/>
      <w:bookmarkStart w:id="188" w:name="_Toc184310279"/>
      <w:bookmarkEnd w:id="188"/>
      <w:bookmarkStart w:id="189" w:name="_Toc184308057"/>
      <w:bookmarkEnd w:id="189"/>
      <w:bookmarkStart w:id="190" w:name="_Toc184308053"/>
      <w:bookmarkEnd w:id="190"/>
      <w:bookmarkStart w:id="191" w:name="_Toc184313243"/>
      <w:bookmarkEnd w:id="191"/>
      <w:bookmarkStart w:id="192" w:name="_Toc184313262"/>
      <w:bookmarkEnd w:id="192"/>
      <w:bookmarkStart w:id="193" w:name="_Toc184308081"/>
      <w:bookmarkEnd w:id="193"/>
      <w:bookmarkStart w:id="194" w:name="_Toc184308036"/>
      <w:bookmarkEnd w:id="194"/>
      <w:bookmarkStart w:id="195" w:name="_Toc184313290"/>
      <w:bookmarkEnd w:id="195"/>
      <w:bookmarkStart w:id="196" w:name="_Toc184313256"/>
      <w:bookmarkEnd w:id="196"/>
      <w:bookmarkStart w:id="197" w:name="_Toc184308059"/>
      <w:bookmarkEnd w:id="197"/>
      <w:bookmarkStart w:id="198" w:name="_Toc184308058"/>
      <w:bookmarkEnd w:id="198"/>
      <w:bookmarkStart w:id="199" w:name="_Toc184308070"/>
      <w:bookmarkEnd w:id="199"/>
      <w:bookmarkStart w:id="200" w:name="_Toc184310314"/>
      <w:bookmarkEnd w:id="200"/>
      <w:bookmarkStart w:id="201" w:name="_Toc184312088"/>
      <w:bookmarkEnd w:id="201"/>
      <w:bookmarkStart w:id="202" w:name="_Toc184313261"/>
      <w:bookmarkEnd w:id="202"/>
      <w:bookmarkStart w:id="203" w:name="_Toc184312132"/>
      <w:bookmarkEnd w:id="203"/>
      <w:bookmarkStart w:id="204" w:name="_Toc184313271"/>
      <w:bookmarkEnd w:id="204"/>
      <w:bookmarkStart w:id="205" w:name="_Toc184314460"/>
      <w:bookmarkEnd w:id="205"/>
      <w:bookmarkStart w:id="206" w:name="_Toc184312124"/>
      <w:bookmarkEnd w:id="206"/>
      <w:bookmarkStart w:id="207" w:name="_Toc184314442"/>
      <w:bookmarkEnd w:id="207"/>
      <w:bookmarkStart w:id="208" w:name="_Toc184314481"/>
      <w:bookmarkEnd w:id="208"/>
      <w:bookmarkStart w:id="209" w:name="_Toc184308055"/>
      <w:bookmarkEnd w:id="209"/>
      <w:bookmarkStart w:id="210" w:name="_Toc184310321"/>
      <w:bookmarkEnd w:id="210"/>
      <w:bookmarkStart w:id="211" w:name="_Toc184312079"/>
      <w:bookmarkEnd w:id="211"/>
      <w:bookmarkStart w:id="212" w:name="_Toc184313247"/>
      <w:bookmarkEnd w:id="212"/>
      <w:bookmarkStart w:id="213" w:name="_Toc184313276"/>
      <w:bookmarkEnd w:id="213"/>
      <w:bookmarkStart w:id="214" w:name="_Toc184310317"/>
      <w:bookmarkEnd w:id="214"/>
      <w:bookmarkStart w:id="215" w:name="_Toc184310309"/>
      <w:bookmarkEnd w:id="215"/>
      <w:bookmarkStart w:id="216" w:name="_Toc184312135"/>
      <w:bookmarkEnd w:id="216"/>
      <w:bookmarkStart w:id="217" w:name="_Toc184313267"/>
      <w:bookmarkEnd w:id="217"/>
      <w:bookmarkStart w:id="218" w:name="_Toc184314475"/>
      <w:bookmarkEnd w:id="218"/>
      <w:bookmarkStart w:id="219" w:name="_Toc184310284"/>
      <w:bookmarkEnd w:id="219"/>
      <w:bookmarkStart w:id="220" w:name="_Toc184313249"/>
      <w:bookmarkEnd w:id="220"/>
      <w:bookmarkStart w:id="221" w:name="_Toc184314466"/>
      <w:bookmarkEnd w:id="221"/>
      <w:bookmarkStart w:id="222" w:name="_Toc184308039"/>
      <w:bookmarkEnd w:id="222"/>
      <w:bookmarkStart w:id="223" w:name="_Toc184310304"/>
      <w:bookmarkEnd w:id="223"/>
      <w:bookmarkStart w:id="224" w:name="_Toc184308082"/>
      <w:bookmarkEnd w:id="224"/>
      <w:bookmarkStart w:id="225" w:name="_Toc184313309"/>
      <w:bookmarkEnd w:id="225"/>
      <w:bookmarkStart w:id="226" w:name="_Toc184312104"/>
      <w:bookmarkEnd w:id="226"/>
      <w:bookmarkStart w:id="227" w:name="_Toc184310335"/>
      <w:bookmarkEnd w:id="227"/>
      <w:bookmarkStart w:id="228" w:name="_Toc184308099"/>
      <w:bookmarkEnd w:id="228"/>
      <w:bookmarkStart w:id="229" w:name="_Toc184314430"/>
      <w:bookmarkEnd w:id="229"/>
      <w:bookmarkStart w:id="230" w:name="_Toc184308091"/>
      <w:bookmarkEnd w:id="230"/>
      <w:bookmarkStart w:id="231" w:name="_Toc184314429"/>
      <w:bookmarkEnd w:id="231"/>
      <w:bookmarkStart w:id="232" w:name="_Toc184312112"/>
      <w:bookmarkEnd w:id="232"/>
      <w:bookmarkStart w:id="233" w:name="_Toc184310285"/>
      <w:bookmarkEnd w:id="233"/>
      <w:bookmarkStart w:id="234" w:name="_Toc184314425"/>
      <w:bookmarkEnd w:id="234"/>
      <w:bookmarkStart w:id="235" w:name="_Toc184314474"/>
      <w:bookmarkEnd w:id="235"/>
      <w:bookmarkStart w:id="236" w:name="_Toc184314456"/>
      <w:bookmarkEnd w:id="236"/>
      <w:bookmarkStart w:id="237" w:name="_Toc184312113"/>
      <w:bookmarkEnd w:id="237"/>
      <w:bookmarkStart w:id="238" w:name="_Toc184314414"/>
      <w:bookmarkEnd w:id="238"/>
      <w:bookmarkStart w:id="239" w:name="_Toc184313259"/>
      <w:bookmarkEnd w:id="239"/>
      <w:bookmarkStart w:id="240" w:name="_Toc184308061"/>
      <w:bookmarkEnd w:id="240"/>
      <w:bookmarkStart w:id="241" w:name="_Toc184310294"/>
      <w:bookmarkEnd w:id="241"/>
      <w:bookmarkStart w:id="242" w:name="_Toc184313244"/>
      <w:bookmarkEnd w:id="242"/>
      <w:bookmarkStart w:id="243" w:name="_Toc184312129"/>
      <w:bookmarkEnd w:id="243"/>
      <w:bookmarkStart w:id="244" w:name="_Toc184308085"/>
      <w:bookmarkEnd w:id="244"/>
      <w:bookmarkStart w:id="245" w:name="_Toc184314418"/>
      <w:bookmarkEnd w:id="245"/>
      <w:bookmarkStart w:id="246" w:name="_Toc184312106"/>
      <w:bookmarkEnd w:id="246"/>
      <w:bookmarkStart w:id="247" w:name="_Toc184310313"/>
      <w:bookmarkEnd w:id="247"/>
      <w:bookmarkStart w:id="248" w:name="_Toc184314420"/>
      <w:bookmarkEnd w:id="248"/>
      <w:bookmarkStart w:id="249" w:name="_Toc184314482"/>
      <w:bookmarkEnd w:id="249"/>
      <w:bookmarkStart w:id="250" w:name="_Toc184312089"/>
      <w:bookmarkEnd w:id="250"/>
      <w:bookmarkStart w:id="251" w:name="_Toc184314455"/>
      <w:bookmarkEnd w:id="251"/>
      <w:bookmarkStart w:id="252" w:name="_Toc184314412"/>
      <w:bookmarkEnd w:id="252"/>
      <w:bookmarkStart w:id="253" w:name="_Toc184312137"/>
      <w:bookmarkEnd w:id="253"/>
      <w:bookmarkStart w:id="254" w:name="_Toc184313269"/>
      <w:bookmarkEnd w:id="254"/>
      <w:bookmarkStart w:id="255" w:name="_Toc184310307"/>
      <w:bookmarkEnd w:id="255"/>
      <w:bookmarkStart w:id="256" w:name="_Toc184308087"/>
      <w:bookmarkEnd w:id="256"/>
      <w:bookmarkStart w:id="257" w:name="_Toc184312117"/>
      <w:bookmarkEnd w:id="257"/>
      <w:bookmarkStart w:id="258" w:name="_Toc184308069"/>
      <w:bookmarkEnd w:id="258"/>
      <w:bookmarkStart w:id="259" w:name="_Toc184313240"/>
      <w:bookmarkEnd w:id="259"/>
      <w:bookmarkStart w:id="260" w:name="_Toc184308066"/>
      <w:bookmarkEnd w:id="260"/>
      <w:bookmarkStart w:id="261" w:name="_Toc184314416"/>
      <w:bookmarkEnd w:id="261"/>
      <w:bookmarkStart w:id="262" w:name="_Toc184308038"/>
      <w:bookmarkEnd w:id="262"/>
      <w:bookmarkStart w:id="263" w:name="_Toc184313299"/>
      <w:bookmarkEnd w:id="263"/>
      <w:bookmarkStart w:id="264" w:name="_Toc184312090"/>
      <w:bookmarkEnd w:id="264"/>
      <w:bookmarkStart w:id="265" w:name="_Toc184312094"/>
      <w:bookmarkEnd w:id="265"/>
      <w:bookmarkStart w:id="266" w:name="_Toc184312068"/>
      <w:bookmarkEnd w:id="266"/>
      <w:bookmarkStart w:id="267" w:name="_Toc184313300"/>
      <w:bookmarkEnd w:id="267"/>
      <w:bookmarkStart w:id="268" w:name="_Toc184314470"/>
      <w:bookmarkEnd w:id="268"/>
      <w:bookmarkStart w:id="269" w:name="_Toc184308084"/>
      <w:bookmarkEnd w:id="269"/>
      <w:bookmarkStart w:id="270" w:name="_Toc184310323"/>
      <w:bookmarkEnd w:id="270"/>
      <w:bookmarkStart w:id="271" w:name="_Toc184308041"/>
      <w:bookmarkEnd w:id="271"/>
      <w:bookmarkStart w:id="272" w:name="_Toc184310290"/>
      <w:bookmarkEnd w:id="272"/>
      <w:bookmarkStart w:id="273" w:name="_Toc184312100"/>
      <w:bookmarkEnd w:id="273"/>
      <w:bookmarkStart w:id="274" w:name="_Toc184314427"/>
      <w:bookmarkEnd w:id="274"/>
      <w:bookmarkStart w:id="275" w:name="_Toc184313238"/>
      <w:bookmarkEnd w:id="275"/>
      <w:bookmarkStart w:id="276" w:name="_Toc184314443"/>
      <w:bookmarkEnd w:id="276"/>
      <w:bookmarkStart w:id="277" w:name="_Toc184313270"/>
      <w:bookmarkEnd w:id="277"/>
      <w:bookmarkStart w:id="278" w:name="_Toc184308052"/>
      <w:bookmarkEnd w:id="278"/>
      <w:bookmarkStart w:id="279" w:name="_Toc184313248"/>
      <w:bookmarkEnd w:id="279"/>
      <w:bookmarkStart w:id="280" w:name="_Toc184308093"/>
      <w:bookmarkEnd w:id="280"/>
      <w:bookmarkStart w:id="281" w:name="_Toc184308072"/>
      <w:bookmarkEnd w:id="281"/>
      <w:bookmarkStart w:id="282" w:name="_Toc184312076"/>
      <w:bookmarkEnd w:id="282"/>
      <w:bookmarkStart w:id="283" w:name="_Toc184312097"/>
      <w:bookmarkEnd w:id="283"/>
      <w:bookmarkStart w:id="284" w:name="_Toc184312072"/>
      <w:bookmarkEnd w:id="284"/>
      <w:bookmarkStart w:id="285" w:name="_Toc184308050"/>
      <w:bookmarkEnd w:id="285"/>
      <w:bookmarkStart w:id="286" w:name="_Toc184314461"/>
      <w:bookmarkEnd w:id="286"/>
      <w:bookmarkStart w:id="287" w:name="_Toc184308049"/>
      <w:bookmarkEnd w:id="287"/>
      <w:bookmarkStart w:id="288" w:name="_Toc184314477"/>
      <w:bookmarkEnd w:id="288"/>
      <w:bookmarkStart w:id="289" w:name="_Toc184314462"/>
      <w:bookmarkEnd w:id="289"/>
      <w:bookmarkStart w:id="290" w:name="_Toc184308054"/>
      <w:bookmarkEnd w:id="290"/>
      <w:bookmarkStart w:id="291" w:name="_Toc184312082"/>
      <w:bookmarkEnd w:id="291"/>
      <w:bookmarkStart w:id="292" w:name="_Toc184314431"/>
      <w:bookmarkEnd w:id="292"/>
      <w:bookmarkStart w:id="293" w:name="_Toc184313297"/>
      <w:bookmarkEnd w:id="293"/>
      <w:bookmarkStart w:id="294" w:name="_Toc184313306"/>
      <w:bookmarkEnd w:id="294"/>
      <w:bookmarkStart w:id="295" w:name="_Toc184313245"/>
      <w:bookmarkEnd w:id="295"/>
      <w:bookmarkStart w:id="296" w:name="_Toc184313273"/>
      <w:bookmarkEnd w:id="296"/>
      <w:bookmarkStart w:id="297" w:name="_Toc184310311"/>
      <w:bookmarkEnd w:id="297"/>
      <w:bookmarkStart w:id="298" w:name="_Toc184313284"/>
      <w:bookmarkEnd w:id="298"/>
      <w:bookmarkStart w:id="299" w:name="_Toc184310286"/>
      <w:bookmarkEnd w:id="299"/>
      <w:bookmarkStart w:id="300" w:name="_Toc184310274"/>
      <w:bookmarkEnd w:id="300"/>
      <w:bookmarkStart w:id="301" w:name="_Toc184310341"/>
      <w:bookmarkEnd w:id="301"/>
      <w:bookmarkStart w:id="302" w:name="_Toc184313304"/>
      <w:bookmarkEnd w:id="302"/>
      <w:bookmarkStart w:id="303" w:name="_Toc184310316"/>
      <w:bookmarkEnd w:id="303"/>
      <w:bookmarkStart w:id="304" w:name="_Toc184310315"/>
      <w:bookmarkEnd w:id="304"/>
      <w:bookmarkStart w:id="305" w:name="_Toc184308098"/>
      <w:bookmarkEnd w:id="305"/>
      <w:bookmarkStart w:id="306" w:name="_Toc184312096"/>
      <w:bookmarkEnd w:id="306"/>
      <w:bookmarkStart w:id="307" w:name="_Toc184314459"/>
      <w:bookmarkEnd w:id="307"/>
      <w:bookmarkStart w:id="308" w:name="_Toc184312111"/>
      <w:bookmarkEnd w:id="308"/>
      <w:bookmarkStart w:id="309" w:name="_Toc184314423"/>
      <w:bookmarkEnd w:id="309"/>
      <w:bookmarkStart w:id="310" w:name="_Toc184313242"/>
      <w:bookmarkEnd w:id="310"/>
      <w:bookmarkStart w:id="311" w:name="_Toc184312120"/>
      <w:bookmarkEnd w:id="311"/>
      <w:bookmarkStart w:id="312" w:name="_Toc184312078"/>
      <w:bookmarkEnd w:id="312"/>
      <w:bookmarkStart w:id="313" w:name="_Toc184312119"/>
      <w:bookmarkEnd w:id="313"/>
      <w:bookmarkStart w:id="314" w:name="_Toc184314415"/>
      <w:bookmarkEnd w:id="314"/>
      <w:bookmarkStart w:id="315" w:name="_Toc184312115"/>
      <w:bookmarkEnd w:id="315"/>
      <w:bookmarkStart w:id="316" w:name="_Toc184308074"/>
      <w:bookmarkEnd w:id="316"/>
      <w:bookmarkStart w:id="317" w:name="_Toc184313283"/>
      <w:bookmarkEnd w:id="317"/>
      <w:bookmarkStart w:id="318" w:name="_Toc184313239"/>
      <w:bookmarkEnd w:id="318"/>
      <w:bookmarkStart w:id="319" w:name="_Toc184312138"/>
      <w:bookmarkEnd w:id="319"/>
      <w:bookmarkStart w:id="320" w:name="_Toc184313286"/>
      <w:bookmarkEnd w:id="320"/>
      <w:bookmarkStart w:id="321" w:name="_Toc184313307"/>
      <w:bookmarkEnd w:id="321"/>
      <w:bookmarkStart w:id="322" w:name="_Toc184308106"/>
      <w:bookmarkEnd w:id="322"/>
      <w:bookmarkStart w:id="323" w:name="_Toc184314421"/>
      <w:bookmarkEnd w:id="323"/>
      <w:bookmarkStart w:id="324" w:name="_Toc184310273"/>
      <w:bookmarkEnd w:id="324"/>
      <w:bookmarkStart w:id="325" w:name="_Toc184314437"/>
      <w:bookmarkEnd w:id="325"/>
      <w:bookmarkStart w:id="326" w:name="_Toc184308086"/>
      <w:bookmarkEnd w:id="326"/>
      <w:bookmarkStart w:id="327" w:name="_Toc184314476"/>
      <w:bookmarkEnd w:id="327"/>
      <w:bookmarkStart w:id="328" w:name="_Toc184308043"/>
      <w:bookmarkEnd w:id="328"/>
      <w:bookmarkStart w:id="329" w:name="_Toc184312103"/>
      <w:bookmarkEnd w:id="329"/>
      <w:bookmarkStart w:id="330" w:name="_Toc184310280"/>
      <w:bookmarkEnd w:id="330"/>
      <w:bookmarkStart w:id="331" w:name="_Toc184313294"/>
      <w:bookmarkEnd w:id="331"/>
      <w:bookmarkStart w:id="332" w:name="_Toc184310288"/>
      <w:bookmarkEnd w:id="332"/>
      <w:bookmarkStart w:id="333" w:name="_Toc184310322"/>
      <w:bookmarkEnd w:id="333"/>
      <w:bookmarkStart w:id="334" w:name="_Toc184314436"/>
      <w:bookmarkEnd w:id="334"/>
      <w:bookmarkStart w:id="335" w:name="_Toc184310334"/>
      <w:bookmarkEnd w:id="335"/>
      <w:bookmarkStart w:id="336" w:name="_Toc184314452"/>
      <w:bookmarkEnd w:id="336"/>
      <w:bookmarkStart w:id="337" w:name="_Toc184310276"/>
      <w:bookmarkEnd w:id="337"/>
      <w:bookmarkStart w:id="338" w:name="_Toc184313272"/>
      <w:bookmarkEnd w:id="338"/>
      <w:bookmarkStart w:id="339" w:name="_Toc184313303"/>
      <w:bookmarkEnd w:id="339"/>
      <w:bookmarkStart w:id="340" w:name="_Toc184310319"/>
      <w:bookmarkEnd w:id="340"/>
      <w:bookmarkStart w:id="341" w:name="_Toc184310310"/>
      <w:bookmarkEnd w:id="341"/>
      <w:bookmarkStart w:id="342" w:name="_Toc184312099"/>
      <w:bookmarkEnd w:id="342"/>
      <w:bookmarkStart w:id="343" w:name="_Toc184313291"/>
      <w:bookmarkEnd w:id="343"/>
      <w:bookmarkStart w:id="344" w:name="_Toc184308062"/>
      <w:bookmarkEnd w:id="344"/>
      <w:bookmarkStart w:id="345" w:name="_Toc184308076"/>
      <w:bookmarkEnd w:id="345"/>
      <w:bookmarkStart w:id="346" w:name="_Toc184313310"/>
      <w:bookmarkEnd w:id="346"/>
      <w:bookmarkStart w:id="347" w:name="_Toc184312114"/>
      <w:bookmarkEnd w:id="347"/>
      <w:bookmarkStart w:id="348" w:name="_Toc184310283"/>
      <w:bookmarkEnd w:id="348"/>
      <w:bookmarkStart w:id="349" w:name="_Toc184313293"/>
      <w:bookmarkEnd w:id="349"/>
      <w:bookmarkStart w:id="350" w:name="_Toc184308083"/>
      <w:bookmarkEnd w:id="350"/>
      <w:bookmarkStart w:id="351" w:name="_Toc184308068"/>
      <w:bookmarkEnd w:id="351"/>
      <w:bookmarkStart w:id="352" w:name="_Toc184310303"/>
      <w:bookmarkEnd w:id="352"/>
      <w:bookmarkStart w:id="353" w:name="_Toc184314458"/>
      <w:bookmarkEnd w:id="353"/>
      <w:bookmarkStart w:id="354" w:name="_Toc184312101"/>
      <w:bookmarkEnd w:id="354"/>
      <w:bookmarkStart w:id="355" w:name="_Toc184312092"/>
      <w:bookmarkEnd w:id="355"/>
      <w:bookmarkStart w:id="356" w:name="_Toc184312136"/>
      <w:bookmarkEnd w:id="356"/>
      <w:bookmarkStart w:id="357" w:name="_Toc184308105"/>
      <w:bookmarkEnd w:id="357"/>
      <w:bookmarkStart w:id="358" w:name="_Toc184310292"/>
      <w:bookmarkEnd w:id="358"/>
      <w:bookmarkStart w:id="359" w:name="_Toc184310328"/>
      <w:bookmarkEnd w:id="359"/>
      <w:bookmarkStart w:id="360" w:name="_Toc184308048"/>
      <w:bookmarkEnd w:id="360"/>
      <w:bookmarkStart w:id="361" w:name="_Toc184314419"/>
      <w:bookmarkEnd w:id="361"/>
      <w:bookmarkStart w:id="362" w:name="_Toc184314446"/>
      <w:bookmarkEnd w:id="362"/>
      <w:bookmarkStart w:id="363" w:name="_Toc184314438"/>
      <w:bookmarkEnd w:id="363"/>
      <w:bookmarkStart w:id="364" w:name="_Toc184313292"/>
      <w:bookmarkEnd w:id="364"/>
      <w:bookmarkStart w:id="365" w:name="_Toc184313263"/>
      <w:bookmarkEnd w:id="365"/>
      <w:bookmarkStart w:id="366" w:name="_Toc184314411"/>
      <w:bookmarkEnd w:id="366"/>
      <w:bookmarkStart w:id="367" w:name="_Toc184310342"/>
      <w:bookmarkEnd w:id="367"/>
      <w:bookmarkStart w:id="368" w:name="_Toc184308078"/>
      <w:bookmarkEnd w:id="368"/>
      <w:bookmarkStart w:id="369" w:name="_Toc184314447"/>
      <w:bookmarkEnd w:id="369"/>
      <w:bookmarkStart w:id="370" w:name="_Toc184310340"/>
      <w:bookmarkEnd w:id="370"/>
      <w:bookmarkStart w:id="371" w:name="_Toc184310291"/>
      <w:bookmarkEnd w:id="371"/>
      <w:bookmarkStart w:id="372" w:name="_Toc184308089"/>
      <w:bookmarkEnd w:id="372"/>
      <w:bookmarkStart w:id="373" w:name="_Toc184310293"/>
      <w:bookmarkEnd w:id="373"/>
      <w:bookmarkStart w:id="374" w:name="_Toc184308094"/>
      <w:bookmarkEnd w:id="374"/>
      <w:bookmarkStart w:id="375" w:name="_Toc184310320"/>
      <w:bookmarkEnd w:id="375"/>
      <w:bookmarkStart w:id="376" w:name="_Toc184308067"/>
      <w:bookmarkEnd w:id="376"/>
      <w:bookmarkStart w:id="377" w:name="_Toc184312084"/>
      <w:bookmarkEnd w:id="377"/>
      <w:bookmarkStart w:id="378" w:name="_Toc184313266"/>
      <w:bookmarkEnd w:id="378"/>
      <w:bookmarkStart w:id="379" w:name="_Toc184313302"/>
      <w:bookmarkEnd w:id="379"/>
      <w:bookmarkStart w:id="380" w:name="_Toc184308097"/>
      <w:bookmarkEnd w:id="380"/>
      <w:bookmarkStart w:id="381" w:name="_Toc184310287"/>
      <w:bookmarkEnd w:id="381"/>
      <w:bookmarkStart w:id="382" w:name="_Toc184312122"/>
      <w:bookmarkEnd w:id="382"/>
      <w:bookmarkStart w:id="383" w:name="_Toc184308046"/>
      <w:bookmarkEnd w:id="383"/>
      <w:bookmarkStart w:id="384" w:name="_Toc184314426"/>
      <w:bookmarkEnd w:id="384"/>
      <w:bookmarkStart w:id="385" w:name="_Toc184313265"/>
      <w:bookmarkEnd w:id="385"/>
      <w:bookmarkStart w:id="386" w:name="_Toc184314445"/>
      <w:bookmarkEnd w:id="386"/>
      <w:bookmarkStart w:id="387" w:name="_Toc184312134"/>
      <w:bookmarkEnd w:id="387"/>
      <w:bookmarkStart w:id="388" w:name="_Toc184312091"/>
      <w:bookmarkEnd w:id="388"/>
      <w:bookmarkStart w:id="389" w:name="_Toc184313257"/>
      <w:bookmarkEnd w:id="389"/>
      <w:bookmarkStart w:id="390" w:name="_Toc184314450"/>
      <w:bookmarkEnd w:id="390"/>
      <w:bookmarkStart w:id="391" w:name="_Toc184313268"/>
      <w:bookmarkEnd w:id="391"/>
      <w:r>
        <w:rPr>
          <w:rFonts w:hint="eastAsia" w:ascii="仿宋" w:hAnsi="仿宋" w:eastAsia="仿宋" w:cs="仿宋"/>
          <w:b/>
          <w:sz w:val="36"/>
          <w:szCs w:val="20"/>
          <w:highlight w:val="none"/>
        </w:rPr>
        <w:t>评标办法</w:t>
      </w:r>
    </w:p>
    <w:p w14:paraId="1BDEB27C">
      <w:pPr>
        <w:spacing w:before="120" w:beforeLines="50" w:after="120" w:afterLines="50"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评标办法前附表</w:t>
      </w:r>
    </w:p>
    <w:tbl>
      <w:tblPr>
        <w:tblStyle w:val="17"/>
        <w:tblW w:w="94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8363"/>
      </w:tblGrid>
      <w:tr w14:paraId="3CFE5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65" w:type="dxa"/>
            <w:tcBorders>
              <w:bottom w:val="single" w:color="auto" w:sz="4" w:space="0"/>
            </w:tcBorders>
            <w:noWrap w:val="0"/>
            <w:vAlign w:val="center"/>
          </w:tcPr>
          <w:p w14:paraId="728FC2EE">
            <w:pPr>
              <w:spacing w:line="400" w:lineRule="exact"/>
              <w:jc w:val="center"/>
              <w:rPr>
                <w:rFonts w:hint="eastAsia" w:ascii="仿宋" w:hAnsi="仿宋" w:eastAsia="仿宋"/>
                <w:b/>
                <w:color w:val="auto"/>
                <w:szCs w:val="21"/>
                <w:highlight w:val="none"/>
              </w:rPr>
            </w:pPr>
            <w:r>
              <w:rPr>
                <w:rFonts w:hint="eastAsia" w:ascii="仿宋" w:hAnsi="仿宋" w:eastAsia="仿宋"/>
                <w:b/>
                <w:color w:val="auto"/>
                <w:szCs w:val="21"/>
                <w:highlight w:val="none"/>
              </w:rPr>
              <w:t>评审因素</w:t>
            </w:r>
          </w:p>
        </w:tc>
        <w:tc>
          <w:tcPr>
            <w:tcW w:w="8363" w:type="dxa"/>
            <w:noWrap w:val="0"/>
            <w:vAlign w:val="center"/>
          </w:tcPr>
          <w:p w14:paraId="24B1C4B8">
            <w:pPr>
              <w:spacing w:line="400" w:lineRule="exact"/>
              <w:jc w:val="center"/>
              <w:rPr>
                <w:rFonts w:hint="eastAsia" w:ascii="仿宋" w:hAnsi="仿宋" w:eastAsia="仿宋"/>
                <w:b/>
                <w:color w:val="auto"/>
                <w:szCs w:val="21"/>
                <w:highlight w:val="none"/>
              </w:rPr>
            </w:pPr>
            <w:r>
              <w:rPr>
                <w:rFonts w:hint="eastAsia" w:ascii="仿宋" w:hAnsi="仿宋" w:eastAsia="仿宋"/>
                <w:b/>
                <w:color w:val="auto"/>
                <w:szCs w:val="21"/>
                <w:highlight w:val="none"/>
              </w:rPr>
              <w:t>评分标准说明</w:t>
            </w:r>
          </w:p>
        </w:tc>
      </w:tr>
      <w:tr w14:paraId="04FC8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065" w:type="dxa"/>
            <w:vMerge w:val="restart"/>
            <w:tcBorders>
              <w:top w:val="single" w:color="auto" w:sz="4" w:space="0"/>
            </w:tcBorders>
            <w:noWrap w:val="0"/>
            <w:vAlign w:val="center"/>
          </w:tcPr>
          <w:p w14:paraId="24A5C7E6">
            <w:pPr>
              <w:spacing w:line="40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技术、商务分（</w:t>
            </w:r>
            <w:r>
              <w:rPr>
                <w:rFonts w:hint="eastAsia" w:ascii="仿宋" w:hAnsi="仿宋" w:eastAsia="仿宋"/>
                <w:color w:val="auto"/>
                <w:szCs w:val="21"/>
                <w:highlight w:val="none"/>
                <w:lang w:val="en-US" w:eastAsia="zh-CN"/>
              </w:rPr>
              <w:t>100</w:t>
            </w:r>
            <w:r>
              <w:rPr>
                <w:rFonts w:hint="eastAsia" w:ascii="仿宋" w:hAnsi="仿宋" w:eastAsia="仿宋"/>
                <w:color w:val="auto"/>
                <w:szCs w:val="21"/>
                <w:highlight w:val="none"/>
              </w:rPr>
              <w:t>分）</w:t>
            </w:r>
          </w:p>
        </w:tc>
        <w:tc>
          <w:tcPr>
            <w:tcW w:w="8363" w:type="dxa"/>
            <w:noWrap w:val="0"/>
            <w:vAlign w:val="center"/>
          </w:tcPr>
          <w:p w14:paraId="14092C89">
            <w:pPr>
              <w:spacing w:line="400" w:lineRule="exact"/>
              <w:jc w:val="left"/>
              <w:rPr>
                <w:rFonts w:hint="eastAsia" w:ascii="仿宋" w:hAnsi="仿宋" w:eastAsia="仿宋"/>
                <w:b/>
                <w:bCs/>
                <w:color w:val="auto"/>
                <w:szCs w:val="21"/>
                <w:highlight w:val="none"/>
                <w:lang w:val="en-US" w:eastAsia="zh-CN"/>
              </w:rPr>
            </w:pPr>
            <w:r>
              <w:rPr>
                <w:rFonts w:hint="eastAsia" w:ascii="仿宋" w:hAnsi="仿宋" w:eastAsia="仿宋"/>
                <w:b/>
                <w:bCs/>
                <w:color w:val="auto"/>
                <w:szCs w:val="21"/>
                <w:highlight w:val="none"/>
                <w:lang w:val="en-US" w:eastAsia="zh-CN"/>
              </w:rPr>
              <w:t>1、方案设计（18分）</w:t>
            </w:r>
          </w:p>
          <w:p w14:paraId="1DE66CC6">
            <w:pPr>
              <w:spacing w:line="400" w:lineRule="exact"/>
              <w:jc w:val="left"/>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根据投标人针对本项目疗休养线路的方案设计（包括行程线路设计、线路特点、景点吸引力、活动内容、主题策划、时间安排）进行评议：</w:t>
            </w:r>
          </w:p>
          <w:p w14:paraId="21D3C9C1">
            <w:pPr>
              <w:spacing w:line="400" w:lineRule="exact"/>
              <w:jc w:val="left"/>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1）整体方案设计思路清晰、行程科学合理、方案完整可行的得6分；思路比较清晰、行程安排大致合理、方案完整基本可行的得4分；思路比较一般、行程安排略有欠缺、方案不完整的得2分。</w:t>
            </w:r>
          </w:p>
          <w:p w14:paraId="20A1195B">
            <w:pPr>
              <w:spacing w:line="400" w:lineRule="exact"/>
              <w:jc w:val="left"/>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2）景点选择有较强吸引力、线路具有特色丰富多彩的得6分；景点选择比较一般、有安排一些特色线路的得4分；景点选择不科学或吸引力不强、没有安排特色线路的得2分。</w:t>
            </w:r>
          </w:p>
          <w:p w14:paraId="225F639C">
            <w:pPr>
              <w:spacing w:line="400" w:lineRule="exact"/>
              <w:jc w:val="left"/>
              <w:rPr>
                <w:rFonts w:hint="eastAsia" w:ascii="仿宋" w:hAnsi="仿宋" w:eastAsia="仿宋"/>
                <w:strike/>
                <w:dstrike w:val="0"/>
                <w:color w:val="auto"/>
                <w:szCs w:val="21"/>
                <w:highlight w:val="green"/>
              </w:rPr>
            </w:pPr>
            <w:r>
              <w:rPr>
                <w:rFonts w:hint="eastAsia" w:ascii="仿宋" w:hAnsi="仿宋" w:eastAsia="仿宋"/>
                <w:color w:val="auto"/>
                <w:szCs w:val="21"/>
                <w:highlight w:val="none"/>
                <w:lang w:val="en-US" w:eastAsia="zh-CN"/>
              </w:rPr>
              <w:t>3）活动内容多样丰富、安排合理、符合对应景点特征、便于实施的得6分；活动内容相对丰富、安排大致合理、大致符合对应景点特征的得4分；活动内容比较一般、安排略有欠缺的得2分。</w:t>
            </w:r>
          </w:p>
        </w:tc>
      </w:tr>
      <w:tr w14:paraId="3A782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065" w:type="dxa"/>
            <w:vMerge w:val="continue"/>
            <w:noWrap w:val="0"/>
            <w:vAlign w:val="center"/>
          </w:tcPr>
          <w:p w14:paraId="535C902A">
            <w:pPr>
              <w:spacing w:line="400" w:lineRule="exact"/>
              <w:jc w:val="center"/>
              <w:rPr>
                <w:rFonts w:hint="eastAsia" w:ascii="仿宋" w:hAnsi="仿宋" w:eastAsia="仿宋"/>
                <w:color w:val="auto"/>
                <w:szCs w:val="21"/>
                <w:highlight w:val="none"/>
              </w:rPr>
            </w:pPr>
          </w:p>
        </w:tc>
        <w:tc>
          <w:tcPr>
            <w:tcW w:w="8363" w:type="dxa"/>
            <w:noWrap w:val="0"/>
            <w:vAlign w:val="center"/>
          </w:tcPr>
          <w:p w14:paraId="74A5E3FF">
            <w:pPr>
              <w:spacing w:line="400" w:lineRule="exact"/>
              <w:jc w:val="left"/>
              <w:rPr>
                <w:rFonts w:hint="eastAsia" w:ascii="仿宋" w:hAnsi="仿宋" w:eastAsia="仿宋"/>
                <w:b/>
                <w:bCs/>
                <w:color w:val="auto"/>
                <w:szCs w:val="21"/>
                <w:highlight w:val="none"/>
              </w:rPr>
            </w:pPr>
            <w:r>
              <w:rPr>
                <w:rFonts w:hint="eastAsia" w:ascii="仿宋" w:hAnsi="仿宋" w:eastAsia="仿宋"/>
                <w:b/>
                <w:bCs/>
                <w:color w:val="auto"/>
                <w:szCs w:val="21"/>
                <w:highlight w:val="none"/>
                <w:lang w:val="en-US" w:eastAsia="zh-CN"/>
              </w:rPr>
              <w:t>2、住宿安排</w:t>
            </w:r>
            <w:r>
              <w:rPr>
                <w:rFonts w:hint="eastAsia" w:ascii="仿宋" w:hAnsi="仿宋" w:eastAsia="仿宋"/>
                <w:b/>
                <w:bCs/>
                <w:color w:val="auto"/>
                <w:szCs w:val="21"/>
                <w:highlight w:val="none"/>
              </w:rPr>
              <w:t>（</w:t>
            </w:r>
            <w:r>
              <w:rPr>
                <w:rFonts w:hint="eastAsia" w:ascii="仿宋" w:hAnsi="仿宋" w:eastAsia="仿宋"/>
                <w:b/>
                <w:bCs/>
                <w:color w:val="auto"/>
                <w:szCs w:val="21"/>
                <w:highlight w:val="none"/>
                <w:lang w:val="en-US" w:eastAsia="zh-CN"/>
              </w:rPr>
              <w:t>12</w:t>
            </w:r>
            <w:r>
              <w:rPr>
                <w:rFonts w:hint="eastAsia" w:ascii="仿宋" w:hAnsi="仿宋" w:eastAsia="仿宋"/>
                <w:b/>
                <w:bCs/>
                <w:color w:val="auto"/>
                <w:szCs w:val="21"/>
                <w:highlight w:val="none"/>
              </w:rPr>
              <w:t>分）</w:t>
            </w:r>
          </w:p>
          <w:p w14:paraId="667CB391">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根据</w:t>
            </w:r>
            <w:r>
              <w:rPr>
                <w:rFonts w:hint="eastAsia" w:ascii="仿宋" w:hAnsi="仿宋" w:eastAsia="仿宋"/>
                <w:color w:val="auto"/>
                <w:szCs w:val="21"/>
                <w:highlight w:val="none"/>
                <w:lang w:val="en-US" w:eastAsia="zh-CN"/>
              </w:rPr>
              <w:t>投标人</w:t>
            </w:r>
            <w:r>
              <w:rPr>
                <w:rFonts w:hint="eastAsia" w:ascii="仿宋" w:hAnsi="仿宋" w:eastAsia="仿宋"/>
                <w:color w:val="auto"/>
                <w:szCs w:val="21"/>
                <w:highlight w:val="none"/>
              </w:rPr>
              <w:t>针对本项目</w:t>
            </w:r>
            <w:r>
              <w:rPr>
                <w:rFonts w:hint="eastAsia" w:ascii="仿宋" w:hAnsi="仿宋" w:eastAsia="仿宋"/>
                <w:color w:val="auto"/>
                <w:szCs w:val="21"/>
                <w:highlight w:val="none"/>
                <w:lang w:val="en-US" w:eastAsia="zh-CN"/>
              </w:rPr>
              <w:t>疗休养线路</w:t>
            </w:r>
            <w:r>
              <w:rPr>
                <w:rFonts w:hint="eastAsia" w:ascii="仿宋" w:hAnsi="仿宋" w:eastAsia="仿宋"/>
                <w:color w:val="auto"/>
                <w:szCs w:val="21"/>
                <w:highlight w:val="none"/>
              </w:rPr>
              <w:t>的住宿安排（包括酒店星级标准、周边环境、酒店配套设施、酒店地理位置、酒店与景区的车程距离）进行评议：</w:t>
            </w:r>
          </w:p>
          <w:p w14:paraId="5AA91199">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1）方案完整，地理位置便捷、周边环境好的得</w:t>
            </w:r>
            <w:r>
              <w:rPr>
                <w:rFonts w:hint="eastAsia" w:ascii="仿宋" w:hAnsi="仿宋" w:eastAsia="仿宋"/>
                <w:color w:val="auto"/>
                <w:szCs w:val="21"/>
                <w:highlight w:val="none"/>
                <w:lang w:val="en-US" w:eastAsia="zh-CN"/>
              </w:rPr>
              <w:t>6</w:t>
            </w:r>
            <w:r>
              <w:rPr>
                <w:rFonts w:hint="eastAsia" w:ascii="仿宋" w:hAnsi="仿宋" w:eastAsia="仿宋"/>
                <w:color w:val="auto"/>
                <w:szCs w:val="21"/>
                <w:highlight w:val="none"/>
              </w:rPr>
              <w:t>分；方案完整合理，地理位置比较便捷、周边环境较为一般的得</w:t>
            </w:r>
            <w:r>
              <w:rPr>
                <w:rFonts w:hint="eastAsia" w:ascii="仿宋" w:hAnsi="仿宋" w:eastAsia="仿宋"/>
                <w:color w:val="auto"/>
                <w:szCs w:val="21"/>
                <w:highlight w:val="none"/>
                <w:lang w:val="en-US" w:eastAsia="zh-CN"/>
              </w:rPr>
              <w:t>4</w:t>
            </w:r>
            <w:r>
              <w:rPr>
                <w:rFonts w:hint="eastAsia" w:ascii="仿宋" w:hAnsi="仿宋" w:eastAsia="仿宋"/>
                <w:color w:val="auto"/>
                <w:szCs w:val="21"/>
                <w:highlight w:val="none"/>
              </w:rPr>
              <w:t>分；方案不完整、地理位置比较偏僻、周边环境较差的得</w:t>
            </w:r>
            <w:r>
              <w:rPr>
                <w:rFonts w:hint="eastAsia" w:ascii="仿宋" w:hAnsi="仿宋" w:eastAsia="仿宋"/>
                <w:color w:val="auto"/>
                <w:szCs w:val="21"/>
                <w:highlight w:val="none"/>
                <w:lang w:val="en-US" w:eastAsia="zh-CN"/>
              </w:rPr>
              <w:t>2</w:t>
            </w:r>
            <w:r>
              <w:rPr>
                <w:rFonts w:hint="eastAsia" w:ascii="仿宋" w:hAnsi="仿宋" w:eastAsia="仿宋"/>
                <w:color w:val="auto"/>
                <w:szCs w:val="21"/>
                <w:highlight w:val="none"/>
              </w:rPr>
              <w:t>分。</w:t>
            </w:r>
          </w:p>
          <w:p w14:paraId="2FF369D2">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2）酒店内部环境好、档次标准高、店内配套设施完善的得</w:t>
            </w:r>
            <w:r>
              <w:rPr>
                <w:rFonts w:hint="eastAsia" w:ascii="仿宋" w:hAnsi="仿宋" w:eastAsia="仿宋"/>
                <w:color w:val="auto"/>
                <w:szCs w:val="21"/>
                <w:highlight w:val="none"/>
                <w:lang w:val="en-US" w:eastAsia="zh-CN"/>
              </w:rPr>
              <w:t>6</w:t>
            </w:r>
            <w:r>
              <w:rPr>
                <w:rFonts w:hint="eastAsia" w:ascii="仿宋" w:hAnsi="仿宋" w:eastAsia="仿宋"/>
                <w:color w:val="auto"/>
                <w:szCs w:val="21"/>
                <w:highlight w:val="none"/>
              </w:rPr>
              <w:t>分；酒店内部环境一般，档次标准基本满足项目需求的得</w:t>
            </w:r>
            <w:r>
              <w:rPr>
                <w:rFonts w:hint="eastAsia" w:ascii="仿宋" w:hAnsi="仿宋" w:eastAsia="仿宋"/>
                <w:color w:val="auto"/>
                <w:szCs w:val="21"/>
                <w:highlight w:val="none"/>
                <w:lang w:val="en-US" w:eastAsia="zh-CN"/>
              </w:rPr>
              <w:t>4</w:t>
            </w:r>
            <w:r>
              <w:rPr>
                <w:rFonts w:hint="eastAsia" w:ascii="仿宋" w:hAnsi="仿宋" w:eastAsia="仿宋"/>
                <w:color w:val="auto"/>
                <w:szCs w:val="21"/>
                <w:highlight w:val="none"/>
              </w:rPr>
              <w:t>分；酒店内部环境较差、或档次很低的得</w:t>
            </w:r>
            <w:r>
              <w:rPr>
                <w:rFonts w:hint="eastAsia" w:ascii="仿宋" w:hAnsi="仿宋" w:eastAsia="仿宋"/>
                <w:color w:val="auto"/>
                <w:szCs w:val="21"/>
                <w:highlight w:val="none"/>
                <w:lang w:val="en-US" w:eastAsia="zh-CN"/>
              </w:rPr>
              <w:t>2</w:t>
            </w:r>
            <w:r>
              <w:rPr>
                <w:rFonts w:hint="eastAsia" w:ascii="仿宋" w:hAnsi="仿宋" w:eastAsia="仿宋"/>
                <w:color w:val="auto"/>
                <w:szCs w:val="21"/>
                <w:highlight w:val="none"/>
              </w:rPr>
              <w:t>分。</w:t>
            </w:r>
          </w:p>
          <w:p w14:paraId="23654EED">
            <w:pPr>
              <w:spacing w:line="400" w:lineRule="exact"/>
              <w:jc w:val="left"/>
              <w:rPr>
                <w:rFonts w:ascii="仿宋" w:hAnsi="仿宋" w:eastAsia="仿宋"/>
                <w:color w:val="auto"/>
                <w:szCs w:val="21"/>
                <w:highlight w:val="none"/>
              </w:rPr>
            </w:pPr>
            <w:r>
              <w:rPr>
                <w:rFonts w:hint="eastAsia" w:ascii="仿宋" w:hAnsi="仿宋" w:eastAsia="仿宋"/>
                <w:b/>
                <w:bCs/>
                <w:color w:val="auto"/>
                <w:szCs w:val="21"/>
                <w:highlight w:val="none"/>
              </w:rPr>
              <w:t>（提供彩色实景照片，方案中需明确酒店的名称、星级、客房介绍等信息）</w:t>
            </w:r>
          </w:p>
        </w:tc>
      </w:tr>
      <w:tr w14:paraId="53C74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065" w:type="dxa"/>
            <w:vMerge w:val="continue"/>
            <w:noWrap w:val="0"/>
            <w:vAlign w:val="center"/>
          </w:tcPr>
          <w:p w14:paraId="3D88A90D">
            <w:pPr>
              <w:spacing w:line="400" w:lineRule="exact"/>
              <w:jc w:val="center"/>
              <w:rPr>
                <w:rFonts w:hint="eastAsia" w:ascii="仿宋" w:hAnsi="仿宋" w:eastAsia="仿宋"/>
                <w:color w:val="auto"/>
                <w:szCs w:val="21"/>
                <w:highlight w:val="none"/>
              </w:rPr>
            </w:pPr>
          </w:p>
        </w:tc>
        <w:tc>
          <w:tcPr>
            <w:tcW w:w="8363" w:type="dxa"/>
            <w:noWrap w:val="0"/>
            <w:vAlign w:val="center"/>
          </w:tcPr>
          <w:p w14:paraId="17690821">
            <w:pPr>
              <w:spacing w:line="400" w:lineRule="exact"/>
              <w:jc w:val="left"/>
              <w:rPr>
                <w:rFonts w:hint="eastAsia" w:ascii="仿宋" w:hAnsi="仿宋" w:eastAsia="仿宋"/>
                <w:b/>
                <w:bCs/>
                <w:color w:val="auto"/>
                <w:szCs w:val="21"/>
                <w:highlight w:val="none"/>
              </w:rPr>
            </w:pPr>
            <w:r>
              <w:rPr>
                <w:rFonts w:hint="eastAsia" w:ascii="仿宋" w:hAnsi="仿宋" w:eastAsia="仿宋"/>
                <w:b/>
                <w:bCs/>
                <w:color w:val="auto"/>
                <w:szCs w:val="21"/>
                <w:highlight w:val="none"/>
              </w:rPr>
              <w:t>3、</w:t>
            </w:r>
            <w:r>
              <w:rPr>
                <w:rFonts w:hint="eastAsia" w:ascii="仿宋" w:hAnsi="仿宋" w:eastAsia="仿宋"/>
                <w:b/>
                <w:bCs/>
                <w:color w:val="auto"/>
                <w:szCs w:val="21"/>
                <w:highlight w:val="none"/>
                <w:lang w:val="en-US" w:eastAsia="zh-CN"/>
              </w:rPr>
              <w:t>就餐安排</w:t>
            </w:r>
            <w:r>
              <w:rPr>
                <w:rFonts w:hint="eastAsia" w:ascii="仿宋" w:hAnsi="仿宋" w:eastAsia="仿宋"/>
                <w:b/>
                <w:bCs/>
                <w:color w:val="auto"/>
                <w:szCs w:val="21"/>
                <w:highlight w:val="none"/>
              </w:rPr>
              <w:t>（</w:t>
            </w:r>
            <w:r>
              <w:rPr>
                <w:rFonts w:hint="eastAsia" w:ascii="仿宋" w:hAnsi="仿宋" w:eastAsia="仿宋"/>
                <w:b/>
                <w:bCs/>
                <w:color w:val="auto"/>
                <w:szCs w:val="21"/>
                <w:highlight w:val="none"/>
                <w:lang w:val="en-US" w:eastAsia="zh-CN"/>
              </w:rPr>
              <w:t>12</w:t>
            </w:r>
            <w:r>
              <w:rPr>
                <w:rFonts w:hint="eastAsia" w:ascii="仿宋" w:hAnsi="仿宋" w:eastAsia="仿宋"/>
                <w:b/>
                <w:bCs/>
                <w:color w:val="auto"/>
                <w:szCs w:val="21"/>
                <w:highlight w:val="none"/>
              </w:rPr>
              <w:t>分）</w:t>
            </w:r>
          </w:p>
          <w:p w14:paraId="4508A35F">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根据</w:t>
            </w:r>
            <w:r>
              <w:rPr>
                <w:rFonts w:hint="eastAsia" w:ascii="仿宋" w:hAnsi="仿宋" w:eastAsia="仿宋"/>
                <w:color w:val="auto"/>
                <w:szCs w:val="21"/>
                <w:highlight w:val="none"/>
                <w:lang w:val="en-US" w:eastAsia="zh-CN"/>
              </w:rPr>
              <w:t>投标人</w:t>
            </w:r>
            <w:r>
              <w:rPr>
                <w:rFonts w:hint="eastAsia" w:ascii="仿宋" w:hAnsi="仿宋" w:eastAsia="仿宋"/>
                <w:color w:val="auto"/>
                <w:szCs w:val="21"/>
                <w:highlight w:val="none"/>
              </w:rPr>
              <w:t>针对本项目</w:t>
            </w:r>
            <w:r>
              <w:rPr>
                <w:rFonts w:hint="eastAsia" w:ascii="仿宋" w:hAnsi="仿宋" w:eastAsia="仿宋"/>
                <w:color w:val="auto"/>
                <w:szCs w:val="21"/>
                <w:highlight w:val="none"/>
                <w:lang w:val="en-US" w:eastAsia="zh-CN"/>
              </w:rPr>
              <w:t>疗休养线路</w:t>
            </w:r>
            <w:r>
              <w:rPr>
                <w:rFonts w:hint="eastAsia" w:ascii="仿宋" w:hAnsi="仿宋" w:eastAsia="仿宋"/>
                <w:color w:val="auto"/>
                <w:szCs w:val="21"/>
                <w:highlight w:val="none"/>
              </w:rPr>
              <w:t>的餐饮安排（包括就餐时间安排、就餐地点选择、菜品荤素搭配、菜肴数量、就餐标准（明确人均餐饮标准，正餐每人50元以上标准））进行评议：</w:t>
            </w:r>
          </w:p>
          <w:p w14:paraId="2C8F4E07">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1）就餐的时间地点安排合理、科学的得</w:t>
            </w:r>
            <w:r>
              <w:rPr>
                <w:rFonts w:hint="eastAsia" w:ascii="仿宋" w:hAnsi="仿宋" w:eastAsia="仿宋"/>
                <w:color w:val="auto"/>
                <w:szCs w:val="21"/>
                <w:highlight w:val="none"/>
                <w:lang w:val="en-US" w:eastAsia="zh-CN"/>
              </w:rPr>
              <w:t>6</w:t>
            </w:r>
            <w:r>
              <w:rPr>
                <w:rFonts w:hint="eastAsia" w:ascii="仿宋" w:hAnsi="仿宋" w:eastAsia="仿宋"/>
                <w:color w:val="auto"/>
                <w:szCs w:val="21"/>
                <w:highlight w:val="none"/>
              </w:rPr>
              <w:t>分；就餐的时间地点安排大致合理科学但有几处略需调整的得</w:t>
            </w:r>
            <w:r>
              <w:rPr>
                <w:rFonts w:hint="eastAsia" w:ascii="仿宋" w:hAnsi="仿宋" w:eastAsia="仿宋"/>
                <w:color w:val="auto"/>
                <w:szCs w:val="21"/>
                <w:highlight w:val="none"/>
                <w:lang w:val="en-US" w:eastAsia="zh-CN"/>
              </w:rPr>
              <w:t>4</w:t>
            </w:r>
            <w:r>
              <w:rPr>
                <w:rFonts w:hint="eastAsia" w:ascii="仿宋" w:hAnsi="仿宋" w:eastAsia="仿宋"/>
                <w:color w:val="auto"/>
                <w:szCs w:val="21"/>
                <w:highlight w:val="none"/>
              </w:rPr>
              <w:t>分；就餐的时间地点安排存在明显不合理、或不科学之处的得</w:t>
            </w:r>
            <w:r>
              <w:rPr>
                <w:rFonts w:hint="eastAsia" w:ascii="仿宋" w:hAnsi="仿宋" w:eastAsia="仿宋"/>
                <w:color w:val="auto"/>
                <w:szCs w:val="21"/>
                <w:highlight w:val="none"/>
                <w:lang w:val="en-US" w:eastAsia="zh-CN"/>
              </w:rPr>
              <w:t>2</w:t>
            </w:r>
            <w:r>
              <w:rPr>
                <w:rFonts w:hint="eastAsia" w:ascii="仿宋" w:hAnsi="仿宋" w:eastAsia="仿宋"/>
                <w:color w:val="auto"/>
                <w:szCs w:val="21"/>
                <w:highlight w:val="none"/>
              </w:rPr>
              <w:t>分。</w:t>
            </w:r>
          </w:p>
          <w:p w14:paraId="1EFE07AB">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2）人均餐饮标准高，菜单搭配合理的</w:t>
            </w:r>
            <w:r>
              <w:rPr>
                <w:rFonts w:hint="eastAsia" w:ascii="仿宋" w:hAnsi="仿宋" w:eastAsia="仿宋"/>
                <w:color w:val="auto"/>
                <w:szCs w:val="21"/>
                <w:highlight w:val="none"/>
                <w:lang w:val="en-US" w:eastAsia="zh-CN"/>
              </w:rPr>
              <w:t>得6</w:t>
            </w:r>
            <w:r>
              <w:rPr>
                <w:rFonts w:hint="eastAsia" w:ascii="仿宋" w:hAnsi="仿宋" w:eastAsia="仿宋"/>
                <w:color w:val="auto"/>
                <w:szCs w:val="21"/>
                <w:highlight w:val="none"/>
              </w:rPr>
              <w:t>分；人均餐饮标准一般，菜单搭配比较合理的得</w:t>
            </w:r>
            <w:r>
              <w:rPr>
                <w:rFonts w:hint="eastAsia" w:ascii="仿宋" w:hAnsi="仿宋" w:eastAsia="仿宋"/>
                <w:color w:val="auto"/>
                <w:szCs w:val="21"/>
                <w:highlight w:val="none"/>
                <w:lang w:val="en-US" w:eastAsia="zh-CN"/>
              </w:rPr>
              <w:t>4</w:t>
            </w:r>
            <w:r>
              <w:rPr>
                <w:rFonts w:hint="eastAsia" w:ascii="仿宋" w:hAnsi="仿宋" w:eastAsia="仿宋"/>
                <w:color w:val="auto"/>
                <w:szCs w:val="21"/>
                <w:highlight w:val="none"/>
              </w:rPr>
              <w:t>分；餐饮标准不达标、或菜单搭配</w:t>
            </w:r>
            <w:r>
              <w:rPr>
                <w:rFonts w:hint="eastAsia" w:ascii="仿宋" w:hAnsi="仿宋" w:eastAsia="仿宋"/>
                <w:color w:val="auto"/>
                <w:szCs w:val="21"/>
                <w:highlight w:val="none"/>
                <w:lang w:val="en-US" w:eastAsia="zh-CN"/>
              </w:rPr>
              <w:t>有瑕疵</w:t>
            </w:r>
            <w:r>
              <w:rPr>
                <w:rFonts w:hint="eastAsia" w:ascii="仿宋" w:hAnsi="仿宋" w:eastAsia="仿宋"/>
                <w:color w:val="auto"/>
                <w:szCs w:val="21"/>
                <w:highlight w:val="none"/>
              </w:rPr>
              <w:t>的得</w:t>
            </w:r>
            <w:r>
              <w:rPr>
                <w:rFonts w:hint="eastAsia" w:ascii="仿宋" w:hAnsi="仿宋" w:eastAsia="仿宋"/>
                <w:color w:val="auto"/>
                <w:szCs w:val="21"/>
                <w:highlight w:val="none"/>
                <w:lang w:val="en-US" w:eastAsia="zh-CN"/>
              </w:rPr>
              <w:t>2</w:t>
            </w:r>
            <w:r>
              <w:rPr>
                <w:rFonts w:hint="eastAsia" w:ascii="仿宋" w:hAnsi="仿宋" w:eastAsia="仿宋"/>
                <w:color w:val="auto"/>
                <w:szCs w:val="21"/>
                <w:highlight w:val="none"/>
              </w:rPr>
              <w:t>分。</w:t>
            </w:r>
          </w:p>
          <w:p w14:paraId="57D1C9EF">
            <w:pPr>
              <w:spacing w:line="400" w:lineRule="exact"/>
              <w:jc w:val="left"/>
              <w:rPr>
                <w:rFonts w:hint="eastAsia" w:ascii="仿宋" w:hAnsi="仿宋" w:eastAsia="仿宋"/>
                <w:color w:val="auto"/>
                <w:szCs w:val="21"/>
                <w:highlight w:val="none"/>
              </w:rPr>
            </w:pPr>
            <w:r>
              <w:rPr>
                <w:rFonts w:hint="eastAsia" w:ascii="仿宋" w:hAnsi="仿宋" w:eastAsia="仿宋"/>
                <w:b/>
                <w:bCs/>
                <w:color w:val="auto"/>
                <w:szCs w:val="21"/>
                <w:highlight w:val="none"/>
              </w:rPr>
              <w:t>（提供彩色实景照片，方案中需明确餐厅的名称、星级、招牌或特色菜品介绍等信息）</w:t>
            </w:r>
          </w:p>
        </w:tc>
      </w:tr>
      <w:tr w14:paraId="20DF6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065" w:type="dxa"/>
            <w:vMerge w:val="continue"/>
            <w:noWrap w:val="0"/>
            <w:vAlign w:val="center"/>
          </w:tcPr>
          <w:p w14:paraId="5515031A">
            <w:pPr>
              <w:spacing w:line="400" w:lineRule="exact"/>
              <w:jc w:val="center"/>
              <w:rPr>
                <w:rFonts w:hint="eastAsia" w:ascii="仿宋" w:hAnsi="仿宋" w:eastAsia="仿宋"/>
                <w:color w:val="auto"/>
                <w:szCs w:val="21"/>
                <w:highlight w:val="none"/>
              </w:rPr>
            </w:pPr>
          </w:p>
        </w:tc>
        <w:tc>
          <w:tcPr>
            <w:tcW w:w="8363" w:type="dxa"/>
            <w:noWrap w:val="0"/>
            <w:vAlign w:val="center"/>
          </w:tcPr>
          <w:p w14:paraId="4C732D0D">
            <w:pPr>
              <w:spacing w:line="400" w:lineRule="exact"/>
              <w:jc w:val="left"/>
              <w:rPr>
                <w:rFonts w:hint="eastAsia" w:ascii="仿宋" w:hAnsi="仿宋" w:eastAsia="仿宋" w:cs="Times New Roman"/>
                <w:b/>
                <w:bCs/>
                <w:color w:val="auto"/>
                <w:szCs w:val="21"/>
                <w:highlight w:val="none"/>
              </w:rPr>
            </w:pPr>
            <w:r>
              <w:rPr>
                <w:rFonts w:hint="eastAsia" w:ascii="仿宋" w:hAnsi="仿宋" w:eastAsia="仿宋"/>
                <w:b/>
                <w:bCs/>
                <w:color w:val="auto"/>
                <w:szCs w:val="21"/>
                <w:highlight w:val="none"/>
              </w:rPr>
              <w:t>4、</w:t>
            </w:r>
            <w:r>
              <w:rPr>
                <w:rFonts w:hint="eastAsia" w:ascii="仿宋" w:hAnsi="仿宋" w:eastAsia="仿宋" w:cs="Times New Roman"/>
                <w:b/>
                <w:bCs/>
                <w:color w:val="auto"/>
                <w:szCs w:val="21"/>
                <w:highlight w:val="none"/>
                <w:lang w:val="en-US" w:eastAsia="zh-CN"/>
              </w:rPr>
              <w:t>交通安排</w:t>
            </w:r>
            <w:r>
              <w:rPr>
                <w:rFonts w:hint="eastAsia" w:ascii="仿宋" w:hAnsi="仿宋" w:eastAsia="仿宋" w:cs="Times New Roman"/>
                <w:b/>
                <w:bCs/>
                <w:color w:val="auto"/>
                <w:szCs w:val="21"/>
                <w:highlight w:val="none"/>
              </w:rPr>
              <w:t>（</w:t>
            </w:r>
            <w:r>
              <w:rPr>
                <w:rFonts w:hint="eastAsia" w:ascii="仿宋" w:hAnsi="仿宋" w:eastAsia="仿宋" w:cs="Times New Roman"/>
                <w:b/>
                <w:bCs/>
                <w:color w:val="auto"/>
                <w:szCs w:val="21"/>
                <w:highlight w:val="none"/>
                <w:lang w:val="en-US" w:eastAsia="zh-CN"/>
              </w:rPr>
              <w:t>12</w:t>
            </w:r>
            <w:r>
              <w:rPr>
                <w:rFonts w:hint="eastAsia" w:ascii="仿宋" w:hAnsi="仿宋" w:eastAsia="仿宋" w:cs="Times New Roman"/>
                <w:b/>
                <w:bCs/>
                <w:color w:val="auto"/>
                <w:szCs w:val="21"/>
                <w:highlight w:val="none"/>
              </w:rPr>
              <w:t>分）</w:t>
            </w:r>
          </w:p>
          <w:p w14:paraId="2C677955">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根据</w:t>
            </w:r>
            <w:r>
              <w:rPr>
                <w:rFonts w:hint="eastAsia" w:ascii="仿宋" w:hAnsi="仿宋" w:eastAsia="仿宋"/>
                <w:color w:val="auto"/>
                <w:szCs w:val="21"/>
                <w:highlight w:val="none"/>
                <w:lang w:val="en-US" w:eastAsia="zh-CN"/>
              </w:rPr>
              <w:t>投标人</w:t>
            </w:r>
            <w:r>
              <w:rPr>
                <w:rFonts w:hint="eastAsia" w:ascii="仿宋" w:hAnsi="仿宋" w:eastAsia="仿宋"/>
                <w:color w:val="auto"/>
                <w:szCs w:val="21"/>
                <w:highlight w:val="none"/>
              </w:rPr>
              <w:t>针对本项目</w:t>
            </w:r>
            <w:r>
              <w:rPr>
                <w:rFonts w:hint="eastAsia" w:ascii="仿宋" w:hAnsi="仿宋" w:eastAsia="仿宋"/>
                <w:color w:val="auto"/>
                <w:szCs w:val="21"/>
                <w:highlight w:val="none"/>
                <w:lang w:val="en-US" w:eastAsia="zh-CN"/>
              </w:rPr>
              <w:t>疗休养线路</w:t>
            </w:r>
            <w:r>
              <w:rPr>
                <w:rFonts w:hint="eastAsia" w:ascii="仿宋" w:hAnsi="仿宋" w:eastAsia="仿宋"/>
                <w:color w:val="auto"/>
                <w:szCs w:val="21"/>
                <w:highlight w:val="none"/>
              </w:rPr>
              <w:t>的车辆安排（包括车辆新旧程度、拟派驾驶员的专业水平、车辆安全性能、车辆配置的舒适性、出行时间）进行评议：</w:t>
            </w:r>
          </w:p>
          <w:p w14:paraId="635635A1">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1）驾驶员专业水平高经验丰富、车辆安全性能高的得6分；驾驶员具有一定经验、车辆安全性能较高的得4分；驾驶员经验一般、车辆安全性能一般的得2分；</w:t>
            </w:r>
          </w:p>
          <w:p w14:paraId="4DB1D46E">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2）车辆车型档次高、内部舒适度好得6分；车辆车型档次较好、内部舒适度较好的得4分；车辆车型一般、内部舒适度一般的得2分。</w:t>
            </w:r>
          </w:p>
          <w:p w14:paraId="554A3D09">
            <w:pPr>
              <w:spacing w:line="400" w:lineRule="exact"/>
              <w:jc w:val="left"/>
              <w:rPr>
                <w:rFonts w:hint="eastAsia" w:ascii="仿宋" w:hAnsi="仿宋" w:eastAsia="仿宋"/>
                <w:color w:val="auto"/>
                <w:szCs w:val="21"/>
                <w:highlight w:val="none"/>
              </w:rPr>
            </w:pPr>
            <w:r>
              <w:rPr>
                <w:rFonts w:hint="eastAsia" w:ascii="仿宋" w:hAnsi="仿宋" w:eastAsia="仿宋"/>
                <w:b/>
                <w:bCs/>
                <w:color w:val="auto"/>
                <w:szCs w:val="21"/>
                <w:highlight w:val="none"/>
              </w:rPr>
              <w:t>（提供车辆外观、内部真实彩照，方案中需明确车辆安排等信息）</w:t>
            </w:r>
          </w:p>
        </w:tc>
      </w:tr>
      <w:tr w14:paraId="16575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065" w:type="dxa"/>
            <w:vMerge w:val="continue"/>
            <w:noWrap w:val="0"/>
            <w:vAlign w:val="center"/>
          </w:tcPr>
          <w:p w14:paraId="22BBBC74">
            <w:pPr>
              <w:spacing w:line="400" w:lineRule="exact"/>
              <w:jc w:val="center"/>
              <w:rPr>
                <w:rFonts w:hint="eastAsia" w:ascii="仿宋" w:hAnsi="仿宋" w:eastAsia="仿宋"/>
                <w:color w:val="auto"/>
                <w:szCs w:val="21"/>
                <w:highlight w:val="none"/>
              </w:rPr>
            </w:pPr>
          </w:p>
        </w:tc>
        <w:tc>
          <w:tcPr>
            <w:tcW w:w="8363" w:type="dxa"/>
            <w:noWrap w:val="0"/>
            <w:vAlign w:val="center"/>
          </w:tcPr>
          <w:p w14:paraId="6C3DF02B">
            <w:pPr>
              <w:spacing w:line="400" w:lineRule="exact"/>
              <w:jc w:val="left"/>
              <w:rPr>
                <w:rFonts w:hint="eastAsia" w:ascii="仿宋" w:hAnsi="仿宋" w:eastAsia="仿宋" w:cs="Times New Roman"/>
                <w:b/>
                <w:bCs/>
                <w:color w:val="auto"/>
                <w:szCs w:val="21"/>
                <w:highlight w:val="none"/>
                <w:lang w:eastAsia="zh-CN"/>
              </w:rPr>
            </w:pPr>
            <w:r>
              <w:rPr>
                <w:rFonts w:hint="eastAsia" w:ascii="仿宋" w:hAnsi="仿宋" w:eastAsia="仿宋"/>
                <w:b/>
                <w:bCs/>
                <w:color w:val="auto"/>
                <w:szCs w:val="21"/>
                <w:highlight w:val="none"/>
                <w:lang w:val="en-US" w:eastAsia="zh-CN"/>
              </w:rPr>
              <w:t>5、</w:t>
            </w:r>
            <w:r>
              <w:rPr>
                <w:rFonts w:hint="eastAsia" w:ascii="仿宋" w:hAnsi="仿宋" w:eastAsia="仿宋" w:cs="Times New Roman"/>
                <w:b/>
                <w:bCs/>
                <w:color w:val="auto"/>
                <w:szCs w:val="21"/>
                <w:highlight w:val="none"/>
              </w:rPr>
              <w:t>团队人员安排</w:t>
            </w:r>
            <w:r>
              <w:rPr>
                <w:rFonts w:hint="eastAsia" w:ascii="仿宋" w:hAnsi="仿宋" w:eastAsia="仿宋" w:cs="Times New Roman"/>
                <w:b/>
                <w:bCs/>
                <w:color w:val="auto"/>
                <w:szCs w:val="21"/>
                <w:highlight w:val="none"/>
                <w:lang w:eastAsia="zh-CN"/>
              </w:rPr>
              <w:t>（</w:t>
            </w:r>
            <w:r>
              <w:rPr>
                <w:rFonts w:hint="eastAsia" w:ascii="仿宋" w:hAnsi="仿宋" w:eastAsia="仿宋" w:cs="Times New Roman"/>
                <w:b/>
                <w:bCs/>
                <w:color w:val="auto"/>
                <w:szCs w:val="21"/>
                <w:highlight w:val="none"/>
                <w:lang w:val="en-US" w:eastAsia="zh-CN"/>
              </w:rPr>
              <w:t>6分</w:t>
            </w:r>
            <w:r>
              <w:rPr>
                <w:rFonts w:hint="eastAsia" w:ascii="仿宋" w:hAnsi="仿宋" w:eastAsia="仿宋" w:cs="Times New Roman"/>
                <w:b/>
                <w:bCs/>
                <w:color w:val="auto"/>
                <w:szCs w:val="21"/>
                <w:highlight w:val="none"/>
                <w:lang w:eastAsia="zh-CN"/>
              </w:rPr>
              <w:t>）</w:t>
            </w:r>
          </w:p>
          <w:p w14:paraId="661E82B4">
            <w:pPr>
              <w:spacing w:line="400" w:lineRule="exact"/>
              <w:jc w:val="left"/>
              <w:rPr>
                <w:rFonts w:hint="eastAsia" w:ascii="仿宋" w:hAnsi="仿宋" w:eastAsia="仿宋" w:cs="Times New Roman"/>
                <w:color w:val="auto"/>
                <w:szCs w:val="21"/>
                <w:highlight w:val="none"/>
              </w:rPr>
            </w:pPr>
            <w:r>
              <w:rPr>
                <w:rFonts w:hint="eastAsia" w:ascii="仿宋" w:hAnsi="仿宋" w:eastAsia="仿宋" w:cs="Times New Roman"/>
                <w:color w:val="auto"/>
                <w:szCs w:val="21"/>
                <w:highlight w:val="none"/>
              </w:rPr>
              <w:t>根据</w:t>
            </w:r>
            <w:r>
              <w:rPr>
                <w:rFonts w:hint="eastAsia" w:ascii="仿宋" w:hAnsi="仿宋" w:eastAsia="仿宋" w:cs="Times New Roman"/>
                <w:color w:val="auto"/>
                <w:szCs w:val="21"/>
                <w:highlight w:val="none"/>
                <w:lang w:val="en-US" w:eastAsia="zh-CN"/>
              </w:rPr>
              <w:t>投标人</w:t>
            </w:r>
            <w:r>
              <w:rPr>
                <w:rFonts w:hint="eastAsia" w:ascii="仿宋" w:hAnsi="仿宋" w:eastAsia="仿宋" w:cs="Times New Roman"/>
                <w:color w:val="auto"/>
                <w:szCs w:val="21"/>
                <w:highlight w:val="none"/>
              </w:rPr>
              <w:t>针对本项目的团队人员安排（包括服务人员专业结构配置、人员配备数量、岗位分工情况、带团人员经验丰富）进行评议：</w:t>
            </w:r>
          </w:p>
          <w:p w14:paraId="0CC758EE">
            <w:pPr>
              <w:spacing w:line="400" w:lineRule="exact"/>
              <w:jc w:val="left"/>
              <w:rPr>
                <w:rFonts w:hint="eastAsia" w:ascii="仿宋" w:hAnsi="仿宋" w:eastAsia="仿宋" w:cs="Times New Roman"/>
                <w:color w:val="auto"/>
                <w:szCs w:val="21"/>
                <w:highlight w:val="none"/>
              </w:rPr>
            </w:pPr>
            <w:r>
              <w:rPr>
                <w:rFonts w:hint="eastAsia" w:ascii="仿宋" w:hAnsi="仿宋" w:eastAsia="仿宋" w:cs="Times New Roman"/>
                <w:color w:val="auto"/>
                <w:szCs w:val="21"/>
                <w:highlight w:val="none"/>
                <w:lang w:val="en-US" w:eastAsia="zh-CN"/>
              </w:rPr>
              <w:t>团队人员配置</w:t>
            </w:r>
            <w:r>
              <w:rPr>
                <w:rFonts w:hint="eastAsia" w:ascii="仿宋" w:hAnsi="仿宋" w:eastAsia="仿宋" w:cs="Times New Roman"/>
                <w:color w:val="auto"/>
                <w:szCs w:val="21"/>
                <w:highlight w:val="none"/>
              </w:rPr>
              <w:t>齐全、完整，带团人员经验丰富的得</w:t>
            </w:r>
            <w:r>
              <w:rPr>
                <w:rFonts w:hint="eastAsia" w:ascii="仿宋" w:hAnsi="仿宋" w:eastAsia="仿宋" w:cs="Times New Roman"/>
                <w:color w:val="auto"/>
                <w:szCs w:val="21"/>
                <w:highlight w:val="none"/>
                <w:lang w:val="en-US" w:eastAsia="zh-CN"/>
              </w:rPr>
              <w:t>6</w:t>
            </w:r>
            <w:r>
              <w:rPr>
                <w:rFonts w:hint="eastAsia" w:ascii="仿宋" w:hAnsi="仿宋" w:eastAsia="仿宋" w:cs="Times New Roman"/>
                <w:color w:val="auto"/>
                <w:szCs w:val="21"/>
                <w:highlight w:val="none"/>
              </w:rPr>
              <w:t>分；</w:t>
            </w:r>
          </w:p>
          <w:p w14:paraId="5FD0B97F">
            <w:pPr>
              <w:spacing w:line="400" w:lineRule="exact"/>
              <w:jc w:val="left"/>
              <w:rPr>
                <w:rFonts w:hint="eastAsia" w:ascii="仿宋" w:hAnsi="仿宋" w:eastAsia="仿宋" w:cs="Times New Roman"/>
                <w:color w:val="auto"/>
                <w:szCs w:val="21"/>
                <w:highlight w:val="none"/>
              </w:rPr>
            </w:pPr>
            <w:r>
              <w:rPr>
                <w:rFonts w:hint="eastAsia" w:ascii="仿宋" w:hAnsi="仿宋" w:eastAsia="仿宋" w:cs="Times New Roman"/>
                <w:color w:val="auto"/>
                <w:szCs w:val="21"/>
                <w:highlight w:val="none"/>
                <w:lang w:val="en-US" w:eastAsia="zh-CN"/>
              </w:rPr>
              <w:t>团队人员配置</w:t>
            </w:r>
            <w:r>
              <w:rPr>
                <w:rFonts w:hint="eastAsia" w:ascii="仿宋" w:hAnsi="仿宋" w:eastAsia="仿宋" w:cs="Times New Roman"/>
                <w:color w:val="auto"/>
                <w:szCs w:val="21"/>
                <w:highlight w:val="none"/>
              </w:rPr>
              <w:t>基本完整、可行，带团人员具备一定经验得</w:t>
            </w:r>
            <w:r>
              <w:rPr>
                <w:rFonts w:hint="eastAsia" w:ascii="仿宋" w:hAnsi="仿宋" w:eastAsia="仿宋" w:cs="Times New Roman"/>
                <w:color w:val="auto"/>
                <w:szCs w:val="21"/>
                <w:highlight w:val="none"/>
                <w:lang w:val="en-US" w:eastAsia="zh-CN"/>
              </w:rPr>
              <w:t>4</w:t>
            </w:r>
            <w:r>
              <w:rPr>
                <w:rFonts w:hint="eastAsia" w:ascii="仿宋" w:hAnsi="仿宋" w:eastAsia="仿宋" w:cs="Times New Roman"/>
                <w:color w:val="auto"/>
                <w:szCs w:val="21"/>
                <w:highlight w:val="none"/>
              </w:rPr>
              <w:t>分；</w:t>
            </w:r>
          </w:p>
          <w:p w14:paraId="15A413EE">
            <w:pPr>
              <w:spacing w:line="400" w:lineRule="exact"/>
              <w:jc w:val="left"/>
              <w:rPr>
                <w:rFonts w:hint="eastAsia" w:ascii="仿宋" w:hAnsi="仿宋" w:eastAsia="仿宋"/>
                <w:color w:val="auto"/>
                <w:szCs w:val="21"/>
                <w:highlight w:val="none"/>
                <w:lang w:val="en-US" w:eastAsia="zh-CN"/>
              </w:rPr>
            </w:pPr>
            <w:r>
              <w:rPr>
                <w:rFonts w:hint="eastAsia" w:ascii="仿宋" w:hAnsi="仿宋" w:eastAsia="仿宋" w:cs="Times New Roman"/>
                <w:color w:val="auto"/>
                <w:szCs w:val="21"/>
                <w:highlight w:val="none"/>
                <w:lang w:val="en-US" w:eastAsia="zh-CN"/>
              </w:rPr>
              <w:t>团队人员配置</w:t>
            </w:r>
            <w:r>
              <w:rPr>
                <w:rFonts w:hint="eastAsia" w:ascii="仿宋" w:hAnsi="仿宋" w:eastAsia="仿宋" w:cs="Times New Roman"/>
                <w:color w:val="auto"/>
                <w:szCs w:val="21"/>
                <w:highlight w:val="none"/>
              </w:rPr>
              <w:t>不齐全、带团人员没有该线路经验的得</w:t>
            </w:r>
            <w:r>
              <w:rPr>
                <w:rFonts w:hint="eastAsia" w:ascii="仿宋" w:hAnsi="仿宋" w:eastAsia="仿宋" w:cs="Times New Roman"/>
                <w:color w:val="auto"/>
                <w:szCs w:val="21"/>
                <w:highlight w:val="none"/>
                <w:lang w:val="en-US" w:eastAsia="zh-CN"/>
              </w:rPr>
              <w:t>2</w:t>
            </w:r>
            <w:r>
              <w:rPr>
                <w:rFonts w:hint="eastAsia" w:ascii="仿宋" w:hAnsi="仿宋" w:eastAsia="仿宋" w:cs="Times New Roman"/>
                <w:color w:val="auto"/>
                <w:szCs w:val="21"/>
                <w:highlight w:val="none"/>
              </w:rPr>
              <w:t>分。</w:t>
            </w:r>
          </w:p>
        </w:tc>
      </w:tr>
      <w:tr w14:paraId="3397A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065" w:type="dxa"/>
            <w:vMerge w:val="continue"/>
            <w:noWrap w:val="0"/>
            <w:vAlign w:val="center"/>
          </w:tcPr>
          <w:p w14:paraId="2F9B1C6A">
            <w:pPr>
              <w:spacing w:line="400" w:lineRule="exact"/>
              <w:jc w:val="center"/>
              <w:rPr>
                <w:rFonts w:hint="eastAsia" w:ascii="仿宋" w:hAnsi="仿宋" w:eastAsia="仿宋"/>
                <w:color w:val="auto"/>
                <w:szCs w:val="21"/>
                <w:highlight w:val="none"/>
              </w:rPr>
            </w:pPr>
          </w:p>
        </w:tc>
        <w:tc>
          <w:tcPr>
            <w:tcW w:w="8363" w:type="dxa"/>
            <w:noWrap w:val="0"/>
            <w:vAlign w:val="center"/>
          </w:tcPr>
          <w:p w14:paraId="5B73052F">
            <w:pPr>
              <w:spacing w:line="400" w:lineRule="exact"/>
              <w:jc w:val="left"/>
              <w:rPr>
                <w:rFonts w:hint="eastAsia" w:ascii="仿宋" w:hAnsi="仿宋" w:eastAsia="仿宋"/>
                <w:b/>
                <w:bCs/>
                <w:color w:val="auto"/>
                <w:szCs w:val="21"/>
                <w:highlight w:val="none"/>
              </w:rPr>
            </w:pPr>
            <w:r>
              <w:rPr>
                <w:rFonts w:hint="eastAsia" w:ascii="仿宋" w:hAnsi="仿宋" w:eastAsia="仿宋" w:cs="Times New Roman"/>
                <w:b/>
                <w:bCs/>
                <w:color w:val="auto"/>
                <w:szCs w:val="21"/>
                <w:highlight w:val="none"/>
              </w:rPr>
              <w:t>6、</w:t>
            </w:r>
            <w:r>
              <w:rPr>
                <w:rFonts w:hint="eastAsia" w:ascii="仿宋" w:hAnsi="仿宋" w:eastAsia="仿宋" w:cs="Times New Roman"/>
                <w:b/>
                <w:bCs/>
                <w:color w:val="auto"/>
                <w:szCs w:val="21"/>
                <w:highlight w:val="none"/>
                <w:lang w:val="en-US" w:eastAsia="zh-CN"/>
              </w:rPr>
              <w:t>拟派</w:t>
            </w:r>
            <w:r>
              <w:rPr>
                <w:rFonts w:hint="eastAsia" w:ascii="仿宋" w:hAnsi="仿宋" w:eastAsia="仿宋"/>
                <w:b/>
                <w:bCs/>
                <w:color w:val="auto"/>
                <w:szCs w:val="21"/>
                <w:highlight w:val="none"/>
              </w:rPr>
              <w:t>导游人员</w:t>
            </w:r>
            <w:r>
              <w:rPr>
                <w:rFonts w:hint="eastAsia" w:ascii="仿宋" w:hAnsi="仿宋" w:eastAsia="仿宋"/>
                <w:b/>
                <w:bCs/>
                <w:color w:val="auto"/>
                <w:szCs w:val="21"/>
                <w:highlight w:val="none"/>
                <w:lang w:val="en-US" w:eastAsia="zh-CN"/>
              </w:rPr>
              <w:t>情况</w:t>
            </w:r>
            <w:r>
              <w:rPr>
                <w:rFonts w:hint="eastAsia" w:ascii="仿宋" w:hAnsi="仿宋" w:eastAsia="仿宋"/>
                <w:b/>
                <w:bCs/>
                <w:color w:val="auto"/>
                <w:szCs w:val="21"/>
                <w:highlight w:val="none"/>
              </w:rPr>
              <w:t>（</w:t>
            </w:r>
            <w:r>
              <w:rPr>
                <w:rFonts w:hint="eastAsia" w:ascii="仿宋" w:hAnsi="仿宋" w:eastAsia="仿宋"/>
                <w:b/>
                <w:bCs/>
                <w:color w:val="auto"/>
                <w:szCs w:val="21"/>
                <w:highlight w:val="none"/>
                <w:lang w:val="en-US" w:eastAsia="zh-CN"/>
              </w:rPr>
              <w:t>4</w:t>
            </w:r>
            <w:r>
              <w:rPr>
                <w:rFonts w:hint="eastAsia" w:ascii="仿宋" w:hAnsi="仿宋" w:eastAsia="仿宋"/>
                <w:b/>
                <w:bCs/>
                <w:color w:val="auto"/>
                <w:szCs w:val="21"/>
                <w:highlight w:val="none"/>
              </w:rPr>
              <w:t>分）</w:t>
            </w:r>
          </w:p>
          <w:p w14:paraId="6282B5A5">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根据</w:t>
            </w:r>
            <w:r>
              <w:rPr>
                <w:rFonts w:hint="eastAsia" w:ascii="仿宋" w:hAnsi="仿宋" w:eastAsia="仿宋"/>
                <w:color w:val="auto"/>
                <w:szCs w:val="21"/>
                <w:highlight w:val="none"/>
                <w:lang w:val="en-US" w:eastAsia="zh-CN"/>
              </w:rPr>
              <w:t>投标人</w:t>
            </w:r>
            <w:r>
              <w:rPr>
                <w:rFonts w:hint="eastAsia" w:ascii="仿宋" w:hAnsi="仿宋" w:eastAsia="仿宋"/>
                <w:color w:val="auto"/>
                <w:szCs w:val="21"/>
                <w:highlight w:val="none"/>
              </w:rPr>
              <w:t>拟投入本项目的导游人员情况进行评议：具有初级导游每提供一个得</w:t>
            </w:r>
            <w:r>
              <w:rPr>
                <w:rFonts w:hint="eastAsia" w:ascii="仿宋" w:hAnsi="仿宋" w:eastAsia="仿宋"/>
                <w:color w:val="auto"/>
                <w:szCs w:val="21"/>
                <w:highlight w:val="none"/>
                <w:lang w:val="en-US" w:eastAsia="zh-CN"/>
              </w:rPr>
              <w:t>0.5</w:t>
            </w:r>
            <w:r>
              <w:rPr>
                <w:rFonts w:hint="eastAsia" w:ascii="仿宋" w:hAnsi="仿宋" w:eastAsia="仿宋"/>
                <w:color w:val="auto"/>
                <w:szCs w:val="21"/>
                <w:highlight w:val="none"/>
              </w:rPr>
              <w:t>分，具有中级导游每提供一个得</w:t>
            </w:r>
            <w:r>
              <w:rPr>
                <w:rFonts w:hint="eastAsia" w:ascii="仿宋" w:hAnsi="仿宋" w:eastAsia="仿宋"/>
                <w:color w:val="auto"/>
                <w:szCs w:val="21"/>
                <w:highlight w:val="none"/>
                <w:lang w:val="en-US" w:eastAsia="zh-CN"/>
              </w:rPr>
              <w:t>1</w:t>
            </w:r>
            <w:r>
              <w:rPr>
                <w:rFonts w:hint="eastAsia" w:ascii="仿宋" w:hAnsi="仿宋" w:eastAsia="仿宋"/>
                <w:color w:val="auto"/>
                <w:szCs w:val="21"/>
                <w:highlight w:val="none"/>
              </w:rPr>
              <w:t>分，具有高级导游每提供一个得</w:t>
            </w:r>
            <w:r>
              <w:rPr>
                <w:rFonts w:hint="eastAsia" w:ascii="仿宋" w:hAnsi="仿宋" w:eastAsia="仿宋"/>
                <w:color w:val="auto"/>
                <w:szCs w:val="21"/>
                <w:highlight w:val="none"/>
                <w:lang w:val="en-US" w:eastAsia="zh-CN"/>
              </w:rPr>
              <w:t>1.5</w:t>
            </w:r>
            <w:r>
              <w:rPr>
                <w:rFonts w:hint="eastAsia" w:ascii="仿宋" w:hAnsi="仿宋" w:eastAsia="仿宋"/>
                <w:color w:val="auto"/>
                <w:szCs w:val="21"/>
                <w:highlight w:val="none"/>
              </w:rPr>
              <w:t>分，本项最高得</w:t>
            </w:r>
            <w:r>
              <w:rPr>
                <w:rFonts w:hint="eastAsia" w:ascii="仿宋" w:hAnsi="仿宋" w:eastAsia="仿宋"/>
                <w:color w:val="auto"/>
                <w:szCs w:val="21"/>
                <w:highlight w:val="none"/>
                <w:lang w:val="en-US" w:eastAsia="zh-CN"/>
              </w:rPr>
              <w:t>4</w:t>
            </w:r>
            <w:r>
              <w:rPr>
                <w:rFonts w:hint="eastAsia" w:ascii="仿宋" w:hAnsi="仿宋" w:eastAsia="仿宋"/>
                <w:color w:val="auto"/>
                <w:szCs w:val="21"/>
                <w:highlight w:val="none"/>
              </w:rPr>
              <w:t>分；同一人的导游按级别最高的得分，不累计得分。</w:t>
            </w:r>
          </w:p>
          <w:p w14:paraId="461F7AE8">
            <w:pPr>
              <w:spacing w:line="400" w:lineRule="exact"/>
              <w:jc w:val="left"/>
              <w:rPr>
                <w:rFonts w:hint="eastAsia" w:eastAsia="仿宋"/>
                <w:highlight w:val="none"/>
                <w:lang w:val="en-US" w:eastAsia="zh-CN"/>
              </w:rPr>
            </w:pPr>
            <w:r>
              <w:rPr>
                <w:rFonts w:hint="eastAsia" w:ascii="仿宋" w:hAnsi="仿宋" w:eastAsia="仿宋"/>
                <w:b/>
                <w:bCs/>
                <w:color w:val="auto"/>
                <w:szCs w:val="21"/>
                <w:highlight w:val="none"/>
              </w:rPr>
              <w:t>注：</w:t>
            </w:r>
            <w:r>
              <w:rPr>
                <w:rFonts w:hint="eastAsia" w:ascii="仿宋" w:hAnsi="仿宋" w:eastAsia="仿宋"/>
                <w:b/>
                <w:bCs/>
                <w:color w:val="auto"/>
                <w:szCs w:val="21"/>
                <w:highlight w:val="none"/>
                <w:lang w:val="en-US" w:eastAsia="zh-CN"/>
              </w:rPr>
              <w:t>投标文件</w:t>
            </w:r>
            <w:r>
              <w:rPr>
                <w:rFonts w:hint="eastAsia" w:ascii="仿宋" w:hAnsi="仿宋" w:eastAsia="仿宋"/>
                <w:b/>
                <w:bCs/>
                <w:color w:val="auto"/>
                <w:szCs w:val="21"/>
                <w:highlight w:val="none"/>
              </w:rPr>
              <w:t>中须提供证书复印件</w:t>
            </w:r>
            <w:r>
              <w:rPr>
                <w:rFonts w:hint="eastAsia" w:ascii="仿宋" w:hAnsi="仿宋" w:eastAsia="仿宋"/>
                <w:b/>
                <w:bCs/>
                <w:color w:val="auto"/>
                <w:szCs w:val="21"/>
                <w:highlight w:val="none"/>
                <w:lang w:val="en-US" w:eastAsia="zh-CN"/>
              </w:rPr>
              <w:t>及投标人为其缴纳的社保证明复印件</w:t>
            </w:r>
            <w:r>
              <w:rPr>
                <w:rFonts w:hint="eastAsia" w:ascii="仿宋" w:hAnsi="仿宋" w:eastAsia="仿宋"/>
                <w:b/>
                <w:bCs/>
                <w:color w:val="auto"/>
                <w:szCs w:val="21"/>
                <w:highlight w:val="none"/>
              </w:rPr>
              <w:t>，未按要求提供的不得分。</w:t>
            </w:r>
          </w:p>
        </w:tc>
      </w:tr>
      <w:tr w14:paraId="1D188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065" w:type="dxa"/>
            <w:vMerge w:val="continue"/>
            <w:noWrap w:val="0"/>
            <w:vAlign w:val="center"/>
          </w:tcPr>
          <w:p w14:paraId="76528992">
            <w:pPr>
              <w:spacing w:line="400" w:lineRule="exact"/>
              <w:jc w:val="center"/>
              <w:rPr>
                <w:rFonts w:hint="eastAsia" w:ascii="仿宋" w:hAnsi="仿宋" w:eastAsia="仿宋"/>
                <w:color w:val="auto"/>
                <w:szCs w:val="21"/>
                <w:highlight w:val="none"/>
              </w:rPr>
            </w:pPr>
          </w:p>
        </w:tc>
        <w:tc>
          <w:tcPr>
            <w:tcW w:w="8363" w:type="dxa"/>
            <w:noWrap w:val="0"/>
            <w:vAlign w:val="center"/>
          </w:tcPr>
          <w:p w14:paraId="4327DBF6">
            <w:pPr>
              <w:spacing w:line="400" w:lineRule="exact"/>
              <w:jc w:val="left"/>
              <w:rPr>
                <w:rFonts w:hint="eastAsia" w:ascii="仿宋" w:hAnsi="仿宋" w:eastAsia="仿宋" w:cs="Times New Roman"/>
                <w:b/>
                <w:bCs/>
                <w:color w:val="auto"/>
                <w:szCs w:val="21"/>
                <w:highlight w:val="none"/>
              </w:rPr>
            </w:pPr>
            <w:r>
              <w:rPr>
                <w:rFonts w:hint="eastAsia" w:ascii="仿宋" w:hAnsi="仿宋" w:eastAsia="仿宋"/>
                <w:b/>
                <w:bCs/>
                <w:color w:val="auto"/>
                <w:szCs w:val="21"/>
                <w:highlight w:val="none"/>
              </w:rPr>
              <w:t>7、</w:t>
            </w:r>
            <w:r>
              <w:rPr>
                <w:rFonts w:hint="eastAsia" w:ascii="仿宋" w:hAnsi="仿宋" w:eastAsia="仿宋" w:cs="Times New Roman"/>
                <w:b/>
                <w:bCs/>
                <w:color w:val="auto"/>
                <w:szCs w:val="21"/>
                <w:highlight w:val="none"/>
              </w:rPr>
              <w:t>安全保障及应急预案方案（</w:t>
            </w:r>
            <w:r>
              <w:rPr>
                <w:rFonts w:hint="eastAsia" w:ascii="仿宋" w:hAnsi="仿宋" w:eastAsia="仿宋" w:cs="Times New Roman"/>
                <w:b/>
                <w:bCs/>
                <w:color w:val="auto"/>
                <w:szCs w:val="21"/>
                <w:highlight w:val="none"/>
                <w:lang w:val="en-US" w:eastAsia="zh-CN"/>
              </w:rPr>
              <w:t>6</w:t>
            </w:r>
            <w:r>
              <w:rPr>
                <w:rFonts w:hint="eastAsia" w:ascii="仿宋" w:hAnsi="仿宋" w:eastAsia="仿宋" w:cs="Times New Roman"/>
                <w:b/>
                <w:bCs/>
                <w:color w:val="auto"/>
                <w:szCs w:val="21"/>
                <w:highlight w:val="none"/>
              </w:rPr>
              <w:t>分）</w:t>
            </w:r>
          </w:p>
          <w:p w14:paraId="39FEA1AD">
            <w:pPr>
              <w:spacing w:line="400" w:lineRule="exact"/>
              <w:jc w:val="left"/>
              <w:rPr>
                <w:rFonts w:hint="eastAsia" w:ascii="仿宋" w:hAnsi="仿宋" w:eastAsia="仿宋" w:cs="Times New Roman"/>
                <w:color w:val="auto"/>
                <w:szCs w:val="21"/>
                <w:highlight w:val="none"/>
              </w:rPr>
            </w:pPr>
            <w:r>
              <w:rPr>
                <w:rFonts w:hint="eastAsia" w:ascii="仿宋" w:hAnsi="仿宋" w:eastAsia="仿宋" w:cs="Times New Roman"/>
                <w:color w:val="auto"/>
                <w:szCs w:val="21"/>
                <w:highlight w:val="none"/>
              </w:rPr>
              <w:t>根据</w:t>
            </w:r>
            <w:r>
              <w:rPr>
                <w:rFonts w:hint="eastAsia" w:ascii="仿宋" w:hAnsi="仿宋" w:eastAsia="仿宋" w:cs="Times New Roman"/>
                <w:color w:val="auto"/>
                <w:szCs w:val="21"/>
                <w:highlight w:val="none"/>
                <w:lang w:val="en-US" w:eastAsia="zh-CN"/>
              </w:rPr>
              <w:t>投标人</w:t>
            </w:r>
            <w:r>
              <w:rPr>
                <w:rFonts w:hint="eastAsia" w:ascii="仿宋" w:hAnsi="仿宋" w:eastAsia="仿宋" w:cs="Times New Roman"/>
                <w:color w:val="auto"/>
                <w:szCs w:val="21"/>
                <w:highlight w:val="none"/>
              </w:rPr>
              <w:t>针对本项目的安全保障及应急预案方案（包括安全保障及应急预案是否满足采购需求、是否有针对性、是否合理可行）进行评议：</w:t>
            </w:r>
          </w:p>
          <w:p w14:paraId="21E73425">
            <w:pPr>
              <w:spacing w:line="400" w:lineRule="exact"/>
              <w:jc w:val="left"/>
              <w:rPr>
                <w:rFonts w:hint="eastAsia" w:ascii="仿宋" w:hAnsi="仿宋" w:eastAsia="仿宋" w:cs="Times New Roman"/>
                <w:color w:val="auto"/>
                <w:szCs w:val="21"/>
                <w:highlight w:val="none"/>
              </w:rPr>
            </w:pPr>
            <w:r>
              <w:rPr>
                <w:rFonts w:hint="eastAsia" w:ascii="仿宋" w:hAnsi="仿宋" w:eastAsia="仿宋" w:cs="Times New Roman"/>
                <w:color w:val="auto"/>
                <w:szCs w:val="21"/>
                <w:highlight w:val="none"/>
              </w:rPr>
              <w:t>方案内容完善、措施得力、可行性高的得</w:t>
            </w:r>
            <w:r>
              <w:rPr>
                <w:rFonts w:hint="eastAsia" w:ascii="仿宋" w:hAnsi="仿宋" w:eastAsia="仿宋" w:cs="Times New Roman"/>
                <w:color w:val="auto"/>
                <w:szCs w:val="21"/>
                <w:highlight w:val="none"/>
                <w:lang w:val="en-US" w:eastAsia="zh-CN"/>
              </w:rPr>
              <w:t>6</w:t>
            </w:r>
            <w:r>
              <w:rPr>
                <w:rFonts w:hint="eastAsia" w:ascii="仿宋" w:hAnsi="仿宋" w:eastAsia="仿宋" w:cs="Times New Roman"/>
                <w:color w:val="auto"/>
                <w:szCs w:val="21"/>
                <w:highlight w:val="none"/>
              </w:rPr>
              <w:t>分；</w:t>
            </w:r>
          </w:p>
          <w:p w14:paraId="35BD000F">
            <w:pPr>
              <w:spacing w:line="400" w:lineRule="exact"/>
              <w:jc w:val="left"/>
              <w:rPr>
                <w:rFonts w:hint="eastAsia" w:ascii="仿宋" w:hAnsi="仿宋" w:eastAsia="仿宋" w:cs="Times New Roman"/>
                <w:color w:val="auto"/>
                <w:szCs w:val="21"/>
                <w:highlight w:val="none"/>
              </w:rPr>
            </w:pPr>
            <w:r>
              <w:rPr>
                <w:rFonts w:hint="eastAsia" w:ascii="仿宋" w:hAnsi="仿宋" w:eastAsia="仿宋" w:cs="Times New Roman"/>
                <w:color w:val="auto"/>
                <w:szCs w:val="21"/>
                <w:highlight w:val="none"/>
              </w:rPr>
              <w:t>方案内容较完善、措施适当的得</w:t>
            </w:r>
            <w:r>
              <w:rPr>
                <w:rFonts w:hint="eastAsia" w:ascii="仿宋" w:hAnsi="仿宋" w:eastAsia="仿宋" w:cs="Times New Roman"/>
                <w:color w:val="auto"/>
                <w:szCs w:val="21"/>
                <w:highlight w:val="none"/>
                <w:lang w:val="en-US" w:eastAsia="zh-CN"/>
              </w:rPr>
              <w:t>4</w:t>
            </w:r>
            <w:r>
              <w:rPr>
                <w:rFonts w:hint="eastAsia" w:ascii="仿宋" w:hAnsi="仿宋" w:eastAsia="仿宋" w:cs="Times New Roman"/>
                <w:color w:val="auto"/>
                <w:szCs w:val="21"/>
                <w:highlight w:val="none"/>
              </w:rPr>
              <w:t>分；</w:t>
            </w:r>
          </w:p>
          <w:p w14:paraId="7D538BA5">
            <w:pPr>
              <w:spacing w:line="400" w:lineRule="exact"/>
              <w:jc w:val="left"/>
              <w:rPr>
                <w:rFonts w:hint="eastAsia" w:ascii="仿宋" w:hAnsi="仿宋" w:eastAsia="仿宋"/>
                <w:color w:val="auto"/>
                <w:szCs w:val="21"/>
                <w:highlight w:val="none"/>
              </w:rPr>
            </w:pPr>
            <w:r>
              <w:rPr>
                <w:rFonts w:hint="eastAsia" w:ascii="仿宋" w:hAnsi="仿宋" w:eastAsia="仿宋" w:cs="Times New Roman"/>
                <w:color w:val="auto"/>
                <w:szCs w:val="21"/>
                <w:highlight w:val="none"/>
              </w:rPr>
              <w:t>方案内容不完善、措施不力的得</w:t>
            </w:r>
            <w:r>
              <w:rPr>
                <w:rFonts w:hint="eastAsia" w:ascii="仿宋" w:hAnsi="仿宋" w:eastAsia="仿宋" w:cs="Times New Roman"/>
                <w:color w:val="auto"/>
                <w:szCs w:val="21"/>
                <w:highlight w:val="none"/>
                <w:lang w:val="en-US" w:eastAsia="zh-CN"/>
              </w:rPr>
              <w:t>2</w:t>
            </w:r>
            <w:r>
              <w:rPr>
                <w:rFonts w:hint="eastAsia" w:ascii="仿宋" w:hAnsi="仿宋" w:eastAsia="仿宋" w:cs="Times New Roman"/>
                <w:color w:val="auto"/>
                <w:szCs w:val="21"/>
                <w:highlight w:val="none"/>
              </w:rPr>
              <w:t>分。</w:t>
            </w:r>
          </w:p>
        </w:tc>
      </w:tr>
      <w:tr w14:paraId="7D224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065" w:type="dxa"/>
            <w:vMerge w:val="continue"/>
            <w:noWrap w:val="0"/>
            <w:vAlign w:val="center"/>
          </w:tcPr>
          <w:p w14:paraId="167EC67C">
            <w:pPr>
              <w:spacing w:line="400" w:lineRule="exact"/>
              <w:jc w:val="center"/>
              <w:rPr>
                <w:rFonts w:hint="eastAsia" w:ascii="仿宋" w:hAnsi="仿宋" w:eastAsia="仿宋"/>
                <w:color w:val="auto"/>
                <w:szCs w:val="21"/>
                <w:highlight w:val="none"/>
              </w:rPr>
            </w:pPr>
          </w:p>
        </w:tc>
        <w:tc>
          <w:tcPr>
            <w:tcW w:w="8363" w:type="dxa"/>
            <w:noWrap w:val="0"/>
            <w:vAlign w:val="center"/>
          </w:tcPr>
          <w:p w14:paraId="74533806">
            <w:pPr>
              <w:spacing w:line="400" w:lineRule="exact"/>
              <w:jc w:val="left"/>
              <w:rPr>
                <w:rFonts w:hint="eastAsia" w:ascii="仿宋" w:hAnsi="仿宋" w:eastAsia="仿宋" w:cs="Times New Roman"/>
                <w:b/>
                <w:bCs/>
                <w:color w:val="auto"/>
                <w:szCs w:val="21"/>
                <w:highlight w:val="none"/>
                <w:lang w:val="en-US" w:eastAsia="zh-CN"/>
              </w:rPr>
            </w:pPr>
            <w:r>
              <w:rPr>
                <w:rFonts w:hint="eastAsia" w:ascii="仿宋" w:hAnsi="仿宋" w:eastAsia="仿宋" w:cs="Times New Roman"/>
                <w:b/>
                <w:bCs/>
                <w:color w:val="auto"/>
                <w:szCs w:val="21"/>
                <w:highlight w:val="none"/>
                <w:lang w:val="en-US" w:eastAsia="zh-CN"/>
              </w:rPr>
              <w:t>8、企业管理（10分）</w:t>
            </w:r>
          </w:p>
          <w:p w14:paraId="48341E70">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1）根据投标人提供的内部管理流程是否明确、合理进行评议，需提供内部管理制度说明、奖惩说明等：内容完整、合理的得5分；内容较完整、较合理的得3分；内容完整度一般，不太合理的得1分。</w:t>
            </w:r>
          </w:p>
          <w:p w14:paraId="2A10D1AB">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2）根据投标人组织业务接待流程，及业务质量保证措施等能力进行评议：流程措施完善合理的得5分；流程措施较完善合理的得3分；流程措施一般，不太合理的得1分。</w:t>
            </w:r>
          </w:p>
        </w:tc>
      </w:tr>
      <w:tr w14:paraId="48277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065" w:type="dxa"/>
            <w:vMerge w:val="continue"/>
            <w:noWrap w:val="0"/>
            <w:vAlign w:val="center"/>
          </w:tcPr>
          <w:p w14:paraId="1E855339">
            <w:pPr>
              <w:spacing w:line="400" w:lineRule="exact"/>
              <w:jc w:val="center"/>
              <w:rPr>
                <w:rFonts w:hint="eastAsia" w:ascii="仿宋" w:hAnsi="仿宋" w:eastAsia="仿宋"/>
                <w:color w:val="auto"/>
                <w:szCs w:val="21"/>
                <w:highlight w:val="none"/>
              </w:rPr>
            </w:pPr>
          </w:p>
        </w:tc>
        <w:tc>
          <w:tcPr>
            <w:tcW w:w="8363" w:type="dxa"/>
            <w:noWrap w:val="0"/>
            <w:vAlign w:val="center"/>
          </w:tcPr>
          <w:p w14:paraId="71B2C6BB">
            <w:pPr>
              <w:spacing w:line="400" w:lineRule="exact"/>
              <w:jc w:val="left"/>
              <w:rPr>
                <w:rFonts w:hint="eastAsia" w:ascii="仿宋" w:hAnsi="仿宋" w:eastAsia="仿宋" w:cs="Times New Roman"/>
                <w:b/>
                <w:bCs/>
                <w:color w:val="auto"/>
                <w:szCs w:val="21"/>
                <w:highlight w:val="none"/>
                <w:lang w:val="en-US" w:eastAsia="zh-CN"/>
              </w:rPr>
            </w:pPr>
            <w:r>
              <w:rPr>
                <w:rFonts w:hint="eastAsia" w:ascii="仿宋" w:hAnsi="仿宋" w:eastAsia="仿宋" w:cs="Times New Roman"/>
                <w:b/>
                <w:bCs/>
                <w:color w:val="auto"/>
                <w:szCs w:val="21"/>
                <w:highlight w:val="none"/>
                <w:lang w:val="en-US" w:eastAsia="zh-CN"/>
              </w:rPr>
              <w:t>9、保险（8分）</w:t>
            </w:r>
          </w:p>
          <w:p w14:paraId="578FF0F0">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1）投标人的企业责任保险保额达到600万（含）以上得3分；600万（不含）以下，400万（含）以上得2分；400万（不含）以下不得分。</w:t>
            </w:r>
          </w:p>
          <w:p w14:paraId="2B4A9676">
            <w:pPr>
              <w:spacing w:line="400" w:lineRule="exact"/>
              <w:jc w:val="left"/>
              <w:rPr>
                <w:rFonts w:hint="eastAsia" w:ascii="仿宋" w:hAnsi="仿宋" w:eastAsia="仿宋" w:cs="Times New Roman"/>
                <w:b/>
                <w:bCs/>
                <w:color w:val="auto"/>
                <w:szCs w:val="21"/>
                <w:highlight w:val="none"/>
                <w:lang w:val="en-US" w:eastAsia="zh-CN"/>
              </w:rPr>
            </w:pPr>
            <w:r>
              <w:rPr>
                <w:rFonts w:hint="eastAsia" w:ascii="仿宋" w:hAnsi="仿宋" w:eastAsia="仿宋" w:cs="Times New Roman"/>
                <w:b/>
                <w:bCs/>
                <w:color w:val="auto"/>
                <w:szCs w:val="21"/>
                <w:highlight w:val="none"/>
                <w:lang w:val="en-US" w:eastAsia="zh-CN"/>
              </w:rPr>
              <w:t>注：投标文件中需要提供保单复印件并加盖投标人公章，否则不得分。</w:t>
            </w:r>
          </w:p>
          <w:p w14:paraId="0C4F8B49">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2）根据投标人为职工提供的个人旅游人身意外险的额度进行评议，意外保险额最低额度100万，每增加10万得1分，最高得5分。</w:t>
            </w:r>
          </w:p>
          <w:p w14:paraId="2276E4CC">
            <w:pPr>
              <w:spacing w:line="400" w:lineRule="exact"/>
              <w:jc w:val="left"/>
              <w:rPr>
                <w:rFonts w:hint="default" w:ascii="仿宋" w:hAnsi="仿宋" w:eastAsia="仿宋" w:cs="Times New Roman"/>
                <w:color w:val="auto"/>
                <w:szCs w:val="21"/>
                <w:highlight w:val="none"/>
                <w:lang w:val="en-US" w:eastAsia="zh-CN"/>
              </w:rPr>
            </w:pPr>
            <w:r>
              <w:rPr>
                <w:rFonts w:hint="eastAsia" w:ascii="仿宋" w:hAnsi="仿宋" w:eastAsia="仿宋" w:cs="Times New Roman"/>
                <w:b/>
                <w:bCs/>
                <w:color w:val="auto"/>
                <w:szCs w:val="21"/>
                <w:highlight w:val="none"/>
                <w:lang w:val="en-US" w:eastAsia="zh-CN"/>
              </w:rPr>
              <w:t>注：提供承诺书，不承诺不得分，承诺书格式自拟。</w:t>
            </w:r>
          </w:p>
        </w:tc>
      </w:tr>
      <w:tr w14:paraId="641DF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65" w:type="dxa"/>
            <w:vMerge w:val="continue"/>
            <w:noWrap w:val="0"/>
            <w:vAlign w:val="center"/>
          </w:tcPr>
          <w:p w14:paraId="2ABA68CA">
            <w:pPr>
              <w:spacing w:line="400" w:lineRule="exact"/>
              <w:jc w:val="center"/>
              <w:rPr>
                <w:rFonts w:hint="eastAsia" w:ascii="仿宋" w:hAnsi="仿宋" w:eastAsia="仿宋"/>
                <w:color w:val="auto"/>
                <w:szCs w:val="21"/>
                <w:highlight w:val="none"/>
              </w:rPr>
            </w:pPr>
          </w:p>
        </w:tc>
        <w:tc>
          <w:tcPr>
            <w:tcW w:w="8363" w:type="dxa"/>
            <w:noWrap w:val="0"/>
            <w:vAlign w:val="center"/>
          </w:tcPr>
          <w:p w14:paraId="432CA855">
            <w:pPr>
              <w:spacing w:line="400" w:lineRule="exact"/>
              <w:jc w:val="left"/>
              <w:rPr>
                <w:rFonts w:hint="eastAsia" w:ascii="仿宋" w:hAnsi="仿宋" w:eastAsia="仿宋" w:cs="Times New Roman"/>
                <w:b/>
                <w:bCs/>
                <w:color w:val="auto"/>
                <w:szCs w:val="21"/>
                <w:highlight w:val="none"/>
                <w:lang w:val="en-US" w:eastAsia="zh-CN"/>
              </w:rPr>
            </w:pPr>
            <w:r>
              <w:rPr>
                <w:rFonts w:hint="eastAsia" w:ascii="仿宋" w:hAnsi="仿宋" w:eastAsia="仿宋" w:cs="Times New Roman"/>
                <w:b/>
                <w:bCs/>
                <w:color w:val="auto"/>
                <w:szCs w:val="21"/>
                <w:highlight w:val="none"/>
                <w:lang w:val="en-US" w:eastAsia="zh-CN"/>
              </w:rPr>
              <w:t>10、投诉处理（6分）</w:t>
            </w:r>
          </w:p>
          <w:p w14:paraId="6E386DD9">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根据投标人</w:t>
            </w:r>
            <w:r>
              <w:rPr>
                <w:rFonts w:hint="default" w:ascii="仿宋" w:hAnsi="仿宋" w:eastAsia="仿宋" w:cs="Times New Roman"/>
                <w:color w:val="auto"/>
                <w:szCs w:val="21"/>
                <w:highlight w:val="none"/>
                <w:lang w:val="en-US" w:eastAsia="zh-CN"/>
              </w:rPr>
              <w:t>日常投诉处理详细方案及可行性情况进行</w:t>
            </w:r>
            <w:r>
              <w:rPr>
                <w:rFonts w:hint="eastAsia" w:ascii="仿宋" w:hAnsi="仿宋" w:eastAsia="仿宋" w:cs="Times New Roman"/>
                <w:color w:val="auto"/>
                <w:szCs w:val="21"/>
                <w:highlight w:val="none"/>
                <w:lang w:val="en-US" w:eastAsia="zh-CN"/>
              </w:rPr>
              <w:t>评议：</w:t>
            </w:r>
          </w:p>
          <w:p w14:paraId="2356180A">
            <w:pPr>
              <w:spacing w:line="400" w:lineRule="exact"/>
              <w:jc w:val="left"/>
              <w:rPr>
                <w:rFonts w:hint="eastAsia" w:ascii="仿宋" w:hAnsi="仿宋" w:eastAsia="仿宋" w:cs="Times New Roman"/>
                <w:color w:val="auto"/>
                <w:szCs w:val="21"/>
                <w:highlight w:val="none"/>
                <w:lang w:val="en-US" w:eastAsia="zh-CN"/>
              </w:rPr>
            </w:pPr>
            <w:r>
              <w:rPr>
                <w:rFonts w:hint="default" w:ascii="仿宋" w:hAnsi="仿宋" w:eastAsia="仿宋" w:cs="Times New Roman"/>
                <w:color w:val="auto"/>
                <w:szCs w:val="21"/>
                <w:highlight w:val="none"/>
                <w:lang w:val="en-US" w:eastAsia="zh-CN"/>
              </w:rPr>
              <w:t>方案</w:t>
            </w:r>
            <w:r>
              <w:rPr>
                <w:rFonts w:hint="eastAsia" w:ascii="仿宋" w:hAnsi="仿宋" w:eastAsia="仿宋" w:cs="Times New Roman"/>
                <w:color w:val="auto"/>
                <w:szCs w:val="21"/>
                <w:highlight w:val="none"/>
                <w:lang w:val="en-US" w:eastAsia="zh-CN"/>
              </w:rPr>
              <w:t>内容完整，流程标准规范，能快速稳妥的解决投诉，</w:t>
            </w:r>
            <w:r>
              <w:rPr>
                <w:rFonts w:hint="default" w:ascii="仿宋" w:hAnsi="仿宋" w:eastAsia="仿宋" w:cs="Times New Roman"/>
                <w:color w:val="auto"/>
                <w:szCs w:val="21"/>
                <w:highlight w:val="none"/>
                <w:lang w:val="en-US" w:eastAsia="zh-CN"/>
              </w:rPr>
              <w:t>可行性高的得</w:t>
            </w:r>
            <w:r>
              <w:rPr>
                <w:rFonts w:hint="eastAsia" w:ascii="仿宋" w:hAnsi="仿宋" w:eastAsia="仿宋" w:cs="Times New Roman"/>
                <w:color w:val="auto"/>
                <w:szCs w:val="21"/>
                <w:highlight w:val="none"/>
                <w:lang w:val="en-US" w:eastAsia="zh-CN"/>
              </w:rPr>
              <w:t>6</w:t>
            </w:r>
            <w:r>
              <w:rPr>
                <w:rFonts w:hint="default" w:ascii="仿宋" w:hAnsi="仿宋" w:eastAsia="仿宋" w:cs="Times New Roman"/>
                <w:color w:val="auto"/>
                <w:szCs w:val="21"/>
                <w:highlight w:val="none"/>
                <w:lang w:val="en-US" w:eastAsia="zh-CN"/>
              </w:rPr>
              <w:t>分</w:t>
            </w:r>
            <w:r>
              <w:rPr>
                <w:rFonts w:hint="eastAsia" w:ascii="仿宋" w:hAnsi="仿宋" w:eastAsia="仿宋" w:cs="Times New Roman"/>
                <w:color w:val="auto"/>
                <w:szCs w:val="21"/>
                <w:highlight w:val="none"/>
                <w:lang w:val="en-US" w:eastAsia="zh-CN"/>
              </w:rPr>
              <w:t>；</w:t>
            </w:r>
          </w:p>
          <w:p w14:paraId="60969052">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方案内容较完整，流程标准规范程度、可行性一般</w:t>
            </w:r>
            <w:r>
              <w:rPr>
                <w:rFonts w:hint="default" w:ascii="仿宋" w:hAnsi="仿宋" w:eastAsia="仿宋" w:cs="Times New Roman"/>
                <w:color w:val="auto"/>
                <w:szCs w:val="21"/>
                <w:highlight w:val="none"/>
                <w:lang w:val="en-US" w:eastAsia="zh-CN"/>
              </w:rPr>
              <w:t>的得</w:t>
            </w:r>
            <w:r>
              <w:rPr>
                <w:rFonts w:hint="eastAsia" w:ascii="仿宋" w:hAnsi="仿宋" w:eastAsia="仿宋" w:cs="Times New Roman"/>
                <w:color w:val="auto"/>
                <w:szCs w:val="21"/>
                <w:highlight w:val="none"/>
                <w:lang w:val="en-US" w:eastAsia="zh-CN"/>
              </w:rPr>
              <w:t>4</w:t>
            </w:r>
            <w:r>
              <w:rPr>
                <w:rFonts w:hint="default" w:ascii="仿宋" w:hAnsi="仿宋" w:eastAsia="仿宋" w:cs="Times New Roman"/>
                <w:color w:val="auto"/>
                <w:szCs w:val="21"/>
                <w:highlight w:val="none"/>
                <w:lang w:val="en-US" w:eastAsia="zh-CN"/>
              </w:rPr>
              <w:t>分</w:t>
            </w:r>
            <w:r>
              <w:rPr>
                <w:rFonts w:hint="eastAsia" w:ascii="仿宋" w:hAnsi="仿宋" w:eastAsia="仿宋" w:cs="Times New Roman"/>
                <w:color w:val="auto"/>
                <w:szCs w:val="21"/>
                <w:highlight w:val="none"/>
                <w:lang w:val="en-US" w:eastAsia="zh-CN"/>
              </w:rPr>
              <w:t>；</w:t>
            </w:r>
          </w:p>
          <w:p w14:paraId="74500CF6">
            <w:pPr>
              <w:spacing w:line="400" w:lineRule="exact"/>
              <w:jc w:val="left"/>
              <w:rPr>
                <w:rFonts w:hint="default"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方案内容不太完整，流程标准规范程度、可行性较差</w:t>
            </w:r>
            <w:r>
              <w:rPr>
                <w:rFonts w:hint="default" w:ascii="仿宋" w:hAnsi="仿宋" w:eastAsia="仿宋" w:cs="Times New Roman"/>
                <w:color w:val="auto"/>
                <w:szCs w:val="21"/>
                <w:highlight w:val="none"/>
                <w:lang w:val="en-US" w:eastAsia="zh-CN"/>
              </w:rPr>
              <w:t>的得</w:t>
            </w:r>
            <w:r>
              <w:rPr>
                <w:rFonts w:hint="eastAsia" w:ascii="仿宋" w:hAnsi="仿宋" w:eastAsia="仿宋" w:cs="Times New Roman"/>
                <w:color w:val="auto"/>
                <w:szCs w:val="21"/>
                <w:highlight w:val="none"/>
                <w:lang w:val="en-US" w:eastAsia="zh-CN"/>
              </w:rPr>
              <w:t>2</w:t>
            </w:r>
            <w:r>
              <w:rPr>
                <w:rFonts w:hint="default" w:ascii="仿宋" w:hAnsi="仿宋" w:eastAsia="仿宋" w:cs="Times New Roman"/>
                <w:color w:val="auto"/>
                <w:szCs w:val="21"/>
                <w:highlight w:val="none"/>
                <w:lang w:val="en-US" w:eastAsia="zh-CN"/>
              </w:rPr>
              <w:t>分</w:t>
            </w:r>
            <w:r>
              <w:rPr>
                <w:rFonts w:hint="eastAsia" w:ascii="仿宋" w:hAnsi="仿宋" w:eastAsia="仿宋" w:cs="Times New Roman"/>
                <w:color w:val="auto"/>
                <w:szCs w:val="21"/>
                <w:highlight w:val="none"/>
                <w:lang w:val="en-US" w:eastAsia="zh-CN"/>
              </w:rPr>
              <w:t>。</w:t>
            </w:r>
          </w:p>
        </w:tc>
      </w:tr>
      <w:tr w14:paraId="5B685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065" w:type="dxa"/>
            <w:vMerge w:val="continue"/>
            <w:noWrap w:val="0"/>
            <w:vAlign w:val="center"/>
          </w:tcPr>
          <w:p w14:paraId="14631230">
            <w:pPr>
              <w:spacing w:line="400" w:lineRule="exact"/>
              <w:jc w:val="center"/>
              <w:rPr>
                <w:rFonts w:hint="eastAsia" w:ascii="仿宋" w:hAnsi="仿宋" w:eastAsia="仿宋"/>
                <w:color w:val="auto"/>
                <w:szCs w:val="21"/>
                <w:highlight w:val="none"/>
              </w:rPr>
            </w:pPr>
          </w:p>
        </w:tc>
        <w:tc>
          <w:tcPr>
            <w:tcW w:w="8363" w:type="dxa"/>
            <w:noWrap w:val="0"/>
            <w:vAlign w:val="center"/>
          </w:tcPr>
          <w:p w14:paraId="054E7362">
            <w:pPr>
              <w:spacing w:line="400" w:lineRule="exact"/>
              <w:jc w:val="left"/>
              <w:rPr>
                <w:rFonts w:hint="eastAsia" w:ascii="仿宋" w:hAnsi="仿宋" w:eastAsia="仿宋" w:cs="Times New Roman"/>
                <w:b/>
                <w:bCs/>
                <w:color w:val="auto"/>
                <w:szCs w:val="21"/>
                <w:highlight w:val="none"/>
                <w:lang w:val="en-US" w:eastAsia="zh-CN"/>
              </w:rPr>
            </w:pPr>
            <w:r>
              <w:rPr>
                <w:rFonts w:hint="eastAsia" w:ascii="仿宋" w:hAnsi="仿宋" w:eastAsia="仿宋" w:cs="Times New Roman"/>
                <w:b/>
                <w:bCs/>
                <w:color w:val="auto"/>
                <w:szCs w:val="21"/>
                <w:highlight w:val="none"/>
                <w:lang w:val="en-US" w:eastAsia="zh-CN"/>
              </w:rPr>
              <w:t>11、增值服务（6分）</w:t>
            </w:r>
          </w:p>
          <w:p w14:paraId="49F747BE">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根据投标人能为本项目提供的增值服务内容（包括增值服务内容是否具有特色、是否具有个性化及可行性程度）进行评议。</w:t>
            </w:r>
          </w:p>
          <w:p w14:paraId="017B00A1">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增值服务内容具有特色、具有个性化、合理可行的得6分；</w:t>
            </w:r>
          </w:p>
          <w:p w14:paraId="056CC4E5">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增值服务内容具有特色，个性化程度一般的得4分；</w:t>
            </w:r>
          </w:p>
          <w:p w14:paraId="1DAB22DE">
            <w:pPr>
              <w:spacing w:line="400" w:lineRule="exact"/>
              <w:jc w:val="left"/>
              <w:rPr>
                <w:rFonts w:hint="default"/>
                <w:lang w:val="en-US" w:eastAsia="zh-CN"/>
              </w:rPr>
            </w:pPr>
            <w:r>
              <w:rPr>
                <w:rFonts w:hint="eastAsia" w:ascii="仿宋" w:hAnsi="仿宋" w:eastAsia="仿宋" w:cs="Times New Roman"/>
                <w:color w:val="auto"/>
                <w:szCs w:val="21"/>
                <w:highlight w:val="none"/>
                <w:lang w:val="en-US" w:eastAsia="zh-CN"/>
              </w:rPr>
              <w:t>增值服务内容没有特色，总体程度一般的得2分；</w:t>
            </w:r>
          </w:p>
        </w:tc>
      </w:tr>
      <w:bookmarkEnd w:id="26"/>
    </w:tbl>
    <w:p w14:paraId="02F6DEC9">
      <w:pPr>
        <w:snapToGrid w:val="0"/>
        <w:spacing w:line="360" w:lineRule="auto"/>
        <w:ind w:firstLine="482" w:firstLineChars="200"/>
        <w:rPr>
          <w:rFonts w:hint="eastAsia" w:ascii="仿宋" w:hAnsi="仿宋" w:eastAsia="仿宋" w:cs="仿宋"/>
          <w:b/>
          <w:bCs/>
          <w:color w:val="auto"/>
          <w:sz w:val="24"/>
          <w:highlight w:val="none"/>
        </w:rPr>
      </w:pPr>
      <w:bookmarkStart w:id="392" w:name="第五部分"/>
      <w:bookmarkStart w:id="393" w:name="_Toc86217003"/>
      <w:r>
        <w:rPr>
          <w:rFonts w:hint="eastAsia" w:ascii="仿宋" w:hAnsi="仿宋" w:eastAsia="仿宋" w:cs="仿宋"/>
          <w:b/>
          <w:color w:val="auto"/>
          <w:sz w:val="24"/>
          <w:highlight w:val="none"/>
        </w:rPr>
        <w:t>备注：</w:t>
      </w:r>
      <w:r>
        <w:rPr>
          <w:rFonts w:hint="eastAsia" w:ascii="仿宋" w:hAnsi="仿宋" w:eastAsia="仿宋" w:cs="仿宋"/>
          <w:b w:val="0"/>
          <w:bCs/>
          <w:color w:val="auto"/>
          <w:sz w:val="24"/>
          <w:highlight w:val="none"/>
          <w:lang w:val="en-US" w:eastAsia="zh-CN"/>
        </w:rPr>
        <w:t>1、</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编制投标文件（商务技术文件部分）时，建议按此目录（序号和内容）提供评标标准相应的商务技术资料。</w:t>
      </w:r>
    </w:p>
    <w:p w14:paraId="35AEFA76">
      <w:pPr>
        <w:snapToGrid w:val="0"/>
        <w:spacing w:line="360" w:lineRule="auto"/>
        <w:ind w:firstLine="480" w:firstLineChars="200"/>
        <w:rPr>
          <w:rFonts w:hint="eastAsia" w:ascii="仿宋" w:hAnsi="仿宋" w:eastAsia="仿宋" w:cs="仿宋"/>
          <w:b/>
          <w:bCs/>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b/>
          <w:bCs/>
          <w:color w:val="auto"/>
          <w:sz w:val="24"/>
          <w:highlight w:val="none"/>
        </w:rPr>
        <w:t>本项目为采用固定价格采购项目，价格不列为评审因素。</w:t>
      </w:r>
    </w:p>
    <w:p w14:paraId="1FD8488D">
      <w:pPr>
        <w:spacing w:before="120" w:beforeLines="50" w:after="120" w:afterLines="50"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一、评标方法</w:t>
      </w:r>
    </w:p>
    <w:p w14:paraId="4174635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1.本项目采用综合评分法。</w:t>
      </w:r>
      <w:r>
        <w:rPr>
          <w:rFonts w:hint="eastAsia" w:ascii="仿宋" w:hAnsi="仿宋" w:eastAsia="仿宋" w:cs="仿宋"/>
          <w:color w:val="auto"/>
          <w:sz w:val="24"/>
          <w:highlight w:val="none"/>
        </w:rPr>
        <w:t>综合评分法，是指投标文件满足招标文件全部实质性要求，且按照评审因素的量化指标评审得分最高的供应商为中标候选人的评标方法。</w:t>
      </w:r>
    </w:p>
    <w:p w14:paraId="15874874">
      <w:pPr>
        <w:spacing w:before="120" w:beforeLines="50" w:after="120" w:afterLines="50"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二、评标标准</w:t>
      </w:r>
    </w:p>
    <w:p w14:paraId="1A6F442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sz w:val="24"/>
          <w:highlight w:val="none"/>
        </w:rPr>
        <w:t>见评标办法前附表。</w:t>
      </w:r>
    </w:p>
    <w:p w14:paraId="7D62AEAE">
      <w:pPr>
        <w:spacing w:before="120" w:beforeLines="50" w:after="120" w:afterLines="50"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三、评标程序</w:t>
      </w:r>
    </w:p>
    <w:p w14:paraId="07FB59B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3.1符合性审查。</w:t>
      </w:r>
      <w:r>
        <w:rPr>
          <w:rFonts w:hint="eastAsia" w:ascii="仿宋" w:hAnsi="仿宋" w:eastAsia="仿宋" w:cs="仿宋"/>
          <w:color w:val="auto"/>
          <w:sz w:val="24"/>
          <w:highlight w:val="none"/>
        </w:rPr>
        <w:t>评标委员会应当对符合资格的供应商的投标文件进行符合性审查，以确定其是否满足招标文件的实质性要求。不满足招标文件的实质性要求的，投标无效。</w:t>
      </w:r>
    </w:p>
    <w:p w14:paraId="169841A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3.2商务技术评审。</w:t>
      </w:r>
      <w:r>
        <w:rPr>
          <w:rFonts w:hint="eastAsia" w:ascii="仿宋" w:hAnsi="仿宋" w:eastAsia="仿宋" w:cs="仿宋"/>
          <w:color w:val="auto"/>
          <w:sz w:val="24"/>
          <w:highlight w:val="none"/>
        </w:rPr>
        <w:t>评标委员会应当按照招标文件中规定的评标方法和标准，对符合性审查合格的投标文件进行商务和技术评估。</w:t>
      </w:r>
    </w:p>
    <w:p w14:paraId="7C19328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3.3汇总商务技术得分。</w:t>
      </w:r>
      <w:r>
        <w:rPr>
          <w:rFonts w:hint="eastAsia" w:ascii="仿宋" w:hAnsi="仿宋" w:eastAsia="仿宋" w:cs="仿宋"/>
          <w:color w:val="auto"/>
          <w:sz w:val="24"/>
          <w:highlight w:val="none"/>
        </w:rPr>
        <w:t>评标委员会各成员应当独立对每个供应商的商务和技术文件进行评价，并汇总商务技术得分情况。</w:t>
      </w:r>
    </w:p>
    <w:p w14:paraId="6DFE5F47">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3.4报价评审。</w:t>
      </w:r>
    </w:p>
    <w:p w14:paraId="2D06081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3.4.1投标文件报价出现前后不一致的，按照下列规定修正：</w:t>
      </w:r>
    </w:p>
    <w:p w14:paraId="60C40EA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3.4.1.1电子交易平台生成的开标记录表(报价表)内容与投标文件中开标一览表(报价表)不一致的，以投标文件中开标一览表(报价表)为准；</w:t>
      </w:r>
    </w:p>
    <w:p w14:paraId="7DF8A80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3.4.1.2投标文件中开标一览表(报价表)内容与投标文件中相应内容不一致的，以开标一览表(报价表)为准；</w:t>
      </w:r>
    </w:p>
    <w:p w14:paraId="14CE2A4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3.4.1.3大写金额和小写金额不一致的，以大写金额为准;</w:t>
      </w:r>
    </w:p>
    <w:p w14:paraId="568FCF1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3.4.1.4单价金额小数点或者百分比有明显错位的，以开标一览表的总价为准，并修改单价;</w:t>
      </w:r>
    </w:p>
    <w:p w14:paraId="52F98A0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3.4.1.5总价金额与按单价汇总金额不一致的，以单价金额计算结果为准；</w:t>
      </w:r>
    </w:p>
    <w:p w14:paraId="20BCD4C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3.4.1.6同时出现两种以上不一致的，按照3.4.1规定的顺序修正。修正后的报价按照财政部第87号令《政府采购货物和服务招标投标管理办法》第五十一条第二款的规定经供应商确认后产生约束力。</w:t>
      </w:r>
    </w:p>
    <w:p w14:paraId="42982E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3.4.2投标文件出现不是唯一的、有选择性投标报价的，投标无效。</w:t>
      </w:r>
    </w:p>
    <w:p w14:paraId="6C6A5A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3.4.3投标报价超过招标文件中规定的预算金额或者最高限价的，投标无效。</w:t>
      </w:r>
    </w:p>
    <w:p w14:paraId="7B7DF2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3.4.4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14:paraId="6692A4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r>
        <w:rPr>
          <w:rFonts w:hint="eastAsia" w:ascii="仿宋" w:hAnsi="仿宋" w:eastAsia="仿宋" w:cs="仿宋"/>
          <w:b/>
          <w:color w:val="auto"/>
          <w:sz w:val="24"/>
          <w:highlight w:val="none"/>
        </w:rPr>
        <w:t>（本项目不适用）</w:t>
      </w:r>
    </w:p>
    <w:p w14:paraId="601A8FA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3.5编写评标报告。</w:t>
      </w:r>
      <w:r>
        <w:rPr>
          <w:rFonts w:hint="eastAsia" w:ascii="仿宋" w:hAnsi="仿宋" w:eastAsia="仿宋" w:cs="仿宋"/>
          <w:color w:val="auto"/>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1050BC4">
      <w:pPr>
        <w:spacing w:before="120" w:beforeLines="50" w:after="120" w:afterLines="50"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四、评标中的其他事项</w:t>
      </w:r>
    </w:p>
    <w:p w14:paraId="151CE45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4.1投标澄清、说明或者补正。</w:t>
      </w:r>
      <w:r>
        <w:rPr>
          <w:rFonts w:hint="eastAsia" w:ascii="仿宋" w:hAnsi="仿宋" w:eastAsia="仿宋" w:cs="仿宋"/>
          <w:color w:val="auto"/>
          <w:sz w:val="24"/>
          <w:highlight w:val="none"/>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为半小时，供应商已经明确表示澄清说明或补正完毕的除外。供应商的澄清、说明或者补正不得超出投标文件的范围或者改变投标文件的实质性内容。</w:t>
      </w:r>
    </w:p>
    <w:p w14:paraId="2B3B0F9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4.2投标无效的情形。</w:t>
      </w:r>
    </w:p>
    <w:p w14:paraId="129F61E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没有响应采购文件实质性要求的投标将被视为无效投标。投标人不得通过修正或撤消不合要求的偏离或保留从而使其投标成为实质上响应的投标，但经评标委员会认定属于投标人疏忽、笔误所造成的差错，可允许其在评标结束之前进行必要的澄清、说明或者补正，但不得超出投标文件的范围或者改变投标文件的实质性内容。限期内不澄清说明补正或经澄清说明补正后仍不符合采购文件要求的，应认定其投标无效。投标人澄清说明补正投标文件后，不影响评标委员会对其投标文件所作的评价和评分结果。</w:t>
      </w:r>
    </w:p>
    <w:p w14:paraId="51E1CE0E">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4.2.1在电子开评标时，如发现下列情形之一的，将被视为无效投标文件：</w:t>
      </w:r>
    </w:p>
    <w:p w14:paraId="6829D3E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4.2.1.1电子投标文件解密失败的；</w:t>
      </w:r>
    </w:p>
    <w:p w14:paraId="4E5FAD2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4.2.1.2投标文件未按招标文件要求加密、签字、盖章影响效力的；</w:t>
      </w:r>
    </w:p>
    <w:p w14:paraId="5A0F19F6">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4.2.2在资格审查、符合性审查和商务评审时，如发现下列情形之一的，将被视为无效投标文件：</w:t>
      </w:r>
    </w:p>
    <w:p w14:paraId="3ACE733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4.2.2.1资格证明文件不全的或者不符合招标文件标明的资格要求的；</w:t>
      </w:r>
    </w:p>
    <w:p w14:paraId="370174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4.2.2.2投标文件未按招标文件要求签署、盖章影响效力的；</w:t>
      </w:r>
    </w:p>
    <w:p w14:paraId="6A1CBEA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4.2.2.3 投标代表人未能出具身份证明或身份证明与法定代表授权委托书不符的。</w:t>
      </w:r>
    </w:p>
    <w:p w14:paraId="0DC2BB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4.2.2.4投标文件格式不规范影响评审或者效力的、或者内容虚假的；</w:t>
      </w:r>
    </w:p>
    <w:p w14:paraId="60EB548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4.2.2.5投标文件的实质性内容未使用中文表述、意思表述不明确、前后矛盾或者使用计量单位不符合招标文件要求的（经评标委员会认定并允许其当场更正的笔误除外）；</w:t>
      </w:r>
    </w:p>
    <w:p w14:paraId="029DB10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4.2.2.6投标有效期、交货时间、质保期等商务条款不能满足招标文件要求的；</w:t>
      </w:r>
    </w:p>
    <w:p w14:paraId="4AE851F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4.2.2.7带“▲”的条款不能满足招标文件要求、未实质性响应招标文件要求或者投标文件有采购人不能接受的附加条件的；</w:t>
      </w:r>
    </w:p>
    <w:p w14:paraId="232FD9F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4.2.2.8单位负责人为同一人或者存在直接控股、管理关系的不同供应商参加同一合同项下的政府采购活动的；</w:t>
      </w:r>
    </w:p>
    <w:p w14:paraId="77E797D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4.2.2.9为采购项目提供整体设计、规范编制或者项目管理、监理、检测等服务的供应商参加该采购项目的其他采购活动的；</w:t>
      </w:r>
    </w:p>
    <w:p w14:paraId="111EDCAA">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4.2.3在技术评审时，如发现下列情形之一的，将被视为无效投标文件：</w:t>
      </w:r>
    </w:p>
    <w:p w14:paraId="2676D6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4.2.3.1未提供或未如实提供投标货物的技术参数，或者投标文件标明的响应或偏离与事实不符或虚假投标的；</w:t>
      </w:r>
    </w:p>
    <w:p w14:paraId="0CE63AA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4.2.3.2明显不符合招标文件要求的规格型号、质量标准，或者与招标文件中标“▲”的技术指标、主要功能项目发生实质性偏离的；</w:t>
      </w:r>
    </w:p>
    <w:p w14:paraId="14B7088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4.2.3.3允许偏离的技术、性能指标或辅助功能项发生负偏离达</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项（含）以上的；</w:t>
      </w:r>
    </w:p>
    <w:p w14:paraId="548667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4.2.3.4投标技术方案不明确，存在一个或一个以上备选（替代）投标方案的；</w:t>
      </w:r>
    </w:p>
    <w:p w14:paraId="68AADB1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4.2.3.5与其他参加本次投标供应商的投标文件（技术文件）的文字表述内容差错相同2处以上的；</w:t>
      </w:r>
    </w:p>
    <w:p w14:paraId="0D6EE42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4.2.3.6采购人拟采购的产品属于政府强制采购的节能产品品目清单范围的，供应商未按招标文件要求提供国家确定的认证机构出具的、处于有效期之内的节能产品认证证书的。</w:t>
      </w:r>
    </w:p>
    <w:p w14:paraId="0F796EEF">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4.2.4在报价评审时，如发现下列情形之一的，投标文件将被视为无效：</w:t>
      </w:r>
    </w:p>
    <w:p w14:paraId="410E7D5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4.2.4.1未采用人民币报价或者未按照招标文件标明的币种报价的；</w:t>
      </w:r>
    </w:p>
    <w:p w14:paraId="63CFBB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4.2.4.2报价超出最高限价，或者超出采购预算金额的；</w:t>
      </w:r>
    </w:p>
    <w:p w14:paraId="4007367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4.2.4.</w:t>
      </w:r>
      <w:r>
        <w:rPr>
          <w:rFonts w:hint="eastAsia" w:ascii="仿宋" w:hAnsi="仿宋" w:eastAsia="仿宋" w:cs="仿宋"/>
          <w:color w:val="auto"/>
          <w:sz w:val="24"/>
          <w:highlight w:val="none"/>
          <w:lang w:val="en-US" w:eastAsia="zh-CN"/>
        </w:rPr>
        <w:t>3未按固定价报价的。</w:t>
      </w:r>
    </w:p>
    <w:p w14:paraId="069BCA07">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4.2.5其他无效情形：</w:t>
      </w:r>
    </w:p>
    <w:p w14:paraId="61080379">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4.2.5.1 不同供应商的电子投标（响应）文件上传计算机的网卡MAC地址或硬盘序列号等硬件信息相同的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且经询标澄清</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无令人信服的理由和可靠证据证明其合理性的</w:t>
      </w:r>
      <w:r>
        <w:rPr>
          <w:rFonts w:hint="eastAsia" w:ascii="仿宋" w:hAnsi="仿宋" w:eastAsia="仿宋" w:cs="仿宋"/>
          <w:color w:val="auto"/>
          <w:sz w:val="24"/>
          <w:highlight w:val="none"/>
          <w:lang w:eastAsia="zh-CN"/>
        </w:rPr>
        <w:t>；</w:t>
      </w:r>
    </w:p>
    <w:p w14:paraId="3CABA7C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4.2.5.2上传的电子投标（响应）文件若出现使用本项目其他投标（响应）供应商的数字证书加密的，或者加盖本项目其他投标（响应）供应商的电子印章的；</w:t>
      </w:r>
    </w:p>
    <w:p w14:paraId="78446A0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4.2.5.3不同供应商的投标（响应）文件的内容存在3处（含）以上错误一致的；</w:t>
      </w:r>
    </w:p>
    <w:p w14:paraId="35F0DC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4.2.5.4不同供应商联系人为同一人或不同联系人的联系电话一致的；</w:t>
      </w:r>
    </w:p>
    <w:p w14:paraId="35AA727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4.2.5.5法律、法规、规章（适用本市的）及省级以上规范性文件（适用本市的）规定的其他无效情形。</w:t>
      </w:r>
    </w:p>
    <w:p w14:paraId="476C5FD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5.废标。</w:t>
      </w:r>
      <w:r>
        <w:rPr>
          <w:rFonts w:hint="eastAsia" w:ascii="仿宋" w:hAnsi="仿宋" w:eastAsia="仿宋" w:cs="仿宋"/>
          <w:color w:val="auto"/>
          <w:sz w:val="24"/>
          <w:highlight w:val="none"/>
        </w:rPr>
        <w:t>根据《中华人民共和国政府采购法》第三十六条之规定，在采购中，出现下列情形之一的，应予废标：</w:t>
      </w:r>
    </w:p>
    <w:p w14:paraId="4AD9FDB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5.1符合专业条件的供应商或者对招标文件作实质响应的供应商不足3家的；</w:t>
      </w:r>
    </w:p>
    <w:p w14:paraId="3F3D6E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5.2出现影响采购公正的违法、违规行为的；</w:t>
      </w:r>
    </w:p>
    <w:p w14:paraId="06EB591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5.3供应商的报价均超过了采购预算，采购人不能支付的；</w:t>
      </w:r>
    </w:p>
    <w:p w14:paraId="038139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5.4因重大变故，采购任务取消的。</w:t>
      </w:r>
    </w:p>
    <w:p w14:paraId="7297306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废标后，采购代理机构应当将废标理由通知所有供应商。</w:t>
      </w:r>
    </w:p>
    <w:p w14:paraId="36E6E2E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6.修改招标文件，重新组织采购活动。</w:t>
      </w:r>
      <w:r>
        <w:rPr>
          <w:rFonts w:hint="eastAsia" w:ascii="仿宋" w:hAnsi="仿宋" w:eastAsia="仿宋" w:cs="仿宋"/>
          <w:color w:val="auto"/>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6B94BB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7.重新开展采购。</w:t>
      </w:r>
      <w:r>
        <w:rPr>
          <w:rFonts w:hint="eastAsia" w:ascii="仿宋" w:hAnsi="仿宋" w:eastAsia="仿宋" w:cs="仿宋"/>
          <w:color w:val="auto"/>
          <w:sz w:val="24"/>
          <w:highlight w:val="none"/>
        </w:rPr>
        <w:t>有政府采购法第七十一条、第七十二条规定的违法行为之一，影响或者可能影响中标、成交结果的，依照下列规定处理：</w:t>
      </w:r>
    </w:p>
    <w:p w14:paraId="19B0CC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7.1未确定中标或者中标人的，终止本次政府采购活动，重新开展政府采购活动。</w:t>
      </w:r>
    </w:p>
    <w:p w14:paraId="6B6BB8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7.2已确定中标或者中标人但尚未签订政府采购合同的，中标或者成交结果无效，重新开展政府采购活动。</w:t>
      </w:r>
    </w:p>
    <w:p w14:paraId="4C3BEDC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7.3政府采购合同已签订但尚未履行的，撤销合同，重新开展政府采购活动。</w:t>
      </w:r>
    </w:p>
    <w:p w14:paraId="018097D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7.4政府采购合同已经履行，给采购人、供应商造成损失的，由责任人承担赔偿责任。</w:t>
      </w:r>
    </w:p>
    <w:p w14:paraId="16BA702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7.5政府采购当事人有其他违反政府采购法或者政府采购法实施条例等法律法规规定的行为，经改正后仍然影响或者可能影响中标、成交结果或者依法被认定为中标、成交无效的，依照7.1-7.4规定处理。</w:t>
      </w:r>
    </w:p>
    <w:p w14:paraId="3369782B">
      <w:pPr>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36"/>
          <w:highlight w:val="none"/>
        </w:rPr>
        <w:br w:type="page"/>
      </w:r>
      <w:r>
        <w:rPr>
          <w:rFonts w:hint="eastAsia" w:ascii="仿宋" w:hAnsi="仿宋" w:eastAsia="仿宋" w:cs="仿宋"/>
          <w:b/>
          <w:sz w:val="36"/>
          <w:szCs w:val="20"/>
          <w:highlight w:val="none"/>
        </w:rPr>
        <w:t>第五部分   政府采购合同文本</w:t>
      </w:r>
    </w:p>
    <w:p w14:paraId="01FCF16C">
      <w:pPr>
        <w:spacing w:line="360" w:lineRule="auto"/>
        <w:rPr>
          <w:rFonts w:hint="eastAsia" w:ascii="仿宋" w:hAnsi="仿宋" w:eastAsia="仿宋" w:cs="仿宋"/>
          <w:sz w:val="24"/>
          <w:highlight w:val="none"/>
        </w:rPr>
      </w:pPr>
    </w:p>
    <w:p w14:paraId="19D514D7">
      <w:pPr>
        <w:pStyle w:val="16"/>
        <w:ind w:firstLine="480"/>
        <w:rPr>
          <w:rFonts w:hint="eastAsia"/>
          <w:highlight w:val="none"/>
        </w:rPr>
      </w:pPr>
    </w:p>
    <w:p w14:paraId="2E6361C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合同编号：</w:t>
      </w:r>
      <w:r>
        <w:rPr>
          <w:rFonts w:hint="eastAsia" w:ascii="仿宋" w:hAnsi="仿宋" w:eastAsia="仿宋" w:cs="仿宋"/>
          <w:sz w:val="24"/>
          <w:highlight w:val="none"/>
          <w:u w:val="single"/>
        </w:rPr>
        <w:t xml:space="preserve">           </w:t>
      </w:r>
    </w:p>
    <w:p w14:paraId="0EA48739">
      <w:pPr>
        <w:pStyle w:val="28"/>
        <w:ind w:firstLine="560"/>
        <w:rPr>
          <w:rFonts w:hint="eastAsia"/>
          <w:highlight w:val="none"/>
        </w:rPr>
      </w:pPr>
    </w:p>
    <w:p w14:paraId="6FA307E7">
      <w:pPr>
        <w:pStyle w:val="28"/>
        <w:ind w:firstLine="560"/>
        <w:rPr>
          <w:rFonts w:hint="eastAsia"/>
          <w:highlight w:val="none"/>
        </w:rPr>
      </w:pPr>
    </w:p>
    <w:p w14:paraId="22689943">
      <w:pPr>
        <w:pStyle w:val="28"/>
        <w:ind w:firstLine="560"/>
        <w:rPr>
          <w:highlight w:val="none"/>
        </w:rPr>
      </w:pPr>
    </w:p>
    <w:p w14:paraId="242E8567">
      <w:pPr>
        <w:pStyle w:val="10"/>
        <w:snapToGrid w:val="0"/>
        <w:spacing w:before="156" w:after="156" w:line="720" w:lineRule="exact"/>
        <w:jc w:val="center"/>
        <w:rPr>
          <w:rFonts w:hint="eastAsia" w:ascii="仿宋" w:hAnsi="仿宋" w:eastAsia="仿宋"/>
          <w:b/>
          <w:sz w:val="44"/>
          <w:szCs w:val="44"/>
          <w:highlight w:val="none"/>
          <w:lang w:eastAsia="zh-CN"/>
        </w:rPr>
      </w:pPr>
      <w:r>
        <w:rPr>
          <w:rFonts w:hint="eastAsia" w:ascii="仿宋" w:hAnsi="仿宋" w:eastAsia="仿宋"/>
          <w:b/>
          <w:sz w:val="44"/>
          <w:szCs w:val="44"/>
          <w:highlight w:val="none"/>
          <w:lang w:eastAsia="zh-CN"/>
        </w:rPr>
        <w:t>北仑中学、顾国和外国语学校高中部2025年教师疗休养服务采购项目</w:t>
      </w:r>
    </w:p>
    <w:p w14:paraId="335CE57E">
      <w:pPr>
        <w:pStyle w:val="10"/>
        <w:snapToGrid w:val="0"/>
        <w:spacing w:before="156" w:after="156" w:line="720" w:lineRule="exact"/>
        <w:jc w:val="center"/>
        <w:rPr>
          <w:rFonts w:hint="eastAsia" w:ascii="仿宋" w:hAnsi="仿宋" w:eastAsia="仿宋"/>
          <w:b/>
          <w:sz w:val="44"/>
          <w:szCs w:val="44"/>
          <w:highlight w:val="none"/>
        </w:rPr>
      </w:pPr>
    </w:p>
    <w:p w14:paraId="2E8147CE">
      <w:pPr>
        <w:pStyle w:val="10"/>
        <w:snapToGrid w:val="0"/>
        <w:spacing w:before="156" w:after="156" w:line="720" w:lineRule="exact"/>
        <w:jc w:val="center"/>
        <w:rPr>
          <w:rFonts w:ascii="仿宋" w:hAnsi="仿宋" w:eastAsia="仿宋"/>
          <w:b/>
          <w:sz w:val="44"/>
          <w:szCs w:val="44"/>
          <w:highlight w:val="none"/>
        </w:rPr>
      </w:pPr>
      <w:r>
        <w:rPr>
          <w:rFonts w:hint="eastAsia" w:ascii="仿宋" w:hAnsi="仿宋" w:eastAsia="仿宋"/>
          <w:b/>
          <w:sz w:val="44"/>
          <w:szCs w:val="44"/>
          <w:highlight w:val="none"/>
        </w:rPr>
        <w:t>承包合同</w:t>
      </w:r>
    </w:p>
    <w:p w14:paraId="1DB371E4">
      <w:pPr>
        <w:pStyle w:val="29"/>
        <w:spacing w:before="120"/>
        <w:rPr>
          <w:rFonts w:hint="eastAsia" w:ascii="仿宋" w:hAnsi="仿宋" w:eastAsia="仿宋" w:cs="仿宋"/>
          <w:sz w:val="28"/>
          <w:szCs w:val="28"/>
          <w:highlight w:val="none"/>
        </w:rPr>
      </w:pPr>
    </w:p>
    <w:p w14:paraId="267206DB">
      <w:pPr>
        <w:rPr>
          <w:highlight w:val="none"/>
        </w:rPr>
      </w:pPr>
    </w:p>
    <w:p w14:paraId="341EF6DF">
      <w:pPr>
        <w:spacing w:line="360" w:lineRule="auto"/>
        <w:rPr>
          <w:rFonts w:ascii="仿宋" w:hAnsi="仿宋" w:eastAsia="仿宋" w:cs="仿宋"/>
          <w:sz w:val="28"/>
          <w:szCs w:val="28"/>
          <w:highlight w:val="none"/>
        </w:rPr>
      </w:pPr>
    </w:p>
    <w:p w14:paraId="30E28021">
      <w:pPr>
        <w:spacing w:before="120" w:line="480" w:lineRule="auto"/>
        <w:rPr>
          <w:rFonts w:ascii="仿宋" w:hAnsi="仿宋" w:eastAsia="仿宋" w:cs="仿宋"/>
          <w:sz w:val="28"/>
          <w:szCs w:val="28"/>
          <w:highlight w:val="none"/>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u w:val="single"/>
          <w:lang w:eastAsia="zh-CN"/>
        </w:rPr>
        <w:t>宁波市北仑中学</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p>
    <w:p w14:paraId="1BFD44EF">
      <w:pPr>
        <w:spacing w:before="120" w:line="480" w:lineRule="auto"/>
        <w:rPr>
          <w:rFonts w:ascii="仿宋" w:hAnsi="仿宋" w:eastAsia="仿宋" w:cs="仿宋"/>
          <w:sz w:val="28"/>
          <w:szCs w:val="28"/>
          <w:highlight w:val="none"/>
        </w:rPr>
      </w:pPr>
      <w:r>
        <w:rPr>
          <w:rFonts w:hint="eastAsia" w:ascii="仿宋" w:hAnsi="仿宋" w:eastAsia="仿宋" w:cs="仿宋"/>
          <w:sz w:val="28"/>
          <w:szCs w:val="28"/>
          <w:highlight w:val="none"/>
        </w:rPr>
        <w:t>乙方：</w:t>
      </w:r>
      <w:r>
        <w:rPr>
          <w:rFonts w:hint="eastAsia" w:ascii="仿宋" w:hAnsi="仿宋" w:eastAsia="仿宋" w:cs="仿宋"/>
          <w:sz w:val="28"/>
          <w:szCs w:val="28"/>
          <w:highlight w:val="none"/>
          <w:u w:val="single"/>
        </w:rPr>
        <w:t xml:space="preserve">                                       </w:t>
      </w:r>
    </w:p>
    <w:p w14:paraId="0F07F1F3">
      <w:pPr>
        <w:spacing w:before="120" w:line="480" w:lineRule="auto"/>
        <w:rPr>
          <w:rFonts w:ascii="仿宋" w:hAnsi="仿宋" w:eastAsia="仿宋" w:cs="仿宋"/>
          <w:sz w:val="28"/>
          <w:szCs w:val="28"/>
          <w:highlight w:val="none"/>
        </w:rPr>
      </w:pPr>
    </w:p>
    <w:p w14:paraId="16C9D1B6">
      <w:pPr>
        <w:spacing w:before="120" w:line="480" w:lineRule="auto"/>
        <w:rPr>
          <w:rFonts w:ascii="仿宋" w:hAnsi="仿宋" w:eastAsia="仿宋" w:cs="仿宋"/>
          <w:sz w:val="28"/>
          <w:szCs w:val="28"/>
          <w:highlight w:val="none"/>
        </w:rPr>
      </w:pPr>
      <w:r>
        <w:rPr>
          <w:rFonts w:hint="eastAsia" w:ascii="仿宋" w:hAnsi="仿宋" w:eastAsia="仿宋" w:cs="仿宋"/>
          <w:sz w:val="28"/>
          <w:szCs w:val="28"/>
          <w:highlight w:val="none"/>
        </w:rPr>
        <w:t>签订地：</w:t>
      </w:r>
      <w:r>
        <w:rPr>
          <w:rFonts w:hint="eastAsia" w:ascii="仿宋" w:hAnsi="仿宋" w:eastAsia="仿宋" w:cs="仿宋"/>
          <w:sz w:val="28"/>
          <w:szCs w:val="28"/>
          <w:highlight w:val="none"/>
          <w:u w:val="single"/>
        </w:rPr>
        <w:t>宁波</w:t>
      </w:r>
      <w:r>
        <w:rPr>
          <w:rFonts w:hint="eastAsia" w:ascii="仿宋" w:hAnsi="仿宋" w:eastAsia="仿宋" w:cs="仿宋"/>
          <w:sz w:val="28"/>
          <w:szCs w:val="28"/>
          <w:highlight w:val="none"/>
          <w:u w:val="single"/>
          <w:lang w:val="en-US" w:eastAsia="zh-CN"/>
        </w:rPr>
        <w:t>北仑</w:t>
      </w:r>
      <w:r>
        <w:rPr>
          <w:rFonts w:hint="eastAsia" w:ascii="仿宋" w:hAnsi="仿宋" w:eastAsia="仿宋" w:cs="仿宋"/>
          <w:sz w:val="28"/>
          <w:szCs w:val="28"/>
          <w:highlight w:val="none"/>
          <w:u w:val="single"/>
        </w:rPr>
        <w:t xml:space="preserve">                             </w:t>
      </w:r>
    </w:p>
    <w:p w14:paraId="652EFB24">
      <w:pPr>
        <w:spacing w:before="120" w:line="480" w:lineRule="auto"/>
        <w:rPr>
          <w:rFonts w:ascii="仿宋" w:hAnsi="仿宋" w:eastAsia="仿宋" w:cs="仿宋"/>
          <w:sz w:val="28"/>
          <w:szCs w:val="28"/>
          <w:highlight w:val="none"/>
        </w:rPr>
      </w:pPr>
      <w:r>
        <w:rPr>
          <w:rFonts w:hint="eastAsia" w:ascii="仿宋" w:hAnsi="仿宋" w:eastAsia="仿宋" w:cs="仿宋"/>
          <w:sz w:val="28"/>
          <w:szCs w:val="28"/>
          <w:highlight w:val="none"/>
        </w:rPr>
        <w:t>签订日期：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2DD18F79">
      <w:pPr>
        <w:pStyle w:val="10"/>
        <w:snapToGrid w:val="0"/>
        <w:spacing w:before="156" w:after="156" w:line="420" w:lineRule="exact"/>
        <w:jc w:val="center"/>
        <w:rPr>
          <w:rFonts w:hint="eastAsia" w:ascii="仿宋" w:hAnsi="仿宋" w:eastAsia="仿宋"/>
          <w:b/>
          <w:sz w:val="28"/>
          <w:szCs w:val="28"/>
          <w:highlight w:val="none"/>
        </w:rPr>
      </w:pPr>
      <w:r>
        <w:rPr>
          <w:rFonts w:hint="eastAsia" w:ascii="仿宋" w:hAnsi="仿宋" w:eastAsia="仿宋" w:cs="仿宋"/>
          <w:sz w:val="24"/>
          <w:highlight w:val="none"/>
          <w:u w:val="single"/>
          <w:lang w:val="zh-CN"/>
        </w:rPr>
        <w:br w:type="page"/>
      </w:r>
      <w:r>
        <w:rPr>
          <w:rFonts w:hint="eastAsia" w:ascii="仿宋" w:hAnsi="仿宋" w:eastAsia="仿宋"/>
          <w:b/>
          <w:sz w:val="28"/>
          <w:szCs w:val="28"/>
          <w:highlight w:val="none"/>
          <w:lang w:eastAsia="zh-CN"/>
        </w:rPr>
        <w:t>北仑中学、顾国和外国语学校高中部2025年教师疗休养服务采购项目</w:t>
      </w:r>
      <w:r>
        <w:rPr>
          <w:rFonts w:hint="eastAsia" w:ascii="仿宋" w:hAnsi="仿宋" w:eastAsia="仿宋"/>
          <w:b/>
          <w:sz w:val="28"/>
          <w:szCs w:val="28"/>
          <w:highlight w:val="none"/>
        </w:rPr>
        <w:t>承包合同</w:t>
      </w:r>
    </w:p>
    <w:p w14:paraId="6981C7B6">
      <w:pPr>
        <w:pStyle w:val="10"/>
        <w:snapToGrid w:val="0"/>
        <w:spacing w:before="156" w:after="156" w:line="420" w:lineRule="exact"/>
        <w:rPr>
          <w:rFonts w:hint="eastAsia" w:ascii="仿宋" w:hAnsi="仿宋" w:eastAsia="仿宋"/>
          <w:highlight w:val="none"/>
        </w:rPr>
      </w:pPr>
    </w:p>
    <w:p w14:paraId="10BAA236">
      <w:pPr>
        <w:spacing w:line="360" w:lineRule="auto"/>
        <w:rPr>
          <w:rFonts w:ascii="仿宋" w:hAnsi="仿宋" w:eastAsia="仿宋"/>
          <w:b/>
          <w:sz w:val="24"/>
          <w:highlight w:val="none"/>
          <w:u w:val="single"/>
        </w:rPr>
      </w:pPr>
      <w:r>
        <w:rPr>
          <w:rFonts w:hint="eastAsia" w:ascii="仿宋" w:hAnsi="仿宋" w:eastAsia="仿宋"/>
          <w:b/>
          <w:sz w:val="24"/>
          <w:highlight w:val="none"/>
        </w:rPr>
        <w:t>甲方（发包人）：</w:t>
      </w:r>
      <w:r>
        <w:rPr>
          <w:rFonts w:hint="eastAsia" w:ascii="仿宋" w:hAnsi="仿宋" w:eastAsia="仿宋"/>
          <w:b/>
          <w:sz w:val="24"/>
          <w:highlight w:val="none"/>
          <w:u w:val="thick"/>
          <w:lang w:eastAsia="zh-CN"/>
        </w:rPr>
        <w:t>宁波市北仑中学</w:t>
      </w:r>
      <w:r>
        <w:rPr>
          <w:rFonts w:hint="eastAsia" w:ascii="仿宋" w:hAnsi="仿宋" w:eastAsia="仿宋"/>
          <w:b/>
          <w:sz w:val="24"/>
          <w:highlight w:val="none"/>
          <w:u w:val="thick"/>
        </w:rPr>
        <w:t xml:space="preserve">                       </w:t>
      </w:r>
      <w:r>
        <w:rPr>
          <w:rFonts w:hint="eastAsia" w:ascii="仿宋" w:hAnsi="仿宋" w:eastAsia="仿宋" w:cs="宋体"/>
          <w:bCs/>
          <w:szCs w:val="21"/>
          <w:highlight w:val="none"/>
        </w:rPr>
        <w:t>（以下简称甲方）</w:t>
      </w:r>
    </w:p>
    <w:p w14:paraId="29566B25">
      <w:pPr>
        <w:spacing w:line="360" w:lineRule="auto"/>
        <w:rPr>
          <w:rFonts w:ascii="仿宋" w:hAnsi="仿宋" w:eastAsia="仿宋"/>
          <w:b/>
          <w:sz w:val="24"/>
          <w:highlight w:val="none"/>
        </w:rPr>
      </w:pPr>
      <w:r>
        <w:rPr>
          <w:rFonts w:hint="eastAsia" w:ascii="仿宋" w:hAnsi="仿宋" w:eastAsia="仿宋"/>
          <w:b/>
          <w:sz w:val="24"/>
          <w:highlight w:val="none"/>
        </w:rPr>
        <w:t>乙方（承包人）：</w:t>
      </w:r>
      <w:r>
        <w:rPr>
          <w:rFonts w:hint="eastAsia" w:ascii="仿宋" w:hAnsi="仿宋" w:eastAsia="仿宋"/>
          <w:b/>
          <w:sz w:val="24"/>
          <w:highlight w:val="none"/>
          <w:u w:val="single"/>
        </w:rPr>
        <w:t xml:space="preserve">                                     </w:t>
      </w:r>
      <w:r>
        <w:rPr>
          <w:rFonts w:hint="eastAsia" w:ascii="仿宋" w:hAnsi="仿宋" w:eastAsia="仿宋" w:cs="宋体"/>
          <w:bCs/>
          <w:szCs w:val="21"/>
          <w:highlight w:val="none"/>
        </w:rPr>
        <w:t>（以下简称乙方）</w:t>
      </w:r>
    </w:p>
    <w:p w14:paraId="44B1EB75">
      <w:pPr>
        <w:spacing w:line="360" w:lineRule="auto"/>
        <w:ind w:firstLine="420" w:firstLineChars="200"/>
        <w:rPr>
          <w:rFonts w:hint="eastAsia" w:ascii="仿宋" w:hAnsi="仿宋" w:eastAsia="仿宋"/>
          <w:szCs w:val="21"/>
          <w:highlight w:val="none"/>
        </w:rPr>
      </w:pPr>
    </w:p>
    <w:p w14:paraId="22CC68D8">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u w:val="single"/>
          <w:lang w:val="zh-CN"/>
        </w:rPr>
        <w:t>2025</w:t>
      </w:r>
      <w:r>
        <w:rPr>
          <w:rFonts w:hint="eastAsia" w:ascii="仿宋" w:hAnsi="仿宋" w:eastAsia="仿宋" w:cs="仿宋"/>
          <w:sz w:val="24"/>
          <w:highlight w:val="none"/>
          <w:lang w:val="zh-CN"/>
        </w:rPr>
        <w:t>年</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月</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日，</w:t>
      </w:r>
      <w:r>
        <w:rPr>
          <w:rFonts w:hint="eastAsia" w:ascii="仿宋" w:hAnsi="仿宋" w:eastAsia="仿宋" w:cs="仿宋"/>
          <w:sz w:val="24"/>
          <w:highlight w:val="none"/>
          <w:u w:val="single"/>
          <w:lang w:eastAsia="zh-CN"/>
        </w:rPr>
        <w:t>宁波市北仑中学</w:t>
      </w:r>
      <w:r>
        <w:rPr>
          <w:rFonts w:hint="eastAsia" w:ascii="仿宋" w:hAnsi="仿宋" w:eastAsia="仿宋" w:cs="仿宋"/>
          <w:sz w:val="24"/>
          <w:highlight w:val="none"/>
          <w:lang w:val="zh-CN"/>
        </w:rPr>
        <w:t>以</w:t>
      </w:r>
      <w:r>
        <w:rPr>
          <w:rFonts w:hint="eastAsia" w:ascii="仿宋" w:hAnsi="仿宋" w:eastAsia="仿宋" w:cs="仿宋"/>
          <w:sz w:val="24"/>
          <w:highlight w:val="none"/>
          <w:u w:val="single"/>
          <w:lang w:val="zh-CN"/>
        </w:rPr>
        <w:t>公开招标方式</w:t>
      </w:r>
      <w:r>
        <w:rPr>
          <w:rFonts w:hint="eastAsia" w:ascii="仿宋" w:hAnsi="仿宋" w:eastAsia="仿宋" w:cs="仿宋"/>
          <w:sz w:val="24"/>
          <w:highlight w:val="none"/>
          <w:lang w:val="zh-CN"/>
        </w:rPr>
        <w:t>对</w:t>
      </w:r>
      <w:r>
        <w:rPr>
          <w:rFonts w:hint="eastAsia" w:ascii="仿宋" w:hAnsi="仿宋" w:eastAsia="仿宋" w:cs="仿宋"/>
          <w:sz w:val="24"/>
          <w:highlight w:val="none"/>
          <w:u w:val="single"/>
          <w:lang w:val="zh-CN"/>
        </w:rPr>
        <w:t>北仑中学、顾国和外国语学校高中部2025年教师疗休养服务采购项目</w:t>
      </w:r>
      <w:r>
        <w:rPr>
          <w:rFonts w:hint="eastAsia" w:ascii="仿宋" w:hAnsi="仿宋" w:eastAsia="仿宋" w:cs="仿宋"/>
          <w:sz w:val="24"/>
          <w:highlight w:val="none"/>
          <w:lang w:val="zh-CN"/>
        </w:rPr>
        <w:t>进行了采购。经评标委员会评审，</w:t>
      </w:r>
      <w:r>
        <w:rPr>
          <w:rFonts w:hint="eastAsia" w:ascii="仿宋" w:hAnsi="仿宋" w:eastAsia="仿宋" w:cs="仿宋"/>
          <w:sz w:val="24"/>
          <w:highlight w:val="none"/>
          <w:u w:val="single"/>
          <w:lang w:eastAsia="zh-CN"/>
        </w:rPr>
        <w:t>宁波市北仑中学</w:t>
      </w:r>
      <w:r>
        <w:rPr>
          <w:rFonts w:hint="eastAsia" w:ascii="仿宋" w:hAnsi="仿宋" w:eastAsia="仿宋" w:cs="仿宋"/>
          <w:sz w:val="24"/>
          <w:highlight w:val="none"/>
          <w:lang w:val="zh-CN"/>
        </w:rPr>
        <w:t>确定，</w:t>
      </w:r>
      <w:r>
        <w:rPr>
          <w:rFonts w:hint="eastAsia" w:ascii="仿宋" w:hAnsi="仿宋" w:eastAsia="仿宋" w:cs="仿宋"/>
          <w:sz w:val="24"/>
          <w:highlight w:val="none"/>
          <w:u w:val="single"/>
          <w:lang w:val="zh-CN"/>
        </w:rPr>
        <w:t xml:space="preserve">   （中标供应商名称）   </w:t>
      </w:r>
      <w:r>
        <w:rPr>
          <w:rFonts w:hint="eastAsia" w:ascii="仿宋" w:hAnsi="仿宋" w:eastAsia="仿宋" w:cs="仿宋"/>
          <w:sz w:val="24"/>
          <w:highlight w:val="none"/>
          <w:lang w:val="zh-CN"/>
        </w:rPr>
        <w:t>为该项目</w:t>
      </w:r>
      <w:r>
        <w:rPr>
          <w:rFonts w:hint="eastAsia" w:ascii="仿宋" w:hAnsi="仿宋" w:eastAsia="仿宋" w:cs="仿宋"/>
          <w:sz w:val="24"/>
          <w:highlight w:val="none"/>
          <w:lang w:val="en-US" w:eastAsia="zh-CN"/>
        </w:rPr>
        <w:t>的</w:t>
      </w:r>
      <w:r>
        <w:rPr>
          <w:rFonts w:hint="eastAsia" w:ascii="仿宋" w:hAnsi="仿宋" w:eastAsia="仿宋" w:cs="仿宋"/>
          <w:sz w:val="24"/>
          <w:highlight w:val="none"/>
          <w:lang w:val="zh-CN"/>
        </w:rPr>
        <w:t>中标供应商。现于中标通知书发出之日起三十日内，按照采购文件确定的事项签订本合同。</w:t>
      </w:r>
    </w:p>
    <w:p w14:paraId="777F0314">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highlight w:val="none"/>
          <w:u w:val="single"/>
          <w:lang w:eastAsia="zh-CN"/>
        </w:rPr>
        <w:t>宁波市北仑中学</w:t>
      </w:r>
      <w:r>
        <w:rPr>
          <w:rFonts w:hint="eastAsia" w:ascii="仿宋" w:hAnsi="仿宋" w:eastAsia="仿宋" w:cs="仿宋"/>
          <w:sz w:val="24"/>
          <w:highlight w:val="none"/>
          <w:lang w:val="zh-CN"/>
        </w:rPr>
        <w:t>(以下简称：甲方)和</w:t>
      </w:r>
      <w:r>
        <w:rPr>
          <w:rFonts w:hint="eastAsia" w:ascii="仿宋" w:hAnsi="仿宋" w:eastAsia="仿宋" w:cs="仿宋"/>
          <w:sz w:val="24"/>
          <w:highlight w:val="none"/>
          <w:u w:val="single"/>
        </w:rPr>
        <w:t xml:space="preserve">   （中标供应商名称）   </w:t>
      </w:r>
      <w:r>
        <w:rPr>
          <w:rFonts w:hint="eastAsia" w:ascii="仿宋" w:hAnsi="仿宋" w:eastAsia="仿宋" w:cs="仿宋"/>
          <w:sz w:val="24"/>
          <w:highlight w:val="none"/>
          <w:lang w:val="zh-CN"/>
        </w:rPr>
        <w:t>(以下简称：乙方)协商一致，约定以下合同</w:t>
      </w:r>
      <w:r>
        <w:rPr>
          <w:rFonts w:hint="eastAsia" w:ascii="仿宋" w:hAnsi="仿宋" w:eastAsia="仿宋" w:cs="仿宋"/>
          <w:sz w:val="24"/>
          <w:highlight w:val="none"/>
        </w:rPr>
        <w:t>条款，以兹共同遵守、全面履行。</w:t>
      </w:r>
    </w:p>
    <w:p w14:paraId="421894A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b/>
          <w:bCs/>
          <w:color w:val="000000"/>
          <w:sz w:val="24"/>
          <w:szCs w:val="24"/>
        </w:rPr>
      </w:pPr>
      <w:r>
        <w:rPr>
          <w:rFonts w:ascii="仿宋" w:hAnsi="仿宋" w:eastAsia="仿宋"/>
          <w:b/>
          <w:bCs/>
          <w:color w:val="000000"/>
          <w:sz w:val="24"/>
          <w:szCs w:val="24"/>
        </w:rPr>
        <w:t>一、服务内容</w:t>
      </w:r>
    </w:p>
    <w:p w14:paraId="1828CC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职工疗休养服务，具体旅游路线详见单项旅游合同。（另行签订）</w:t>
      </w:r>
    </w:p>
    <w:tbl>
      <w:tblPr>
        <w:tblStyle w:val="17"/>
        <w:tblW w:w="8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3373"/>
        <w:gridCol w:w="1102"/>
        <w:gridCol w:w="1397"/>
        <w:gridCol w:w="1276"/>
      </w:tblGrid>
      <w:tr w14:paraId="4838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14:paraId="318506A9">
            <w:pPr>
              <w:spacing w:line="460" w:lineRule="exact"/>
              <w:jc w:val="center"/>
              <w:rPr>
                <w:rFonts w:hint="eastAsia" w:ascii="仿宋" w:hAnsi="仿宋" w:eastAsia="仿宋" w:cs="仿宋"/>
                <w:b/>
                <w:highlight w:val="none"/>
              </w:rPr>
            </w:pPr>
            <w:r>
              <w:rPr>
                <w:rFonts w:hint="eastAsia" w:ascii="仿宋" w:hAnsi="仿宋" w:eastAsia="仿宋" w:cs="仿宋"/>
                <w:b/>
                <w:highlight w:val="none"/>
              </w:rPr>
              <w:t>线路</w:t>
            </w:r>
          </w:p>
        </w:tc>
        <w:tc>
          <w:tcPr>
            <w:tcW w:w="3373" w:type="dxa"/>
            <w:tcBorders>
              <w:top w:val="single" w:color="auto" w:sz="4" w:space="0"/>
              <w:left w:val="single" w:color="auto" w:sz="4" w:space="0"/>
              <w:bottom w:val="single" w:color="auto" w:sz="4" w:space="0"/>
              <w:right w:val="single" w:color="auto" w:sz="4" w:space="0"/>
            </w:tcBorders>
            <w:noWrap w:val="0"/>
            <w:vAlign w:val="center"/>
          </w:tcPr>
          <w:p w14:paraId="28FD87CE">
            <w:pPr>
              <w:spacing w:line="460" w:lineRule="exact"/>
              <w:jc w:val="center"/>
              <w:rPr>
                <w:rFonts w:hint="eastAsia" w:ascii="仿宋" w:hAnsi="仿宋" w:eastAsia="仿宋" w:cs="仿宋"/>
                <w:b/>
                <w:highlight w:val="none"/>
              </w:rPr>
            </w:pPr>
            <w:r>
              <w:rPr>
                <w:rFonts w:hint="eastAsia" w:ascii="仿宋" w:hAnsi="仿宋" w:eastAsia="仿宋" w:cs="仿宋"/>
                <w:b/>
                <w:highlight w:val="none"/>
              </w:rPr>
              <w:t>必经旅游景点或地点</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324B8E4C">
            <w:pPr>
              <w:spacing w:line="460" w:lineRule="exact"/>
              <w:jc w:val="center"/>
              <w:rPr>
                <w:rFonts w:hint="eastAsia" w:ascii="仿宋" w:hAnsi="仿宋" w:eastAsia="仿宋" w:cs="仿宋"/>
                <w:b/>
                <w:highlight w:val="none"/>
              </w:rPr>
            </w:pPr>
            <w:r>
              <w:rPr>
                <w:rFonts w:hint="eastAsia" w:ascii="仿宋" w:hAnsi="仿宋" w:eastAsia="仿宋" w:cs="仿宋"/>
                <w:b/>
                <w:highlight w:val="none"/>
              </w:rPr>
              <w:t>线路时长</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0DBF9456">
            <w:pPr>
              <w:spacing w:line="460" w:lineRule="exact"/>
              <w:jc w:val="center"/>
              <w:rPr>
                <w:rFonts w:hint="eastAsia" w:ascii="仿宋" w:hAnsi="仿宋" w:eastAsia="仿宋" w:cs="仿宋"/>
                <w:b/>
                <w:highlight w:val="none"/>
              </w:rPr>
            </w:pPr>
            <w:r>
              <w:rPr>
                <w:rFonts w:hint="eastAsia" w:ascii="仿宋" w:hAnsi="仿宋" w:eastAsia="仿宋" w:cs="仿宋"/>
                <w:b/>
                <w:highlight w:val="none"/>
              </w:rPr>
              <w:t>固定价</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D2A3077">
            <w:pPr>
              <w:spacing w:line="460" w:lineRule="exact"/>
              <w:jc w:val="center"/>
              <w:rPr>
                <w:rFonts w:hint="default" w:ascii="仿宋" w:hAnsi="仿宋" w:eastAsia="仿宋" w:cs="仿宋"/>
                <w:b/>
                <w:highlight w:val="none"/>
                <w:lang w:val="en-US" w:eastAsia="zh-CN"/>
              </w:rPr>
            </w:pPr>
            <w:r>
              <w:rPr>
                <w:rFonts w:hint="eastAsia" w:ascii="仿宋" w:hAnsi="仿宋" w:eastAsia="仿宋" w:cs="仿宋"/>
                <w:b/>
                <w:highlight w:val="none"/>
                <w:lang w:val="en-US" w:eastAsia="zh-CN"/>
              </w:rPr>
              <w:t>预计人数</w:t>
            </w:r>
          </w:p>
        </w:tc>
      </w:tr>
      <w:tr w14:paraId="150A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0" w:type="dxa"/>
            <w:noWrap w:val="0"/>
            <w:vAlign w:val="center"/>
          </w:tcPr>
          <w:p w14:paraId="7D7C63EF">
            <w:pPr>
              <w:spacing w:line="460" w:lineRule="exac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p>
        </w:tc>
        <w:tc>
          <w:tcPr>
            <w:tcW w:w="3373" w:type="dxa"/>
            <w:noWrap w:val="0"/>
            <w:vAlign w:val="center"/>
          </w:tcPr>
          <w:p w14:paraId="440DB9F3">
            <w:pPr>
              <w:spacing w:line="460" w:lineRule="exac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长春、长白山、延吉</w:t>
            </w:r>
          </w:p>
        </w:tc>
        <w:tc>
          <w:tcPr>
            <w:tcW w:w="1102" w:type="dxa"/>
            <w:noWrap w:val="0"/>
            <w:vAlign w:val="center"/>
          </w:tcPr>
          <w:p w14:paraId="19878B39">
            <w:pPr>
              <w:spacing w:line="460" w:lineRule="exact"/>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5天</w:t>
            </w:r>
          </w:p>
        </w:tc>
        <w:tc>
          <w:tcPr>
            <w:tcW w:w="1397" w:type="dxa"/>
            <w:noWrap w:val="0"/>
            <w:vAlign w:val="center"/>
          </w:tcPr>
          <w:p w14:paraId="6F770A57">
            <w:pPr>
              <w:spacing w:line="460" w:lineRule="exact"/>
              <w:jc w:val="center"/>
              <w:rPr>
                <w:rFonts w:hint="eastAsia" w:ascii="仿宋" w:hAnsi="仿宋" w:eastAsia="仿宋" w:cs="仿宋"/>
                <w:highlight w:val="none"/>
              </w:rPr>
            </w:pPr>
            <w:r>
              <w:rPr>
                <w:rFonts w:hint="eastAsia" w:ascii="仿宋" w:hAnsi="仿宋" w:eastAsia="仿宋" w:cs="仿宋"/>
                <w:highlight w:val="none"/>
              </w:rPr>
              <w:t>3000元/人</w:t>
            </w:r>
          </w:p>
        </w:tc>
        <w:tc>
          <w:tcPr>
            <w:tcW w:w="1276" w:type="dxa"/>
            <w:noWrap w:val="0"/>
            <w:vAlign w:val="center"/>
          </w:tcPr>
          <w:p w14:paraId="00F04DA1">
            <w:pPr>
              <w:spacing w:line="460" w:lineRule="exact"/>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30人</w:t>
            </w:r>
          </w:p>
        </w:tc>
      </w:tr>
      <w:tr w14:paraId="243A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0" w:type="dxa"/>
            <w:noWrap w:val="0"/>
            <w:vAlign w:val="center"/>
          </w:tcPr>
          <w:p w14:paraId="1BAF39DC">
            <w:pPr>
              <w:spacing w:line="460" w:lineRule="exac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p>
        </w:tc>
        <w:tc>
          <w:tcPr>
            <w:tcW w:w="3373" w:type="dxa"/>
            <w:noWrap w:val="0"/>
            <w:vAlign w:val="center"/>
          </w:tcPr>
          <w:p w14:paraId="3A6C3CFB">
            <w:pPr>
              <w:spacing w:line="460" w:lineRule="exact"/>
              <w:jc w:val="center"/>
              <w:rPr>
                <w:rFonts w:hint="eastAsia" w:ascii="仿宋" w:hAnsi="仿宋" w:eastAsia="仿宋" w:cs="仿宋"/>
                <w:highlight w:val="none"/>
                <w:lang w:val="en-US" w:eastAsia="zh-CN"/>
              </w:rPr>
            </w:pPr>
            <w:r>
              <w:rPr>
                <w:rFonts w:hint="eastAsia" w:ascii="仿宋" w:hAnsi="仿宋" w:eastAsia="仿宋" w:cs="仿宋"/>
                <w:color w:val="auto"/>
                <w:highlight w:val="none"/>
                <w:lang w:val="en-US" w:eastAsia="zh-CN"/>
              </w:rPr>
              <w:t>宁波大市线路</w:t>
            </w:r>
          </w:p>
        </w:tc>
        <w:tc>
          <w:tcPr>
            <w:tcW w:w="1102" w:type="dxa"/>
            <w:noWrap w:val="0"/>
            <w:vAlign w:val="center"/>
          </w:tcPr>
          <w:p w14:paraId="790C8A2A">
            <w:pPr>
              <w:spacing w:line="460" w:lineRule="exact"/>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5天</w:t>
            </w:r>
          </w:p>
        </w:tc>
        <w:tc>
          <w:tcPr>
            <w:tcW w:w="1397" w:type="dxa"/>
            <w:noWrap w:val="0"/>
            <w:vAlign w:val="center"/>
          </w:tcPr>
          <w:p w14:paraId="54BB2C8F">
            <w:pPr>
              <w:spacing w:line="460" w:lineRule="exact"/>
              <w:jc w:val="center"/>
              <w:rPr>
                <w:rFonts w:hint="eastAsia" w:ascii="仿宋" w:hAnsi="仿宋" w:eastAsia="仿宋" w:cs="仿宋"/>
                <w:highlight w:val="none"/>
              </w:rPr>
            </w:pPr>
            <w:r>
              <w:rPr>
                <w:rFonts w:hint="eastAsia" w:ascii="仿宋" w:hAnsi="仿宋" w:eastAsia="仿宋" w:cs="仿宋"/>
                <w:highlight w:val="none"/>
              </w:rPr>
              <w:t>3000元/人</w:t>
            </w:r>
          </w:p>
        </w:tc>
        <w:tc>
          <w:tcPr>
            <w:tcW w:w="1276" w:type="dxa"/>
            <w:noWrap w:val="0"/>
            <w:vAlign w:val="center"/>
          </w:tcPr>
          <w:p w14:paraId="79C69E03">
            <w:pPr>
              <w:spacing w:line="460" w:lineRule="exact"/>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189人</w:t>
            </w:r>
          </w:p>
        </w:tc>
      </w:tr>
    </w:tbl>
    <w:p w14:paraId="5B0C572E">
      <w:pPr>
        <w:spacing w:line="360" w:lineRule="auto"/>
        <w:ind w:firstLine="482" w:firstLineChars="200"/>
        <w:rPr>
          <w:rFonts w:hint="eastAsia" w:ascii="仿宋" w:hAnsi="仿宋" w:eastAsia="仿宋" w:cs="Times New Roman"/>
          <w:sz w:val="24"/>
          <w:szCs w:val="24"/>
          <w:highlight w:val="green"/>
          <w:lang w:val="en-US" w:eastAsia="zh-CN"/>
        </w:rPr>
      </w:pPr>
      <w:r>
        <w:rPr>
          <w:rFonts w:hint="eastAsia" w:ascii="仿宋" w:hAnsi="仿宋" w:eastAsia="仿宋" w:cs="Times New Roman"/>
          <w:b/>
          <w:bCs/>
          <w:sz w:val="24"/>
          <w:szCs w:val="24"/>
          <w:highlight w:val="none"/>
          <w:lang w:val="en-US" w:eastAsia="zh-CN"/>
        </w:rPr>
        <w:t>特别说明：职工疗休养经费标准为3000元/人。</w:t>
      </w:r>
    </w:p>
    <w:p w14:paraId="034D13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Times New Roman"/>
          <w:color w:val="000000"/>
          <w:sz w:val="24"/>
          <w:szCs w:val="24"/>
          <w:lang w:val="en-US" w:eastAsia="zh-CN"/>
        </w:rPr>
      </w:pPr>
      <w:r>
        <w:rPr>
          <w:rFonts w:hint="eastAsia" w:ascii="仿宋" w:hAnsi="仿宋" w:eastAsia="仿宋" w:cs="Times New Roman"/>
          <w:sz w:val="24"/>
          <w:szCs w:val="24"/>
          <w:lang w:val="en-US" w:eastAsia="zh-CN"/>
        </w:rPr>
        <w:t>上述各路线的职工人数为预计数，具体以实际合同履行的人数，按实结算</w:t>
      </w:r>
      <w:r>
        <w:rPr>
          <w:rFonts w:hint="eastAsia" w:ascii="仿宋" w:hAnsi="仿宋" w:eastAsia="仿宋" w:cs="Times New Roman"/>
          <w:color w:val="000000"/>
          <w:sz w:val="24"/>
          <w:szCs w:val="24"/>
          <w:lang w:val="en-US" w:eastAsia="zh-CN"/>
        </w:rPr>
        <w:t>。</w:t>
      </w:r>
    </w:p>
    <w:p w14:paraId="78CD5DE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Times New Roman"/>
          <w:b/>
          <w:bCs/>
          <w:color w:val="000000"/>
          <w:sz w:val="24"/>
          <w:szCs w:val="24"/>
        </w:rPr>
      </w:pPr>
      <w:r>
        <w:rPr>
          <w:rFonts w:ascii="仿宋" w:hAnsi="仿宋" w:eastAsia="仿宋" w:cs="Times New Roman"/>
          <w:b/>
          <w:bCs/>
          <w:color w:val="000000"/>
          <w:sz w:val="24"/>
          <w:szCs w:val="24"/>
        </w:rPr>
        <w:t>二、合同金额</w:t>
      </w:r>
    </w:p>
    <w:p w14:paraId="074F6A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olor w:val="000000"/>
          <w:sz w:val="24"/>
          <w:szCs w:val="24"/>
          <w:lang w:val="en-US" w:eastAsia="zh-CN"/>
        </w:rPr>
      </w:pPr>
      <w:r>
        <w:rPr>
          <w:rFonts w:hint="eastAsia" w:ascii="仿宋" w:hAnsi="仿宋" w:eastAsia="仿宋" w:cs="Times New Roman"/>
          <w:color w:val="000000"/>
          <w:sz w:val="24"/>
          <w:szCs w:val="24"/>
          <w:lang w:val="en-US" w:eastAsia="zh-CN"/>
        </w:rPr>
        <w:t>线路</w:t>
      </w:r>
      <w:r>
        <w:rPr>
          <w:rFonts w:hint="eastAsia" w:ascii="仿宋" w:hAnsi="仿宋" w:eastAsia="仿宋" w:cs="Times New Roman"/>
          <w:color w:val="000000"/>
          <w:sz w:val="24"/>
          <w:szCs w:val="24"/>
          <w:u w:val="single"/>
          <w:lang w:val="en-US" w:eastAsia="zh-CN"/>
        </w:rPr>
        <w:t xml:space="preserve">   </w:t>
      </w:r>
      <w:r>
        <w:rPr>
          <w:rFonts w:hint="eastAsia" w:ascii="仿宋" w:hAnsi="仿宋" w:eastAsia="仿宋" w:cs="Times New Roman"/>
          <w:color w:val="000000"/>
          <w:sz w:val="24"/>
          <w:szCs w:val="24"/>
          <w:lang w:eastAsia="zh-CN"/>
        </w:rPr>
        <w:t>疗休养服务，</w:t>
      </w:r>
      <w:r>
        <w:rPr>
          <w:rFonts w:ascii="仿宋" w:hAnsi="仿宋" w:eastAsia="仿宋" w:cs="Times New Roman"/>
          <w:color w:val="000000"/>
          <w:sz w:val="24"/>
          <w:szCs w:val="24"/>
        </w:rPr>
        <w:t>本合同</w:t>
      </w:r>
      <w:r>
        <w:rPr>
          <w:rFonts w:hint="eastAsia" w:ascii="仿宋" w:hAnsi="仿宋" w:eastAsia="仿宋"/>
          <w:color w:val="000000"/>
          <w:sz w:val="24"/>
          <w:szCs w:val="24"/>
          <w:lang w:val="en-US" w:eastAsia="zh-CN"/>
        </w:rPr>
        <w:t>总</w:t>
      </w:r>
      <w:r>
        <w:rPr>
          <w:rFonts w:ascii="仿宋" w:hAnsi="仿宋" w:eastAsia="仿宋"/>
          <w:color w:val="000000"/>
          <w:sz w:val="24"/>
          <w:szCs w:val="24"/>
        </w:rPr>
        <w:t>金额</w:t>
      </w:r>
      <w:r>
        <w:rPr>
          <w:rFonts w:hint="eastAsia" w:ascii="仿宋" w:hAnsi="仿宋" w:eastAsia="仿宋"/>
          <w:color w:val="000000"/>
          <w:sz w:val="24"/>
          <w:szCs w:val="24"/>
          <w:lang w:val="en-US" w:eastAsia="zh-CN"/>
        </w:rPr>
        <w:t>暂定</w:t>
      </w:r>
      <w:r>
        <w:rPr>
          <w:rFonts w:ascii="仿宋" w:hAnsi="仿宋" w:eastAsia="仿宋"/>
          <w:color w:val="000000"/>
          <w:sz w:val="24"/>
          <w:szCs w:val="24"/>
        </w:rPr>
        <w:t>为（大写）：</w:t>
      </w:r>
      <w:r>
        <w:rPr>
          <w:rFonts w:hint="eastAsia" w:ascii="仿宋" w:hAnsi="仿宋" w:eastAsia="仿宋"/>
          <w:color w:val="000000"/>
          <w:sz w:val="24"/>
          <w:szCs w:val="24"/>
          <w:u w:val="single"/>
          <w:lang w:val="en-US" w:eastAsia="zh-CN"/>
        </w:rPr>
        <w:t xml:space="preserve">              </w:t>
      </w:r>
      <w:r>
        <w:rPr>
          <w:rFonts w:ascii="仿宋" w:hAnsi="仿宋" w:eastAsia="仿宋"/>
          <w:color w:val="000000"/>
          <w:sz w:val="24"/>
          <w:szCs w:val="24"/>
        </w:rPr>
        <w:t>元（￥</w:t>
      </w:r>
      <w:r>
        <w:rPr>
          <w:rFonts w:hint="eastAsia" w:ascii="仿宋" w:hAnsi="仿宋" w:eastAsia="仿宋"/>
          <w:color w:val="000000"/>
          <w:sz w:val="24"/>
          <w:szCs w:val="24"/>
          <w:u w:val="single"/>
          <w:lang w:val="en-US" w:eastAsia="zh-CN"/>
        </w:rPr>
        <w:t xml:space="preserve">            </w:t>
      </w:r>
      <w:r>
        <w:rPr>
          <w:rFonts w:ascii="仿宋" w:hAnsi="仿宋" w:eastAsia="仿宋"/>
          <w:color w:val="000000"/>
          <w:sz w:val="24"/>
          <w:szCs w:val="24"/>
        </w:rPr>
        <w:t>元）人民币。</w:t>
      </w:r>
      <w:r>
        <w:rPr>
          <w:rFonts w:hint="eastAsia" w:ascii="仿宋" w:hAnsi="仿宋" w:eastAsia="仿宋"/>
          <w:color w:val="000000"/>
          <w:sz w:val="24"/>
          <w:szCs w:val="24"/>
          <w:lang w:val="en-US" w:eastAsia="zh-CN"/>
        </w:rPr>
        <w:t>具体以实际参加人数按实结算。</w:t>
      </w:r>
    </w:p>
    <w:p w14:paraId="33E4F5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lang w:val="en-US" w:eastAsia="zh-CN"/>
        </w:rPr>
        <w:t>本合同单价</w:t>
      </w:r>
      <w:r>
        <w:rPr>
          <w:rFonts w:hint="eastAsia" w:ascii="仿宋" w:hAnsi="仿宋" w:eastAsia="仿宋"/>
          <w:color w:val="000000"/>
          <w:sz w:val="24"/>
          <w:szCs w:val="24"/>
        </w:rPr>
        <w:t>费用标准固定不变，不因旅游旺季或淡季，出行人数的多少，或其他原因做调整。</w:t>
      </w:r>
      <w:r>
        <w:rPr>
          <w:rFonts w:hint="eastAsia" w:ascii="仿宋" w:hAnsi="仿宋" w:eastAsia="仿宋"/>
          <w:color w:val="000000"/>
          <w:sz w:val="24"/>
          <w:szCs w:val="24"/>
          <w:lang w:val="en-US" w:eastAsia="zh-CN"/>
        </w:rPr>
        <w:t>乙方</w:t>
      </w:r>
      <w:r>
        <w:rPr>
          <w:rFonts w:hint="eastAsia" w:ascii="仿宋" w:hAnsi="仿宋" w:eastAsia="仿宋"/>
          <w:color w:val="000000"/>
          <w:sz w:val="24"/>
          <w:szCs w:val="24"/>
        </w:rPr>
        <w:t>必须服从需方的出行安排。</w:t>
      </w:r>
    </w:p>
    <w:p w14:paraId="5E1EA80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Times New Roman"/>
          <w:b/>
          <w:bCs/>
          <w:color w:val="000000"/>
          <w:sz w:val="24"/>
          <w:szCs w:val="24"/>
        </w:rPr>
      </w:pPr>
      <w:r>
        <w:rPr>
          <w:rFonts w:hint="eastAsia" w:ascii="仿宋" w:hAnsi="仿宋" w:eastAsia="仿宋" w:cs="Times New Roman"/>
          <w:b/>
          <w:bCs/>
          <w:color w:val="000000"/>
          <w:sz w:val="24"/>
          <w:szCs w:val="24"/>
        </w:rPr>
        <w:t>三、付款方式</w:t>
      </w:r>
    </w:p>
    <w:p w14:paraId="5BD0F1F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合同签订生效以及具备实施条件后7个工作日内</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向</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提交预算金额40%的预付款保函或其他金融担保措施后，</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支付预算金额的40%作为预付款；每次疗休养活动结束以后（无有效投诉和质量问题），凭正规有效发票原件及相关佐证材料（职工旅游合同、保险单复印件等），经审核后结算。每次结算先从预付款中扣回，待预付款金额全额扣回后，继续支付。</w:t>
      </w:r>
    </w:p>
    <w:p w14:paraId="732A9B8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在签订合同时，</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明确表示无需预付款或者主动要求降低预付款比例的，以</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意愿为准。</w:t>
      </w:r>
    </w:p>
    <w:p w14:paraId="6962730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Times New Roman"/>
          <w:b/>
          <w:bCs/>
          <w:color w:val="000000"/>
          <w:sz w:val="24"/>
          <w:szCs w:val="24"/>
          <w:lang w:val="en-US" w:eastAsia="zh-CN"/>
        </w:rPr>
      </w:pPr>
      <w:r>
        <w:rPr>
          <w:rFonts w:hint="eastAsia" w:ascii="仿宋" w:hAnsi="仿宋" w:eastAsia="仿宋" w:cs="Times New Roman"/>
          <w:b/>
          <w:bCs/>
          <w:color w:val="000000"/>
          <w:sz w:val="24"/>
          <w:szCs w:val="24"/>
        </w:rPr>
        <w:t>四、合同</w:t>
      </w:r>
      <w:r>
        <w:rPr>
          <w:rFonts w:hint="eastAsia" w:ascii="仿宋" w:hAnsi="仿宋" w:eastAsia="仿宋" w:cs="Times New Roman"/>
          <w:b/>
          <w:bCs/>
          <w:color w:val="000000"/>
          <w:sz w:val="24"/>
          <w:szCs w:val="24"/>
          <w:lang w:val="en-US" w:eastAsia="zh-CN"/>
        </w:rPr>
        <w:t>履约期限</w:t>
      </w:r>
    </w:p>
    <w:p w14:paraId="0681FE7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自合同生效之日至合同全部权利义务履行完毕之日止</w:t>
      </w:r>
      <w:r>
        <w:rPr>
          <w:rFonts w:hint="eastAsia" w:ascii="仿宋" w:hAnsi="仿宋" w:eastAsia="仿宋" w:cs="仿宋"/>
          <w:color w:val="auto"/>
          <w:sz w:val="24"/>
          <w:highlight w:val="none"/>
        </w:rPr>
        <w:t>。</w:t>
      </w:r>
    </w:p>
    <w:p w14:paraId="3C26DD2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Times New Roman"/>
          <w:b/>
          <w:bCs/>
          <w:color w:val="000000"/>
          <w:sz w:val="24"/>
          <w:szCs w:val="24"/>
        </w:rPr>
      </w:pPr>
      <w:r>
        <w:rPr>
          <w:rFonts w:hint="eastAsia" w:ascii="仿宋" w:hAnsi="仿宋" w:eastAsia="仿宋" w:cs="Times New Roman"/>
          <w:b/>
          <w:bCs/>
          <w:color w:val="000000"/>
          <w:sz w:val="24"/>
          <w:szCs w:val="24"/>
        </w:rPr>
        <w:t>五、技术资料</w:t>
      </w:r>
    </w:p>
    <w:p w14:paraId="1E3E79E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1、乙方应按采购文件规定的时间向甲方提供所有服务。</w:t>
      </w:r>
    </w:p>
    <w:p w14:paraId="5C9DDC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没有甲方事先书面同意，乙方不得将由甲方提供的有关合同或任何合同条文、计划、或资料提供给与履行本合同无关的任何其他人。即使向履行本合同有关的人员提供，也应注意保密并限于履行合同的必需范围。</w:t>
      </w:r>
    </w:p>
    <w:p w14:paraId="5123810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Times New Roman"/>
          <w:b/>
          <w:bCs/>
          <w:color w:val="000000"/>
          <w:sz w:val="24"/>
          <w:szCs w:val="24"/>
        </w:rPr>
      </w:pPr>
      <w:r>
        <w:rPr>
          <w:rFonts w:hint="eastAsia" w:ascii="仿宋" w:hAnsi="仿宋" w:eastAsia="仿宋" w:cs="Times New Roman"/>
          <w:b/>
          <w:bCs/>
          <w:color w:val="000000"/>
          <w:sz w:val="24"/>
          <w:szCs w:val="24"/>
        </w:rPr>
        <w:t>六、组成合同的文件</w:t>
      </w:r>
    </w:p>
    <w:p w14:paraId="26C9A7E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1、本合同协议书；</w:t>
      </w:r>
    </w:p>
    <w:p w14:paraId="0EFA6F2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2、中标通知书；</w:t>
      </w:r>
    </w:p>
    <w:p w14:paraId="10ADC9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3、投标文件及其附件；</w:t>
      </w:r>
    </w:p>
    <w:p w14:paraId="34907AD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4、招标文件；</w:t>
      </w:r>
    </w:p>
    <w:p w14:paraId="0AD32EC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5、标准、规范及有关技术文件。</w:t>
      </w:r>
    </w:p>
    <w:p w14:paraId="1987E62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有关甲乙双方洽商、变更等书面协议或文件均视为本合同组成部分。</w:t>
      </w:r>
    </w:p>
    <w:p w14:paraId="1AE3EB4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Times New Roman"/>
          <w:b/>
          <w:bCs/>
          <w:color w:val="000000"/>
          <w:sz w:val="24"/>
          <w:szCs w:val="24"/>
          <w:lang w:eastAsia="zh-CN"/>
        </w:rPr>
      </w:pPr>
      <w:r>
        <w:rPr>
          <w:rFonts w:hint="eastAsia" w:ascii="仿宋" w:hAnsi="仿宋" w:eastAsia="仿宋" w:cs="Times New Roman"/>
          <w:b/>
          <w:bCs/>
          <w:color w:val="000000"/>
          <w:sz w:val="24"/>
          <w:szCs w:val="24"/>
        </w:rPr>
        <w:t>七、履约保证金</w:t>
      </w:r>
      <w:r>
        <w:rPr>
          <w:rFonts w:hint="eastAsia" w:ascii="仿宋" w:hAnsi="仿宋" w:eastAsia="仿宋" w:cs="Times New Roman"/>
          <w:b/>
          <w:bCs/>
          <w:color w:val="000000"/>
          <w:sz w:val="24"/>
          <w:szCs w:val="24"/>
          <w:lang w:eastAsia="zh-CN"/>
        </w:rPr>
        <w:t>（</w:t>
      </w:r>
      <w:r>
        <w:rPr>
          <w:rFonts w:hint="eastAsia" w:ascii="仿宋" w:hAnsi="仿宋" w:eastAsia="仿宋" w:cs="Times New Roman"/>
          <w:b/>
          <w:bCs/>
          <w:color w:val="000000"/>
          <w:sz w:val="24"/>
          <w:szCs w:val="24"/>
          <w:lang w:val="en-US" w:eastAsia="zh-CN"/>
        </w:rPr>
        <w:t>本项目不适用</w:t>
      </w:r>
      <w:r>
        <w:rPr>
          <w:rFonts w:hint="eastAsia" w:ascii="仿宋" w:hAnsi="仿宋" w:eastAsia="仿宋" w:cs="Times New Roman"/>
          <w:b/>
          <w:bCs/>
          <w:color w:val="000000"/>
          <w:sz w:val="24"/>
          <w:szCs w:val="24"/>
          <w:lang w:eastAsia="zh-CN"/>
        </w:rPr>
        <w:t>）</w:t>
      </w:r>
    </w:p>
    <w:p w14:paraId="654979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1、乙方在合同签订后10日内向甲方交纳人民币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元作为本合同的履约保证金。</w:t>
      </w:r>
    </w:p>
    <w:p w14:paraId="1865177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履约保证金在乙方完成合同履约后视履行情况不计息退还（但如乙方未履行或未完全履行合同规定的任何义务，给甲方造成损失的，甲方有权在其提交的履约保证金中获得相应赔偿，不足部分甲方有权继续向乙方追偿）。</w:t>
      </w:r>
    </w:p>
    <w:p w14:paraId="0A2668A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Times New Roman"/>
          <w:b/>
          <w:bCs/>
          <w:color w:val="000000"/>
          <w:sz w:val="24"/>
          <w:szCs w:val="24"/>
        </w:rPr>
      </w:pPr>
      <w:r>
        <w:rPr>
          <w:rFonts w:hint="eastAsia" w:ascii="仿宋" w:hAnsi="仿宋" w:eastAsia="仿宋" w:cs="Times New Roman"/>
          <w:b/>
          <w:bCs/>
          <w:color w:val="000000"/>
          <w:sz w:val="24"/>
          <w:szCs w:val="24"/>
        </w:rPr>
        <w:t>八、转包或分包</w:t>
      </w:r>
    </w:p>
    <w:p w14:paraId="774FA17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1、本合同范围的服务，应由乙方直接提供，不得转让他人；</w:t>
      </w:r>
    </w:p>
    <w:p w14:paraId="7C6DF15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2、除非得到甲方的同意，否则乙方不得分包给他人；</w:t>
      </w:r>
    </w:p>
    <w:p w14:paraId="5F5D697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3、如有转让和未经甲方同意的分包行为，乙方有权给予终止合同。</w:t>
      </w:r>
    </w:p>
    <w:p w14:paraId="35B1F1D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Times New Roman"/>
          <w:b/>
          <w:bCs/>
          <w:color w:val="000000"/>
          <w:sz w:val="24"/>
          <w:szCs w:val="24"/>
        </w:rPr>
      </w:pPr>
      <w:r>
        <w:rPr>
          <w:rFonts w:hint="eastAsia" w:ascii="仿宋" w:hAnsi="仿宋" w:eastAsia="仿宋" w:cs="Times New Roman"/>
          <w:b/>
          <w:bCs/>
          <w:color w:val="000000"/>
          <w:sz w:val="24"/>
          <w:szCs w:val="24"/>
        </w:rPr>
        <w:t>九、税</w:t>
      </w:r>
    </w:p>
    <w:p w14:paraId="6C7D404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本合同执行中相关的一切税费均由乙方负担。</w:t>
      </w:r>
    </w:p>
    <w:p w14:paraId="25B9049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Times New Roman"/>
          <w:b/>
          <w:bCs/>
          <w:color w:val="000000"/>
          <w:sz w:val="24"/>
          <w:szCs w:val="24"/>
        </w:rPr>
      </w:pPr>
      <w:r>
        <w:rPr>
          <w:rFonts w:hint="eastAsia" w:ascii="仿宋" w:hAnsi="仿宋" w:eastAsia="仿宋" w:cs="Times New Roman"/>
          <w:b/>
          <w:bCs/>
          <w:color w:val="000000"/>
          <w:sz w:val="24"/>
          <w:szCs w:val="24"/>
        </w:rPr>
        <w:t>十、服务质量保证</w:t>
      </w:r>
    </w:p>
    <w:p w14:paraId="0B2EC68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1、乙方应按采购文件规定的技术要求、服务质量标准向甲方提供服务。</w:t>
      </w:r>
    </w:p>
    <w:p w14:paraId="1C7B805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2、服务期内因乙方服务本身的质量问题而导致甲方无法正常使用服务成果或活动不能正常进行的，须由乙方承担相关费用，并负责处理赔偿和补救措施。</w:t>
      </w:r>
    </w:p>
    <w:p w14:paraId="36EF7E1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Times New Roman"/>
          <w:b/>
          <w:bCs/>
          <w:color w:val="000000"/>
          <w:sz w:val="24"/>
          <w:szCs w:val="24"/>
        </w:rPr>
      </w:pPr>
      <w:r>
        <w:rPr>
          <w:rFonts w:hint="eastAsia" w:ascii="仿宋" w:hAnsi="仿宋" w:eastAsia="仿宋" w:cs="Times New Roman"/>
          <w:b/>
          <w:bCs/>
          <w:color w:val="000000"/>
          <w:sz w:val="24"/>
          <w:szCs w:val="24"/>
        </w:rPr>
        <w:t>十一、违约责任</w:t>
      </w:r>
    </w:p>
    <w:p w14:paraId="49CD9B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1、甲方无正当理由拒收接受服务的，甲方向乙方偿付合同款项百分之五作为违约金。</w:t>
      </w:r>
    </w:p>
    <w:p w14:paraId="4E4F7DA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2、甲方无故逾期验收和办理款项支付手续的，甲方应按逾期付款总额每日万分之五向乙方支付违约金。</w:t>
      </w:r>
    </w:p>
    <w:p w14:paraId="3A6668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未能如期提供服务的，每日向甲方支付合同款项的千分之六作为违约金。乙方超过约定日期10个工作日仍不能提供服务的，甲方可解除本合同。乙方因未能如期提供服务导致甲方解除合同的，乙方应向甲方支付合同总值5%的违约金，如造成甲方损失超过违约金的，超出部分由乙方继续承担赔偿责任。</w:t>
      </w:r>
    </w:p>
    <w:p w14:paraId="710F23C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4、签订合同后项目不得转包，如发现转包，视为违反约定罚款5万元并终止合同。</w:t>
      </w:r>
    </w:p>
    <w:p w14:paraId="2769273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5、任何一方未经对方书面同意而擅自单方终止合同的，应赔偿对方违约金5万元，以补偿对方的损失。</w:t>
      </w:r>
    </w:p>
    <w:p w14:paraId="73BAB3C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6、甲方每年对职工疗休养相关内容（包括线路设定、旅游社导游、住宿餐饮安排以及交通工具质量等）进行满意度测评，如满意度偏低，经甲方公司领导及工会商议决定，甲方有权终止合同。</w:t>
      </w:r>
    </w:p>
    <w:p w14:paraId="27EAC567">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乙方向职工提供的旅游服务信息必须真实可靠，不得作虚假宣传。因乙方原因不能成行，未经职工同意擅自转团、拼团，一经核实，承诺支付该批次疗休养费用总额的50%比例违约金，情节严重的甲方有权终止合同，取消其承办单位资格。</w:t>
      </w:r>
    </w:p>
    <w:p w14:paraId="5E7EFCD0">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8、未经职工同意，乙方不得在旅游合同约定之外提供其他有偿服务。一经核实，承诺支付该批次疗休养费用总额的50%比例违约金，情节严重的甲方有权终止合同，取消其承办单位资格。</w:t>
      </w:r>
    </w:p>
    <w:p w14:paraId="141EB85C">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9、疗休养线路不得安排购物点或强制购物。一经核实，承诺支付该批次疗休养费用总额的50%比例违约金，情节严重的甲方有权终止合同，取消其承办单位资格。</w:t>
      </w:r>
    </w:p>
    <w:p w14:paraId="163DD9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因</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原因造成需方疗休养人员或第三方人员人身损害或财产损失的，</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应承担全部责任。因</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疗休养人员自身原因造成的人身损害或财产损失，</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应尽一切努力协助</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进行处置，以协助减少损害、损失。</w:t>
      </w:r>
    </w:p>
    <w:p w14:paraId="7B14484C">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乙方必须严格兑现投标文件中承诺的所有服务标准和内容，若发现为职工提供的服务与标书不符，一经查实，乙方承诺按该批次疗休养费用总额的50%支付违约金，情节严重的甲方有权终止合同，取消其承办单位资格。</w:t>
      </w:r>
    </w:p>
    <w:p w14:paraId="7F259B52">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12、乙方为职工安排或者介绍的旅游活动不得含有违反有关法律、法规规定的内容。一经核实，承诺支付该批次疗休养费用总额的50%比例违约金，情节严重的甲方有权终止合同，取消其承办单位资格。</w:t>
      </w:r>
    </w:p>
    <w:p w14:paraId="09D93125">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13、乙方应当按照合同约定履行义务，完成成交项目，不得将成交项目转让(转包)给其他供应商，一经查实，乙方承诺赔偿由此带来的全部损失，同时甲方终止合同，取消其承办单位资格。</w:t>
      </w:r>
    </w:p>
    <w:p w14:paraId="0C553A7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Times New Roman"/>
          <w:b/>
          <w:bCs/>
          <w:color w:val="000000"/>
          <w:sz w:val="24"/>
          <w:szCs w:val="24"/>
        </w:rPr>
      </w:pPr>
      <w:r>
        <w:rPr>
          <w:rFonts w:hint="eastAsia" w:ascii="仿宋" w:hAnsi="仿宋" w:eastAsia="仿宋" w:cs="Times New Roman"/>
          <w:b/>
          <w:bCs/>
          <w:color w:val="000000"/>
          <w:sz w:val="24"/>
          <w:szCs w:val="24"/>
        </w:rPr>
        <w:t>十二、不可抗力事件处理</w:t>
      </w:r>
    </w:p>
    <w:p w14:paraId="1C8103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1、在合同有效期内，任何一方因不可抗力事件导致不能履行合同，则合同履行期可延长，其延长期与不可抗力影响期相同。</w:t>
      </w:r>
    </w:p>
    <w:p w14:paraId="2ED269C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2、不可抗力事件发生后，应立即通知对方，并寄送有关权威机构出具的证明。</w:t>
      </w:r>
    </w:p>
    <w:p w14:paraId="5A6D46C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3、不可抗力事件延续 120 天以上，双方应通过友好协商，确定是否继续履行合同。</w:t>
      </w:r>
    </w:p>
    <w:p w14:paraId="40D705D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Times New Roman"/>
          <w:b/>
          <w:bCs/>
          <w:color w:val="000000"/>
          <w:sz w:val="24"/>
          <w:szCs w:val="24"/>
        </w:rPr>
      </w:pPr>
      <w:r>
        <w:rPr>
          <w:rFonts w:hint="eastAsia" w:ascii="仿宋" w:hAnsi="仿宋" w:eastAsia="仿宋" w:cs="Times New Roman"/>
          <w:b/>
          <w:bCs/>
          <w:color w:val="000000"/>
          <w:sz w:val="24"/>
          <w:szCs w:val="24"/>
        </w:rPr>
        <w:t>十三、诉讼</w:t>
      </w:r>
    </w:p>
    <w:p w14:paraId="312F1E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双方在执行合同中所发生的一切争议，应通过协商解决。如协商不成，可向合同签订地法院起诉，合同签订地在此约定为宁波市</w:t>
      </w:r>
      <w:r>
        <w:rPr>
          <w:rFonts w:hint="eastAsia" w:ascii="仿宋" w:hAnsi="仿宋" w:eastAsia="仿宋" w:cs="仿宋"/>
          <w:color w:val="auto"/>
          <w:sz w:val="24"/>
          <w:highlight w:val="none"/>
          <w:lang w:val="en-US" w:eastAsia="zh-CN"/>
        </w:rPr>
        <w:t>北仑</w:t>
      </w:r>
      <w:r>
        <w:rPr>
          <w:rFonts w:hint="eastAsia" w:ascii="仿宋" w:hAnsi="仿宋" w:eastAsia="仿宋" w:cs="仿宋"/>
          <w:color w:val="auto"/>
          <w:sz w:val="24"/>
          <w:highlight w:val="none"/>
        </w:rPr>
        <w:t>区。</w:t>
      </w:r>
    </w:p>
    <w:p w14:paraId="742268E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Times New Roman"/>
          <w:b/>
          <w:bCs/>
          <w:color w:val="000000"/>
          <w:sz w:val="24"/>
          <w:szCs w:val="24"/>
        </w:rPr>
      </w:pPr>
      <w:r>
        <w:rPr>
          <w:rFonts w:hint="eastAsia" w:ascii="仿宋" w:hAnsi="仿宋" w:eastAsia="仿宋" w:cs="Times New Roman"/>
          <w:b/>
          <w:bCs/>
          <w:color w:val="000000"/>
          <w:sz w:val="24"/>
          <w:szCs w:val="24"/>
        </w:rPr>
        <w:t>十四、合同生效及其它</w:t>
      </w:r>
    </w:p>
    <w:p w14:paraId="3BE67EE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1、合同经双方法定代表人或授权委托代理人签字并加盖单位公章后生效。</w:t>
      </w:r>
    </w:p>
    <w:p w14:paraId="12C6093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2、本合同未尽事宜，遵照《民法典》有关条文执行。</w:t>
      </w:r>
    </w:p>
    <w:p w14:paraId="1207F7A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3、本合同正本一式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份，具有同等法律效力，甲乙双方各执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w:t>
      </w:r>
      <w:r>
        <w:rPr>
          <w:rFonts w:hint="eastAsia" w:ascii="仿宋" w:hAnsi="仿宋" w:eastAsia="仿宋" w:cs="仿宋"/>
          <w:color w:val="auto"/>
          <w:sz w:val="24"/>
          <w:highlight w:val="none"/>
          <w:lang w:eastAsia="zh-CN"/>
        </w:rPr>
        <w:t>宁波越升质量技术服务有限公司</w:t>
      </w:r>
      <w:r>
        <w:rPr>
          <w:rFonts w:hint="eastAsia" w:ascii="仿宋" w:hAnsi="仿宋" w:eastAsia="仿宋" w:cs="仿宋"/>
          <w:color w:val="auto"/>
          <w:sz w:val="24"/>
          <w:highlight w:val="none"/>
        </w:rPr>
        <w:t>壹份。</w:t>
      </w:r>
    </w:p>
    <w:p w14:paraId="07A39F7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4、乙方必须对疗休养活动期间可能因客观原因（如航班延误、客船停航等）造成的滞留、行程变化等可预见范围内的事项制定应急预案，并承担由该原因导致的额外费用。</w:t>
      </w:r>
    </w:p>
    <w:p w14:paraId="597BF82E">
      <w:pPr>
        <w:spacing w:line="360" w:lineRule="auto"/>
        <w:ind w:firstLine="240" w:firstLineChars="100"/>
        <w:rPr>
          <w:rFonts w:hint="eastAsia" w:ascii="仿宋" w:hAnsi="仿宋" w:eastAsia="仿宋"/>
          <w:color w:val="auto"/>
          <w:sz w:val="24"/>
          <w:szCs w:val="24"/>
          <w:highlight w:val="none"/>
        </w:rPr>
      </w:pPr>
    </w:p>
    <w:p w14:paraId="77B6A24F">
      <w:pPr>
        <w:pStyle w:val="28"/>
        <w:ind w:firstLine="560"/>
        <w:rPr>
          <w:highlight w:val="none"/>
          <w:lang w:val="zh-CN"/>
        </w:rPr>
      </w:pPr>
    </w:p>
    <w:p w14:paraId="7BC3ED70">
      <w:pPr>
        <w:pStyle w:val="28"/>
        <w:ind w:firstLine="560"/>
        <w:rPr>
          <w:highlight w:val="none"/>
          <w:lang w:val="zh-CN"/>
        </w:rPr>
      </w:pPr>
    </w:p>
    <w:p w14:paraId="6E03AC45">
      <w:pPr>
        <w:autoSpaceDE w:val="0"/>
        <w:autoSpaceDN w:val="0"/>
        <w:spacing w:line="360" w:lineRule="auto"/>
        <w:rPr>
          <w:rFonts w:hint="eastAsia" w:ascii="仿宋" w:hAnsi="仿宋" w:eastAsia="仿宋" w:cs="仿宋"/>
          <w:b/>
          <w:sz w:val="24"/>
          <w:highlight w:val="none"/>
          <w:lang w:val="zh-CN"/>
        </w:rPr>
      </w:pPr>
    </w:p>
    <w:p w14:paraId="2A0CFC99">
      <w:pPr>
        <w:autoSpaceDE w:val="0"/>
        <w:autoSpaceDN w:val="0"/>
        <w:spacing w:line="360" w:lineRule="auto"/>
        <w:rPr>
          <w:rFonts w:hint="eastAsia" w:ascii="仿宋" w:hAnsi="仿宋" w:eastAsia="仿宋" w:cs="仿宋"/>
          <w:b/>
          <w:sz w:val="24"/>
          <w:highlight w:val="none"/>
          <w:lang w:val="zh-CN"/>
        </w:rPr>
      </w:pPr>
    </w:p>
    <w:p w14:paraId="4A18CF46">
      <w:pPr>
        <w:autoSpaceDE w:val="0"/>
        <w:autoSpaceDN w:val="0"/>
        <w:spacing w:line="360" w:lineRule="auto"/>
        <w:rPr>
          <w:rFonts w:hint="eastAsia" w:ascii="仿宋" w:hAnsi="仿宋" w:eastAsia="仿宋" w:cs="仿宋"/>
          <w:b/>
          <w:sz w:val="24"/>
          <w:highlight w:val="none"/>
          <w:lang w:val="zh-CN"/>
        </w:rPr>
      </w:pPr>
    </w:p>
    <w:p w14:paraId="23FC6C6E">
      <w:pPr>
        <w:autoSpaceDE w:val="0"/>
        <w:autoSpaceDN w:val="0"/>
        <w:spacing w:line="360" w:lineRule="auto"/>
        <w:rPr>
          <w:rFonts w:hint="eastAsia" w:ascii="仿宋" w:hAnsi="仿宋" w:eastAsia="仿宋" w:cs="仿宋"/>
          <w:b/>
          <w:sz w:val="24"/>
          <w:highlight w:val="none"/>
          <w:lang w:val="zh-CN"/>
        </w:rPr>
      </w:pPr>
    </w:p>
    <w:p w14:paraId="629741B0">
      <w:pPr>
        <w:autoSpaceDE w:val="0"/>
        <w:autoSpaceDN w:val="0"/>
        <w:spacing w:line="360" w:lineRule="auto"/>
        <w:rPr>
          <w:rFonts w:ascii="仿宋" w:hAnsi="仿宋" w:eastAsia="仿宋" w:cs="仿宋"/>
          <w:sz w:val="24"/>
          <w:highlight w:val="none"/>
          <w:lang w:val="zh-CN"/>
        </w:rPr>
      </w:pPr>
      <w:r>
        <w:rPr>
          <w:rFonts w:hint="eastAsia" w:ascii="仿宋" w:hAnsi="仿宋" w:eastAsia="仿宋" w:cs="仿宋"/>
          <w:b/>
          <w:sz w:val="24"/>
          <w:highlight w:val="none"/>
          <w:lang w:val="zh-CN"/>
        </w:rPr>
        <w:t>甲方名称（公章）</w:t>
      </w:r>
      <w:r>
        <w:rPr>
          <w:rFonts w:hint="eastAsia" w:ascii="仿宋" w:hAnsi="仿宋" w:eastAsia="仿宋" w:cs="仿宋"/>
          <w:sz w:val="24"/>
          <w:highlight w:val="none"/>
          <w:lang w:val="zh-CN"/>
        </w:rPr>
        <w:t xml:space="preserve">：                      </w:t>
      </w:r>
      <w:r>
        <w:rPr>
          <w:rFonts w:hint="eastAsia" w:ascii="仿宋" w:hAnsi="仿宋" w:eastAsia="仿宋" w:cs="仿宋"/>
          <w:b/>
          <w:sz w:val="24"/>
          <w:highlight w:val="none"/>
          <w:lang w:val="zh-CN"/>
        </w:rPr>
        <w:t>乙方名称（公章）</w:t>
      </w:r>
      <w:r>
        <w:rPr>
          <w:rFonts w:hint="eastAsia" w:ascii="仿宋" w:hAnsi="仿宋" w:eastAsia="仿宋" w:cs="仿宋"/>
          <w:sz w:val="24"/>
          <w:highlight w:val="none"/>
          <w:lang w:val="zh-CN"/>
        </w:rPr>
        <w:t>：</w:t>
      </w:r>
    </w:p>
    <w:p w14:paraId="1C4FBA4D">
      <w:pPr>
        <w:autoSpaceDE w:val="0"/>
        <w:autoSpaceDN w:val="0"/>
        <w:spacing w:line="360" w:lineRule="auto"/>
        <w:rPr>
          <w:rFonts w:ascii="仿宋" w:hAnsi="仿宋" w:eastAsia="仿宋" w:cs="仿宋"/>
          <w:sz w:val="24"/>
          <w:highlight w:val="none"/>
          <w:lang w:val="zh-CN"/>
        </w:rPr>
      </w:pPr>
    </w:p>
    <w:p w14:paraId="46A1919E">
      <w:pPr>
        <w:autoSpaceDE w:val="0"/>
        <w:autoSpaceDN w:val="0"/>
        <w:spacing w:line="360" w:lineRule="auto"/>
        <w:rPr>
          <w:rFonts w:ascii="仿宋" w:hAnsi="仿宋" w:eastAsia="仿宋" w:cs="仿宋"/>
          <w:sz w:val="24"/>
          <w:highlight w:val="none"/>
          <w:lang w:val="zh-CN"/>
        </w:rPr>
      </w:pPr>
      <w:r>
        <w:rPr>
          <w:rFonts w:hint="eastAsia" w:ascii="仿宋" w:hAnsi="仿宋" w:eastAsia="仿宋" w:cs="仿宋"/>
          <w:sz w:val="24"/>
          <w:highlight w:val="none"/>
          <w:lang w:val="zh-CN"/>
        </w:rPr>
        <w:t>统一社会信用代码：                      统一社会信用代码或身份证号码：</w:t>
      </w:r>
    </w:p>
    <w:p w14:paraId="207514C4">
      <w:pPr>
        <w:autoSpaceDE w:val="0"/>
        <w:autoSpaceDN w:val="0"/>
        <w:spacing w:line="360" w:lineRule="auto"/>
        <w:rPr>
          <w:rFonts w:ascii="仿宋" w:hAnsi="仿宋" w:eastAsia="仿宋" w:cs="仿宋"/>
          <w:sz w:val="24"/>
          <w:highlight w:val="none"/>
          <w:lang w:val="zh-CN"/>
        </w:rPr>
      </w:pPr>
      <w:r>
        <w:rPr>
          <w:rFonts w:hint="eastAsia" w:ascii="仿宋" w:hAnsi="仿宋" w:eastAsia="仿宋" w:cs="仿宋"/>
          <w:sz w:val="24"/>
          <w:highlight w:val="none"/>
          <w:lang w:val="zh-CN"/>
        </w:rPr>
        <w:t>住所：                                  住所：</w:t>
      </w:r>
    </w:p>
    <w:p w14:paraId="57A0F384">
      <w:pPr>
        <w:autoSpaceDE w:val="0"/>
        <w:autoSpaceDN w:val="0"/>
        <w:spacing w:line="360" w:lineRule="auto"/>
        <w:rPr>
          <w:rFonts w:ascii="仿宋" w:hAnsi="仿宋" w:eastAsia="仿宋" w:cs="仿宋"/>
          <w:sz w:val="24"/>
          <w:highlight w:val="none"/>
          <w:lang w:val="zh-CN"/>
        </w:rPr>
      </w:pPr>
      <w:r>
        <w:rPr>
          <w:rFonts w:hint="eastAsia" w:ascii="仿宋" w:hAnsi="仿宋" w:eastAsia="仿宋" w:cs="仿宋"/>
          <w:sz w:val="24"/>
          <w:highlight w:val="none"/>
          <w:lang w:val="zh-CN"/>
        </w:rPr>
        <w:t xml:space="preserve">法定代表人或授权代表（签字）：       </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 xml:space="preserve">法定代表人或授权代表（签字）： </w:t>
      </w:r>
    </w:p>
    <w:p w14:paraId="45BF5D75">
      <w:pPr>
        <w:autoSpaceDE w:val="0"/>
        <w:autoSpaceDN w:val="0"/>
        <w:spacing w:line="360" w:lineRule="auto"/>
        <w:rPr>
          <w:rFonts w:ascii="仿宋" w:hAnsi="仿宋" w:eastAsia="仿宋" w:cs="仿宋"/>
          <w:sz w:val="24"/>
          <w:highlight w:val="none"/>
          <w:lang w:val="zh-CN"/>
        </w:rPr>
      </w:pPr>
      <w:r>
        <w:rPr>
          <w:rFonts w:hint="eastAsia" w:ascii="仿宋" w:hAnsi="仿宋" w:eastAsia="仿宋" w:cs="仿宋"/>
          <w:sz w:val="24"/>
          <w:highlight w:val="none"/>
          <w:lang w:val="zh-CN"/>
        </w:rPr>
        <w:t>联系人：                                联系人：</w:t>
      </w:r>
    </w:p>
    <w:p w14:paraId="76A23860">
      <w:pPr>
        <w:autoSpaceDE w:val="0"/>
        <w:autoSpaceDN w:val="0"/>
        <w:spacing w:line="360" w:lineRule="auto"/>
        <w:rPr>
          <w:rFonts w:ascii="仿宋" w:hAnsi="仿宋" w:eastAsia="仿宋" w:cs="仿宋"/>
          <w:sz w:val="24"/>
          <w:highlight w:val="none"/>
          <w:lang w:val="zh-CN"/>
        </w:rPr>
      </w:pPr>
      <w:r>
        <w:rPr>
          <w:rFonts w:hint="eastAsia" w:ascii="仿宋" w:hAnsi="仿宋" w:eastAsia="仿宋" w:cs="仿宋"/>
          <w:sz w:val="24"/>
          <w:highlight w:val="none"/>
          <w:lang w:val="zh-CN"/>
        </w:rPr>
        <w:t>约定送达地址：                          约定送达地址：</w:t>
      </w:r>
    </w:p>
    <w:p w14:paraId="67653AEB">
      <w:pPr>
        <w:autoSpaceDE w:val="0"/>
        <w:autoSpaceDN w:val="0"/>
        <w:spacing w:line="360" w:lineRule="auto"/>
        <w:rPr>
          <w:rFonts w:ascii="仿宋" w:hAnsi="仿宋" w:eastAsia="仿宋" w:cs="仿宋"/>
          <w:sz w:val="24"/>
          <w:highlight w:val="none"/>
          <w:lang w:val="zh-CN"/>
        </w:rPr>
      </w:pPr>
      <w:r>
        <w:rPr>
          <w:rFonts w:hint="eastAsia" w:ascii="仿宋" w:hAnsi="仿宋" w:eastAsia="仿宋" w:cs="仿宋"/>
          <w:sz w:val="24"/>
          <w:highlight w:val="none"/>
          <w:lang w:val="zh-CN"/>
        </w:rPr>
        <w:t>邮政编码：                              邮政编码：</w:t>
      </w:r>
    </w:p>
    <w:p w14:paraId="4656CD49">
      <w:pPr>
        <w:autoSpaceDE w:val="0"/>
        <w:autoSpaceDN w:val="0"/>
        <w:spacing w:line="360" w:lineRule="auto"/>
        <w:rPr>
          <w:rFonts w:ascii="仿宋" w:hAnsi="仿宋" w:eastAsia="仿宋" w:cs="仿宋"/>
          <w:sz w:val="24"/>
          <w:highlight w:val="none"/>
          <w:lang w:val="zh-CN"/>
        </w:rPr>
      </w:pPr>
      <w:r>
        <w:rPr>
          <w:rFonts w:hint="eastAsia" w:ascii="仿宋" w:hAnsi="仿宋" w:eastAsia="仿宋" w:cs="仿宋"/>
          <w:sz w:val="24"/>
          <w:highlight w:val="none"/>
          <w:lang w:val="zh-CN"/>
        </w:rPr>
        <w:t xml:space="preserve">电话：                                  电话： </w:t>
      </w:r>
    </w:p>
    <w:p w14:paraId="1AE0B1E8">
      <w:pPr>
        <w:autoSpaceDE w:val="0"/>
        <w:autoSpaceDN w:val="0"/>
        <w:spacing w:line="360" w:lineRule="auto"/>
        <w:rPr>
          <w:rFonts w:ascii="仿宋" w:hAnsi="仿宋" w:eastAsia="仿宋" w:cs="仿宋"/>
          <w:sz w:val="24"/>
          <w:highlight w:val="none"/>
          <w:lang w:val="zh-CN"/>
        </w:rPr>
      </w:pPr>
      <w:r>
        <w:rPr>
          <w:rFonts w:hint="eastAsia" w:ascii="仿宋" w:hAnsi="仿宋" w:eastAsia="仿宋" w:cs="仿宋"/>
          <w:sz w:val="24"/>
          <w:highlight w:val="none"/>
          <w:lang w:val="zh-CN"/>
        </w:rPr>
        <w:t>传真：                                  传真：</w:t>
      </w:r>
    </w:p>
    <w:p w14:paraId="748677AF">
      <w:pPr>
        <w:pStyle w:val="28"/>
        <w:spacing w:line="360" w:lineRule="auto"/>
        <w:ind w:firstLine="480"/>
        <w:rPr>
          <w:rFonts w:ascii="仿宋" w:hAnsi="仿宋" w:eastAsia="仿宋" w:cs="仿宋"/>
          <w:sz w:val="24"/>
          <w:highlight w:val="none"/>
        </w:rPr>
      </w:pPr>
    </w:p>
    <w:p w14:paraId="4DEAC97C">
      <w:pPr>
        <w:spacing w:line="360" w:lineRule="auto"/>
        <w:rPr>
          <w:rFonts w:hint="eastAsia" w:ascii="仿宋" w:hAnsi="仿宋" w:eastAsia="仿宋" w:cs="仿宋"/>
          <w:b/>
          <w:sz w:val="36"/>
          <w:szCs w:val="20"/>
          <w:highlight w:val="none"/>
        </w:rPr>
      </w:pPr>
      <w:r>
        <w:rPr>
          <w:rFonts w:hint="eastAsia"/>
          <w:highlight w:val="none"/>
        </w:rPr>
        <w:br w:type="page"/>
      </w:r>
    </w:p>
    <w:p w14:paraId="65E8DC03">
      <w:pPr>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第六部分</w:t>
      </w:r>
      <w:bookmarkEnd w:id="392"/>
      <w:r>
        <w:rPr>
          <w:rFonts w:hint="eastAsia" w:ascii="仿宋" w:hAnsi="仿宋" w:eastAsia="仿宋" w:cs="仿宋"/>
          <w:b/>
          <w:sz w:val="36"/>
          <w:szCs w:val="20"/>
          <w:highlight w:val="none"/>
        </w:rPr>
        <w:t xml:space="preserve">   </w:t>
      </w:r>
      <w:bookmarkEnd w:id="393"/>
      <w:r>
        <w:rPr>
          <w:rFonts w:hint="eastAsia" w:ascii="仿宋" w:hAnsi="仿宋" w:eastAsia="仿宋" w:cs="仿宋"/>
          <w:b/>
          <w:sz w:val="36"/>
          <w:szCs w:val="20"/>
          <w:highlight w:val="none"/>
        </w:rPr>
        <w:t>应提交的有关格式范例</w:t>
      </w:r>
    </w:p>
    <w:p w14:paraId="2DD4EDA0">
      <w:pPr>
        <w:spacing w:line="360" w:lineRule="auto"/>
        <w:jc w:val="center"/>
        <w:rPr>
          <w:rFonts w:hint="eastAsia" w:ascii="仿宋" w:hAnsi="仿宋" w:eastAsia="仿宋" w:cs="仿宋"/>
          <w:b/>
          <w:kern w:val="0"/>
          <w:sz w:val="36"/>
          <w:szCs w:val="36"/>
          <w:highlight w:val="none"/>
        </w:rPr>
      </w:pPr>
    </w:p>
    <w:p w14:paraId="20DF9C44">
      <w:pPr>
        <w:spacing w:before="120" w:beforeLines="50" w:after="120" w:afterLines="50"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资格文件部分</w:t>
      </w:r>
    </w:p>
    <w:p w14:paraId="2689EC2A">
      <w:pPr>
        <w:spacing w:before="120" w:beforeLines="50" w:after="120" w:afterLines="50"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目录</w:t>
      </w:r>
    </w:p>
    <w:p w14:paraId="0376F374">
      <w:pPr>
        <w:spacing w:line="360" w:lineRule="auto"/>
        <w:jc w:val="center"/>
        <w:rPr>
          <w:rFonts w:hint="eastAsia" w:ascii="仿宋" w:hAnsi="仿宋" w:eastAsia="仿宋" w:cs="仿宋"/>
          <w:b/>
          <w:kern w:val="0"/>
          <w:sz w:val="36"/>
          <w:szCs w:val="36"/>
          <w:highlight w:val="none"/>
        </w:rPr>
      </w:pPr>
    </w:p>
    <w:p w14:paraId="035611D6">
      <w:pPr>
        <w:adjustRightInd w:val="0"/>
        <w:snapToGrid w:val="0"/>
        <w:spacing w:line="360" w:lineRule="auto"/>
        <w:ind w:left="420" w:leftChars="20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1.有效的企业法人营业执照（或事业法人登记证）、其他组织（个体工商户）的营业执照或者民办非企业单位登记证书；</w:t>
      </w:r>
    </w:p>
    <w:p w14:paraId="779BFC03">
      <w:pPr>
        <w:adjustRightInd w:val="0"/>
        <w:snapToGrid w:val="0"/>
        <w:spacing w:line="360" w:lineRule="auto"/>
        <w:ind w:left="420" w:leftChars="20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2.符合参加政府采购活动应当具备的一般条件的承诺函；</w:t>
      </w:r>
    </w:p>
    <w:p w14:paraId="4F97FB44">
      <w:pPr>
        <w:adjustRightInd w:val="0"/>
        <w:snapToGrid w:val="0"/>
        <w:spacing w:line="360" w:lineRule="auto"/>
        <w:ind w:left="420" w:leftChars="20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3.落实政府采购政策需满足的资格要求；（必须提供满足下列清单之一）；</w:t>
      </w:r>
    </w:p>
    <w:p w14:paraId="5ED31678">
      <w:pPr>
        <w:adjustRightInd w:val="0"/>
        <w:snapToGrid w:val="0"/>
        <w:spacing w:line="360" w:lineRule="auto"/>
        <w:ind w:left="420" w:leftChars="200"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3.1中小企业声明函；</w:t>
      </w:r>
    </w:p>
    <w:p w14:paraId="4CBE1777">
      <w:pPr>
        <w:adjustRightInd w:val="0"/>
        <w:snapToGrid w:val="0"/>
        <w:spacing w:line="360" w:lineRule="auto"/>
        <w:ind w:left="420" w:leftChars="200"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3.2残疾人福利性单位声明函；</w:t>
      </w:r>
    </w:p>
    <w:p w14:paraId="3A19B557">
      <w:pPr>
        <w:adjustRightInd w:val="0"/>
        <w:snapToGrid w:val="0"/>
        <w:spacing w:line="360" w:lineRule="auto"/>
        <w:ind w:left="420" w:leftChars="200"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3.3监狱企业的证明文件；</w:t>
      </w:r>
    </w:p>
    <w:p w14:paraId="027B5B3B">
      <w:pPr>
        <w:adjustRightInd w:val="0"/>
        <w:snapToGrid w:val="0"/>
        <w:spacing w:line="360" w:lineRule="auto"/>
        <w:ind w:left="420" w:leftChars="20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4.联合协议（如有）；</w:t>
      </w:r>
    </w:p>
    <w:p w14:paraId="38FFF7B7">
      <w:pPr>
        <w:adjustRightInd w:val="0"/>
        <w:snapToGrid w:val="0"/>
        <w:spacing w:line="360" w:lineRule="auto"/>
        <w:ind w:left="420" w:leftChars="20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5.分包意向协议（如有）；</w:t>
      </w:r>
    </w:p>
    <w:p w14:paraId="2A1DD9DF">
      <w:pPr>
        <w:adjustRightInd w:val="0"/>
        <w:snapToGrid w:val="0"/>
        <w:spacing w:line="360" w:lineRule="auto"/>
        <w:ind w:left="420" w:leftChars="20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6.本项目的特定资格要求（如有）。</w:t>
      </w:r>
    </w:p>
    <w:p w14:paraId="1C599FC2">
      <w:pPr>
        <w:widowControl/>
        <w:spacing w:line="360" w:lineRule="auto"/>
        <w:ind w:left="15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r>
        <w:rPr>
          <w:rFonts w:hint="eastAsia" w:ascii="仿宋" w:hAnsi="仿宋" w:eastAsia="仿宋" w:cs="仿宋"/>
          <w:b/>
          <w:kern w:val="0"/>
          <w:sz w:val="32"/>
          <w:szCs w:val="32"/>
          <w:highlight w:val="none"/>
        </w:rPr>
        <w:t>一、符合参加政府采购活动应当具备的一般条件的承诺函</w:t>
      </w:r>
    </w:p>
    <w:p w14:paraId="2C71464D">
      <w:pPr>
        <w:snapToGrid w:val="0"/>
        <w:spacing w:line="360" w:lineRule="auto"/>
        <w:rPr>
          <w:rFonts w:hint="eastAsia" w:ascii="仿宋" w:hAnsi="仿宋" w:eastAsia="仿宋" w:cs="仿宋"/>
          <w:sz w:val="24"/>
          <w:highlight w:val="none"/>
        </w:rPr>
      </w:pPr>
    </w:p>
    <w:p w14:paraId="7945D09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宁波越升质量技术服务有限公司</w:t>
      </w:r>
      <w:r>
        <w:rPr>
          <w:rFonts w:hint="eastAsia" w:ascii="仿宋" w:hAnsi="仿宋" w:eastAsia="仿宋" w:cs="仿宋"/>
          <w:sz w:val="24"/>
          <w:highlight w:val="none"/>
        </w:rPr>
        <w:t>/</w:t>
      </w:r>
      <w:r>
        <w:rPr>
          <w:rFonts w:hint="eastAsia" w:ascii="仿宋" w:hAnsi="仿宋" w:eastAsia="仿宋" w:cs="仿宋"/>
          <w:sz w:val="24"/>
          <w:highlight w:val="none"/>
          <w:lang w:eastAsia="zh-CN"/>
        </w:rPr>
        <w:t>宁波市北仑中学</w:t>
      </w:r>
      <w:r>
        <w:rPr>
          <w:rFonts w:hint="eastAsia" w:ascii="仿宋" w:hAnsi="仿宋" w:eastAsia="仿宋" w:cs="仿宋"/>
          <w:sz w:val="24"/>
          <w:highlight w:val="none"/>
        </w:rPr>
        <w:t>：</w:t>
      </w:r>
    </w:p>
    <w:p w14:paraId="52F078B8">
      <w:pPr>
        <w:snapToGrid w:val="0"/>
        <w:spacing w:line="360" w:lineRule="auto"/>
        <w:ind w:firstLine="480" w:firstLineChars="200"/>
        <w:rPr>
          <w:rFonts w:hint="eastAsia" w:ascii="仿宋" w:hAnsi="仿宋" w:eastAsia="仿宋" w:cs="仿宋"/>
          <w:sz w:val="24"/>
          <w:highlight w:val="none"/>
        </w:rPr>
      </w:pPr>
    </w:p>
    <w:p w14:paraId="2388337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我方参与</w:t>
      </w:r>
      <w:r>
        <w:rPr>
          <w:rFonts w:hint="eastAsia" w:ascii="仿宋" w:hAnsi="仿宋" w:eastAsia="仿宋" w:cs="仿宋"/>
          <w:sz w:val="24"/>
          <w:highlight w:val="none"/>
          <w:u w:val="single"/>
          <w:lang w:eastAsia="zh-CN"/>
        </w:rPr>
        <w:t>北仑中学、顾国和外国语学校高中部2025年教师疗休养服务采购项目</w:t>
      </w:r>
      <w:r>
        <w:rPr>
          <w:rFonts w:hint="eastAsia" w:ascii="仿宋" w:hAnsi="仿宋" w:eastAsia="仿宋" w:cs="仿宋"/>
          <w:sz w:val="24"/>
          <w:highlight w:val="none"/>
        </w:rPr>
        <w:t>【招标编号：</w:t>
      </w:r>
      <w:r>
        <w:rPr>
          <w:rFonts w:hint="eastAsia" w:ascii="仿宋" w:hAnsi="仿宋" w:eastAsia="仿宋" w:cs="仿宋"/>
          <w:sz w:val="24"/>
          <w:highlight w:val="none"/>
          <w:lang w:eastAsia="zh-CN"/>
        </w:rPr>
        <w:t>NBYS2025145G</w:t>
      </w:r>
      <w:r>
        <w:rPr>
          <w:rFonts w:hint="eastAsia" w:ascii="仿宋" w:hAnsi="仿宋" w:eastAsia="仿宋" w:cs="仿宋"/>
          <w:sz w:val="24"/>
          <w:highlight w:val="none"/>
        </w:rPr>
        <w:t>】政府采购活动，郑重承诺：</w:t>
      </w:r>
    </w:p>
    <w:p w14:paraId="7848DB1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7ED3E23F">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2326129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2F31642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2F8FE04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264F17B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25F69905">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23682A0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（二）未被信用中国（www.creditchina.gov.cn)、中国政府采购网（www.ccgp.gov.cn）列入失信被执行人、即重大税收违法失信主体、政府采购严重违法失信行为记录名单。</w:t>
      </w:r>
    </w:p>
    <w:p w14:paraId="4C219A8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14:paraId="479D0635">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0602C2D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4379D9B1">
      <w:pPr>
        <w:snapToGrid w:val="0"/>
        <w:spacing w:line="360" w:lineRule="auto"/>
        <w:ind w:firstLine="5520" w:firstLineChars="2300"/>
        <w:rPr>
          <w:rFonts w:hint="eastAsia" w:ascii="仿宋" w:hAnsi="仿宋" w:eastAsia="仿宋" w:cs="仿宋"/>
          <w:kern w:val="0"/>
          <w:sz w:val="24"/>
          <w:highlight w:val="none"/>
          <w:lang w:val="zh-CN"/>
        </w:rPr>
      </w:pPr>
    </w:p>
    <w:p w14:paraId="4DC92C4B">
      <w:pPr>
        <w:snapToGrid w:val="0"/>
        <w:spacing w:line="360" w:lineRule="auto"/>
        <w:ind w:firstLine="5520" w:firstLineChars="2300"/>
        <w:rPr>
          <w:rFonts w:hint="eastAsia" w:ascii="仿宋" w:hAnsi="仿宋" w:eastAsia="仿宋" w:cs="仿宋"/>
          <w:kern w:val="0"/>
          <w:sz w:val="24"/>
          <w:highlight w:val="none"/>
          <w:lang w:val="zh-CN"/>
        </w:rPr>
      </w:pPr>
    </w:p>
    <w:p w14:paraId="557CF210">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法定代表人（负责人）或其授权委托人（签名或印章）：</w:t>
      </w:r>
    </w:p>
    <w:p w14:paraId="30CEE02A">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投标人（盖章）：</w:t>
      </w:r>
    </w:p>
    <w:p w14:paraId="7EBA33FC">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日期：</w:t>
      </w:r>
    </w:p>
    <w:p w14:paraId="25DD9B57">
      <w:pPr>
        <w:widowControl/>
        <w:spacing w:line="360" w:lineRule="auto"/>
        <w:ind w:left="15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r>
        <w:rPr>
          <w:rFonts w:hint="eastAsia" w:ascii="仿宋" w:hAnsi="仿宋" w:eastAsia="仿宋" w:cs="仿宋"/>
          <w:b/>
          <w:kern w:val="0"/>
          <w:sz w:val="32"/>
          <w:szCs w:val="32"/>
          <w:highlight w:val="none"/>
        </w:rPr>
        <w:t>二、落实政府采购政策需满足的资格要求</w:t>
      </w:r>
    </w:p>
    <w:p w14:paraId="660155A8">
      <w:pPr>
        <w:spacing w:line="360" w:lineRule="auto"/>
        <w:rPr>
          <w:rFonts w:hint="eastAsia"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（根据招标公告落实政府采购政策需满足的资格要求选择提供相应的材料；未要求的，无需提供）</w:t>
      </w:r>
    </w:p>
    <w:p w14:paraId="2F83725C">
      <w:pPr>
        <w:snapToGrid w:val="0"/>
        <w:spacing w:before="50" w:after="50"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A</w:t>
      </w:r>
      <w:r>
        <w:rPr>
          <w:rFonts w:hint="eastAsia" w:ascii="仿宋" w:hAnsi="仿宋" w:eastAsia="仿宋" w:cs="仿宋"/>
          <w:sz w:val="24"/>
          <w:highlight w:val="none"/>
        </w:rPr>
        <w:t>.专门面向中小企业，货物全部由符合政策要求的中小企业（或小微企业）制造或者服务全部由符合政策要求的中小企业（或小微企业）承接的，提供相应的中小企业声明函。</w:t>
      </w:r>
    </w:p>
    <w:p w14:paraId="1D2C15B6">
      <w:pPr>
        <w:widowControl/>
        <w:spacing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B.</w:t>
      </w:r>
      <w:r>
        <w:rPr>
          <w:rFonts w:hint="eastAsia" w:ascii="仿宋" w:hAnsi="仿宋" w:eastAsia="仿宋" w:cs="仿宋"/>
          <w:sz w:val="24"/>
          <w:highlight w:val="none"/>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69AD8DDC">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C.</w:t>
      </w:r>
      <w:r>
        <w:rPr>
          <w:rFonts w:hint="eastAsia" w:ascii="仿宋" w:hAnsi="仿宋" w:eastAsia="仿宋" w:cs="仿宋"/>
          <w:sz w:val="24"/>
          <w:highlight w:val="none"/>
        </w:rPr>
        <w:t>要求合同分包的，提供分包意向协议和中小企业声明函，分包意向协议中中小企业合同金额应当达到招标公告载明的比例；如果供应商本身提供所有标的均由中小企业制造或承接，视同符合了资格条件，无需再向中小企业分包，无需提供分包意向协议。</w:t>
      </w:r>
    </w:p>
    <w:p w14:paraId="5FF353FD">
      <w:pPr>
        <w:pStyle w:val="28"/>
        <w:ind w:firstLine="560"/>
        <w:rPr>
          <w:rFonts w:hint="eastAsia"/>
          <w:highlight w:val="none"/>
        </w:rPr>
      </w:pPr>
    </w:p>
    <w:p w14:paraId="0F47E38D">
      <w:pPr>
        <w:widowControl/>
        <w:spacing w:line="360" w:lineRule="auto"/>
        <w:ind w:firstLine="120" w:firstLineChars="50"/>
        <w:jc w:val="left"/>
        <w:rPr>
          <w:rFonts w:hint="eastAsia" w:ascii="仿宋" w:hAnsi="仿宋" w:eastAsia="仿宋" w:cs="仿宋"/>
          <w:b/>
          <w:sz w:val="24"/>
          <w:highlight w:val="none"/>
        </w:rPr>
      </w:pPr>
    </w:p>
    <w:p w14:paraId="69A1D250">
      <w:pPr>
        <w:spacing w:before="120" w:beforeLines="50" w:after="120" w:afterLines="50" w:line="360" w:lineRule="auto"/>
        <w:jc w:val="center"/>
        <w:rPr>
          <w:rFonts w:ascii="仿宋" w:hAnsi="仿宋" w:eastAsia="仿宋" w:cs="仿宋"/>
          <w:b/>
          <w:kern w:val="0"/>
          <w:sz w:val="32"/>
          <w:szCs w:val="32"/>
          <w:highlight w:val="none"/>
        </w:rPr>
      </w:pPr>
      <w:r>
        <w:rPr>
          <w:rFonts w:hint="eastAsia" w:ascii="仿宋" w:hAnsi="仿宋" w:eastAsia="仿宋" w:cs="仿宋"/>
          <w:b/>
          <w:sz w:val="32"/>
          <w:szCs w:val="32"/>
          <w:highlight w:val="none"/>
        </w:rPr>
        <w:br w:type="page"/>
      </w:r>
      <w:r>
        <w:rPr>
          <w:rFonts w:hint="eastAsia" w:ascii="仿宋" w:hAnsi="仿宋" w:eastAsia="仿宋" w:cs="仿宋"/>
          <w:b/>
          <w:kern w:val="0"/>
          <w:sz w:val="32"/>
          <w:szCs w:val="32"/>
          <w:highlight w:val="none"/>
          <w:lang w:val="zh-CN"/>
        </w:rPr>
        <w:t>中小企业声明函（服务）</w:t>
      </w:r>
    </w:p>
    <w:p w14:paraId="2EF0C9E3">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本公司郑重声明，</w:t>
      </w:r>
      <w:r>
        <w:rPr>
          <w:rFonts w:ascii="仿宋" w:hAnsi="仿宋" w:eastAsia="仿宋"/>
          <w:sz w:val="24"/>
          <w:highlight w:val="none"/>
        </w:rPr>
        <w:t>根据《政府采购促进中小企业发展</w:t>
      </w:r>
      <w:r>
        <w:rPr>
          <w:rFonts w:hint="eastAsia" w:ascii="仿宋" w:hAnsi="仿宋" w:eastAsia="仿宋"/>
          <w:sz w:val="24"/>
          <w:highlight w:val="none"/>
        </w:rPr>
        <w:t>管理</w:t>
      </w:r>
      <w:r>
        <w:rPr>
          <w:rFonts w:ascii="仿宋" w:hAnsi="仿宋" w:eastAsia="仿宋"/>
          <w:sz w:val="24"/>
          <w:highlight w:val="none"/>
        </w:rPr>
        <w:t>办法》（财库</w:t>
      </w:r>
      <w:r>
        <w:rPr>
          <w:rFonts w:hint="eastAsia" w:ascii="仿宋" w:hAnsi="仿宋" w:eastAsia="仿宋"/>
          <w:sz w:val="24"/>
          <w:highlight w:val="none"/>
        </w:rPr>
        <w:t>〔</w:t>
      </w:r>
      <w:r>
        <w:rPr>
          <w:rFonts w:ascii="仿宋" w:hAnsi="仿宋" w:eastAsia="仿宋"/>
          <w:sz w:val="24"/>
          <w:highlight w:val="none"/>
        </w:rPr>
        <w:t>20</w:t>
      </w:r>
      <w:r>
        <w:rPr>
          <w:rFonts w:hint="eastAsia" w:ascii="仿宋" w:hAnsi="仿宋" w:eastAsia="仿宋"/>
          <w:sz w:val="24"/>
          <w:highlight w:val="none"/>
        </w:rPr>
        <w:t>20〕46</w:t>
      </w:r>
      <w:r>
        <w:rPr>
          <w:rFonts w:ascii="仿宋" w:hAnsi="仿宋" w:eastAsia="仿宋"/>
          <w:sz w:val="24"/>
          <w:highlight w:val="none"/>
        </w:rPr>
        <w:t>号）</w:t>
      </w:r>
      <w:r>
        <w:rPr>
          <w:rFonts w:hint="eastAsia" w:ascii="仿宋" w:hAnsi="仿宋" w:eastAsia="仿宋"/>
          <w:sz w:val="24"/>
          <w:highlight w:val="none"/>
        </w:rPr>
        <w:t>的规定，本公司参加</w:t>
      </w:r>
      <w:r>
        <w:rPr>
          <w:rFonts w:hint="eastAsia" w:ascii="仿宋" w:hAnsi="仿宋" w:eastAsia="仿宋"/>
          <w:sz w:val="24"/>
          <w:highlight w:val="none"/>
          <w:u w:val="single"/>
          <w:lang w:eastAsia="zh-CN"/>
        </w:rPr>
        <w:t>宁波市北仑中学</w:t>
      </w:r>
      <w:r>
        <w:rPr>
          <w:rFonts w:hint="eastAsia" w:ascii="仿宋" w:hAnsi="仿宋" w:eastAsia="仿宋"/>
          <w:sz w:val="24"/>
          <w:highlight w:val="none"/>
        </w:rPr>
        <w:t>的</w:t>
      </w:r>
      <w:r>
        <w:rPr>
          <w:rFonts w:hint="eastAsia" w:ascii="仿宋" w:hAnsi="仿宋" w:eastAsia="仿宋"/>
          <w:sz w:val="24"/>
          <w:highlight w:val="none"/>
          <w:u w:val="single"/>
          <w:lang w:eastAsia="zh-CN"/>
        </w:rPr>
        <w:t>北仑中学、顾国和外国语学校高中部2025年教师疗休养服务采购项目</w:t>
      </w:r>
      <w:r>
        <w:rPr>
          <w:rFonts w:hint="eastAsia" w:ascii="仿宋" w:hAnsi="仿宋" w:eastAsia="仿宋"/>
          <w:sz w:val="24"/>
          <w:highlight w:val="none"/>
        </w:rPr>
        <w:t>采购活动，服务全部由符合政策要求的中小企业承接。相关企业（含联合体中的中小企业、签订分包意向协议的中小企业）的具体情况如下：</w:t>
      </w:r>
    </w:p>
    <w:p w14:paraId="065CC848">
      <w:pPr>
        <w:numPr>
          <w:ilvl w:val="0"/>
          <w:numId w:val="4"/>
        </w:numPr>
        <w:spacing w:line="360" w:lineRule="auto"/>
        <w:ind w:firstLine="480" w:firstLineChars="200"/>
        <w:rPr>
          <w:rFonts w:hint="eastAsia" w:ascii="仿宋" w:hAnsi="仿宋" w:eastAsia="仿宋"/>
          <w:sz w:val="24"/>
          <w:highlight w:val="none"/>
        </w:rPr>
      </w:pPr>
      <w:r>
        <w:rPr>
          <w:rFonts w:hint="eastAsia" w:ascii="仿宋" w:hAnsi="仿宋" w:eastAsia="仿宋" w:cs="Times New Roman"/>
          <w:sz w:val="24"/>
          <w:highlight w:val="none"/>
          <w:u w:val="single"/>
          <w:lang w:eastAsia="zh-CN"/>
        </w:rPr>
        <w:t>疗休养服务</w:t>
      </w:r>
      <w:r>
        <w:rPr>
          <w:rFonts w:hint="eastAsia" w:ascii="仿宋" w:hAnsi="仿宋" w:eastAsia="仿宋"/>
          <w:sz w:val="24"/>
          <w:highlight w:val="none"/>
        </w:rPr>
        <w:t>，属于</w:t>
      </w:r>
      <w:r>
        <w:rPr>
          <w:rFonts w:hint="eastAsia" w:ascii="仿宋" w:hAnsi="仿宋" w:eastAsia="仿宋" w:cs="Times New Roman"/>
          <w:sz w:val="24"/>
          <w:highlight w:val="none"/>
          <w:u w:val="single"/>
          <w:lang w:eastAsia="zh-CN"/>
        </w:rPr>
        <w:t>租赁和商务服务业</w:t>
      </w:r>
      <w:r>
        <w:rPr>
          <w:rFonts w:hint="eastAsia" w:ascii="仿宋" w:hAnsi="仿宋" w:eastAsia="仿宋"/>
          <w:sz w:val="24"/>
          <w:highlight w:val="none"/>
        </w:rPr>
        <w:t>；承接企业为</w:t>
      </w:r>
      <w:r>
        <w:rPr>
          <w:rFonts w:hint="eastAsia" w:ascii="仿宋" w:hAnsi="仿宋" w:eastAsia="仿宋"/>
          <w:sz w:val="24"/>
          <w:highlight w:val="none"/>
          <w:u w:val="single"/>
        </w:rPr>
        <w:t xml:space="preserve">   （</w:t>
      </w:r>
      <w:r>
        <w:rPr>
          <w:rFonts w:hint="eastAsia" w:ascii="仿宋" w:hAnsi="仿宋" w:eastAsia="仿宋"/>
          <w:i/>
          <w:sz w:val="24"/>
          <w:highlight w:val="none"/>
          <w:u w:val="single"/>
        </w:rPr>
        <w:t>企业名称</w:t>
      </w:r>
      <w:r>
        <w:rPr>
          <w:rFonts w:hint="eastAsia" w:ascii="仿宋" w:hAnsi="仿宋" w:eastAsia="仿宋"/>
          <w:sz w:val="24"/>
          <w:highlight w:val="none"/>
          <w:u w:val="single"/>
        </w:rPr>
        <w:t xml:space="preserve">）   </w:t>
      </w:r>
      <w:r>
        <w:rPr>
          <w:rFonts w:hint="eastAsia" w:ascii="仿宋" w:hAnsi="仿宋" w:eastAsia="仿宋"/>
          <w:sz w:val="24"/>
          <w:highlight w:val="none"/>
        </w:rPr>
        <w:t>，从业人员</w:t>
      </w:r>
      <w:r>
        <w:rPr>
          <w:rFonts w:hint="eastAsia" w:ascii="仿宋" w:hAnsi="仿宋" w:eastAsia="仿宋"/>
          <w:sz w:val="24"/>
          <w:highlight w:val="none"/>
          <w:u w:val="single"/>
        </w:rPr>
        <w:t xml:space="preserve">     </w:t>
      </w:r>
      <w:r>
        <w:rPr>
          <w:rFonts w:hint="eastAsia" w:ascii="仿宋" w:hAnsi="仿宋" w:eastAsia="仿宋"/>
          <w:sz w:val="24"/>
          <w:highlight w:val="none"/>
        </w:rPr>
        <w:t>人，营业收入为</w:t>
      </w:r>
      <w:r>
        <w:rPr>
          <w:rFonts w:hint="eastAsia" w:ascii="仿宋" w:hAnsi="仿宋" w:eastAsia="仿宋"/>
          <w:sz w:val="24"/>
          <w:highlight w:val="none"/>
          <w:u w:val="single"/>
        </w:rPr>
        <w:t xml:space="preserve">     </w:t>
      </w:r>
      <w:r>
        <w:rPr>
          <w:rFonts w:hint="eastAsia" w:ascii="仿宋" w:hAnsi="仿宋" w:eastAsia="仿宋"/>
          <w:sz w:val="24"/>
          <w:highlight w:val="none"/>
        </w:rPr>
        <w:t>万元，资产总额为</w:t>
      </w:r>
      <w:r>
        <w:rPr>
          <w:rFonts w:hint="eastAsia" w:ascii="仿宋" w:hAnsi="仿宋" w:eastAsia="仿宋"/>
          <w:sz w:val="24"/>
          <w:highlight w:val="none"/>
          <w:u w:val="single"/>
        </w:rPr>
        <w:t xml:space="preserve">     </w:t>
      </w:r>
      <w:r>
        <w:rPr>
          <w:rFonts w:hint="eastAsia" w:ascii="仿宋" w:hAnsi="仿宋" w:eastAsia="仿宋"/>
          <w:sz w:val="24"/>
          <w:highlight w:val="none"/>
        </w:rPr>
        <w:t>万元，属于</w:t>
      </w:r>
      <w:r>
        <w:rPr>
          <w:rFonts w:hint="eastAsia" w:ascii="仿宋" w:hAnsi="仿宋" w:eastAsia="仿宋"/>
          <w:sz w:val="24"/>
          <w:highlight w:val="none"/>
          <w:u w:val="single"/>
        </w:rPr>
        <w:t xml:space="preserve">  （</w:t>
      </w:r>
      <w:r>
        <w:rPr>
          <w:rFonts w:hint="eastAsia" w:ascii="仿宋" w:hAnsi="仿宋" w:eastAsia="仿宋"/>
          <w:i/>
          <w:sz w:val="24"/>
          <w:highlight w:val="none"/>
          <w:u w:val="single"/>
        </w:rPr>
        <w:t>中型企业、小型企业、微型企业</w:t>
      </w:r>
      <w:r>
        <w:rPr>
          <w:rFonts w:hint="eastAsia" w:ascii="仿宋" w:hAnsi="仿宋" w:eastAsia="仿宋"/>
          <w:sz w:val="24"/>
          <w:highlight w:val="none"/>
          <w:u w:val="single"/>
        </w:rPr>
        <w:t xml:space="preserve">）  </w:t>
      </w:r>
      <w:r>
        <w:rPr>
          <w:rFonts w:hint="eastAsia" w:ascii="仿宋" w:hAnsi="仿宋" w:eastAsia="仿宋"/>
          <w:sz w:val="24"/>
          <w:highlight w:val="none"/>
        </w:rPr>
        <w:t>；</w:t>
      </w:r>
    </w:p>
    <w:p w14:paraId="25EEE29C">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以上企业，不属于大企业的分支机构，不存在控股股东为大企业的情形，也不存在与大企业的负责人为同一人的情形。</w:t>
      </w:r>
    </w:p>
    <w:p w14:paraId="6171300C">
      <w:pPr>
        <w:spacing w:line="360" w:lineRule="auto"/>
        <w:ind w:firstLine="480" w:firstLineChars="200"/>
        <w:jc w:val="left"/>
        <w:rPr>
          <w:rFonts w:hint="eastAsia" w:ascii="仿宋" w:hAnsi="仿宋" w:eastAsia="仿宋"/>
          <w:sz w:val="24"/>
          <w:highlight w:val="none"/>
        </w:rPr>
      </w:pPr>
      <w:r>
        <w:rPr>
          <w:rFonts w:hint="eastAsia" w:ascii="仿宋" w:hAnsi="仿宋" w:eastAsia="仿宋"/>
          <w:sz w:val="24"/>
          <w:highlight w:val="none"/>
        </w:rPr>
        <w:t>本企业对上述声明内容的真实性负责。如有虚假，将依法承担相应责任。</w:t>
      </w:r>
    </w:p>
    <w:p w14:paraId="6B0E707F">
      <w:pPr>
        <w:adjustRightInd w:val="0"/>
        <w:spacing w:line="360" w:lineRule="auto"/>
        <w:ind w:firstLine="2400" w:firstLineChars="1000"/>
        <w:jc w:val="left"/>
        <w:rPr>
          <w:rFonts w:hint="eastAsia" w:ascii="仿宋" w:hAnsi="仿宋" w:eastAsia="仿宋" w:cs="仿宋"/>
          <w:sz w:val="24"/>
          <w:highlight w:val="none"/>
        </w:rPr>
      </w:pPr>
    </w:p>
    <w:p w14:paraId="3E9EA6C3">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法定代表人（负责人）或其授权委托人（签名或印章）：</w:t>
      </w:r>
    </w:p>
    <w:p w14:paraId="7EF3DB73">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投标人（盖章）：</w:t>
      </w:r>
    </w:p>
    <w:p w14:paraId="4C56F5FC">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日期：</w:t>
      </w:r>
    </w:p>
    <w:p w14:paraId="5A91D66F">
      <w:pPr>
        <w:adjustRightInd w:val="0"/>
        <w:spacing w:line="360" w:lineRule="auto"/>
        <w:jc w:val="left"/>
        <w:rPr>
          <w:rFonts w:hint="default" w:ascii="仿宋" w:hAnsi="仿宋" w:eastAsia="仿宋" w:cs="仿宋"/>
          <w:b/>
          <w:kern w:val="0"/>
          <w:sz w:val="32"/>
          <w:szCs w:val="32"/>
          <w:highlight w:val="none"/>
          <w:lang w:val="en-US" w:eastAsia="zh-CN"/>
        </w:rPr>
      </w:pPr>
    </w:p>
    <w:p w14:paraId="67BA4485">
      <w:pPr>
        <w:spacing w:line="360" w:lineRule="auto"/>
        <w:ind w:right="-283"/>
        <w:rPr>
          <w:rFonts w:hint="eastAsia" w:ascii="仿宋" w:hAnsi="仿宋" w:eastAsia="仿宋" w:cs="仿宋"/>
          <w:b/>
          <w:sz w:val="24"/>
          <w:highlight w:val="none"/>
        </w:rPr>
      </w:pPr>
    </w:p>
    <w:p w14:paraId="2EAA8CC9">
      <w:pPr>
        <w:spacing w:line="360" w:lineRule="auto"/>
        <w:ind w:right="-283"/>
        <w:rPr>
          <w:rFonts w:hint="eastAsia" w:ascii="仿宋" w:hAnsi="仿宋" w:eastAsia="仿宋" w:cs="仿宋"/>
          <w:b/>
          <w:sz w:val="24"/>
          <w:highlight w:val="none"/>
        </w:rPr>
      </w:pPr>
      <w:r>
        <w:rPr>
          <w:rFonts w:hint="eastAsia" w:ascii="仿宋" w:hAnsi="仿宋" w:eastAsia="仿宋" w:cs="仿宋"/>
          <w:b/>
          <w:sz w:val="24"/>
          <w:highlight w:val="none"/>
        </w:rPr>
        <w:t>从业人员、营业收入、资产总额填报上一年度数据，无上一年度数据的新成立企业可不填报</w:t>
      </w:r>
      <w:r>
        <w:rPr>
          <w:rFonts w:hint="eastAsia" w:ascii="仿宋" w:hAnsi="仿宋" w:eastAsia="仿宋" w:cs="仿宋"/>
          <w:b/>
          <w:sz w:val="24"/>
          <w:highlight w:val="none"/>
          <w:lang w:eastAsia="zh-CN"/>
        </w:rPr>
        <w:t>，</w:t>
      </w:r>
      <w:r>
        <w:rPr>
          <w:rFonts w:hint="eastAsia" w:ascii="仿宋" w:hAnsi="仿宋" w:eastAsia="仿宋" w:cs="仿宋"/>
          <w:b/>
          <w:sz w:val="24"/>
          <w:highlight w:val="none"/>
        </w:rPr>
        <w:t>但符合政府采购相关政策情况下，提供中小企业声明函的可享受政府采购关于中小企业的优惠政策。</w:t>
      </w:r>
    </w:p>
    <w:p w14:paraId="6E0730CA">
      <w:pPr>
        <w:spacing w:line="360" w:lineRule="auto"/>
        <w:ind w:right="-283"/>
        <w:rPr>
          <w:rFonts w:hint="eastAsia" w:ascii="仿宋" w:hAnsi="仿宋" w:eastAsia="仿宋" w:cs="仿宋"/>
          <w:sz w:val="24"/>
          <w:highlight w:val="none"/>
        </w:rPr>
      </w:pPr>
      <w:r>
        <w:rPr>
          <w:rFonts w:hint="eastAsia" w:ascii="仿宋" w:hAnsi="仿宋" w:eastAsia="仿宋" w:cs="仿宋"/>
          <w:sz w:val="24"/>
          <w:highlight w:val="none"/>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2B92541">
      <w:pPr>
        <w:pStyle w:val="28"/>
        <w:ind w:firstLine="0" w:firstLineChars="0"/>
        <w:rPr>
          <w:rFonts w:hint="eastAsia"/>
          <w:highlight w:val="none"/>
        </w:rPr>
        <w:sectPr>
          <w:footerReference r:id="rId3" w:type="default"/>
          <w:pgSz w:w="11906" w:h="16838"/>
          <w:pgMar w:top="1418" w:right="1287" w:bottom="1134" w:left="1622" w:header="624" w:footer="624" w:gutter="0"/>
          <w:cols w:space="720" w:num="1"/>
          <w:docGrid w:linePitch="312" w:charSpace="0"/>
        </w:sectPr>
      </w:pPr>
    </w:p>
    <w:tbl>
      <w:tblPr>
        <w:tblStyle w:val="17"/>
        <w:tblW w:w="15301" w:type="dxa"/>
        <w:tblInd w:w="-176" w:type="dxa"/>
        <w:tblLayout w:type="fixed"/>
        <w:tblCellMar>
          <w:top w:w="0" w:type="dxa"/>
          <w:left w:w="108" w:type="dxa"/>
          <w:bottom w:w="0" w:type="dxa"/>
          <w:right w:w="108" w:type="dxa"/>
        </w:tblCellMar>
      </w:tblPr>
      <w:tblGrid>
        <w:gridCol w:w="1985"/>
        <w:gridCol w:w="1498"/>
        <w:gridCol w:w="1763"/>
        <w:gridCol w:w="1660"/>
        <w:gridCol w:w="1458"/>
        <w:gridCol w:w="1636"/>
        <w:gridCol w:w="1520"/>
        <w:gridCol w:w="1285"/>
        <w:gridCol w:w="1275"/>
        <w:gridCol w:w="1221"/>
      </w:tblGrid>
      <w:tr w14:paraId="59988F2E">
        <w:tblPrEx>
          <w:tblCellMar>
            <w:top w:w="0" w:type="dxa"/>
            <w:left w:w="108" w:type="dxa"/>
            <w:bottom w:w="0" w:type="dxa"/>
            <w:right w:w="108" w:type="dxa"/>
          </w:tblCellMar>
        </w:tblPrEx>
        <w:trPr>
          <w:trHeight w:val="420" w:hRule="atLeast"/>
        </w:trPr>
        <w:tc>
          <w:tcPr>
            <w:tcW w:w="15301" w:type="dxa"/>
            <w:gridSpan w:val="10"/>
            <w:tcBorders>
              <w:top w:val="nil"/>
              <w:left w:val="nil"/>
              <w:bottom w:val="nil"/>
              <w:right w:val="nil"/>
            </w:tcBorders>
            <w:noWrap w:val="0"/>
            <w:vAlign w:val="bottom"/>
          </w:tcPr>
          <w:p w14:paraId="17D0A2D5">
            <w:pPr>
              <w:widowControl/>
              <w:jc w:val="center"/>
              <w:rPr>
                <w:rFonts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中小微行业划型标准规定（根据工信部联企业〔2011〕300号制定）</w:t>
            </w:r>
          </w:p>
        </w:tc>
      </w:tr>
      <w:tr w14:paraId="538545F3">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noWrap w:val="0"/>
            <w:vAlign w:val="center"/>
          </w:tcPr>
          <w:p w14:paraId="49D0EFE0">
            <w:pPr>
              <w:widowControl/>
              <w:jc w:val="center"/>
              <w:rPr>
                <w:rFonts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行业</w:t>
            </w:r>
          </w:p>
        </w:tc>
        <w:tc>
          <w:tcPr>
            <w:tcW w:w="4921" w:type="dxa"/>
            <w:gridSpan w:val="3"/>
            <w:tcBorders>
              <w:top w:val="single" w:color="auto" w:sz="8" w:space="0"/>
              <w:left w:val="nil"/>
              <w:bottom w:val="single" w:color="auto" w:sz="4" w:space="0"/>
              <w:right w:val="single" w:color="000000" w:sz="8" w:space="0"/>
            </w:tcBorders>
            <w:noWrap w:val="0"/>
            <w:vAlign w:val="center"/>
          </w:tcPr>
          <w:p w14:paraId="7ABE6A38">
            <w:pPr>
              <w:widowControl/>
              <w:jc w:val="center"/>
              <w:rPr>
                <w:rFonts w:hint="eastAsia" w:ascii="仿宋" w:hAnsi="仿宋" w:eastAsia="仿宋" w:cs="宋体"/>
                <w:b/>
                <w:bCs/>
                <w:kern w:val="0"/>
                <w:sz w:val="20"/>
                <w:szCs w:val="20"/>
                <w:highlight w:val="none"/>
                <w:lang w:eastAsia="zh-CN"/>
              </w:rPr>
            </w:pPr>
            <w:r>
              <w:rPr>
                <w:rFonts w:hint="eastAsia" w:ascii="仿宋" w:hAnsi="仿宋" w:eastAsia="仿宋" w:cs="宋体"/>
                <w:b/>
                <w:bCs/>
                <w:kern w:val="0"/>
                <w:sz w:val="20"/>
                <w:szCs w:val="20"/>
                <w:highlight w:val="none"/>
              </w:rPr>
              <w:t>中型企业</w:t>
            </w:r>
            <w:r>
              <w:rPr>
                <w:rFonts w:hint="eastAsia" w:ascii="仿宋" w:hAnsi="仿宋" w:eastAsia="仿宋" w:cs="宋体"/>
                <w:b/>
                <w:bCs/>
                <w:kern w:val="0"/>
                <w:sz w:val="20"/>
                <w:szCs w:val="20"/>
                <w:highlight w:val="none"/>
                <w:lang w:eastAsia="zh-CN"/>
              </w:rPr>
              <w:t>（</w:t>
            </w:r>
            <w:r>
              <w:rPr>
                <w:rFonts w:hint="eastAsia" w:ascii="仿宋" w:hAnsi="仿宋" w:eastAsia="仿宋" w:cs="宋体"/>
                <w:b/>
                <w:bCs/>
                <w:kern w:val="0"/>
                <w:sz w:val="20"/>
                <w:szCs w:val="20"/>
                <w:highlight w:val="none"/>
                <w:lang w:val="en-US" w:eastAsia="zh-CN"/>
              </w:rPr>
              <w:t>且</w:t>
            </w:r>
            <w:r>
              <w:rPr>
                <w:rFonts w:hint="eastAsia" w:ascii="仿宋" w:hAnsi="仿宋" w:eastAsia="仿宋" w:cs="宋体"/>
                <w:b/>
                <w:bCs/>
                <w:kern w:val="0"/>
                <w:sz w:val="20"/>
                <w:szCs w:val="20"/>
                <w:highlight w:val="none"/>
                <w:lang w:eastAsia="zh-CN"/>
              </w:rPr>
              <w:t>）</w:t>
            </w:r>
          </w:p>
        </w:tc>
        <w:tc>
          <w:tcPr>
            <w:tcW w:w="4614" w:type="dxa"/>
            <w:gridSpan w:val="3"/>
            <w:tcBorders>
              <w:top w:val="single" w:color="auto" w:sz="8" w:space="0"/>
              <w:left w:val="nil"/>
              <w:bottom w:val="single" w:color="auto" w:sz="4" w:space="0"/>
              <w:right w:val="single" w:color="000000" w:sz="8" w:space="0"/>
            </w:tcBorders>
            <w:noWrap w:val="0"/>
            <w:vAlign w:val="center"/>
          </w:tcPr>
          <w:p w14:paraId="1AF1FCF3">
            <w:pPr>
              <w:widowControl/>
              <w:jc w:val="center"/>
              <w:rPr>
                <w:rFonts w:hint="eastAsia" w:ascii="仿宋" w:hAnsi="仿宋" w:eastAsia="仿宋" w:cs="宋体"/>
                <w:b/>
                <w:bCs/>
                <w:kern w:val="0"/>
                <w:sz w:val="20"/>
                <w:szCs w:val="20"/>
                <w:highlight w:val="none"/>
                <w:lang w:eastAsia="zh-CN"/>
              </w:rPr>
            </w:pPr>
            <w:r>
              <w:rPr>
                <w:rFonts w:hint="eastAsia" w:ascii="仿宋" w:hAnsi="仿宋" w:eastAsia="仿宋" w:cs="宋体"/>
                <w:b/>
                <w:bCs/>
                <w:kern w:val="0"/>
                <w:sz w:val="20"/>
                <w:szCs w:val="20"/>
                <w:highlight w:val="none"/>
              </w:rPr>
              <w:t>小型企业</w:t>
            </w:r>
            <w:r>
              <w:rPr>
                <w:rFonts w:hint="eastAsia" w:ascii="仿宋" w:hAnsi="仿宋" w:eastAsia="仿宋" w:cs="宋体"/>
                <w:b/>
                <w:bCs/>
                <w:kern w:val="0"/>
                <w:sz w:val="20"/>
                <w:szCs w:val="20"/>
                <w:highlight w:val="none"/>
                <w:lang w:eastAsia="zh-CN"/>
              </w:rPr>
              <w:t>（</w:t>
            </w:r>
            <w:r>
              <w:rPr>
                <w:rFonts w:hint="eastAsia" w:ascii="仿宋" w:hAnsi="仿宋" w:eastAsia="仿宋" w:cs="宋体"/>
                <w:b/>
                <w:bCs/>
                <w:kern w:val="0"/>
                <w:sz w:val="20"/>
                <w:szCs w:val="20"/>
                <w:highlight w:val="none"/>
                <w:lang w:val="en-US" w:eastAsia="zh-CN"/>
              </w:rPr>
              <w:t>且</w:t>
            </w:r>
            <w:r>
              <w:rPr>
                <w:rFonts w:hint="eastAsia" w:ascii="仿宋" w:hAnsi="仿宋" w:eastAsia="仿宋" w:cs="宋体"/>
                <w:b/>
                <w:bCs/>
                <w:kern w:val="0"/>
                <w:sz w:val="20"/>
                <w:szCs w:val="20"/>
                <w:highlight w:val="none"/>
                <w:lang w:eastAsia="zh-CN"/>
              </w:rPr>
              <w:t>）</w:t>
            </w:r>
          </w:p>
        </w:tc>
        <w:tc>
          <w:tcPr>
            <w:tcW w:w="3781" w:type="dxa"/>
            <w:gridSpan w:val="3"/>
            <w:tcBorders>
              <w:top w:val="single" w:color="auto" w:sz="8" w:space="0"/>
              <w:left w:val="nil"/>
              <w:bottom w:val="single" w:color="auto" w:sz="4" w:space="0"/>
              <w:right w:val="single" w:color="000000" w:sz="8" w:space="0"/>
            </w:tcBorders>
            <w:noWrap w:val="0"/>
            <w:vAlign w:val="center"/>
          </w:tcPr>
          <w:p w14:paraId="03965F49">
            <w:pPr>
              <w:widowControl/>
              <w:jc w:val="center"/>
              <w:rPr>
                <w:rFonts w:hint="eastAsia" w:ascii="仿宋" w:hAnsi="仿宋" w:eastAsia="仿宋" w:cs="宋体"/>
                <w:b/>
                <w:bCs/>
                <w:kern w:val="0"/>
                <w:sz w:val="20"/>
                <w:szCs w:val="20"/>
                <w:highlight w:val="none"/>
                <w:lang w:eastAsia="zh-CN"/>
              </w:rPr>
            </w:pPr>
            <w:r>
              <w:rPr>
                <w:rFonts w:hint="eastAsia" w:ascii="仿宋" w:hAnsi="仿宋" w:eastAsia="仿宋" w:cs="宋体"/>
                <w:b/>
                <w:bCs/>
                <w:kern w:val="0"/>
                <w:sz w:val="20"/>
                <w:szCs w:val="20"/>
                <w:highlight w:val="none"/>
              </w:rPr>
              <w:t>微型企业</w:t>
            </w:r>
            <w:r>
              <w:rPr>
                <w:rFonts w:hint="eastAsia" w:ascii="仿宋" w:hAnsi="仿宋" w:eastAsia="仿宋" w:cs="宋体"/>
                <w:b/>
                <w:bCs/>
                <w:kern w:val="0"/>
                <w:sz w:val="20"/>
                <w:szCs w:val="20"/>
                <w:highlight w:val="none"/>
                <w:lang w:eastAsia="zh-CN"/>
              </w:rPr>
              <w:t>（</w:t>
            </w:r>
            <w:r>
              <w:rPr>
                <w:rFonts w:hint="eastAsia" w:ascii="仿宋" w:hAnsi="仿宋" w:eastAsia="仿宋" w:cs="宋体"/>
                <w:b/>
                <w:bCs/>
                <w:kern w:val="0"/>
                <w:sz w:val="20"/>
                <w:szCs w:val="20"/>
                <w:highlight w:val="none"/>
                <w:lang w:val="en-US" w:eastAsia="zh-CN"/>
              </w:rPr>
              <w:t>或</w:t>
            </w:r>
            <w:r>
              <w:rPr>
                <w:rFonts w:hint="eastAsia" w:ascii="仿宋" w:hAnsi="仿宋" w:eastAsia="仿宋" w:cs="宋体"/>
                <w:b/>
                <w:bCs/>
                <w:kern w:val="0"/>
                <w:sz w:val="20"/>
                <w:szCs w:val="20"/>
                <w:highlight w:val="none"/>
                <w:lang w:eastAsia="zh-CN"/>
              </w:rPr>
              <w:t>）</w:t>
            </w:r>
          </w:p>
        </w:tc>
      </w:tr>
      <w:tr w14:paraId="3AD1FFCE">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noWrap w:val="0"/>
            <w:vAlign w:val="center"/>
          </w:tcPr>
          <w:p w14:paraId="5D57D4B4">
            <w:pPr>
              <w:widowControl/>
              <w:jc w:val="left"/>
              <w:rPr>
                <w:rFonts w:ascii="仿宋" w:hAnsi="仿宋" w:eastAsia="仿宋" w:cs="宋体"/>
                <w:b/>
                <w:bCs/>
                <w:kern w:val="0"/>
                <w:sz w:val="20"/>
                <w:szCs w:val="20"/>
                <w:highlight w:val="none"/>
              </w:rPr>
            </w:pPr>
          </w:p>
        </w:tc>
        <w:tc>
          <w:tcPr>
            <w:tcW w:w="1498" w:type="dxa"/>
            <w:tcBorders>
              <w:top w:val="nil"/>
              <w:left w:val="nil"/>
              <w:bottom w:val="single" w:color="auto" w:sz="4" w:space="0"/>
              <w:right w:val="single" w:color="auto" w:sz="4" w:space="0"/>
            </w:tcBorders>
            <w:noWrap w:val="0"/>
            <w:vAlign w:val="bottom"/>
          </w:tcPr>
          <w:p w14:paraId="0592F25A">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从业人员X（人）</w:t>
            </w:r>
          </w:p>
        </w:tc>
        <w:tc>
          <w:tcPr>
            <w:tcW w:w="1763" w:type="dxa"/>
            <w:tcBorders>
              <w:top w:val="nil"/>
              <w:left w:val="nil"/>
              <w:bottom w:val="single" w:color="auto" w:sz="4" w:space="0"/>
              <w:right w:val="single" w:color="auto" w:sz="4" w:space="0"/>
            </w:tcBorders>
            <w:noWrap w:val="0"/>
            <w:vAlign w:val="bottom"/>
          </w:tcPr>
          <w:p w14:paraId="1B89E888">
            <w:pPr>
              <w:widowControl/>
              <w:jc w:val="center"/>
              <w:rPr>
                <w:rFonts w:hint="eastAsia" w:ascii="仿宋" w:hAnsi="仿宋" w:eastAsia="仿宋" w:cs="宋体"/>
                <w:kern w:val="0"/>
                <w:sz w:val="20"/>
                <w:szCs w:val="20"/>
                <w:highlight w:val="none"/>
              </w:rPr>
            </w:pPr>
            <w:r>
              <w:rPr>
                <w:rFonts w:hint="eastAsia" w:ascii="仿宋" w:hAnsi="仿宋" w:eastAsia="仿宋" w:cs="宋体"/>
                <w:kern w:val="0"/>
                <w:sz w:val="20"/>
                <w:szCs w:val="20"/>
                <w:highlight w:val="none"/>
              </w:rPr>
              <w:t>营业收入Y</w:t>
            </w:r>
          </w:p>
          <w:p w14:paraId="2CFD5322">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（万元）</w:t>
            </w:r>
          </w:p>
        </w:tc>
        <w:tc>
          <w:tcPr>
            <w:tcW w:w="1660" w:type="dxa"/>
            <w:tcBorders>
              <w:top w:val="nil"/>
              <w:left w:val="nil"/>
              <w:bottom w:val="single" w:color="auto" w:sz="4" w:space="0"/>
              <w:right w:val="single" w:color="auto" w:sz="8" w:space="0"/>
            </w:tcBorders>
            <w:noWrap w:val="0"/>
            <w:vAlign w:val="bottom"/>
          </w:tcPr>
          <w:p w14:paraId="3EE26C40">
            <w:pPr>
              <w:widowControl/>
              <w:jc w:val="center"/>
              <w:rPr>
                <w:rFonts w:hint="eastAsia" w:ascii="仿宋" w:hAnsi="仿宋" w:eastAsia="仿宋" w:cs="宋体"/>
                <w:kern w:val="0"/>
                <w:sz w:val="20"/>
                <w:szCs w:val="20"/>
                <w:highlight w:val="none"/>
              </w:rPr>
            </w:pPr>
            <w:r>
              <w:rPr>
                <w:rFonts w:hint="eastAsia" w:ascii="仿宋" w:hAnsi="仿宋" w:eastAsia="仿宋" w:cs="宋体"/>
                <w:kern w:val="0"/>
                <w:sz w:val="20"/>
                <w:szCs w:val="20"/>
                <w:highlight w:val="none"/>
              </w:rPr>
              <w:t>资产总额Z</w:t>
            </w:r>
          </w:p>
          <w:p w14:paraId="3B2D0CAF">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（万元）</w:t>
            </w:r>
          </w:p>
        </w:tc>
        <w:tc>
          <w:tcPr>
            <w:tcW w:w="1458" w:type="dxa"/>
            <w:tcBorders>
              <w:top w:val="nil"/>
              <w:left w:val="nil"/>
              <w:bottom w:val="single" w:color="auto" w:sz="4" w:space="0"/>
              <w:right w:val="single" w:color="auto" w:sz="4" w:space="0"/>
            </w:tcBorders>
            <w:noWrap w:val="0"/>
            <w:vAlign w:val="bottom"/>
          </w:tcPr>
          <w:p w14:paraId="4085149F">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从业人员X（人）</w:t>
            </w:r>
          </w:p>
        </w:tc>
        <w:tc>
          <w:tcPr>
            <w:tcW w:w="1636" w:type="dxa"/>
            <w:tcBorders>
              <w:top w:val="nil"/>
              <w:left w:val="nil"/>
              <w:bottom w:val="single" w:color="auto" w:sz="4" w:space="0"/>
              <w:right w:val="single" w:color="auto" w:sz="4" w:space="0"/>
            </w:tcBorders>
            <w:noWrap w:val="0"/>
            <w:vAlign w:val="bottom"/>
          </w:tcPr>
          <w:p w14:paraId="3ED8089B">
            <w:pPr>
              <w:widowControl/>
              <w:jc w:val="center"/>
              <w:rPr>
                <w:rFonts w:hint="eastAsia" w:ascii="仿宋" w:hAnsi="仿宋" w:eastAsia="仿宋" w:cs="宋体"/>
                <w:kern w:val="0"/>
                <w:sz w:val="20"/>
                <w:szCs w:val="20"/>
                <w:highlight w:val="none"/>
              </w:rPr>
            </w:pPr>
            <w:r>
              <w:rPr>
                <w:rFonts w:hint="eastAsia" w:ascii="仿宋" w:hAnsi="仿宋" w:eastAsia="仿宋" w:cs="宋体"/>
                <w:kern w:val="0"/>
                <w:sz w:val="20"/>
                <w:szCs w:val="20"/>
                <w:highlight w:val="none"/>
              </w:rPr>
              <w:t>营业收入Y</w:t>
            </w:r>
          </w:p>
          <w:p w14:paraId="24BBC1F9">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（万元）</w:t>
            </w:r>
          </w:p>
        </w:tc>
        <w:tc>
          <w:tcPr>
            <w:tcW w:w="1520" w:type="dxa"/>
            <w:tcBorders>
              <w:top w:val="nil"/>
              <w:left w:val="nil"/>
              <w:bottom w:val="single" w:color="auto" w:sz="4" w:space="0"/>
              <w:right w:val="single" w:color="auto" w:sz="8" w:space="0"/>
            </w:tcBorders>
            <w:noWrap w:val="0"/>
            <w:vAlign w:val="bottom"/>
          </w:tcPr>
          <w:p w14:paraId="65A748DA">
            <w:pPr>
              <w:widowControl/>
              <w:jc w:val="center"/>
              <w:rPr>
                <w:rFonts w:hint="eastAsia" w:ascii="仿宋" w:hAnsi="仿宋" w:eastAsia="仿宋" w:cs="宋体"/>
                <w:kern w:val="0"/>
                <w:sz w:val="20"/>
                <w:szCs w:val="20"/>
                <w:highlight w:val="none"/>
              </w:rPr>
            </w:pPr>
            <w:r>
              <w:rPr>
                <w:rFonts w:hint="eastAsia" w:ascii="仿宋" w:hAnsi="仿宋" w:eastAsia="仿宋" w:cs="宋体"/>
                <w:kern w:val="0"/>
                <w:sz w:val="20"/>
                <w:szCs w:val="20"/>
                <w:highlight w:val="none"/>
              </w:rPr>
              <w:t>资产总额Z</w:t>
            </w:r>
          </w:p>
          <w:p w14:paraId="080D5F7F">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（万元）</w:t>
            </w:r>
          </w:p>
        </w:tc>
        <w:tc>
          <w:tcPr>
            <w:tcW w:w="1285" w:type="dxa"/>
            <w:tcBorders>
              <w:top w:val="nil"/>
              <w:left w:val="nil"/>
              <w:bottom w:val="single" w:color="auto" w:sz="4" w:space="0"/>
              <w:right w:val="single" w:color="auto" w:sz="4" w:space="0"/>
            </w:tcBorders>
            <w:noWrap w:val="0"/>
            <w:vAlign w:val="bottom"/>
          </w:tcPr>
          <w:p w14:paraId="0EEE5188">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从业人员X（人）</w:t>
            </w:r>
          </w:p>
        </w:tc>
        <w:tc>
          <w:tcPr>
            <w:tcW w:w="1275" w:type="dxa"/>
            <w:tcBorders>
              <w:top w:val="nil"/>
              <w:left w:val="nil"/>
              <w:bottom w:val="single" w:color="auto" w:sz="4" w:space="0"/>
              <w:right w:val="single" w:color="auto" w:sz="4" w:space="0"/>
            </w:tcBorders>
            <w:noWrap w:val="0"/>
            <w:vAlign w:val="bottom"/>
          </w:tcPr>
          <w:p w14:paraId="5BAB0829">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营业收入Y（万元）</w:t>
            </w:r>
          </w:p>
        </w:tc>
        <w:tc>
          <w:tcPr>
            <w:tcW w:w="1221" w:type="dxa"/>
            <w:tcBorders>
              <w:top w:val="nil"/>
              <w:left w:val="nil"/>
              <w:bottom w:val="single" w:color="auto" w:sz="4" w:space="0"/>
              <w:right w:val="single" w:color="auto" w:sz="8" w:space="0"/>
            </w:tcBorders>
            <w:noWrap w:val="0"/>
            <w:vAlign w:val="bottom"/>
          </w:tcPr>
          <w:p w14:paraId="75AF58E0">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资产总额Z（万元）</w:t>
            </w:r>
          </w:p>
        </w:tc>
      </w:tr>
      <w:tr w14:paraId="61AFB5A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5192DF3A">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1、农林牧渔业</w:t>
            </w:r>
          </w:p>
        </w:tc>
        <w:tc>
          <w:tcPr>
            <w:tcW w:w="1498" w:type="dxa"/>
            <w:tcBorders>
              <w:top w:val="nil"/>
              <w:left w:val="nil"/>
              <w:bottom w:val="single" w:color="auto" w:sz="4" w:space="0"/>
              <w:right w:val="single" w:color="auto" w:sz="4" w:space="0"/>
            </w:tcBorders>
            <w:noWrap w:val="0"/>
            <w:vAlign w:val="bottom"/>
          </w:tcPr>
          <w:p w14:paraId="1A19B969">
            <w:pPr>
              <w:widowControl/>
              <w:jc w:val="left"/>
              <w:rPr>
                <w:rFonts w:ascii="仿宋" w:hAnsi="仿宋" w:eastAsia="仿宋" w:cs="宋体"/>
                <w:kern w:val="0"/>
                <w:sz w:val="20"/>
                <w:szCs w:val="20"/>
                <w:highlight w:val="none"/>
              </w:rPr>
            </w:pPr>
          </w:p>
        </w:tc>
        <w:tc>
          <w:tcPr>
            <w:tcW w:w="1763" w:type="dxa"/>
            <w:tcBorders>
              <w:top w:val="nil"/>
              <w:left w:val="nil"/>
              <w:bottom w:val="single" w:color="auto" w:sz="4" w:space="0"/>
              <w:right w:val="single" w:color="auto" w:sz="4" w:space="0"/>
            </w:tcBorders>
            <w:noWrap w:val="0"/>
            <w:vAlign w:val="bottom"/>
          </w:tcPr>
          <w:p w14:paraId="36AE967F">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500≤Y＜20000</w:t>
            </w:r>
          </w:p>
        </w:tc>
        <w:tc>
          <w:tcPr>
            <w:tcW w:w="1660" w:type="dxa"/>
            <w:tcBorders>
              <w:top w:val="nil"/>
              <w:left w:val="nil"/>
              <w:bottom w:val="single" w:color="auto" w:sz="4" w:space="0"/>
              <w:right w:val="single" w:color="auto" w:sz="8" w:space="0"/>
            </w:tcBorders>
            <w:noWrap w:val="0"/>
            <w:vAlign w:val="bottom"/>
          </w:tcPr>
          <w:p w14:paraId="7F028862">
            <w:pPr>
              <w:widowControl/>
              <w:jc w:val="left"/>
              <w:rPr>
                <w:rFonts w:ascii="仿宋" w:hAnsi="仿宋" w:eastAsia="仿宋" w:cs="宋体"/>
                <w:kern w:val="0"/>
                <w:sz w:val="20"/>
                <w:szCs w:val="20"/>
                <w:highlight w:val="none"/>
              </w:rPr>
            </w:pPr>
          </w:p>
        </w:tc>
        <w:tc>
          <w:tcPr>
            <w:tcW w:w="1458" w:type="dxa"/>
            <w:tcBorders>
              <w:top w:val="nil"/>
              <w:left w:val="nil"/>
              <w:bottom w:val="single" w:color="auto" w:sz="4" w:space="0"/>
              <w:right w:val="single" w:color="auto" w:sz="4" w:space="0"/>
            </w:tcBorders>
            <w:noWrap w:val="0"/>
            <w:vAlign w:val="bottom"/>
          </w:tcPr>
          <w:p w14:paraId="47B17293">
            <w:pPr>
              <w:widowControl/>
              <w:jc w:val="left"/>
              <w:rPr>
                <w:rFonts w:ascii="仿宋" w:hAnsi="仿宋" w:eastAsia="仿宋" w:cs="宋体"/>
                <w:kern w:val="0"/>
                <w:sz w:val="20"/>
                <w:szCs w:val="20"/>
                <w:highlight w:val="none"/>
              </w:rPr>
            </w:pPr>
          </w:p>
        </w:tc>
        <w:tc>
          <w:tcPr>
            <w:tcW w:w="1636" w:type="dxa"/>
            <w:tcBorders>
              <w:top w:val="nil"/>
              <w:left w:val="nil"/>
              <w:bottom w:val="single" w:color="auto" w:sz="4" w:space="0"/>
              <w:right w:val="single" w:color="auto" w:sz="4" w:space="0"/>
            </w:tcBorders>
            <w:noWrap w:val="0"/>
            <w:vAlign w:val="bottom"/>
          </w:tcPr>
          <w:p w14:paraId="5D8D8069">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50≤Y＜500</w:t>
            </w:r>
          </w:p>
        </w:tc>
        <w:tc>
          <w:tcPr>
            <w:tcW w:w="1520" w:type="dxa"/>
            <w:tcBorders>
              <w:top w:val="nil"/>
              <w:left w:val="nil"/>
              <w:bottom w:val="single" w:color="auto" w:sz="4" w:space="0"/>
              <w:right w:val="single" w:color="auto" w:sz="8" w:space="0"/>
            </w:tcBorders>
            <w:noWrap w:val="0"/>
            <w:vAlign w:val="bottom"/>
          </w:tcPr>
          <w:p w14:paraId="1A9A0F60">
            <w:pPr>
              <w:widowControl/>
              <w:jc w:val="left"/>
              <w:rPr>
                <w:rFonts w:ascii="仿宋" w:hAnsi="仿宋" w:eastAsia="仿宋" w:cs="宋体"/>
                <w:kern w:val="0"/>
                <w:sz w:val="20"/>
                <w:szCs w:val="20"/>
                <w:highlight w:val="none"/>
              </w:rPr>
            </w:pPr>
          </w:p>
        </w:tc>
        <w:tc>
          <w:tcPr>
            <w:tcW w:w="1285" w:type="dxa"/>
            <w:tcBorders>
              <w:top w:val="nil"/>
              <w:left w:val="nil"/>
              <w:bottom w:val="single" w:color="auto" w:sz="4" w:space="0"/>
              <w:right w:val="single" w:color="auto" w:sz="4" w:space="0"/>
            </w:tcBorders>
            <w:noWrap w:val="0"/>
            <w:vAlign w:val="bottom"/>
          </w:tcPr>
          <w:p w14:paraId="6E9C14A1">
            <w:pPr>
              <w:widowControl/>
              <w:jc w:val="left"/>
              <w:rPr>
                <w:rFonts w:ascii="仿宋" w:hAnsi="仿宋" w:eastAsia="仿宋" w:cs="宋体"/>
                <w:kern w:val="0"/>
                <w:sz w:val="20"/>
                <w:szCs w:val="20"/>
                <w:highlight w:val="none"/>
              </w:rPr>
            </w:pPr>
          </w:p>
        </w:tc>
        <w:tc>
          <w:tcPr>
            <w:tcW w:w="1275" w:type="dxa"/>
            <w:tcBorders>
              <w:top w:val="nil"/>
              <w:left w:val="nil"/>
              <w:bottom w:val="single" w:color="auto" w:sz="4" w:space="0"/>
              <w:right w:val="single" w:color="auto" w:sz="4" w:space="0"/>
            </w:tcBorders>
            <w:noWrap w:val="0"/>
            <w:vAlign w:val="bottom"/>
          </w:tcPr>
          <w:p w14:paraId="55282456">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Y＜50</w:t>
            </w:r>
          </w:p>
        </w:tc>
        <w:tc>
          <w:tcPr>
            <w:tcW w:w="1221" w:type="dxa"/>
            <w:tcBorders>
              <w:top w:val="nil"/>
              <w:left w:val="nil"/>
              <w:bottom w:val="single" w:color="auto" w:sz="4" w:space="0"/>
              <w:right w:val="single" w:color="auto" w:sz="8" w:space="0"/>
            </w:tcBorders>
            <w:noWrap w:val="0"/>
            <w:vAlign w:val="bottom"/>
          </w:tcPr>
          <w:p w14:paraId="31B06F87">
            <w:pPr>
              <w:widowControl/>
              <w:jc w:val="left"/>
              <w:rPr>
                <w:rFonts w:ascii="仿宋" w:hAnsi="仿宋" w:eastAsia="仿宋" w:cs="宋体"/>
                <w:kern w:val="0"/>
                <w:sz w:val="20"/>
                <w:szCs w:val="20"/>
                <w:highlight w:val="none"/>
              </w:rPr>
            </w:pPr>
          </w:p>
        </w:tc>
      </w:tr>
      <w:tr w14:paraId="389529F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4FCD6FBA">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2、工业</w:t>
            </w:r>
          </w:p>
        </w:tc>
        <w:tc>
          <w:tcPr>
            <w:tcW w:w="1498" w:type="dxa"/>
            <w:tcBorders>
              <w:top w:val="nil"/>
              <w:left w:val="nil"/>
              <w:bottom w:val="single" w:color="auto" w:sz="4" w:space="0"/>
              <w:right w:val="single" w:color="auto" w:sz="4" w:space="0"/>
            </w:tcBorders>
            <w:noWrap w:val="0"/>
            <w:vAlign w:val="bottom"/>
          </w:tcPr>
          <w:p w14:paraId="51005CBF">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300≤X＜1000</w:t>
            </w:r>
          </w:p>
        </w:tc>
        <w:tc>
          <w:tcPr>
            <w:tcW w:w="1763" w:type="dxa"/>
            <w:tcBorders>
              <w:top w:val="nil"/>
              <w:left w:val="nil"/>
              <w:bottom w:val="single" w:color="auto" w:sz="4" w:space="0"/>
              <w:right w:val="single" w:color="auto" w:sz="4" w:space="0"/>
            </w:tcBorders>
            <w:noWrap w:val="0"/>
            <w:vAlign w:val="bottom"/>
          </w:tcPr>
          <w:p w14:paraId="3D2B465B">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2000≤Y＜40000</w:t>
            </w:r>
          </w:p>
        </w:tc>
        <w:tc>
          <w:tcPr>
            <w:tcW w:w="1660" w:type="dxa"/>
            <w:tcBorders>
              <w:top w:val="nil"/>
              <w:left w:val="nil"/>
              <w:bottom w:val="single" w:color="auto" w:sz="4" w:space="0"/>
              <w:right w:val="single" w:color="auto" w:sz="8" w:space="0"/>
            </w:tcBorders>
            <w:noWrap w:val="0"/>
            <w:vAlign w:val="bottom"/>
          </w:tcPr>
          <w:p w14:paraId="39CFFAD0">
            <w:pPr>
              <w:widowControl/>
              <w:jc w:val="left"/>
              <w:rPr>
                <w:rFonts w:ascii="仿宋" w:hAnsi="仿宋" w:eastAsia="仿宋" w:cs="宋体"/>
                <w:kern w:val="0"/>
                <w:sz w:val="20"/>
                <w:szCs w:val="20"/>
                <w:highlight w:val="none"/>
              </w:rPr>
            </w:pPr>
          </w:p>
        </w:tc>
        <w:tc>
          <w:tcPr>
            <w:tcW w:w="1458" w:type="dxa"/>
            <w:tcBorders>
              <w:top w:val="nil"/>
              <w:left w:val="nil"/>
              <w:bottom w:val="single" w:color="auto" w:sz="4" w:space="0"/>
              <w:right w:val="single" w:color="auto" w:sz="4" w:space="0"/>
            </w:tcBorders>
            <w:noWrap w:val="0"/>
            <w:vAlign w:val="bottom"/>
          </w:tcPr>
          <w:p w14:paraId="35E5C0ED">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20≤X＜300</w:t>
            </w:r>
          </w:p>
        </w:tc>
        <w:tc>
          <w:tcPr>
            <w:tcW w:w="1636" w:type="dxa"/>
            <w:tcBorders>
              <w:top w:val="nil"/>
              <w:left w:val="nil"/>
              <w:bottom w:val="single" w:color="auto" w:sz="4" w:space="0"/>
              <w:right w:val="single" w:color="auto" w:sz="4" w:space="0"/>
            </w:tcBorders>
            <w:noWrap w:val="0"/>
            <w:vAlign w:val="bottom"/>
          </w:tcPr>
          <w:p w14:paraId="2854A999">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300≤Y＜2000</w:t>
            </w:r>
          </w:p>
        </w:tc>
        <w:tc>
          <w:tcPr>
            <w:tcW w:w="1520" w:type="dxa"/>
            <w:tcBorders>
              <w:top w:val="nil"/>
              <w:left w:val="nil"/>
              <w:bottom w:val="single" w:color="auto" w:sz="4" w:space="0"/>
              <w:right w:val="single" w:color="auto" w:sz="8" w:space="0"/>
            </w:tcBorders>
            <w:noWrap w:val="0"/>
            <w:vAlign w:val="bottom"/>
          </w:tcPr>
          <w:p w14:paraId="2F004268">
            <w:pPr>
              <w:widowControl/>
              <w:jc w:val="left"/>
              <w:rPr>
                <w:rFonts w:ascii="仿宋" w:hAnsi="仿宋" w:eastAsia="仿宋" w:cs="宋体"/>
                <w:kern w:val="0"/>
                <w:sz w:val="20"/>
                <w:szCs w:val="20"/>
                <w:highlight w:val="none"/>
              </w:rPr>
            </w:pPr>
          </w:p>
        </w:tc>
        <w:tc>
          <w:tcPr>
            <w:tcW w:w="1285" w:type="dxa"/>
            <w:tcBorders>
              <w:top w:val="nil"/>
              <w:left w:val="nil"/>
              <w:bottom w:val="single" w:color="auto" w:sz="4" w:space="0"/>
              <w:right w:val="single" w:color="auto" w:sz="4" w:space="0"/>
            </w:tcBorders>
            <w:noWrap w:val="0"/>
            <w:vAlign w:val="bottom"/>
          </w:tcPr>
          <w:p w14:paraId="7A942098">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X＜20</w:t>
            </w:r>
          </w:p>
        </w:tc>
        <w:tc>
          <w:tcPr>
            <w:tcW w:w="1275" w:type="dxa"/>
            <w:tcBorders>
              <w:top w:val="nil"/>
              <w:left w:val="nil"/>
              <w:bottom w:val="single" w:color="auto" w:sz="4" w:space="0"/>
              <w:right w:val="single" w:color="auto" w:sz="4" w:space="0"/>
            </w:tcBorders>
            <w:noWrap w:val="0"/>
            <w:vAlign w:val="bottom"/>
          </w:tcPr>
          <w:p w14:paraId="69A764B5">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Y＜300</w:t>
            </w:r>
          </w:p>
        </w:tc>
        <w:tc>
          <w:tcPr>
            <w:tcW w:w="1221" w:type="dxa"/>
            <w:tcBorders>
              <w:top w:val="nil"/>
              <w:left w:val="nil"/>
              <w:bottom w:val="single" w:color="auto" w:sz="4" w:space="0"/>
              <w:right w:val="single" w:color="auto" w:sz="8" w:space="0"/>
            </w:tcBorders>
            <w:noWrap w:val="0"/>
            <w:vAlign w:val="bottom"/>
          </w:tcPr>
          <w:p w14:paraId="555FD7A9">
            <w:pPr>
              <w:widowControl/>
              <w:jc w:val="left"/>
              <w:rPr>
                <w:rFonts w:ascii="仿宋" w:hAnsi="仿宋" w:eastAsia="仿宋" w:cs="宋体"/>
                <w:kern w:val="0"/>
                <w:sz w:val="20"/>
                <w:szCs w:val="20"/>
                <w:highlight w:val="none"/>
              </w:rPr>
            </w:pPr>
          </w:p>
        </w:tc>
      </w:tr>
      <w:tr w14:paraId="5AE47A09">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313AEBB7">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3、建筑业</w:t>
            </w:r>
          </w:p>
        </w:tc>
        <w:tc>
          <w:tcPr>
            <w:tcW w:w="1498" w:type="dxa"/>
            <w:tcBorders>
              <w:top w:val="nil"/>
              <w:left w:val="nil"/>
              <w:bottom w:val="single" w:color="auto" w:sz="4" w:space="0"/>
              <w:right w:val="single" w:color="auto" w:sz="4" w:space="0"/>
            </w:tcBorders>
            <w:noWrap w:val="0"/>
            <w:vAlign w:val="bottom"/>
          </w:tcPr>
          <w:p w14:paraId="3CAABEAF">
            <w:pPr>
              <w:widowControl/>
              <w:jc w:val="left"/>
              <w:rPr>
                <w:rFonts w:ascii="仿宋" w:hAnsi="仿宋" w:eastAsia="仿宋" w:cs="宋体"/>
                <w:kern w:val="0"/>
                <w:sz w:val="20"/>
                <w:szCs w:val="20"/>
                <w:highlight w:val="none"/>
              </w:rPr>
            </w:pPr>
          </w:p>
        </w:tc>
        <w:tc>
          <w:tcPr>
            <w:tcW w:w="1763" w:type="dxa"/>
            <w:tcBorders>
              <w:top w:val="nil"/>
              <w:left w:val="nil"/>
              <w:bottom w:val="single" w:color="auto" w:sz="4" w:space="0"/>
              <w:right w:val="single" w:color="auto" w:sz="4" w:space="0"/>
            </w:tcBorders>
            <w:noWrap w:val="0"/>
            <w:vAlign w:val="bottom"/>
          </w:tcPr>
          <w:p w14:paraId="55A40F75">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6000≤Y＜80000</w:t>
            </w:r>
          </w:p>
        </w:tc>
        <w:tc>
          <w:tcPr>
            <w:tcW w:w="1660" w:type="dxa"/>
            <w:tcBorders>
              <w:top w:val="nil"/>
              <w:left w:val="nil"/>
              <w:bottom w:val="single" w:color="auto" w:sz="4" w:space="0"/>
              <w:right w:val="single" w:color="auto" w:sz="8" w:space="0"/>
            </w:tcBorders>
            <w:noWrap w:val="0"/>
            <w:vAlign w:val="bottom"/>
          </w:tcPr>
          <w:p w14:paraId="6B502AF9">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5000≤Z＜80000</w:t>
            </w:r>
          </w:p>
        </w:tc>
        <w:tc>
          <w:tcPr>
            <w:tcW w:w="1458" w:type="dxa"/>
            <w:tcBorders>
              <w:top w:val="nil"/>
              <w:left w:val="nil"/>
              <w:bottom w:val="single" w:color="auto" w:sz="4" w:space="0"/>
              <w:right w:val="single" w:color="auto" w:sz="4" w:space="0"/>
            </w:tcBorders>
            <w:noWrap w:val="0"/>
            <w:vAlign w:val="bottom"/>
          </w:tcPr>
          <w:p w14:paraId="67A1E8EC">
            <w:pPr>
              <w:widowControl/>
              <w:jc w:val="left"/>
              <w:rPr>
                <w:rFonts w:ascii="仿宋" w:hAnsi="仿宋" w:eastAsia="仿宋" w:cs="宋体"/>
                <w:kern w:val="0"/>
                <w:sz w:val="20"/>
                <w:szCs w:val="20"/>
                <w:highlight w:val="none"/>
              </w:rPr>
            </w:pPr>
          </w:p>
        </w:tc>
        <w:tc>
          <w:tcPr>
            <w:tcW w:w="1636" w:type="dxa"/>
            <w:tcBorders>
              <w:top w:val="nil"/>
              <w:left w:val="nil"/>
              <w:bottom w:val="single" w:color="auto" w:sz="4" w:space="0"/>
              <w:right w:val="single" w:color="auto" w:sz="4" w:space="0"/>
            </w:tcBorders>
            <w:noWrap w:val="0"/>
            <w:vAlign w:val="bottom"/>
          </w:tcPr>
          <w:p w14:paraId="7CB5578C">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300≤Y＜6000</w:t>
            </w:r>
          </w:p>
        </w:tc>
        <w:tc>
          <w:tcPr>
            <w:tcW w:w="1520" w:type="dxa"/>
            <w:tcBorders>
              <w:top w:val="nil"/>
              <w:left w:val="nil"/>
              <w:bottom w:val="single" w:color="auto" w:sz="4" w:space="0"/>
              <w:right w:val="single" w:color="auto" w:sz="8" w:space="0"/>
            </w:tcBorders>
            <w:noWrap w:val="0"/>
            <w:vAlign w:val="bottom"/>
          </w:tcPr>
          <w:p w14:paraId="2837D5A3">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300≤Z＜5000</w:t>
            </w:r>
          </w:p>
        </w:tc>
        <w:tc>
          <w:tcPr>
            <w:tcW w:w="1285" w:type="dxa"/>
            <w:tcBorders>
              <w:top w:val="nil"/>
              <w:left w:val="nil"/>
              <w:bottom w:val="single" w:color="auto" w:sz="4" w:space="0"/>
              <w:right w:val="single" w:color="auto" w:sz="4" w:space="0"/>
            </w:tcBorders>
            <w:noWrap w:val="0"/>
            <w:vAlign w:val="bottom"/>
          </w:tcPr>
          <w:p w14:paraId="67881BFF">
            <w:pPr>
              <w:widowControl/>
              <w:jc w:val="left"/>
              <w:rPr>
                <w:rFonts w:ascii="仿宋" w:hAnsi="仿宋" w:eastAsia="仿宋" w:cs="宋体"/>
                <w:kern w:val="0"/>
                <w:sz w:val="20"/>
                <w:szCs w:val="20"/>
                <w:highlight w:val="none"/>
              </w:rPr>
            </w:pPr>
          </w:p>
        </w:tc>
        <w:tc>
          <w:tcPr>
            <w:tcW w:w="1275" w:type="dxa"/>
            <w:tcBorders>
              <w:top w:val="nil"/>
              <w:left w:val="nil"/>
              <w:bottom w:val="single" w:color="auto" w:sz="4" w:space="0"/>
              <w:right w:val="single" w:color="auto" w:sz="4" w:space="0"/>
            </w:tcBorders>
            <w:noWrap w:val="0"/>
            <w:vAlign w:val="bottom"/>
          </w:tcPr>
          <w:p w14:paraId="515BAF16">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Y＜300</w:t>
            </w:r>
          </w:p>
        </w:tc>
        <w:tc>
          <w:tcPr>
            <w:tcW w:w="1221" w:type="dxa"/>
            <w:tcBorders>
              <w:top w:val="nil"/>
              <w:left w:val="nil"/>
              <w:bottom w:val="single" w:color="auto" w:sz="4" w:space="0"/>
              <w:right w:val="single" w:color="auto" w:sz="8" w:space="0"/>
            </w:tcBorders>
            <w:noWrap w:val="0"/>
            <w:vAlign w:val="bottom"/>
          </w:tcPr>
          <w:p w14:paraId="60ED71E2">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Z＜300</w:t>
            </w:r>
          </w:p>
        </w:tc>
      </w:tr>
      <w:tr w14:paraId="3B6BD11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B7FE18D">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4、批发业</w:t>
            </w:r>
          </w:p>
        </w:tc>
        <w:tc>
          <w:tcPr>
            <w:tcW w:w="1498" w:type="dxa"/>
            <w:tcBorders>
              <w:top w:val="nil"/>
              <w:left w:val="nil"/>
              <w:bottom w:val="single" w:color="auto" w:sz="4" w:space="0"/>
              <w:right w:val="single" w:color="auto" w:sz="4" w:space="0"/>
            </w:tcBorders>
            <w:noWrap w:val="0"/>
            <w:vAlign w:val="bottom"/>
          </w:tcPr>
          <w:p w14:paraId="58448D50">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20≤X＜200</w:t>
            </w:r>
          </w:p>
        </w:tc>
        <w:tc>
          <w:tcPr>
            <w:tcW w:w="1763" w:type="dxa"/>
            <w:tcBorders>
              <w:top w:val="nil"/>
              <w:left w:val="nil"/>
              <w:bottom w:val="single" w:color="auto" w:sz="4" w:space="0"/>
              <w:right w:val="single" w:color="auto" w:sz="4" w:space="0"/>
            </w:tcBorders>
            <w:noWrap w:val="0"/>
            <w:vAlign w:val="bottom"/>
          </w:tcPr>
          <w:p w14:paraId="7356D64E">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5000≤Y＜40000</w:t>
            </w:r>
          </w:p>
        </w:tc>
        <w:tc>
          <w:tcPr>
            <w:tcW w:w="1660" w:type="dxa"/>
            <w:tcBorders>
              <w:top w:val="nil"/>
              <w:left w:val="nil"/>
              <w:bottom w:val="single" w:color="auto" w:sz="4" w:space="0"/>
              <w:right w:val="single" w:color="auto" w:sz="8" w:space="0"/>
            </w:tcBorders>
            <w:noWrap w:val="0"/>
            <w:vAlign w:val="bottom"/>
          </w:tcPr>
          <w:p w14:paraId="3DC859E0">
            <w:pPr>
              <w:widowControl/>
              <w:jc w:val="left"/>
              <w:rPr>
                <w:rFonts w:ascii="仿宋" w:hAnsi="仿宋" w:eastAsia="仿宋" w:cs="宋体"/>
                <w:kern w:val="0"/>
                <w:sz w:val="20"/>
                <w:szCs w:val="20"/>
                <w:highlight w:val="none"/>
              </w:rPr>
            </w:pPr>
          </w:p>
        </w:tc>
        <w:tc>
          <w:tcPr>
            <w:tcW w:w="1458" w:type="dxa"/>
            <w:tcBorders>
              <w:top w:val="nil"/>
              <w:left w:val="nil"/>
              <w:bottom w:val="single" w:color="auto" w:sz="4" w:space="0"/>
              <w:right w:val="single" w:color="auto" w:sz="4" w:space="0"/>
            </w:tcBorders>
            <w:noWrap w:val="0"/>
            <w:vAlign w:val="bottom"/>
          </w:tcPr>
          <w:p w14:paraId="41DB22D8">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5≤X＜20</w:t>
            </w:r>
          </w:p>
        </w:tc>
        <w:tc>
          <w:tcPr>
            <w:tcW w:w="1636" w:type="dxa"/>
            <w:tcBorders>
              <w:top w:val="nil"/>
              <w:left w:val="nil"/>
              <w:bottom w:val="single" w:color="auto" w:sz="4" w:space="0"/>
              <w:right w:val="single" w:color="auto" w:sz="4" w:space="0"/>
            </w:tcBorders>
            <w:noWrap w:val="0"/>
            <w:vAlign w:val="bottom"/>
          </w:tcPr>
          <w:p w14:paraId="326A6907">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1000≤Y＜5000</w:t>
            </w:r>
          </w:p>
        </w:tc>
        <w:tc>
          <w:tcPr>
            <w:tcW w:w="1520" w:type="dxa"/>
            <w:tcBorders>
              <w:top w:val="nil"/>
              <w:left w:val="nil"/>
              <w:bottom w:val="single" w:color="auto" w:sz="4" w:space="0"/>
              <w:right w:val="single" w:color="auto" w:sz="8" w:space="0"/>
            </w:tcBorders>
            <w:noWrap w:val="0"/>
            <w:vAlign w:val="bottom"/>
          </w:tcPr>
          <w:p w14:paraId="4CFB7CF2">
            <w:pPr>
              <w:widowControl/>
              <w:jc w:val="left"/>
              <w:rPr>
                <w:rFonts w:ascii="仿宋" w:hAnsi="仿宋" w:eastAsia="仿宋" w:cs="宋体"/>
                <w:kern w:val="0"/>
                <w:sz w:val="20"/>
                <w:szCs w:val="20"/>
                <w:highlight w:val="none"/>
              </w:rPr>
            </w:pPr>
          </w:p>
        </w:tc>
        <w:tc>
          <w:tcPr>
            <w:tcW w:w="1285" w:type="dxa"/>
            <w:tcBorders>
              <w:top w:val="nil"/>
              <w:left w:val="nil"/>
              <w:bottom w:val="single" w:color="auto" w:sz="4" w:space="0"/>
              <w:right w:val="single" w:color="auto" w:sz="4" w:space="0"/>
            </w:tcBorders>
            <w:noWrap w:val="0"/>
            <w:vAlign w:val="bottom"/>
          </w:tcPr>
          <w:p w14:paraId="47A0D393">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X＜5</w:t>
            </w:r>
          </w:p>
        </w:tc>
        <w:tc>
          <w:tcPr>
            <w:tcW w:w="1275" w:type="dxa"/>
            <w:tcBorders>
              <w:top w:val="nil"/>
              <w:left w:val="nil"/>
              <w:bottom w:val="single" w:color="auto" w:sz="4" w:space="0"/>
              <w:right w:val="single" w:color="auto" w:sz="4" w:space="0"/>
            </w:tcBorders>
            <w:noWrap w:val="0"/>
            <w:vAlign w:val="bottom"/>
          </w:tcPr>
          <w:p w14:paraId="78CDC7AB">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Y＜1000</w:t>
            </w:r>
          </w:p>
        </w:tc>
        <w:tc>
          <w:tcPr>
            <w:tcW w:w="1221" w:type="dxa"/>
            <w:tcBorders>
              <w:top w:val="nil"/>
              <w:left w:val="nil"/>
              <w:bottom w:val="single" w:color="auto" w:sz="4" w:space="0"/>
              <w:right w:val="single" w:color="auto" w:sz="8" w:space="0"/>
            </w:tcBorders>
            <w:noWrap w:val="0"/>
            <w:vAlign w:val="bottom"/>
          </w:tcPr>
          <w:p w14:paraId="06BD1561">
            <w:pPr>
              <w:widowControl/>
              <w:jc w:val="left"/>
              <w:rPr>
                <w:rFonts w:ascii="仿宋" w:hAnsi="仿宋" w:eastAsia="仿宋" w:cs="宋体"/>
                <w:kern w:val="0"/>
                <w:sz w:val="20"/>
                <w:szCs w:val="20"/>
                <w:highlight w:val="none"/>
              </w:rPr>
            </w:pPr>
          </w:p>
        </w:tc>
      </w:tr>
      <w:tr w14:paraId="088977F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1E66E4DE">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5、零售业</w:t>
            </w:r>
          </w:p>
        </w:tc>
        <w:tc>
          <w:tcPr>
            <w:tcW w:w="1498" w:type="dxa"/>
            <w:tcBorders>
              <w:top w:val="nil"/>
              <w:left w:val="nil"/>
              <w:bottom w:val="single" w:color="auto" w:sz="4" w:space="0"/>
              <w:right w:val="single" w:color="auto" w:sz="4" w:space="0"/>
            </w:tcBorders>
            <w:noWrap w:val="0"/>
            <w:vAlign w:val="bottom"/>
          </w:tcPr>
          <w:p w14:paraId="7F80FC80">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50≤X＜300</w:t>
            </w:r>
          </w:p>
        </w:tc>
        <w:tc>
          <w:tcPr>
            <w:tcW w:w="1763" w:type="dxa"/>
            <w:tcBorders>
              <w:top w:val="nil"/>
              <w:left w:val="nil"/>
              <w:bottom w:val="single" w:color="auto" w:sz="4" w:space="0"/>
              <w:right w:val="single" w:color="auto" w:sz="4" w:space="0"/>
            </w:tcBorders>
            <w:noWrap w:val="0"/>
            <w:vAlign w:val="bottom"/>
          </w:tcPr>
          <w:p w14:paraId="008ACE37">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500≤Y＜20000</w:t>
            </w:r>
          </w:p>
        </w:tc>
        <w:tc>
          <w:tcPr>
            <w:tcW w:w="1660" w:type="dxa"/>
            <w:tcBorders>
              <w:top w:val="nil"/>
              <w:left w:val="nil"/>
              <w:bottom w:val="single" w:color="auto" w:sz="4" w:space="0"/>
              <w:right w:val="single" w:color="auto" w:sz="8" w:space="0"/>
            </w:tcBorders>
            <w:noWrap w:val="0"/>
            <w:vAlign w:val="bottom"/>
          </w:tcPr>
          <w:p w14:paraId="7961F658">
            <w:pPr>
              <w:widowControl/>
              <w:jc w:val="left"/>
              <w:rPr>
                <w:rFonts w:ascii="仿宋" w:hAnsi="仿宋" w:eastAsia="仿宋" w:cs="宋体"/>
                <w:kern w:val="0"/>
                <w:sz w:val="20"/>
                <w:szCs w:val="20"/>
                <w:highlight w:val="none"/>
              </w:rPr>
            </w:pPr>
          </w:p>
        </w:tc>
        <w:tc>
          <w:tcPr>
            <w:tcW w:w="1458" w:type="dxa"/>
            <w:tcBorders>
              <w:top w:val="nil"/>
              <w:left w:val="nil"/>
              <w:bottom w:val="single" w:color="auto" w:sz="4" w:space="0"/>
              <w:right w:val="single" w:color="auto" w:sz="4" w:space="0"/>
            </w:tcBorders>
            <w:noWrap w:val="0"/>
            <w:vAlign w:val="bottom"/>
          </w:tcPr>
          <w:p w14:paraId="69309A18">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10≤X＜50</w:t>
            </w:r>
          </w:p>
        </w:tc>
        <w:tc>
          <w:tcPr>
            <w:tcW w:w="1636" w:type="dxa"/>
            <w:tcBorders>
              <w:top w:val="nil"/>
              <w:left w:val="nil"/>
              <w:bottom w:val="single" w:color="auto" w:sz="4" w:space="0"/>
              <w:right w:val="single" w:color="auto" w:sz="4" w:space="0"/>
            </w:tcBorders>
            <w:noWrap w:val="0"/>
            <w:vAlign w:val="bottom"/>
          </w:tcPr>
          <w:p w14:paraId="1D91AE55">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100≤Y＜500</w:t>
            </w:r>
          </w:p>
        </w:tc>
        <w:tc>
          <w:tcPr>
            <w:tcW w:w="1520" w:type="dxa"/>
            <w:tcBorders>
              <w:top w:val="nil"/>
              <w:left w:val="nil"/>
              <w:bottom w:val="single" w:color="auto" w:sz="4" w:space="0"/>
              <w:right w:val="single" w:color="auto" w:sz="8" w:space="0"/>
            </w:tcBorders>
            <w:noWrap w:val="0"/>
            <w:vAlign w:val="bottom"/>
          </w:tcPr>
          <w:p w14:paraId="31AE1ECA">
            <w:pPr>
              <w:widowControl/>
              <w:jc w:val="left"/>
              <w:rPr>
                <w:rFonts w:ascii="仿宋" w:hAnsi="仿宋" w:eastAsia="仿宋" w:cs="宋体"/>
                <w:kern w:val="0"/>
                <w:sz w:val="20"/>
                <w:szCs w:val="20"/>
                <w:highlight w:val="none"/>
              </w:rPr>
            </w:pPr>
          </w:p>
        </w:tc>
        <w:tc>
          <w:tcPr>
            <w:tcW w:w="1285" w:type="dxa"/>
            <w:tcBorders>
              <w:top w:val="nil"/>
              <w:left w:val="nil"/>
              <w:bottom w:val="single" w:color="auto" w:sz="4" w:space="0"/>
              <w:right w:val="single" w:color="auto" w:sz="4" w:space="0"/>
            </w:tcBorders>
            <w:noWrap w:val="0"/>
            <w:vAlign w:val="bottom"/>
          </w:tcPr>
          <w:p w14:paraId="40C54DDD">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X＜10</w:t>
            </w:r>
          </w:p>
        </w:tc>
        <w:tc>
          <w:tcPr>
            <w:tcW w:w="1275" w:type="dxa"/>
            <w:tcBorders>
              <w:top w:val="nil"/>
              <w:left w:val="nil"/>
              <w:bottom w:val="single" w:color="auto" w:sz="4" w:space="0"/>
              <w:right w:val="single" w:color="auto" w:sz="4" w:space="0"/>
            </w:tcBorders>
            <w:noWrap w:val="0"/>
            <w:vAlign w:val="bottom"/>
          </w:tcPr>
          <w:p w14:paraId="37B6676A">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Y＜100</w:t>
            </w:r>
          </w:p>
        </w:tc>
        <w:tc>
          <w:tcPr>
            <w:tcW w:w="1221" w:type="dxa"/>
            <w:tcBorders>
              <w:top w:val="nil"/>
              <w:left w:val="nil"/>
              <w:bottom w:val="single" w:color="auto" w:sz="4" w:space="0"/>
              <w:right w:val="single" w:color="auto" w:sz="8" w:space="0"/>
            </w:tcBorders>
            <w:noWrap w:val="0"/>
            <w:vAlign w:val="bottom"/>
          </w:tcPr>
          <w:p w14:paraId="3DB58DEE">
            <w:pPr>
              <w:widowControl/>
              <w:jc w:val="left"/>
              <w:rPr>
                <w:rFonts w:ascii="仿宋" w:hAnsi="仿宋" w:eastAsia="仿宋" w:cs="宋体"/>
                <w:kern w:val="0"/>
                <w:sz w:val="20"/>
                <w:szCs w:val="20"/>
                <w:highlight w:val="none"/>
              </w:rPr>
            </w:pPr>
          </w:p>
        </w:tc>
      </w:tr>
      <w:tr w14:paraId="5AD6AAF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39BE9C21">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6、交通运输业</w:t>
            </w:r>
          </w:p>
        </w:tc>
        <w:tc>
          <w:tcPr>
            <w:tcW w:w="1498" w:type="dxa"/>
            <w:tcBorders>
              <w:top w:val="nil"/>
              <w:left w:val="nil"/>
              <w:bottom w:val="single" w:color="auto" w:sz="4" w:space="0"/>
              <w:right w:val="single" w:color="auto" w:sz="4" w:space="0"/>
            </w:tcBorders>
            <w:noWrap w:val="0"/>
            <w:vAlign w:val="bottom"/>
          </w:tcPr>
          <w:p w14:paraId="659C5CD5">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300≤X＜1000</w:t>
            </w:r>
          </w:p>
        </w:tc>
        <w:tc>
          <w:tcPr>
            <w:tcW w:w="1763" w:type="dxa"/>
            <w:tcBorders>
              <w:top w:val="nil"/>
              <w:left w:val="nil"/>
              <w:bottom w:val="single" w:color="auto" w:sz="4" w:space="0"/>
              <w:right w:val="single" w:color="auto" w:sz="4" w:space="0"/>
            </w:tcBorders>
            <w:noWrap w:val="0"/>
            <w:vAlign w:val="bottom"/>
          </w:tcPr>
          <w:p w14:paraId="04EF30FE">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3000≤Y＜30000</w:t>
            </w:r>
          </w:p>
        </w:tc>
        <w:tc>
          <w:tcPr>
            <w:tcW w:w="1660" w:type="dxa"/>
            <w:tcBorders>
              <w:top w:val="nil"/>
              <w:left w:val="nil"/>
              <w:bottom w:val="single" w:color="auto" w:sz="4" w:space="0"/>
              <w:right w:val="single" w:color="auto" w:sz="8" w:space="0"/>
            </w:tcBorders>
            <w:noWrap w:val="0"/>
            <w:vAlign w:val="bottom"/>
          </w:tcPr>
          <w:p w14:paraId="08348DE9">
            <w:pPr>
              <w:widowControl/>
              <w:jc w:val="left"/>
              <w:rPr>
                <w:rFonts w:ascii="仿宋" w:hAnsi="仿宋" w:eastAsia="仿宋" w:cs="宋体"/>
                <w:kern w:val="0"/>
                <w:sz w:val="20"/>
                <w:szCs w:val="20"/>
                <w:highlight w:val="none"/>
              </w:rPr>
            </w:pPr>
          </w:p>
        </w:tc>
        <w:tc>
          <w:tcPr>
            <w:tcW w:w="1458" w:type="dxa"/>
            <w:tcBorders>
              <w:top w:val="nil"/>
              <w:left w:val="nil"/>
              <w:bottom w:val="single" w:color="auto" w:sz="4" w:space="0"/>
              <w:right w:val="single" w:color="auto" w:sz="4" w:space="0"/>
            </w:tcBorders>
            <w:noWrap w:val="0"/>
            <w:vAlign w:val="bottom"/>
          </w:tcPr>
          <w:p w14:paraId="136B95C1">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20≤X＜300</w:t>
            </w:r>
          </w:p>
        </w:tc>
        <w:tc>
          <w:tcPr>
            <w:tcW w:w="1636" w:type="dxa"/>
            <w:tcBorders>
              <w:top w:val="nil"/>
              <w:left w:val="nil"/>
              <w:bottom w:val="single" w:color="auto" w:sz="4" w:space="0"/>
              <w:right w:val="single" w:color="auto" w:sz="4" w:space="0"/>
            </w:tcBorders>
            <w:noWrap w:val="0"/>
            <w:vAlign w:val="bottom"/>
          </w:tcPr>
          <w:p w14:paraId="641139B1">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200≤Y＜3000</w:t>
            </w:r>
          </w:p>
        </w:tc>
        <w:tc>
          <w:tcPr>
            <w:tcW w:w="1520" w:type="dxa"/>
            <w:tcBorders>
              <w:top w:val="nil"/>
              <w:left w:val="nil"/>
              <w:bottom w:val="single" w:color="auto" w:sz="4" w:space="0"/>
              <w:right w:val="single" w:color="auto" w:sz="8" w:space="0"/>
            </w:tcBorders>
            <w:noWrap w:val="0"/>
            <w:vAlign w:val="bottom"/>
          </w:tcPr>
          <w:p w14:paraId="09C7C6FF">
            <w:pPr>
              <w:widowControl/>
              <w:jc w:val="left"/>
              <w:rPr>
                <w:rFonts w:ascii="仿宋" w:hAnsi="仿宋" w:eastAsia="仿宋" w:cs="宋体"/>
                <w:kern w:val="0"/>
                <w:sz w:val="20"/>
                <w:szCs w:val="20"/>
                <w:highlight w:val="none"/>
              </w:rPr>
            </w:pPr>
          </w:p>
        </w:tc>
        <w:tc>
          <w:tcPr>
            <w:tcW w:w="1285" w:type="dxa"/>
            <w:tcBorders>
              <w:top w:val="nil"/>
              <w:left w:val="nil"/>
              <w:bottom w:val="single" w:color="auto" w:sz="4" w:space="0"/>
              <w:right w:val="single" w:color="auto" w:sz="4" w:space="0"/>
            </w:tcBorders>
            <w:noWrap w:val="0"/>
            <w:vAlign w:val="bottom"/>
          </w:tcPr>
          <w:p w14:paraId="65FFE4E0">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X＜20</w:t>
            </w:r>
          </w:p>
        </w:tc>
        <w:tc>
          <w:tcPr>
            <w:tcW w:w="1275" w:type="dxa"/>
            <w:tcBorders>
              <w:top w:val="nil"/>
              <w:left w:val="nil"/>
              <w:bottom w:val="single" w:color="auto" w:sz="4" w:space="0"/>
              <w:right w:val="single" w:color="auto" w:sz="4" w:space="0"/>
            </w:tcBorders>
            <w:noWrap w:val="0"/>
            <w:vAlign w:val="bottom"/>
          </w:tcPr>
          <w:p w14:paraId="4696B1AF">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V＜200</w:t>
            </w:r>
          </w:p>
        </w:tc>
        <w:tc>
          <w:tcPr>
            <w:tcW w:w="1221" w:type="dxa"/>
            <w:tcBorders>
              <w:top w:val="nil"/>
              <w:left w:val="nil"/>
              <w:bottom w:val="single" w:color="auto" w:sz="4" w:space="0"/>
              <w:right w:val="single" w:color="auto" w:sz="8" w:space="0"/>
            </w:tcBorders>
            <w:noWrap w:val="0"/>
            <w:vAlign w:val="bottom"/>
          </w:tcPr>
          <w:p w14:paraId="1B106BA3">
            <w:pPr>
              <w:widowControl/>
              <w:jc w:val="left"/>
              <w:rPr>
                <w:rFonts w:ascii="仿宋" w:hAnsi="仿宋" w:eastAsia="仿宋" w:cs="宋体"/>
                <w:kern w:val="0"/>
                <w:sz w:val="20"/>
                <w:szCs w:val="20"/>
                <w:highlight w:val="none"/>
              </w:rPr>
            </w:pPr>
          </w:p>
        </w:tc>
      </w:tr>
      <w:tr w14:paraId="29824D2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400BD74A">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7、仓储业</w:t>
            </w:r>
          </w:p>
        </w:tc>
        <w:tc>
          <w:tcPr>
            <w:tcW w:w="1498" w:type="dxa"/>
            <w:tcBorders>
              <w:top w:val="nil"/>
              <w:left w:val="nil"/>
              <w:bottom w:val="single" w:color="auto" w:sz="4" w:space="0"/>
              <w:right w:val="single" w:color="auto" w:sz="4" w:space="0"/>
            </w:tcBorders>
            <w:noWrap w:val="0"/>
            <w:vAlign w:val="bottom"/>
          </w:tcPr>
          <w:p w14:paraId="2B0CD9E0">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100≤X＜200</w:t>
            </w:r>
          </w:p>
        </w:tc>
        <w:tc>
          <w:tcPr>
            <w:tcW w:w="1763" w:type="dxa"/>
            <w:tcBorders>
              <w:top w:val="nil"/>
              <w:left w:val="nil"/>
              <w:bottom w:val="single" w:color="auto" w:sz="4" w:space="0"/>
              <w:right w:val="single" w:color="auto" w:sz="4" w:space="0"/>
            </w:tcBorders>
            <w:noWrap w:val="0"/>
            <w:vAlign w:val="bottom"/>
          </w:tcPr>
          <w:p w14:paraId="41277FFC">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1000≤Y＜30000</w:t>
            </w:r>
          </w:p>
        </w:tc>
        <w:tc>
          <w:tcPr>
            <w:tcW w:w="1660" w:type="dxa"/>
            <w:tcBorders>
              <w:top w:val="nil"/>
              <w:left w:val="nil"/>
              <w:bottom w:val="single" w:color="auto" w:sz="4" w:space="0"/>
              <w:right w:val="single" w:color="auto" w:sz="8" w:space="0"/>
            </w:tcBorders>
            <w:noWrap w:val="0"/>
            <w:vAlign w:val="bottom"/>
          </w:tcPr>
          <w:p w14:paraId="63695B24">
            <w:pPr>
              <w:widowControl/>
              <w:jc w:val="left"/>
              <w:rPr>
                <w:rFonts w:ascii="仿宋" w:hAnsi="仿宋" w:eastAsia="仿宋" w:cs="宋体"/>
                <w:kern w:val="0"/>
                <w:sz w:val="20"/>
                <w:szCs w:val="20"/>
                <w:highlight w:val="none"/>
              </w:rPr>
            </w:pPr>
          </w:p>
        </w:tc>
        <w:tc>
          <w:tcPr>
            <w:tcW w:w="1458" w:type="dxa"/>
            <w:tcBorders>
              <w:top w:val="nil"/>
              <w:left w:val="nil"/>
              <w:bottom w:val="single" w:color="auto" w:sz="4" w:space="0"/>
              <w:right w:val="single" w:color="auto" w:sz="4" w:space="0"/>
            </w:tcBorders>
            <w:noWrap w:val="0"/>
            <w:vAlign w:val="bottom"/>
          </w:tcPr>
          <w:p w14:paraId="59951238">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20≤X＜100</w:t>
            </w:r>
          </w:p>
        </w:tc>
        <w:tc>
          <w:tcPr>
            <w:tcW w:w="1636" w:type="dxa"/>
            <w:tcBorders>
              <w:top w:val="nil"/>
              <w:left w:val="nil"/>
              <w:bottom w:val="single" w:color="auto" w:sz="4" w:space="0"/>
              <w:right w:val="single" w:color="auto" w:sz="4" w:space="0"/>
            </w:tcBorders>
            <w:noWrap w:val="0"/>
            <w:vAlign w:val="bottom"/>
          </w:tcPr>
          <w:p w14:paraId="25F6CA11">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100≤Y＜1000</w:t>
            </w:r>
          </w:p>
        </w:tc>
        <w:tc>
          <w:tcPr>
            <w:tcW w:w="1520" w:type="dxa"/>
            <w:tcBorders>
              <w:top w:val="nil"/>
              <w:left w:val="nil"/>
              <w:bottom w:val="single" w:color="auto" w:sz="4" w:space="0"/>
              <w:right w:val="single" w:color="auto" w:sz="8" w:space="0"/>
            </w:tcBorders>
            <w:noWrap w:val="0"/>
            <w:vAlign w:val="bottom"/>
          </w:tcPr>
          <w:p w14:paraId="72758B60">
            <w:pPr>
              <w:widowControl/>
              <w:jc w:val="left"/>
              <w:rPr>
                <w:rFonts w:ascii="仿宋" w:hAnsi="仿宋" w:eastAsia="仿宋" w:cs="宋体"/>
                <w:kern w:val="0"/>
                <w:sz w:val="20"/>
                <w:szCs w:val="20"/>
                <w:highlight w:val="none"/>
              </w:rPr>
            </w:pPr>
          </w:p>
        </w:tc>
        <w:tc>
          <w:tcPr>
            <w:tcW w:w="1285" w:type="dxa"/>
            <w:tcBorders>
              <w:top w:val="nil"/>
              <w:left w:val="nil"/>
              <w:bottom w:val="single" w:color="auto" w:sz="4" w:space="0"/>
              <w:right w:val="single" w:color="auto" w:sz="4" w:space="0"/>
            </w:tcBorders>
            <w:noWrap w:val="0"/>
            <w:vAlign w:val="bottom"/>
          </w:tcPr>
          <w:p w14:paraId="140ACE88">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X＜20</w:t>
            </w:r>
          </w:p>
        </w:tc>
        <w:tc>
          <w:tcPr>
            <w:tcW w:w="1275" w:type="dxa"/>
            <w:tcBorders>
              <w:top w:val="nil"/>
              <w:left w:val="nil"/>
              <w:bottom w:val="single" w:color="auto" w:sz="4" w:space="0"/>
              <w:right w:val="single" w:color="auto" w:sz="4" w:space="0"/>
            </w:tcBorders>
            <w:noWrap w:val="0"/>
            <w:vAlign w:val="bottom"/>
          </w:tcPr>
          <w:p w14:paraId="677E8FD0">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Y＜100</w:t>
            </w:r>
          </w:p>
        </w:tc>
        <w:tc>
          <w:tcPr>
            <w:tcW w:w="1221" w:type="dxa"/>
            <w:tcBorders>
              <w:top w:val="nil"/>
              <w:left w:val="nil"/>
              <w:bottom w:val="single" w:color="auto" w:sz="4" w:space="0"/>
              <w:right w:val="single" w:color="auto" w:sz="8" w:space="0"/>
            </w:tcBorders>
            <w:noWrap w:val="0"/>
            <w:vAlign w:val="bottom"/>
          </w:tcPr>
          <w:p w14:paraId="48DB7D4E">
            <w:pPr>
              <w:widowControl/>
              <w:jc w:val="left"/>
              <w:rPr>
                <w:rFonts w:ascii="仿宋" w:hAnsi="仿宋" w:eastAsia="仿宋" w:cs="宋体"/>
                <w:kern w:val="0"/>
                <w:sz w:val="20"/>
                <w:szCs w:val="20"/>
                <w:highlight w:val="none"/>
              </w:rPr>
            </w:pPr>
          </w:p>
        </w:tc>
      </w:tr>
      <w:tr w14:paraId="3717154A">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7D27216D">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8、邮政业</w:t>
            </w:r>
          </w:p>
        </w:tc>
        <w:tc>
          <w:tcPr>
            <w:tcW w:w="1498" w:type="dxa"/>
            <w:tcBorders>
              <w:top w:val="nil"/>
              <w:left w:val="nil"/>
              <w:bottom w:val="single" w:color="auto" w:sz="4" w:space="0"/>
              <w:right w:val="single" w:color="auto" w:sz="4" w:space="0"/>
            </w:tcBorders>
            <w:noWrap w:val="0"/>
            <w:vAlign w:val="bottom"/>
          </w:tcPr>
          <w:p w14:paraId="18F2BE1C">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300≤X＜1000</w:t>
            </w:r>
          </w:p>
        </w:tc>
        <w:tc>
          <w:tcPr>
            <w:tcW w:w="1763" w:type="dxa"/>
            <w:tcBorders>
              <w:top w:val="nil"/>
              <w:left w:val="nil"/>
              <w:bottom w:val="single" w:color="auto" w:sz="4" w:space="0"/>
              <w:right w:val="single" w:color="auto" w:sz="4" w:space="0"/>
            </w:tcBorders>
            <w:noWrap w:val="0"/>
            <w:vAlign w:val="bottom"/>
          </w:tcPr>
          <w:p w14:paraId="45F66189">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2000≤Y＜30000</w:t>
            </w:r>
          </w:p>
        </w:tc>
        <w:tc>
          <w:tcPr>
            <w:tcW w:w="1660" w:type="dxa"/>
            <w:tcBorders>
              <w:top w:val="nil"/>
              <w:left w:val="nil"/>
              <w:bottom w:val="single" w:color="auto" w:sz="4" w:space="0"/>
              <w:right w:val="single" w:color="auto" w:sz="8" w:space="0"/>
            </w:tcBorders>
            <w:noWrap w:val="0"/>
            <w:vAlign w:val="bottom"/>
          </w:tcPr>
          <w:p w14:paraId="1AD0D61C">
            <w:pPr>
              <w:widowControl/>
              <w:jc w:val="left"/>
              <w:rPr>
                <w:rFonts w:ascii="仿宋" w:hAnsi="仿宋" w:eastAsia="仿宋" w:cs="宋体"/>
                <w:kern w:val="0"/>
                <w:sz w:val="20"/>
                <w:szCs w:val="20"/>
                <w:highlight w:val="none"/>
              </w:rPr>
            </w:pPr>
          </w:p>
        </w:tc>
        <w:tc>
          <w:tcPr>
            <w:tcW w:w="1458" w:type="dxa"/>
            <w:tcBorders>
              <w:top w:val="nil"/>
              <w:left w:val="nil"/>
              <w:bottom w:val="single" w:color="auto" w:sz="4" w:space="0"/>
              <w:right w:val="single" w:color="auto" w:sz="4" w:space="0"/>
            </w:tcBorders>
            <w:noWrap w:val="0"/>
            <w:vAlign w:val="bottom"/>
          </w:tcPr>
          <w:p w14:paraId="0A8AD124">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20≤X＜300</w:t>
            </w:r>
          </w:p>
        </w:tc>
        <w:tc>
          <w:tcPr>
            <w:tcW w:w="1636" w:type="dxa"/>
            <w:tcBorders>
              <w:top w:val="nil"/>
              <w:left w:val="nil"/>
              <w:bottom w:val="single" w:color="auto" w:sz="4" w:space="0"/>
              <w:right w:val="single" w:color="auto" w:sz="4" w:space="0"/>
            </w:tcBorders>
            <w:noWrap w:val="0"/>
            <w:vAlign w:val="bottom"/>
          </w:tcPr>
          <w:p w14:paraId="017002F9">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100≤Y＜2000</w:t>
            </w:r>
          </w:p>
        </w:tc>
        <w:tc>
          <w:tcPr>
            <w:tcW w:w="1520" w:type="dxa"/>
            <w:tcBorders>
              <w:top w:val="nil"/>
              <w:left w:val="nil"/>
              <w:bottom w:val="single" w:color="auto" w:sz="4" w:space="0"/>
              <w:right w:val="single" w:color="auto" w:sz="8" w:space="0"/>
            </w:tcBorders>
            <w:noWrap w:val="0"/>
            <w:vAlign w:val="bottom"/>
          </w:tcPr>
          <w:p w14:paraId="21DAAC50">
            <w:pPr>
              <w:widowControl/>
              <w:jc w:val="left"/>
              <w:rPr>
                <w:rFonts w:ascii="仿宋" w:hAnsi="仿宋" w:eastAsia="仿宋" w:cs="宋体"/>
                <w:kern w:val="0"/>
                <w:sz w:val="20"/>
                <w:szCs w:val="20"/>
                <w:highlight w:val="none"/>
              </w:rPr>
            </w:pPr>
          </w:p>
        </w:tc>
        <w:tc>
          <w:tcPr>
            <w:tcW w:w="1285" w:type="dxa"/>
            <w:tcBorders>
              <w:top w:val="nil"/>
              <w:left w:val="nil"/>
              <w:bottom w:val="single" w:color="auto" w:sz="4" w:space="0"/>
              <w:right w:val="single" w:color="auto" w:sz="4" w:space="0"/>
            </w:tcBorders>
            <w:noWrap w:val="0"/>
            <w:vAlign w:val="bottom"/>
          </w:tcPr>
          <w:p w14:paraId="0A804684">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X＜20</w:t>
            </w:r>
          </w:p>
        </w:tc>
        <w:tc>
          <w:tcPr>
            <w:tcW w:w="1275" w:type="dxa"/>
            <w:tcBorders>
              <w:top w:val="nil"/>
              <w:left w:val="nil"/>
              <w:bottom w:val="single" w:color="auto" w:sz="4" w:space="0"/>
              <w:right w:val="single" w:color="auto" w:sz="4" w:space="0"/>
            </w:tcBorders>
            <w:noWrap w:val="0"/>
            <w:vAlign w:val="bottom"/>
          </w:tcPr>
          <w:p w14:paraId="154D1844">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Y＜100</w:t>
            </w:r>
          </w:p>
        </w:tc>
        <w:tc>
          <w:tcPr>
            <w:tcW w:w="1221" w:type="dxa"/>
            <w:tcBorders>
              <w:top w:val="nil"/>
              <w:left w:val="nil"/>
              <w:bottom w:val="single" w:color="auto" w:sz="4" w:space="0"/>
              <w:right w:val="single" w:color="auto" w:sz="8" w:space="0"/>
            </w:tcBorders>
            <w:noWrap w:val="0"/>
            <w:vAlign w:val="bottom"/>
          </w:tcPr>
          <w:p w14:paraId="728812B0">
            <w:pPr>
              <w:widowControl/>
              <w:jc w:val="left"/>
              <w:rPr>
                <w:rFonts w:ascii="仿宋" w:hAnsi="仿宋" w:eastAsia="仿宋" w:cs="宋体"/>
                <w:kern w:val="0"/>
                <w:sz w:val="20"/>
                <w:szCs w:val="20"/>
                <w:highlight w:val="none"/>
              </w:rPr>
            </w:pPr>
          </w:p>
        </w:tc>
      </w:tr>
      <w:tr w14:paraId="292C127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26046F0">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9、住宿业</w:t>
            </w:r>
          </w:p>
        </w:tc>
        <w:tc>
          <w:tcPr>
            <w:tcW w:w="1498" w:type="dxa"/>
            <w:tcBorders>
              <w:top w:val="nil"/>
              <w:left w:val="nil"/>
              <w:bottom w:val="single" w:color="auto" w:sz="4" w:space="0"/>
              <w:right w:val="single" w:color="auto" w:sz="4" w:space="0"/>
            </w:tcBorders>
            <w:noWrap w:val="0"/>
            <w:vAlign w:val="bottom"/>
          </w:tcPr>
          <w:p w14:paraId="7EDBC2E1">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100≤X＜300</w:t>
            </w:r>
          </w:p>
        </w:tc>
        <w:tc>
          <w:tcPr>
            <w:tcW w:w="1763" w:type="dxa"/>
            <w:tcBorders>
              <w:top w:val="nil"/>
              <w:left w:val="nil"/>
              <w:bottom w:val="single" w:color="auto" w:sz="4" w:space="0"/>
              <w:right w:val="single" w:color="auto" w:sz="4" w:space="0"/>
            </w:tcBorders>
            <w:noWrap w:val="0"/>
            <w:vAlign w:val="bottom"/>
          </w:tcPr>
          <w:p w14:paraId="573E4463">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2000≤Y＜10000</w:t>
            </w:r>
          </w:p>
        </w:tc>
        <w:tc>
          <w:tcPr>
            <w:tcW w:w="1660" w:type="dxa"/>
            <w:tcBorders>
              <w:top w:val="nil"/>
              <w:left w:val="nil"/>
              <w:bottom w:val="single" w:color="auto" w:sz="4" w:space="0"/>
              <w:right w:val="single" w:color="auto" w:sz="8" w:space="0"/>
            </w:tcBorders>
            <w:noWrap w:val="0"/>
            <w:vAlign w:val="bottom"/>
          </w:tcPr>
          <w:p w14:paraId="07EF1567">
            <w:pPr>
              <w:widowControl/>
              <w:jc w:val="left"/>
              <w:rPr>
                <w:rFonts w:ascii="仿宋" w:hAnsi="仿宋" w:eastAsia="仿宋" w:cs="宋体"/>
                <w:kern w:val="0"/>
                <w:sz w:val="20"/>
                <w:szCs w:val="20"/>
                <w:highlight w:val="none"/>
              </w:rPr>
            </w:pPr>
          </w:p>
        </w:tc>
        <w:tc>
          <w:tcPr>
            <w:tcW w:w="1458" w:type="dxa"/>
            <w:tcBorders>
              <w:top w:val="nil"/>
              <w:left w:val="nil"/>
              <w:bottom w:val="single" w:color="auto" w:sz="4" w:space="0"/>
              <w:right w:val="single" w:color="auto" w:sz="4" w:space="0"/>
            </w:tcBorders>
            <w:noWrap w:val="0"/>
            <w:vAlign w:val="bottom"/>
          </w:tcPr>
          <w:p w14:paraId="6555A8B0">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10≤X＜100</w:t>
            </w:r>
          </w:p>
        </w:tc>
        <w:tc>
          <w:tcPr>
            <w:tcW w:w="1636" w:type="dxa"/>
            <w:tcBorders>
              <w:top w:val="nil"/>
              <w:left w:val="nil"/>
              <w:bottom w:val="single" w:color="auto" w:sz="4" w:space="0"/>
              <w:right w:val="single" w:color="auto" w:sz="4" w:space="0"/>
            </w:tcBorders>
            <w:noWrap w:val="0"/>
            <w:vAlign w:val="bottom"/>
          </w:tcPr>
          <w:p w14:paraId="4B68D9C6">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100≤Y＜2000</w:t>
            </w:r>
          </w:p>
        </w:tc>
        <w:tc>
          <w:tcPr>
            <w:tcW w:w="1520" w:type="dxa"/>
            <w:tcBorders>
              <w:top w:val="nil"/>
              <w:left w:val="nil"/>
              <w:bottom w:val="single" w:color="auto" w:sz="4" w:space="0"/>
              <w:right w:val="single" w:color="auto" w:sz="8" w:space="0"/>
            </w:tcBorders>
            <w:noWrap w:val="0"/>
            <w:vAlign w:val="bottom"/>
          </w:tcPr>
          <w:p w14:paraId="4748C422">
            <w:pPr>
              <w:widowControl/>
              <w:jc w:val="left"/>
              <w:rPr>
                <w:rFonts w:ascii="仿宋" w:hAnsi="仿宋" w:eastAsia="仿宋" w:cs="宋体"/>
                <w:kern w:val="0"/>
                <w:sz w:val="20"/>
                <w:szCs w:val="20"/>
                <w:highlight w:val="none"/>
              </w:rPr>
            </w:pPr>
          </w:p>
        </w:tc>
        <w:tc>
          <w:tcPr>
            <w:tcW w:w="1285" w:type="dxa"/>
            <w:tcBorders>
              <w:top w:val="nil"/>
              <w:left w:val="nil"/>
              <w:bottom w:val="single" w:color="auto" w:sz="4" w:space="0"/>
              <w:right w:val="single" w:color="auto" w:sz="4" w:space="0"/>
            </w:tcBorders>
            <w:noWrap w:val="0"/>
            <w:vAlign w:val="bottom"/>
          </w:tcPr>
          <w:p w14:paraId="28F896D4">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X＜10</w:t>
            </w:r>
          </w:p>
        </w:tc>
        <w:tc>
          <w:tcPr>
            <w:tcW w:w="1275" w:type="dxa"/>
            <w:tcBorders>
              <w:top w:val="nil"/>
              <w:left w:val="nil"/>
              <w:bottom w:val="single" w:color="auto" w:sz="4" w:space="0"/>
              <w:right w:val="single" w:color="auto" w:sz="4" w:space="0"/>
            </w:tcBorders>
            <w:noWrap w:val="0"/>
            <w:vAlign w:val="bottom"/>
          </w:tcPr>
          <w:p w14:paraId="6A488744">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Y＜100</w:t>
            </w:r>
          </w:p>
        </w:tc>
        <w:tc>
          <w:tcPr>
            <w:tcW w:w="1221" w:type="dxa"/>
            <w:tcBorders>
              <w:top w:val="nil"/>
              <w:left w:val="nil"/>
              <w:bottom w:val="single" w:color="auto" w:sz="4" w:space="0"/>
              <w:right w:val="single" w:color="auto" w:sz="8" w:space="0"/>
            </w:tcBorders>
            <w:noWrap w:val="0"/>
            <w:vAlign w:val="bottom"/>
          </w:tcPr>
          <w:p w14:paraId="508ABF85">
            <w:pPr>
              <w:widowControl/>
              <w:jc w:val="left"/>
              <w:rPr>
                <w:rFonts w:ascii="仿宋" w:hAnsi="仿宋" w:eastAsia="仿宋" w:cs="宋体"/>
                <w:kern w:val="0"/>
                <w:sz w:val="20"/>
                <w:szCs w:val="20"/>
                <w:highlight w:val="none"/>
              </w:rPr>
            </w:pPr>
          </w:p>
        </w:tc>
      </w:tr>
      <w:tr w14:paraId="2E846A45">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6DD5D19E">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10、餐饮业</w:t>
            </w:r>
          </w:p>
        </w:tc>
        <w:tc>
          <w:tcPr>
            <w:tcW w:w="1498" w:type="dxa"/>
            <w:tcBorders>
              <w:top w:val="nil"/>
              <w:left w:val="nil"/>
              <w:bottom w:val="single" w:color="auto" w:sz="4" w:space="0"/>
              <w:right w:val="single" w:color="auto" w:sz="4" w:space="0"/>
            </w:tcBorders>
            <w:noWrap w:val="0"/>
            <w:vAlign w:val="bottom"/>
          </w:tcPr>
          <w:p w14:paraId="0656C00A">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100≤X＜300</w:t>
            </w:r>
          </w:p>
        </w:tc>
        <w:tc>
          <w:tcPr>
            <w:tcW w:w="1763" w:type="dxa"/>
            <w:tcBorders>
              <w:top w:val="nil"/>
              <w:left w:val="nil"/>
              <w:bottom w:val="single" w:color="auto" w:sz="4" w:space="0"/>
              <w:right w:val="single" w:color="auto" w:sz="4" w:space="0"/>
            </w:tcBorders>
            <w:noWrap w:val="0"/>
            <w:vAlign w:val="bottom"/>
          </w:tcPr>
          <w:p w14:paraId="4605CBA5">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2000≤Y＜10000</w:t>
            </w:r>
          </w:p>
        </w:tc>
        <w:tc>
          <w:tcPr>
            <w:tcW w:w="1660" w:type="dxa"/>
            <w:tcBorders>
              <w:top w:val="nil"/>
              <w:left w:val="nil"/>
              <w:bottom w:val="single" w:color="auto" w:sz="4" w:space="0"/>
              <w:right w:val="single" w:color="auto" w:sz="8" w:space="0"/>
            </w:tcBorders>
            <w:noWrap w:val="0"/>
            <w:vAlign w:val="bottom"/>
          </w:tcPr>
          <w:p w14:paraId="48E416E5">
            <w:pPr>
              <w:widowControl/>
              <w:jc w:val="left"/>
              <w:rPr>
                <w:rFonts w:ascii="仿宋" w:hAnsi="仿宋" w:eastAsia="仿宋" w:cs="宋体"/>
                <w:kern w:val="0"/>
                <w:sz w:val="20"/>
                <w:szCs w:val="20"/>
                <w:highlight w:val="none"/>
              </w:rPr>
            </w:pPr>
          </w:p>
        </w:tc>
        <w:tc>
          <w:tcPr>
            <w:tcW w:w="1458" w:type="dxa"/>
            <w:tcBorders>
              <w:top w:val="nil"/>
              <w:left w:val="nil"/>
              <w:bottom w:val="single" w:color="auto" w:sz="4" w:space="0"/>
              <w:right w:val="single" w:color="auto" w:sz="4" w:space="0"/>
            </w:tcBorders>
            <w:noWrap w:val="0"/>
            <w:vAlign w:val="bottom"/>
          </w:tcPr>
          <w:p w14:paraId="2BF586C5">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10≤X＜100</w:t>
            </w:r>
          </w:p>
        </w:tc>
        <w:tc>
          <w:tcPr>
            <w:tcW w:w="1636" w:type="dxa"/>
            <w:tcBorders>
              <w:top w:val="nil"/>
              <w:left w:val="nil"/>
              <w:bottom w:val="single" w:color="auto" w:sz="4" w:space="0"/>
              <w:right w:val="single" w:color="auto" w:sz="4" w:space="0"/>
            </w:tcBorders>
            <w:noWrap w:val="0"/>
            <w:vAlign w:val="bottom"/>
          </w:tcPr>
          <w:p w14:paraId="30CDE666">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100≤Y＜2000</w:t>
            </w:r>
          </w:p>
        </w:tc>
        <w:tc>
          <w:tcPr>
            <w:tcW w:w="1520" w:type="dxa"/>
            <w:tcBorders>
              <w:top w:val="nil"/>
              <w:left w:val="nil"/>
              <w:bottom w:val="single" w:color="auto" w:sz="4" w:space="0"/>
              <w:right w:val="single" w:color="auto" w:sz="8" w:space="0"/>
            </w:tcBorders>
            <w:noWrap w:val="0"/>
            <w:vAlign w:val="bottom"/>
          </w:tcPr>
          <w:p w14:paraId="285FADD6">
            <w:pPr>
              <w:widowControl/>
              <w:jc w:val="left"/>
              <w:rPr>
                <w:rFonts w:ascii="仿宋" w:hAnsi="仿宋" w:eastAsia="仿宋" w:cs="宋体"/>
                <w:kern w:val="0"/>
                <w:sz w:val="20"/>
                <w:szCs w:val="20"/>
                <w:highlight w:val="none"/>
              </w:rPr>
            </w:pPr>
          </w:p>
        </w:tc>
        <w:tc>
          <w:tcPr>
            <w:tcW w:w="1285" w:type="dxa"/>
            <w:tcBorders>
              <w:top w:val="nil"/>
              <w:left w:val="nil"/>
              <w:bottom w:val="single" w:color="auto" w:sz="4" w:space="0"/>
              <w:right w:val="single" w:color="auto" w:sz="4" w:space="0"/>
            </w:tcBorders>
            <w:noWrap w:val="0"/>
            <w:vAlign w:val="bottom"/>
          </w:tcPr>
          <w:p w14:paraId="4BD1CEE9">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X＜10</w:t>
            </w:r>
          </w:p>
        </w:tc>
        <w:tc>
          <w:tcPr>
            <w:tcW w:w="1275" w:type="dxa"/>
            <w:tcBorders>
              <w:top w:val="nil"/>
              <w:left w:val="nil"/>
              <w:bottom w:val="single" w:color="auto" w:sz="4" w:space="0"/>
              <w:right w:val="single" w:color="auto" w:sz="4" w:space="0"/>
            </w:tcBorders>
            <w:noWrap w:val="0"/>
            <w:vAlign w:val="bottom"/>
          </w:tcPr>
          <w:p w14:paraId="4789E9DE">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V＜100</w:t>
            </w:r>
          </w:p>
        </w:tc>
        <w:tc>
          <w:tcPr>
            <w:tcW w:w="1221" w:type="dxa"/>
            <w:tcBorders>
              <w:top w:val="nil"/>
              <w:left w:val="nil"/>
              <w:bottom w:val="single" w:color="auto" w:sz="4" w:space="0"/>
              <w:right w:val="single" w:color="auto" w:sz="8" w:space="0"/>
            </w:tcBorders>
            <w:noWrap w:val="0"/>
            <w:vAlign w:val="bottom"/>
          </w:tcPr>
          <w:p w14:paraId="68FA70D0">
            <w:pPr>
              <w:widowControl/>
              <w:jc w:val="left"/>
              <w:rPr>
                <w:rFonts w:ascii="仿宋" w:hAnsi="仿宋" w:eastAsia="仿宋" w:cs="宋体"/>
                <w:kern w:val="0"/>
                <w:sz w:val="20"/>
                <w:szCs w:val="20"/>
                <w:highlight w:val="none"/>
              </w:rPr>
            </w:pPr>
          </w:p>
        </w:tc>
      </w:tr>
      <w:tr w14:paraId="3F18C91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743057D0">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11、信息传输业</w:t>
            </w:r>
          </w:p>
        </w:tc>
        <w:tc>
          <w:tcPr>
            <w:tcW w:w="1498" w:type="dxa"/>
            <w:tcBorders>
              <w:top w:val="nil"/>
              <w:left w:val="nil"/>
              <w:bottom w:val="single" w:color="auto" w:sz="4" w:space="0"/>
              <w:right w:val="single" w:color="auto" w:sz="4" w:space="0"/>
            </w:tcBorders>
            <w:noWrap w:val="0"/>
            <w:vAlign w:val="bottom"/>
          </w:tcPr>
          <w:p w14:paraId="5DCB9A98">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100≤X＜2000</w:t>
            </w:r>
          </w:p>
        </w:tc>
        <w:tc>
          <w:tcPr>
            <w:tcW w:w="1763" w:type="dxa"/>
            <w:tcBorders>
              <w:top w:val="nil"/>
              <w:left w:val="nil"/>
              <w:bottom w:val="single" w:color="auto" w:sz="4" w:space="0"/>
              <w:right w:val="single" w:color="auto" w:sz="4" w:space="0"/>
            </w:tcBorders>
            <w:noWrap w:val="0"/>
            <w:vAlign w:val="bottom"/>
          </w:tcPr>
          <w:p w14:paraId="7D58FEEA">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1000≤Y＜100000</w:t>
            </w:r>
          </w:p>
        </w:tc>
        <w:tc>
          <w:tcPr>
            <w:tcW w:w="1660" w:type="dxa"/>
            <w:tcBorders>
              <w:top w:val="nil"/>
              <w:left w:val="nil"/>
              <w:bottom w:val="single" w:color="auto" w:sz="4" w:space="0"/>
              <w:right w:val="single" w:color="auto" w:sz="8" w:space="0"/>
            </w:tcBorders>
            <w:noWrap w:val="0"/>
            <w:vAlign w:val="bottom"/>
          </w:tcPr>
          <w:p w14:paraId="119A9695">
            <w:pPr>
              <w:widowControl/>
              <w:jc w:val="left"/>
              <w:rPr>
                <w:rFonts w:ascii="仿宋" w:hAnsi="仿宋" w:eastAsia="仿宋" w:cs="宋体"/>
                <w:kern w:val="0"/>
                <w:sz w:val="20"/>
                <w:szCs w:val="20"/>
                <w:highlight w:val="none"/>
              </w:rPr>
            </w:pPr>
          </w:p>
        </w:tc>
        <w:tc>
          <w:tcPr>
            <w:tcW w:w="1458" w:type="dxa"/>
            <w:tcBorders>
              <w:top w:val="nil"/>
              <w:left w:val="nil"/>
              <w:bottom w:val="single" w:color="auto" w:sz="4" w:space="0"/>
              <w:right w:val="single" w:color="auto" w:sz="4" w:space="0"/>
            </w:tcBorders>
            <w:noWrap w:val="0"/>
            <w:vAlign w:val="bottom"/>
          </w:tcPr>
          <w:p w14:paraId="78AEF56E">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10≤X＜100</w:t>
            </w:r>
          </w:p>
        </w:tc>
        <w:tc>
          <w:tcPr>
            <w:tcW w:w="1636" w:type="dxa"/>
            <w:tcBorders>
              <w:top w:val="nil"/>
              <w:left w:val="nil"/>
              <w:bottom w:val="single" w:color="auto" w:sz="4" w:space="0"/>
              <w:right w:val="single" w:color="auto" w:sz="4" w:space="0"/>
            </w:tcBorders>
            <w:noWrap w:val="0"/>
            <w:vAlign w:val="bottom"/>
          </w:tcPr>
          <w:p w14:paraId="5DEBA80A">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100≤Y＜1000</w:t>
            </w:r>
          </w:p>
        </w:tc>
        <w:tc>
          <w:tcPr>
            <w:tcW w:w="1520" w:type="dxa"/>
            <w:tcBorders>
              <w:top w:val="nil"/>
              <w:left w:val="nil"/>
              <w:bottom w:val="single" w:color="auto" w:sz="4" w:space="0"/>
              <w:right w:val="single" w:color="auto" w:sz="8" w:space="0"/>
            </w:tcBorders>
            <w:noWrap w:val="0"/>
            <w:vAlign w:val="bottom"/>
          </w:tcPr>
          <w:p w14:paraId="318B16AF">
            <w:pPr>
              <w:widowControl/>
              <w:jc w:val="left"/>
              <w:rPr>
                <w:rFonts w:ascii="仿宋" w:hAnsi="仿宋" w:eastAsia="仿宋" w:cs="宋体"/>
                <w:kern w:val="0"/>
                <w:sz w:val="20"/>
                <w:szCs w:val="20"/>
                <w:highlight w:val="none"/>
              </w:rPr>
            </w:pPr>
          </w:p>
        </w:tc>
        <w:tc>
          <w:tcPr>
            <w:tcW w:w="1285" w:type="dxa"/>
            <w:tcBorders>
              <w:top w:val="nil"/>
              <w:left w:val="nil"/>
              <w:bottom w:val="single" w:color="auto" w:sz="4" w:space="0"/>
              <w:right w:val="single" w:color="auto" w:sz="4" w:space="0"/>
            </w:tcBorders>
            <w:noWrap w:val="0"/>
            <w:vAlign w:val="bottom"/>
          </w:tcPr>
          <w:p w14:paraId="1B0155A0">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X＜10</w:t>
            </w:r>
          </w:p>
        </w:tc>
        <w:tc>
          <w:tcPr>
            <w:tcW w:w="1275" w:type="dxa"/>
            <w:tcBorders>
              <w:top w:val="nil"/>
              <w:left w:val="nil"/>
              <w:bottom w:val="single" w:color="auto" w:sz="4" w:space="0"/>
              <w:right w:val="single" w:color="auto" w:sz="4" w:space="0"/>
            </w:tcBorders>
            <w:noWrap w:val="0"/>
            <w:vAlign w:val="bottom"/>
          </w:tcPr>
          <w:p w14:paraId="75B21F6B">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Y＜100</w:t>
            </w:r>
          </w:p>
        </w:tc>
        <w:tc>
          <w:tcPr>
            <w:tcW w:w="1221" w:type="dxa"/>
            <w:tcBorders>
              <w:top w:val="nil"/>
              <w:left w:val="nil"/>
              <w:bottom w:val="single" w:color="auto" w:sz="4" w:space="0"/>
              <w:right w:val="single" w:color="auto" w:sz="8" w:space="0"/>
            </w:tcBorders>
            <w:noWrap w:val="0"/>
            <w:vAlign w:val="bottom"/>
          </w:tcPr>
          <w:p w14:paraId="48454DEB">
            <w:pPr>
              <w:widowControl/>
              <w:jc w:val="left"/>
              <w:rPr>
                <w:rFonts w:ascii="仿宋" w:hAnsi="仿宋" w:eastAsia="仿宋" w:cs="宋体"/>
                <w:kern w:val="0"/>
                <w:sz w:val="20"/>
                <w:szCs w:val="20"/>
                <w:highlight w:val="none"/>
              </w:rPr>
            </w:pPr>
          </w:p>
        </w:tc>
      </w:tr>
      <w:tr w14:paraId="73725E89">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52A86A7C">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12、软件和信息技术服务业</w:t>
            </w:r>
          </w:p>
        </w:tc>
        <w:tc>
          <w:tcPr>
            <w:tcW w:w="1498" w:type="dxa"/>
            <w:tcBorders>
              <w:top w:val="nil"/>
              <w:left w:val="nil"/>
              <w:bottom w:val="single" w:color="auto" w:sz="4" w:space="0"/>
              <w:right w:val="single" w:color="auto" w:sz="4" w:space="0"/>
            </w:tcBorders>
            <w:noWrap w:val="0"/>
            <w:vAlign w:val="bottom"/>
          </w:tcPr>
          <w:p w14:paraId="313C147E">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100≤X＜300</w:t>
            </w:r>
          </w:p>
        </w:tc>
        <w:tc>
          <w:tcPr>
            <w:tcW w:w="1763" w:type="dxa"/>
            <w:tcBorders>
              <w:top w:val="nil"/>
              <w:left w:val="nil"/>
              <w:bottom w:val="single" w:color="auto" w:sz="4" w:space="0"/>
              <w:right w:val="single" w:color="auto" w:sz="4" w:space="0"/>
            </w:tcBorders>
            <w:noWrap w:val="0"/>
            <w:vAlign w:val="bottom"/>
          </w:tcPr>
          <w:p w14:paraId="226710E9">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1000≤Y＜10000</w:t>
            </w:r>
          </w:p>
        </w:tc>
        <w:tc>
          <w:tcPr>
            <w:tcW w:w="1660" w:type="dxa"/>
            <w:tcBorders>
              <w:top w:val="nil"/>
              <w:left w:val="nil"/>
              <w:bottom w:val="single" w:color="auto" w:sz="4" w:space="0"/>
              <w:right w:val="single" w:color="auto" w:sz="8" w:space="0"/>
            </w:tcBorders>
            <w:noWrap w:val="0"/>
            <w:vAlign w:val="bottom"/>
          </w:tcPr>
          <w:p w14:paraId="2FCF57C2">
            <w:pPr>
              <w:widowControl/>
              <w:jc w:val="left"/>
              <w:rPr>
                <w:rFonts w:ascii="仿宋" w:hAnsi="仿宋" w:eastAsia="仿宋" w:cs="宋体"/>
                <w:kern w:val="0"/>
                <w:sz w:val="20"/>
                <w:szCs w:val="20"/>
                <w:highlight w:val="none"/>
              </w:rPr>
            </w:pPr>
          </w:p>
        </w:tc>
        <w:tc>
          <w:tcPr>
            <w:tcW w:w="1458" w:type="dxa"/>
            <w:tcBorders>
              <w:top w:val="nil"/>
              <w:left w:val="nil"/>
              <w:bottom w:val="single" w:color="auto" w:sz="4" w:space="0"/>
              <w:right w:val="single" w:color="auto" w:sz="4" w:space="0"/>
            </w:tcBorders>
            <w:noWrap w:val="0"/>
            <w:vAlign w:val="bottom"/>
          </w:tcPr>
          <w:p w14:paraId="34725B06">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10≤X＜100</w:t>
            </w:r>
          </w:p>
        </w:tc>
        <w:tc>
          <w:tcPr>
            <w:tcW w:w="1636" w:type="dxa"/>
            <w:tcBorders>
              <w:top w:val="nil"/>
              <w:left w:val="nil"/>
              <w:bottom w:val="single" w:color="auto" w:sz="4" w:space="0"/>
              <w:right w:val="single" w:color="auto" w:sz="4" w:space="0"/>
            </w:tcBorders>
            <w:noWrap w:val="0"/>
            <w:vAlign w:val="bottom"/>
          </w:tcPr>
          <w:p w14:paraId="22970E52">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50≤Y＜1000</w:t>
            </w:r>
          </w:p>
        </w:tc>
        <w:tc>
          <w:tcPr>
            <w:tcW w:w="1520" w:type="dxa"/>
            <w:tcBorders>
              <w:top w:val="nil"/>
              <w:left w:val="nil"/>
              <w:bottom w:val="single" w:color="auto" w:sz="4" w:space="0"/>
              <w:right w:val="single" w:color="auto" w:sz="8" w:space="0"/>
            </w:tcBorders>
            <w:noWrap w:val="0"/>
            <w:vAlign w:val="bottom"/>
          </w:tcPr>
          <w:p w14:paraId="00A75C31">
            <w:pPr>
              <w:widowControl/>
              <w:jc w:val="left"/>
              <w:rPr>
                <w:rFonts w:ascii="仿宋" w:hAnsi="仿宋" w:eastAsia="仿宋" w:cs="宋体"/>
                <w:kern w:val="0"/>
                <w:sz w:val="20"/>
                <w:szCs w:val="20"/>
                <w:highlight w:val="none"/>
              </w:rPr>
            </w:pPr>
          </w:p>
        </w:tc>
        <w:tc>
          <w:tcPr>
            <w:tcW w:w="1285" w:type="dxa"/>
            <w:tcBorders>
              <w:top w:val="nil"/>
              <w:left w:val="nil"/>
              <w:bottom w:val="single" w:color="auto" w:sz="4" w:space="0"/>
              <w:right w:val="single" w:color="auto" w:sz="4" w:space="0"/>
            </w:tcBorders>
            <w:noWrap w:val="0"/>
            <w:vAlign w:val="bottom"/>
          </w:tcPr>
          <w:p w14:paraId="4741544D">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X＜10</w:t>
            </w:r>
          </w:p>
        </w:tc>
        <w:tc>
          <w:tcPr>
            <w:tcW w:w="1275" w:type="dxa"/>
            <w:tcBorders>
              <w:top w:val="nil"/>
              <w:left w:val="nil"/>
              <w:bottom w:val="single" w:color="auto" w:sz="4" w:space="0"/>
              <w:right w:val="single" w:color="auto" w:sz="4" w:space="0"/>
            </w:tcBorders>
            <w:noWrap w:val="0"/>
            <w:vAlign w:val="bottom"/>
          </w:tcPr>
          <w:p w14:paraId="0D11C47C">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Y＜50</w:t>
            </w:r>
          </w:p>
        </w:tc>
        <w:tc>
          <w:tcPr>
            <w:tcW w:w="1221" w:type="dxa"/>
            <w:tcBorders>
              <w:top w:val="nil"/>
              <w:left w:val="nil"/>
              <w:bottom w:val="single" w:color="auto" w:sz="4" w:space="0"/>
              <w:right w:val="single" w:color="auto" w:sz="8" w:space="0"/>
            </w:tcBorders>
            <w:noWrap w:val="0"/>
            <w:vAlign w:val="bottom"/>
          </w:tcPr>
          <w:p w14:paraId="4B3534FB">
            <w:pPr>
              <w:widowControl/>
              <w:jc w:val="left"/>
              <w:rPr>
                <w:rFonts w:ascii="仿宋" w:hAnsi="仿宋" w:eastAsia="仿宋" w:cs="宋体"/>
                <w:kern w:val="0"/>
                <w:sz w:val="20"/>
                <w:szCs w:val="20"/>
                <w:highlight w:val="none"/>
              </w:rPr>
            </w:pPr>
          </w:p>
        </w:tc>
      </w:tr>
      <w:tr w14:paraId="081AFFB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2C97DF52">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13、房地产开发经营</w:t>
            </w:r>
          </w:p>
        </w:tc>
        <w:tc>
          <w:tcPr>
            <w:tcW w:w="1498" w:type="dxa"/>
            <w:tcBorders>
              <w:top w:val="nil"/>
              <w:left w:val="nil"/>
              <w:bottom w:val="single" w:color="auto" w:sz="4" w:space="0"/>
              <w:right w:val="single" w:color="auto" w:sz="4" w:space="0"/>
            </w:tcBorders>
            <w:noWrap w:val="0"/>
            <w:vAlign w:val="bottom"/>
          </w:tcPr>
          <w:p w14:paraId="53BD958C">
            <w:pPr>
              <w:widowControl/>
              <w:jc w:val="left"/>
              <w:rPr>
                <w:rFonts w:ascii="仿宋" w:hAnsi="仿宋" w:eastAsia="仿宋" w:cs="宋体"/>
                <w:kern w:val="0"/>
                <w:sz w:val="20"/>
                <w:szCs w:val="20"/>
                <w:highlight w:val="none"/>
              </w:rPr>
            </w:pPr>
          </w:p>
        </w:tc>
        <w:tc>
          <w:tcPr>
            <w:tcW w:w="1763" w:type="dxa"/>
            <w:tcBorders>
              <w:top w:val="nil"/>
              <w:left w:val="nil"/>
              <w:bottom w:val="single" w:color="auto" w:sz="4" w:space="0"/>
              <w:right w:val="single" w:color="auto" w:sz="4" w:space="0"/>
            </w:tcBorders>
            <w:noWrap w:val="0"/>
            <w:vAlign w:val="bottom"/>
          </w:tcPr>
          <w:p w14:paraId="1BDBF124">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1000≤Y＜200000</w:t>
            </w:r>
          </w:p>
        </w:tc>
        <w:tc>
          <w:tcPr>
            <w:tcW w:w="1660" w:type="dxa"/>
            <w:tcBorders>
              <w:top w:val="nil"/>
              <w:left w:val="nil"/>
              <w:bottom w:val="single" w:color="auto" w:sz="4" w:space="0"/>
              <w:right w:val="single" w:color="auto" w:sz="8" w:space="0"/>
            </w:tcBorders>
            <w:noWrap w:val="0"/>
            <w:vAlign w:val="bottom"/>
          </w:tcPr>
          <w:p w14:paraId="3B0C3B7B">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5000≤Z＜10000</w:t>
            </w:r>
          </w:p>
        </w:tc>
        <w:tc>
          <w:tcPr>
            <w:tcW w:w="1458" w:type="dxa"/>
            <w:tcBorders>
              <w:top w:val="nil"/>
              <w:left w:val="nil"/>
              <w:bottom w:val="single" w:color="auto" w:sz="4" w:space="0"/>
              <w:right w:val="single" w:color="auto" w:sz="4" w:space="0"/>
            </w:tcBorders>
            <w:noWrap w:val="0"/>
            <w:vAlign w:val="bottom"/>
          </w:tcPr>
          <w:p w14:paraId="7EEA23E4">
            <w:pPr>
              <w:widowControl/>
              <w:jc w:val="left"/>
              <w:rPr>
                <w:rFonts w:ascii="仿宋" w:hAnsi="仿宋" w:eastAsia="仿宋" w:cs="宋体"/>
                <w:kern w:val="0"/>
                <w:sz w:val="20"/>
                <w:szCs w:val="20"/>
                <w:highlight w:val="none"/>
              </w:rPr>
            </w:pPr>
          </w:p>
        </w:tc>
        <w:tc>
          <w:tcPr>
            <w:tcW w:w="1636" w:type="dxa"/>
            <w:tcBorders>
              <w:top w:val="nil"/>
              <w:left w:val="nil"/>
              <w:bottom w:val="single" w:color="auto" w:sz="4" w:space="0"/>
              <w:right w:val="single" w:color="auto" w:sz="4" w:space="0"/>
            </w:tcBorders>
            <w:noWrap w:val="0"/>
            <w:vAlign w:val="bottom"/>
          </w:tcPr>
          <w:p w14:paraId="472353DC">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100≤Y＜1000</w:t>
            </w:r>
          </w:p>
        </w:tc>
        <w:tc>
          <w:tcPr>
            <w:tcW w:w="1520" w:type="dxa"/>
            <w:tcBorders>
              <w:top w:val="nil"/>
              <w:left w:val="nil"/>
              <w:bottom w:val="single" w:color="auto" w:sz="4" w:space="0"/>
              <w:right w:val="single" w:color="auto" w:sz="8" w:space="0"/>
            </w:tcBorders>
            <w:noWrap w:val="0"/>
            <w:vAlign w:val="bottom"/>
          </w:tcPr>
          <w:p w14:paraId="06D9B22A">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2000≤Z＜5000</w:t>
            </w:r>
          </w:p>
        </w:tc>
        <w:tc>
          <w:tcPr>
            <w:tcW w:w="1285" w:type="dxa"/>
            <w:tcBorders>
              <w:top w:val="nil"/>
              <w:left w:val="nil"/>
              <w:bottom w:val="single" w:color="auto" w:sz="4" w:space="0"/>
              <w:right w:val="single" w:color="auto" w:sz="4" w:space="0"/>
            </w:tcBorders>
            <w:noWrap w:val="0"/>
            <w:vAlign w:val="bottom"/>
          </w:tcPr>
          <w:p w14:paraId="76085C98">
            <w:pPr>
              <w:widowControl/>
              <w:jc w:val="left"/>
              <w:rPr>
                <w:rFonts w:ascii="仿宋" w:hAnsi="仿宋" w:eastAsia="仿宋" w:cs="宋体"/>
                <w:kern w:val="0"/>
                <w:sz w:val="20"/>
                <w:szCs w:val="20"/>
                <w:highlight w:val="none"/>
              </w:rPr>
            </w:pPr>
          </w:p>
        </w:tc>
        <w:tc>
          <w:tcPr>
            <w:tcW w:w="1275" w:type="dxa"/>
            <w:tcBorders>
              <w:top w:val="nil"/>
              <w:left w:val="nil"/>
              <w:bottom w:val="single" w:color="auto" w:sz="4" w:space="0"/>
              <w:right w:val="single" w:color="auto" w:sz="4" w:space="0"/>
            </w:tcBorders>
            <w:noWrap w:val="0"/>
            <w:vAlign w:val="bottom"/>
          </w:tcPr>
          <w:p w14:paraId="51135B2D">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Y＜100</w:t>
            </w:r>
          </w:p>
        </w:tc>
        <w:tc>
          <w:tcPr>
            <w:tcW w:w="1221" w:type="dxa"/>
            <w:tcBorders>
              <w:top w:val="nil"/>
              <w:left w:val="nil"/>
              <w:bottom w:val="single" w:color="auto" w:sz="4" w:space="0"/>
              <w:right w:val="single" w:color="auto" w:sz="8" w:space="0"/>
            </w:tcBorders>
            <w:noWrap w:val="0"/>
            <w:vAlign w:val="bottom"/>
          </w:tcPr>
          <w:p w14:paraId="486BC86B">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Z＜2000</w:t>
            </w:r>
          </w:p>
        </w:tc>
      </w:tr>
      <w:tr w14:paraId="1352D0E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6AA5839F">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14、物业管理</w:t>
            </w:r>
          </w:p>
        </w:tc>
        <w:tc>
          <w:tcPr>
            <w:tcW w:w="1498" w:type="dxa"/>
            <w:tcBorders>
              <w:top w:val="nil"/>
              <w:left w:val="nil"/>
              <w:bottom w:val="single" w:color="auto" w:sz="4" w:space="0"/>
              <w:right w:val="single" w:color="auto" w:sz="4" w:space="0"/>
            </w:tcBorders>
            <w:noWrap w:val="0"/>
            <w:vAlign w:val="bottom"/>
          </w:tcPr>
          <w:p w14:paraId="044C6CCF">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300≤X＜1000</w:t>
            </w:r>
          </w:p>
        </w:tc>
        <w:tc>
          <w:tcPr>
            <w:tcW w:w="1763" w:type="dxa"/>
            <w:tcBorders>
              <w:top w:val="nil"/>
              <w:left w:val="nil"/>
              <w:bottom w:val="single" w:color="auto" w:sz="4" w:space="0"/>
              <w:right w:val="single" w:color="auto" w:sz="4" w:space="0"/>
            </w:tcBorders>
            <w:noWrap w:val="0"/>
            <w:vAlign w:val="bottom"/>
          </w:tcPr>
          <w:p w14:paraId="27BECA67">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1000≤Y＜5000</w:t>
            </w:r>
          </w:p>
        </w:tc>
        <w:tc>
          <w:tcPr>
            <w:tcW w:w="1660" w:type="dxa"/>
            <w:tcBorders>
              <w:top w:val="nil"/>
              <w:left w:val="nil"/>
              <w:bottom w:val="single" w:color="auto" w:sz="4" w:space="0"/>
              <w:right w:val="single" w:color="auto" w:sz="8" w:space="0"/>
            </w:tcBorders>
            <w:noWrap w:val="0"/>
            <w:vAlign w:val="bottom"/>
          </w:tcPr>
          <w:p w14:paraId="17C860D6">
            <w:pPr>
              <w:widowControl/>
              <w:jc w:val="left"/>
              <w:rPr>
                <w:rFonts w:ascii="仿宋" w:hAnsi="仿宋" w:eastAsia="仿宋" w:cs="宋体"/>
                <w:kern w:val="0"/>
                <w:sz w:val="20"/>
                <w:szCs w:val="20"/>
                <w:highlight w:val="none"/>
              </w:rPr>
            </w:pPr>
          </w:p>
        </w:tc>
        <w:tc>
          <w:tcPr>
            <w:tcW w:w="1458" w:type="dxa"/>
            <w:tcBorders>
              <w:top w:val="nil"/>
              <w:left w:val="nil"/>
              <w:bottom w:val="single" w:color="auto" w:sz="4" w:space="0"/>
              <w:right w:val="single" w:color="auto" w:sz="4" w:space="0"/>
            </w:tcBorders>
            <w:noWrap w:val="0"/>
            <w:vAlign w:val="bottom"/>
          </w:tcPr>
          <w:p w14:paraId="68FBB950">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100≤X＜300</w:t>
            </w:r>
          </w:p>
        </w:tc>
        <w:tc>
          <w:tcPr>
            <w:tcW w:w="1636" w:type="dxa"/>
            <w:tcBorders>
              <w:top w:val="nil"/>
              <w:left w:val="nil"/>
              <w:bottom w:val="single" w:color="auto" w:sz="4" w:space="0"/>
              <w:right w:val="single" w:color="auto" w:sz="4" w:space="0"/>
            </w:tcBorders>
            <w:noWrap w:val="0"/>
            <w:vAlign w:val="bottom"/>
          </w:tcPr>
          <w:p w14:paraId="3AAE15EE">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500≤Y＜1000</w:t>
            </w:r>
          </w:p>
        </w:tc>
        <w:tc>
          <w:tcPr>
            <w:tcW w:w="1520" w:type="dxa"/>
            <w:tcBorders>
              <w:top w:val="nil"/>
              <w:left w:val="nil"/>
              <w:bottom w:val="single" w:color="auto" w:sz="4" w:space="0"/>
              <w:right w:val="single" w:color="auto" w:sz="8" w:space="0"/>
            </w:tcBorders>
            <w:noWrap w:val="0"/>
            <w:vAlign w:val="bottom"/>
          </w:tcPr>
          <w:p w14:paraId="13D3EBB5">
            <w:pPr>
              <w:widowControl/>
              <w:jc w:val="left"/>
              <w:rPr>
                <w:rFonts w:ascii="仿宋" w:hAnsi="仿宋" w:eastAsia="仿宋" w:cs="宋体"/>
                <w:kern w:val="0"/>
                <w:sz w:val="20"/>
                <w:szCs w:val="20"/>
                <w:highlight w:val="none"/>
              </w:rPr>
            </w:pPr>
          </w:p>
        </w:tc>
        <w:tc>
          <w:tcPr>
            <w:tcW w:w="1285" w:type="dxa"/>
            <w:tcBorders>
              <w:top w:val="nil"/>
              <w:left w:val="nil"/>
              <w:bottom w:val="single" w:color="auto" w:sz="4" w:space="0"/>
              <w:right w:val="single" w:color="auto" w:sz="4" w:space="0"/>
            </w:tcBorders>
            <w:noWrap w:val="0"/>
            <w:vAlign w:val="bottom"/>
          </w:tcPr>
          <w:p w14:paraId="25FDF3E3">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X＜100</w:t>
            </w:r>
          </w:p>
        </w:tc>
        <w:tc>
          <w:tcPr>
            <w:tcW w:w="1275" w:type="dxa"/>
            <w:tcBorders>
              <w:top w:val="nil"/>
              <w:left w:val="nil"/>
              <w:bottom w:val="single" w:color="auto" w:sz="4" w:space="0"/>
              <w:right w:val="single" w:color="auto" w:sz="4" w:space="0"/>
            </w:tcBorders>
            <w:noWrap w:val="0"/>
            <w:vAlign w:val="bottom"/>
          </w:tcPr>
          <w:p w14:paraId="682BCB49">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Y＜500</w:t>
            </w:r>
          </w:p>
        </w:tc>
        <w:tc>
          <w:tcPr>
            <w:tcW w:w="1221" w:type="dxa"/>
            <w:tcBorders>
              <w:top w:val="nil"/>
              <w:left w:val="nil"/>
              <w:bottom w:val="single" w:color="auto" w:sz="4" w:space="0"/>
              <w:right w:val="single" w:color="auto" w:sz="8" w:space="0"/>
            </w:tcBorders>
            <w:noWrap w:val="0"/>
            <w:vAlign w:val="bottom"/>
          </w:tcPr>
          <w:p w14:paraId="778425AD">
            <w:pPr>
              <w:widowControl/>
              <w:jc w:val="left"/>
              <w:rPr>
                <w:rFonts w:ascii="仿宋" w:hAnsi="仿宋" w:eastAsia="仿宋" w:cs="宋体"/>
                <w:kern w:val="0"/>
                <w:sz w:val="20"/>
                <w:szCs w:val="20"/>
                <w:highlight w:val="none"/>
              </w:rPr>
            </w:pPr>
          </w:p>
        </w:tc>
      </w:tr>
      <w:tr w14:paraId="2D869B7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133B8D55">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15、租赁和商务服务业</w:t>
            </w:r>
          </w:p>
        </w:tc>
        <w:tc>
          <w:tcPr>
            <w:tcW w:w="1498" w:type="dxa"/>
            <w:tcBorders>
              <w:top w:val="nil"/>
              <w:left w:val="nil"/>
              <w:bottom w:val="single" w:color="auto" w:sz="4" w:space="0"/>
              <w:right w:val="single" w:color="auto" w:sz="4" w:space="0"/>
            </w:tcBorders>
            <w:noWrap w:val="0"/>
            <w:vAlign w:val="bottom"/>
          </w:tcPr>
          <w:p w14:paraId="6A789D93">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100≤X＜300</w:t>
            </w:r>
          </w:p>
        </w:tc>
        <w:tc>
          <w:tcPr>
            <w:tcW w:w="1763" w:type="dxa"/>
            <w:tcBorders>
              <w:top w:val="nil"/>
              <w:left w:val="nil"/>
              <w:bottom w:val="single" w:color="auto" w:sz="4" w:space="0"/>
              <w:right w:val="single" w:color="auto" w:sz="4" w:space="0"/>
            </w:tcBorders>
            <w:noWrap w:val="0"/>
            <w:vAlign w:val="bottom"/>
          </w:tcPr>
          <w:p w14:paraId="00FC134A">
            <w:pPr>
              <w:widowControl/>
              <w:jc w:val="left"/>
              <w:rPr>
                <w:rFonts w:ascii="仿宋" w:hAnsi="仿宋" w:eastAsia="仿宋" w:cs="宋体"/>
                <w:kern w:val="0"/>
                <w:sz w:val="20"/>
                <w:szCs w:val="20"/>
                <w:highlight w:val="none"/>
              </w:rPr>
            </w:pPr>
          </w:p>
        </w:tc>
        <w:tc>
          <w:tcPr>
            <w:tcW w:w="1660" w:type="dxa"/>
            <w:tcBorders>
              <w:top w:val="nil"/>
              <w:left w:val="nil"/>
              <w:bottom w:val="single" w:color="auto" w:sz="4" w:space="0"/>
              <w:right w:val="single" w:color="auto" w:sz="8" w:space="0"/>
            </w:tcBorders>
            <w:noWrap w:val="0"/>
            <w:vAlign w:val="bottom"/>
          </w:tcPr>
          <w:p w14:paraId="3DBC070A">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8000≤Z＜120000</w:t>
            </w:r>
          </w:p>
        </w:tc>
        <w:tc>
          <w:tcPr>
            <w:tcW w:w="1458" w:type="dxa"/>
            <w:tcBorders>
              <w:top w:val="nil"/>
              <w:left w:val="nil"/>
              <w:bottom w:val="single" w:color="auto" w:sz="4" w:space="0"/>
              <w:right w:val="single" w:color="auto" w:sz="4" w:space="0"/>
            </w:tcBorders>
            <w:noWrap w:val="0"/>
            <w:vAlign w:val="bottom"/>
          </w:tcPr>
          <w:p w14:paraId="2F54A676">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10≤X＜100</w:t>
            </w:r>
          </w:p>
        </w:tc>
        <w:tc>
          <w:tcPr>
            <w:tcW w:w="1636" w:type="dxa"/>
            <w:tcBorders>
              <w:top w:val="nil"/>
              <w:left w:val="nil"/>
              <w:bottom w:val="single" w:color="auto" w:sz="4" w:space="0"/>
              <w:right w:val="single" w:color="auto" w:sz="4" w:space="0"/>
            </w:tcBorders>
            <w:noWrap w:val="0"/>
            <w:vAlign w:val="bottom"/>
          </w:tcPr>
          <w:p w14:paraId="4DC61FB7">
            <w:pPr>
              <w:widowControl/>
              <w:jc w:val="left"/>
              <w:rPr>
                <w:rFonts w:ascii="仿宋" w:hAnsi="仿宋" w:eastAsia="仿宋" w:cs="宋体"/>
                <w:kern w:val="0"/>
                <w:sz w:val="20"/>
                <w:szCs w:val="20"/>
                <w:highlight w:val="none"/>
              </w:rPr>
            </w:pPr>
          </w:p>
        </w:tc>
        <w:tc>
          <w:tcPr>
            <w:tcW w:w="1520" w:type="dxa"/>
            <w:tcBorders>
              <w:top w:val="nil"/>
              <w:left w:val="nil"/>
              <w:bottom w:val="single" w:color="auto" w:sz="4" w:space="0"/>
              <w:right w:val="single" w:color="auto" w:sz="8" w:space="0"/>
            </w:tcBorders>
            <w:noWrap w:val="0"/>
            <w:vAlign w:val="bottom"/>
          </w:tcPr>
          <w:p w14:paraId="365D2BA6">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100≤Z＜8000</w:t>
            </w:r>
          </w:p>
        </w:tc>
        <w:tc>
          <w:tcPr>
            <w:tcW w:w="1285" w:type="dxa"/>
            <w:tcBorders>
              <w:top w:val="nil"/>
              <w:left w:val="nil"/>
              <w:bottom w:val="single" w:color="auto" w:sz="4" w:space="0"/>
              <w:right w:val="single" w:color="auto" w:sz="4" w:space="0"/>
            </w:tcBorders>
            <w:noWrap w:val="0"/>
            <w:vAlign w:val="bottom"/>
          </w:tcPr>
          <w:p w14:paraId="254702EB">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X＜10</w:t>
            </w:r>
          </w:p>
        </w:tc>
        <w:tc>
          <w:tcPr>
            <w:tcW w:w="1275" w:type="dxa"/>
            <w:tcBorders>
              <w:top w:val="nil"/>
              <w:left w:val="nil"/>
              <w:bottom w:val="single" w:color="auto" w:sz="4" w:space="0"/>
              <w:right w:val="single" w:color="auto" w:sz="4" w:space="0"/>
            </w:tcBorders>
            <w:noWrap w:val="0"/>
            <w:vAlign w:val="bottom"/>
          </w:tcPr>
          <w:p w14:paraId="098B9630">
            <w:pPr>
              <w:widowControl/>
              <w:jc w:val="left"/>
              <w:rPr>
                <w:rFonts w:ascii="仿宋" w:hAnsi="仿宋" w:eastAsia="仿宋" w:cs="宋体"/>
                <w:kern w:val="0"/>
                <w:sz w:val="20"/>
                <w:szCs w:val="20"/>
                <w:highlight w:val="none"/>
              </w:rPr>
            </w:pPr>
          </w:p>
        </w:tc>
        <w:tc>
          <w:tcPr>
            <w:tcW w:w="1221" w:type="dxa"/>
            <w:tcBorders>
              <w:top w:val="nil"/>
              <w:left w:val="nil"/>
              <w:bottom w:val="single" w:color="auto" w:sz="4" w:space="0"/>
              <w:right w:val="single" w:color="auto" w:sz="8" w:space="0"/>
            </w:tcBorders>
            <w:noWrap w:val="0"/>
            <w:vAlign w:val="bottom"/>
          </w:tcPr>
          <w:p w14:paraId="1998381D">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Z＜100</w:t>
            </w:r>
          </w:p>
        </w:tc>
      </w:tr>
      <w:tr w14:paraId="171E8EB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noWrap w:val="0"/>
            <w:vAlign w:val="bottom"/>
          </w:tcPr>
          <w:p w14:paraId="6F6AEFC5">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16、其他未列明行业</w:t>
            </w:r>
          </w:p>
        </w:tc>
        <w:tc>
          <w:tcPr>
            <w:tcW w:w="1498" w:type="dxa"/>
            <w:tcBorders>
              <w:top w:val="nil"/>
              <w:left w:val="nil"/>
              <w:bottom w:val="single" w:color="auto" w:sz="8" w:space="0"/>
              <w:right w:val="single" w:color="auto" w:sz="4" w:space="0"/>
            </w:tcBorders>
            <w:noWrap w:val="0"/>
            <w:vAlign w:val="bottom"/>
          </w:tcPr>
          <w:p w14:paraId="0C118467">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100≤X＜300</w:t>
            </w:r>
          </w:p>
        </w:tc>
        <w:tc>
          <w:tcPr>
            <w:tcW w:w="1763" w:type="dxa"/>
            <w:tcBorders>
              <w:top w:val="nil"/>
              <w:left w:val="nil"/>
              <w:bottom w:val="single" w:color="auto" w:sz="8" w:space="0"/>
              <w:right w:val="single" w:color="auto" w:sz="4" w:space="0"/>
            </w:tcBorders>
            <w:noWrap w:val="0"/>
            <w:vAlign w:val="bottom"/>
          </w:tcPr>
          <w:p w14:paraId="730A4ED2">
            <w:pPr>
              <w:widowControl/>
              <w:jc w:val="left"/>
              <w:rPr>
                <w:rFonts w:ascii="仿宋" w:hAnsi="仿宋" w:eastAsia="仿宋" w:cs="宋体"/>
                <w:kern w:val="0"/>
                <w:sz w:val="20"/>
                <w:szCs w:val="20"/>
                <w:highlight w:val="none"/>
              </w:rPr>
            </w:pPr>
          </w:p>
        </w:tc>
        <w:tc>
          <w:tcPr>
            <w:tcW w:w="1660" w:type="dxa"/>
            <w:tcBorders>
              <w:top w:val="nil"/>
              <w:left w:val="nil"/>
              <w:bottom w:val="single" w:color="auto" w:sz="8" w:space="0"/>
              <w:right w:val="single" w:color="auto" w:sz="8" w:space="0"/>
            </w:tcBorders>
            <w:noWrap w:val="0"/>
            <w:vAlign w:val="bottom"/>
          </w:tcPr>
          <w:p w14:paraId="1BC4599C">
            <w:pPr>
              <w:widowControl/>
              <w:jc w:val="left"/>
              <w:rPr>
                <w:rFonts w:ascii="仿宋" w:hAnsi="仿宋" w:eastAsia="仿宋" w:cs="宋体"/>
                <w:kern w:val="0"/>
                <w:sz w:val="20"/>
                <w:szCs w:val="20"/>
                <w:highlight w:val="none"/>
              </w:rPr>
            </w:pPr>
          </w:p>
        </w:tc>
        <w:tc>
          <w:tcPr>
            <w:tcW w:w="1458" w:type="dxa"/>
            <w:tcBorders>
              <w:top w:val="nil"/>
              <w:left w:val="nil"/>
              <w:bottom w:val="single" w:color="auto" w:sz="8" w:space="0"/>
              <w:right w:val="single" w:color="auto" w:sz="4" w:space="0"/>
            </w:tcBorders>
            <w:noWrap w:val="0"/>
            <w:vAlign w:val="bottom"/>
          </w:tcPr>
          <w:p w14:paraId="5A2E9612">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10≤X＜100</w:t>
            </w:r>
          </w:p>
        </w:tc>
        <w:tc>
          <w:tcPr>
            <w:tcW w:w="1636" w:type="dxa"/>
            <w:tcBorders>
              <w:top w:val="nil"/>
              <w:left w:val="nil"/>
              <w:bottom w:val="single" w:color="auto" w:sz="8" w:space="0"/>
              <w:right w:val="single" w:color="auto" w:sz="4" w:space="0"/>
            </w:tcBorders>
            <w:noWrap w:val="0"/>
            <w:vAlign w:val="bottom"/>
          </w:tcPr>
          <w:p w14:paraId="40AFD4F2">
            <w:pPr>
              <w:widowControl/>
              <w:jc w:val="left"/>
              <w:rPr>
                <w:rFonts w:ascii="仿宋" w:hAnsi="仿宋" w:eastAsia="仿宋" w:cs="宋体"/>
                <w:kern w:val="0"/>
                <w:sz w:val="20"/>
                <w:szCs w:val="20"/>
                <w:highlight w:val="none"/>
              </w:rPr>
            </w:pPr>
          </w:p>
        </w:tc>
        <w:tc>
          <w:tcPr>
            <w:tcW w:w="1520" w:type="dxa"/>
            <w:tcBorders>
              <w:top w:val="nil"/>
              <w:left w:val="nil"/>
              <w:bottom w:val="single" w:color="auto" w:sz="8" w:space="0"/>
              <w:right w:val="single" w:color="auto" w:sz="8" w:space="0"/>
            </w:tcBorders>
            <w:noWrap w:val="0"/>
            <w:vAlign w:val="bottom"/>
          </w:tcPr>
          <w:p w14:paraId="6604BE84">
            <w:pPr>
              <w:widowControl/>
              <w:jc w:val="left"/>
              <w:rPr>
                <w:rFonts w:ascii="仿宋" w:hAnsi="仿宋" w:eastAsia="仿宋" w:cs="宋体"/>
                <w:kern w:val="0"/>
                <w:sz w:val="20"/>
                <w:szCs w:val="20"/>
                <w:highlight w:val="none"/>
              </w:rPr>
            </w:pPr>
          </w:p>
        </w:tc>
        <w:tc>
          <w:tcPr>
            <w:tcW w:w="1285" w:type="dxa"/>
            <w:tcBorders>
              <w:top w:val="nil"/>
              <w:left w:val="nil"/>
              <w:bottom w:val="single" w:color="auto" w:sz="8" w:space="0"/>
              <w:right w:val="single" w:color="auto" w:sz="4" w:space="0"/>
            </w:tcBorders>
            <w:noWrap w:val="0"/>
            <w:vAlign w:val="bottom"/>
          </w:tcPr>
          <w:p w14:paraId="0419C3C5">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X＜10</w:t>
            </w:r>
          </w:p>
        </w:tc>
        <w:tc>
          <w:tcPr>
            <w:tcW w:w="1275" w:type="dxa"/>
            <w:tcBorders>
              <w:top w:val="nil"/>
              <w:left w:val="nil"/>
              <w:bottom w:val="single" w:color="auto" w:sz="8" w:space="0"/>
              <w:right w:val="single" w:color="auto" w:sz="4" w:space="0"/>
            </w:tcBorders>
            <w:noWrap w:val="0"/>
            <w:vAlign w:val="bottom"/>
          </w:tcPr>
          <w:p w14:paraId="3BA7F380">
            <w:pPr>
              <w:widowControl/>
              <w:jc w:val="left"/>
              <w:rPr>
                <w:rFonts w:ascii="仿宋" w:hAnsi="仿宋" w:eastAsia="仿宋" w:cs="宋体"/>
                <w:kern w:val="0"/>
                <w:sz w:val="20"/>
                <w:szCs w:val="20"/>
                <w:highlight w:val="none"/>
              </w:rPr>
            </w:pPr>
          </w:p>
        </w:tc>
        <w:tc>
          <w:tcPr>
            <w:tcW w:w="1221" w:type="dxa"/>
            <w:tcBorders>
              <w:top w:val="nil"/>
              <w:left w:val="nil"/>
              <w:bottom w:val="single" w:color="auto" w:sz="8" w:space="0"/>
              <w:right w:val="single" w:color="auto" w:sz="8" w:space="0"/>
            </w:tcBorders>
            <w:noWrap w:val="0"/>
            <w:vAlign w:val="bottom"/>
          </w:tcPr>
          <w:p w14:paraId="13B385C5">
            <w:pPr>
              <w:widowControl/>
              <w:jc w:val="left"/>
              <w:rPr>
                <w:rFonts w:ascii="仿宋" w:hAnsi="仿宋" w:eastAsia="仿宋" w:cs="宋体"/>
                <w:kern w:val="0"/>
                <w:sz w:val="20"/>
                <w:szCs w:val="20"/>
                <w:highlight w:val="none"/>
              </w:rPr>
            </w:pPr>
          </w:p>
        </w:tc>
      </w:tr>
    </w:tbl>
    <w:p w14:paraId="6C5E01B3">
      <w:pPr>
        <w:widowControl/>
        <w:jc w:val="left"/>
        <w:rPr>
          <w:rFonts w:hint="eastAsia" w:ascii="仿宋" w:hAnsi="仿宋" w:eastAsia="仿宋" w:cs="仿宋"/>
          <w:kern w:val="0"/>
          <w:sz w:val="20"/>
          <w:highlight w:val="none"/>
        </w:rPr>
      </w:pPr>
      <w:r>
        <w:rPr>
          <w:rFonts w:hint="eastAsia" w:ascii="仿宋" w:hAnsi="仿宋" w:eastAsia="仿宋" w:cs="仿宋"/>
          <w:kern w:val="0"/>
          <w:sz w:val="20"/>
          <w:highlight w:val="none"/>
        </w:rPr>
        <w:t>说明：1、企业类型的划分以统计部门的统计数据为依据。</w:t>
      </w:r>
    </w:p>
    <w:p w14:paraId="2F71FC33">
      <w:pPr>
        <w:widowControl/>
        <w:numPr>
          <w:ilvl w:val="0"/>
          <w:numId w:val="5"/>
        </w:numPr>
        <w:ind w:firstLine="600" w:firstLineChars="300"/>
        <w:jc w:val="left"/>
        <w:rPr>
          <w:rFonts w:hint="eastAsia" w:ascii="仿宋" w:hAnsi="仿宋" w:eastAsia="仿宋" w:cs="仿宋"/>
          <w:kern w:val="0"/>
          <w:sz w:val="20"/>
          <w:highlight w:val="none"/>
        </w:rPr>
      </w:pPr>
      <w:r>
        <w:rPr>
          <w:rFonts w:hint="eastAsia" w:ascii="仿宋" w:hAnsi="仿宋" w:eastAsia="仿宋" w:cs="仿宋"/>
          <w:kern w:val="0"/>
          <w:sz w:val="20"/>
          <w:highlight w:val="none"/>
        </w:rPr>
        <w:t>个体工商户和本规定以外的行业，参照本规定进行划型。</w:t>
      </w:r>
    </w:p>
    <w:p w14:paraId="18EC93F9">
      <w:pPr>
        <w:widowControl/>
        <w:ind w:firstLine="600" w:firstLineChars="300"/>
        <w:jc w:val="left"/>
        <w:rPr>
          <w:rFonts w:hint="eastAsia" w:ascii="仿宋" w:hAnsi="仿宋" w:eastAsia="仿宋" w:cs="仿宋"/>
          <w:kern w:val="0"/>
          <w:sz w:val="20"/>
          <w:highlight w:val="none"/>
        </w:rPr>
      </w:pPr>
      <w:r>
        <w:rPr>
          <w:rFonts w:hint="eastAsia" w:ascii="仿宋" w:hAnsi="仿宋" w:eastAsia="仿宋" w:cs="仿宋"/>
          <w:kern w:val="0"/>
          <w:sz w:val="20"/>
          <w:highlight w:val="none"/>
        </w:rPr>
        <w:t>3、本规定的中型企业标准上限即为大型企业标准的下限。</w:t>
      </w:r>
    </w:p>
    <w:p w14:paraId="4B8EB6E4">
      <w:pPr>
        <w:pStyle w:val="28"/>
        <w:ind w:firstLine="560"/>
        <w:rPr>
          <w:rFonts w:hint="eastAsia" w:ascii="仿宋" w:hAnsi="仿宋" w:eastAsia="仿宋" w:cs="仿宋"/>
          <w:highlight w:val="none"/>
        </w:rPr>
        <w:sectPr>
          <w:footerReference r:id="rId5" w:type="first"/>
          <w:footerReference r:id="rId4" w:type="default"/>
          <w:pgSz w:w="16838" w:h="11906" w:orient="landscape"/>
          <w:pgMar w:top="1622" w:right="1418" w:bottom="1287" w:left="1134" w:header="624" w:footer="624" w:gutter="0"/>
          <w:cols w:space="720" w:num="1"/>
          <w:titlePg/>
          <w:docGrid w:linePitch="321" w:charSpace="0"/>
        </w:sectPr>
      </w:pPr>
    </w:p>
    <w:p w14:paraId="5A03E846">
      <w:pPr>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残疾人福利性单位声明函</w:t>
      </w:r>
    </w:p>
    <w:p w14:paraId="35610B1D">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488BF49">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本单位对上述声明的真实性负责。如有虚假，将依法承担相应责任。</w:t>
      </w:r>
    </w:p>
    <w:p w14:paraId="751C9D61">
      <w:pPr>
        <w:spacing w:line="360" w:lineRule="auto"/>
        <w:ind w:firstLine="480" w:firstLineChars="200"/>
        <w:rPr>
          <w:rFonts w:hint="eastAsia" w:ascii="仿宋" w:hAnsi="仿宋" w:eastAsia="仿宋"/>
          <w:sz w:val="24"/>
          <w:highlight w:val="none"/>
        </w:rPr>
      </w:pPr>
    </w:p>
    <w:p w14:paraId="054207A5">
      <w:pPr>
        <w:spacing w:line="360" w:lineRule="auto"/>
        <w:ind w:firstLine="480" w:firstLineChars="200"/>
        <w:rPr>
          <w:rFonts w:hint="eastAsia" w:ascii="仿宋" w:hAnsi="仿宋" w:eastAsia="仿宋"/>
          <w:sz w:val="24"/>
          <w:highlight w:val="none"/>
        </w:rPr>
      </w:pPr>
    </w:p>
    <w:p w14:paraId="698C138C">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法定代表人（负责人）或其授权委托人（签名或印章）：</w:t>
      </w:r>
    </w:p>
    <w:p w14:paraId="3C5B4E0C">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投标人（盖章）：</w:t>
      </w:r>
    </w:p>
    <w:p w14:paraId="6FBABBE2">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日期：</w:t>
      </w:r>
    </w:p>
    <w:p w14:paraId="22E8D6B9">
      <w:pPr>
        <w:spacing w:line="360" w:lineRule="auto"/>
        <w:ind w:firstLine="643" w:firstLineChars="200"/>
        <w:jc w:val="left"/>
        <w:rPr>
          <w:rFonts w:hint="eastAsia" w:ascii="仿宋" w:hAnsi="仿宋" w:eastAsia="仿宋" w:cs="仿宋"/>
          <w:b/>
          <w:sz w:val="32"/>
          <w:szCs w:val="32"/>
          <w:highlight w:val="none"/>
        </w:rPr>
      </w:pPr>
    </w:p>
    <w:p w14:paraId="057CD2F4">
      <w:pPr>
        <w:pStyle w:val="28"/>
        <w:ind w:firstLine="560"/>
        <w:jc w:val="left"/>
        <w:rPr>
          <w:rFonts w:hint="eastAsia"/>
          <w:highlight w:val="none"/>
        </w:rPr>
      </w:pPr>
    </w:p>
    <w:p w14:paraId="4C72C669">
      <w:pPr>
        <w:pStyle w:val="28"/>
        <w:ind w:firstLine="560"/>
        <w:jc w:val="left"/>
        <w:rPr>
          <w:rFonts w:hint="eastAsia"/>
          <w:highlight w:val="none"/>
        </w:rPr>
      </w:pPr>
    </w:p>
    <w:p w14:paraId="4CEB261B">
      <w:pPr>
        <w:pStyle w:val="28"/>
        <w:ind w:firstLine="560"/>
        <w:rPr>
          <w:rFonts w:hint="eastAsia"/>
          <w:highlight w:val="none"/>
        </w:rPr>
      </w:pPr>
    </w:p>
    <w:p w14:paraId="51F133DB">
      <w:pPr>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r>
        <w:rPr>
          <w:rFonts w:hint="eastAsia" w:ascii="仿宋" w:hAnsi="仿宋" w:eastAsia="仿宋" w:cs="仿宋"/>
          <w:b/>
          <w:kern w:val="0"/>
          <w:sz w:val="32"/>
          <w:szCs w:val="32"/>
          <w:highlight w:val="none"/>
          <w:lang w:val="zh-CN"/>
        </w:rPr>
        <w:t>联合协议（</w:t>
      </w:r>
      <w:r>
        <w:rPr>
          <w:rFonts w:hint="eastAsia" w:ascii="仿宋" w:hAnsi="仿宋" w:eastAsia="仿宋" w:cs="仿宋"/>
          <w:b/>
          <w:kern w:val="0"/>
          <w:sz w:val="32"/>
          <w:szCs w:val="32"/>
          <w:highlight w:val="none"/>
          <w:lang w:val="en-US" w:eastAsia="zh-CN"/>
        </w:rPr>
        <w:t>本项目不适用</w:t>
      </w:r>
      <w:r>
        <w:rPr>
          <w:rFonts w:hint="eastAsia" w:ascii="仿宋" w:hAnsi="仿宋" w:eastAsia="仿宋" w:cs="仿宋"/>
          <w:b/>
          <w:kern w:val="0"/>
          <w:sz w:val="32"/>
          <w:szCs w:val="32"/>
          <w:highlight w:val="none"/>
          <w:lang w:val="zh-CN"/>
        </w:rPr>
        <w:t>）</w:t>
      </w:r>
    </w:p>
    <w:p w14:paraId="258DF6D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w:t>
      </w:r>
      <w:r>
        <w:rPr>
          <w:rFonts w:hint="eastAsia" w:ascii="仿宋" w:hAnsi="仿宋" w:eastAsia="仿宋" w:cs="仿宋"/>
          <w:i/>
          <w:kern w:val="0"/>
          <w:sz w:val="24"/>
          <w:highlight w:val="none"/>
          <w:u w:val="single"/>
        </w:rPr>
        <w:t>联合体所有成员名称</w:t>
      </w:r>
      <w:r>
        <w:rPr>
          <w:rFonts w:hint="eastAsia" w:ascii="仿宋" w:hAnsi="仿宋" w:eastAsia="仿宋" w:cs="仿宋"/>
          <w:kern w:val="0"/>
          <w:sz w:val="24"/>
          <w:highlight w:val="none"/>
          <w:u w:val="single"/>
        </w:rPr>
        <w:t>）</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sz w:val="24"/>
          <w:highlight w:val="none"/>
          <w:u w:val="single"/>
          <w:lang w:eastAsia="zh-CN"/>
        </w:rPr>
        <w:t>北仑中学、顾国和外国语学校高中部2025年教师疗休养服务采购项目</w:t>
      </w:r>
      <w:r>
        <w:rPr>
          <w:rFonts w:hint="eastAsia" w:ascii="仿宋" w:hAnsi="仿宋" w:eastAsia="仿宋" w:cs="仿宋"/>
          <w:sz w:val="24"/>
          <w:highlight w:val="none"/>
        </w:rPr>
        <w:t>【招标编号：</w:t>
      </w:r>
      <w:r>
        <w:rPr>
          <w:rFonts w:hint="eastAsia" w:ascii="仿宋" w:hAnsi="仿宋" w:eastAsia="仿宋" w:cs="仿宋"/>
          <w:sz w:val="24"/>
          <w:highlight w:val="none"/>
          <w:lang w:eastAsia="zh-CN"/>
        </w:rPr>
        <w:t>NBYS2025145G</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投标。</w:t>
      </w:r>
    </w:p>
    <w:p w14:paraId="131DD0F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w:t>
      </w:r>
      <w:r>
        <w:rPr>
          <w:rFonts w:hint="eastAsia" w:ascii="仿宋" w:hAnsi="仿宋" w:eastAsia="仿宋" w:cs="仿宋"/>
          <w:i/>
          <w:kern w:val="0"/>
          <w:sz w:val="24"/>
          <w:highlight w:val="none"/>
          <w:u w:val="single"/>
        </w:rPr>
        <w:t>某联合体成员名称</w:t>
      </w:r>
      <w:r>
        <w:rPr>
          <w:rFonts w:hint="eastAsia" w:ascii="仿宋" w:hAnsi="仿宋" w:eastAsia="仿宋" w:cs="仿宋"/>
          <w:kern w:val="0"/>
          <w:sz w:val="24"/>
          <w:highlight w:val="none"/>
          <w:u w:val="single"/>
        </w:rPr>
        <w:t>）</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14:paraId="3EA0F58F">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授权代表根据招标文件规定及投标内容而对采购人、采购代理机构所作的任何合法承诺，包括书面澄清及相应等均对联合投标各方产生约束力。</w:t>
      </w:r>
    </w:p>
    <w:p w14:paraId="6BC5BEF1">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p>
    <w:p w14:paraId="7A30202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w:t>
      </w:r>
      <w:r>
        <w:rPr>
          <w:rFonts w:hint="eastAsia" w:ascii="仿宋" w:hAnsi="仿宋" w:eastAsia="仿宋" w:cs="仿宋"/>
          <w:i/>
          <w:kern w:val="0"/>
          <w:sz w:val="24"/>
          <w:highlight w:val="none"/>
          <w:u w:val="single"/>
        </w:rPr>
        <w:t>联合体其中一方成员名称</w:t>
      </w:r>
      <w:r>
        <w:rPr>
          <w:rFonts w:hint="eastAsia" w:ascii="仿宋" w:hAnsi="仿宋" w:eastAsia="仿宋" w:cs="仿宋"/>
          <w:kern w:val="0"/>
          <w:sz w:val="24"/>
          <w:highlight w:val="none"/>
          <w:u w:val="single"/>
        </w:rPr>
        <w:t>）</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39DDD4CC">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w:t>
      </w:r>
      <w:r>
        <w:rPr>
          <w:rFonts w:hint="eastAsia" w:ascii="仿宋" w:hAnsi="仿宋" w:eastAsia="仿宋" w:cs="仿宋"/>
          <w:i/>
          <w:kern w:val="0"/>
          <w:sz w:val="24"/>
          <w:highlight w:val="none"/>
          <w:u w:val="single"/>
        </w:rPr>
        <w:t>联合体其中一方成员名称</w:t>
      </w:r>
      <w:r>
        <w:rPr>
          <w:rFonts w:hint="eastAsia" w:ascii="仿宋" w:hAnsi="仿宋" w:eastAsia="仿宋" w:cs="仿宋"/>
          <w:kern w:val="0"/>
          <w:sz w:val="24"/>
          <w:highlight w:val="none"/>
          <w:u w:val="single"/>
        </w:rPr>
        <w:t>）</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 xml:space="preserve"> ；</w:t>
      </w:r>
    </w:p>
    <w:p w14:paraId="418BFF8D">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w:t>
      </w:r>
    </w:p>
    <w:p w14:paraId="6C22CF3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w:t>
      </w: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p>
    <w:p w14:paraId="3F3D0CC9">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14:paraId="133CDC9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14:paraId="440A98D6">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14:paraId="1E524005">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14:paraId="33B9429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14:paraId="4A0187D8">
      <w:pPr>
        <w:snapToGrid w:val="0"/>
        <w:spacing w:line="360" w:lineRule="auto"/>
        <w:ind w:firstLine="3240" w:firstLineChars="1350"/>
        <w:rPr>
          <w:rFonts w:hint="eastAsia" w:ascii="仿宋" w:hAnsi="仿宋" w:eastAsia="仿宋" w:cs="仿宋"/>
          <w:kern w:val="0"/>
          <w:sz w:val="24"/>
          <w:highlight w:val="none"/>
          <w:lang w:val="zh-CN"/>
        </w:rPr>
      </w:pPr>
    </w:p>
    <w:p w14:paraId="0DDB5160">
      <w:pPr>
        <w:snapToGrid w:val="0"/>
        <w:spacing w:line="360" w:lineRule="auto"/>
        <w:ind w:firstLine="3240" w:firstLineChars="135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5B7B36C4">
      <w:pPr>
        <w:snapToGrid w:val="0"/>
        <w:spacing w:line="360" w:lineRule="auto"/>
        <w:ind w:firstLine="3240" w:firstLineChars="135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5915B315">
      <w:pPr>
        <w:snapToGrid w:val="0"/>
        <w:spacing w:line="360" w:lineRule="auto"/>
        <w:ind w:firstLine="3240" w:firstLineChars="135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183DE5DE">
      <w:pPr>
        <w:spacing w:line="360" w:lineRule="auto"/>
        <w:jc w:val="center"/>
        <w:rPr>
          <w:rFonts w:hint="eastAsia" w:ascii="仿宋" w:hAnsi="仿宋" w:eastAsia="仿宋" w:cs="仿宋"/>
          <w:b/>
          <w:kern w:val="0"/>
          <w:sz w:val="32"/>
          <w:szCs w:val="32"/>
          <w:highlight w:val="none"/>
          <w:lang w:val="zh-CN"/>
        </w:rPr>
      </w:pPr>
      <w:r>
        <w:rPr>
          <w:rFonts w:ascii="仿宋" w:hAnsi="仿宋" w:eastAsia="仿宋" w:cs="仿宋"/>
          <w:b/>
          <w:sz w:val="24"/>
          <w:highlight w:val="none"/>
        </w:rPr>
        <w:br w:type="page"/>
      </w:r>
      <w:r>
        <w:rPr>
          <w:rFonts w:hint="eastAsia" w:ascii="仿宋" w:hAnsi="仿宋" w:eastAsia="仿宋" w:cs="仿宋"/>
          <w:b/>
          <w:kern w:val="0"/>
          <w:sz w:val="32"/>
          <w:szCs w:val="32"/>
          <w:highlight w:val="none"/>
          <w:lang w:val="zh-CN"/>
        </w:rPr>
        <w:t>分包意向协议</w:t>
      </w:r>
    </w:p>
    <w:p w14:paraId="4DB719AF">
      <w:pPr>
        <w:widowControl/>
        <w:spacing w:line="360" w:lineRule="auto"/>
        <w:ind w:firstLine="120" w:firstLineChars="50"/>
        <w:jc w:val="cente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14:paraId="748B8DA6">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w:t>
      </w:r>
      <w:r>
        <w:rPr>
          <w:rFonts w:hint="eastAsia" w:ascii="仿宋" w:hAnsi="仿宋" w:eastAsia="仿宋" w:cs="仿宋"/>
          <w:i/>
          <w:kern w:val="0"/>
          <w:sz w:val="24"/>
          <w:highlight w:val="none"/>
          <w:u w:val="single"/>
        </w:rPr>
        <w:t>投标人名称</w:t>
      </w:r>
      <w:r>
        <w:rPr>
          <w:rFonts w:hint="eastAsia" w:ascii="仿宋" w:hAnsi="仿宋" w:eastAsia="仿宋" w:cs="仿宋"/>
          <w:kern w:val="0"/>
          <w:sz w:val="24"/>
          <w:highlight w:val="none"/>
          <w:u w:val="single"/>
        </w:rPr>
        <w:t>）</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u w:val="single"/>
          <w:lang w:eastAsia="zh-CN"/>
        </w:rPr>
        <w:t>北仑中学、顾国和外国语学校高中部2025年教师疗休养服务采购项目</w:t>
      </w:r>
      <w:r>
        <w:rPr>
          <w:rFonts w:hint="eastAsia" w:ascii="仿宋" w:hAnsi="仿宋" w:eastAsia="仿宋" w:cs="仿宋"/>
          <w:sz w:val="24"/>
          <w:highlight w:val="none"/>
        </w:rPr>
        <w:t>【招标编号：</w:t>
      </w:r>
      <w:r>
        <w:rPr>
          <w:rFonts w:hint="eastAsia" w:ascii="仿宋" w:hAnsi="仿宋" w:eastAsia="仿宋" w:cs="仿宋"/>
          <w:sz w:val="24"/>
          <w:highlight w:val="none"/>
          <w:lang w:eastAsia="zh-CN"/>
        </w:rPr>
        <w:t>NBYS2025145G</w:t>
      </w:r>
      <w:r>
        <w:rPr>
          <w:rFonts w:hint="eastAsia" w:ascii="仿宋" w:hAnsi="仿宋" w:eastAsia="仿宋" w:cs="仿宋"/>
          <w:sz w:val="24"/>
          <w:highlight w:val="none"/>
        </w:rPr>
        <w:t>】</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w:t>
      </w:r>
      <w:r>
        <w:rPr>
          <w:rFonts w:hint="eastAsia" w:ascii="仿宋" w:hAnsi="仿宋" w:eastAsia="仿宋" w:cs="仿宋"/>
          <w:i/>
          <w:kern w:val="0"/>
          <w:sz w:val="24"/>
          <w:highlight w:val="none"/>
          <w:u w:val="single"/>
        </w:rPr>
        <w:t>投标人名称</w:t>
      </w:r>
      <w:r>
        <w:rPr>
          <w:rFonts w:hint="eastAsia" w:ascii="仿宋" w:hAnsi="仿宋" w:eastAsia="仿宋" w:cs="仿宋"/>
          <w:kern w:val="0"/>
          <w:sz w:val="24"/>
          <w:highlight w:val="none"/>
          <w:u w:val="single"/>
        </w:rPr>
        <w:t>）</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w:t>
      </w:r>
      <w:r>
        <w:rPr>
          <w:rFonts w:hint="eastAsia" w:ascii="仿宋" w:hAnsi="仿宋" w:eastAsia="仿宋" w:cs="仿宋"/>
          <w:i/>
          <w:kern w:val="0"/>
          <w:sz w:val="24"/>
          <w:highlight w:val="none"/>
          <w:u w:val="single"/>
        </w:rPr>
        <w:t>所有分包供应商名称</w:t>
      </w:r>
      <w:r>
        <w:rPr>
          <w:rFonts w:hint="eastAsia" w:ascii="仿宋" w:hAnsi="仿宋" w:eastAsia="仿宋" w:cs="仿宋"/>
          <w:kern w:val="0"/>
          <w:sz w:val="24"/>
          <w:highlight w:val="none"/>
          <w:u w:val="single"/>
        </w:rPr>
        <w:t>）</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w:t>
      </w:r>
    </w:p>
    <w:p w14:paraId="3CBD8A6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30D83BB9">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w:t>
      </w:r>
      <w:r>
        <w:rPr>
          <w:rFonts w:hint="eastAsia" w:ascii="仿宋" w:hAnsi="仿宋" w:eastAsia="仿宋" w:cs="仿宋"/>
          <w:i/>
          <w:kern w:val="0"/>
          <w:sz w:val="24"/>
          <w:highlight w:val="none"/>
          <w:u w:val="single"/>
        </w:rPr>
        <w:t>投标人名称</w:t>
      </w:r>
      <w:r>
        <w:rPr>
          <w:rFonts w:hint="eastAsia" w:ascii="仿宋" w:hAnsi="仿宋" w:eastAsia="仿宋" w:cs="仿宋"/>
          <w:kern w:val="0"/>
          <w:sz w:val="24"/>
          <w:highlight w:val="none"/>
          <w:u w:val="single"/>
        </w:rPr>
        <w:t>）</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w:t>
      </w:r>
      <w:r>
        <w:rPr>
          <w:rFonts w:hint="eastAsia" w:ascii="仿宋" w:hAnsi="仿宋" w:eastAsia="仿宋" w:cs="仿宋"/>
          <w:i/>
          <w:kern w:val="0"/>
          <w:sz w:val="24"/>
          <w:highlight w:val="none"/>
          <w:u w:val="single"/>
        </w:rPr>
        <w:t>某分包供应商名称</w:t>
      </w:r>
      <w:r>
        <w:rPr>
          <w:rFonts w:hint="eastAsia" w:ascii="仿宋" w:hAnsi="仿宋" w:eastAsia="仿宋" w:cs="仿宋"/>
          <w:kern w:val="0"/>
          <w:sz w:val="24"/>
          <w:highlight w:val="none"/>
          <w:u w:val="single"/>
        </w:rPr>
        <w:t>）</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w:t>
      </w:r>
      <w:r>
        <w:rPr>
          <w:rFonts w:hint="eastAsia" w:ascii="仿宋" w:hAnsi="仿宋" w:eastAsia="仿宋" w:cs="仿宋"/>
          <w:i/>
          <w:kern w:val="0"/>
          <w:sz w:val="24"/>
          <w:highlight w:val="none"/>
          <w:u w:val="single"/>
        </w:rPr>
        <w:t>某分包供应商名称</w:t>
      </w:r>
      <w:r>
        <w:rPr>
          <w:rFonts w:hint="eastAsia" w:ascii="仿宋" w:hAnsi="仿宋" w:eastAsia="仿宋" w:cs="仿宋"/>
          <w:kern w:val="0"/>
          <w:sz w:val="24"/>
          <w:highlight w:val="none"/>
          <w:u w:val="single"/>
        </w:rPr>
        <w:t>），</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highlight w:val="none"/>
          <w:u w:val="single"/>
        </w:rPr>
        <w:t xml:space="preserve">   XX工作内容   </w:t>
      </w:r>
      <w:r>
        <w:rPr>
          <w:rFonts w:hint="eastAsia" w:ascii="仿宋" w:hAnsi="仿宋" w:eastAsia="仿宋" w:cs="仿宋"/>
          <w:kern w:val="0"/>
          <w:sz w:val="24"/>
          <w:highlight w:val="none"/>
          <w:lang w:val="zh-CN"/>
        </w:rPr>
        <w:t>相应资质条件且不得再次分包；</w:t>
      </w:r>
    </w:p>
    <w:p w14:paraId="24299023">
      <w:pPr>
        <w:tabs>
          <w:tab w:val="left" w:pos="432"/>
        </w:tabs>
        <w:spacing w:line="360" w:lineRule="auto"/>
        <w:ind w:left="664" w:leftChars="316" w:firstLine="228" w:firstLineChars="95"/>
        <w:rPr>
          <w:rFonts w:hint="eastAsia" w:ascii="仿宋" w:hAnsi="仿宋" w:eastAsia="仿宋" w:cs="仿宋"/>
          <w:highlight w:val="none"/>
        </w:rPr>
      </w:pPr>
      <w:r>
        <w:rPr>
          <w:rFonts w:hint="eastAsia" w:ascii="仿宋" w:hAnsi="仿宋" w:eastAsia="仿宋" w:cs="仿宋"/>
          <w:kern w:val="0"/>
          <w:sz w:val="24"/>
          <w:highlight w:val="none"/>
        </w:rPr>
        <w:t>……</w:t>
      </w:r>
    </w:p>
    <w:p w14:paraId="762C8933">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二、分包工作履行期限、地点、方式</w:t>
      </w:r>
    </w:p>
    <w:p w14:paraId="7892D97E">
      <w:pPr>
        <w:snapToGrid w:val="0"/>
        <w:spacing w:line="36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7EDFF3CE">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三、质量</w:t>
      </w:r>
    </w:p>
    <w:p w14:paraId="613B5F31">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32008E4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四、价款或者报酬</w:t>
      </w:r>
    </w:p>
    <w:p w14:paraId="5427B377">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7398DB60">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五、违约责任</w:t>
      </w:r>
    </w:p>
    <w:p w14:paraId="6CB2F3E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17151FD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六、争议解决的办法</w:t>
      </w:r>
    </w:p>
    <w:p w14:paraId="15E657E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3787669D">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七、其他</w:t>
      </w:r>
    </w:p>
    <w:p w14:paraId="60ADF7F1">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p>
    <w:p w14:paraId="214ED2C5">
      <w:pPr>
        <w:pStyle w:val="28"/>
        <w:ind w:firstLine="560"/>
        <w:rPr>
          <w:rFonts w:hint="eastAsia"/>
          <w:highlight w:val="none"/>
          <w:lang w:val="zh-CN"/>
        </w:rPr>
      </w:pPr>
    </w:p>
    <w:p w14:paraId="2AA6B118">
      <w:pPr>
        <w:pStyle w:val="28"/>
        <w:ind w:firstLine="560"/>
        <w:rPr>
          <w:rFonts w:hint="eastAsia"/>
          <w:highlight w:val="none"/>
          <w:lang w:val="zh-CN"/>
        </w:rPr>
      </w:pPr>
    </w:p>
    <w:p w14:paraId="3E3CC6F1">
      <w:pPr>
        <w:snapToGrid w:val="0"/>
        <w:spacing w:line="360" w:lineRule="auto"/>
        <w:ind w:left="5880" w:leftChars="28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投标人名称(电子签名)：</w:t>
      </w:r>
    </w:p>
    <w:p w14:paraId="24F02CDF">
      <w:pPr>
        <w:snapToGrid w:val="0"/>
        <w:spacing w:line="360" w:lineRule="auto"/>
        <w:ind w:left="5880" w:leftChars="28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w:t>
      </w:r>
    </w:p>
    <w:p w14:paraId="5247B36A">
      <w:pPr>
        <w:snapToGrid w:val="0"/>
        <w:spacing w:line="360" w:lineRule="auto"/>
        <w:ind w:left="5880" w:leftChars="28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423F5EEA">
      <w:pPr>
        <w:spacing w:line="360" w:lineRule="auto"/>
        <w:ind w:left="5880" w:leftChars="2800"/>
        <w:rPr>
          <w:rFonts w:hint="eastAsia" w:ascii="仿宋" w:hAnsi="仿宋" w:eastAsia="仿宋" w:cs="仿宋"/>
          <w:b/>
          <w:kern w:val="0"/>
          <w:sz w:val="32"/>
          <w:szCs w:val="32"/>
          <w:highlight w:val="none"/>
        </w:rPr>
      </w:pPr>
      <w:r>
        <w:rPr>
          <w:rFonts w:hint="eastAsia" w:ascii="仿宋" w:hAnsi="仿宋" w:eastAsia="仿宋" w:cs="仿宋"/>
          <w:kern w:val="0"/>
          <w:sz w:val="24"/>
          <w:highlight w:val="none"/>
          <w:lang w:val="zh-CN"/>
        </w:rPr>
        <w:t>日期：  年  月   日</w:t>
      </w:r>
    </w:p>
    <w:p w14:paraId="60CF94CA">
      <w:pPr>
        <w:widowControl/>
        <w:spacing w:line="360" w:lineRule="auto"/>
        <w:ind w:left="15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r>
        <w:rPr>
          <w:rFonts w:hint="eastAsia" w:ascii="仿宋" w:hAnsi="仿宋" w:eastAsia="仿宋" w:cs="仿宋"/>
          <w:b/>
          <w:kern w:val="0"/>
          <w:sz w:val="32"/>
          <w:szCs w:val="32"/>
          <w:highlight w:val="none"/>
        </w:rPr>
        <w:t>三、本项目的特定资格要求</w:t>
      </w:r>
    </w:p>
    <w:p w14:paraId="08EACA57">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14:paraId="7680162A">
      <w:pPr>
        <w:pStyle w:val="28"/>
        <w:ind w:firstLine="560"/>
        <w:rPr>
          <w:rFonts w:hint="eastAsia"/>
          <w:highlight w:val="none"/>
        </w:rPr>
      </w:pPr>
    </w:p>
    <w:p w14:paraId="2435432E">
      <w:pPr>
        <w:pStyle w:val="28"/>
        <w:ind w:firstLine="560"/>
        <w:rPr>
          <w:rFonts w:hint="eastAsia"/>
          <w:highlight w:val="none"/>
        </w:rPr>
      </w:pPr>
    </w:p>
    <w:p w14:paraId="538E2610">
      <w:pPr>
        <w:pStyle w:val="28"/>
        <w:ind w:firstLine="560"/>
        <w:rPr>
          <w:rFonts w:hint="eastAsia"/>
          <w:highlight w:val="none"/>
        </w:rPr>
      </w:pPr>
    </w:p>
    <w:p w14:paraId="7ABE2729">
      <w:pPr>
        <w:pStyle w:val="28"/>
        <w:ind w:firstLine="560"/>
        <w:rPr>
          <w:rFonts w:hint="eastAsia"/>
          <w:highlight w:val="none"/>
        </w:rPr>
      </w:pPr>
    </w:p>
    <w:p w14:paraId="115876FE">
      <w:pPr>
        <w:pStyle w:val="28"/>
        <w:ind w:firstLine="560"/>
        <w:rPr>
          <w:rFonts w:hint="eastAsia"/>
          <w:highlight w:val="none"/>
        </w:rPr>
      </w:pPr>
    </w:p>
    <w:p w14:paraId="2BD557A9">
      <w:pPr>
        <w:pStyle w:val="28"/>
        <w:ind w:firstLine="560"/>
        <w:rPr>
          <w:rFonts w:hint="eastAsia"/>
          <w:highlight w:val="none"/>
        </w:rPr>
      </w:pPr>
    </w:p>
    <w:p w14:paraId="4570F806">
      <w:pPr>
        <w:spacing w:before="120" w:beforeLines="50" w:after="120" w:afterLines="50" w:line="360" w:lineRule="auto"/>
        <w:jc w:val="center"/>
        <w:outlineLvl w:val="0"/>
        <w:rPr>
          <w:rFonts w:hint="eastAsia" w:ascii="仿宋" w:hAnsi="仿宋" w:eastAsia="仿宋" w:cs="仿宋"/>
          <w:b/>
          <w:sz w:val="32"/>
          <w:szCs w:val="20"/>
          <w:highlight w:val="none"/>
        </w:rPr>
      </w:pPr>
      <w:r>
        <w:rPr>
          <w:rFonts w:ascii="仿宋" w:hAnsi="仿宋" w:eastAsia="仿宋" w:cs="仿宋"/>
          <w:b/>
          <w:kern w:val="0"/>
          <w:sz w:val="36"/>
          <w:szCs w:val="36"/>
          <w:highlight w:val="none"/>
        </w:rPr>
        <w:br w:type="page"/>
      </w:r>
      <w:r>
        <w:rPr>
          <w:rFonts w:hint="eastAsia" w:ascii="仿宋" w:hAnsi="仿宋" w:eastAsia="仿宋" w:cs="仿宋"/>
          <w:b/>
          <w:sz w:val="32"/>
          <w:szCs w:val="20"/>
          <w:highlight w:val="none"/>
        </w:rPr>
        <w:t>商务技术文件部分</w:t>
      </w:r>
    </w:p>
    <w:p w14:paraId="019FCD0A">
      <w:pPr>
        <w:spacing w:before="120" w:beforeLines="50" w:after="120" w:afterLines="50"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目 录</w:t>
      </w:r>
    </w:p>
    <w:p w14:paraId="2BCCA6E9">
      <w:pPr>
        <w:adjustRightInd w:val="0"/>
        <w:snapToGrid w:val="0"/>
        <w:spacing w:line="360" w:lineRule="auto"/>
        <w:ind w:left="420" w:leftChars="20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1.符合性自查表；</w:t>
      </w:r>
    </w:p>
    <w:p w14:paraId="0180F842">
      <w:pPr>
        <w:adjustRightInd w:val="0"/>
        <w:snapToGrid w:val="0"/>
        <w:spacing w:line="360" w:lineRule="auto"/>
        <w:ind w:left="420" w:leftChars="20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2.投标函；</w:t>
      </w:r>
    </w:p>
    <w:p w14:paraId="494F6792">
      <w:pPr>
        <w:adjustRightInd w:val="0"/>
        <w:snapToGrid w:val="0"/>
        <w:spacing w:line="360" w:lineRule="auto"/>
        <w:ind w:left="420" w:leftChars="20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3.授权委托书或法定代表人（单位负责人、自然人本人）身份证明；</w:t>
      </w:r>
    </w:p>
    <w:p w14:paraId="0E32567A">
      <w:pPr>
        <w:adjustRightInd w:val="0"/>
        <w:snapToGrid w:val="0"/>
        <w:spacing w:line="360" w:lineRule="auto"/>
        <w:ind w:left="420" w:leftChars="20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4.供应商情况表；</w:t>
      </w:r>
    </w:p>
    <w:p w14:paraId="6C2380AD">
      <w:pPr>
        <w:adjustRightInd w:val="0"/>
        <w:snapToGrid w:val="0"/>
        <w:spacing w:line="360" w:lineRule="auto"/>
        <w:ind w:left="420" w:leftChars="20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5.距采购人最近或者能为本项目提供最优服务的网点情况表；</w:t>
      </w:r>
    </w:p>
    <w:p w14:paraId="24EFA9F0">
      <w:pPr>
        <w:adjustRightInd w:val="0"/>
        <w:snapToGrid w:val="0"/>
        <w:spacing w:line="360" w:lineRule="auto"/>
        <w:ind w:left="420" w:leftChars="20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w:t>
      </w:r>
      <w:r>
        <w:rPr>
          <w:rFonts w:hint="eastAsia" w:ascii="仿宋" w:hAnsi="仿宋" w:eastAsia="仿宋" w:cs="仿宋"/>
          <w:sz w:val="28"/>
          <w:szCs w:val="28"/>
          <w:highlight w:val="none"/>
          <w:lang w:eastAsia="zh-CN"/>
        </w:rPr>
        <w:t>详细的职工疗休养服务方案</w:t>
      </w:r>
      <w:r>
        <w:rPr>
          <w:rFonts w:hint="eastAsia" w:ascii="仿宋" w:hAnsi="仿宋" w:eastAsia="仿宋" w:cs="仿宋"/>
          <w:sz w:val="28"/>
          <w:szCs w:val="28"/>
          <w:highlight w:val="none"/>
        </w:rPr>
        <w:t>；</w:t>
      </w:r>
    </w:p>
    <w:p w14:paraId="3F59DA7A">
      <w:pPr>
        <w:adjustRightInd w:val="0"/>
        <w:snapToGrid w:val="0"/>
        <w:spacing w:line="360" w:lineRule="auto"/>
        <w:ind w:left="420" w:leftChars="20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7.评标标准相应的商务技术资料；</w:t>
      </w:r>
    </w:p>
    <w:p w14:paraId="624E9206">
      <w:pPr>
        <w:adjustRightInd w:val="0"/>
        <w:snapToGrid w:val="0"/>
        <w:spacing w:line="360" w:lineRule="auto"/>
        <w:ind w:left="420" w:leftChars="20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8.商务响应表；</w:t>
      </w:r>
    </w:p>
    <w:p w14:paraId="4300738C">
      <w:pPr>
        <w:adjustRightInd w:val="0"/>
        <w:snapToGrid w:val="0"/>
        <w:spacing w:line="360" w:lineRule="auto"/>
        <w:ind w:left="420" w:leftChars="20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9.技术响应表；</w:t>
      </w:r>
    </w:p>
    <w:p w14:paraId="0BD0A4DC">
      <w:pPr>
        <w:adjustRightInd w:val="0"/>
        <w:snapToGrid w:val="0"/>
        <w:spacing w:line="360" w:lineRule="auto"/>
        <w:ind w:left="420" w:leftChars="20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10.同类业绩情况一览表；</w:t>
      </w:r>
    </w:p>
    <w:p w14:paraId="5200FE25">
      <w:pPr>
        <w:adjustRightInd w:val="0"/>
        <w:snapToGrid w:val="0"/>
        <w:spacing w:line="360" w:lineRule="auto"/>
        <w:ind w:left="420" w:leftChars="20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w:t>
      </w:r>
      <w:r>
        <w:rPr>
          <w:rFonts w:hint="eastAsia" w:ascii="仿宋" w:hAnsi="仿宋" w:eastAsia="仿宋" w:cs="仿宋"/>
          <w:sz w:val="28"/>
          <w:szCs w:val="28"/>
          <w:highlight w:val="none"/>
          <w:lang w:val="zh-CN"/>
        </w:rPr>
        <w:t>政府采购供应商廉洁自律承诺书；</w:t>
      </w:r>
    </w:p>
    <w:p w14:paraId="5125F0F8">
      <w:pPr>
        <w:adjustRightInd w:val="0"/>
        <w:snapToGrid w:val="0"/>
        <w:spacing w:line="360" w:lineRule="auto"/>
        <w:ind w:left="420" w:leftChars="20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12.其他资料（如有）。</w:t>
      </w:r>
    </w:p>
    <w:p w14:paraId="011D65D1">
      <w:pPr>
        <w:numPr>
          <w:ilvl w:val="0"/>
          <w:numId w:val="6"/>
        </w:numPr>
        <w:snapToGrid w:val="0"/>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kern w:val="0"/>
          <w:sz w:val="32"/>
          <w:szCs w:val="32"/>
          <w:highlight w:val="none"/>
        </w:rPr>
        <w:t>符合性自查表</w:t>
      </w:r>
    </w:p>
    <w:tbl>
      <w:tblPr>
        <w:tblStyle w:val="17"/>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827"/>
        <w:gridCol w:w="2695"/>
        <w:gridCol w:w="1185"/>
        <w:gridCol w:w="1785"/>
      </w:tblGrid>
      <w:tr w14:paraId="4D06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7" w:type="dxa"/>
            <w:noWrap w:val="0"/>
            <w:vAlign w:val="center"/>
          </w:tcPr>
          <w:p w14:paraId="4B72996A">
            <w:pPr>
              <w:spacing w:line="400" w:lineRule="exact"/>
              <w:jc w:val="center"/>
              <w:rPr>
                <w:rFonts w:hint="eastAsia" w:ascii="仿宋" w:hAnsi="仿宋" w:eastAsia="仿宋"/>
                <w:b/>
                <w:szCs w:val="21"/>
                <w:highlight w:val="none"/>
              </w:rPr>
            </w:pPr>
            <w:r>
              <w:rPr>
                <w:rFonts w:hint="eastAsia" w:ascii="仿宋" w:hAnsi="仿宋" w:eastAsia="仿宋"/>
                <w:b/>
                <w:szCs w:val="21"/>
                <w:highlight w:val="none"/>
              </w:rPr>
              <w:t>序号</w:t>
            </w:r>
          </w:p>
        </w:tc>
        <w:tc>
          <w:tcPr>
            <w:tcW w:w="3827" w:type="dxa"/>
            <w:noWrap w:val="0"/>
            <w:vAlign w:val="center"/>
          </w:tcPr>
          <w:p w14:paraId="596A7BF8">
            <w:pPr>
              <w:spacing w:line="400" w:lineRule="exact"/>
              <w:jc w:val="center"/>
              <w:rPr>
                <w:rFonts w:hint="eastAsia" w:ascii="仿宋" w:hAnsi="仿宋" w:eastAsia="仿宋"/>
                <w:b/>
                <w:szCs w:val="21"/>
                <w:highlight w:val="none"/>
              </w:rPr>
            </w:pPr>
            <w:r>
              <w:rPr>
                <w:rFonts w:hint="eastAsia" w:ascii="仿宋" w:hAnsi="仿宋" w:eastAsia="仿宋"/>
                <w:b/>
                <w:szCs w:val="21"/>
                <w:highlight w:val="none"/>
              </w:rPr>
              <w:t>实质性要求</w:t>
            </w:r>
          </w:p>
        </w:tc>
        <w:tc>
          <w:tcPr>
            <w:tcW w:w="2695" w:type="dxa"/>
            <w:noWrap w:val="0"/>
            <w:vAlign w:val="center"/>
          </w:tcPr>
          <w:p w14:paraId="7E8A1816">
            <w:pPr>
              <w:spacing w:line="400" w:lineRule="exact"/>
              <w:jc w:val="center"/>
              <w:rPr>
                <w:rFonts w:hint="eastAsia" w:ascii="仿宋" w:hAnsi="仿宋" w:eastAsia="仿宋"/>
                <w:b/>
                <w:szCs w:val="21"/>
                <w:highlight w:val="none"/>
              </w:rPr>
            </w:pPr>
            <w:r>
              <w:rPr>
                <w:rFonts w:hint="eastAsia" w:ascii="仿宋" w:hAnsi="仿宋" w:eastAsia="仿宋"/>
                <w:b/>
                <w:szCs w:val="21"/>
                <w:highlight w:val="none"/>
              </w:rPr>
              <w:t>需要提供的符合性审查资料</w:t>
            </w:r>
          </w:p>
        </w:tc>
        <w:tc>
          <w:tcPr>
            <w:tcW w:w="1185" w:type="dxa"/>
            <w:noWrap w:val="0"/>
            <w:vAlign w:val="center"/>
          </w:tcPr>
          <w:p w14:paraId="5797B05C">
            <w:pPr>
              <w:spacing w:line="400" w:lineRule="exact"/>
              <w:jc w:val="center"/>
              <w:rPr>
                <w:rFonts w:hint="eastAsia" w:ascii="仿宋" w:hAnsi="仿宋" w:eastAsia="仿宋"/>
                <w:b/>
                <w:szCs w:val="21"/>
                <w:highlight w:val="none"/>
              </w:rPr>
            </w:pPr>
            <w:r>
              <w:rPr>
                <w:rFonts w:hint="eastAsia" w:ascii="仿宋" w:hAnsi="仿宋" w:eastAsia="仿宋"/>
                <w:b/>
                <w:szCs w:val="21"/>
                <w:highlight w:val="none"/>
              </w:rPr>
              <w:t>自查结论</w:t>
            </w:r>
          </w:p>
        </w:tc>
        <w:tc>
          <w:tcPr>
            <w:tcW w:w="1785" w:type="dxa"/>
            <w:noWrap w:val="0"/>
            <w:vAlign w:val="center"/>
          </w:tcPr>
          <w:p w14:paraId="1C6746F0">
            <w:pPr>
              <w:spacing w:line="400" w:lineRule="exact"/>
              <w:jc w:val="center"/>
              <w:rPr>
                <w:rFonts w:hint="eastAsia" w:ascii="仿宋" w:hAnsi="仿宋" w:eastAsia="仿宋"/>
                <w:b/>
                <w:szCs w:val="21"/>
                <w:highlight w:val="none"/>
              </w:rPr>
            </w:pPr>
            <w:r>
              <w:rPr>
                <w:rFonts w:hint="eastAsia" w:ascii="仿宋" w:hAnsi="仿宋" w:eastAsia="仿宋"/>
                <w:b/>
                <w:szCs w:val="21"/>
                <w:highlight w:val="none"/>
              </w:rPr>
              <w:t>投标文件中的</w:t>
            </w:r>
          </w:p>
          <w:p w14:paraId="1A4D9FCB">
            <w:pPr>
              <w:spacing w:line="400" w:lineRule="exact"/>
              <w:jc w:val="center"/>
              <w:rPr>
                <w:rFonts w:hint="eastAsia" w:ascii="仿宋" w:hAnsi="仿宋" w:eastAsia="仿宋"/>
                <w:b/>
                <w:szCs w:val="21"/>
                <w:highlight w:val="none"/>
              </w:rPr>
            </w:pPr>
            <w:r>
              <w:rPr>
                <w:rFonts w:hint="eastAsia" w:ascii="仿宋" w:hAnsi="仿宋" w:eastAsia="仿宋"/>
                <w:b/>
                <w:szCs w:val="21"/>
                <w:highlight w:val="none"/>
              </w:rPr>
              <w:t>页码位置</w:t>
            </w:r>
          </w:p>
        </w:tc>
      </w:tr>
      <w:tr w14:paraId="4A89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noWrap w:val="0"/>
            <w:vAlign w:val="center"/>
          </w:tcPr>
          <w:p w14:paraId="7C8AEB10">
            <w:pPr>
              <w:spacing w:line="400" w:lineRule="exact"/>
              <w:jc w:val="center"/>
              <w:rPr>
                <w:rFonts w:hint="eastAsia" w:ascii="仿宋" w:hAnsi="仿宋" w:eastAsia="仿宋"/>
                <w:szCs w:val="21"/>
                <w:highlight w:val="none"/>
              </w:rPr>
            </w:pPr>
            <w:r>
              <w:rPr>
                <w:rFonts w:hint="eastAsia" w:ascii="仿宋" w:hAnsi="仿宋" w:eastAsia="仿宋"/>
                <w:szCs w:val="21"/>
                <w:highlight w:val="none"/>
              </w:rPr>
              <w:t>1</w:t>
            </w:r>
          </w:p>
        </w:tc>
        <w:tc>
          <w:tcPr>
            <w:tcW w:w="3827" w:type="dxa"/>
            <w:noWrap w:val="0"/>
            <w:vAlign w:val="center"/>
          </w:tcPr>
          <w:p w14:paraId="53078ACD">
            <w:pPr>
              <w:spacing w:line="400" w:lineRule="exact"/>
              <w:jc w:val="left"/>
              <w:rPr>
                <w:rFonts w:hint="eastAsia" w:ascii="仿宋" w:hAnsi="仿宋" w:eastAsia="仿宋"/>
                <w:szCs w:val="21"/>
                <w:highlight w:val="none"/>
              </w:rPr>
            </w:pPr>
            <w:r>
              <w:rPr>
                <w:rFonts w:hint="eastAsia" w:ascii="仿宋" w:hAnsi="仿宋" w:eastAsia="仿宋"/>
                <w:szCs w:val="21"/>
                <w:highlight w:val="none"/>
              </w:rPr>
              <w:t>投标文件按照招标文件要求签署、盖章。</w:t>
            </w:r>
          </w:p>
        </w:tc>
        <w:tc>
          <w:tcPr>
            <w:tcW w:w="2695" w:type="dxa"/>
            <w:noWrap w:val="0"/>
            <w:vAlign w:val="center"/>
          </w:tcPr>
          <w:p w14:paraId="01CBCB16">
            <w:pPr>
              <w:spacing w:line="400" w:lineRule="exact"/>
              <w:jc w:val="left"/>
              <w:rPr>
                <w:rFonts w:hint="eastAsia" w:ascii="仿宋" w:hAnsi="仿宋" w:eastAsia="仿宋"/>
                <w:szCs w:val="21"/>
                <w:highlight w:val="none"/>
              </w:rPr>
            </w:pPr>
            <w:r>
              <w:rPr>
                <w:rFonts w:hint="eastAsia" w:ascii="仿宋" w:hAnsi="仿宋" w:eastAsia="仿宋"/>
                <w:szCs w:val="21"/>
                <w:highlight w:val="none"/>
              </w:rPr>
              <w:t>需要使用电子签名或者签字盖章的投标文件的组成部分</w:t>
            </w:r>
          </w:p>
        </w:tc>
        <w:tc>
          <w:tcPr>
            <w:tcW w:w="1185" w:type="dxa"/>
            <w:noWrap w:val="0"/>
            <w:vAlign w:val="center"/>
          </w:tcPr>
          <w:p w14:paraId="1A274BF3">
            <w:pPr>
              <w:spacing w:line="400" w:lineRule="exact"/>
              <w:jc w:val="left"/>
              <w:rPr>
                <w:rFonts w:hint="eastAsia" w:ascii="仿宋" w:hAnsi="仿宋" w:eastAsia="仿宋"/>
                <w:szCs w:val="21"/>
                <w:highlight w:val="none"/>
              </w:rPr>
            </w:pPr>
            <w:r>
              <w:rPr>
                <w:rFonts w:hint="eastAsia" w:ascii="仿宋" w:hAnsi="仿宋" w:eastAsia="仿宋"/>
                <w:szCs w:val="21"/>
                <w:highlight w:val="none"/>
              </w:rPr>
              <w:t>□通过</w:t>
            </w:r>
          </w:p>
          <w:p w14:paraId="3C170FE6">
            <w:pPr>
              <w:spacing w:line="400" w:lineRule="exact"/>
              <w:jc w:val="left"/>
              <w:rPr>
                <w:rFonts w:hint="eastAsia" w:ascii="仿宋" w:hAnsi="仿宋" w:eastAsia="仿宋"/>
                <w:szCs w:val="21"/>
                <w:highlight w:val="none"/>
              </w:rPr>
            </w:pPr>
            <w:r>
              <w:rPr>
                <w:rFonts w:hint="eastAsia" w:ascii="仿宋" w:hAnsi="仿宋" w:eastAsia="仿宋"/>
                <w:szCs w:val="21"/>
                <w:highlight w:val="none"/>
              </w:rPr>
              <w:t>□不通过</w:t>
            </w:r>
          </w:p>
        </w:tc>
        <w:tc>
          <w:tcPr>
            <w:tcW w:w="1785" w:type="dxa"/>
            <w:noWrap w:val="0"/>
            <w:vAlign w:val="center"/>
          </w:tcPr>
          <w:p w14:paraId="4F42F0B7">
            <w:pPr>
              <w:spacing w:line="400" w:lineRule="exact"/>
              <w:jc w:val="center"/>
              <w:rPr>
                <w:rFonts w:hint="eastAsia" w:ascii="仿宋" w:hAnsi="仿宋" w:eastAsia="仿宋"/>
                <w:szCs w:val="21"/>
                <w:highlight w:val="none"/>
              </w:rPr>
            </w:pPr>
            <w:r>
              <w:rPr>
                <w:rFonts w:hint="eastAsia" w:ascii="仿宋" w:hAnsi="仿宋" w:eastAsia="仿宋"/>
                <w:szCs w:val="21"/>
                <w:highlight w:val="none"/>
              </w:rPr>
              <w:t>见投标文件</w:t>
            </w:r>
          </w:p>
          <w:p w14:paraId="3D594DFE">
            <w:pPr>
              <w:spacing w:line="400" w:lineRule="exact"/>
              <w:jc w:val="center"/>
              <w:rPr>
                <w:rFonts w:hint="eastAsia" w:ascii="仿宋" w:hAnsi="仿宋" w:eastAsia="仿宋"/>
                <w:szCs w:val="21"/>
                <w:highlight w:val="none"/>
              </w:rPr>
            </w:pPr>
            <w:r>
              <w:rPr>
                <w:rFonts w:hint="eastAsia" w:ascii="仿宋" w:hAnsi="仿宋" w:eastAsia="仿宋"/>
                <w:szCs w:val="21"/>
                <w:highlight w:val="none"/>
              </w:rPr>
              <w:t>第</w:t>
            </w:r>
            <w:r>
              <w:rPr>
                <w:rFonts w:hint="eastAsia" w:ascii="仿宋" w:hAnsi="仿宋" w:eastAsia="仿宋"/>
                <w:szCs w:val="21"/>
                <w:highlight w:val="none"/>
                <w:u w:val="single"/>
              </w:rPr>
              <w:t xml:space="preserve">  </w:t>
            </w:r>
            <w:r>
              <w:rPr>
                <w:rFonts w:hint="eastAsia" w:ascii="仿宋" w:hAnsi="仿宋" w:eastAsia="仿宋"/>
                <w:szCs w:val="21"/>
                <w:highlight w:val="none"/>
              </w:rPr>
              <w:t>页</w:t>
            </w:r>
          </w:p>
        </w:tc>
      </w:tr>
      <w:tr w14:paraId="77B0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noWrap w:val="0"/>
            <w:vAlign w:val="center"/>
          </w:tcPr>
          <w:p w14:paraId="5220C47C">
            <w:pPr>
              <w:spacing w:line="400" w:lineRule="exact"/>
              <w:jc w:val="center"/>
              <w:rPr>
                <w:rFonts w:hint="eastAsia" w:ascii="仿宋" w:hAnsi="仿宋" w:eastAsia="仿宋"/>
                <w:szCs w:val="21"/>
                <w:highlight w:val="none"/>
              </w:rPr>
            </w:pPr>
            <w:r>
              <w:rPr>
                <w:rFonts w:hint="eastAsia" w:ascii="仿宋" w:hAnsi="仿宋" w:eastAsia="仿宋"/>
                <w:szCs w:val="21"/>
                <w:highlight w:val="none"/>
              </w:rPr>
              <w:t>2</w:t>
            </w:r>
          </w:p>
        </w:tc>
        <w:tc>
          <w:tcPr>
            <w:tcW w:w="3827" w:type="dxa"/>
            <w:noWrap w:val="0"/>
            <w:vAlign w:val="center"/>
          </w:tcPr>
          <w:p w14:paraId="69CE254E">
            <w:pPr>
              <w:spacing w:line="400" w:lineRule="exact"/>
              <w:jc w:val="left"/>
              <w:rPr>
                <w:rFonts w:hint="eastAsia" w:ascii="仿宋" w:hAnsi="仿宋" w:eastAsia="仿宋"/>
                <w:szCs w:val="21"/>
                <w:highlight w:val="none"/>
              </w:rPr>
            </w:pPr>
            <w:r>
              <w:rPr>
                <w:rFonts w:hint="eastAsia" w:ascii="仿宋" w:hAnsi="仿宋" w:eastAsia="仿宋"/>
                <w:szCs w:val="21"/>
                <w:highlight w:val="none"/>
              </w:rPr>
              <w:t>投标文件中承诺的投标有效期不少于招标文件中载明的投标有效期。</w:t>
            </w:r>
          </w:p>
        </w:tc>
        <w:tc>
          <w:tcPr>
            <w:tcW w:w="2695" w:type="dxa"/>
            <w:noWrap w:val="0"/>
            <w:vAlign w:val="center"/>
          </w:tcPr>
          <w:p w14:paraId="548BE973">
            <w:pPr>
              <w:spacing w:line="400" w:lineRule="exact"/>
              <w:jc w:val="left"/>
              <w:rPr>
                <w:rFonts w:hint="eastAsia" w:ascii="仿宋" w:hAnsi="仿宋" w:eastAsia="仿宋"/>
                <w:szCs w:val="21"/>
                <w:highlight w:val="none"/>
              </w:rPr>
            </w:pPr>
            <w:r>
              <w:rPr>
                <w:rFonts w:hint="eastAsia" w:ascii="仿宋" w:hAnsi="仿宋" w:eastAsia="仿宋"/>
                <w:szCs w:val="21"/>
                <w:highlight w:val="none"/>
              </w:rPr>
              <w:t>投标函</w:t>
            </w:r>
          </w:p>
        </w:tc>
        <w:tc>
          <w:tcPr>
            <w:tcW w:w="1185" w:type="dxa"/>
            <w:noWrap w:val="0"/>
            <w:vAlign w:val="center"/>
          </w:tcPr>
          <w:p w14:paraId="0EBA90EB">
            <w:pPr>
              <w:spacing w:line="400" w:lineRule="exact"/>
              <w:jc w:val="left"/>
              <w:rPr>
                <w:rFonts w:hint="eastAsia" w:ascii="仿宋" w:hAnsi="仿宋" w:eastAsia="仿宋"/>
                <w:szCs w:val="21"/>
                <w:highlight w:val="none"/>
              </w:rPr>
            </w:pPr>
            <w:r>
              <w:rPr>
                <w:rFonts w:hint="eastAsia" w:ascii="仿宋" w:hAnsi="仿宋" w:eastAsia="仿宋"/>
                <w:szCs w:val="21"/>
                <w:highlight w:val="none"/>
              </w:rPr>
              <w:t>□通过</w:t>
            </w:r>
          </w:p>
          <w:p w14:paraId="337ED2E9">
            <w:pPr>
              <w:spacing w:line="400" w:lineRule="exact"/>
              <w:jc w:val="left"/>
              <w:rPr>
                <w:rFonts w:hint="eastAsia" w:ascii="仿宋" w:hAnsi="仿宋" w:eastAsia="仿宋"/>
                <w:szCs w:val="21"/>
                <w:highlight w:val="none"/>
              </w:rPr>
            </w:pPr>
            <w:r>
              <w:rPr>
                <w:rFonts w:hint="eastAsia" w:ascii="仿宋" w:hAnsi="仿宋" w:eastAsia="仿宋"/>
                <w:szCs w:val="21"/>
                <w:highlight w:val="none"/>
              </w:rPr>
              <w:t>□不通过</w:t>
            </w:r>
          </w:p>
        </w:tc>
        <w:tc>
          <w:tcPr>
            <w:tcW w:w="1785" w:type="dxa"/>
            <w:noWrap w:val="0"/>
            <w:vAlign w:val="center"/>
          </w:tcPr>
          <w:p w14:paraId="025DA7FA">
            <w:pPr>
              <w:spacing w:line="400" w:lineRule="exact"/>
              <w:jc w:val="center"/>
              <w:rPr>
                <w:rFonts w:hint="eastAsia" w:ascii="仿宋" w:hAnsi="仿宋" w:eastAsia="仿宋"/>
                <w:szCs w:val="21"/>
                <w:highlight w:val="none"/>
              </w:rPr>
            </w:pPr>
            <w:r>
              <w:rPr>
                <w:rFonts w:hint="eastAsia" w:ascii="仿宋" w:hAnsi="仿宋" w:eastAsia="仿宋"/>
                <w:szCs w:val="21"/>
                <w:highlight w:val="none"/>
              </w:rPr>
              <w:t>见投标文件</w:t>
            </w:r>
          </w:p>
          <w:p w14:paraId="72A5D5BC">
            <w:pPr>
              <w:spacing w:line="400" w:lineRule="exact"/>
              <w:jc w:val="center"/>
              <w:rPr>
                <w:rFonts w:hint="eastAsia" w:ascii="仿宋" w:hAnsi="仿宋" w:eastAsia="仿宋"/>
                <w:szCs w:val="21"/>
                <w:highlight w:val="none"/>
              </w:rPr>
            </w:pPr>
            <w:r>
              <w:rPr>
                <w:rFonts w:hint="eastAsia" w:ascii="仿宋" w:hAnsi="仿宋" w:eastAsia="仿宋"/>
                <w:szCs w:val="21"/>
                <w:highlight w:val="none"/>
              </w:rPr>
              <w:t>第</w:t>
            </w:r>
            <w:r>
              <w:rPr>
                <w:rFonts w:hint="eastAsia" w:ascii="仿宋" w:hAnsi="仿宋" w:eastAsia="仿宋"/>
                <w:szCs w:val="21"/>
                <w:highlight w:val="none"/>
                <w:u w:val="single"/>
              </w:rPr>
              <w:t xml:space="preserve">  </w:t>
            </w:r>
            <w:r>
              <w:rPr>
                <w:rFonts w:hint="eastAsia" w:ascii="仿宋" w:hAnsi="仿宋" w:eastAsia="仿宋"/>
                <w:szCs w:val="21"/>
                <w:highlight w:val="none"/>
              </w:rPr>
              <w:t>页</w:t>
            </w:r>
          </w:p>
        </w:tc>
      </w:tr>
      <w:tr w14:paraId="443C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07" w:type="dxa"/>
            <w:noWrap w:val="0"/>
            <w:vAlign w:val="center"/>
          </w:tcPr>
          <w:p w14:paraId="1588DCAB">
            <w:pPr>
              <w:spacing w:line="400" w:lineRule="exact"/>
              <w:jc w:val="center"/>
              <w:rPr>
                <w:rFonts w:hint="eastAsia" w:ascii="仿宋" w:hAnsi="仿宋" w:eastAsia="仿宋"/>
                <w:szCs w:val="21"/>
                <w:highlight w:val="none"/>
              </w:rPr>
            </w:pPr>
            <w:r>
              <w:rPr>
                <w:rFonts w:hint="eastAsia" w:ascii="仿宋" w:hAnsi="仿宋" w:eastAsia="仿宋"/>
                <w:szCs w:val="21"/>
                <w:highlight w:val="none"/>
              </w:rPr>
              <w:t>3</w:t>
            </w:r>
          </w:p>
        </w:tc>
        <w:tc>
          <w:tcPr>
            <w:tcW w:w="3827" w:type="dxa"/>
            <w:noWrap w:val="0"/>
            <w:vAlign w:val="center"/>
          </w:tcPr>
          <w:p w14:paraId="4286A0D2">
            <w:pPr>
              <w:spacing w:line="400" w:lineRule="exact"/>
              <w:jc w:val="left"/>
              <w:rPr>
                <w:rFonts w:hint="eastAsia" w:ascii="仿宋" w:hAnsi="仿宋" w:eastAsia="仿宋"/>
                <w:szCs w:val="21"/>
                <w:highlight w:val="none"/>
              </w:rPr>
            </w:pPr>
            <w:r>
              <w:rPr>
                <w:rFonts w:hint="eastAsia" w:ascii="仿宋" w:hAnsi="仿宋" w:eastAsia="仿宋"/>
                <w:szCs w:val="21"/>
                <w:highlight w:val="none"/>
              </w:rPr>
              <w:t>投标文件满足招标文件的其它实质性要求。</w:t>
            </w:r>
          </w:p>
        </w:tc>
        <w:tc>
          <w:tcPr>
            <w:tcW w:w="2695" w:type="dxa"/>
            <w:noWrap w:val="0"/>
            <w:vAlign w:val="center"/>
          </w:tcPr>
          <w:p w14:paraId="4246260D">
            <w:pPr>
              <w:spacing w:line="400" w:lineRule="exact"/>
              <w:jc w:val="left"/>
              <w:rPr>
                <w:rFonts w:hint="eastAsia" w:ascii="仿宋" w:hAnsi="仿宋" w:eastAsia="仿宋"/>
                <w:szCs w:val="21"/>
                <w:highlight w:val="none"/>
              </w:rPr>
            </w:pPr>
            <w:r>
              <w:rPr>
                <w:rFonts w:hint="eastAsia" w:ascii="仿宋" w:hAnsi="仿宋" w:eastAsia="仿宋"/>
                <w:szCs w:val="21"/>
                <w:highlight w:val="none"/>
              </w:rPr>
              <w:t>招标文件其它实质性要求相应的材料（“▲”系指实质性要求条款，招标文件无其它实质性要求的，无需提供）</w:t>
            </w:r>
          </w:p>
        </w:tc>
        <w:tc>
          <w:tcPr>
            <w:tcW w:w="1185" w:type="dxa"/>
            <w:noWrap w:val="0"/>
            <w:vAlign w:val="center"/>
          </w:tcPr>
          <w:p w14:paraId="1BC1B2B4">
            <w:pPr>
              <w:spacing w:line="400" w:lineRule="exact"/>
              <w:jc w:val="left"/>
              <w:rPr>
                <w:rFonts w:hint="eastAsia" w:ascii="仿宋" w:hAnsi="仿宋" w:eastAsia="仿宋"/>
                <w:szCs w:val="21"/>
                <w:highlight w:val="none"/>
              </w:rPr>
            </w:pPr>
            <w:r>
              <w:rPr>
                <w:rFonts w:hint="eastAsia" w:ascii="仿宋" w:hAnsi="仿宋" w:eastAsia="仿宋"/>
                <w:szCs w:val="21"/>
                <w:highlight w:val="none"/>
              </w:rPr>
              <w:t>□通过</w:t>
            </w:r>
          </w:p>
          <w:p w14:paraId="701D424E">
            <w:pPr>
              <w:spacing w:line="400" w:lineRule="exact"/>
              <w:jc w:val="left"/>
              <w:rPr>
                <w:rFonts w:hint="eastAsia" w:ascii="仿宋" w:hAnsi="仿宋" w:eastAsia="仿宋"/>
                <w:szCs w:val="21"/>
                <w:highlight w:val="none"/>
              </w:rPr>
            </w:pPr>
            <w:r>
              <w:rPr>
                <w:rFonts w:hint="eastAsia" w:ascii="仿宋" w:hAnsi="仿宋" w:eastAsia="仿宋"/>
                <w:szCs w:val="21"/>
                <w:highlight w:val="none"/>
              </w:rPr>
              <w:t>□不通过</w:t>
            </w:r>
          </w:p>
        </w:tc>
        <w:tc>
          <w:tcPr>
            <w:tcW w:w="1785" w:type="dxa"/>
            <w:noWrap w:val="0"/>
            <w:vAlign w:val="center"/>
          </w:tcPr>
          <w:p w14:paraId="6FF79C1A">
            <w:pPr>
              <w:spacing w:line="400" w:lineRule="exact"/>
              <w:jc w:val="center"/>
              <w:rPr>
                <w:rFonts w:hint="eastAsia" w:ascii="仿宋" w:hAnsi="仿宋" w:eastAsia="仿宋"/>
                <w:szCs w:val="21"/>
                <w:highlight w:val="none"/>
              </w:rPr>
            </w:pPr>
            <w:r>
              <w:rPr>
                <w:rFonts w:hint="eastAsia" w:ascii="仿宋" w:hAnsi="仿宋" w:eastAsia="仿宋"/>
                <w:szCs w:val="21"/>
                <w:highlight w:val="none"/>
              </w:rPr>
              <w:t>见投标文件</w:t>
            </w:r>
          </w:p>
          <w:p w14:paraId="1F15C624">
            <w:pPr>
              <w:spacing w:line="400" w:lineRule="exact"/>
              <w:jc w:val="center"/>
              <w:rPr>
                <w:rFonts w:hint="eastAsia" w:ascii="仿宋" w:hAnsi="仿宋" w:eastAsia="仿宋"/>
                <w:szCs w:val="21"/>
                <w:highlight w:val="none"/>
              </w:rPr>
            </w:pPr>
            <w:r>
              <w:rPr>
                <w:rFonts w:hint="eastAsia" w:ascii="仿宋" w:hAnsi="仿宋" w:eastAsia="仿宋"/>
                <w:szCs w:val="21"/>
                <w:highlight w:val="none"/>
              </w:rPr>
              <w:t>第</w:t>
            </w:r>
            <w:r>
              <w:rPr>
                <w:rFonts w:hint="eastAsia" w:ascii="仿宋" w:hAnsi="仿宋" w:eastAsia="仿宋"/>
                <w:szCs w:val="21"/>
                <w:highlight w:val="none"/>
                <w:u w:val="single"/>
              </w:rPr>
              <w:t xml:space="preserve">  </w:t>
            </w:r>
            <w:r>
              <w:rPr>
                <w:rFonts w:hint="eastAsia" w:ascii="仿宋" w:hAnsi="仿宋" w:eastAsia="仿宋"/>
                <w:szCs w:val="21"/>
                <w:highlight w:val="none"/>
              </w:rPr>
              <w:t>页</w:t>
            </w:r>
          </w:p>
        </w:tc>
      </w:tr>
      <w:tr w14:paraId="2A315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noWrap w:val="0"/>
            <w:vAlign w:val="center"/>
          </w:tcPr>
          <w:p w14:paraId="1E852A72">
            <w:pPr>
              <w:spacing w:line="400" w:lineRule="exact"/>
              <w:jc w:val="center"/>
              <w:rPr>
                <w:rFonts w:hint="eastAsia" w:ascii="仿宋" w:hAnsi="仿宋" w:eastAsia="仿宋"/>
                <w:szCs w:val="21"/>
                <w:highlight w:val="none"/>
              </w:rPr>
            </w:pPr>
            <w:r>
              <w:rPr>
                <w:rFonts w:hint="eastAsia" w:ascii="仿宋" w:hAnsi="仿宋" w:eastAsia="仿宋"/>
                <w:szCs w:val="21"/>
                <w:highlight w:val="none"/>
              </w:rPr>
              <w:t>4</w:t>
            </w:r>
          </w:p>
        </w:tc>
        <w:tc>
          <w:tcPr>
            <w:tcW w:w="3827" w:type="dxa"/>
            <w:noWrap w:val="0"/>
            <w:vAlign w:val="center"/>
          </w:tcPr>
          <w:p w14:paraId="580031B6">
            <w:pPr>
              <w:spacing w:line="400" w:lineRule="exact"/>
              <w:jc w:val="left"/>
              <w:rPr>
                <w:rFonts w:hint="eastAsia" w:ascii="仿宋" w:hAnsi="仿宋" w:eastAsia="仿宋"/>
                <w:szCs w:val="21"/>
                <w:highlight w:val="none"/>
              </w:rPr>
            </w:pPr>
            <w:r>
              <w:rPr>
                <w:rFonts w:hint="eastAsia" w:ascii="仿宋" w:hAnsi="仿宋" w:eastAsia="仿宋"/>
                <w:szCs w:val="21"/>
                <w:highlight w:val="none"/>
              </w:rPr>
              <w:t>投标文件没有招标文件中规定的其它无效投标条款的。</w:t>
            </w:r>
          </w:p>
        </w:tc>
        <w:tc>
          <w:tcPr>
            <w:tcW w:w="2695" w:type="dxa"/>
            <w:noWrap w:val="0"/>
            <w:vAlign w:val="center"/>
          </w:tcPr>
          <w:p w14:paraId="2DD8C5FB">
            <w:pPr>
              <w:spacing w:line="400" w:lineRule="exact"/>
              <w:jc w:val="left"/>
              <w:rPr>
                <w:rFonts w:hint="eastAsia" w:ascii="仿宋" w:hAnsi="仿宋" w:eastAsia="仿宋"/>
                <w:szCs w:val="21"/>
                <w:highlight w:val="none"/>
              </w:rPr>
            </w:pPr>
          </w:p>
        </w:tc>
        <w:tc>
          <w:tcPr>
            <w:tcW w:w="1185" w:type="dxa"/>
            <w:noWrap w:val="0"/>
            <w:vAlign w:val="center"/>
          </w:tcPr>
          <w:p w14:paraId="4BDF3D95">
            <w:pPr>
              <w:spacing w:line="400" w:lineRule="exact"/>
              <w:jc w:val="left"/>
              <w:rPr>
                <w:rFonts w:hint="eastAsia" w:ascii="仿宋" w:hAnsi="仿宋" w:eastAsia="仿宋"/>
                <w:szCs w:val="21"/>
                <w:highlight w:val="none"/>
              </w:rPr>
            </w:pPr>
            <w:r>
              <w:rPr>
                <w:rFonts w:hint="eastAsia" w:ascii="仿宋" w:hAnsi="仿宋" w:eastAsia="仿宋"/>
                <w:szCs w:val="21"/>
                <w:highlight w:val="none"/>
              </w:rPr>
              <w:t>□通过</w:t>
            </w:r>
          </w:p>
          <w:p w14:paraId="69982AEE">
            <w:pPr>
              <w:spacing w:line="400" w:lineRule="exact"/>
              <w:jc w:val="left"/>
              <w:rPr>
                <w:rFonts w:hint="eastAsia" w:ascii="仿宋" w:hAnsi="仿宋" w:eastAsia="仿宋"/>
                <w:szCs w:val="21"/>
                <w:highlight w:val="none"/>
              </w:rPr>
            </w:pPr>
            <w:r>
              <w:rPr>
                <w:rFonts w:hint="eastAsia" w:ascii="仿宋" w:hAnsi="仿宋" w:eastAsia="仿宋"/>
                <w:szCs w:val="21"/>
                <w:highlight w:val="none"/>
              </w:rPr>
              <w:t>□不通过</w:t>
            </w:r>
          </w:p>
        </w:tc>
        <w:tc>
          <w:tcPr>
            <w:tcW w:w="1785" w:type="dxa"/>
            <w:noWrap w:val="0"/>
            <w:vAlign w:val="center"/>
          </w:tcPr>
          <w:p w14:paraId="4FC9649E">
            <w:pPr>
              <w:spacing w:line="400" w:lineRule="exact"/>
              <w:jc w:val="center"/>
              <w:rPr>
                <w:rFonts w:hint="eastAsia" w:ascii="仿宋" w:hAnsi="仿宋" w:eastAsia="仿宋"/>
                <w:szCs w:val="21"/>
                <w:highlight w:val="none"/>
              </w:rPr>
            </w:pPr>
          </w:p>
        </w:tc>
      </w:tr>
      <w:tr w14:paraId="3D74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noWrap w:val="0"/>
            <w:vAlign w:val="center"/>
          </w:tcPr>
          <w:p w14:paraId="7C001DED">
            <w:pPr>
              <w:spacing w:line="400" w:lineRule="exact"/>
              <w:jc w:val="center"/>
              <w:rPr>
                <w:rFonts w:hint="eastAsia" w:ascii="仿宋" w:hAnsi="仿宋" w:eastAsia="仿宋"/>
                <w:szCs w:val="21"/>
                <w:highlight w:val="none"/>
              </w:rPr>
            </w:pPr>
            <w:r>
              <w:rPr>
                <w:rFonts w:hint="eastAsia" w:ascii="仿宋" w:hAnsi="仿宋" w:eastAsia="仿宋"/>
                <w:szCs w:val="21"/>
                <w:highlight w:val="none"/>
              </w:rPr>
              <w:t>5</w:t>
            </w:r>
          </w:p>
        </w:tc>
        <w:tc>
          <w:tcPr>
            <w:tcW w:w="3827" w:type="dxa"/>
            <w:noWrap w:val="0"/>
            <w:vAlign w:val="center"/>
          </w:tcPr>
          <w:p w14:paraId="784FC0BC">
            <w:pPr>
              <w:spacing w:line="400" w:lineRule="exact"/>
              <w:jc w:val="left"/>
              <w:rPr>
                <w:rFonts w:hint="eastAsia" w:ascii="仿宋" w:hAnsi="仿宋" w:eastAsia="仿宋"/>
                <w:szCs w:val="21"/>
                <w:highlight w:val="none"/>
              </w:rPr>
            </w:pPr>
            <w:r>
              <w:rPr>
                <w:rFonts w:hint="eastAsia" w:ascii="仿宋" w:hAnsi="仿宋" w:eastAsia="仿宋"/>
                <w:szCs w:val="21"/>
                <w:highlight w:val="none"/>
              </w:rPr>
              <w:t>按有关法律、法规、规章不属于投标无效的。</w:t>
            </w:r>
          </w:p>
        </w:tc>
        <w:tc>
          <w:tcPr>
            <w:tcW w:w="2695" w:type="dxa"/>
            <w:noWrap w:val="0"/>
            <w:vAlign w:val="center"/>
          </w:tcPr>
          <w:p w14:paraId="57CFD88C">
            <w:pPr>
              <w:spacing w:line="400" w:lineRule="exact"/>
              <w:jc w:val="left"/>
              <w:rPr>
                <w:rFonts w:hint="eastAsia" w:ascii="仿宋" w:hAnsi="仿宋" w:eastAsia="仿宋"/>
                <w:szCs w:val="21"/>
                <w:highlight w:val="none"/>
              </w:rPr>
            </w:pPr>
          </w:p>
        </w:tc>
        <w:tc>
          <w:tcPr>
            <w:tcW w:w="1185" w:type="dxa"/>
            <w:noWrap w:val="0"/>
            <w:vAlign w:val="center"/>
          </w:tcPr>
          <w:p w14:paraId="10C04892">
            <w:pPr>
              <w:spacing w:line="400" w:lineRule="exact"/>
              <w:jc w:val="left"/>
              <w:rPr>
                <w:rFonts w:hint="eastAsia" w:ascii="仿宋" w:hAnsi="仿宋" w:eastAsia="仿宋"/>
                <w:szCs w:val="21"/>
                <w:highlight w:val="none"/>
              </w:rPr>
            </w:pPr>
            <w:r>
              <w:rPr>
                <w:rFonts w:hint="eastAsia" w:ascii="仿宋" w:hAnsi="仿宋" w:eastAsia="仿宋"/>
                <w:szCs w:val="21"/>
                <w:highlight w:val="none"/>
              </w:rPr>
              <w:t>□通过</w:t>
            </w:r>
          </w:p>
          <w:p w14:paraId="54AB6F81">
            <w:pPr>
              <w:spacing w:line="400" w:lineRule="exact"/>
              <w:jc w:val="left"/>
              <w:rPr>
                <w:rFonts w:hint="eastAsia" w:ascii="仿宋" w:hAnsi="仿宋" w:eastAsia="仿宋"/>
                <w:szCs w:val="21"/>
                <w:highlight w:val="none"/>
              </w:rPr>
            </w:pPr>
            <w:r>
              <w:rPr>
                <w:rFonts w:hint="eastAsia" w:ascii="仿宋" w:hAnsi="仿宋" w:eastAsia="仿宋"/>
                <w:szCs w:val="21"/>
                <w:highlight w:val="none"/>
              </w:rPr>
              <w:t>□不通过</w:t>
            </w:r>
          </w:p>
        </w:tc>
        <w:tc>
          <w:tcPr>
            <w:tcW w:w="1785" w:type="dxa"/>
            <w:noWrap w:val="0"/>
            <w:vAlign w:val="center"/>
          </w:tcPr>
          <w:p w14:paraId="2D4D1CE7">
            <w:pPr>
              <w:spacing w:line="400" w:lineRule="exact"/>
              <w:jc w:val="center"/>
              <w:rPr>
                <w:rFonts w:hint="eastAsia" w:ascii="仿宋" w:hAnsi="仿宋" w:eastAsia="仿宋"/>
                <w:szCs w:val="21"/>
                <w:highlight w:val="none"/>
              </w:rPr>
            </w:pPr>
          </w:p>
        </w:tc>
      </w:tr>
    </w:tbl>
    <w:p w14:paraId="081E79F7">
      <w:pPr>
        <w:snapToGrid w:val="0"/>
        <w:spacing w:line="360" w:lineRule="auto"/>
        <w:jc w:val="left"/>
        <w:rPr>
          <w:rFonts w:hint="eastAsia" w:ascii="仿宋" w:hAnsi="仿宋" w:eastAsia="仿宋" w:cs="仿宋"/>
          <w:b/>
          <w:sz w:val="32"/>
          <w:szCs w:val="32"/>
          <w:highlight w:val="none"/>
        </w:rPr>
      </w:pPr>
      <w:r>
        <w:rPr>
          <w:rFonts w:hint="eastAsia" w:ascii="仿宋" w:hAnsi="仿宋" w:eastAsia="仿宋" w:cs="仿宋"/>
          <w:b/>
          <w:sz w:val="24"/>
          <w:highlight w:val="none"/>
        </w:rPr>
        <w:t>备注：投标人自查表将作为投标人有效性审查的重要内容之一，投标人必须严格按照其内容及序列要求在投标文件中对应如实提供，对</w:t>
      </w:r>
      <w:r>
        <w:rPr>
          <w:rFonts w:hint="eastAsia" w:ascii="仿宋" w:hAnsi="仿宋" w:eastAsia="仿宋" w:cs="仿宋"/>
          <w:b/>
          <w:sz w:val="24"/>
          <w:highlight w:val="none"/>
          <w:lang w:val="en-US" w:eastAsia="zh-CN"/>
        </w:rPr>
        <w:t>符合</w:t>
      </w:r>
      <w:r>
        <w:rPr>
          <w:rFonts w:hint="eastAsia" w:ascii="仿宋" w:hAnsi="仿宋" w:eastAsia="仿宋" w:cs="仿宋"/>
          <w:b/>
          <w:sz w:val="24"/>
          <w:highlight w:val="none"/>
        </w:rPr>
        <w:t>性证明文件的任何缺漏和不符合项将会直接导致投标无效！</w:t>
      </w:r>
    </w:p>
    <w:p w14:paraId="10F7CA1A">
      <w:pPr>
        <w:numPr>
          <w:ilvl w:val="0"/>
          <w:numId w:val="6"/>
        </w:numPr>
        <w:snapToGrid w:val="0"/>
        <w:spacing w:line="360" w:lineRule="auto"/>
        <w:jc w:val="center"/>
        <w:outlineLvl w:val="0"/>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br w:type="page"/>
      </w:r>
      <w:r>
        <w:rPr>
          <w:rFonts w:hint="eastAsia" w:ascii="仿宋" w:hAnsi="仿宋" w:eastAsia="仿宋" w:cs="仿宋"/>
          <w:b/>
          <w:kern w:val="0"/>
          <w:sz w:val="32"/>
          <w:szCs w:val="32"/>
          <w:highlight w:val="none"/>
        </w:rPr>
        <w:t>投标</w:t>
      </w:r>
      <w:r>
        <w:rPr>
          <w:rFonts w:hint="eastAsia" w:ascii="仿宋" w:hAnsi="仿宋" w:eastAsia="仿宋" w:cs="仿宋"/>
          <w:b/>
          <w:sz w:val="32"/>
          <w:szCs w:val="32"/>
          <w:highlight w:val="none"/>
        </w:rPr>
        <w:t>函</w:t>
      </w:r>
    </w:p>
    <w:p w14:paraId="10D8806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宁波越升质量技术服务有限公司</w:t>
      </w:r>
      <w:r>
        <w:rPr>
          <w:rFonts w:hint="eastAsia" w:ascii="仿宋" w:hAnsi="仿宋" w:eastAsia="仿宋" w:cs="仿宋"/>
          <w:sz w:val="24"/>
          <w:highlight w:val="none"/>
        </w:rPr>
        <w:t>/</w:t>
      </w:r>
      <w:r>
        <w:rPr>
          <w:rFonts w:hint="eastAsia" w:ascii="仿宋" w:hAnsi="仿宋" w:eastAsia="仿宋" w:cs="仿宋"/>
          <w:sz w:val="24"/>
          <w:highlight w:val="none"/>
          <w:lang w:eastAsia="zh-CN"/>
        </w:rPr>
        <w:t>宁波市北仑中学</w:t>
      </w:r>
      <w:r>
        <w:rPr>
          <w:rFonts w:hint="eastAsia" w:ascii="仿宋" w:hAnsi="仿宋" w:eastAsia="仿宋" w:cs="仿宋"/>
          <w:sz w:val="24"/>
          <w:highlight w:val="none"/>
        </w:rPr>
        <w:t>：</w:t>
      </w:r>
    </w:p>
    <w:p w14:paraId="27F362D6">
      <w:pPr>
        <w:snapToGrid w:val="0"/>
        <w:spacing w:line="360" w:lineRule="auto"/>
        <w:ind w:firstLine="480" w:firstLineChars="200"/>
        <w:rPr>
          <w:rFonts w:hint="eastAsia" w:ascii="仿宋" w:hAnsi="仿宋" w:eastAsia="仿宋" w:cs="仿宋"/>
          <w:sz w:val="24"/>
          <w:highlight w:val="none"/>
        </w:rPr>
      </w:pPr>
    </w:p>
    <w:p w14:paraId="4039645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我方参加你方组织的</w:t>
      </w:r>
      <w:r>
        <w:rPr>
          <w:rFonts w:hint="eastAsia" w:ascii="仿宋" w:hAnsi="仿宋" w:eastAsia="仿宋" w:cs="仿宋"/>
          <w:sz w:val="24"/>
          <w:highlight w:val="none"/>
          <w:u w:val="single"/>
          <w:lang w:eastAsia="zh-CN"/>
        </w:rPr>
        <w:t>北仑中学、顾国和外国语学校高中部2025年教师疗休养服务采购项目</w:t>
      </w:r>
      <w:r>
        <w:rPr>
          <w:rFonts w:hint="eastAsia" w:ascii="仿宋" w:hAnsi="仿宋" w:eastAsia="仿宋" w:cs="仿宋"/>
          <w:sz w:val="24"/>
          <w:highlight w:val="none"/>
        </w:rPr>
        <w:t>【招标编号：</w:t>
      </w:r>
      <w:r>
        <w:rPr>
          <w:rFonts w:hint="eastAsia" w:ascii="仿宋" w:hAnsi="仿宋" w:eastAsia="仿宋" w:cs="仿宋"/>
          <w:sz w:val="24"/>
          <w:highlight w:val="none"/>
          <w:lang w:eastAsia="zh-CN"/>
        </w:rPr>
        <w:t>NBYS2025145G</w:t>
      </w:r>
      <w:r>
        <w:rPr>
          <w:rFonts w:hint="eastAsia" w:ascii="仿宋" w:hAnsi="仿宋" w:eastAsia="仿宋" w:cs="仿宋"/>
          <w:sz w:val="24"/>
          <w:highlight w:val="none"/>
        </w:rPr>
        <w:t>】招标的有关活动，并对此项目进行投标。为此：</w:t>
      </w:r>
    </w:p>
    <w:p w14:paraId="706270BF">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1、我方承诺投标有效期从提交投标文件的截止之日起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r>
        <w:rPr>
          <w:rFonts w:hint="eastAsia" w:ascii="仿宋" w:hAnsi="仿宋" w:eastAsia="仿宋" w:cs="仿宋"/>
          <w:highlight w:val="none"/>
        </w:rPr>
        <w:t>，</w:t>
      </w:r>
      <w:r>
        <w:rPr>
          <w:rFonts w:hint="eastAsia" w:ascii="仿宋" w:hAnsi="仿宋" w:eastAsia="仿宋" w:cs="仿宋"/>
          <w:sz w:val="24"/>
          <w:highlight w:val="none"/>
        </w:rPr>
        <w:t>本投标文件在投标有效期满之前均具有约束力。</w:t>
      </w:r>
    </w:p>
    <w:p w14:paraId="79A66FC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2、我方的投标文件包括以下内容：</w:t>
      </w:r>
    </w:p>
    <w:p w14:paraId="0207E5CB">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2.1资格文件：</w:t>
      </w:r>
    </w:p>
    <w:p w14:paraId="36AC9A99">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2.1.1有效的企业法人营业执照（或事业法人登记证）、其他组织（个体工商户）的营业执照或者民办非企业单位登记证书；</w:t>
      </w:r>
    </w:p>
    <w:p w14:paraId="3DE579A3">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2.1.2符合参加政府采购活动应当具备的一般条件的承诺函；</w:t>
      </w:r>
    </w:p>
    <w:p w14:paraId="41D9F3F3">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2.1.3落实政府采购政策需满足的资格要求；（必须提供满足下列清单之一）</w:t>
      </w:r>
    </w:p>
    <w:p w14:paraId="427574A7">
      <w:pPr>
        <w:snapToGrid w:val="0"/>
        <w:spacing w:line="360" w:lineRule="auto"/>
        <w:ind w:left="420" w:leftChars="200" w:firstLine="720" w:firstLineChars="300"/>
        <w:rPr>
          <w:rFonts w:hint="eastAsia" w:ascii="仿宋" w:hAnsi="仿宋" w:eastAsia="仿宋" w:cs="仿宋"/>
          <w:sz w:val="24"/>
          <w:highlight w:val="none"/>
        </w:rPr>
      </w:pPr>
      <w:r>
        <w:rPr>
          <w:rFonts w:hint="eastAsia" w:ascii="仿宋" w:hAnsi="仿宋" w:eastAsia="仿宋" w:cs="仿宋"/>
          <w:sz w:val="24"/>
          <w:highlight w:val="none"/>
        </w:rPr>
        <w:t>2.1.3.1中小企业声明函；</w:t>
      </w:r>
    </w:p>
    <w:p w14:paraId="66D56661">
      <w:pPr>
        <w:snapToGrid w:val="0"/>
        <w:spacing w:line="360" w:lineRule="auto"/>
        <w:ind w:left="420" w:leftChars="200" w:firstLine="720" w:firstLineChars="300"/>
        <w:rPr>
          <w:rFonts w:hint="eastAsia" w:ascii="仿宋" w:hAnsi="仿宋" w:eastAsia="仿宋" w:cs="仿宋"/>
          <w:sz w:val="24"/>
          <w:highlight w:val="none"/>
        </w:rPr>
      </w:pPr>
      <w:r>
        <w:rPr>
          <w:rFonts w:hint="eastAsia" w:ascii="仿宋" w:hAnsi="仿宋" w:eastAsia="仿宋" w:cs="仿宋"/>
          <w:sz w:val="24"/>
          <w:highlight w:val="none"/>
        </w:rPr>
        <w:t>2.1.3.2残疾人福利性单位声明函；</w:t>
      </w:r>
    </w:p>
    <w:p w14:paraId="5F917355">
      <w:pPr>
        <w:snapToGrid w:val="0"/>
        <w:spacing w:line="360" w:lineRule="auto"/>
        <w:ind w:left="420" w:leftChars="200" w:firstLine="720" w:firstLineChars="300"/>
        <w:rPr>
          <w:rFonts w:hint="eastAsia" w:ascii="仿宋" w:hAnsi="仿宋" w:eastAsia="仿宋" w:cs="仿宋"/>
          <w:sz w:val="24"/>
          <w:highlight w:val="none"/>
        </w:rPr>
      </w:pPr>
      <w:r>
        <w:rPr>
          <w:rFonts w:hint="eastAsia" w:ascii="仿宋" w:hAnsi="仿宋" w:eastAsia="仿宋" w:cs="仿宋"/>
          <w:sz w:val="24"/>
          <w:highlight w:val="none"/>
        </w:rPr>
        <w:t>2.1.3.3监狱企业的证明文件；</w:t>
      </w:r>
    </w:p>
    <w:p w14:paraId="2F1E0A6B">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2.1.4联合协议（如果有）；</w:t>
      </w:r>
    </w:p>
    <w:p w14:paraId="4B932358">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2.1.5分包意向协议（如果有）；</w:t>
      </w:r>
    </w:p>
    <w:p w14:paraId="38BA42FA">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2.1.6本项目的特定资格要求。</w:t>
      </w:r>
    </w:p>
    <w:p w14:paraId="7C0E5BA6">
      <w:pPr>
        <w:snapToGrid w:val="0"/>
        <w:spacing w:line="360" w:lineRule="auto"/>
        <w:ind w:left="210" w:leftChars="1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2商务技术</w:t>
      </w:r>
      <w:r>
        <w:rPr>
          <w:rFonts w:hint="eastAsia" w:ascii="仿宋" w:hAnsi="仿宋" w:eastAsia="仿宋" w:cs="仿宋"/>
          <w:sz w:val="24"/>
          <w:highlight w:val="none"/>
          <w:lang w:val="zh-CN"/>
        </w:rPr>
        <w:t>文件：</w:t>
      </w:r>
    </w:p>
    <w:p w14:paraId="62169C50">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2.2.1符合性自查表；</w:t>
      </w:r>
    </w:p>
    <w:p w14:paraId="29B7D88C">
      <w:pPr>
        <w:snapToGrid w:val="0"/>
        <w:spacing w:line="360" w:lineRule="auto"/>
        <w:ind w:left="420" w:leftChars="200" w:firstLine="480" w:firstLineChars="200"/>
        <w:rPr>
          <w:rFonts w:hint="eastAsia" w:ascii="仿宋" w:hAnsi="仿宋" w:eastAsia="仿宋" w:cs="仿宋"/>
          <w:highlight w:val="none"/>
          <w:lang w:val="zh-CN"/>
        </w:rPr>
      </w:pPr>
      <w:r>
        <w:rPr>
          <w:rFonts w:hint="eastAsia" w:ascii="仿宋" w:hAnsi="仿宋" w:eastAsia="仿宋" w:cs="仿宋"/>
          <w:sz w:val="24"/>
          <w:highlight w:val="none"/>
        </w:rPr>
        <w:t>2.2.2投标函；</w:t>
      </w:r>
      <w:r>
        <w:rPr>
          <w:rFonts w:hint="eastAsia" w:ascii="仿宋" w:hAnsi="仿宋" w:eastAsia="仿宋" w:cs="仿宋"/>
          <w:sz w:val="24"/>
          <w:highlight w:val="none"/>
          <w:lang w:val="zh-CN"/>
        </w:rPr>
        <w:t xml:space="preserve"> </w:t>
      </w:r>
    </w:p>
    <w:p w14:paraId="205433BF">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2.2.3授权委托书或法定代表人（单位负责人）身份证明；</w:t>
      </w:r>
    </w:p>
    <w:p w14:paraId="428E7662">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2.2.4供应商情况表；</w:t>
      </w:r>
    </w:p>
    <w:p w14:paraId="49C98359">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2.2.5距采购人最近或者能为本项目提供最优服务的网点情况表；</w:t>
      </w:r>
    </w:p>
    <w:p w14:paraId="6BEE60B1">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2.2.6</w:t>
      </w:r>
      <w:r>
        <w:rPr>
          <w:rFonts w:hint="eastAsia" w:ascii="仿宋" w:hAnsi="仿宋" w:eastAsia="仿宋" w:cs="仿宋"/>
          <w:sz w:val="24"/>
          <w:highlight w:val="none"/>
          <w:lang w:eastAsia="zh-CN"/>
        </w:rPr>
        <w:t>详细的职工疗休养服务方案</w:t>
      </w:r>
      <w:r>
        <w:rPr>
          <w:rFonts w:hint="eastAsia" w:ascii="仿宋" w:hAnsi="仿宋" w:eastAsia="仿宋" w:cs="仿宋"/>
          <w:sz w:val="24"/>
          <w:highlight w:val="none"/>
        </w:rPr>
        <w:t>；</w:t>
      </w:r>
    </w:p>
    <w:p w14:paraId="11A13AB5">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2.2.7评标标准相应的商务技术资料；</w:t>
      </w:r>
    </w:p>
    <w:p w14:paraId="5E468F2C">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8商务响应表；</w:t>
      </w:r>
    </w:p>
    <w:p w14:paraId="2EC99B1E">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9技术响应表；</w:t>
      </w:r>
    </w:p>
    <w:p w14:paraId="332FE1FB">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10同类业绩情况一览表；</w:t>
      </w:r>
    </w:p>
    <w:p w14:paraId="5221FD83">
      <w:pPr>
        <w:snapToGrid w:val="0"/>
        <w:spacing w:line="360" w:lineRule="auto"/>
        <w:ind w:left="420" w:leftChars="2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2.2.11</w:t>
      </w:r>
      <w:r>
        <w:rPr>
          <w:rFonts w:hint="eastAsia" w:ascii="仿宋" w:hAnsi="仿宋" w:eastAsia="仿宋" w:cs="仿宋"/>
          <w:sz w:val="24"/>
          <w:highlight w:val="none"/>
          <w:lang w:val="zh-CN"/>
        </w:rPr>
        <w:t>政府采购供应商廉洁自律承诺书；</w:t>
      </w:r>
    </w:p>
    <w:p w14:paraId="758AF5A8">
      <w:pPr>
        <w:snapToGrid w:val="0"/>
        <w:spacing w:line="360" w:lineRule="auto"/>
        <w:ind w:left="420" w:leftChars="200" w:firstLine="480" w:firstLineChars="200"/>
        <w:rPr>
          <w:rFonts w:ascii="仿宋" w:hAnsi="仿宋" w:eastAsia="仿宋" w:cs="仿宋"/>
          <w:highlight w:val="none"/>
        </w:rPr>
      </w:pPr>
      <w:r>
        <w:rPr>
          <w:rFonts w:hint="eastAsia" w:ascii="仿宋" w:hAnsi="仿宋" w:eastAsia="仿宋" w:cs="仿宋"/>
          <w:sz w:val="24"/>
          <w:highlight w:val="none"/>
        </w:rPr>
        <w:t>2.2.12其他资料。</w:t>
      </w:r>
    </w:p>
    <w:p w14:paraId="4C14638B">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14:paraId="13653E11">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2.3.1开标一览表；</w:t>
      </w:r>
    </w:p>
    <w:p w14:paraId="05D9DEBA">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2.3.2投标报价明细表；</w:t>
      </w:r>
    </w:p>
    <w:p w14:paraId="3604C359">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2.3.3政府采购统计基础信息表。</w:t>
      </w:r>
    </w:p>
    <w:p w14:paraId="2D4C1B8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3、我方承诺除商务技术偏离表列出的偏离外，我方响应招标文件的全部要求。</w:t>
      </w:r>
    </w:p>
    <w:p w14:paraId="28CE82C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4、如我方中标，我方承诺：</w:t>
      </w:r>
    </w:p>
    <w:p w14:paraId="33FAC645">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4.1在收到中标通知书后，在中标通知书规定的期限内与你方签订合同；</w:t>
      </w:r>
    </w:p>
    <w:p w14:paraId="69C24924">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4.2在签订合同时不向你方提出附加条件；</w:t>
      </w:r>
    </w:p>
    <w:p w14:paraId="075E3D17">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4.3按照招标文件要求提交履约保证金；</w:t>
      </w:r>
    </w:p>
    <w:p w14:paraId="40852DB6">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4.4在合同约定的期限内完成合同规定的全部义务。</w:t>
      </w:r>
    </w:p>
    <w:p w14:paraId="773EB91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5、其他补充说明</w:t>
      </w:r>
      <w:r>
        <w:rPr>
          <w:rFonts w:hint="eastAsia" w:ascii="仿宋" w:hAnsi="仿宋" w:eastAsia="仿宋" w:cs="仿宋"/>
          <w:sz w:val="24"/>
          <w:highlight w:val="none"/>
          <w:lang w:eastAsia="zh-CN"/>
        </w:rPr>
        <w:t>：</w:t>
      </w: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04E4EAE7">
      <w:pPr>
        <w:spacing w:line="360" w:lineRule="auto"/>
        <w:ind w:firstLine="3600" w:firstLineChars="1500"/>
        <w:rPr>
          <w:rFonts w:hint="eastAsia" w:ascii="仿宋" w:hAnsi="仿宋" w:eastAsia="仿宋" w:cs="仿宋"/>
          <w:sz w:val="24"/>
          <w:highlight w:val="none"/>
        </w:rPr>
      </w:pPr>
    </w:p>
    <w:p w14:paraId="4919536B">
      <w:pPr>
        <w:spacing w:line="360" w:lineRule="auto"/>
        <w:ind w:firstLine="3600" w:firstLineChars="1500"/>
        <w:rPr>
          <w:rFonts w:hint="eastAsia" w:ascii="仿宋" w:hAnsi="仿宋" w:eastAsia="仿宋" w:cs="仿宋"/>
          <w:sz w:val="24"/>
          <w:highlight w:val="none"/>
        </w:rPr>
      </w:pPr>
    </w:p>
    <w:p w14:paraId="6E46E5F4">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法定代表人（负责人）或其授权委托人（签名或印章）：</w:t>
      </w:r>
    </w:p>
    <w:p w14:paraId="1067EBB0">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投标人（盖章）：</w:t>
      </w:r>
    </w:p>
    <w:p w14:paraId="3530366F">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日期：</w:t>
      </w:r>
    </w:p>
    <w:p w14:paraId="72EFC01A">
      <w:pPr>
        <w:numPr>
          <w:ilvl w:val="0"/>
          <w:numId w:val="6"/>
        </w:numPr>
        <w:snapToGrid w:val="0"/>
        <w:spacing w:line="360" w:lineRule="auto"/>
        <w:jc w:val="center"/>
        <w:outlineLvl w:val="0"/>
        <w:rPr>
          <w:rFonts w:hint="eastAsia" w:ascii="仿宋" w:hAnsi="仿宋" w:eastAsia="仿宋" w:cs="仿宋"/>
          <w:b/>
          <w:kern w:val="0"/>
          <w:sz w:val="32"/>
          <w:szCs w:val="32"/>
          <w:highlight w:val="none"/>
        </w:rPr>
      </w:pPr>
      <w:bookmarkStart w:id="394" w:name="_Toc488936100"/>
      <w:bookmarkStart w:id="395" w:name="_Toc110393361"/>
      <w:bookmarkStart w:id="396" w:name="_Toc225223761"/>
      <w:bookmarkStart w:id="397" w:name="_Toc14746861"/>
      <w:bookmarkStart w:id="398" w:name="_Toc483379796"/>
      <w:bookmarkStart w:id="399" w:name="_Toc479927873"/>
      <w:r>
        <w:rPr>
          <w:rFonts w:hint="eastAsia" w:ascii="仿宋" w:hAnsi="仿宋" w:eastAsia="仿宋" w:cs="仿宋"/>
          <w:b/>
          <w:kern w:val="0"/>
          <w:sz w:val="32"/>
          <w:szCs w:val="32"/>
          <w:highlight w:val="none"/>
          <w:lang w:val="zh-CN"/>
        </w:rPr>
        <w:br w:type="page"/>
      </w:r>
      <w:r>
        <w:rPr>
          <w:rFonts w:hint="eastAsia" w:ascii="仿宋" w:hAnsi="仿宋" w:eastAsia="仿宋" w:cs="仿宋"/>
          <w:b/>
          <w:kern w:val="0"/>
          <w:sz w:val="32"/>
          <w:szCs w:val="32"/>
          <w:highlight w:val="none"/>
        </w:rPr>
        <w:t>授权委托书或法定代表人（单位负责人、自然人本人）身份证明</w:t>
      </w:r>
    </w:p>
    <w:p w14:paraId="3C5CEF11">
      <w:pPr>
        <w:snapToGrid w:val="0"/>
        <w:spacing w:line="360" w:lineRule="auto"/>
        <w:jc w:val="center"/>
        <w:rPr>
          <w:rFonts w:hint="eastAsia"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授权委托书（适用于非联合体投标）</w:t>
      </w:r>
    </w:p>
    <w:p w14:paraId="14B9E18A">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lang w:eastAsia="zh-CN"/>
        </w:rPr>
        <w:t>宁波越升质量技术服务有限公司</w:t>
      </w:r>
      <w:r>
        <w:rPr>
          <w:rFonts w:hint="eastAsia" w:ascii="仿宋" w:hAnsi="仿宋" w:eastAsia="仿宋" w:cs="仿宋"/>
          <w:sz w:val="24"/>
          <w:highlight w:val="none"/>
        </w:rPr>
        <w:t>/</w:t>
      </w:r>
      <w:r>
        <w:rPr>
          <w:rFonts w:hint="eastAsia" w:ascii="仿宋" w:hAnsi="仿宋" w:eastAsia="仿宋" w:cs="仿宋"/>
          <w:sz w:val="24"/>
          <w:highlight w:val="none"/>
          <w:lang w:eastAsia="zh-CN"/>
        </w:rPr>
        <w:t>宁波市北仑中学</w:t>
      </w:r>
      <w:r>
        <w:rPr>
          <w:rFonts w:hint="eastAsia" w:ascii="仿宋" w:hAnsi="仿宋" w:eastAsia="仿宋" w:cs="仿宋"/>
          <w:kern w:val="0"/>
          <w:sz w:val="24"/>
          <w:highlight w:val="none"/>
          <w:lang w:val="zh-CN"/>
        </w:rPr>
        <w:t>：</w:t>
      </w:r>
    </w:p>
    <w:p w14:paraId="37FCDE82">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u w:val="single"/>
          <w:lang w:eastAsia="zh-CN"/>
        </w:rPr>
        <w:t>北仑中学、顾国和外国语学校高中部2025年教师疗休养服务采购项目</w:t>
      </w:r>
      <w:r>
        <w:rPr>
          <w:rFonts w:hint="eastAsia" w:ascii="仿宋" w:hAnsi="仿宋" w:eastAsia="仿宋" w:cs="仿宋"/>
          <w:sz w:val="24"/>
          <w:highlight w:val="none"/>
        </w:rPr>
        <w:t>【招标编号：</w:t>
      </w:r>
      <w:r>
        <w:rPr>
          <w:rFonts w:hint="eastAsia" w:ascii="仿宋" w:hAnsi="仿宋" w:eastAsia="仿宋" w:cs="仿宋"/>
          <w:sz w:val="24"/>
          <w:highlight w:val="none"/>
          <w:u w:val="single"/>
          <w:lang w:eastAsia="zh-CN"/>
        </w:rPr>
        <w:t>NBYS2025145G</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政府采购投标的一切事项，其法律后果由我方承担。</w:t>
      </w:r>
    </w:p>
    <w:p w14:paraId="374825CE">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日止。</w:t>
      </w:r>
    </w:p>
    <w:p w14:paraId="29E37B9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特此告知。</w:t>
      </w:r>
    </w:p>
    <w:p w14:paraId="331E5556">
      <w:pPr>
        <w:pStyle w:val="28"/>
        <w:ind w:firstLine="560"/>
        <w:rPr>
          <w:rFonts w:hint="eastAsia"/>
          <w:highlight w:val="none"/>
          <w:lang w:val="zh-CN"/>
        </w:rPr>
      </w:pPr>
    </w:p>
    <w:p w14:paraId="78E8D2FC">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投标人名称(电子签名)：</w:t>
      </w:r>
    </w:p>
    <w:p w14:paraId="4B86D495">
      <w:pPr>
        <w:snapToGrid w:val="0"/>
        <w:spacing w:line="360" w:lineRule="auto"/>
        <w:rPr>
          <w:rFonts w:hint="eastAsia" w:ascii="仿宋" w:hAnsi="仿宋" w:eastAsia="仿宋" w:cs="仿宋"/>
          <w:sz w:val="24"/>
          <w:highlight w:val="none"/>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日</w:t>
      </w:r>
    </w:p>
    <w:p w14:paraId="3556B815">
      <w:pPr>
        <w:snapToGrid w:val="0"/>
        <w:spacing w:line="360" w:lineRule="auto"/>
        <w:rPr>
          <w:rFonts w:hint="eastAsia" w:ascii="仿宋" w:hAnsi="仿宋" w:eastAsia="仿宋" w:cs="仿宋"/>
          <w:sz w:val="24"/>
          <w:highlight w:val="none"/>
        </w:rPr>
      </w:pPr>
    </w:p>
    <w:p w14:paraId="234C67D5">
      <w:pPr>
        <w:pStyle w:val="28"/>
        <w:ind w:firstLine="560"/>
        <w:rPr>
          <w:rFonts w:hint="eastAsia"/>
          <w:highlight w:val="none"/>
        </w:rPr>
      </w:pPr>
    </w:p>
    <w:p w14:paraId="787EE43C">
      <w:pPr>
        <w:pStyle w:val="28"/>
        <w:ind w:firstLine="560"/>
        <w:rPr>
          <w:rFonts w:hint="eastAsia"/>
          <w:highlight w:val="none"/>
        </w:rPr>
      </w:pPr>
    </w:p>
    <w:p w14:paraId="2F99B314">
      <w:pPr>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授权委托书（适用于联合体投标）</w:t>
      </w:r>
    </w:p>
    <w:p w14:paraId="351804AC">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sz w:val="24"/>
          <w:highlight w:val="none"/>
          <w:lang w:eastAsia="zh-CN"/>
        </w:rPr>
        <w:t>宁波越升质量技术服务有限公司</w:t>
      </w:r>
      <w:r>
        <w:rPr>
          <w:rFonts w:hint="eastAsia" w:ascii="仿宋" w:hAnsi="仿宋" w:eastAsia="仿宋" w:cs="仿宋"/>
          <w:sz w:val="24"/>
          <w:highlight w:val="none"/>
        </w:rPr>
        <w:t>/</w:t>
      </w:r>
      <w:r>
        <w:rPr>
          <w:rFonts w:hint="eastAsia" w:ascii="仿宋" w:hAnsi="仿宋" w:eastAsia="仿宋" w:cs="仿宋"/>
          <w:sz w:val="24"/>
          <w:highlight w:val="none"/>
          <w:lang w:eastAsia="zh-CN"/>
        </w:rPr>
        <w:t>宁波市北仑中学</w:t>
      </w:r>
      <w:r>
        <w:rPr>
          <w:rFonts w:hint="eastAsia" w:ascii="仿宋" w:hAnsi="仿宋" w:eastAsia="仿宋" w:cs="仿宋"/>
          <w:kern w:val="0"/>
          <w:sz w:val="24"/>
          <w:highlight w:val="none"/>
          <w:lang w:val="zh-CN"/>
        </w:rPr>
        <w:t>：</w:t>
      </w:r>
    </w:p>
    <w:p w14:paraId="4BB9820E">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u w:val="single"/>
          <w:lang w:eastAsia="zh-CN"/>
        </w:rPr>
        <w:t>北仑中学、顾国和外国语学校高中部2025年教师疗休养服务采购项目</w:t>
      </w:r>
      <w:r>
        <w:rPr>
          <w:rFonts w:hint="eastAsia" w:ascii="仿宋" w:hAnsi="仿宋" w:eastAsia="仿宋" w:cs="仿宋"/>
          <w:sz w:val="24"/>
          <w:highlight w:val="none"/>
        </w:rPr>
        <w:t>【招标编号：</w:t>
      </w:r>
      <w:r>
        <w:rPr>
          <w:rFonts w:hint="eastAsia" w:ascii="仿宋" w:hAnsi="仿宋" w:eastAsia="仿宋" w:cs="仿宋"/>
          <w:sz w:val="24"/>
          <w:highlight w:val="none"/>
          <w:u w:val="single"/>
          <w:lang w:eastAsia="zh-CN"/>
        </w:rPr>
        <w:t>NBYS2025145G</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政府采购投标的一切事项，其法律后果由我方承担。</w:t>
      </w:r>
    </w:p>
    <w:p w14:paraId="2E6F61E1">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日止。</w:t>
      </w:r>
    </w:p>
    <w:p w14:paraId="4D046ECB">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特此告知。</w:t>
      </w:r>
    </w:p>
    <w:p w14:paraId="176C16EC">
      <w:pPr>
        <w:snapToGrid w:val="0"/>
        <w:spacing w:line="360" w:lineRule="auto"/>
        <w:ind w:firstLine="3675" w:firstLineChars="1750"/>
        <w:rPr>
          <w:rFonts w:hint="eastAsia" w:ascii="仿宋" w:hAnsi="仿宋" w:eastAsia="仿宋" w:cs="仿宋"/>
          <w:highlight w:val="none"/>
        </w:rPr>
      </w:pPr>
    </w:p>
    <w:p w14:paraId="1BB7D5B0">
      <w:pPr>
        <w:snapToGrid w:val="0"/>
        <w:spacing w:line="360" w:lineRule="auto"/>
        <w:ind w:firstLine="4200" w:firstLineChars="175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27D9B9BA">
      <w:pPr>
        <w:snapToGrid w:val="0"/>
        <w:spacing w:line="360" w:lineRule="auto"/>
        <w:ind w:firstLine="4200" w:firstLineChars="175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17D8D99A">
      <w:pPr>
        <w:snapToGrid w:val="0"/>
        <w:spacing w:line="360" w:lineRule="auto"/>
        <w:ind w:firstLine="4200" w:firstLineChars="175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w:t>
      </w:r>
    </w:p>
    <w:p w14:paraId="4CEEE120">
      <w:pPr>
        <w:snapToGrid w:val="0"/>
        <w:spacing w:line="360" w:lineRule="auto"/>
        <w:ind w:firstLine="4200" w:firstLineChars="175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日</w:t>
      </w:r>
    </w:p>
    <w:p w14:paraId="366E3078">
      <w:pPr>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br w:type="page"/>
      </w: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14:paraId="2D6F55FA">
      <w:pPr>
        <w:pStyle w:val="35"/>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797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333364E9">
            <w:pPr>
              <w:pStyle w:val="35"/>
              <w:adjustRightIn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                                 反面：</w:t>
            </w:r>
          </w:p>
          <w:p w14:paraId="11325F55">
            <w:pPr>
              <w:pStyle w:val="35"/>
              <w:adjustRightInd w:val="0"/>
              <w:spacing w:line="360" w:lineRule="auto"/>
              <w:rPr>
                <w:rFonts w:hint="eastAsia" w:ascii="仿宋" w:hAnsi="仿宋" w:eastAsia="仿宋" w:cs="仿宋"/>
                <w:bCs/>
                <w:sz w:val="24"/>
                <w:highlight w:val="none"/>
              </w:rPr>
            </w:pPr>
          </w:p>
        </w:tc>
      </w:tr>
    </w:tbl>
    <w:p w14:paraId="1F5B4AA8">
      <w:pPr>
        <w:adjustRightInd w:val="0"/>
        <w:spacing w:line="360" w:lineRule="auto"/>
        <w:jc w:val="left"/>
        <w:rPr>
          <w:rFonts w:hint="eastAsia" w:ascii="仿宋" w:hAnsi="仿宋" w:eastAsia="仿宋" w:cs="仿宋"/>
          <w:kern w:val="0"/>
          <w:sz w:val="24"/>
          <w:highlight w:val="none"/>
          <w:lang w:val="zh-CN"/>
        </w:rPr>
      </w:pPr>
    </w:p>
    <w:p w14:paraId="18001F43">
      <w:pPr>
        <w:adjustRightInd w:val="0"/>
        <w:spacing w:line="360" w:lineRule="auto"/>
        <w:jc w:val="left"/>
        <w:rPr>
          <w:rFonts w:hint="eastAsia" w:ascii="仿宋" w:hAnsi="仿宋" w:eastAsia="仿宋" w:cs="仿宋"/>
          <w:kern w:val="0"/>
          <w:sz w:val="24"/>
          <w:highlight w:val="none"/>
          <w:lang w:val="zh-CN"/>
        </w:rPr>
      </w:pPr>
    </w:p>
    <w:p w14:paraId="1D739E6D">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法定代表人（负责人）或其授权委托人（签名或印章）：</w:t>
      </w:r>
    </w:p>
    <w:p w14:paraId="0D3F0960">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投标人（盖章）：</w:t>
      </w:r>
    </w:p>
    <w:p w14:paraId="1D3939FB">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日期：</w:t>
      </w:r>
    </w:p>
    <w:p w14:paraId="49F54348">
      <w:pPr>
        <w:pStyle w:val="28"/>
        <w:ind w:firstLine="560"/>
        <w:rPr>
          <w:rFonts w:hint="eastAsia"/>
          <w:highlight w:val="none"/>
        </w:rPr>
      </w:pPr>
    </w:p>
    <w:p w14:paraId="4B079956">
      <w:pPr>
        <w:numPr>
          <w:ilvl w:val="0"/>
          <w:numId w:val="6"/>
        </w:numPr>
        <w:snapToGrid w:val="0"/>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br w:type="page"/>
      </w:r>
      <w:r>
        <w:rPr>
          <w:rFonts w:hint="eastAsia" w:ascii="仿宋" w:hAnsi="仿宋" w:eastAsia="仿宋" w:cs="仿宋"/>
          <w:b/>
          <w:kern w:val="0"/>
          <w:sz w:val="32"/>
          <w:szCs w:val="32"/>
          <w:highlight w:val="none"/>
        </w:rPr>
        <w:t>投标人基本情况</w:t>
      </w:r>
      <w:bookmarkEnd w:id="394"/>
      <w:bookmarkEnd w:id="395"/>
      <w:bookmarkEnd w:id="396"/>
      <w:bookmarkEnd w:id="397"/>
      <w:bookmarkEnd w:id="398"/>
      <w:bookmarkEnd w:id="399"/>
      <w:r>
        <w:rPr>
          <w:rFonts w:hint="eastAsia" w:ascii="仿宋" w:hAnsi="仿宋" w:eastAsia="仿宋" w:cs="仿宋"/>
          <w:b/>
          <w:kern w:val="0"/>
          <w:sz w:val="32"/>
          <w:szCs w:val="32"/>
          <w:highlight w:val="none"/>
        </w:rPr>
        <w:t>表</w:t>
      </w:r>
    </w:p>
    <w:tbl>
      <w:tblPr>
        <w:tblStyle w:val="17"/>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54EF1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6EC32B30">
            <w:pPr>
              <w:jc w:val="center"/>
              <w:rPr>
                <w:rFonts w:hint="eastAsia" w:ascii="仿宋" w:hAnsi="仿宋" w:eastAsia="仿宋"/>
                <w:szCs w:val="21"/>
                <w:highlight w:val="none"/>
              </w:rPr>
            </w:pPr>
            <w:r>
              <w:rPr>
                <w:rFonts w:hint="eastAsia" w:ascii="仿宋" w:hAnsi="仿宋" w:eastAsia="仿宋"/>
                <w:szCs w:val="21"/>
                <w:highlight w:val="none"/>
              </w:rPr>
              <w:t>投标人名称</w:t>
            </w:r>
          </w:p>
        </w:tc>
        <w:tc>
          <w:tcPr>
            <w:tcW w:w="7647" w:type="dxa"/>
            <w:gridSpan w:val="5"/>
            <w:noWrap w:val="0"/>
            <w:vAlign w:val="center"/>
          </w:tcPr>
          <w:p w14:paraId="7B38B0D7">
            <w:pPr>
              <w:jc w:val="center"/>
              <w:rPr>
                <w:rFonts w:hint="eastAsia" w:ascii="仿宋" w:hAnsi="仿宋" w:eastAsia="仿宋"/>
                <w:szCs w:val="21"/>
                <w:highlight w:val="none"/>
              </w:rPr>
            </w:pPr>
          </w:p>
        </w:tc>
      </w:tr>
      <w:tr w14:paraId="53A4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185A974A">
            <w:pPr>
              <w:jc w:val="center"/>
              <w:rPr>
                <w:rFonts w:hint="eastAsia" w:ascii="仿宋" w:hAnsi="仿宋" w:eastAsia="仿宋"/>
                <w:szCs w:val="21"/>
                <w:highlight w:val="none"/>
              </w:rPr>
            </w:pPr>
            <w:r>
              <w:rPr>
                <w:rFonts w:hint="eastAsia" w:ascii="仿宋" w:hAnsi="仿宋" w:eastAsia="仿宋"/>
                <w:szCs w:val="21"/>
                <w:highlight w:val="none"/>
              </w:rPr>
              <w:t>注册地址</w:t>
            </w:r>
          </w:p>
        </w:tc>
        <w:tc>
          <w:tcPr>
            <w:tcW w:w="2809" w:type="dxa"/>
            <w:gridSpan w:val="2"/>
            <w:noWrap w:val="0"/>
            <w:vAlign w:val="center"/>
          </w:tcPr>
          <w:p w14:paraId="2A9CEB7C">
            <w:pPr>
              <w:jc w:val="center"/>
              <w:rPr>
                <w:rFonts w:hint="eastAsia" w:ascii="仿宋" w:hAnsi="仿宋" w:eastAsia="仿宋"/>
                <w:szCs w:val="21"/>
                <w:highlight w:val="none"/>
              </w:rPr>
            </w:pPr>
          </w:p>
        </w:tc>
        <w:tc>
          <w:tcPr>
            <w:tcW w:w="1786" w:type="dxa"/>
            <w:noWrap w:val="0"/>
            <w:vAlign w:val="center"/>
          </w:tcPr>
          <w:p w14:paraId="002E3C4F">
            <w:pPr>
              <w:jc w:val="center"/>
              <w:rPr>
                <w:rFonts w:hint="eastAsia" w:ascii="仿宋" w:hAnsi="仿宋" w:eastAsia="仿宋"/>
                <w:szCs w:val="21"/>
                <w:highlight w:val="none"/>
              </w:rPr>
            </w:pPr>
            <w:r>
              <w:rPr>
                <w:rFonts w:hint="eastAsia" w:ascii="仿宋" w:hAnsi="仿宋" w:eastAsia="仿宋"/>
                <w:szCs w:val="21"/>
                <w:highlight w:val="none"/>
              </w:rPr>
              <w:t>成立时间</w:t>
            </w:r>
          </w:p>
        </w:tc>
        <w:tc>
          <w:tcPr>
            <w:tcW w:w="3052" w:type="dxa"/>
            <w:gridSpan w:val="2"/>
            <w:noWrap w:val="0"/>
            <w:vAlign w:val="center"/>
          </w:tcPr>
          <w:p w14:paraId="1D0E6E6B">
            <w:pPr>
              <w:jc w:val="center"/>
              <w:rPr>
                <w:rFonts w:hint="eastAsia" w:ascii="仿宋" w:hAnsi="仿宋" w:eastAsia="仿宋"/>
                <w:szCs w:val="21"/>
                <w:highlight w:val="none"/>
              </w:rPr>
            </w:pPr>
          </w:p>
        </w:tc>
      </w:tr>
      <w:tr w14:paraId="740D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7DBE47CE">
            <w:pPr>
              <w:jc w:val="center"/>
              <w:rPr>
                <w:rFonts w:hint="eastAsia" w:ascii="仿宋" w:hAnsi="仿宋" w:eastAsia="仿宋"/>
                <w:szCs w:val="21"/>
                <w:highlight w:val="none"/>
              </w:rPr>
            </w:pPr>
            <w:r>
              <w:rPr>
                <w:rFonts w:hint="eastAsia" w:ascii="仿宋" w:hAnsi="仿宋" w:eastAsia="仿宋"/>
                <w:szCs w:val="21"/>
                <w:highlight w:val="none"/>
              </w:rPr>
              <w:t>统一信用代码</w:t>
            </w:r>
          </w:p>
        </w:tc>
        <w:tc>
          <w:tcPr>
            <w:tcW w:w="2809" w:type="dxa"/>
            <w:gridSpan w:val="2"/>
            <w:noWrap w:val="0"/>
            <w:vAlign w:val="center"/>
          </w:tcPr>
          <w:p w14:paraId="178D840F">
            <w:pPr>
              <w:jc w:val="center"/>
              <w:rPr>
                <w:rFonts w:hint="eastAsia" w:ascii="仿宋" w:hAnsi="仿宋" w:eastAsia="仿宋"/>
                <w:szCs w:val="21"/>
                <w:highlight w:val="none"/>
              </w:rPr>
            </w:pPr>
          </w:p>
        </w:tc>
        <w:tc>
          <w:tcPr>
            <w:tcW w:w="1786" w:type="dxa"/>
            <w:noWrap w:val="0"/>
            <w:vAlign w:val="center"/>
          </w:tcPr>
          <w:p w14:paraId="59A1E4D3">
            <w:pPr>
              <w:jc w:val="center"/>
              <w:rPr>
                <w:rFonts w:hint="eastAsia" w:ascii="仿宋" w:hAnsi="仿宋" w:eastAsia="仿宋"/>
                <w:szCs w:val="21"/>
                <w:highlight w:val="none"/>
              </w:rPr>
            </w:pPr>
            <w:r>
              <w:rPr>
                <w:rFonts w:hint="eastAsia" w:ascii="仿宋" w:hAnsi="仿宋" w:eastAsia="仿宋"/>
                <w:szCs w:val="21"/>
                <w:highlight w:val="none"/>
              </w:rPr>
              <w:t>注册资金</w:t>
            </w:r>
          </w:p>
        </w:tc>
        <w:tc>
          <w:tcPr>
            <w:tcW w:w="3052" w:type="dxa"/>
            <w:gridSpan w:val="2"/>
            <w:noWrap w:val="0"/>
            <w:vAlign w:val="center"/>
          </w:tcPr>
          <w:p w14:paraId="39BF5417">
            <w:pPr>
              <w:jc w:val="center"/>
              <w:rPr>
                <w:rFonts w:hint="eastAsia" w:ascii="仿宋" w:hAnsi="仿宋" w:eastAsia="仿宋"/>
                <w:szCs w:val="21"/>
                <w:highlight w:val="none"/>
              </w:rPr>
            </w:pPr>
          </w:p>
        </w:tc>
      </w:tr>
      <w:tr w14:paraId="26FA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3288D425">
            <w:pPr>
              <w:jc w:val="center"/>
              <w:rPr>
                <w:rFonts w:hint="eastAsia" w:ascii="仿宋" w:hAnsi="仿宋" w:eastAsia="仿宋"/>
                <w:szCs w:val="21"/>
                <w:highlight w:val="none"/>
              </w:rPr>
            </w:pPr>
            <w:r>
              <w:rPr>
                <w:rFonts w:hint="eastAsia" w:ascii="仿宋" w:hAnsi="仿宋" w:eastAsia="仿宋"/>
                <w:szCs w:val="21"/>
                <w:highlight w:val="none"/>
              </w:rPr>
              <w:t>投标联系人姓名</w:t>
            </w:r>
          </w:p>
        </w:tc>
        <w:tc>
          <w:tcPr>
            <w:tcW w:w="1936" w:type="dxa"/>
            <w:noWrap w:val="0"/>
            <w:vAlign w:val="center"/>
          </w:tcPr>
          <w:p w14:paraId="0E5B6ED1">
            <w:pPr>
              <w:jc w:val="center"/>
              <w:rPr>
                <w:rFonts w:hint="eastAsia" w:ascii="仿宋" w:hAnsi="仿宋" w:eastAsia="仿宋"/>
                <w:szCs w:val="21"/>
                <w:highlight w:val="none"/>
              </w:rPr>
            </w:pPr>
          </w:p>
        </w:tc>
        <w:tc>
          <w:tcPr>
            <w:tcW w:w="873" w:type="dxa"/>
            <w:noWrap w:val="0"/>
            <w:vAlign w:val="center"/>
          </w:tcPr>
          <w:p w14:paraId="7BBBE8BB">
            <w:pPr>
              <w:jc w:val="center"/>
              <w:rPr>
                <w:rFonts w:hint="eastAsia" w:ascii="仿宋" w:hAnsi="仿宋" w:eastAsia="仿宋"/>
                <w:szCs w:val="21"/>
                <w:highlight w:val="none"/>
              </w:rPr>
            </w:pPr>
            <w:r>
              <w:rPr>
                <w:rFonts w:hint="eastAsia" w:ascii="仿宋" w:hAnsi="仿宋" w:eastAsia="仿宋"/>
                <w:szCs w:val="21"/>
                <w:highlight w:val="none"/>
              </w:rPr>
              <w:t>电话</w:t>
            </w:r>
          </w:p>
        </w:tc>
        <w:tc>
          <w:tcPr>
            <w:tcW w:w="1786" w:type="dxa"/>
            <w:noWrap w:val="0"/>
            <w:vAlign w:val="center"/>
          </w:tcPr>
          <w:p w14:paraId="645487E2">
            <w:pPr>
              <w:jc w:val="center"/>
              <w:rPr>
                <w:rFonts w:hint="eastAsia" w:ascii="仿宋" w:hAnsi="仿宋" w:eastAsia="仿宋"/>
                <w:szCs w:val="21"/>
                <w:highlight w:val="none"/>
              </w:rPr>
            </w:pPr>
          </w:p>
        </w:tc>
        <w:tc>
          <w:tcPr>
            <w:tcW w:w="1200" w:type="dxa"/>
            <w:noWrap w:val="0"/>
            <w:vAlign w:val="center"/>
          </w:tcPr>
          <w:p w14:paraId="58922D15">
            <w:pPr>
              <w:jc w:val="center"/>
              <w:rPr>
                <w:rFonts w:hint="eastAsia" w:ascii="仿宋" w:hAnsi="仿宋" w:eastAsia="仿宋"/>
                <w:szCs w:val="21"/>
                <w:highlight w:val="none"/>
              </w:rPr>
            </w:pPr>
            <w:r>
              <w:rPr>
                <w:rFonts w:hint="eastAsia" w:ascii="仿宋" w:hAnsi="仿宋" w:eastAsia="仿宋"/>
                <w:szCs w:val="21"/>
                <w:highlight w:val="none"/>
              </w:rPr>
              <w:t>手机</w:t>
            </w:r>
          </w:p>
        </w:tc>
        <w:tc>
          <w:tcPr>
            <w:tcW w:w="1852" w:type="dxa"/>
            <w:noWrap w:val="0"/>
            <w:vAlign w:val="center"/>
          </w:tcPr>
          <w:p w14:paraId="0D752D7B">
            <w:pPr>
              <w:jc w:val="center"/>
              <w:rPr>
                <w:rFonts w:hint="eastAsia" w:ascii="仿宋" w:hAnsi="仿宋" w:eastAsia="仿宋"/>
                <w:szCs w:val="21"/>
                <w:highlight w:val="none"/>
              </w:rPr>
            </w:pPr>
          </w:p>
        </w:tc>
      </w:tr>
      <w:tr w14:paraId="2B35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588BBF8A">
            <w:pPr>
              <w:jc w:val="center"/>
              <w:rPr>
                <w:rFonts w:hint="eastAsia" w:ascii="仿宋" w:hAnsi="仿宋" w:eastAsia="仿宋"/>
                <w:szCs w:val="21"/>
                <w:highlight w:val="none"/>
              </w:rPr>
            </w:pPr>
            <w:r>
              <w:rPr>
                <w:rFonts w:hint="eastAsia" w:ascii="仿宋" w:hAnsi="仿宋" w:eastAsia="仿宋"/>
                <w:szCs w:val="21"/>
                <w:highlight w:val="none"/>
              </w:rPr>
              <w:t>法定代表人姓名</w:t>
            </w:r>
          </w:p>
        </w:tc>
        <w:tc>
          <w:tcPr>
            <w:tcW w:w="1936" w:type="dxa"/>
            <w:noWrap w:val="0"/>
            <w:vAlign w:val="center"/>
          </w:tcPr>
          <w:p w14:paraId="5D8663F3">
            <w:pPr>
              <w:jc w:val="center"/>
              <w:rPr>
                <w:rFonts w:hint="eastAsia" w:ascii="仿宋" w:hAnsi="仿宋" w:eastAsia="仿宋"/>
                <w:szCs w:val="21"/>
                <w:highlight w:val="none"/>
              </w:rPr>
            </w:pPr>
          </w:p>
        </w:tc>
        <w:tc>
          <w:tcPr>
            <w:tcW w:w="873" w:type="dxa"/>
            <w:noWrap w:val="0"/>
            <w:vAlign w:val="center"/>
          </w:tcPr>
          <w:p w14:paraId="0B20FB78">
            <w:pPr>
              <w:jc w:val="center"/>
              <w:rPr>
                <w:rFonts w:hint="eastAsia" w:ascii="仿宋" w:hAnsi="仿宋" w:eastAsia="仿宋"/>
                <w:szCs w:val="21"/>
                <w:highlight w:val="none"/>
              </w:rPr>
            </w:pPr>
            <w:r>
              <w:rPr>
                <w:rFonts w:hint="eastAsia" w:ascii="仿宋" w:hAnsi="仿宋" w:eastAsia="仿宋"/>
                <w:szCs w:val="21"/>
                <w:highlight w:val="none"/>
              </w:rPr>
              <w:t>电话</w:t>
            </w:r>
          </w:p>
        </w:tc>
        <w:tc>
          <w:tcPr>
            <w:tcW w:w="1786" w:type="dxa"/>
            <w:noWrap w:val="0"/>
            <w:vAlign w:val="center"/>
          </w:tcPr>
          <w:p w14:paraId="0DD93B86">
            <w:pPr>
              <w:jc w:val="center"/>
              <w:rPr>
                <w:rFonts w:hint="eastAsia" w:ascii="仿宋" w:hAnsi="仿宋" w:eastAsia="仿宋"/>
                <w:szCs w:val="21"/>
                <w:highlight w:val="none"/>
              </w:rPr>
            </w:pPr>
          </w:p>
        </w:tc>
        <w:tc>
          <w:tcPr>
            <w:tcW w:w="1200" w:type="dxa"/>
            <w:noWrap w:val="0"/>
            <w:vAlign w:val="center"/>
          </w:tcPr>
          <w:p w14:paraId="2C98E6EA">
            <w:pPr>
              <w:jc w:val="center"/>
              <w:rPr>
                <w:rFonts w:hint="eastAsia" w:ascii="仿宋" w:hAnsi="仿宋" w:eastAsia="仿宋"/>
                <w:szCs w:val="21"/>
                <w:highlight w:val="none"/>
              </w:rPr>
            </w:pPr>
            <w:r>
              <w:rPr>
                <w:rFonts w:hint="eastAsia" w:ascii="仿宋" w:hAnsi="仿宋" w:eastAsia="仿宋"/>
                <w:szCs w:val="21"/>
                <w:highlight w:val="none"/>
              </w:rPr>
              <w:t>手机</w:t>
            </w:r>
          </w:p>
        </w:tc>
        <w:tc>
          <w:tcPr>
            <w:tcW w:w="1852" w:type="dxa"/>
            <w:noWrap w:val="0"/>
            <w:vAlign w:val="center"/>
          </w:tcPr>
          <w:p w14:paraId="4CC00289">
            <w:pPr>
              <w:jc w:val="center"/>
              <w:rPr>
                <w:rFonts w:hint="eastAsia" w:ascii="仿宋" w:hAnsi="仿宋" w:eastAsia="仿宋"/>
                <w:szCs w:val="21"/>
                <w:highlight w:val="none"/>
              </w:rPr>
            </w:pPr>
          </w:p>
        </w:tc>
      </w:tr>
      <w:tr w14:paraId="113BC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1D730F43">
            <w:pPr>
              <w:jc w:val="center"/>
              <w:rPr>
                <w:rFonts w:hint="eastAsia" w:ascii="仿宋" w:hAnsi="仿宋" w:eastAsia="仿宋"/>
                <w:szCs w:val="21"/>
                <w:highlight w:val="none"/>
              </w:rPr>
            </w:pPr>
            <w:r>
              <w:rPr>
                <w:rFonts w:hint="eastAsia" w:ascii="仿宋" w:hAnsi="仿宋" w:eastAsia="仿宋"/>
                <w:szCs w:val="21"/>
                <w:highlight w:val="none"/>
              </w:rPr>
              <w:t>项目负责人姓名</w:t>
            </w:r>
          </w:p>
        </w:tc>
        <w:tc>
          <w:tcPr>
            <w:tcW w:w="1936" w:type="dxa"/>
            <w:noWrap w:val="0"/>
            <w:vAlign w:val="center"/>
          </w:tcPr>
          <w:p w14:paraId="1B1ABA30">
            <w:pPr>
              <w:jc w:val="center"/>
              <w:rPr>
                <w:rFonts w:hint="eastAsia" w:ascii="仿宋" w:hAnsi="仿宋" w:eastAsia="仿宋"/>
                <w:szCs w:val="21"/>
                <w:highlight w:val="none"/>
              </w:rPr>
            </w:pPr>
          </w:p>
        </w:tc>
        <w:tc>
          <w:tcPr>
            <w:tcW w:w="873" w:type="dxa"/>
            <w:noWrap w:val="0"/>
            <w:vAlign w:val="center"/>
          </w:tcPr>
          <w:p w14:paraId="6CD166A2">
            <w:pPr>
              <w:jc w:val="center"/>
              <w:rPr>
                <w:rFonts w:hint="eastAsia" w:ascii="仿宋" w:hAnsi="仿宋" w:eastAsia="仿宋"/>
                <w:szCs w:val="21"/>
                <w:highlight w:val="none"/>
              </w:rPr>
            </w:pPr>
            <w:r>
              <w:rPr>
                <w:rFonts w:hint="eastAsia" w:ascii="仿宋" w:hAnsi="仿宋" w:eastAsia="仿宋"/>
                <w:szCs w:val="21"/>
                <w:highlight w:val="none"/>
              </w:rPr>
              <w:t>电话</w:t>
            </w:r>
          </w:p>
        </w:tc>
        <w:tc>
          <w:tcPr>
            <w:tcW w:w="1786" w:type="dxa"/>
            <w:noWrap w:val="0"/>
            <w:vAlign w:val="center"/>
          </w:tcPr>
          <w:p w14:paraId="395D10D5">
            <w:pPr>
              <w:jc w:val="center"/>
              <w:rPr>
                <w:rFonts w:hint="eastAsia" w:ascii="仿宋" w:hAnsi="仿宋" w:eastAsia="仿宋"/>
                <w:szCs w:val="21"/>
                <w:highlight w:val="none"/>
              </w:rPr>
            </w:pPr>
          </w:p>
        </w:tc>
        <w:tc>
          <w:tcPr>
            <w:tcW w:w="1200" w:type="dxa"/>
            <w:noWrap w:val="0"/>
            <w:vAlign w:val="center"/>
          </w:tcPr>
          <w:p w14:paraId="478A6137">
            <w:pPr>
              <w:jc w:val="center"/>
              <w:rPr>
                <w:rFonts w:hint="eastAsia" w:ascii="仿宋" w:hAnsi="仿宋" w:eastAsia="仿宋"/>
                <w:szCs w:val="21"/>
                <w:highlight w:val="none"/>
              </w:rPr>
            </w:pPr>
            <w:r>
              <w:rPr>
                <w:rFonts w:hint="eastAsia" w:ascii="仿宋" w:hAnsi="仿宋" w:eastAsia="仿宋"/>
                <w:szCs w:val="21"/>
                <w:highlight w:val="none"/>
              </w:rPr>
              <w:t>技术职称</w:t>
            </w:r>
          </w:p>
        </w:tc>
        <w:tc>
          <w:tcPr>
            <w:tcW w:w="1852" w:type="dxa"/>
            <w:noWrap w:val="0"/>
            <w:vAlign w:val="center"/>
          </w:tcPr>
          <w:p w14:paraId="11F2526E">
            <w:pPr>
              <w:jc w:val="center"/>
              <w:rPr>
                <w:rFonts w:hint="eastAsia" w:ascii="仿宋" w:hAnsi="仿宋" w:eastAsia="仿宋"/>
                <w:szCs w:val="21"/>
                <w:highlight w:val="none"/>
              </w:rPr>
            </w:pPr>
          </w:p>
        </w:tc>
      </w:tr>
      <w:tr w14:paraId="320C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noWrap w:val="0"/>
            <w:vAlign w:val="center"/>
          </w:tcPr>
          <w:p w14:paraId="72361A9F">
            <w:pPr>
              <w:jc w:val="center"/>
              <w:rPr>
                <w:rFonts w:hint="eastAsia" w:ascii="仿宋" w:hAnsi="仿宋" w:eastAsia="仿宋"/>
                <w:szCs w:val="21"/>
                <w:highlight w:val="none"/>
              </w:rPr>
            </w:pPr>
            <w:r>
              <w:rPr>
                <w:rFonts w:hint="eastAsia" w:ascii="仿宋" w:hAnsi="仿宋" w:eastAsia="仿宋"/>
                <w:szCs w:val="21"/>
                <w:highlight w:val="none"/>
              </w:rPr>
              <w:t>员工总人数：</w:t>
            </w:r>
          </w:p>
        </w:tc>
        <w:tc>
          <w:tcPr>
            <w:tcW w:w="1936" w:type="dxa"/>
            <w:vMerge w:val="restart"/>
            <w:noWrap w:val="0"/>
            <w:vAlign w:val="center"/>
          </w:tcPr>
          <w:p w14:paraId="1AE4DF69">
            <w:pPr>
              <w:jc w:val="center"/>
              <w:rPr>
                <w:rFonts w:hint="eastAsia" w:ascii="仿宋" w:hAnsi="仿宋" w:eastAsia="仿宋"/>
                <w:szCs w:val="21"/>
                <w:highlight w:val="none"/>
              </w:rPr>
            </w:pPr>
          </w:p>
        </w:tc>
        <w:tc>
          <w:tcPr>
            <w:tcW w:w="873" w:type="dxa"/>
            <w:vMerge w:val="restart"/>
            <w:noWrap w:val="0"/>
            <w:vAlign w:val="center"/>
          </w:tcPr>
          <w:p w14:paraId="6CFD0CB3">
            <w:pPr>
              <w:jc w:val="center"/>
              <w:rPr>
                <w:rFonts w:hint="eastAsia" w:ascii="仿宋" w:hAnsi="仿宋" w:eastAsia="仿宋"/>
                <w:szCs w:val="21"/>
                <w:highlight w:val="none"/>
              </w:rPr>
            </w:pPr>
            <w:r>
              <w:rPr>
                <w:rFonts w:hint="eastAsia" w:ascii="仿宋" w:hAnsi="仿宋" w:eastAsia="仿宋"/>
                <w:szCs w:val="21"/>
                <w:highlight w:val="none"/>
              </w:rPr>
              <w:t>其中</w:t>
            </w:r>
          </w:p>
        </w:tc>
        <w:tc>
          <w:tcPr>
            <w:tcW w:w="1786" w:type="dxa"/>
            <w:noWrap w:val="0"/>
            <w:vAlign w:val="center"/>
          </w:tcPr>
          <w:p w14:paraId="11448D0B">
            <w:pPr>
              <w:jc w:val="center"/>
              <w:rPr>
                <w:rFonts w:hint="eastAsia" w:ascii="仿宋" w:hAnsi="仿宋" w:eastAsia="仿宋"/>
                <w:szCs w:val="21"/>
                <w:highlight w:val="none"/>
              </w:rPr>
            </w:pPr>
            <w:r>
              <w:rPr>
                <w:rFonts w:hint="eastAsia" w:ascii="仿宋" w:hAnsi="仿宋" w:eastAsia="仿宋"/>
                <w:szCs w:val="21"/>
                <w:highlight w:val="none"/>
              </w:rPr>
              <w:t>高级职称</w:t>
            </w:r>
          </w:p>
        </w:tc>
        <w:tc>
          <w:tcPr>
            <w:tcW w:w="3052" w:type="dxa"/>
            <w:gridSpan w:val="2"/>
            <w:noWrap w:val="0"/>
            <w:vAlign w:val="center"/>
          </w:tcPr>
          <w:p w14:paraId="34081C07">
            <w:pPr>
              <w:jc w:val="center"/>
              <w:rPr>
                <w:rFonts w:hint="eastAsia" w:ascii="仿宋" w:hAnsi="仿宋" w:eastAsia="仿宋"/>
                <w:szCs w:val="21"/>
                <w:highlight w:val="none"/>
              </w:rPr>
            </w:pPr>
          </w:p>
        </w:tc>
      </w:tr>
      <w:tr w14:paraId="733C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14:paraId="5F6395AC">
            <w:pPr>
              <w:jc w:val="center"/>
              <w:rPr>
                <w:rFonts w:hint="eastAsia" w:ascii="仿宋" w:hAnsi="仿宋" w:eastAsia="仿宋"/>
                <w:szCs w:val="21"/>
                <w:highlight w:val="none"/>
              </w:rPr>
            </w:pPr>
          </w:p>
        </w:tc>
        <w:tc>
          <w:tcPr>
            <w:tcW w:w="1936" w:type="dxa"/>
            <w:vMerge w:val="continue"/>
            <w:noWrap w:val="0"/>
            <w:vAlign w:val="center"/>
          </w:tcPr>
          <w:p w14:paraId="071C672E">
            <w:pPr>
              <w:jc w:val="center"/>
              <w:rPr>
                <w:rFonts w:hint="eastAsia" w:ascii="仿宋" w:hAnsi="仿宋" w:eastAsia="仿宋"/>
                <w:szCs w:val="21"/>
                <w:highlight w:val="none"/>
              </w:rPr>
            </w:pPr>
          </w:p>
        </w:tc>
        <w:tc>
          <w:tcPr>
            <w:tcW w:w="873" w:type="dxa"/>
            <w:vMerge w:val="continue"/>
            <w:noWrap w:val="0"/>
            <w:vAlign w:val="center"/>
          </w:tcPr>
          <w:p w14:paraId="0DC1F4A1">
            <w:pPr>
              <w:jc w:val="center"/>
              <w:rPr>
                <w:rFonts w:hint="eastAsia" w:ascii="仿宋" w:hAnsi="仿宋" w:eastAsia="仿宋"/>
                <w:szCs w:val="21"/>
                <w:highlight w:val="none"/>
              </w:rPr>
            </w:pPr>
          </w:p>
        </w:tc>
        <w:tc>
          <w:tcPr>
            <w:tcW w:w="1786" w:type="dxa"/>
            <w:noWrap w:val="0"/>
            <w:vAlign w:val="center"/>
          </w:tcPr>
          <w:p w14:paraId="07705F74">
            <w:pPr>
              <w:jc w:val="center"/>
              <w:rPr>
                <w:rFonts w:hint="eastAsia" w:ascii="仿宋" w:hAnsi="仿宋" w:eastAsia="仿宋"/>
                <w:szCs w:val="21"/>
                <w:highlight w:val="none"/>
              </w:rPr>
            </w:pPr>
            <w:r>
              <w:rPr>
                <w:rFonts w:hint="eastAsia" w:ascii="仿宋" w:hAnsi="仿宋" w:eastAsia="仿宋"/>
                <w:szCs w:val="21"/>
                <w:highlight w:val="none"/>
              </w:rPr>
              <w:t>中级职称</w:t>
            </w:r>
          </w:p>
        </w:tc>
        <w:tc>
          <w:tcPr>
            <w:tcW w:w="3052" w:type="dxa"/>
            <w:gridSpan w:val="2"/>
            <w:noWrap w:val="0"/>
            <w:vAlign w:val="center"/>
          </w:tcPr>
          <w:p w14:paraId="07539C7E">
            <w:pPr>
              <w:jc w:val="center"/>
              <w:rPr>
                <w:rFonts w:hint="eastAsia" w:ascii="仿宋" w:hAnsi="仿宋" w:eastAsia="仿宋"/>
                <w:szCs w:val="21"/>
                <w:highlight w:val="none"/>
              </w:rPr>
            </w:pPr>
          </w:p>
        </w:tc>
      </w:tr>
      <w:tr w14:paraId="0265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14:paraId="6EF9FFA9">
            <w:pPr>
              <w:jc w:val="center"/>
              <w:rPr>
                <w:rFonts w:hint="eastAsia" w:ascii="仿宋" w:hAnsi="仿宋" w:eastAsia="仿宋"/>
                <w:szCs w:val="21"/>
                <w:highlight w:val="none"/>
              </w:rPr>
            </w:pPr>
          </w:p>
        </w:tc>
        <w:tc>
          <w:tcPr>
            <w:tcW w:w="1936" w:type="dxa"/>
            <w:vMerge w:val="continue"/>
            <w:noWrap w:val="0"/>
            <w:vAlign w:val="center"/>
          </w:tcPr>
          <w:p w14:paraId="7285C7B6">
            <w:pPr>
              <w:jc w:val="center"/>
              <w:rPr>
                <w:rFonts w:hint="eastAsia" w:ascii="仿宋" w:hAnsi="仿宋" w:eastAsia="仿宋"/>
                <w:szCs w:val="21"/>
                <w:highlight w:val="none"/>
              </w:rPr>
            </w:pPr>
          </w:p>
        </w:tc>
        <w:tc>
          <w:tcPr>
            <w:tcW w:w="873" w:type="dxa"/>
            <w:vMerge w:val="continue"/>
            <w:noWrap w:val="0"/>
            <w:vAlign w:val="center"/>
          </w:tcPr>
          <w:p w14:paraId="1A8985BA">
            <w:pPr>
              <w:jc w:val="center"/>
              <w:rPr>
                <w:rFonts w:hint="eastAsia" w:ascii="仿宋" w:hAnsi="仿宋" w:eastAsia="仿宋"/>
                <w:szCs w:val="21"/>
                <w:highlight w:val="none"/>
              </w:rPr>
            </w:pPr>
          </w:p>
        </w:tc>
        <w:tc>
          <w:tcPr>
            <w:tcW w:w="1786" w:type="dxa"/>
            <w:noWrap w:val="0"/>
            <w:vAlign w:val="center"/>
          </w:tcPr>
          <w:p w14:paraId="222292B1">
            <w:pPr>
              <w:jc w:val="center"/>
              <w:rPr>
                <w:rFonts w:hint="eastAsia" w:ascii="仿宋" w:hAnsi="仿宋" w:eastAsia="仿宋"/>
                <w:szCs w:val="21"/>
                <w:highlight w:val="none"/>
              </w:rPr>
            </w:pPr>
            <w:r>
              <w:rPr>
                <w:rFonts w:hint="eastAsia" w:ascii="仿宋" w:hAnsi="仿宋" w:eastAsia="仿宋"/>
                <w:szCs w:val="21"/>
                <w:highlight w:val="none"/>
              </w:rPr>
              <w:t>各类注册人员</w:t>
            </w:r>
          </w:p>
        </w:tc>
        <w:tc>
          <w:tcPr>
            <w:tcW w:w="3052" w:type="dxa"/>
            <w:gridSpan w:val="2"/>
            <w:noWrap w:val="0"/>
            <w:vAlign w:val="center"/>
          </w:tcPr>
          <w:p w14:paraId="2C004CB3">
            <w:pPr>
              <w:jc w:val="center"/>
              <w:rPr>
                <w:rFonts w:hint="eastAsia" w:ascii="仿宋" w:hAnsi="仿宋" w:eastAsia="仿宋"/>
                <w:szCs w:val="21"/>
                <w:highlight w:val="none"/>
              </w:rPr>
            </w:pPr>
          </w:p>
        </w:tc>
      </w:tr>
      <w:tr w14:paraId="4281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02B92FC4">
            <w:pPr>
              <w:jc w:val="center"/>
              <w:rPr>
                <w:rFonts w:hint="eastAsia" w:ascii="仿宋" w:hAnsi="仿宋" w:eastAsia="仿宋"/>
                <w:szCs w:val="21"/>
                <w:highlight w:val="none"/>
              </w:rPr>
            </w:pPr>
            <w:r>
              <w:rPr>
                <w:rFonts w:hint="eastAsia" w:ascii="仿宋" w:hAnsi="仿宋" w:eastAsia="仿宋"/>
                <w:szCs w:val="21"/>
                <w:highlight w:val="none"/>
              </w:rPr>
              <w:t>基本账户开户银行</w:t>
            </w:r>
          </w:p>
        </w:tc>
        <w:tc>
          <w:tcPr>
            <w:tcW w:w="7647" w:type="dxa"/>
            <w:gridSpan w:val="5"/>
            <w:noWrap w:val="0"/>
            <w:vAlign w:val="center"/>
          </w:tcPr>
          <w:p w14:paraId="3D56A3C9">
            <w:pPr>
              <w:jc w:val="center"/>
              <w:rPr>
                <w:rFonts w:hint="eastAsia" w:ascii="仿宋" w:hAnsi="仿宋" w:eastAsia="仿宋"/>
                <w:szCs w:val="21"/>
                <w:highlight w:val="none"/>
              </w:rPr>
            </w:pPr>
          </w:p>
        </w:tc>
      </w:tr>
      <w:tr w14:paraId="2EA8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5FA96157">
            <w:pPr>
              <w:jc w:val="center"/>
              <w:rPr>
                <w:rFonts w:hint="eastAsia" w:ascii="仿宋" w:hAnsi="仿宋" w:eastAsia="仿宋"/>
                <w:szCs w:val="21"/>
                <w:highlight w:val="none"/>
              </w:rPr>
            </w:pPr>
            <w:r>
              <w:rPr>
                <w:rFonts w:hint="eastAsia" w:ascii="仿宋" w:hAnsi="仿宋" w:eastAsia="仿宋"/>
                <w:szCs w:val="21"/>
                <w:highlight w:val="none"/>
              </w:rPr>
              <w:t>基本账户账号</w:t>
            </w:r>
          </w:p>
        </w:tc>
        <w:tc>
          <w:tcPr>
            <w:tcW w:w="7647" w:type="dxa"/>
            <w:gridSpan w:val="5"/>
            <w:noWrap w:val="0"/>
            <w:vAlign w:val="center"/>
          </w:tcPr>
          <w:p w14:paraId="72515927">
            <w:pPr>
              <w:jc w:val="center"/>
              <w:rPr>
                <w:rFonts w:hint="eastAsia" w:ascii="仿宋" w:hAnsi="仿宋" w:eastAsia="仿宋"/>
                <w:szCs w:val="21"/>
                <w:highlight w:val="none"/>
              </w:rPr>
            </w:pPr>
          </w:p>
        </w:tc>
      </w:tr>
      <w:tr w14:paraId="2D37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noWrap w:val="0"/>
            <w:vAlign w:val="center"/>
          </w:tcPr>
          <w:p w14:paraId="6A0FFD17">
            <w:pPr>
              <w:jc w:val="center"/>
              <w:rPr>
                <w:rFonts w:hint="eastAsia" w:ascii="仿宋" w:hAnsi="仿宋" w:eastAsia="仿宋"/>
                <w:szCs w:val="21"/>
                <w:highlight w:val="none"/>
              </w:rPr>
            </w:pPr>
            <w:r>
              <w:rPr>
                <w:rFonts w:hint="eastAsia" w:ascii="仿宋" w:hAnsi="仿宋" w:eastAsia="仿宋"/>
                <w:szCs w:val="21"/>
                <w:highlight w:val="none"/>
              </w:rPr>
              <w:t>经营范围</w:t>
            </w:r>
          </w:p>
        </w:tc>
        <w:tc>
          <w:tcPr>
            <w:tcW w:w="7647" w:type="dxa"/>
            <w:gridSpan w:val="5"/>
            <w:noWrap w:val="0"/>
            <w:vAlign w:val="center"/>
          </w:tcPr>
          <w:p w14:paraId="759F8153">
            <w:pPr>
              <w:jc w:val="center"/>
              <w:rPr>
                <w:rFonts w:hint="eastAsia" w:ascii="仿宋" w:hAnsi="仿宋" w:eastAsia="仿宋"/>
                <w:szCs w:val="21"/>
                <w:highlight w:val="none"/>
              </w:rPr>
            </w:pPr>
          </w:p>
        </w:tc>
      </w:tr>
      <w:tr w14:paraId="56BE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noWrap w:val="0"/>
            <w:vAlign w:val="center"/>
          </w:tcPr>
          <w:p w14:paraId="62D98541">
            <w:pPr>
              <w:jc w:val="center"/>
              <w:rPr>
                <w:rFonts w:hint="eastAsia" w:ascii="仿宋" w:hAnsi="仿宋" w:eastAsia="仿宋"/>
                <w:szCs w:val="21"/>
                <w:highlight w:val="none"/>
              </w:rPr>
            </w:pPr>
            <w:r>
              <w:rPr>
                <w:rFonts w:hint="eastAsia" w:ascii="仿宋" w:hAnsi="仿宋" w:eastAsia="仿宋"/>
                <w:szCs w:val="21"/>
                <w:highlight w:val="none"/>
              </w:rPr>
              <w:t>备注</w:t>
            </w:r>
          </w:p>
        </w:tc>
        <w:tc>
          <w:tcPr>
            <w:tcW w:w="7647" w:type="dxa"/>
            <w:gridSpan w:val="5"/>
            <w:noWrap w:val="0"/>
            <w:vAlign w:val="center"/>
          </w:tcPr>
          <w:p w14:paraId="5BD8143B">
            <w:pPr>
              <w:jc w:val="center"/>
              <w:rPr>
                <w:rFonts w:hint="eastAsia" w:ascii="仿宋" w:hAnsi="仿宋" w:eastAsia="仿宋"/>
                <w:szCs w:val="21"/>
                <w:highlight w:val="none"/>
              </w:rPr>
            </w:pPr>
          </w:p>
        </w:tc>
      </w:tr>
    </w:tbl>
    <w:p w14:paraId="2DF59873">
      <w:pPr>
        <w:adjustRightInd w:val="0"/>
        <w:snapToGrid w:val="0"/>
        <w:spacing w:line="360" w:lineRule="auto"/>
        <w:ind w:firstLine="482" w:firstLineChars="200"/>
        <w:rPr>
          <w:rFonts w:hint="eastAsia" w:ascii="仿宋" w:hAnsi="仿宋" w:eastAsia="仿宋" w:cs="仿宋"/>
          <w:b/>
          <w:bCs/>
          <w:kern w:val="0"/>
          <w:sz w:val="24"/>
          <w:highlight w:val="none"/>
          <w:lang w:val="zh-CN"/>
        </w:rPr>
      </w:pPr>
      <w:r>
        <w:rPr>
          <w:rFonts w:hint="eastAsia" w:ascii="仿宋" w:hAnsi="仿宋" w:eastAsia="仿宋" w:cs="仿宋"/>
          <w:b/>
          <w:bCs/>
          <w:kern w:val="0"/>
          <w:sz w:val="24"/>
          <w:highlight w:val="none"/>
          <w:lang w:val="zh-CN"/>
        </w:rPr>
        <w:t>兹证明上述声明是真实、正确的，并提供了全部能提供的资料和数据，我们同意遵照贵方要求出示有关证明文件。</w:t>
      </w:r>
    </w:p>
    <w:p w14:paraId="2161D818">
      <w:pPr>
        <w:adjustRightInd w:val="0"/>
        <w:spacing w:line="360" w:lineRule="auto"/>
        <w:ind w:firstLine="2400" w:firstLineChars="1000"/>
        <w:jc w:val="left"/>
        <w:rPr>
          <w:rFonts w:hint="eastAsia" w:ascii="仿宋" w:hAnsi="仿宋" w:eastAsia="仿宋" w:cs="仿宋"/>
          <w:sz w:val="24"/>
          <w:highlight w:val="none"/>
        </w:rPr>
      </w:pPr>
    </w:p>
    <w:p w14:paraId="4947B272">
      <w:pPr>
        <w:adjustRightInd w:val="0"/>
        <w:spacing w:line="360" w:lineRule="auto"/>
        <w:ind w:firstLine="2400" w:firstLineChars="1000"/>
        <w:jc w:val="left"/>
        <w:rPr>
          <w:rFonts w:hint="eastAsia" w:ascii="仿宋" w:hAnsi="仿宋" w:eastAsia="仿宋" w:cs="仿宋"/>
          <w:sz w:val="24"/>
          <w:highlight w:val="none"/>
        </w:rPr>
      </w:pPr>
    </w:p>
    <w:p w14:paraId="7955AC4E">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法定代表人（负责人）或其授权委托人（签名或印章）：</w:t>
      </w:r>
    </w:p>
    <w:p w14:paraId="559FED0B">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投标人（盖章）：</w:t>
      </w:r>
    </w:p>
    <w:p w14:paraId="78720E26">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日期：</w:t>
      </w:r>
    </w:p>
    <w:p w14:paraId="726B5593">
      <w:pPr>
        <w:numPr>
          <w:ilvl w:val="0"/>
          <w:numId w:val="6"/>
        </w:numPr>
        <w:snapToGrid w:val="0"/>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br w:type="page"/>
      </w:r>
      <w:r>
        <w:rPr>
          <w:rFonts w:hint="eastAsia" w:ascii="仿宋" w:hAnsi="仿宋" w:eastAsia="仿宋" w:cs="仿宋"/>
          <w:b/>
          <w:kern w:val="0"/>
          <w:sz w:val="32"/>
          <w:szCs w:val="32"/>
          <w:highlight w:val="none"/>
        </w:rPr>
        <w:t>距采购人最近或者能为本项目提供最优服务的网点情况表</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53"/>
        <w:gridCol w:w="1624"/>
        <w:gridCol w:w="191"/>
        <w:gridCol w:w="1440"/>
        <w:gridCol w:w="889"/>
        <w:gridCol w:w="2600"/>
      </w:tblGrid>
      <w:tr w14:paraId="69E0C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3EAD3105">
            <w:pPr>
              <w:jc w:val="center"/>
              <w:rPr>
                <w:rFonts w:hint="eastAsia" w:ascii="仿宋" w:hAnsi="仿宋" w:eastAsia="仿宋"/>
                <w:szCs w:val="21"/>
                <w:highlight w:val="none"/>
              </w:rPr>
            </w:pPr>
            <w:r>
              <w:rPr>
                <w:rFonts w:hint="eastAsia" w:ascii="仿宋" w:hAnsi="仿宋" w:eastAsia="仿宋"/>
                <w:szCs w:val="21"/>
                <w:highlight w:val="none"/>
              </w:rPr>
              <w:t>服务网点名称</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31114008">
            <w:pPr>
              <w:jc w:val="center"/>
              <w:rPr>
                <w:rFonts w:hint="eastAsia" w:ascii="仿宋" w:hAnsi="仿宋" w:eastAsia="仿宋"/>
                <w:szCs w:val="21"/>
                <w:highlight w:val="none"/>
              </w:rPr>
            </w:pPr>
          </w:p>
        </w:tc>
      </w:tr>
      <w:tr w14:paraId="4EBB3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2888946D">
            <w:pPr>
              <w:jc w:val="center"/>
              <w:rPr>
                <w:rFonts w:hint="eastAsia" w:ascii="仿宋" w:hAnsi="仿宋" w:eastAsia="仿宋"/>
                <w:szCs w:val="21"/>
                <w:highlight w:val="none"/>
              </w:rPr>
            </w:pPr>
            <w:r>
              <w:rPr>
                <w:rFonts w:hint="eastAsia" w:ascii="仿宋" w:hAnsi="仿宋" w:eastAsia="仿宋"/>
                <w:szCs w:val="21"/>
                <w:highlight w:val="none"/>
              </w:rPr>
              <w:t>地址</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70B9F9DB">
            <w:pPr>
              <w:jc w:val="center"/>
              <w:rPr>
                <w:rFonts w:hint="eastAsia" w:ascii="仿宋" w:hAnsi="仿宋" w:eastAsia="仿宋"/>
                <w:szCs w:val="21"/>
                <w:highlight w:val="none"/>
              </w:rPr>
            </w:pPr>
          </w:p>
        </w:tc>
      </w:tr>
      <w:tr w14:paraId="10560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500125B7">
            <w:pPr>
              <w:jc w:val="center"/>
              <w:rPr>
                <w:rFonts w:hint="eastAsia" w:ascii="仿宋" w:hAnsi="仿宋" w:eastAsia="仿宋"/>
                <w:szCs w:val="21"/>
                <w:highlight w:val="none"/>
              </w:rPr>
            </w:pPr>
            <w:r>
              <w:rPr>
                <w:rFonts w:hint="eastAsia" w:ascii="仿宋" w:hAnsi="仿宋" w:eastAsia="仿宋"/>
                <w:szCs w:val="21"/>
                <w:highlight w:val="none"/>
              </w:rPr>
              <w:t>注册资本金</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2945D3F3">
            <w:pPr>
              <w:jc w:val="center"/>
              <w:rPr>
                <w:rFonts w:hint="eastAsia" w:ascii="仿宋" w:hAnsi="仿宋" w:eastAsia="仿宋"/>
                <w:szCs w:val="21"/>
                <w:highlight w:val="none"/>
              </w:rPr>
            </w:pP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14:paraId="0D8B08EF">
            <w:pPr>
              <w:jc w:val="center"/>
              <w:rPr>
                <w:rFonts w:hint="eastAsia" w:ascii="仿宋" w:hAnsi="仿宋" w:eastAsia="仿宋"/>
                <w:szCs w:val="21"/>
                <w:highlight w:val="none"/>
              </w:rPr>
            </w:pPr>
            <w:r>
              <w:rPr>
                <w:rFonts w:hint="eastAsia" w:ascii="仿宋" w:hAnsi="仿宋" w:eastAsia="仿宋"/>
                <w:szCs w:val="21"/>
                <w:highlight w:val="none"/>
              </w:rPr>
              <w:t>其中：投标人出资比例</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50CC934F">
            <w:pPr>
              <w:jc w:val="center"/>
              <w:rPr>
                <w:rFonts w:hint="eastAsia" w:ascii="仿宋" w:hAnsi="仿宋" w:eastAsia="仿宋"/>
                <w:szCs w:val="21"/>
                <w:highlight w:val="none"/>
              </w:rPr>
            </w:pPr>
          </w:p>
        </w:tc>
      </w:tr>
      <w:tr w14:paraId="7EFB2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62128A78">
            <w:pPr>
              <w:jc w:val="center"/>
              <w:rPr>
                <w:rFonts w:hint="eastAsia" w:ascii="仿宋" w:hAnsi="仿宋" w:eastAsia="仿宋"/>
                <w:szCs w:val="21"/>
                <w:highlight w:val="none"/>
              </w:rPr>
            </w:pPr>
            <w:r>
              <w:rPr>
                <w:rFonts w:hint="eastAsia" w:ascii="仿宋" w:hAnsi="仿宋" w:eastAsia="仿宋"/>
                <w:szCs w:val="21"/>
                <w:highlight w:val="none"/>
              </w:rPr>
              <w:t>员工总人数</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4C616F1C">
            <w:pPr>
              <w:jc w:val="center"/>
              <w:rPr>
                <w:rFonts w:hint="eastAsia" w:ascii="仿宋" w:hAnsi="仿宋" w:eastAsia="仿宋"/>
                <w:szCs w:val="21"/>
                <w:highlight w:val="none"/>
              </w:rPr>
            </w:pP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14:paraId="3C5356D6">
            <w:pPr>
              <w:jc w:val="center"/>
              <w:rPr>
                <w:rFonts w:hint="eastAsia" w:ascii="仿宋" w:hAnsi="仿宋" w:eastAsia="仿宋"/>
                <w:szCs w:val="21"/>
                <w:highlight w:val="none"/>
              </w:rPr>
            </w:pPr>
            <w:r>
              <w:rPr>
                <w:rFonts w:hint="eastAsia" w:ascii="仿宋" w:hAnsi="仿宋" w:eastAsia="仿宋"/>
                <w:szCs w:val="21"/>
                <w:highlight w:val="none"/>
              </w:rPr>
              <w:t>其中：技术人员数</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36382DA8">
            <w:pPr>
              <w:jc w:val="center"/>
              <w:rPr>
                <w:rFonts w:hint="eastAsia" w:ascii="仿宋" w:hAnsi="仿宋" w:eastAsia="仿宋"/>
                <w:szCs w:val="21"/>
                <w:highlight w:val="none"/>
              </w:rPr>
            </w:pPr>
          </w:p>
        </w:tc>
      </w:tr>
      <w:tr w14:paraId="16805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0C3E6938">
            <w:pPr>
              <w:jc w:val="center"/>
              <w:rPr>
                <w:rFonts w:hint="eastAsia" w:ascii="仿宋" w:hAnsi="仿宋" w:eastAsia="仿宋"/>
                <w:szCs w:val="21"/>
                <w:highlight w:val="none"/>
              </w:rPr>
            </w:pPr>
            <w:r>
              <w:rPr>
                <w:rFonts w:hint="eastAsia" w:ascii="仿宋" w:hAnsi="仿宋" w:eastAsia="仿宋"/>
                <w:szCs w:val="21"/>
                <w:highlight w:val="none"/>
              </w:rPr>
              <w:t>经营期限</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6AB62B7B">
            <w:pPr>
              <w:jc w:val="center"/>
              <w:rPr>
                <w:rFonts w:hint="eastAsia" w:ascii="仿宋" w:hAnsi="仿宋" w:eastAsia="仿宋"/>
                <w:szCs w:val="21"/>
                <w:highlight w:val="none"/>
              </w:rPr>
            </w:pPr>
          </w:p>
        </w:tc>
      </w:tr>
      <w:tr w14:paraId="3BAE6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0EF748E4">
            <w:pPr>
              <w:jc w:val="center"/>
              <w:rPr>
                <w:rFonts w:hint="eastAsia" w:ascii="仿宋" w:hAnsi="仿宋" w:eastAsia="仿宋"/>
                <w:szCs w:val="21"/>
                <w:highlight w:val="none"/>
              </w:rPr>
            </w:pPr>
            <w:r>
              <w:rPr>
                <w:rFonts w:hint="eastAsia" w:ascii="仿宋" w:hAnsi="仿宋" w:eastAsia="仿宋"/>
                <w:szCs w:val="21"/>
                <w:highlight w:val="none"/>
              </w:rPr>
              <w:t>售后服务协议</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53D59C97">
            <w:pPr>
              <w:jc w:val="center"/>
              <w:rPr>
                <w:rFonts w:hint="eastAsia" w:ascii="仿宋" w:hAnsi="仿宋" w:eastAsia="仿宋"/>
                <w:szCs w:val="21"/>
                <w:highlight w:val="none"/>
              </w:rPr>
            </w:pPr>
          </w:p>
        </w:tc>
      </w:tr>
      <w:tr w14:paraId="50016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6E82C823">
            <w:pPr>
              <w:jc w:val="center"/>
              <w:rPr>
                <w:rFonts w:hint="eastAsia" w:ascii="仿宋" w:hAnsi="仿宋" w:eastAsia="仿宋"/>
                <w:szCs w:val="21"/>
                <w:highlight w:val="none"/>
              </w:rPr>
            </w:pPr>
            <w:r>
              <w:rPr>
                <w:rFonts w:hint="eastAsia" w:ascii="仿宋" w:hAnsi="仿宋" w:eastAsia="仿宋"/>
                <w:szCs w:val="21"/>
                <w:highlight w:val="none"/>
              </w:rPr>
              <w:t>售后服务内容</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6F0396E5">
            <w:pPr>
              <w:jc w:val="center"/>
              <w:rPr>
                <w:rFonts w:hint="eastAsia" w:ascii="仿宋" w:hAnsi="仿宋" w:eastAsia="仿宋"/>
                <w:szCs w:val="21"/>
                <w:highlight w:val="none"/>
              </w:rPr>
            </w:pPr>
          </w:p>
        </w:tc>
      </w:tr>
      <w:tr w14:paraId="3B541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4D8A6AF1">
            <w:pPr>
              <w:jc w:val="center"/>
              <w:rPr>
                <w:rFonts w:hint="eastAsia" w:ascii="仿宋" w:hAnsi="仿宋" w:eastAsia="仿宋"/>
                <w:szCs w:val="21"/>
                <w:highlight w:val="none"/>
              </w:rPr>
            </w:pPr>
            <w:r>
              <w:rPr>
                <w:rFonts w:hint="eastAsia" w:ascii="仿宋" w:hAnsi="仿宋" w:eastAsia="仿宋"/>
                <w:szCs w:val="21"/>
                <w:highlight w:val="none"/>
              </w:rPr>
              <w:t>工作业绩</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3DA5C799">
            <w:pPr>
              <w:jc w:val="center"/>
              <w:rPr>
                <w:rFonts w:hint="eastAsia" w:ascii="仿宋" w:hAnsi="仿宋" w:eastAsia="仿宋"/>
                <w:szCs w:val="21"/>
                <w:highlight w:val="none"/>
              </w:rPr>
            </w:pPr>
          </w:p>
        </w:tc>
      </w:tr>
      <w:tr w14:paraId="4C93C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35DD4956">
            <w:pPr>
              <w:jc w:val="center"/>
              <w:rPr>
                <w:rFonts w:hint="eastAsia" w:ascii="仿宋" w:hAnsi="仿宋" w:eastAsia="仿宋"/>
                <w:szCs w:val="21"/>
                <w:highlight w:val="none"/>
              </w:rPr>
            </w:pPr>
            <w:r>
              <w:rPr>
                <w:rFonts w:hint="eastAsia" w:ascii="仿宋" w:hAnsi="仿宋" w:eastAsia="仿宋"/>
                <w:szCs w:val="21"/>
                <w:highlight w:val="none"/>
              </w:rPr>
              <w:t>服务承诺</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629C8C87">
            <w:pPr>
              <w:jc w:val="center"/>
              <w:rPr>
                <w:rFonts w:hint="eastAsia" w:ascii="仿宋" w:hAnsi="仿宋" w:eastAsia="仿宋"/>
                <w:szCs w:val="21"/>
                <w:highlight w:val="none"/>
              </w:rPr>
            </w:pPr>
          </w:p>
        </w:tc>
      </w:tr>
      <w:tr w14:paraId="69A22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351DBCC4">
            <w:pPr>
              <w:jc w:val="center"/>
              <w:rPr>
                <w:rFonts w:hint="eastAsia" w:ascii="仿宋" w:hAnsi="仿宋" w:eastAsia="仿宋"/>
                <w:szCs w:val="21"/>
                <w:highlight w:val="none"/>
              </w:rPr>
            </w:pPr>
            <w:r>
              <w:rPr>
                <w:rFonts w:hint="eastAsia" w:ascii="仿宋" w:hAnsi="仿宋" w:eastAsia="仿宋"/>
                <w:szCs w:val="21"/>
                <w:highlight w:val="none"/>
              </w:rPr>
              <w:t>业务咨询电话</w:t>
            </w:r>
          </w:p>
        </w:tc>
        <w:tc>
          <w:tcPr>
            <w:tcW w:w="1815" w:type="dxa"/>
            <w:gridSpan w:val="2"/>
            <w:tcBorders>
              <w:top w:val="single" w:color="auto" w:sz="4" w:space="0"/>
              <w:left w:val="single" w:color="auto" w:sz="4" w:space="0"/>
              <w:bottom w:val="single" w:color="auto" w:sz="4" w:space="0"/>
              <w:right w:val="single" w:color="auto" w:sz="2" w:space="0"/>
            </w:tcBorders>
            <w:noWrap w:val="0"/>
            <w:vAlign w:val="center"/>
          </w:tcPr>
          <w:p w14:paraId="5226E93D">
            <w:pPr>
              <w:jc w:val="center"/>
              <w:rPr>
                <w:rFonts w:hint="eastAsia" w:ascii="仿宋" w:hAnsi="仿宋" w:eastAsia="仿宋"/>
                <w:szCs w:val="21"/>
                <w:highlight w:val="none"/>
              </w:rPr>
            </w:pPr>
          </w:p>
        </w:tc>
        <w:tc>
          <w:tcPr>
            <w:tcW w:w="1440" w:type="dxa"/>
            <w:tcBorders>
              <w:top w:val="single" w:color="auto" w:sz="4" w:space="0"/>
              <w:left w:val="single" w:color="auto" w:sz="2" w:space="0"/>
              <w:bottom w:val="single" w:color="auto" w:sz="4" w:space="0"/>
              <w:right w:val="single" w:color="auto" w:sz="2" w:space="0"/>
            </w:tcBorders>
            <w:noWrap w:val="0"/>
            <w:vAlign w:val="center"/>
          </w:tcPr>
          <w:p w14:paraId="643D97E8">
            <w:pPr>
              <w:jc w:val="center"/>
              <w:rPr>
                <w:rFonts w:hint="eastAsia" w:ascii="仿宋" w:hAnsi="仿宋" w:eastAsia="仿宋"/>
                <w:szCs w:val="21"/>
                <w:highlight w:val="none"/>
              </w:rPr>
            </w:pPr>
            <w:r>
              <w:rPr>
                <w:rFonts w:hint="eastAsia" w:ascii="仿宋" w:hAnsi="仿宋" w:eastAsia="仿宋"/>
                <w:szCs w:val="21"/>
                <w:highlight w:val="none"/>
              </w:rPr>
              <w:t>传 真</w:t>
            </w:r>
          </w:p>
        </w:tc>
        <w:tc>
          <w:tcPr>
            <w:tcW w:w="3489" w:type="dxa"/>
            <w:gridSpan w:val="2"/>
            <w:tcBorders>
              <w:top w:val="single" w:color="auto" w:sz="4" w:space="0"/>
              <w:left w:val="single" w:color="auto" w:sz="2" w:space="0"/>
              <w:bottom w:val="single" w:color="auto" w:sz="4" w:space="0"/>
              <w:right w:val="single" w:color="auto" w:sz="2" w:space="0"/>
            </w:tcBorders>
            <w:noWrap w:val="0"/>
            <w:vAlign w:val="center"/>
          </w:tcPr>
          <w:p w14:paraId="0C955CE7">
            <w:pPr>
              <w:jc w:val="center"/>
              <w:rPr>
                <w:rFonts w:hint="eastAsia" w:ascii="仿宋" w:hAnsi="仿宋" w:eastAsia="仿宋"/>
                <w:szCs w:val="21"/>
                <w:highlight w:val="none"/>
              </w:rPr>
            </w:pPr>
          </w:p>
        </w:tc>
      </w:tr>
      <w:tr w14:paraId="2BAD7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6D6B50D9">
            <w:pPr>
              <w:jc w:val="center"/>
              <w:rPr>
                <w:rFonts w:hint="eastAsia" w:ascii="仿宋" w:hAnsi="仿宋" w:eastAsia="仿宋"/>
                <w:szCs w:val="21"/>
                <w:highlight w:val="none"/>
              </w:rPr>
            </w:pPr>
            <w:r>
              <w:rPr>
                <w:rFonts w:hint="eastAsia" w:ascii="仿宋" w:hAnsi="仿宋" w:eastAsia="仿宋"/>
                <w:szCs w:val="21"/>
                <w:highlight w:val="none"/>
              </w:rPr>
              <w:t>负责人</w:t>
            </w:r>
          </w:p>
        </w:tc>
        <w:tc>
          <w:tcPr>
            <w:tcW w:w="1815" w:type="dxa"/>
            <w:gridSpan w:val="2"/>
            <w:tcBorders>
              <w:top w:val="single" w:color="auto" w:sz="4" w:space="0"/>
              <w:left w:val="single" w:color="auto" w:sz="4" w:space="0"/>
              <w:bottom w:val="single" w:color="auto" w:sz="4" w:space="0"/>
              <w:right w:val="single" w:color="auto" w:sz="2" w:space="0"/>
            </w:tcBorders>
            <w:noWrap w:val="0"/>
            <w:vAlign w:val="center"/>
          </w:tcPr>
          <w:p w14:paraId="34EF037F">
            <w:pPr>
              <w:jc w:val="center"/>
              <w:rPr>
                <w:rFonts w:hint="eastAsia" w:ascii="仿宋" w:hAnsi="仿宋" w:eastAsia="仿宋"/>
                <w:szCs w:val="21"/>
                <w:highlight w:val="none"/>
              </w:rPr>
            </w:pPr>
          </w:p>
        </w:tc>
        <w:tc>
          <w:tcPr>
            <w:tcW w:w="1440" w:type="dxa"/>
            <w:tcBorders>
              <w:top w:val="single" w:color="auto" w:sz="4" w:space="0"/>
              <w:left w:val="single" w:color="auto" w:sz="2" w:space="0"/>
              <w:bottom w:val="single" w:color="auto" w:sz="4" w:space="0"/>
              <w:right w:val="single" w:color="auto" w:sz="2" w:space="0"/>
            </w:tcBorders>
            <w:noWrap w:val="0"/>
            <w:vAlign w:val="center"/>
          </w:tcPr>
          <w:p w14:paraId="25E22094">
            <w:pPr>
              <w:jc w:val="center"/>
              <w:rPr>
                <w:rFonts w:hint="eastAsia" w:ascii="仿宋" w:hAnsi="仿宋" w:eastAsia="仿宋"/>
                <w:szCs w:val="21"/>
                <w:highlight w:val="none"/>
              </w:rPr>
            </w:pPr>
            <w:r>
              <w:rPr>
                <w:rFonts w:hint="eastAsia" w:ascii="仿宋" w:hAnsi="仿宋" w:eastAsia="仿宋"/>
                <w:szCs w:val="21"/>
                <w:highlight w:val="none"/>
              </w:rPr>
              <w:t>联系电话</w:t>
            </w:r>
          </w:p>
        </w:tc>
        <w:tc>
          <w:tcPr>
            <w:tcW w:w="3489" w:type="dxa"/>
            <w:gridSpan w:val="2"/>
            <w:tcBorders>
              <w:top w:val="single" w:color="auto" w:sz="4" w:space="0"/>
              <w:left w:val="single" w:color="auto" w:sz="2" w:space="0"/>
              <w:bottom w:val="single" w:color="auto" w:sz="4" w:space="0"/>
              <w:right w:val="single" w:color="auto" w:sz="4" w:space="0"/>
            </w:tcBorders>
            <w:noWrap w:val="0"/>
            <w:vAlign w:val="center"/>
          </w:tcPr>
          <w:p w14:paraId="58B5AAEF">
            <w:pPr>
              <w:jc w:val="center"/>
              <w:rPr>
                <w:rFonts w:hint="eastAsia" w:ascii="仿宋" w:hAnsi="仿宋" w:eastAsia="仿宋"/>
                <w:szCs w:val="21"/>
                <w:highlight w:val="none"/>
              </w:rPr>
            </w:pPr>
          </w:p>
        </w:tc>
      </w:tr>
    </w:tbl>
    <w:p w14:paraId="287E69CB">
      <w:pPr>
        <w:spacing w:line="360" w:lineRule="auto"/>
        <w:rPr>
          <w:rFonts w:hint="eastAsia" w:ascii="仿宋" w:hAnsi="仿宋" w:eastAsia="仿宋" w:cs="仿宋"/>
          <w:highlight w:val="none"/>
        </w:rPr>
      </w:pPr>
    </w:p>
    <w:p w14:paraId="7A5AB0AE">
      <w:pPr>
        <w:spacing w:line="360" w:lineRule="auto"/>
        <w:rPr>
          <w:rFonts w:hint="eastAsia" w:ascii="仿宋" w:hAnsi="仿宋" w:eastAsia="仿宋" w:cs="仿宋"/>
          <w:highlight w:val="none"/>
        </w:rPr>
      </w:pPr>
    </w:p>
    <w:p w14:paraId="6CC4E861">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法定代表人（负责人）或其授权委托人（签名或印章）：</w:t>
      </w:r>
    </w:p>
    <w:p w14:paraId="4B9761F8">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投标人（盖章）：</w:t>
      </w:r>
    </w:p>
    <w:p w14:paraId="628E9A47">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日期：</w:t>
      </w:r>
    </w:p>
    <w:p w14:paraId="68E82FCF">
      <w:pPr>
        <w:pStyle w:val="7"/>
        <w:rPr>
          <w:rFonts w:hint="eastAsia" w:ascii="仿宋" w:hAnsi="仿宋" w:eastAsia="仿宋" w:cs="仿宋"/>
          <w:highlight w:val="none"/>
        </w:rPr>
      </w:pPr>
    </w:p>
    <w:p w14:paraId="32BFC345">
      <w:pPr>
        <w:numPr>
          <w:ilvl w:val="0"/>
          <w:numId w:val="6"/>
        </w:numPr>
        <w:snapToGrid w:val="0"/>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r>
        <w:rPr>
          <w:rFonts w:hint="eastAsia" w:ascii="仿宋" w:hAnsi="仿宋" w:eastAsia="仿宋" w:cs="仿宋"/>
          <w:b/>
          <w:kern w:val="0"/>
          <w:sz w:val="32"/>
          <w:szCs w:val="32"/>
          <w:highlight w:val="none"/>
          <w:lang w:eastAsia="zh-CN"/>
        </w:rPr>
        <w:t>详细的职工疗休养服务方案</w:t>
      </w:r>
    </w:p>
    <w:p w14:paraId="53EA5DDA">
      <w:pPr>
        <w:pStyle w:val="8"/>
        <w:ind w:firstLine="240"/>
        <w:rPr>
          <w:rFonts w:ascii="仿宋" w:hAnsi="仿宋" w:eastAsia="仿宋" w:cs="仿宋"/>
          <w:sz w:val="24"/>
          <w:highlight w:val="none"/>
          <w:lang w:val="en-US"/>
        </w:rPr>
      </w:pPr>
      <w:r>
        <w:rPr>
          <w:rFonts w:hint="eastAsia" w:ascii="仿宋" w:hAnsi="仿宋" w:eastAsia="仿宋" w:cs="仿宋"/>
          <w:sz w:val="24"/>
          <w:highlight w:val="none"/>
          <w:lang w:val="en-US"/>
        </w:rPr>
        <w:t>自行阐述。</w:t>
      </w:r>
    </w:p>
    <w:p w14:paraId="1A9E321D">
      <w:pPr>
        <w:pStyle w:val="8"/>
        <w:ind w:firstLine="240"/>
        <w:rPr>
          <w:rFonts w:hint="eastAsia" w:ascii="仿宋" w:hAnsi="仿宋" w:eastAsia="仿宋" w:cs="仿宋"/>
          <w:sz w:val="24"/>
          <w:highlight w:val="none"/>
        </w:rPr>
      </w:pPr>
    </w:p>
    <w:p w14:paraId="0A804C47">
      <w:pPr>
        <w:pStyle w:val="8"/>
        <w:ind w:firstLine="240"/>
        <w:rPr>
          <w:rFonts w:hint="eastAsia" w:ascii="仿宋" w:hAnsi="仿宋" w:eastAsia="仿宋" w:cs="仿宋"/>
          <w:sz w:val="24"/>
          <w:highlight w:val="none"/>
        </w:rPr>
      </w:pPr>
    </w:p>
    <w:p w14:paraId="66CB9B2C">
      <w:pPr>
        <w:numPr>
          <w:ilvl w:val="0"/>
          <w:numId w:val="6"/>
        </w:numPr>
        <w:snapToGrid w:val="0"/>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br w:type="page"/>
      </w:r>
      <w:r>
        <w:rPr>
          <w:rFonts w:hint="eastAsia" w:ascii="仿宋" w:hAnsi="仿宋" w:eastAsia="仿宋" w:cs="仿宋"/>
          <w:b/>
          <w:kern w:val="0"/>
          <w:sz w:val="32"/>
          <w:szCs w:val="32"/>
          <w:highlight w:val="none"/>
        </w:rPr>
        <w:t>评标标准相应的商务技术资料</w:t>
      </w:r>
    </w:p>
    <w:p w14:paraId="4E7E78AD">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（按招标文件第四部分评标办法前附表中“投标文件中评标标准相应的商务技术资料目录”提供资料）</w:t>
      </w:r>
    </w:p>
    <w:p w14:paraId="725FDD70">
      <w:pPr>
        <w:pStyle w:val="28"/>
        <w:ind w:firstLine="560"/>
        <w:rPr>
          <w:rFonts w:hint="eastAsia"/>
          <w:highlight w:val="none"/>
        </w:rPr>
      </w:pPr>
    </w:p>
    <w:p w14:paraId="1A77B52C">
      <w:pPr>
        <w:pStyle w:val="28"/>
        <w:ind w:firstLine="560"/>
        <w:rPr>
          <w:rFonts w:hint="eastAsia"/>
          <w:highlight w:val="none"/>
          <w:lang w:val="zh-CN"/>
        </w:rPr>
      </w:pPr>
    </w:p>
    <w:p w14:paraId="61DFAE9F">
      <w:pPr>
        <w:numPr>
          <w:ilvl w:val="0"/>
          <w:numId w:val="6"/>
        </w:numPr>
        <w:snapToGrid w:val="0"/>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商务响应表</w:t>
      </w:r>
    </w:p>
    <w:tbl>
      <w:tblPr>
        <w:tblStyle w:val="17"/>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3209"/>
        <w:gridCol w:w="3245"/>
        <w:gridCol w:w="2096"/>
      </w:tblGrid>
      <w:tr w14:paraId="0D8E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64" w:type="dxa"/>
            <w:noWrap w:val="0"/>
            <w:vAlign w:val="center"/>
          </w:tcPr>
          <w:p w14:paraId="0878EB88">
            <w:pPr>
              <w:jc w:val="center"/>
              <w:rPr>
                <w:rFonts w:hint="eastAsia" w:ascii="仿宋" w:hAnsi="仿宋" w:eastAsia="仿宋"/>
                <w:szCs w:val="21"/>
                <w:highlight w:val="none"/>
              </w:rPr>
            </w:pPr>
            <w:r>
              <w:rPr>
                <w:rFonts w:hint="eastAsia" w:ascii="仿宋" w:hAnsi="仿宋" w:eastAsia="仿宋"/>
                <w:szCs w:val="21"/>
                <w:highlight w:val="none"/>
              </w:rPr>
              <w:t>序号</w:t>
            </w:r>
          </w:p>
        </w:tc>
        <w:tc>
          <w:tcPr>
            <w:tcW w:w="3209" w:type="dxa"/>
            <w:noWrap w:val="0"/>
            <w:vAlign w:val="center"/>
          </w:tcPr>
          <w:p w14:paraId="5E258CB5">
            <w:pPr>
              <w:jc w:val="center"/>
              <w:rPr>
                <w:rFonts w:hint="eastAsia" w:ascii="仿宋" w:hAnsi="仿宋" w:eastAsia="仿宋"/>
                <w:szCs w:val="21"/>
                <w:highlight w:val="none"/>
              </w:rPr>
            </w:pPr>
            <w:r>
              <w:rPr>
                <w:rFonts w:hint="eastAsia" w:ascii="仿宋" w:hAnsi="仿宋" w:eastAsia="仿宋"/>
                <w:szCs w:val="21"/>
                <w:highlight w:val="none"/>
              </w:rPr>
              <w:t>招标文件章节及具体内容</w:t>
            </w:r>
          </w:p>
        </w:tc>
        <w:tc>
          <w:tcPr>
            <w:tcW w:w="3245" w:type="dxa"/>
            <w:noWrap w:val="0"/>
            <w:vAlign w:val="center"/>
          </w:tcPr>
          <w:p w14:paraId="586933AA">
            <w:pPr>
              <w:jc w:val="center"/>
              <w:rPr>
                <w:rFonts w:hint="eastAsia" w:ascii="仿宋" w:hAnsi="仿宋" w:eastAsia="仿宋"/>
                <w:szCs w:val="21"/>
                <w:highlight w:val="none"/>
              </w:rPr>
            </w:pPr>
            <w:r>
              <w:rPr>
                <w:rFonts w:hint="eastAsia" w:ascii="仿宋" w:hAnsi="仿宋" w:eastAsia="仿宋"/>
                <w:szCs w:val="21"/>
                <w:highlight w:val="none"/>
              </w:rPr>
              <w:t>投标文件章节及具体内容</w:t>
            </w:r>
          </w:p>
        </w:tc>
        <w:tc>
          <w:tcPr>
            <w:tcW w:w="2096" w:type="dxa"/>
            <w:noWrap w:val="0"/>
            <w:vAlign w:val="center"/>
          </w:tcPr>
          <w:p w14:paraId="01496155">
            <w:pPr>
              <w:jc w:val="center"/>
              <w:rPr>
                <w:rFonts w:hint="eastAsia" w:ascii="仿宋" w:hAnsi="仿宋" w:eastAsia="仿宋"/>
                <w:szCs w:val="21"/>
                <w:highlight w:val="none"/>
              </w:rPr>
            </w:pPr>
            <w:r>
              <w:rPr>
                <w:rFonts w:hint="eastAsia" w:ascii="仿宋" w:hAnsi="仿宋" w:eastAsia="仿宋"/>
                <w:szCs w:val="21"/>
                <w:highlight w:val="none"/>
              </w:rPr>
              <w:t>响应或偏离说明</w:t>
            </w:r>
          </w:p>
        </w:tc>
      </w:tr>
      <w:tr w14:paraId="7CA7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14:paraId="73858E7E">
            <w:pPr>
              <w:jc w:val="center"/>
              <w:rPr>
                <w:rFonts w:hint="eastAsia" w:ascii="仿宋" w:hAnsi="仿宋" w:eastAsia="仿宋"/>
                <w:szCs w:val="21"/>
                <w:highlight w:val="none"/>
              </w:rPr>
            </w:pPr>
            <w:r>
              <w:rPr>
                <w:rFonts w:hint="eastAsia" w:ascii="仿宋" w:hAnsi="仿宋" w:eastAsia="仿宋"/>
                <w:szCs w:val="21"/>
                <w:highlight w:val="none"/>
              </w:rPr>
              <w:t>1</w:t>
            </w:r>
          </w:p>
        </w:tc>
        <w:tc>
          <w:tcPr>
            <w:tcW w:w="3209" w:type="dxa"/>
            <w:noWrap w:val="0"/>
            <w:vAlign w:val="center"/>
          </w:tcPr>
          <w:p w14:paraId="5A6765C5">
            <w:pPr>
              <w:jc w:val="center"/>
              <w:rPr>
                <w:rFonts w:hint="eastAsia" w:ascii="仿宋" w:hAnsi="仿宋" w:eastAsia="仿宋"/>
                <w:szCs w:val="21"/>
                <w:highlight w:val="none"/>
              </w:rPr>
            </w:pPr>
          </w:p>
        </w:tc>
        <w:tc>
          <w:tcPr>
            <w:tcW w:w="3245" w:type="dxa"/>
            <w:noWrap w:val="0"/>
            <w:vAlign w:val="center"/>
          </w:tcPr>
          <w:p w14:paraId="7D606D26">
            <w:pPr>
              <w:jc w:val="center"/>
              <w:rPr>
                <w:rFonts w:hint="eastAsia" w:ascii="仿宋" w:hAnsi="仿宋" w:eastAsia="仿宋"/>
                <w:szCs w:val="21"/>
                <w:highlight w:val="none"/>
              </w:rPr>
            </w:pPr>
          </w:p>
        </w:tc>
        <w:tc>
          <w:tcPr>
            <w:tcW w:w="2096" w:type="dxa"/>
            <w:noWrap w:val="0"/>
            <w:vAlign w:val="center"/>
          </w:tcPr>
          <w:p w14:paraId="420D3FA6">
            <w:pPr>
              <w:jc w:val="center"/>
              <w:rPr>
                <w:rFonts w:hint="eastAsia" w:ascii="仿宋" w:hAnsi="仿宋" w:eastAsia="仿宋"/>
                <w:szCs w:val="21"/>
                <w:highlight w:val="none"/>
              </w:rPr>
            </w:pPr>
          </w:p>
        </w:tc>
      </w:tr>
      <w:tr w14:paraId="6C39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14:paraId="262EA4CE">
            <w:pPr>
              <w:jc w:val="center"/>
              <w:rPr>
                <w:rFonts w:hint="eastAsia" w:ascii="仿宋" w:hAnsi="仿宋" w:eastAsia="仿宋"/>
                <w:szCs w:val="21"/>
                <w:highlight w:val="none"/>
              </w:rPr>
            </w:pPr>
            <w:r>
              <w:rPr>
                <w:rFonts w:hint="eastAsia" w:ascii="仿宋" w:hAnsi="仿宋" w:eastAsia="仿宋"/>
                <w:szCs w:val="21"/>
                <w:highlight w:val="none"/>
              </w:rPr>
              <w:t>2</w:t>
            </w:r>
          </w:p>
        </w:tc>
        <w:tc>
          <w:tcPr>
            <w:tcW w:w="3209" w:type="dxa"/>
            <w:noWrap w:val="0"/>
            <w:vAlign w:val="center"/>
          </w:tcPr>
          <w:p w14:paraId="2CCC2202">
            <w:pPr>
              <w:jc w:val="center"/>
              <w:rPr>
                <w:rFonts w:hint="eastAsia" w:ascii="仿宋" w:hAnsi="仿宋" w:eastAsia="仿宋"/>
                <w:szCs w:val="21"/>
                <w:highlight w:val="none"/>
              </w:rPr>
            </w:pPr>
          </w:p>
        </w:tc>
        <w:tc>
          <w:tcPr>
            <w:tcW w:w="3245" w:type="dxa"/>
            <w:noWrap w:val="0"/>
            <w:vAlign w:val="center"/>
          </w:tcPr>
          <w:p w14:paraId="2DF64D0F">
            <w:pPr>
              <w:jc w:val="center"/>
              <w:rPr>
                <w:rFonts w:hint="eastAsia" w:ascii="仿宋" w:hAnsi="仿宋" w:eastAsia="仿宋"/>
                <w:szCs w:val="21"/>
                <w:highlight w:val="none"/>
              </w:rPr>
            </w:pPr>
          </w:p>
        </w:tc>
        <w:tc>
          <w:tcPr>
            <w:tcW w:w="2096" w:type="dxa"/>
            <w:noWrap w:val="0"/>
            <w:vAlign w:val="center"/>
          </w:tcPr>
          <w:p w14:paraId="0BE1B16F">
            <w:pPr>
              <w:jc w:val="center"/>
              <w:rPr>
                <w:rFonts w:hint="eastAsia" w:ascii="仿宋" w:hAnsi="仿宋" w:eastAsia="仿宋"/>
                <w:szCs w:val="21"/>
                <w:highlight w:val="none"/>
              </w:rPr>
            </w:pPr>
          </w:p>
        </w:tc>
      </w:tr>
      <w:tr w14:paraId="3F8C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4" w:type="dxa"/>
            <w:noWrap w:val="0"/>
            <w:vAlign w:val="center"/>
          </w:tcPr>
          <w:p w14:paraId="7812674A">
            <w:pPr>
              <w:jc w:val="center"/>
              <w:rPr>
                <w:rFonts w:hint="eastAsia" w:ascii="仿宋" w:hAnsi="仿宋" w:eastAsia="仿宋"/>
                <w:szCs w:val="21"/>
                <w:highlight w:val="none"/>
              </w:rPr>
            </w:pPr>
            <w:r>
              <w:rPr>
                <w:rFonts w:hint="eastAsia" w:ascii="仿宋" w:hAnsi="仿宋" w:eastAsia="仿宋"/>
                <w:szCs w:val="21"/>
                <w:highlight w:val="none"/>
              </w:rPr>
              <w:t>……</w:t>
            </w:r>
          </w:p>
        </w:tc>
        <w:tc>
          <w:tcPr>
            <w:tcW w:w="3209" w:type="dxa"/>
            <w:noWrap w:val="0"/>
            <w:vAlign w:val="center"/>
          </w:tcPr>
          <w:p w14:paraId="3D0C12A0">
            <w:pPr>
              <w:jc w:val="center"/>
              <w:rPr>
                <w:rFonts w:hint="eastAsia" w:ascii="仿宋" w:hAnsi="仿宋" w:eastAsia="仿宋"/>
                <w:szCs w:val="21"/>
                <w:highlight w:val="none"/>
              </w:rPr>
            </w:pPr>
          </w:p>
        </w:tc>
        <w:tc>
          <w:tcPr>
            <w:tcW w:w="3245" w:type="dxa"/>
            <w:noWrap w:val="0"/>
            <w:vAlign w:val="center"/>
          </w:tcPr>
          <w:p w14:paraId="5BCC3191">
            <w:pPr>
              <w:jc w:val="center"/>
              <w:rPr>
                <w:rFonts w:hint="eastAsia" w:ascii="仿宋" w:hAnsi="仿宋" w:eastAsia="仿宋"/>
                <w:szCs w:val="21"/>
                <w:highlight w:val="none"/>
              </w:rPr>
            </w:pPr>
          </w:p>
        </w:tc>
        <w:tc>
          <w:tcPr>
            <w:tcW w:w="2096" w:type="dxa"/>
            <w:noWrap w:val="0"/>
            <w:vAlign w:val="center"/>
          </w:tcPr>
          <w:p w14:paraId="538EF97D">
            <w:pPr>
              <w:jc w:val="center"/>
              <w:rPr>
                <w:rFonts w:hint="eastAsia" w:ascii="仿宋" w:hAnsi="仿宋" w:eastAsia="仿宋"/>
                <w:szCs w:val="21"/>
                <w:highlight w:val="none"/>
              </w:rPr>
            </w:pPr>
          </w:p>
        </w:tc>
      </w:tr>
    </w:tbl>
    <w:p w14:paraId="6C341579">
      <w:pPr>
        <w:spacing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投标人保证：除商务偏离表列出的偏离外，投标人响应招标文件的全部商务要求。</w:t>
      </w:r>
    </w:p>
    <w:p w14:paraId="02877D6E">
      <w:pPr>
        <w:adjustRightInd w:val="0"/>
        <w:spacing w:line="360" w:lineRule="auto"/>
        <w:ind w:firstLine="2400" w:firstLineChars="1000"/>
        <w:jc w:val="left"/>
        <w:rPr>
          <w:rFonts w:hint="eastAsia" w:ascii="仿宋" w:hAnsi="仿宋" w:eastAsia="仿宋" w:cs="仿宋"/>
          <w:sz w:val="24"/>
          <w:highlight w:val="none"/>
        </w:rPr>
      </w:pPr>
    </w:p>
    <w:p w14:paraId="642E3740">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法定代表人（负责人）或其授权委托人（签名或印章）：</w:t>
      </w:r>
    </w:p>
    <w:p w14:paraId="4B4DFF33">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投标人（盖章）：</w:t>
      </w:r>
    </w:p>
    <w:p w14:paraId="76860C64">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日期：</w:t>
      </w:r>
    </w:p>
    <w:p w14:paraId="36FBE80A">
      <w:pPr>
        <w:pStyle w:val="28"/>
        <w:ind w:firstLine="560"/>
        <w:rPr>
          <w:rFonts w:hint="eastAsia"/>
          <w:highlight w:val="none"/>
        </w:rPr>
      </w:pPr>
    </w:p>
    <w:p w14:paraId="4F776F4E">
      <w:pPr>
        <w:pStyle w:val="28"/>
        <w:ind w:firstLine="560"/>
        <w:rPr>
          <w:rFonts w:hint="eastAsia"/>
          <w:highlight w:val="none"/>
        </w:rPr>
      </w:pPr>
    </w:p>
    <w:p w14:paraId="7EEBE70F">
      <w:pPr>
        <w:numPr>
          <w:ilvl w:val="0"/>
          <w:numId w:val="6"/>
        </w:numPr>
        <w:snapToGrid w:val="0"/>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技术响应表</w:t>
      </w:r>
    </w:p>
    <w:tbl>
      <w:tblPr>
        <w:tblStyle w:val="17"/>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3209"/>
        <w:gridCol w:w="3245"/>
        <w:gridCol w:w="2096"/>
      </w:tblGrid>
      <w:tr w14:paraId="2306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64" w:type="dxa"/>
            <w:noWrap w:val="0"/>
            <w:vAlign w:val="center"/>
          </w:tcPr>
          <w:p w14:paraId="6ED63A2A">
            <w:pPr>
              <w:jc w:val="center"/>
              <w:rPr>
                <w:rFonts w:hint="eastAsia" w:ascii="仿宋" w:hAnsi="仿宋" w:eastAsia="仿宋"/>
                <w:szCs w:val="21"/>
                <w:highlight w:val="none"/>
              </w:rPr>
            </w:pPr>
            <w:r>
              <w:rPr>
                <w:rFonts w:hint="eastAsia" w:ascii="仿宋" w:hAnsi="仿宋" w:eastAsia="仿宋"/>
                <w:szCs w:val="21"/>
                <w:highlight w:val="none"/>
              </w:rPr>
              <w:t>序号</w:t>
            </w:r>
          </w:p>
        </w:tc>
        <w:tc>
          <w:tcPr>
            <w:tcW w:w="3209" w:type="dxa"/>
            <w:noWrap w:val="0"/>
            <w:vAlign w:val="center"/>
          </w:tcPr>
          <w:p w14:paraId="62A2DE52">
            <w:pPr>
              <w:jc w:val="center"/>
              <w:rPr>
                <w:rFonts w:hint="eastAsia" w:ascii="仿宋" w:hAnsi="仿宋" w:eastAsia="仿宋"/>
                <w:szCs w:val="21"/>
                <w:highlight w:val="none"/>
              </w:rPr>
            </w:pPr>
            <w:r>
              <w:rPr>
                <w:rFonts w:hint="eastAsia" w:ascii="仿宋" w:hAnsi="仿宋" w:eastAsia="仿宋"/>
                <w:szCs w:val="21"/>
                <w:highlight w:val="none"/>
              </w:rPr>
              <w:t>招标文件章节及具体内容</w:t>
            </w:r>
          </w:p>
        </w:tc>
        <w:tc>
          <w:tcPr>
            <w:tcW w:w="3245" w:type="dxa"/>
            <w:noWrap w:val="0"/>
            <w:vAlign w:val="center"/>
          </w:tcPr>
          <w:p w14:paraId="5F3574B8">
            <w:pPr>
              <w:jc w:val="center"/>
              <w:rPr>
                <w:rFonts w:hint="eastAsia" w:ascii="仿宋" w:hAnsi="仿宋" w:eastAsia="仿宋"/>
                <w:szCs w:val="21"/>
                <w:highlight w:val="none"/>
              </w:rPr>
            </w:pPr>
            <w:r>
              <w:rPr>
                <w:rFonts w:hint="eastAsia" w:ascii="仿宋" w:hAnsi="仿宋" w:eastAsia="仿宋"/>
                <w:szCs w:val="21"/>
                <w:highlight w:val="none"/>
              </w:rPr>
              <w:t>投标文件章节及具体内容</w:t>
            </w:r>
          </w:p>
        </w:tc>
        <w:tc>
          <w:tcPr>
            <w:tcW w:w="2096" w:type="dxa"/>
            <w:noWrap w:val="0"/>
            <w:vAlign w:val="center"/>
          </w:tcPr>
          <w:p w14:paraId="21B40276">
            <w:pPr>
              <w:jc w:val="center"/>
              <w:rPr>
                <w:rFonts w:hint="eastAsia" w:ascii="仿宋" w:hAnsi="仿宋" w:eastAsia="仿宋"/>
                <w:szCs w:val="21"/>
                <w:highlight w:val="none"/>
              </w:rPr>
            </w:pPr>
            <w:r>
              <w:rPr>
                <w:rFonts w:hint="eastAsia" w:ascii="仿宋" w:hAnsi="仿宋" w:eastAsia="仿宋"/>
                <w:szCs w:val="21"/>
                <w:highlight w:val="none"/>
              </w:rPr>
              <w:t>响应或偏离说明</w:t>
            </w:r>
          </w:p>
        </w:tc>
      </w:tr>
      <w:tr w14:paraId="59F2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14:paraId="0E331CE1">
            <w:pPr>
              <w:jc w:val="center"/>
              <w:rPr>
                <w:rFonts w:hint="eastAsia" w:ascii="仿宋" w:hAnsi="仿宋" w:eastAsia="仿宋"/>
                <w:szCs w:val="21"/>
                <w:highlight w:val="none"/>
              </w:rPr>
            </w:pPr>
            <w:r>
              <w:rPr>
                <w:rFonts w:hint="eastAsia" w:ascii="仿宋" w:hAnsi="仿宋" w:eastAsia="仿宋"/>
                <w:szCs w:val="21"/>
                <w:highlight w:val="none"/>
              </w:rPr>
              <w:t>1</w:t>
            </w:r>
          </w:p>
        </w:tc>
        <w:tc>
          <w:tcPr>
            <w:tcW w:w="3209" w:type="dxa"/>
            <w:noWrap w:val="0"/>
            <w:vAlign w:val="center"/>
          </w:tcPr>
          <w:p w14:paraId="024FC868">
            <w:pPr>
              <w:jc w:val="center"/>
              <w:rPr>
                <w:rFonts w:hint="eastAsia" w:ascii="仿宋" w:hAnsi="仿宋" w:eastAsia="仿宋"/>
                <w:szCs w:val="21"/>
                <w:highlight w:val="none"/>
              </w:rPr>
            </w:pPr>
          </w:p>
        </w:tc>
        <w:tc>
          <w:tcPr>
            <w:tcW w:w="3245" w:type="dxa"/>
            <w:noWrap w:val="0"/>
            <w:vAlign w:val="center"/>
          </w:tcPr>
          <w:p w14:paraId="492FFF93">
            <w:pPr>
              <w:jc w:val="center"/>
              <w:rPr>
                <w:rFonts w:hint="eastAsia" w:ascii="仿宋" w:hAnsi="仿宋" w:eastAsia="仿宋"/>
                <w:szCs w:val="21"/>
                <w:highlight w:val="none"/>
              </w:rPr>
            </w:pPr>
          </w:p>
        </w:tc>
        <w:tc>
          <w:tcPr>
            <w:tcW w:w="2096" w:type="dxa"/>
            <w:noWrap w:val="0"/>
            <w:vAlign w:val="center"/>
          </w:tcPr>
          <w:p w14:paraId="3BF9E46A">
            <w:pPr>
              <w:jc w:val="center"/>
              <w:rPr>
                <w:rFonts w:hint="eastAsia" w:ascii="仿宋" w:hAnsi="仿宋" w:eastAsia="仿宋"/>
                <w:szCs w:val="21"/>
                <w:highlight w:val="none"/>
              </w:rPr>
            </w:pPr>
          </w:p>
        </w:tc>
      </w:tr>
      <w:tr w14:paraId="67F2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14:paraId="6EAC770D">
            <w:pPr>
              <w:jc w:val="center"/>
              <w:rPr>
                <w:rFonts w:hint="eastAsia" w:ascii="仿宋" w:hAnsi="仿宋" w:eastAsia="仿宋"/>
                <w:szCs w:val="21"/>
                <w:highlight w:val="none"/>
              </w:rPr>
            </w:pPr>
            <w:r>
              <w:rPr>
                <w:rFonts w:hint="eastAsia" w:ascii="仿宋" w:hAnsi="仿宋" w:eastAsia="仿宋"/>
                <w:szCs w:val="21"/>
                <w:highlight w:val="none"/>
              </w:rPr>
              <w:t>2</w:t>
            </w:r>
          </w:p>
        </w:tc>
        <w:tc>
          <w:tcPr>
            <w:tcW w:w="3209" w:type="dxa"/>
            <w:noWrap w:val="0"/>
            <w:vAlign w:val="center"/>
          </w:tcPr>
          <w:p w14:paraId="1482D30E">
            <w:pPr>
              <w:jc w:val="center"/>
              <w:rPr>
                <w:rFonts w:hint="eastAsia" w:ascii="仿宋" w:hAnsi="仿宋" w:eastAsia="仿宋"/>
                <w:szCs w:val="21"/>
                <w:highlight w:val="none"/>
              </w:rPr>
            </w:pPr>
          </w:p>
        </w:tc>
        <w:tc>
          <w:tcPr>
            <w:tcW w:w="3245" w:type="dxa"/>
            <w:noWrap w:val="0"/>
            <w:vAlign w:val="center"/>
          </w:tcPr>
          <w:p w14:paraId="6918D7FE">
            <w:pPr>
              <w:jc w:val="center"/>
              <w:rPr>
                <w:rFonts w:hint="eastAsia" w:ascii="仿宋" w:hAnsi="仿宋" w:eastAsia="仿宋"/>
                <w:szCs w:val="21"/>
                <w:highlight w:val="none"/>
              </w:rPr>
            </w:pPr>
          </w:p>
        </w:tc>
        <w:tc>
          <w:tcPr>
            <w:tcW w:w="2096" w:type="dxa"/>
            <w:noWrap w:val="0"/>
            <w:vAlign w:val="center"/>
          </w:tcPr>
          <w:p w14:paraId="6DB9231A">
            <w:pPr>
              <w:jc w:val="center"/>
              <w:rPr>
                <w:rFonts w:hint="eastAsia" w:ascii="仿宋" w:hAnsi="仿宋" w:eastAsia="仿宋"/>
                <w:szCs w:val="21"/>
                <w:highlight w:val="none"/>
              </w:rPr>
            </w:pPr>
          </w:p>
        </w:tc>
      </w:tr>
      <w:tr w14:paraId="375B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4" w:type="dxa"/>
            <w:noWrap w:val="0"/>
            <w:vAlign w:val="center"/>
          </w:tcPr>
          <w:p w14:paraId="5A728671">
            <w:pPr>
              <w:jc w:val="center"/>
              <w:rPr>
                <w:rFonts w:hint="eastAsia" w:ascii="仿宋" w:hAnsi="仿宋" w:eastAsia="仿宋"/>
                <w:szCs w:val="21"/>
                <w:highlight w:val="none"/>
              </w:rPr>
            </w:pPr>
            <w:r>
              <w:rPr>
                <w:rFonts w:hint="eastAsia" w:ascii="仿宋" w:hAnsi="仿宋" w:eastAsia="仿宋"/>
                <w:szCs w:val="21"/>
                <w:highlight w:val="none"/>
              </w:rPr>
              <w:t>……</w:t>
            </w:r>
          </w:p>
        </w:tc>
        <w:tc>
          <w:tcPr>
            <w:tcW w:w="3209" w:type="dxa"/>
            <w:noWrap w:val="0"/>
            <w:vAlign w:val="center"/>
          </w:tcPr>
          <w:p w14:paraId="52A5EA97">
            <w:pPr>
              <w:jc w:val="center"/>
              <w:rPr>
                <w:rFonts w:hint="eastAsia" w:ascii="仿宋" w:hAnsi="仿宋" w:eastAsia="仿宋"/>
                <w:szCs w:val="21"/>
                <w:highlight w:val="none"/>
              </w:rPr>
            </w:pPr>
          </w:p>
        </w:tc>
        <w:tc>
          <w:tcPr>
            <w:tcW w:w="3245" w:type="dxa"/>
            <w:noWrap w:val="0"/>
            <w:vAlign w:val="center"/>
          </w:tcPr>
          <w:p w14:paraId="1483FBFF">
            <w:pPr>
              <w:jc w:val="center"/>
              <w:rPr>
                <w:rFonts w:hint="eastAsia" w:ascii="仿宋" w:hAnsi="仿宋" w:eastAsia="仿宋"/>
                <w:szCs w:val="21"/>
                <w:highlight w:val="none"/>
              </w:rPr>
            </w:pPr>
          </w:p>
        </w:tc>
        <w:tc>
          <w:tcPr>
            <w:tcW w:w="2096" w:type="dxa"/>
            <w:noWrap w:val="0"/>
            <w:vAlign w:val="center"/>
          </w:tcPr>
          <w:p w14:paraId="48A6D2AF">
            <w:pPr>
              <w:jc w:val="center"/>
              <w:rPr>
                <w:rFonts w:hint="eastAsia" w:ascii="仿宋" w:hAnsi="仿宋" w:eastAsia="仿宋"/>
                <w:szCs w:val="21"/>
                <w:highlight w:val="none"/>
              </w:rPr>
            </w:pPr>
          </w:p>
        </w:tc>
      </w:tr>
    </w:tbl>
    <w:p w14:paraId="15E520A1">
      <w:pPr>
        <w:spacing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投标人保证：除技术偏离表列出的偏离外，投标人响应招标文件的全部技术要求。</w:t>
      </w:r>
    </w:p>
    <w:p w14:paraId="209A7941">
      <w:pPr>
        <w:adjustRightInd w:val="0"/>
        <w:spacing w:line="360" w:lineRule="auto"/>
        <w:ind w:firstLine="2400" w:firstLineChars="1000"/>
        <w:jc w:val="left"/>
        <w:rPr>
          <w:rFonts w:hint="eastAsia" w:ascii="仿宋" w:hAnsi="仿宋" w:eastAsia="仿宋" w:cs="仿宋"/>
          <w:sz w:val="24"/>
          <w:highlight w:val="none"/>
        </w:rPr>
      </w:pPr>
    </w:p>
    <w:p w14:paraId="2CB12989">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法定代表人（负责人）或其授权委托人（签名或印章）：</w:t>
      </w:r>
    </w:p>
    <w:p w14:paraId="12023C39">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投标人（盖章）：</w:t>
      </w:r>
    </w:p>
    <w:p w14:paraId="34EEB880">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日期：</w:t>
      </w:r>
    </w:p>
    <w:p w14:paraId="2FECF155">
      <w:pPr>
        <w:spacing w:line="360" w:lineRule="auto"/>
        <w:rPr>
          <w:rFonts w:hint="eastAsia" w:ascii="仿宋" w:hAnsi="仿宋" w:eastAsia="仿宋" w:cs="仿宋"/>
          <w:b/>
          <w:kern w:val="0"/>
          <w:sz w:val="32"/>
          <w:szCs w:val="32"/>
          <w:highlight w:val="none"/>
        </w:rPr>
      </w:pPr>
    </w:p>
    <w:p w14:paraId="5F005E9D">
      <w:pPr>
        <w:numPr>
          <w:ilvl w:val="0"/>
          <w:numId w:val="6"/>
        </w:numPr>
        <w:snapToGrid w:val="0"/>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r>
        <w:rPr>
          <w:rFonts w:hint="eastAsia" w:ascii="仿宋" w:hAnsi="仿宋" w:eastAsia="仿宋" w:cs="仿宋"/>
          <w:b/>
          <w:kern w:val="0"/>
          <w:sz w:val="32"/>
          <w:szCs w:val="32"/>
          <w:highlight w:val="none"/>
        </w:rPr>
        <w:t>同类业绩情况一览表</w:t>
      </w:r>
    </w:p>
    <w:tbl>
      <w:tblPr>
        <w:tblStyle w:val="17"/>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260CD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5A6207C1">
            <w:pPr>
              <w:jc w:val="center"/>
              <w:rPr>
                <w:rFonts w:hint="eastAsia" w:ascii="仿宋" w:hAnsi="仿宋" w:eastAsia="仿宋"/>
                <w:b/>
                <w:szCs w:val="21"/>
                <w:highlight w:val="none"/>
              </w:rPr>
            </w:pPr>
            <w:r>
              <w:rPr>
                <w:rFonts w:hint="eastAsia" w:ascii="仿宋" w:hAnsi="仿宋" w:eastAsia="仿宋"/>
                <w:b/>
                <w:szCs w:val="21"/>
                <w:highlight w:val="none"/>
              </w:rPr>
              <w:t>序号</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5C8ACB3D">
            <w:pPr>
              <w:jc w:val="center"/>
              <w:rPr>
                <w:rFonts w:hint="eastAsia" w:ascii="仿宋" w:hAnsi="仿宋" w:eastAsia="仿宋"/>
                <w:b/>
                <w:szCs w:val="21"/>
                <w:highlight w:val="none"/>
              </w:rPr>
            </w:pPr>
            <w:r>
              <w:rPr>
                <w:rFonts w:hint="eastAsia" w:ascii="仿宋" w:hAnsi="仿宋" w:eastAsia="仿宋"/>
                <w:b/>
                <w:szCs w:val="21"/>
                <w:highlight w:val="none"/>
              </w:rPr>
              <w:t>采购单位名称</w:t>
            </w:r>
          </w:p>
        </w:tc>
        <w:tc>
          <w:tcPr>
            <w:tcW w:w="1732" w:type="dxa"/>
            <w:tcBorders>
              <w:top w:val="single" w:color="auto" w:sz="4" w:space="0"/>
              <w:left w:val="single" w:color="auto" w:sz="4" w:space="0"/>
              <w:right w:val="single" w:color="auto" w:sz="4" w:space="0"/>
            </w:tcBorders>
            <w:noWrap w:val="0"/>
            <w:vAlign w:val="center"/>
          </w:tcPr>
          <w:p w14:paraId="6587CC81">
            <w:pPr>
              <w:jc w:val="center"/>
              <w:rPr>
                <w:rFonts w:hint="eastAsia" w:ascii="仿宋" w:hAnsi="仿宋" w:eastAsia="仿宋"/>
                <w:b/>
                <w:szCs w:val="21"/>
                <w:highlight w:val="none"/>
              </w:rPr>
            </w:pPr>
            <w:r>
              <w:rPr>
                <w:rFonts w:hint="eastAsia" w:ascii="仿宋" w:hAnsi="仿宋" w:eastAsia="仿宋"/>
                <w:b/>
                <w:szCs w:val="21"/>
                <w:highlight w:val="none"/>
              </w:rPr>
              <w:t>项目名称</w:t>
            </w:r>
          </w:p>
        </w:tc>
        <w:tc>
          <w:tcPr>
            <w:tcW w:w="1936" w:type="dxa"/>
            <w:tcBorders>
              <w:top w:val="single" w:color="auto" w:sz="4" w:space="0"/>
              <w:left w:val="single" w:color="auto" w:sz="4" w:space="0"/>
              <w:bottom w:val="single" w:color="auto" w:sz="4" w:space="0"/>
              <w:right w:val="single" w:color="auto" w:sz="4" w:space="0"/>
            </w:tcBorders>
            <w:noWrap w:val="0"/>
            <w:vAlign w:val="center"/>
          </w:tcPr>
          <w:p w14:paraId="5BDB489C">
            <w:pPr>
              <w:jc w:val="center"/>
              <w:rPr>
                <w:rFonts w:hint="eastAsia" w:ascii="仿宋" w:hAnsi="仿宋" w:eastAsia="仿宋"/>
                <w:b/>
                <w:szCs w:val="21"/>
                <w:highlight w:val="none"/>
              </w:rPr>
            </w:pPr>
            <w:r>
              <w:rPr>
                <w:rFonts w:hint="eastAsia" w:ascii="仿宋" w:hAnsi="仿宋" w:eastAsia="仿宋"/>
                <w:b/>
                <w:szCs w:val="21"/>
                <w:highlight w:val="none"/>
              </w:rPr>
              <w:t>合同金额（万元）</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8A9A1D3">
            <w:pPr>
              <w:jc w:val="center"/>
              <w:rPr>
                <w:rFonts w:hint="eastAsia" w:ascii="仿宋" w:hAnsi="仿宋" w:eastAsia="仿宋"/>
                <w:b/>
                <w:szCs w:val="21"/>
                <w:highlight w:val="none"/>
              </w:rPr>
            </w:pPr>
            <w:r>
              <w:rPr>
                <w:rFonts w:hint="eastAsia" w:ascii="仿宋" w:hAnsi="仿宋" w:eastAsia="仿宋"/>
                <w:b/>
                <w:szCs w:val="21"/>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5BC4B538">
            <w:pPr>
              <w:jc w:val="center"/>
              <w:rPr>
                <w:rFonts w:hint="eastAsia" w:ascii="仿宋" w:hAnsi="仿宋" w:eastAsia="仿宋"/>
                <w:b/>
                <w:szCs w:val="21"/>
                <w:highlight w:val="none"/>
              </w:rPr>
            </w:pPr>
            <w:r>
              <w:rPr>
                <w:rFonts w:hint="eastAsia" w:ascii="仿宋" w:hAnsi="仿宋" w:eastAsia="仿宋"/>
                <w:b/>
                <w:szCs w:val="21"/>
                <w:highlight w:val="none"/>
              </w:rPr>
              <w:t>合同签订时间</w:t>
            </w:r>
          </w:p>
        </w:tc>
      </w:tr>
      <w:tr w14:paraId="5EFF2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027BF305">
            <w:pPr>
              <w:jc w:val="center"/>
              <w:rPr>
                <w:rFonts w:hint="eastAsia" w:ascii="仿宋" w:hAnsi="仿宋" w:eastAsia="仿宋"/>
                <w:szCs w:val="21"/>
                <w:highlight w:val="none"/>
              </w:rPr>
            </w:pPr>
            <w:r>
              <w:rPr>
                <w:rFonts w:hint="eastAsia" w:ascii="仿宋" w:hAnsi="仿宋" w:eastAsia="仿宋"/>
                <w:szCs w:val="21"/>
                <w:highlight w:val="none"/>
              </w:rPr>
              <w:t>1</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0FBCDF9E">
            <w:pPr>
              <w:jc w:val="center"/>
              <w:rPr>
                <w:rFonts w:hint="eastAsia" w:ascii="仿宋" w:hAnsi="仿宋" w:eastAsia="仿宋"/>
                <w:szCs w:val="21"/>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05585AE1">
            <w:pPr>
              <w:jc w:val="center"/>
              <w:rPr>
                <w:rFonts w:hint="eastAsia" w:ascii="仿宋" w:hAnsi="仿宋" w:eastAsia="仿宋"/>
                <w:szCs w:val="21"/>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0FC30EAB">
            <w:pPr>
              <w:jc w:val="center"/>
              <w:rPr>
                <w:rFonts w:hint="eastAsia" w:ascii="仿宋" w:hAnsi="仿宋" w:eastAsia="仿宋"/>
                <w:szCs w:val="21"/>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3D16608">
            <w:pPr>
              <w:jc w:val="center"/>
              <w:rPr>
                <w:rFonts w:hint="eastAsia" w:ascii="仿宋" w:hAnsi="仿宋" w:eastAsia="仿宋"/>
                <w:szCs w:val="21"/>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3EE7C600">
            <w:pPr>
              <w:jc w:val="center"/>
              <w:rPr>
                <w:rFonts w:hint="eastAsia" w:ascii="仿宋" w:hAnsi="仿宋" w:eastAsia="仿宋"/>
                <w:szCs w:val="21"/>
                <w:highlight w:val="none"/>
              </w:rPr>
            </w:pPr>
          </w:p>
        </w:tc>
      </w:tr>
      <w:tr w14:paraId="65CB3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0E69D375">
            <w:pPr>
              <w:jc w:val="center"/>
              <w:rPr>
                <w:rFonts w:hint="eastAsia" w:ascii="仿宋" w:hAnsi="仿宋" w:eastAsia="仿宋"/>
                <w:szCs w:val="21"/>
                <w:highlight w:val="none"/>
              </w:rPr>
            </w:pPr>
            <w:r>
              <w:rPr>
                <w:rFonts w:hint="eastAsia" w:ascii="仿宋" w:hAnsi="仿宋" w:eastAsia="仿宋"/>
                <w:szCs w:val="21"/>
                <w:highlight w:val="none"/>
              </w:rPr>
              <w:t>2</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53415D07">
            <w:pPr>
              <w:jc w:val="center"/>
              <w:rPr>
                <w:rFonts w:hint="eastAsia" w:ascii="仿宋" w:hAnsi="仿宋" w:eastAsia="仿宋"/>
                <w:szCs w:val="21"/>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052E2404">
            <w:pPr>
              <w:jc w:val="center"/>
              <w:rPr>
                <w:rFonts w:hint="eastAsia" w:ascii="仿宋" w:hAnsi="仿宋" w:eastAsia="仿宋"/>
                <w:szCs w:val="21"/>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1C173B73">
            <w:pPr>
              <w:jc w:val="center"/>
              <w:rPr>
                <w:rFonts w:hint="eastAsia" w:ascii="仿宋" w:hAnsi="仿宋" w:eastAsia="仿宋"/>
                <w:szCs w:val="21"/>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CF02D02">
            <w:pPr>
              <w:jc w:val="center"/>
              <w:rPr>
                <w:rFonts w:hint="eastAsia" w:ascii="仿宋" w:hAnsi="仿宋" w:eastAsia="仿宋"/>
                <w:szCs w:val="21"/>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4344A813">
            <w:pPr>
              <w:jc w:val="center"/>
              <w:rPr>
                <w:rFonts w:hint="eastAsia" w:ascii="仿宋" w:hAnsi="仿宋" w:eastAsia="仿宋"/>
                <w:szCs w:val="21"/>
                <w:highlight w:val="none"/>
              </w:rPr>
            </w:pPr>
          </w:p>
        </w:tc>
      </w:tr>
      <w:tr w14:paraId="27ADC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2A57F380">
            <w:pPr>
              <w:jc w:val="center"/>
              <w:rPr>
                <w:rFonts w:hint="eastAsia" w:ascii="仿宋" w:hAnsi="仿宋" w:eastAsia="仿宋"/>
                <w:szCs w:val="21"/>
                <w:highlight w:val="none"/>
              </w:rPr>
            </w:pPr>
            <w:r>
              <w:rPr>
                <w:rFonts w:hint="eastAsia" w:ascii="仿宋" w:hAnsi="仿宋" w:eastAsia="仿宋"/>
                <w:szCs w:val="21"/>
                <w:highlight w:val="none"/>
              </w:rPr>
              <w:t>3</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56BE6B51">
            <w:pPr>
              <w:jc w:val="center"/>
              <w:rPr>
                <w:rFonts w:hint="eastAsia" w:ascii="仿宋" w:hAnsi="仿宋" w:eastAsia="仿宋"/>
                <w:szCs w:val="21"/>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7FF7AAAF">
            <w:pPr>
              <w:jc w:val="center"/>
              <w:rPr>
                <w:rFonts w:hint="eastAsia" w:ascii="仿宋" w:hAnsi="仿宋" w:eastAsia="仿宋"/>
                <w:szCs w:val="21"/>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15D8711B">
            <w:pPr>
              <w:jc w:val="center"/>
              <w:rPr>
                <w:rFonts w:hint="eastAsia" w:ascii="仿宋" w:hAnsi="仿宋" w:eastAsia="仿宋"/>
                <w:szCs w:val="21"/>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9FC573A">
            <w:pPr>
              <w:jc w:val="center"/>
              <w:rPr>
                <w:rFonts w:hint="eastAsia" w:ascii="仿宋" w:hAnsi="仿宋" w:eastAsia="仿宋"/>
                <w:szCs w:val="21"/>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2EC4FC56">
            <w:pPr>
              <w:jc w:val="center"/>
              <w:rPr>
                <w:rFonts w:hint="eastAsia" w:ascii="仿宋" w:hAnsi="仿宋" w:eastAsia="仿宋"/>
                <w:szCs w:val="21"/>
                <w:highlight w:val="none"/>
              </w:rPr>
            </w:pPr>
          </w:p>
        </w:tc>
      </w:tr>
      <w:tr w14:paraId="3179F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428C4914">
            <w:pPr>
              <w:jc w:val="center"/>
              <w:rPr>
                <w:rFonts w:hint="eastAsia" w:ascii="仿宋" w:hAnsi="仿宋" w:eastAsia="仿宋"/>
                <w:szCs w:val="21"/>
                <w:highlight w:val="none"/>
              </w:rPr>
            </w:pPr>
            <w:r>
              <w:rPr>
                <w:rFonts w:hint="eastAsia" w:ascii="仿宋" w:hAnsi="仿宋" w:eastAsia="仿宋"/>
                <w:szCs w:val="21"/>
                <w:highlight w:val="none"/>
              </w:rPr>
              <w:t>4</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2EF019E8">
            <w:pPr>
              <w:jc w:val="center"/>
              <w:rPr>
                <w:rFonts w:hint="eastAsia" w:ascii="仿宋" w:hAnsi="仿宋" w:eastAsia="仿宋"/>
                <w:szCs w:val="21"/>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1B183126">
            <w:pPr>
              <w:jc w:val="center"/>
              <w:rPr>
                <w:rFonts w:hint="eastAsia" w:ascii="仿宋" w:hAnsi="仿宋" w:eastAsia="仿宋"/>
                <w:szCs w:val="21"/>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05226755">
            <w:pPr>
              <w:jc w:val="center"/>
              <w:rPr>
                <w:rFonts w:hint="eastAsia" w:ascii="仿宋" w:hAnsi="仿宋" w:eastAsia="仿宋"/>
                <w:szCs w:val="21"/>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B91F7EA">
            <w:pPr>
              <w:jc w:val="center"/>
              <w:rPr>
                <w:rFonts w:hint="eastAsia" w:ascii="仿宋" w:hAnsi="仿宋" w:eastAsia="仿宋"/>
                <w:szCs w:val="21"/>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429A4E07">
            <w:pPr>
              <w:jc w:val="center"/>
              <w:rPr>
                <w:rFonts w:hint="eastAsia" w:ascii="仿宋" w:hAnsi="仿宋" w:eastAsia="仿宋"/>
                <w:szCs w:val="21"/>
                <w:highlight w:val="none"/>
              </w:rPr>
            </w:pPr>
          </w:p>
        </w:tc>
      </w:tr>
      <w:tr w14:paraId="5551B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7A4AA6F0">
            <w:pPr>
              <w:jc w:val="center"/>
              <w:rPr>
                <w:rFonts w:hint="eastAsia" w:ascii="仿宋" w:hAnsi="仿宋" w:eastAsia="仿宋"/>
                <w:szCs w:val="21"/>
                <w:highlight w:val="none"/>
              </w:rPr>
            </w:pPr>
            <w:r>
              <w:rPr>
                <w:rFonts w:hint="eastAsia" w:ascii="仿宋" w:hAnsi="仿宋" w:eastAsia="仿宋"/>
                <w:szCs w:val="21"/>
                <w:highlight w:val="none"/>
              </w:rPr>
              <w:t>5</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4F1C1F49">
            <w:pPr>
              <w:jc w:val="center"/>
              <w:rPr>
                <w:rFonts w:hint="eastAsia" w:ascii="仿宋" w:hAnsi="仿宋" w:eastAsia="仿宋"/>
                <w:szCs w:val="21"/>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1E383313">
            <w:pPr>
              <w:jc w:val="center"/>
              <w:rPr>
                <w:rFonts w:hint="eastAsia" w:ascii="仿宋" w:hAnsi="仿宋" w:eastAsia="仿宋"/>
                <w:szCs w:val="21"/>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4ACB5091">
            <w:pPr>
              <w:jc w:val="center"/>
              <w:rPr>
                <w:rFonts w:hint="eastAsia" w:ascii="仿宋" w:hAnsi="仿宋" w:eastAsia="仿宋"/>
                <w:szCs w:val="21"/>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ABFA713">
            <w:pPr>
              <w:jc w:val="center"/>
              <w:rPr>
                <w:rFonts w:hint="eastAsia" w:ascii="仿宋" w:hAnsi="仿宋" w:eastAsia="仿宋"/>
                <w:szCs w:val="21"/>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70395775">
            <w:pPr>
              <w:jc w:val="center"/>
              <w:rPr>
                <w:rFonts w:hint="eastAsia" w:ascii="仿宋" w:hAnsi="仿宋" w:eastAsia="仿宋"/>
                <w:szCs w:val="21"/>
                <w:highlight w:val="none"/>
              </w:rPr>
            </w:pPr>
          </w:p>
        </w:tc>
      </w:tr>
    </w:tbl>
    <w:p w14:paraId="7195BA87">
      <w:pPr>
        <w:spacing w:line="360" w:lineRule="auto"/>
        <w:jc w:val="left"/>
        <w:rPr>
          <w:rFonts w:hint="eastAsia" w:ascii="仿宋" w:hAnsi="仿宋" w:eastAsia="仿宋" w:cs="仿宋"/>
          <w:kern w:val="0"/>
          <w:sz w:val="24"/>
          <w:highlight w:val="none"/>
        </w:rPr>
      </w:pPr>
    </w:p>
    <w:p w14:paraId="7F16588D">
      <w:pPr>
        <w:spacing w:line="360" w:lineRule="auto"/>
        <w:jc w:val="left"/>
        <w:rPr>
          <w:rFonts w:hint="eastAsia" w:ascii="仿宋" w:hAnsi="仿宋" w:eastAsia="仿宋" w:cs="仿宋"/>
          <w:kern w:val="0"/>
          <w:sz w:val="24"/>
          <w:highlight w:val="none"/>
        </w:rPr>
      </w:pPr>
    </w:p>
    <w:p w14:paraId="10C78043">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法定代表人（负责人）或其授权委托人（签名或印章）：</w:t>
      </w:r>
    </w:p>
    <w:p w14:paraId="4B325779">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投标人（盖章）：</w:t>
      </w:r>
    </w:p>
    <w:p w14:paraId="27AC3DAE">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日期：</w:t>
      </w:r>
    </w:p>
    <w:p w14:paraId="618D649F">
      <w:pPr>
        <w:snapToGrid w:val="0"/>
        <w:spacing w:line="360" w:lineRule="auto"/>
        <w:jc w:val="center"/>
        <w:outlineLvl w:val="0"/>
        <w:rPr>
          <w:rFonts w:hint="eastAsia" w:ascii="仿宋" w:hAnsi="仿宋" w:eastAsia="仿宋" w:cs="仿宋"/>
          <w:b/>
          <w:kern w:val="0"/>
          <w:sz w:val="32"/>
          <w:szCs w:val="32"/>
          <w:highlight w:val="none"/>
        </w:rPr>
      </w:pPr>
      <w:r>
        <w:rPr>
          <w:rFonts w:hint="eastAsia"/>
          <w:highlight w:val="none"/>
        </w:rPr>
        <w:br w:type="page"/>
      </w:r>
      <w:r>
        <w:rPr>
          <w:rFonts w:hint="eastAsia" w:ascii="仿宋" w:hAnsi="仿宋" w:eastAsia="仿宋" w:cs="仿宋"/>
          <w:b/>
          <w:kern w:val="0"/>
          <w:sz w:val="32"/>
          <w:szCs w:val="32"/>
          <w:highlight w:val="none"/>
        </w:rPr>
        <w:t>政府采购供应商廉洁自律承诺书</w:t>
      </w:r>
    </w:p>
    <w:p w14:paraId="6C8A8578">
      <w:pPr>
        <w:snapToGrid w:val="0"/>
        <w:spacing w:line="360" w:lineRule="auto"/>
        <w:rPr>
          <w:rFonts w:hint="eastAsia" w:ascii="仿宋" w:hAnsi="仿宋" w:eastAsia="仿宋" w:cs="仿宋"/>
          <w:sz w:val="24"/>
          <w:highlight w:val="none"/>
        </w:rPr>
      </w:pPr>
    </w:p>
    <w:p w14:paraId="05FE3575">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lang w:eastAsia="zh-CN"/>
        </w:rPr>
        <w:t>宁波越升质量技术服务有限公司</w:t>
      </w:r>
      <w:r>
        <w:rPr>
          <w:rFonts w:hint="eastAsia" w:ascii="仿宋" w:hAnsi="仿宋" w:eastAsia="仿宋" w:cs="仿宋"/>
          <w:sz w:val="24"/>
          <w:highlight w:val="none"/>
        </w:rPr>
        <w:t>/</w:t>
      </w:r>
      <w:r>
        <w:rPr>
          <w:rFonts w:hint="eastAsia" w:ascii="仿宋" w:hAnsi="仿宋" w:eastAsia="仿宋" w:cs="仿宋"/>
          <w:sz w:val="24"/>
          <w:highlight w:val="none"/>
          <w:lang w:eastAsia="zh-CN"/>
        </w:rPr>
        <w:t>宁波市北仑中学</w:t>
      </w:r>
      <w:r>
        <w:rPr>
          <w:rFonts w:hint="eastAsia" w:ascii="仿宋" w:hAnsi="仿宋" w:eastAsia="仿宋" w:cs="仿宋"/>
          <w:kern w:val="0"/>
          <w:sz w:val="24"/>
          <w:highlight w:val="none"/>
          <w:lang w:val="zh-CN"/>
        </w:rPr>
        <w:t>：</w:t>
      </w:r>
    </w:p>
    <w:p w14:paraId="2D4E009E">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14:paraId="45F6F488">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一、不向项目有关人员及部门赠送礼金礼物、有价证券、回扣以及中介费、介绍费、咨询费等好处费；</w:t>
      </w:r>
    </w:p>
    <w:p w14:paraId="278912DD">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二、不为项目有关人员及部门报销应由你方单位或个人支付的费用；</w:t>
      </w:r>
    </w:p>
    <w:p w14:paraId="39C10E70">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三、不向项目有关人员及部门提供有可能影响公正的宴请和健身娱乐等活动；</w:t>
      </w:r>
    </w:p>
    <w:p w14:paraId="2A540294">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5E453569">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五、不为项目有关人员个人装修住房、婚丧嫁娶、配偶子女工作安排等提供好处；</w:t>
      </w:r>
    </w:p>
    <w:p w14:paraId="3E074183">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六、严格遵守《中华人民共和国政府采购法》、《中华人民共和国招标投标法》、《中华人民共和国民法典》等法律法规，诚实守信，合法经营，坚决抵制各种违法违纪行为。</w:t>
      </w:r>
    </w:p>
    <w:p w14:paraId="2A945745">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w:t>
      </w:r>
      <w:r>
        <w:rPr>
          <w:rFonts w:hint="eastAsia" w:ascii="仿宋" w:hAnsi="仿宋" w:eastAsia="仿宋" w:cs="仿宋"/>
          <w:kern w:val="0"/>
          <w:sz w:val="24"/>
          <w:highlight w:val="none"/>
          <w:lang w:val="en-US" w:eastAsia="zh-CN"/>
        </w:rPr>
        <w:t>项目所在地</w:t>
      </w:r>
      <w:r>
        <w:rPr>
          <w:rFonts w:hint="eastAsia" w:ascii="仿宋" w:hAnsi="仿宋" w:eastAsia="仿宋" w:cs="仿宋"/>
          <w:kern w:val="0"/>
          <w:sz w:val="24"/>
          <w:highlight w:val="none"/>
          <w:lang w:val="zh-CN"/>
        </w:rPr>
        <w:t>财政局。由此引起的相应损失均由我单位承担。</w:t>
      </w:r>
    </w:p>
    <w:p w14:paraId="6B210C06">
      <w:pPr>
        <w:autoSpaceDE w:val="0"/>
        <w:autoSpaceDN w:val="0"/>
        <w:spacing w:line="360" w:lineRule="auto"/>
        <w:ind w:left="2"/>
        <w:jc w:val="left"/>
        <w:rPr>
          <w:rFonts w:hint="eastAsia" w:ascii="仿宋" w:hAnsi="仿宋" w:eastAsia="仿宋" w:cs="仿宋"/>
          <w:kern w:val="0"/>
          <w:sz w:val="24"/>
          <w:highlight w:val="none"/>
          <w:lang w:val="zh-CN"/>
        </w:rPr>
      </w:pPr>
    </w:p>
    <w:p w14:paraId="54473064">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法定代表人（负责人）或其授权委托人（签名或印章）：</w:t>
      </w:r>
    </w:p>
    <w:p w14:paraId="21867924">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投标人（盖章）：</w:t>
      </w:r>
    </w:p>
    <w:p w14:paraId="5E9A5F15">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日期：</w:t>
      </w:r>
    </w:p>
    <w:p w14:paraId="65E1DAAF">
      <w:pPr>
        <w:spacing w:line="360" w:lineRule="auto"/>
        <w:jc w:val="left"/>
        <w:rPr>
          <w:rFonts w:hint="eastAsia" w:ascii="仿宋" w:hAnsi="仿宋" w:eastAsia="仿宋" w:cs="仿宋"/>
          <w:b/>
          <w:bCs/>
          <w:sz w:val="24"/>
          <w:highlight w:val="none"/>
        </w:rPr>
      </w:pPr>
    </w:p>
    <w:p w14:paraId="445BEAA3">
      <w:pPr>
        <w:spacing w:line="360" w:lineRule="auto"/>
        <w:jc w:val="left"/>
        <w:rPr>
          <w:rFonts w:hint="eastAsia" w:ascii="仿宋" w:hAnsi="仿宋" w:eastAsia="仿宋" w:cs="仿宋"/>
          <w:b/>
          <w:bCs/>
          <w:sz w:val="24"/>
          <w:highlight w:val="none"/>
        </w:rPr>
        <w:sectPr>
          <w:footerReference r:id="rId7" w:type="first"/>
          <w:footerReference r:id="rId6" w:type="default"/>
          <w:pgSz w:w="11906" w:h="16838"/>
          <w:pgMar w:top="1276" w:right="1418" w:bottom="1247" w:left="1418" w:header="851" w:footer="992" w:gutter="0"/>
          <w:cols w:space="720" w:num="1"/>
          <w:titlePg/>
          <w:docGrid w:linePitch="312" w:charSpace="0"/>
        </w:sectPr>
      </w:pPr>
    </w:p>
    <w:p w14:paraId="64CC4395">
      <w:pPr>
        <w:spacing w:before="120" w:beforeLines="50" w:after="120" w:afterLines="50"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报价文件部分</w:t>
      </w:r>
    </w:p>
    <w:p w14:paraId="7BE0D973">
      <w:pPr>
        <w:spacing w:before="120" w:beforeLines="50" w:after="120" w:afterLines="50"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目录</w:t>
      </w:r>
    </w:p>
    <w:p w14:paraId="493A9EAA">
      <w:pPr>
        <w:adjustRightInd w:val="0"/>
        <w:snapToGrid w:val="0"/>
        <w:spacing w:line="360" w:lineRule="auto"/>
        <w:ind w:left="420" w:leftChars="20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1.开标一览表；</w:t>
      </w:r>
    </w:p>
    <w:p w14:paraId="6D2D7B5C">
      <w:pPr>
        <w:adjustRightInd w:val="0"/>
        <w:snapToGrid w:val="0"/>
        <w:spacing w:line="360" w:lineRule="auto"/>
        <w:ind w:left="420" w:leftChars="20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2.投标报价明细表；</w:t>
      </w:r>
    </w:p>
    <w:p w14:paraId="244FE633">
      <w:pPr>
        <w:adjustRightInd w:val="0"/>
        <w:snapToGrid w:val="0"/>
        <w:spacing w:line="360" w:lineRule="auto"/>
        <w:ind w:left="420" w:leftChars="20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3.政府采购统计基础信息表；</w:t>
      </w:r>
    </w:p>
    <w:p w14:paraId="0F1BBFED">
      <w:pPr>
        <w:adjustRightInd w:val="0"/>
        <w:snapToGrid w:val="0"/>
        <w:spacing w:line="360" w:lineRule="auto"/>
        <w:ind w:left="420" w:leftChars="20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4.其他资料（如有）。</w:t>
      </w:r>
    </w:p>
    <w:p w14:paraId="05A79272">
      <w:pPr>
        <w:snapToGrid w:val="0"/>
        <w:spacing w:line="360" w:lineRule="auto"/>
        <w:ind w:right="480"/>
        <w:rPr>
          <w:rFonts w:hint="eastAsia" w:ascii="仿宋" w:hAnsi="仿宋" w:eastAsia="仿宋" w:cs="仿宋"/>
          <w:b/>
          <w:kern w:val="0"/>
          <w:sz w:val="32"/>
          <w:szCs w:val="32"/>
          <w:highlight w:val="none"/>
        </w:rPr>
      </w:pPr>
    </w:p>
    <w:p w14:paraId="741EEEF7">
      <w:pPr>
        <w:pStyle w:val="30"/>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51C4CFB">
      <w:pPr>
        <w:pStyle w:val="30"/>
        <w:keepNext w:val="0"/>
        <w:pageBreakBefore w:val="0"/>
        <w:tabs>
          <w:tab w:val="clear" w:pos="720"/>
        </w:tabs>
        <w:snapToGrid w:val="0"/>
        <w:spacing w:before="120" w:after="120"/>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一、开标一览表</w:t>
      </w:r>
    </w:p>
    <w:p w14:paraId="57414540">
      <w:pPr>
        <w:snapToGrid w:val="0"/>
        <w:spacing w:line="360" w:lineRule="auto"/>
        <w:rPr>
          <w:rFonts w:ascii="仿宋" w:hAnsi="仿宋" w:eastAsia="仿宋" w:cs="仿宋"/>
          <w:kern w:val="0"/>
          <w:sz w:val="24"/>
          <w:highlight w:val="none"/>
          <w:u w:val="single"/>
        </w:rPr>
      </w:pPr>
      <w:r>
        <w:rPr>
          <w:rFonts w:hint="eastAsia" w:ascii="仿宋" w:hAnsi="仿宋" w:eastAsia="仿宋" w:cs="仿宋"/>
          <w:sz w:val="24"/>
          <w:highlight w:val="none"/>
          <w:lang w:eastAsia="zh-CN"/>
        </w:rPr>
        <w:t>宁波市北仑中学</w:t>
      </w:r>
      <w:r>
        <w:rPr>
          <w:rFonts w:hint="eastAsia" w:ascii="仿宋" w:hAnsi="仿宋" w:eastAsia="仿宋" w:cs="仿宋"/>
          <w:sz w:val="24"/>
          <w:highlight w:val="none"/>
        </w:rPr>
        <w:t>、</w:t>
      </w:r>
      <w:r>
        <w:rPr>
          <w:rFonts w:hint="eastAsia" w:ascii="仿宋" w:hAnsi="仿宋" w:eastAsia="仿宋" w:cs="仿宋"/>
          <w:sz w:val="24"/>
          <w:highlight w:val="none"/>
          <w:lang w:eastAsia="zh-CN"/>
        </w:rPr>
        <w:t>宁波越升质量技术服务有限公司</w:t>
      </w:r>
      <w:r>
        <w:rPr>
          <w:rFonts w:hint="eastAsia" w:ascii="仿宋" w:hAnsi="仿宋" w:eastAsia="仿宋" w:cs="仿宋"/>
          <w:kern w:val="0"/>
          <w:sz w:val="24"/>
          <w:highlight w:val="none"/>
          <w:lang w:val="zh-CN"/>
        </w:rPr>
        <w:t>：</w:t>
      </w:r>
    </w:p>
    <w:p w14:paraId="6DBCECD3">
      <w:pPr>
        <w:snapToGrid w:val="0"/>
        <w:spacing w:line="360" w:lineRule="auto"/>
        <w:ind w:firstLine="48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highlight w:val="none"/>
          <w:lang w:eastAsia="zh-CN"/>
        </w:rPr>
        <w:t>北仑中学、顾国和外国语学校高中部2025年教师疗休养服务采购项目</w:t>
      </w:r>
      <w:r>
        <w:rPr>
          <w:rFonts w:hint="eastAsia" w:ascii="仿宋" w:hAnsi="仿宋" w:eastAsia="仿宋" w:cs="仿宋"/>
          <w:kern w:val="0"/>
          <w:sz w:val="24"/>
          <w:highlight w:val="none"/>
          <w:lang w:val="zh-CN"/>
        </w:rPr>
        <w:t>【招标编号：</w:t>
      </w:r>
      <w:r>
        <w:rPr>
          <w:rFonts w:hint="eastAsia" w:ascii="仿宋" w:hAnsi="仿宋" w:eastAsia="仿宋" w:cs="仿宋"/>
          <w:sz w:val="24"/>
          <w:highlight w:val="none"/>
          <w:lang w:eastAsia="zh-CN"/>
        </w:rPr>
        <w:t>NBYS2025145G</w:t>
      </w:r>
      <w:r>
        <w:rPr>
          <w:rFonts w:hint="eastAsia" w:ascii="仿宋" w:hAnsi="仿宋" w:eastAsia="仿宋" w:cs="仿宋"/>
          <w:sz w:val="24"/>
          <w:highlight w:val="none"/>
        </w:rPr>
        <w:t>】的实施</w:t>
      </w:r>
      <w:r>
        <w:rPr>
          <w:rFonts w:hint="eastAsia" w:ascii="仿宋" w:hAnsi="仿宋" w:eastAsia="仿宋" w:cs="仿宋"/>
          <w:kern w:val="0"/>
          <w:sz w:val="24"/>
          <w:highlight w:val="none"/>
          <w:lang w:val="zh-CN"/>
        </w:rPr>
        <w:t>。</w:t>
      </w:r>
    </w:p>
    <w:p w14:paraId="0C99751C">
      <w:pPr>
        <w:spacing w:before="120" w:beforeLines="50" w:after="120" w:afterLines="50"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开标一览表（报价表）</w:t>
      </w:r>
    </w:p>
    <w:p w14:paraId="3A7D9272">
      <w:pPr>
        <w:spacing w:line="360" w:lineRule="auto"/>
        <w:jc w:val="right"/>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单位：人民币元</w:t>
      </w:r>
    </w:p>
    <w:tbl>
      <w:tblPr>
        <w:tblStyle w:val="17"/>
        <w:tblW w:w="14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914"/>
        <w:gridCol w:w="2614"/>
        <w:gridCol w:w="1029"/>
        <w:gridCol w:w="1209"/>
        <w:gridCol w:w="1161"/>
        <w:gridCol w:w="4743"/>
      </w:tblGrid>
      <w:tr w14:paraId="69AF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18" w:type="dxa"/>
            <w:noWrap w:val="0"/>
            <w:vAlign w:val="center"/>
          </w:tcPr>
          <w:p w14:paraId="34AD0E75">
            <w:pPr>
              <w:pStyle w:val="38"/>
              <w:widowControl w:val="0"/>
              <w:numPr>
                <w:ilvl w:val="0"/>
                <w:numId w:val="0"/>
              </w:numPr>
              <w:spacing w:afterLines="0" w:line="400" w:lineRule="exact"/>
              <w:jc w:val="center"/>
              <w:rPr>
                <w:rFonts w:hint="eastAsia" w:ascii="仿宋" w:hAnsi="仿宋" w:eastAsia="仿宋"/>
                <w:b/>
                <w:sz w:val="21"/>
                <w:szCs w:val="21"/>
                <w:highlight w:val="none"/>
              </w:rPr>
            </w:pPr>
            <w:r>
              <w:rPr>
                <w:rFonts w:hint="eastAsia" w:ascii="仿宋" w:hAnsi="仿宋" w:eastAsia="仿宋"/>
                <w:b/>
                <w:sz w:val="21"/>
                <w:szCs w:val="21"/>
                <w:highlight w:val="none"/>
              </w:rPr>
              <w:t>序号</w:t>
            </w:r>
          </w:p>
        </w:tc>
        <w:tc>
          <w:tcPr>
            <w:tcW w:w="2914" w:type="dxa"/>
            <w:noWrap w:val="0"/>
            <w:vAlign w:val="center"/>
          </w:tcPr>
          <w:p w14:paraId="5591E418">
            <w:pPr>
              <w:pStyle w:val="38"/>
              <w:widowControl w:val="0"/>
              <w:numPr>
                <w:ilvl w:val="0"/>
                <w:numId w:val="0"/>
              </w:numPr>
              <w:spacing w:afterLines="0" w:line="400" w:lineRule="exact"/>
              <w:jc w:val="center"/>
              <w:rPr>
                <w:rFonts w:hint="eastAsia" w:ascii="仿宋" w:hAnsi="仿宋" w:eastAsia="仿宋"/>
                <w:b/>
                <w:sz w:val="21"/>
                <w:szCs w:val="21"/>
                <w:highlight w:val="none"/>
              </w:rPr>
            </w:pPr>
            <w:r>
              <w:rPr>
                <w:rFonts w:hint="eastAsia" w:ascii="仿宋" w:hAnsi="仿宋" w:eastAsia="仿宋"/>
                <w:b/>
                <w:sz w:val="21"/>
                <w:szCs w:val="21"/>
                <w:highlight w:val="none"/>
              </w:rPr>
              <w:t>名称</w:t>
            </w:r>
          </w:p>
        </w:tc>
        <w:tc>
          <w:tcPr>
            <w:tcW w:w="2614" w:type="dxa"/>
            <w:noWrap w:val="0"/>
            <w:vAlign w:val="center"/>
          </w:tcPr>
          <w:p w14:paraId="2A123B83">
            <w:pPr>
              <w:pStyle w:val="38"/>
              <w:widowControl w:val="0"/>
              <w:numPr>
                <w:ilvl w:val="0"/>
                <w:numId w:val="0"/>
              </w:numPr>
              <w:spacing w:afterLines="0" w:line="400" w:lineRule="exact"/>
              <w:jc w:val="center"/>
              <w:rPr>
                <w:rFonts w:hint="eastAsia" w:ascii="仿宋" w:hAnsi="仿宋" w:eastAsia="仿宋"/>
                <w:b/>
                <w:sz w:val="21"/>
                <w:szCs w:val="21"/>
                <w:highlight w:val="none"/>
              </w:rPr>
            </w:pPr>
            <w:r>
              <w:rPr>
                <w:rFonts w:hint="eastAsia" w:ascii="仿宋" w:hAnsi="仿宋" w:eastAsia="仿宋"/>
                <w:b/>
                <w:sz w:val="21"/>
                <w:szCs w:val="21"/>
                <w:highlight w:val="none"/>
              </w:rPr>
              <w:t>规格型号（或具体服务）</w:t>
            </w:r>
          </w:p>
        </w:tc>
        <w:tc>
          <w:tcPr>
            <w:tcW w:w="1029" w:type="dxa"/>
            <w:noWrap w:val="0"/>
            <w:vAlign w:val="center"/>
          </w:tcPr>
          <w:p w14:paraId="1AB909F5">
            <w:pPr>
              <w:pStyle w:val="38"/>
              <w:widowControl w:val="0"/>
              <w:numPr>
                <w:ilvl w:val="0"/>
                <w:numId w:val="0"/>
              </w:numPr>
              <w:spacing w:afterLines="0" w:line="400" w:lineRule="exact"/>
              <w:jc w:val="center"/>
              <w:rPr>
                <w:rFonts w:hint="eastAsia" w:ascii="仿宋" w:hAnsi="仿宋" w:eastAsia="仿宋"/>
                <w:b/>
                <w:sz w:val="21"/>
                <w:szCs w:val="21"/>
                <w:highlight w:val="none"/>
                <w:lang w:val="en-US" w:eastAsia="zh-CN"/>
              </w:rPr>
            </w:pPr>
            <w:r>
              <w:rPr>
                <w:rFonts w:hint="eastAsia" w:ascii="仿宋" w:hAnsi="仿宋" w:eastAsia="仿宋"/>
                <w:b/>
                <w:sz w:val="21"/>
                <w:szCs w:val="21"/>
                <w:highlight w:val="none"/>
                <w:lang w:val="en-US" w:eastAsia="zh-CN"/>
              </w:rPr>
              <w:t>数量</w:t>
            </w:r>
          </w:p>
        </w:tc>
        <w:tc>
          <w:tcPr>
            <w:tcW w:w="1209" w:type="dxa"/>
            <w:noWrap w:val="0"/>
            <w:vAlign w:val="center"/>
          </w:tcPr>
          <w:p w14:paraId="6BC55DD4">
            <w:pPr>
              <w:pStyle w:val="38"/>
              <w:widowControl w:val="0"/>
              <w:numPr>
                <w:ilvl w:val="0"/>
                <w:numId w:val="0"/>
              </w:numPr>
              <w:spacing w:afterLines="0" w:line="400" w:lineRule="exact"/>
              <w:jc w:val="center"/>
              <w:rPr>
                <w:rFonts w:hint="eastAsia" w:ascii="仿宋" w:hAnsi="仿宋" w:eastAsia="仿宋"/>
                <w:b/>
                <w:sz w:val="21"/>
                <w:szCs w:val="21"/>
                <w:highlight w:val="none"/>
              </w:rPr>
            </w:pPr>
            <w:r>
              <w:rPr>
                <w:rFonts w:hint="eastAsia" w:ascii="仿宋" w:hAnsi="仿宋" w:eastAsia="仿宋"/>
                <w:b/>
                <w:sz w:val="21"/>
                <w:szCs w:val="21"/>
                <w:highlight w:val="none"/>
                <w:lang w:val="en-US" w:eastAsia="zh-CN"/>
              </w:rPr>
              <w:t>单价</w:t>
            </w:r>
          </w:p>
        </w:tc>
        <w:tc>
          <w:tcPr>
            <w:tcW w:w="1161" w:type="dxa"/>
            <w:noWrap w:val="0"/>
            <w:vAlign w:val="center"/>
          </w:tcPr>
          <w:p w14:paraId="0D943326">
            <w:pPr>
              <w:pStyle w:val="38"/>
              <w:widowControl w:val="0"/>
              <w:numPr>
                <w:ilvl w:val="0"/>
                <w:numId w:val="0"/>
              </w:numPr>
              <w:spacing w:afterLines="0" w:line="400" w:lineRule="exact"/>
              <w:jc w:val="center"/>
              <w:rPr>
                <w:rFonts w:hint="eastAsia" w:ascii="仿宋" w:hAnsi="仿宋" w:eastAsia="仿宋"/>
                <w:b/>
                <w:sz w:val="21"/>
                <w:szCs w:val="21"/>
                <w:highlight w:val="none"/>
              </w:rPr>
            </w:pPr>
            <w:r>
              <w:rPr>
                <w:rFonts w:hint="eastAsia" w:ascii="仿宋" w:hAnsi="仿宋" w:eastAsia="仿宋"/>
                <w:b/>
                <w:sz w:val="21"/>
                <w:szCs w:val="21"/>
                <w:highlight w:val="none"/>
              </w:rPr>
              <w:t>总价</w:t>
            </w:r>
          </w:p>
        </w:tc>
        <w:tc>
          <w:tcPr>
            <w:tcW w:w="4743" w:type="dxa"/>
            <w:noWrap w:val="0"/>
            <w:vAlign w:val="center"/>
          </w:tcPr>
          <w:p w14:paraId="219118D8">
            <w:pPr>
              <w:pStyle w:val="38"/>
              <w:widowControl w:val="0"/>
              <w:numPr>
                <w:ilvl w:val="0"/>
                <w:numId w:val="0"/>
              </w:numPr>
              <w:spacing w:afterLines="0" w:line="400" w:lineRule="exact"/>
              <w:jc w:val="center"/>
              <w:rPr>
                <w:rFonts w:hint="eastAsia" w:ascii="仿宋" w:hAnsi="仿宋" w:eastAsia="仿宋"/>
                <w:b/>
                <w:sz w:val="21"/>
                <w:szCs w:val="21"/>
                <w:highlight w:val="none"/>
              </w:rPr>
            </w:pPr>
            <w:r>
              <w:rPr>
                <w:rFonts w:hint="eastAsia" w:ascii="仿宋" w:hAnsi="仿宋" w:eastAsia="仿宋"/>
                <w:b/>
                <w:sz w:val="21"/>
                <w:szCs w:val="21"/>
                <w:highlight w:val="none"/>
              </w:rPr>
              <w:t>合同履行期限</w:t>
            </w:r>
          </w:p>
        </w:tc>
      </w:tr>
      <w:tr w14:paraId="1A2B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18" w:type="dxa"/>
            <w:noWrap w:val="0"/>
            <w:vAlign w:val="center"/>
          </w:tcPr>
          <w:p w14:paraId="10CF0049">
            <w:pPr>
              <w:pStyle w:val="38"/>
              <w:widowControl w:val="0"/>
              <w:numPr>
                <w:ilvl w:val="0"/>
                <w:numId w:val="0"/>
              </w:numPr>
              <w:spacing w:afterLines="0" w:line="400" w:lineRule="exact"/>
              <w:jc w:val="center"/>
              <w:rPr>
                <w:rFonts w:hint="eastAsia" w:ascii="仿宋" w:hAnsi="仿宋" w:eastAsia="仿宋"/>
                <w:sz w:val="21"/>
                <w:szCs w:val="21"/>
                <w:highlight w:val="none"/>
              </w:rPr>
            </w:pPr>
            <w:r>
              <w:rPr>
                <w:rFonts w:hint="eastAsia" w:ascii="仿宋" w:hAnsi="仿宋" w:eastAsia="仿宋"/>
                <w:sz w:val="21"/>
                <w:szCs w:val="21"/>
                <w:highlight w:val="none"/>
              </w:rPr>
              <w:t>1</w:t>
            </w:r>
          </w:p>
        </w:tc>
        <w:tc>
          <w:tcPr>
            <w:tcW w:w="2914" w:type="dxa"/>
            <w:noWrap w:val="0"/>
            <w:vAlign w:val="center"/>
          </w:tcPr>
          <w:p w14:paraId="2FD5EE9B">
            <w:pPr>
              <w:pStyle w:val="38"/>
              <w:widowControl w:val="0"/>
              <w:numPr>
                <w:ilvl w:val="0"/>
                <w:numId w:val="0"/>
              </w:numPr>
              <w:spacing w:afterLines="0" w:line="400" w:lineRule="exact"/>
              <w:jc w:val="center"/>
              <w:rPr>
                <w:rFonts w:hint="eastAsia" w:ascii="仿宋" w:hAnsi="仿宋" w:eastAsia="仿宋"/>
                <w:sz w:val="21"/>
                <w:szCs w:val="21"/>
                <w:highlight w:val="none"/>
                <w:lang w:eastAsia="zh-CN"/>
              </w:rPr>
            </w:pPr>
            <w:r>
              <w:rPr>
                <w:rFonts w:hint="eastAsia" w:ascii="仿宋" w:hAnsi="仿宋" w:eastAsia="仿宋"/>
                <w:sz w:val="21"/>
                <w:szCs w:val="21"/>
                <w:highlight w:val="none"/>
                <w:lang w:eastAsia="zh-CN"/>
              </w:rPr>
              <w:t>北仑中学、顾国和外国语学校高中部2025年教师疗休养服务采购项目</w:t>
            </w:r>
          </w:p>
        </w:tc>
        <w:tc>
          <w:tcPr>
            <w:tcW w:w="2614" w:type="dxa"/>
            <w:noWrap w:val="0"/>
            <w:vAlign w:val="center"/>
          </w:tcPr>
          <w:p w14:paraId="0048899C">
            <w:pPr>
              <w:pStyle w:val="38"/>
              <w:widowControl w:val="0"/>
              <w:numPr>
                <w:ilvl w:val="0"/>
                <w:numId w:val="0"/>
              </w:numPr>
              <w:spacing w:afterLines="0" w:line="400" w:lineRule="exact"/>
              <w:jc w:val="center"/>
              <w:rPr>
                <w:rFonts w:hint="eastAsia" w:ascii="仿宋" w:hAnsi="仿宋" w:eastAsia="仿宋" w:cs="Times New Roman"/>
                <w:sz w:val="21"/>
                <w:szCs w:val="21"/>
                <w:highlight w:val="none"/>
                <w:lang w:eastAsia="zh-CN"/>
              </w:rPr>
            </w:pPr>
            <w:r>
              <w:rPr>
                <w:rFonts w:hint="eastAsia" w:ascii="仿宋" w:hAnsi="仿宋" w:eastAsia="仿宋" w:cs="Times New Roman"/>
                <w:sz w:val="21"/>
                <w:szCs w:val="21"/>
                <w:highlight w:val="none"/>
                <w:lang w:eastAsia="zh-CN"/>
              </w:rPr>
              <w:t>疗休养服务</w:t>
            </w:r>
          </w:p>
        </w:tc>
        <w:tc>
          <w:tcPr>
            <w:tcW w:w="1029" w:type="dxa"/>
            <w:noWrap w:val="0"/>
            <w:vAlign w:val="center"/>
          </w:tcPr>
          <w:p w14:paraId="24F1E96D">
            <w:pPr>
              <w:pStyle w:val="38"/>
              <w:widowControl w:val="0"/>
              <w:numPr>
                <w:ilvl w:val="0"/>
                <w:numId w:val="0"/>
              </w:numPr>
              <w:spacing w:afterLines="0" w:line="400" w:lineRule="exact"/>
              <w:jc w:val="center"/>
              <w:rPr>
                <w:rFonts w:hint="default" w:ascii="仿宋" w:hAnsi="仿宋" w:eastAsia="仿宋" w:cs="Times New Roman"/>
                <w:sz w:val="21"/>
                <w:szCs w:val="21"/>
                <w:highlight w:val="none"/>
                <w:lang w:val="en-US" w:eastAsia="zh-CN"/>
              </w:rPr>
            </w:pPr>
          </w:p>
        </w:tc>
        <w:tc>
          <w:tcPr>
            <w:tcW w:w="1209" w:type="dxa"/>
            <w:noWrap w:val="0"/>
            <w:vAlign w:val="center"/>
          </w:tcPr>
          <w:p w14:paraId="5AD5A23E">
            <w:pPr>
              <w:pStyle w:val="38"/>
              <w:widowControl w:val="0"/>
              <w:numPr>
                <w:ilvl w:val="0"/>
                <w:numId w:val="0"/>
              </w:numPr>
              <w:spacing w:afterLines="0" w:line="400" w:lineRule="exact"/>
              <w:jc w:val="center"/>
              <w:rPr>
                <w:rFonts w:hint="eastAsia" w:ascii="仿宋" w:hAnsi="仿宋" w:eastAsia="仿宋" w:cs="Times New Roman"/>
                <w:sz w:val="21"/>
                <w:szCs w:val="21"/>
                <w:highlight w:val="none"/>
                <w:lang w:eastAsia="zh-CN"/>
              </w:rPr>
            </w:pPr>
          </w:p>
        </w:tc>
        <w:tc>
          <w:tcPr>
            <w:tcW w:w="1161" w:type="dxa"/>
            <w:noWrap w:val="0"/>
            <w:vAlign w:val="center"/>
          </w:tcPr>
          <w:p w14:paraId="635DEE26">
            <w:pPr>
              <w:pStyle w:val="38"/>
              <w:widowControl w:val="0"/>
              <w:numPr>
                <w:ilvl w:val="0"/>
                <w:numId w:val="0"/>
              </w:numPr>
              <w:spacing w:afterLines="0" w:line="400" w:lineRule="exact"/>
              <w:jc w:val="center"/>
              <w:rPr>
                <w:rFonts w:hint="eastAsia" w:ascii="仿宋" w:hAnsi="仿宋" w:eastAsia="仿宋" w:cs="Times New Roman"/>
                <w:sz w:val="21"/>
                <w:szCs w:val="21"/>
                <w:highlight w:val="none"/>
                <w:lang w:eastAsia="zh-CN"/>
              </w:rPr>
            </w:pPr>
          </w:p>
        </w:tc>
        <w:tc>
          <w:tcPr>
            <w:tcW w:w="4743" w:type="dxa"/>
            <w:noWrap w:val="0"/>
            <w:vAlign w:val="center"/>
          </w:tcPr>
          <w:p w14:paraId="3159E42D">
            <w:pPr>
              <w:pStyle w:val="38"/>
              <w:widowControl w:val="0"/>
              <w:numPr>
                <w:ilvl w:val="0"/>
                <w:numId w:val="0"/>
              </w:numPr>
              <w:spacing w:afterLines="0" w:line="400" w:lineRule="exact"/>
              <w:jc w:val="center"/>
              <w:rPr>
                <w:rFonts w:hint="eastAsia" w:ascii="仿宋" w:hAnsi="仿宋" w:eastAsia="仿宋" w:cs="Times New Roman"/>
                <w:sz w:val="21"/>
                <w:szCs w:val="21"/>
                <w:highlight w:val="none"/>
                <w:lang w:eastAsia="zh-CN"/>
              </w:rPr>
            </w:pPr>
            <w:r>
              <w:rPr>
                <w:rFonts w:hint="eastAsia" w:ascii="仿宋" w:hAnsi="仿宋" w:eastAsia="仿宋" w:cs="Times New Roman"/>
                <w:sz w:val="21"/>
                <w:szCs w:val="21"/>
                <w:highlight w:val="none"/>
                <w:lang w:eastAsia="zh-CN"/>
              </w:rPr>
              <w:t>自合同生效之日至合同全部权利义务履行完毕之日止。</w:t>
            </w:r>
          </w:p>
        </w:tc>
      </w:tr>
      <w:tr w14:paraId="23B0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346" w:type="dxa"/>
            <w:gridSpan w:val="3"/>
            <w:noWrap w:val="0"/>
            <w:vAlign w:val="center"/>
          </w:tcPr>
          <w:p w14:paraId="5F5DDF7D">
            <w:pPr>
              <w:pStyle w:val="38"/>
              <w:widowControl w:val="0"/>
              <w:numPr>
                <w:ilvl w:val="0"/>
                <w:numId w:val="0"/>
              </w:numPr>
              <w:spacing w:afterLines="0" w:line="400" w:lineRule="exact"/>
              <w:jc w:val="center"/>
              <w:rPr>
                <w:rFonts w:hint="eastAsia" w:ascii="仿宋" w:hAnsi="仿宋" w:eastAsia="仿宋"/>
                <w:b/>
                <w:sz w:val="21"/>
                <w:szCs w:val="21"/>
                <w:highlight w:val="none"/>
              </w:rPr>
            </w:pPr>
            <w:r>
              <w:rPr>
                <w:rFonts w:hint="eastAsia" w:ascii="仿宋" w:hAnsi="仿宋" w:eastAsia="仿宋"/>
                <w:b/>
                <w:sz w:val="21"/>
                <w:szCs w:val="21"/>
                <w:highlight w:val="none"/>
              </w:rPr>
              <w:t>投标报价（小写）</w:t>
            </w:r>
          </w:p>
        </w:tc>
        <w:tc>
          <w:tcPr>
            <w:tcW w:w="8142" w:type="dxa"/>
            <w:gridSpan w:val="4"/>
            <w:noWrap w:val="0"/>
            <w:vAlign w:val="center"/>
          </w:tcPr>
          <w:p w14:paraId="767DB94F">
            <w:pPr>
              <w:pStyle w:val="38"/>
              <w:widowControl w:val="0"/>
              <w:numPr>
                <w:ilvl w:val="0"/>
                <w:numId w:val="0"/>
              </w:numPr>
              <w:spacing w:afterLines="0" w:line="400" w:lineRule="exact"/>
              <w:jc w:val="center"/>
              <w:rPr>
                <w:rFonts w:hint="eastAsia" w:ascii="仿宋" w:hAnsi="仿宋" w:eastAsia="仿宋"/>
                <w:sz w:val="21"/>
                <w:szCs w:val="21"/>
                <w:highlight w:val="none"/>
              </w:rPr>
            </w:pPr>
          </w:p>
        </w:tc>
      </w:tr>
      <w:tr w14:paraId="299A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346" w:type="dxa"/>
            <w:gridSpan w:val="3"/>
            <w:noWrap w:val="0"/>
            <w:vAlign w:val="center"/>
          </w:tcPr>
          <w:p w14:paraId="2349D1AE">
            <w:pPr>
              <w:pStyle w:val="38"/>
              <w:widowControl w:val="0"/>
              <w:numPr>
                <w:ilvl w:val="0"/>
                <w:numId w:val="0"/>
              </w:numPr>
              <w:spacing w:afterLines="0" w:line="400" w:lineRule="exact"/>
              <w:jc w:val="center"/>
              <w:rPr>
                <w:rFonts w:hint="eastAsia" w:ascii="仿宋" w:hAnsi="仿宋" w:eastAsia="仿宋"/>
                <w:b/>
                <w:sz w:val="21"/>
                <w:szCs w:val="21"/>
                <w:highlight w:val="none"/>
              </w:rPr>
            </w:pPr>
            <w:r>
              <w:rPr>
                <w:rFonts w:hint="eastAsia" w:ascii="仿宋" w:hAnsi="仿宋" w:eastAsia="仿宋"/>
                <w:b/>
                <w:sz w:val="21"/>
                <w:szCs w:val="21"/>
                <w:highlight w:val="none"/>
              </w:rPr>
              <w:t>投标报价（大写）</w:t>
            </w:r>
          </w:p>
        </w:tc>
        <w:tc>
          <w:tcPr>
            <w:tcW w:w="8142" w:type="dxa"/>
            <w:gridSpan w:val="4"/>
            <w:noWrap w:val="0"/>
            <w:vAlign w:val="center"/>
          </w:tcPr>
          <w:p w14:paraId="53B48ABE">
            <w:pPr>
              <w:pStyle w:val="38"/>
              <w:widowControl w:val="0"/>
              <w:numPr>
                <w:ilvl w:val="0"/>
                <w:numId w:val="0"/>
              </w:numPr>
              <w:spacing w:afterLines="0" w:line="400" w:lineRule="exact"/>
              <w:jc w:val="center"/>
              <w:rPr>
                <w:rFonts w:hint="eastAsia" w:ascii="仿宋" w:hAnsi="仿宋" w:eastAsia="仿宋"/>
                <w:sz w:val="21"/>
                <w:szCs w:val="21"/>
                <w:highlight w:val="none"/>
              </w:rPr>
            </w:pPr>
          </w:p>
        </w:tc>
      </w:tr>
    </w:tbl>
    <w:p w14:paraId="7C781250">
      <w:pPr>
        <w:spacing w:line="360" w:lineRule="auto"/>
        <w:ind w:left="-2" w:leftChars="-1" w:firstLine="420" w:firstLineChars="200"/>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注：1、投标人需按本表格式填写，不得自行更改。</w:t>
      </w:r>
    </w:p>
    <w:p w14:paraId="272183BC">
      <w:pPr>
        <w:spacing w:line="360" w:lineRule="auto"/>
        <w:ind w:firstLine="420" w:firstLineChars="200"/>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2、有关本项目实施所涉及的一切费用均计入报价。</w:t>
      </w:r>
      <w:r>
        <w:rPr>
          <w:rFonts w:hint="eastAsia" w:ascii="仿宋" w:hAnsi="仿宋" w:eastAsia="仿宋" w:cs="仿宋"/>
          <w:b/>
          <w:bCs/>
          <w:color w:val="auto"/>
          <w:sz w:val="21"/>
          <w:szCs w:val="21"/>
          <w:highlight w:val="none"/>
        </w:rPr>
        <w:t>本项目为采用固定价格采购项目，价格不列为评审因素。</w:t>
      </w:r>
      <w:r>
        <w:rPr>
          <w:rFonts w:hint="eastAsia" w:ascii="仿宋" w:hAnsi="仿宋" w:eastAsia="仿宋" w:cs="仿宋"/>
          <w:color w:val="auto"/>
          <w:kern w:val="0"/>
          <w:szCs w:val="21"/>
          <w:highlight w:val="none"/>
          <w:lang w:val="en-US" w:eastAsia="zh-CN"/>
        </w:rPr>
        <w:t>未按固定价报价的作无效标处理。</w:t>
      </w:r>
    </w:p>
    <w:p w14:paraId="3E5D9A81">
      <w:pPr>
        <w:keepNext w:val="0"/>
        <w:keepLines w:val="0"/>
        <w:pageBreakBefore w:val="0"/>
        <w:widowControl w:val="0"/>
        <w:kinsoku/>
        <w:wordWrap/>
        <w:overflowPunct/>
        <w:topLinePunct w:val="0"/>
        <w:autoSpaceDE/>
        <w:autoSpaceDN/>
        <w:bidi w:val="0"/>
        <w:adjustRightInd w:val="0"/>
        <w:snapToGrid/>
        <w:spacing w:line="240" w:lineRule="auto"/>
        <w:ind w:firstLine="3200" w:firstLineChars="1000"/>
        <w:jc w:val="left"/>
        <w:textAlignment w:val="auto"/>
        <w:rPr>
          <w:rFonts w:hint="eastAsia" w:ascii="仿宋" w:hAnsi="仿宋" w:eastAsia="仿宋" w:cs="仿宋"/>
          <w:sz w:val="32"/>
          <w:szCs w:val="32"/>
          <w:highlight w:val="none"/>
        </w:rPr>
      </w:pPr>
    </w:p>
    <w:p w14:paraId="14B62423">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法定代表人（负责人）或其授权委托人（签名或印章）：</w:t>
      </w:r>
    </w:p>
    <w:p w14:paraId="2572BBC4">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投标人（盖章）：</w:t>
      </w:r>
    </w:p>
    <w:p w14:paraId="3196331A">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日期：</w:t>
      </w:r>
    </w:p>
    <w:p w14:paraId="5D64998F">
      <w:pPr>
        <w:adjustRightInd w:val="0"/>
        <w:spacing w:line="360" w:lineRule="auto"/>
        <w:jc w:val="left"/>
        <w:rPr>
          <w:rFonts w:hint="eastAsia" w:ascii="仿宋" w:hAnsi="仿宋" w:eastAsia="仿宋" w:cs="仿宋"/>
          <w:sz w:val="24"/>
          <w:highlight w:val="none"/>
        </w:rPr>
        <w:sectPr>
          <w:pgSz w:w="16838" w:h="11906" w:orient="landscape"/>
          <w:pgMar w:top="1418" w:right="1247" w:bottom="1418" w:left="1276" w:header="851" w:footer="992" w:gutter="0"/>
          <w:cols w:space="720" w:num="1"/>
          <w:titlePg/>
          <w:docGrid w:linePitch="312" w:charSpace="0"/>
        </w:sectPr>
      </w:pPr>
    </w:p>
    <w:p w14:paraId="352A8CDD">
      <w:pPr>
        <w:pStyle w:val="30"/>
        <w:keepNext w:val="0"/>
        <w:pageBreakBefore w:val="0"/>
        <w:tabs>
          <w:tab w:val="clear" w:pos="720"/>
        </w:tabs>
        <w:snapToGrid w:val="0"/>
        <w:spacing w:before="120" w:after="120"/>
        <w:outlineLvl w:val="9"/>
        <w:rPr>
          <w:rFonts w:hint="eastAsia" w:ascii="仿宋" w:hAnsi="仿宋" w:eastAsia="仿宋"/>
          <w:sz w:val="24"/>
          <w:highlight w:val="none"/>
        </w:rPr>
      </w:pPr>
      <w:r>
        <w:rPr>
          <w:rFonts w:hint="eastAsia" w:ascii="仿宋" w:hAnsi="仿宋" w:eastAsia="仿宋" w:cs="仿宋"/>
          <w:kern w:val="2"/>
          <w:sz w:val="32"/>
          <w:szCs w:val="32"/>
          <w:highlight w:val="none"/>
        </w:rPr>
        <w:t>二、投标报价明细表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97"/>
        <w:gridCol w:w="1597"/>
        <w:gridCol w:w="1587"/>
        <w:gridCol w:w="1450"/>
        <w:gridCol w:w="1644"/>
      </w:tblGrid>
      <w:tr w14:paraId="3B79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70" w:type="dxa"/>
            <w:noWrap w:val="0"/>
            <w:vAlign w:val="center"/>
          </w:tcPr>
          <w:p w14:paraId="37323EA3">
            <w:pPr>
              <w:spacing w:line="400" w:lineRule="exact"/>
              <w:jc w:val="center"/>
              <w:rPr>
                <w:rFonts w:hint="eastAsia" w:ascii="仿宋" w:hAnsi="仿宋" w:eastAsia="仿宋"/>
                <w:b/>
                <w:bCs/>
                <w:color w:val="auto"/>
                <w:szCs w:val="21"/>
                <w:highlight w:val="none"/>
              </w:rPr>
            </w:pPr>
            <w:r>
              <w:rPr>
                <w:rFonts w:hint="eastAsia" w:ascii="仿宋" w:hAnsi="仿宋" w:eastAsia="仿宋"/>
                <w:b/>
                <w:bCs/>
                <w:color w:val="auto"/>
                <w:szCs w:val="21"/>
                <w:highlight w:val="none"/>
              </w:rPr>
              <w:t>序号</w:t>
            </w:r>
          </w:p>
        </w:tc>
        <w:tc>
          <w:tcPr>
            <w:tcW w:w="1497" w:type="dxa"/>
            <w:noWrap w:val="0"/>
            <w:vAlign w:val="center"/>
          </w:tcPr>
          <w:p w14:paraId="067D0F0D">
            <w:pPr>
              <w:spacing w:line="400" w:lineRule="exact"/>
              <w:jc w:val="center"/>
              <w:rPr>
                <w:rFonts w:hint="eastAsia" w:ascii="仿宋" w:hAnsi="仿宋" w:eastAsia="仿宋"/>
                <w:b/>
                <w:bCs/>
                <w:color w:val="auto"/>
                <w:szCs w:val="21"/>
                <w:highlight w:val="none"/>
                <w:lang w:eastAsia="zh-CN"/>
              </w:rPr>
            </w:pPr>
            <w:r>
              <w:rPr>
                <w:rFonts w:hint="eastAsia" w:ascii="仿宋" w:hAnsi="仿宋" w:eastAsia="仿宋"/>
                <w:b/>
                <w:bCs/>
                <w:color w:val="auto"/>
                <w:szCs w:val="21"/>
                <w:highlight w:val="none"/>
                <w:lang w:val="en-US" w:eastAsia="zh-CN"/>
              </w:rPr>
              <w:t>线路</w:t>
            </w:r>
          </w:p>
        </w:tc>
        <w:tc>
          <w:tcPr>
            <w:tcW w:w="1597" w:type="dxa"/>
            <w:noWrap w:val="0"/>
            <w:vAlign w:val="center"/>
          </w:tcPr>
          <w:p w14:paraId="047698B2">
            <w:pPr>
              <w:spacing w:line="400" w:lineRule="exact"/>
              <w:jc w:val="center"/>
              <w:rPr>
                <w:rFonts w:hint="eastAsia" w:ascii="仿宋" w:hAnsi="仿宋" w:eastAsia="仿宋" w:cs="Times New Roman"/>
                <w:b/>
                <w:bCs/>
                <w:color w:val="auto"/>
                <w:szCs w:val="21"/>
                <w:highlight w:val="none"/>
                <w:lang w:val="en-US" w:eastAsia="zh-CN"/>
              </w:rPr>
            </w:pPr>
            <w:r>
              <w:rPr>
                <w:rFonts w:hint="eastAsia" w:ascii="仿宋" w:hAnsi="仿宋" w:eastAsia="仿宋" w:cs="Times New Roman"/>
                <w:b/>
                <w:bCs/>
                <w:color w:val="auto"/>
                <w:szCs w:val="21"/>
                <w:highlight w:val="none"/>
                <w:lang w:val="en-US" w:eastAsia="zh-CN"/>
              </w:rPr>
              <w:t>交通费</w:t>
            </w:r>
          </w:p>
        </w:tc>
        <w:tc>
          <w:tcPr>
            <w:tcW w:w="1587" w:type="dxa"/>
            <w:noWrap w:val="0"/>
            <w:vAlign w:val="center"/>
          </w:tcPr>
          <w:p w14:paraId="791E2B28">
            <w:pPr>
              <w:spacing w:line="400" w:lineRule="exact"/>
              <w:jc w:val="center"/>
              <w:rPr>
                <w:rFonts w:hint="eastAsia" w:ascii="仿宋" w:hAnsi="仿宋" w:eastAsia="仿宋" w:cs="Times New Roman"/>
                <w:b/>
                <w:bCs/>
                <w:color w:val="auto"/>
                <w:szCs w:val="21"/>
                <w:highlight w:val="none"/>
                <w:lang w:val="en-US" w:eastAsia="zh-CN"/>
              </w:rPr>
            </w:pPr>
            <w:r>
              <w:rPr>
                <w:rFonts w:hint="eastAsia" w:ascii="仿宋" w:hAnsi="仿宋" w:eastAsia="仿宋" w:cs="Times New Roman"/>
                <w:b/>
                <w:bCs/>
                <w:color w:val="auto"/>
                <w:szCs w:val="21"/>
                <w:highlight w:val="none"/>
                <w:lang w:val="en-US" w:eastAsia="zh-CN"/>
              </w:rPr>
              <w:t>住宿费</w:t>
            </w:r>
          </w:p>
        </w:tc>
        <w:tc>
          <w:tcPr>
            <w:tcW w:w="1450" w:type="dxa"/>
            <w:noWrap w:val="0"/>
            <w:vAlign w:val="center"/>
          </w:tcPr>
          <w:p w14:paraId="2B563FD1">
            <w:pPr>
              <w:spacing w:line="400" w:lineRule="exact"/>
              <w:jc w:val="center"/>
              <w:rPr>
                <w:rFonts w:hint="eastAsia" w:ascii="仿宋" w:hAnsi="仿宋" w:eastAsia="仿宋" w:cs="Times New Roman"/>
                <w:b/>
                <w:bCs/>
                <w:color w:val="auto"/>
                <w:szCs w:val="21"/>
                <w:highlight w:val="none"/>
                <w:lang w:val="en-US" w:eastAsia="zh-CN"/>
              </w:rPr>
            </w:pPr>
            <w:r>
              <w:rPr>
                <w:rFonts w:hint="eastAsia" w:ascii="仿宋" w:hAnsi="仿宋" w:eastAsia="仿宋" w:cs="Times New Roman"/>
                <w:b/>
                <w:bCs/>
                <w:color w:val="auto"/>
                <w:szCs w:val="21"/>
                <w:highlight w:val="none"/>
                <w:lang w:val="en-US" w:eastAsia="zh-CN"/>
              </w:rPr>
              <w:t>......</w:t>
            </w:r>
          </w:p>
        </w:tc>
        <w:tc>
          <w:tcPr>
            <w:tcW w:w="1644" w:type="dxa"/>
            <w:noWrap w:val="0"/>
            <w:vAlign w:val="center"/>
          </w:tcPr>
          <w:p w14:paraId="26120C0A">
            <w:pPr>
              <w:spacing w:line="400" w:lineRule="exact"/>
              <w:jc w:val="center"/>
              <w:rPr>
                <w:rFonts w:hint="eastAsia" w:ascii="仿宋" w:hAnsi="仿宋" w:eastAsia="仿宋" w:cs="Times New Roman"/>
                <w:b/>
                <w:bCs/>
                <w:color w:val="auto"/>
                <w:szCs w:val="21"/>
                <w:highlight w:val="none"/>
                <w:lang w:val="en-US" w:eastAsia="zh-CN"/>
              </w:rPr>
            </w:pPr>
            <w:r>
              <w:rPr>
                <w:rFonts w:hint="eastAsia" w:ascii="仿宋" w:hAnsi="仿宋" w:eastAsia="仿宋" w:cs="Times New Roman"/>
                <w:b/>
                <w:bCs/>
                <w:color w:val="auto"/>
                <w:szCs w:val="21"/>
                <w:highlight w:val="none"/>
                <w:lang w:val="en-US" w:eastAsia="zh-CN"/>
              </w:rPr>
              <w:t>综合单价报价</w:t>
            </w:r>
          </w:p>
          <w:p w14:paraId="402091A6">
            <w:pPr>
              <w:spacing w:line="400" w:lineRule="exact"/>
              <w:jc w:val="center"/>
              <w:rPr>
                <w:rFonts w:ascii="仿宋" w:hAnsi="仿宋" w:eastAsia="仿宋"/>
                <w:b/>
                <w:bCs/>
                <w:color w:val="auto"/>
                <w:szCs w:val="21"/>
                <w:highlight w:val="none"/>
              </w:rPr>
            </w:pPr>
            <w:r>
              <w:rPr>
                <w:rFonts w:hint="eastAsia" w:ascii="仿宋" w:hAnsi="仿宋" w:eastAsia="仿宋" w:cs="Times New Roman"/>
                <w:b/>
                <w:bCs/>
                <w:color w:val="auto"/>
                <w:szCs w:val="21"/>
                <w:highlight w:val="none"/>
                <w:lang w:val="en-US" w:eastAsia="zh-CN"/>
              </w:rPr>
              <w:t>（元/人/次）</w:t>
            </w:r>
          </w:p>
        </w:tc>
      </w:tr>
      <w:tr w14:paraId="57B7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noWrap w:val="0"/>
            <w:vAlign w:val="center"/>
          </w:tcPr>
          <w:p w14:paraId="02633182">
            <w:pPr>
              <w:spacing w:line="400" w:lineRule="exact"/>
              <w:jc w:val="center"/>
              <w:rPr>
                <w:rFonts w:ascii="仿宋" w:hAnsi="仿宋" w:eastAsia="仿宋"/>
                <w:color w:val="auto"/>
                <w:szCs w:val="21"/>
                <w:highlight w:val="none"/>
              </w:rPr>
            </w:pPr>
            <w:r>
              <w:rPr>
                <w:rFonts w:hint="eastAsia" w:ascii="仿宋" w:hAnsi="仿宋" w:eastAsia="仿宋"/>
                <w:color w:val="auto"/>
                <w:szCs w:val="21"/>
                <w:highlight w:val="none"/>
              </w:rPr>
              <w:t>1</w:t>
            </w:r>
          </w:p>
        </w:tc>
        <w:tc>
          <w:tcPr>
            <w:tcW w:w="1497" w:type="dxa"/>
            <w:noWrap w:val="0"/>
            <w:vAlign w:val="center"/>
          </w:tcPr>
          <w:p w14:paraId="18F12711">
            <w:pPr>
              <w:spacing w:line="400" w:lineRule="exact"/>
              <w:jc w:val="center"/>
              <w:rPr>
                <w:rFonts w:hint="eastAsia" w:ascii="仿宋" w:hAnsi="仿宋" w:eastAsia="仿宋"/>
                <w:color w:val="auto"/>
                <w:szCs w:val="21"/>
                <w:highlight w:val="none"/>
              </w:rPr>
            </w:pPr>
          </w:p>
        </w:tc>
        <w:tc>
          <w:tcPr>
            <w:tcW w:w="1597" w:type="dxa"/>
            <w:noWrap w:val="0"/>
            <w:vAlign w:val="center"/>
          </w:tcPr>
          <w:p w14:paraId="119699E9">
            <w:pPr>
              <w:spacing w:line="400" w:lineRule="exact"/>
              <w:jc w:val="center"/>
              <w:rPr>
                <w:rFonts w:ascii="仿宋" w:hAnsi="仿宋" w:eastAsia="仿宋"/>
                <w:color w:val="auto"/>
                <w:szCs w:val="21"/>
                <w:highlight w:val="none"/>
              </w:rPr>
            </w:pPr>
          </w:p>
        </w:tc>
        <w:tc>
          <w:tcPr>
            <w:tcW w:w="1587" w:type="dxa"/>
            <w:noWrap w:val="0"/>
            <w:vAlign w:val="center"/>
          </w:tcPr>
          <w:p w14:paraId="7BE82775">
            <w:pPr>
              <w:spacing w:line="400" w:lineRule="exact"/>
              <w:jc w:val="center"/>
              <w:rPr>
                <w:rFonts w:hint="eastAsia" w:ascii="仿宋" w:hAnsi="仿宋" w:eastAsia="仿宋"/>
                <w:color w:val="auto"/>
                <w:szCs w:val="21"/>
                <w:highlight w:val="none"/>
              </w:rPr>
            </w:pPr>
          </w:p>
        </w:tc>
        <w:tc>
          <w:tcPr>
            <w:tcW w:w="1450" w:type="dxa"/>
            <w:noWrap w:val="0"/>
            <w:vAlign w:val="center"/>
          </w:tcPr>
          <w:p w14:paraId="1304F56D">
            <w:pPr>
              <w:spacing w:line="400" w:lineRule="exact"/>
              <w:jc w:val="center"/>
              <w:rPr>
                <w:rFonts w:hint="default" w:ascii="仿宋" w:hAnsi="仿宋" w:eastAsia="仿宋"/>
                <w:color w:val="auto"/>
                <w:szCs w:val="21"/>
                <w:highlight w:val="none"/>
                <w:lang w:val="en-US" w:eastAsia="zh-CN"/>
              </w:rPr>
            </w:pPr>
          </w:p>
        </w:tc>
        <w:tc>
          <w:tcPr>
            <w:tcW w:w="1644" w:type="dxa"/>
            <w:noWrap w:val="0"/>
            <w:vAlign w:val="center"/>
          </w:tcPr>
          <w:p w14:paraId="4B43913B">
            <w:pPr>
              <w:spacing w:line="400" w:lineRule="exact"/>
              <w:jc w:val="center"/>
              <w:rPr>
                <w:rFonts w:hint="eastAsia" w:ascii="仿宋" w:hAnsi="仿宋" w:eastAsia="仿宋"/>
                <w:color w:val="auto"/>
                <w:szCs w:val="21"/>
                <w:highlight w:val="none"/>
              </w:rPr>
            </w:pPr>
          </w:p>
        </w:tc>
      </w:tr>
      <w:tr w14:paraId="1EC2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noWrap w:val="0"/>
            <w:vAlign w:val="center"/>
          </w:tcPr>
          <w:p w14:paraId="28169C33">
            <w:pPr>
              <w:spacing w:line="400" w:lineRule="exact"/>
              <w:jc w:val="center"/>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2</w:t>
            </w:r>
          </w:p>
        </w:tc>
        <w:tc>
          <w:tcPr>
            <w:tcW w:w="1497" w:type="dxa"/>
            <w:noWrap w:val="0"/>
            <w:vAlign w:val="center"/>
          </w:tcPr>
          <w:p w14:paraId="7443B897">
            <w:pPr>
              <w:spacing w:line="400" w:lineRule="exact"/>
              <w:jc w:val="center"/>
              <w:rPr>
                <w:rFonts w:hint="eastAsia" w:ascii="仿宋" w:hAnsi="仿宋" w:eastAsia="仿宋"/>
                <w:color w:val="auto"/>
                <w:szCs w:val="21"/>
                <w:highlight w:val="none"/>
              </w:rPr>
            </w:pPr>
          </w:p>
        </w:tc>
        <w:tc>
          <w:tcPr>
            <w:tcW w:w="1597" w:type="dxa"/>
            <w:noWrap w:val="0"/>
            <w:vAlign w:val="center"/>
          </w:tcPr>
          <w:p w14:paraId="418CFA3F">
            <w:pPr>
              <w:spacing w:line="400" w:lineRule="exact"/>
              <w:jc w:val="center"/>
              <w:rPr>
                <w:rFonts w:ascii="仿宋" w:hAnsi="仿宋" w:eastAsia="仿宋"/>
                <w:color w:val="auto"/>
                <w:szCs w:val="21"/>
                <w:highlight w:val="none"/>
              </w:rPr>
            </w:pPr>
          </w:p>
        </w:tc>
        <w:tc>
          <w:tcPr>
            <w:tcW w:w="1587" w:type="dxa"/>
            <w:noWrap w:val="0"/>
            <w:vAlign w:val="center"/>
          </w:tcPr>
          <w:p w14:paraId="68FFDF03">
            <w:pPr>
              <w:spacing w:line="400" w:lineRule="exact"/>
              <w:jc w:val="center"/>
              <w:rPr>
                <w:rFonts w:hint="eastAsia" w:ascii="仿宋" w:hAnsi="仿宋" w:eastAsia="仿宋"/>
                <w:color w:val="auto"/>
                <w:szCs w:val="21"/>
                <w:highlight w:val="none"/>
              </w:rPr>
            </w:pPr>
          </w:p>
        </w:tc>
        <w:tc>
          <w:tcPr>
            <w:tcW w:w="1450" w:type="dxa"/>
            <w:noWrap w:val="0"/>
            <w:vAlign w:val="center"/>
          </w:tcPr>
          <w:p w14:paraId="6BB8B604">
            <w:pPr>
              <w:spacing w:line="400" w:lineRule="exact"/>
              <w:jc w:val="center"/>
              <w:rPr>
                <w:rFonts w:hint="eastAsia" w:ascii="仿宋" w:hAnsi="仿宋" w:eastAsia="仿宋"/>
                <w:color w:val="auto"/>
                <w:szCs w:val="21"/>
                <w:highlight w:val="none"/>
                <w:lang w:val="en-US" w:eastAsia="zh-CN"/>
              </w:rPr>
            </w:pPr>
          </w:p>
        </w:tc>
        <w:tc>
          <w:tcPr>
            <w:tcW w:w="1644" w:type="dxa"/>
            <w:noWrap w:val="0"/>
            <w:vAlign w:val="center"/>
          </w:tcPr>
          <w:p w14:paraId="011D462B">
            <w:pPr>
              <w:spacing w:line="400" w:lineRule="exact"/>
              <w:jc w:val="center"/>
              <w:rPr>
                <w:rFonts w:hint="eastAsia" w:ascii="仿宋" w:hAnsi="仿宋" w:eastAsia="仿宋"/>
                <w:color w:val="auto"/>
                <w:szCs w:val="21"/>
                <w:highlight w:val="none"/>
              </w:rPr>
            </w:pPr>
          </w:p>
        </w:tc>
      </w:tr>
      <w:tr w14:paraId="1ABB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noWrap w:val="0"/>
            <w:vAlign w:val="center"/>
          </w:tcPr>
          <w:p w14:paraId="67DB3794">
            <w:pPr>
              <w:spacing w:line="400" w:lineRule="exact"/>
              <w:jc w:val="center"/>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3</w:t>
            </w:r>
          </w:p>
        </w:tc>
        <w:tc>
          <w:tcPr>
            <w:tcW w:w="1497" w:type="dxa"/>
            <w:noWrap w:val="0"/>
            <w:vAlign w:val="center"/>
          </w:tcPr>
          <w:p w14:paraId="698209C0">
            <w:pPr>
              <w:spacing w:line="400" w:lineRule="exact"/>
              <w:jc w:val="center"/>
              <w:rPr>
                <w:rFonts w:hint="eastAsia" w:ascii="仿宋" w:hAnsi="仿宋" w:eastAsia="仿宋"/>
                <w:color w:val="auto"/>
                <w:szCs w:val="21"/>
                <w:highlight w:val="none"/>
              </w:rPr>
            </w:pPr>
          </w:p>
        </w:tc>
        <w:tc>
          <w:tcPr>
            <w:tcW w:w="1597" w:type="dxa"/>
            <w:noWrap w:val="0"/>
            <w:vAlign w:val="center"/>
          </w:tcPr>
          <w:p w14:paraId="127D8336">
            <w:pPr>
              <w:spacing w:line="400" w:lineRule="exact"/>
              <w:jc w:val="center"/>
              <w:rPr>
                <w:rFonts w:ascii="仿宋" w:hAnsi="仿宋" w:eastAsia="仿宋"/>
                <w:color w:val="auto"/>
                <w:szCs w:val="21"/>
                <w:highlight w:val="none"/>
              </w:rPr>
            </w:pPr>
          </w:p>
        </w:tc>
        <w:tc>
          <w:tcPr>
            <w:tcW w:w="1587" w:type="dxa"/>
            <w:noWrap w:val="0"/>
            <w:vAlign w:val="center"/>
          </w:tcPr>
          <w:p w14:paraId="4AB5C15F">
            <w:pPr>
              <w:spacing w:line="400" w:lineRule="exact"/>
              <w:jc w:val="center"/>
              <w:rPr>
                <w:rFonts w:hint="eastAsia" w:ascii="仿宋" w:hAnsi="仿宋" w:eastAsia="仿宋"/>
                <w:color w:val="auto"/>
                <w:szCs w:val="21"/>
                <w:highlight w:val="none"/>
              </w:rPr>
            </w:pPr>
          </w:p>
        </w:tc>
        <w:tc>
          <w:tcPr>
            <w:tcW w:w="1450" w:type="dxa"/>
            <w:noWrap w:val="0"/>
            <w:vAlign w:val="center"/>
          </w:tcPr>
          <w:p w14:paraId="3B2B87E2">
            <w:pPr>
              <w:spacing w:line="400" w:lineRule="exact"/>
              <w:jc w:val="center"/>
              <w:rPr>
                <w:rFonts w:hint="eastAsia" w:ascii="仿宋" w:hAnsi="仿宋" w:eastAsia="仿宋"/>
                <w:color w:val="auto"/>
                <w:szCs w:val="21"/>
                <w:highlight w:val="none"/>
                <w:lang w:val="en-US" w:eastAsia="zh-CN"/>
              </w:rPr>
            </w:pPr>
          </w:p>
        </w:tc>
        <w:tc>
          <w:tcPr>
            <w:tcW w:w="1644" w:type="dxa"/>
            <w:noWrap w:val="0"/>
            <w:vAlign w:val="center"/>
          </w:tcPr>
          <w:p w14:paraId="48D4F5B8">
            <w:pPr>
              <w:spacing w:line="400" w:lineRule="exact"/>
              <w:jc w:val="center"/>
              <w:rPr>
                <w:rFonts w:hint="eastAsia" w:ascii="仿宋" w:hAnsi="仿宋" w:eastAsia="仿宋"/>
                <w:color w:val="auto"/>
                <w:szCs w:val="21"/>
                <w:highlight w:val="none"/>
              </w:rPr>
            </w:pPr>
          </w:p>
        </w:tc>
      </w:tr>
      <w:tr w14:paraId="636E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noWrap w:val="0"/>
            <w:vAlign w:val="center"/>
          </w:tcPr>
          <w:p w14:paraId="2D310906">
            <w:pPr>
              <w:spacing w:line="400" w:lineRule="exact"/>
              <w:jc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4</w:t>
            </w:r>
          </w:p>
        </w:tc>
        <w:tc>
          <w:tcPr>
            <w:tcW w:w="1497" w:type="dxa"/>
            <w:noWrap w:val="0"/>
            <w:vAlign w:val="center"/>
          </w:tcPr>
          <w:p w14:paraId="301DA5FE">
            <w:pPr>
              <w:spacing w:line="400" w:lineRule="exact"/>
              <w:jc w:val="center"/>
              <w:rPr>
                <w:rFonts w:hint="eastAsia" w:ascii="仿宋" w:hAnsi="仿宋" w:eastAsia="仿宋"/>
                <w:color w:val="auto"/>
                <w:szCs w:val="21"/>
                <w:highlight w:val="none"/>
              </w:rPr>
            </w:pPr>
          </w:p>
        </w:tc>
        <w:tc>
          <w:tcPr>
            <w:tcW w:w="1597" w:type="dxa"/>
            <w:noWrap w:val="0"/>
            <w:vAlign w:val="center"/>
          </w:tcPr>
          <w:p w14:paraId="3980443F">
            <w:pPr>
              <w:spacing w:line="400" w:lineRule="exact"/>
              <w:jc w:val="center"/>
              <w:rPr>
                <w:rFonts w:ascii="仿宋" w:hAnsi="仿宋" w:eastAsia="仿宋"/>
                <w:color w:val="auto"/>
                <w:szCs w:val="21"/>
                <w:highlight w:val="none"/>
              </w:rPr>
            </w:pPr>
          </w:p>
        </w:tc>
        <w:tc>
          <w:tcPr>
            <w:tcW w:w="1587" w:type="dxa"/>
            <w:noWrap w:val="0"/>
            <w:vAlign w:val="center"/>
          </w:tcPr>
          <w:p w14:paraId="5B41A99F">
            <w:pPr>
              <w:spacing w:line="400" w:lineRule="exact"/>
              <w:jc w:val="center"/>
              <w:rPr>
                <w:rFonts w:hint="eastAsia" w:ascii="仿宋" w:hAnsi="仿宋" w:eastAsia="仿宋"/>
                <w:color w:val="auto"/>
                <w:szCs w:val="21"/>
                <w:highlight w:val="none"/>
              </w:rPr>
            </w:pPr>
          </w:p>
        </w:tc>
        <w:tc>
          <w:tcPr>
            <w:tcW w:w="1450" w:type="dxa"/>
            <w:noWrap w:val="0"/>
            <w:vAlign w:val="center"/>
          </w:tcPr>
          <w:p w14:paraId="4B78CAD8">
            <w:pPr>
              <w:spacing w:line="400" w:lineRule="exact"/>
              <w:jc w:val="center"/>
              <w:rPr>
                <w:rFonts w:hint="eastAsia" w:ascii="仿宋" w:hAnsi="仿宋" w:eastAsia="仿宋"/>
                <w:color w:val="auto"/>
                <w:szCs w:val="21"/>
                <w:highlight w:val="none"/>
                <w:lang w:val="en-US" w:eastAsia="zh-CN"/>
              </w:rPr>
            </w:pPr>
          </w:p>
        </w:tc>
        <w:tc>
          <w:tcPr>
            <w:tcW w:w="1644" w:type="dxa"/>
            <w:noWrap w:val="0"/>
            <w:vAlign w:val="center"/>
          </w:tcPr>
          <w:p w14:paraId="4E3DE6BE">
            <w:pPr>
              <w:spacing w:line="400" w:lineRule="exact"/>
              <w:jc w:val="center"/>
              <w:rPr>
                <w:rFonts w:hint="eastAsia" w:ascii="仿宋" w:hAnsi="仿宋" w:eastAsia="仿宋"/>
                <w:color w:val="auto"/>
                <w:szCs w:val="21"/>
                <w:highlight w:val="none"/>
              </w:rPr>
            </w:pPr>
          </w:p>
        </w:tc>
      </w:tr>
      <w:tr w14:paraId="6A50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noWrap w:val="0"/>
            <w:vAlign w:val="center"/>
          </w:tcPr>
          <w:p w14:paraId="16551D7B">
            <w:pPr>
              <w:spacing w:line="400" w:lineRule="exact"/>
              <w:jc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5</w:t>
            </w:r>
          </w:p>
        </w:tc>
        <w:tc>
          <w:tcPr>
            <w:tcW w:w="1497" w:type="dxa"/>
            <w:noWrap w:val="0"/>
            <w:vAlign w:val="center"/>
          </w:tcPr>
          <w:p w14:paraId="242DFD4A">
            <w:pPr>
              <w:spacing w:line="400" w:lineRule="exact"/>
              <w:jc w:val="center"/>
              <w:rPr>
                <w:rFonts w:hint="eastAsia" w:ascii="仿宋" w:hAnsi="仿宋" w:eastAsia="仿宋"/>
                <w:color w:val="auto"/>
                <w:szCs w:val="21"/>
                <w:highlight w:val="none"/>
              </w:rPr>
            </w:pPr>
          </w:p>
        </w:tc>
        <w:tc>
          <w:tcPr>
            <w:tcW w:w="1597" w:type="dxa"/>
            <w:noWrap w:val="0"/>
            <w:vAlign w:val="center"/>
          </w:tcPr>
          <w:p w14:paraId="7C599192">
            <w:pPr>
              <w:spacing w:line="400" w:lineRule="exact"/>
              <w:jc w:val="center"/>
              <w:rPr>
                <w:rFonts w:ascii="仿宋" w:hAnsi="仿宋" w:eastAsia="仿宋"/>
                <w:color w:val="auto"/>
                <w:szCs w:val="21"/>
                <w:highlight w:val="none"/>
              </w:rPr>
            </w:pPr>
          </w:p>
        </w:tc>
        <w:tc>
          <w:tcPr>
            <w:tcW w:w="1587" w:type="dxa"/>
            <w:noWrap w:val="0"/>
            <w:vAlign w:val="center"/>
          </w:tcPr>
          <w:p w14:paraId="15BB4A69">
            <w:pPr>
              <w:spacing w:line="400" w:lineRule="exact"/>
              <w:jc w:val="center"/>
              <w:rPr>
                <w:rFonts w:hint="eastAsia" w:ascii="仿宋" w:hAnsi="仿宋" w:eastAsia="仿宋"/>
                <w:color w:val="auto"/>
                <w:szCs w:val="21"/>
                <w:highlight w:val="none"/>
              </w:rPr>
            </w:pPr>
          </w:p>
        </w:tc>
        <w:tc>
          <w:tcPr>
            <w:tcW w:w="1450" w:type="dxa"/>
            <w:noWrap w:val="0"/>
            <w:vAlign w:val="center"/>
          </w:tcPr>
          <w:p w14:paraId="417ED933">
            <w:pPr>
              <w:spacing w:line="400" w:lineRule="exact"/>
              <w:jc w:val="center"/>
              <w:rPr>
                <w:rFonts w:hint="eastAsia" w:ascii="仿宋" w:hAnsi="仿宋" w:eastAsia="仿宋"/>
                <w:color w:val="auto"/>
                <w:szCs w:val="21"/>
                <w:highlight w:val="none"/>
                <w:lang w:val="en-US" w:eastAsia="zh-CN"/>
              </w:rPr>
            </w:pPr>
          </w:p>
        </w:tc>
        <w:tc>
          <w:tcPr>
            <w:tcW w:w="1644" w:type="dxa"/>
            <w:noWrap w:val="0"/>
            <w:vAlign w:val="center"/>
          </w:tcPr>
          <w:p w14:paraId="57E57593">
            <w:pPr>
              <w:spacing w:line="400" w:lineRule="exact"/>
              <w:jc w:val="center"/>
              <w:rPr>
                <w:rFonts w:hint="eastAsia" w:ascii="仿宋" w:hAnsi="仿宋" w:eastAsia="仿宋"/>
                <w:color w:val="auto"/>
                <w:szCs w:val="21"/>
                <w:highlight w:val="none"/>
              </w:rPr>
            </w:pPr>
          </w:p>
        </w:tc>
      </w:tr>
      <w:tr w14:paraId="4241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noWrap w:val="0"/>
            <w:vAlign w:val="center"/>
          </w:tcPr>
          <w:p w14:paraId="1F40820C">
            <w:pPr>
              <w:spacing w:line="400" w:lineRule="exact"/>
              <w:jc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6</w:t>
            </w:r>
          </w:p>
        </w:tc>
        <w:tc>
          <w:tcPr>
            <w:tcW w:w="1497" w:type="dxa"/>
            <w:noWrap w:val="0"/>
            <w:vAlign w:val="center"/>
          </w:tcPr>
          <w:p w14:paraId="0A566866">
            <w:pPr>
              <w:spacing w:line="400" w:lineRule="exact"/>
              <w:jc w:val="center"/>
              <w:rPr>
                <w:rFonts w:hint="eastAsia" w:ascii="仿宋" w:hAnsi="仿宋" w:eastAsia="仿宋"/>
                <w:color w:val="auto"/>
                <w:szCs w:val="21"/>
                <w:highlight w:val="none"/>
              </w:rPr>
            </w:pPr>
          </w:p>
        </w:tc>
        <w:tc>
          <w:tcPr>
            <w:tcW w:w="1597" w:type="dxa"/>
            <w:noWrap w:val="0"/>
            <w:vAlign w:val="center"/>
          </w:tcPr>
          <w:p w14:paraId="1F1B45FF">
            <w:pPr>
              <w:spacing w:line="400" w:lineRule="exact"/>
              <w:jc w:val="center"/>
              <w:rPr>
                <w:rFonts w:ascii="仿宋" w:hAnsi="仿宋" w:eastAsia="仿宋"/>
                <w:color w:val="auto"/>
                <w:szCs w:val="21"/>
                <w:highlight w:val="none"/>
              </w:rPr>
            </w:pPr>
          </w:p>
        </w:tc>
        <w:tc>
          <w:tcPr>
            <w:tcW w:w="1587" w:type="dxa"/>
            <w:noWrap w:val="0"/>
            <w:vAlign w:val="center"/>
          </w:tcPr>
          <w:p w14:paraId="24A50FA1">
            <w:pPr>
              <w:spacing w:line="400" w:lineRule="exact"/>
              <w:jc w:val="center"/>
              <w:rPr>
                <w:rFonts w:hint="eastAsia" w:ascii="仿宋" w:hAnsi="仿宋" w:eastAsia="仿宋"/>
                <w:color w:val="auto"/>
                <w:szCs w:val="21"/>
                <w:highlight w:val="none"/>
              </w:rPr>
            </w:pPr>
          </w:p>
        </w:tc>
        <w:tc>
          <w:tcPr>
            <w:tcW w:w="1450" w:type="dxa"/>
            <w:noWrap w:val="0"/>
            <w:vAlign w:val="center"/>
          </w:tcPr>
          <w:p w14:paraId="73301CAA">
            <w:pPr>
              <w:spacing w:line="400" w:lineRule="exact"/>
              <w:jc w:val="center"/>
              <w:rPr>
                <w:rFonts w:hint="eastAsia" w:ascii="仿宋" w:hAnsi="仿宋" w:eastAsia="仿宋"/>
                <w:color w:val="auto"/>
                <w:szCs w:val="21"/>
                <w:highlight w:val="none"/>
                <w:lang w:val="en-US" w:eastAsia="zh-CN"/>
              </w:rPr>
            </w:pPr>
          </w:p>
        </w:tc>
        <w:tc>
          <w:tcPr>
            <w:tcW w:w="1644" w:type="dxa"/>
            <w:noWrap w:val="0"/>
            <w:vAlign w:val="center"/>
          </w:tcPr>
          <w:p w14:paraId="5ECCE2CF">
            <w:pPr>
              <w:spacing w:line="400" w:lineRule="exact"/>
              <w:jc w:val="center"/>
              <w:rPr>
                <w:rFonts w:hint="eastAsia" w:ascii="仿宋" w:hAnsi="仿宋" w:eastAsia="仿宋"/>
                <w:color w:val="auto"/>
                <w:szCs w:val="21"/>
                <w:highlight w:val="none"/>
              </w:rPr>
            </w:pPr>
          </w:p>
        </w:tc>
      </w:tr>
      <w:tr w14:paraId="5907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noWrap w:val="0"/>
            <w:vAlign w:val="center"/>
          </w:tcPr>
          <w:p w14:paraId="57787E7F">
            <w:pPr>
              <w:spacing w:line="400" w:lineRule="exact"/>
              <w:jc w:val="center"/>
              <w:rPr>
                <w:rFonts w:hint="eastAsia" w:ascii="仿宋" w:hAnsi="仿宋" w:eastAsia="仿宋"/>
                <w:color w:val="auto"/>
                <w:szCs w:val="21"/>
                <w:highlight w:val="none"/>
                <w:lang w:val="en-US" w:eastAsia="zh-CN"/>
              </w:rPr>
            </w:pPr>
            <w:r>
              <w:rPr>
                <w:rFonts w:hint="eastAsia" w:ascii="仿宋" w:hAnsi="仿宋" w:eastAsia="仿宋" w:cs="Times New Roman"/>
                <w:b/>
                <w:bCs/>
                <w:color w:val="auto"/>
                <w:szCs w:val="21"/>
                <w:highlight w:val="none"/>
                <w:lang w:val="en-US" w:eastAsia="zh-CN"/>
              </w:rPr>
              <w:t>......</w:t>
            </w:r>
          </w:p>
        </w:tc>
        <w:tc>
          <w:tcPr>
            <w:tcW w:w="1497" w:type="dxa"/>
            <w:noWrap w:val="0"/>
            <w:vAlign w:val="center"/>
          </w:tcPr>
          <w:p w14:paraId="1A671964">
            <w:pPr>
              <w:spacing w:line="400" w:lineRule="exact"/>
              <w:jc w:val="center"/>
              <w:rPr>
                <w:rFonts w:hint="eastAsia" w:ascii="仿宋" w:hAnsi="仿宋" w:eastAsia="仿宋"/>
                <w:color w:val="auto"/>
                <w:szCs w:val="21"/>
                <w:highlight w:val="none"/>
              </w:rPr>
            </w:pPr>
          </w:p>
        </w:tc>
        <w:tc>
          <w:tcPr>
            <w:tcW w:w="1597" w:type="dxa"/>
            <w:noWrap w:val="0"/>
            <w:vAlign w:val="center"/>
          </w:tcPr>
          <w:p w14:paraId="6827BC20">
            <w:pPr>
              <w:spacing w:line="400" w:lineRule="exact"/>
              <w:jc w:val="center"/>
              <w:rPr>
                <w:rFonts w:ascii="仿宋" w:hAnsi="仿宋" w:eastAsia="仿宋"/>
                <w:color w:val="auto"/>
                <w:szCs w:val="21"/>
                <w:highlight w:val="none"/>
              </w:rPr>
            </w:pPr>
          </w:p>
        </w:tc>
        <w:tc>
          <w:tcPr>
            <w:tcW w:w="1587" w:type="dxa"/>
            <w:noWrap w:val="0"/>
            <w:vAlign w:val="center"/>
          </w:tcPr>
          <w:p w14:paraId="66C0CE47">
            <w:pPr>
              <w:spacing w:line="400" w:lineRule="exact"/>
              <w:jc w:val="center"/>
              <w:rPr>
                <w:rFonts w:hint="eastAsia" w:ascii="仿宋" w:hAnsi="仿宋" w:eastAsia="仿宋"/>
                <w:color w:val="auto"/>
                <w:szCs w:val="21"/>
                <w:highlight w:val="none"/>
              </w:rPr>
            </w:pPr>
          </w:p>
        </w:tc>
        <w:tc>
          <w:tcPr>
            <w:tcW w:w="1450" w:type="dxa"/>
            <w:noWrap w:val="0"/>
            <w:vAlign w:val="center"/>
          </w:tcPr>
          <w:p w14:paraId="0CEA9ACF">
            <w:pPr>
              <w:spacing w:line="400" w:lineRule="exact"/>
              <w:jc w:val="center"/>
              <w:rPr>
                <w:rFonts w:hint="eastAsia" w:ascii="仿宋" w:hAnsi="仿宋" w:eastAsia="仿宋"/>
                <w:color w:val="auto"/>
                <w:szCs w:val="21"/>
                <w:highlight w:val="none"/>
                <w:lang w:val="en-US" w:eastAsia="zh-CN"/>
              </w:rPr>
            </w:pPr>
          </w:p>
        </w:tc>
        <w:tc>
          <w:tcPr>
            <w:tcW w:w="1644" w:type="dxa"/>
            <w:noWrap w:val="0"/>
            <w:vAlign w:val="center"/>
          </w:tcPr>
          <w:p w14:paraId="08B098A6">
            <w:pPr>
              <w:spacing w:line="400" w:lineRule="exact"/>
              <w:jc w:val="center"/>
              <w:rPr>
                <w:rFonts w:hint="eastAsia" w:ascii="仿宋" w:hAnsi="仿宋" w:eastAsia="仿宋"/>
                <w:color w:val="auto"/>
                <w:szCs w:val="21"/>
                <w:highlight w:val="none"/>
              </w:rPr>
            </w:pPr>
          </w:p>
        </w:tc>
      </w:tr>
    </w:tbl>
    <w:p w14:paraId="73287A34">
      <w:pPr>
        <w:snapToGrid w:val="0"/>
        <w:spacing w:line="360" w:lineRule="auto"/>
        <w:ind w:firstLine="420" w:firstLineChars="200"/>
        <w:jc w:val="left"/>
        <w:rPr>
          <w:rFonts w:hint="eastAsia" w:ascii="仿宋" w:hAnsi="仿宋" w:eastAsia="仿宋" w:cs="仿宋"/>
          <w:kern w:val="0"/>
          <w:szCs w:val="21"/>
          <w:highlight w:val="none"/>
        </w:rPr>
      </w:pPr>
    </w:p>
    <w:p w14:paraId="7D482229">
      <w:pPr>
        <w:adjustRightIn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报价要求：</w:t>
      </w:r>
    </w:p>
    <w:p w14:paraId="531852B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1、需列明交通费、住宿费、餐饮费、人身意外保险费，各旅游景点的所有门票、导游、领队的经费、司机的费用、服务费、保险、税费等等所有费用。</w:t>
      </w:r>
    </w:p>
    <w:p w14:paraId="14E0E99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2、本表格仅供参考，供应商可根据项目实际情况扩展表格。</w:t>
      </w:r>
    </w:p>
    <w:p w14:paraId="12D89536">
      <w:pPr>
        <w:pStyle w:val="28"/>
        <w:ind w:firstLine="560"/>
        <w:rPr>
          <w:rFonts w:hint="eastAsia"/>
          <w:color w:val="auto"/>
          <w:highlight w:val="none"/>
        </w:rPr>
      </w:pPr>
    </w:p>
    <w:p w14:paraId="1016CA68">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法定代表人（负责人）或其授权委托人（签名或印章）：</w:t>
      </w:r>
    </w:p>
    <w:p w14:paraId="199EAEC6">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投标人（盖章）：</w:t>
      </w:r>
    </w:p>
    <w:p w14:paraId="7362E243">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日期：</w:t>
      </w:r>
    </w:p>
    <w:p w14:paraId="07ACA84B">
      <w:pPr>
        <w:pStyle w:val="16"/>
        <w:ind w:firstLine="480"/>
        <w:rPr>
          <w:rFonts w:hint="eastAsia"/>
          <w:highlight w:val="none"/>
        </w:rPr>
      </w:pPr>
      <w:r>
        <w:rPr>
          <w:rFonts w:hint="eastAsia"/>
          <w:highlight w:val="none"/>
        </w:rPr>
        <w:br w:type="page"/>
      </w:r>
    </w:p>
    <w:p w14:paraId="017EC3B0">
      <w:pPr>
        <w:pStyle w:val="30"/>
        <w:keepNext w:val="0"/>
        <w:pageBreakBefore w:val="0"/>
        <w:tabs>
          <w:tab w:val="clear" w:pos="720"/>
        </w:tabs>
        <w:snapToGrid w:val="0"/>
        <w:spacing w:before="120" w:after="120"/>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三、政府采购统计基础信息表</w:t>
      </w:r>
    </w:p>
    <w:tbl>
      <w:tblPr>
        <w:tblStyle w:val="17"/>
        <w:tblW w:w="8537" w:type="dxa"/>
        <w:jc w:val="center"/>
        <w:tblLayout w:type="fixed"/>
        <w:tblCellMar>
          <w:top w:w="0" w:type="dxa"/>
          <w:left w:w="108" w:type="dxa"/>
          <w:bottom w:w="0" w:type="dxa"/>
          <w:right w:w="108" w:type="dxa"/>
        </w:tblCellMar>
      </w:tblPr>
      <w:tblGrid>
        <w:gridCol w:w="4998"/>
        <w:gridCol w:w="3539"/>
      </w:tblGrid>
      <w:tr w14:paraId="50785C7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0CFCAA81">
            <w:pPr>
              <w:adjustRightIn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采购人及采购项目名称</w:t>
            </w:r>
          </w:p>
        </w:tc>
        <w:tc>
          <w:tcPr>
            <w:tcW w:w="3539" w:type="dxa"/>
            <w:tcBorders>
              <w:top w:val="single" w:color="000000" w:sz="4" w:space="0"/>
              <w:left w:val="nil"/>
              <w:bottom w:val="single" w:color="000000" w:sz="4" w:space="0"/>
              <w:right w:val="single" w:color="000000" w:sz="4" w:space="0"/>
            </w:tcBorders>
            <w:noWrap w:val="0"/>
            <w:vAlign w:val="center"/>
          </w:tcPr>
          <w:p w14:paraId="5E4C758F">
            <w:pPr>
              <w:adjustRightInd w:val="0"/>
              <w:spacing w:line="360" w:lineRule="auto"/>
              <w:rPr>
                <w:rFonts w:hint="eastAsia" w:ascii="仿宋" w:hAnsi="仿宋" w:eastAsia="仿宋" w:cs="仿宋"/>
                <w:szCs w:val="21"/>
                <w:highlight w:val="none"/>
              </w:rPr>
            </w:pPr>
          </w:p>
        </w:tc>
      </w:tr>
      <w:tr w14:paraId="6A4B6A4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39E23D1A">
            <w:pPr>
              <w:adjustRightIn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投标单位名称</w:t>
            </w:r>
          </w:p>
        </w:tc>
        <w:tc>
          <w:tcPr>
            <w:tcW w:w="3539" w:type="dxa"/>
            <w:tcBorders>
              <w:top w:val="single" w:color="000000" w:sz="4" w:space="0"/>
              <w:left w:val="nil"/>
              <w:bottom w:val="single" w:color="000000" w:sz="4" w:space="0"/>
              <w:right w:val="single" w:color="000000" w:sz="4" w:space="0"/>
            </w:tcBorders>
            <w:noWrap w:val="0"/>
            <w:vAlign w:val="center"/>
          </w:tcPr>
          <w:p w14:paraId="72238191">
            <w:pPr>
              <w:adjustRightInd w:val="0"/>
              <w:spacing w:line="360" w:lineRule="auto"/>
              <w:rPr>
                <w:rFonts w:hint="eastAsia" w:ascii="仿宋" w:hAnsi="仿宋" w:eastAsia="仿宋" w:cs="仿宋"/>
                <w:szCs w:val="21"/>
                <w:highlight w:val="none"/>
              </w:rPr>
            </w:pPr>
          </w:p>
        </w:tc>
      </w:tr>
      <w:tr w14:paraId="74CBFAA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6156F9A3">
            <w:pPr>
              <w:adjustRightIn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投标单位是否为外商投资企业</w:t>
            </w:r>
          </w:p>
        </w:tc>
        <w:tc>
          <w:tcPr>
            <w:tcW w:w="3539" w:type="dxa"/>
            <w:tcBorders>
              <w:top w:val="single" w:color="000000" w:sz="4" w:space="0"/>
              <w:left w:val="nil"/>
              <w:bottom w:val="single" w:color="000000" w:sz="4" w:space="0"/>
              <w:right w:val="single" w:color="000000" w:sz="4" w:space="0"/>
            </w:tcBorders>
            <w:noWrap w:val="0"/>
            <w:vAlign w:val="center"/>
          </w:tcPr>
          <w:p w14:paraId="22F1C4F2">
            <w:pPr>
              <w:adjustRightInd w:val="0"/>
              <w:spacing w:line="360" w:lineRule="auto"/>
              <w:rPr>
                <w:rFonts w:hint="eastAsia" w:ascii="仿宋" w:hAnsi="仿宋" w:eastAsia="仿宋" w:cs="仿宋"/>
                <w:szCs w:val="21"/>
                <w:highlight w:val="none"/>
              </w:rPr>
            </w:pPr>
          </w:p>
        </w:tc>
      </w:tr>
      <w:tr w14:paraId="1D15AF8C">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4E758B12">
            <w:pPr>
              <w:adjustRightIn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投标单位是否为宁波企业</w:t>
            </w:r>
          </w:p>
        </w:tc>
        <w:tc>
          <w:tcPr>
            <w:tcW w:w="3539" w:type="dxa"/>
            <w:tcBorders>
              <w:top w:val="single" w:color="000000" w:sz="4" w:space="0"/>
              <w:left w:val="nil"/>
              <w:bottom w:val="single" w:color="000000" w:sz="4" w:space="0"/>
              <w:right w:val="single" w:color="000000" w:sz="4" w:space="0"/>
            </w:tcBorders>
            <w:noWrap w:val="0"/>
            <w:vAlign w:val="center"/>
          </w:tcPr>
          <w:p w14:paraId="0D802C2A">
            <w:pPr>
              <w:adjustRightInd w:val="0"/>
              <w:spacing w:line="360" w:lineRule="auto"/>
              <w:rPr>
                <w:rFonts w:hint="eastAsia" w:ascii="仿宋" w:hAnsi="仿宋" w:eastAsia="仿宋" w:cs="仿宋"/>
                <w:szCs w:val="21"/>
                <w:highlight w:val="none"/>
              </w:rPr>
            </w:pPr>
          </w:p>
        </w:tc>
      </w:tr>
      <w:tr w14:paraId="06ED5F3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106029D6">
            <w:pPr>
              <w:adjustRightIn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noWrap w:val="0"/>
            <w:vAlign w:val="center"/>
          </w:tcPr>
          <w:p w14:paraId="0EFADFA5">
            <w:pPr>
              <w:adjustRightInd w:val="0"/>
              <w:spacing w:line="360" w:lineRule="auto"/>
              <w:rPr>
                <w:rFonts w:hint="eastAsia" w:ascii="仿宋" w:hAnsi="仿宋" w:eastAsia="仿宋" w:cs="仿宋"/>
                <w:szCs w:val="21"/>
                <w:highlight w:val="none"/>
              </w:rPr>
            </w:pPr>
          </w:p>
        </w:tc>
      </w:tr>
      <w:tr w14:paraId="3448D1C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25E98B96">
            <w:pPr>
              <w:adjustRightIn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提供的货物是否本企业制造</w:t>
            </w:r>
          </w:p>
        </w:tc>
        <w:tc>
          <w:tcPr>
            <w:tcW w:w="3539" w:type="dxa"/>
            <w:tcBorders>
              <w:top w:val="single" w:color="000000" w:sz="4" w:space="0"/>
              <w:left w:val="nil"/>
              <w:bottom w:val="single" w:color="000000" w:sz="4" w:space="0"/>
              <w:right w:val="single" w:color="000000" w:sz="4" w:space="0"/>
            </w:tcBorders>
            <w:noWrap w:val="0"/>
            <w:vAlign w:val="center"/>
          </w:tcPr>
          <w:p w14:paraId="6D078B29">
            <w:pPr>
              <w:adjustRightInd w:val="0"/>
              <w:spacing w:line="360" w:lineRule="auto"/>
              <w:rPr>
                <w:rFonts w:hint="eastAsia" w:ascii="仿宋" w:hAnsi="仿宋" w:eastAsia="仿宋" w:cs="仿宋"/>
                <w:szCs w:val="21"/>
                <w:highlight w:val="none"/>
              </w:rPr>
            </w:pPr>
          </w:p>
        </w:tc>
      </w:tr>
      <w:tr w14:paraId="7197D70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7E7F34F2">
            <w:pPr>
              <w:adjustRightIn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货物原产地国别</w:t>
            </w:r>
          </w:p>
        </w:tc>
        <w:tc>
          <w:tcPr>
            <w:tcW w:w="3539" w:type="dxa"/>
            <w:tcBorders>
              <w:top w:val="single" w:color="000000" w:sz="4" w:space="0"/>
              <w:left w:val="nil"/>
              <w:bottom w:val="single" w:color="000000" w:sz="4" w:space="0"/>
              <w:right w:val="single" w:color="000000" w:sz="4" w:space="0"/>
            </w:tcBorders>
            <w:noWrap w:val="0"/>
            <w:vAlign w:val="center"/>
          </w:tcPr>
          <w:p w14:paraId="15FF6B6E">
            <w:pPr>
              <w:adjustRightInd w:val="0"/>
              <w:spacing w:line="360" w:lineRule="auto"/>
              <w:rPr>
                <w:rFonts w:hint="eastAsia" w:ascii="仿宋" w:hAnsi="仿宋" w:eastAsia="仿宋" w:cs="仿宋"/>
                <w:szCs w:val="21"/>
                <w:highlight w:val="none"/>
              </w:rPr>
            </w:pPr>
          </w:p>
        </w:tc>
      </w:tr>
      <w:tr w14:paraId="6C690DA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15E80DFE">
            <w:pPr>
              <w:adjustRightIn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noWrap w:val="0"/>
            <w:vAlign w:val="center"/>
          </w:tcPr>
          <w:p w14:paraId="506D9554">
            <w:pPr>
              <w:adjustRightInd w:val="0"/>
              <w:spacing w:line="360" w:lineRule="auto"/>
              <w:rPr>
                <w:rFonts w:hint="eastAsia" w:ascii="仿宋" w:hAnsi="仿宋" w:eastAsia="仿宋" w:cs="仿宋"/>
                <w:szCs w:val="21"/>
                <w:highlight w:val="none"/>
              </w:rPr>
            </w:pPr>
          </w:p>
        </w:tc>
      </w:tr>
      <w:tr w14:paraId="21AB872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676C2B9E">
            <w:pPr>
              <w:adjustRightIn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noWrap w:val="0"/>
            <w:vAlign w:val="center"/>
          </w:tcPr>
          <w:p w14:paraId="4C674C65">
            <w:pPr>
              <w:adjustRightInd w:val="0"/>
              <w:spacing w:line="360" w:lineRule="auto"/>
              <w:rPr>
                <w:rFonts w:hint="eastAsia" w:ascii="仿宋" w:hAnsi="仿宋" w:eastAsia="仿宋" w:cs="仿宋"/>
                <w:szCs w:val="21"/>
                <w:highlight w:val="none"/>
              </w:rPr>
            </w:pPr>
          </w:p>
        </w:tc>
      </w:tr>
      <w:tr w14:paraId="13B54CB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3782412E">
            <w:pPr>
              <w:adjustRightIn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noWrap w:val="0"/>
            <w:vAlign w:val="center"/>
          </w:tcPr>
          <w:p w14:paraId="6477676A">
            <w:pPr>
              <w:adjustRightInd w:val="0"/>
              <w:spacing w:line="360" w:lineRule="auto"/>
              <w:rPr>
                <w:rFonts w:hint="eastAsia" w:ascii="仿宋" w:hAnsi="仿宋" w:eastAsia="仿宋" w:cs="仿宋"/>
                <w:szCs w:val="21"/>
                <w:highlight w:val="none"/>
              </w:rPr>
            </w:pPr>
          </w:p>
        </w:tc>
      </w:tr>
    </w:tbl>
    <w:p w14:paraId="228DFC6E">
      <w:pPr>
        <w:adjustRightInd w:val="0"/>
        <w:spacing w:line="360" w:lineRule="auto"/>
        <w:jc w:val="left"/>
        <w:rPr>
          <w:rFonts w:hint="eastAsia" w:ascii="仿宋" w:hAnsi="仿宋" w:eastAsia="仿宋" w:cs="仿宋"/>
          <w:sz w:val="24"/>
          <w:highlight w:val="none"/>
        </w:rPr>
      </w:pPr>
    </w:p>
    <w:p w14:paraId="14C102CB">
      <w:pPr>
        <w:adjustRightIn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备注：请各投标人务必填写此表作为投标文件的组成部分。</w:t>
      </w:r>
    </w:p>
    <w:p w14:paraId="6E6CB864">
      <w:pPr>
        <w:adjustRightInd w:val="0"/>
        <w:spacing w:line="360" w:lineRule="auto"/>
        <w:jc w:val="left"/>
        <w:rPr>
          <w:rFonts w:hint="eastAsia" w:ascii="仿宋" w:hAnsi="仿宋" w:eastAsia="仿宋" w:cs="仿宋"/>
          <w:sz w:val="24"/>
          <w:highlight w:val="none"/>
        </w:rPr>
      </w:pPr>
    </w:p>
    <w:p w14:paraId="4E562251">
      <w:pPr>
        <w:adjustRightInd w:val="0"/>
        <w:spacing w:line="360" w:lineRule="auto"/>
        <w:jc w:val="left"/>
        <w:rPr>
          <w:rFonts w:hint="eastAsia" w:ascii="仿宋" w:hAnsi="仿宋" w:eastAsia="仿宋" w:cs="仿宋"/>
          <w:sz w:val="24"/>
          <w:highlight w:val="none"/>
        </w:rPr>
      </w:pPr>
    </w:p>
    <w:p w14:paraId="149BBD64">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法定代表人（负责人）或其授权委托人（签名或印章）：</w:t>
      </w:r>
    </w:p>
    <w:p w14:paraId="0D704887">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投标人（盖章）：</w:t>
      </w:r>
    </w:p>
    <w:p w14:paraId="22C0FB2A">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日期：</w:t>
      </w:r>
    </w:p>
    <w:p w14:paraId="01FBD3F9">
      <w:pPr>
        <w:pStyle w:val="28"/>
        <w:ind w:firstLine="0" w:firstLineChars="0"/>
        <w:rPr>
          <w:highlight w:val="none"/>
        </w:rPr>
      </w:pPr>
    </w:p>
    <w:sectPr>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roman"/>
    <w:pitch w:val="default"/>
    <w:sig w:usb0="00000000" w:usb1="00000000" w:usb2="00000010"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17A45">
    <w:pPr>
      <w:pStyle w:val="13"/>
    </w:pPr>
    <w:r>
      <mc:AlternateContent>
        <mc:Choice Requires="wps">
          <w:drawing>
            <wp:anchor distT="0" distB="0" distL="114300" distR="114300" simplePos="0" relativeHeight="251663360" behindDoc="0" locked="0" layoutInCell="1" allowOverlap="1">
              <wp:simplePos x="0" y="0"/>
              <wp:positionH relativeFrom="margin">
                <wp:posOffset>2369185</wp:posOffset>
              </wp:positionH>
              <wp:positionV relativeFrom="paragraph">
                <wp:posOffset>-28575</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C8C216">
                          <w:pPr>
                            <w:pStyle w:val="13"/>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27</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72</w:t>
                          </w:r>
                          <w:r>
                            <w:rPr>
                              <w:rFonts w:hint="eastAsia" w:ascii="仿宋" w:hAnsi="仿宋" w:eastAsia="仿宋" w:cs="仿宋"/>
                            </w:rPr>
                            <w:fldChar w:fldCharType="end"/>
                          </w:r>
                          <w:r>
                            <w:rPr>
                              <w:rFonts w:hint="eastAsia" w:ascii="仿宋" w:hAnsi="仿宋" w:eastAsia="仿宋" w:cs="仿宋"/>
                            </w:rPr>
                            <w:t xml:space="preserve"> 页</w:t>
                          </w:r>
                        </w:p>
                      </w:txbxContent>
                    </wps:txbx>
                    <wps:bodyPr wrap="none" lIns="0" tIns="0" rIns="0" bIns="0" upright="0">
                      <a:spAutoFit/>
                    </wps:bodyPr>
                  </wps:wsp>
                </a:graphicData>
              </a:graphic>
            </wp:anchor>
          </w:drawing>
        </mc:Choice>
        <mc:Fallback>
          <w:pict>
            <v:shape id="文本框 10" o:spid="_x0000_s1026" o:spt="202" type="#_x0000_t202" style="position:absolute;left:0pt;margin-left:186.55pt;margin-top:-2.25pt;height:144pt;width:144pt;mso-position-horizontal-relative:margin;mso-wrap-style:none;z-index:251663360;mso-width-relative:page;mso-height-relative:page;" filled="f" stroked="f" coordsize="21600,21600" o:gfxdata="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daAKzXAAAACgEAAA8AAAAAAAAAAQAgAAAAIgAAAGRycy9kb3du&#10;cmV2LnhtbFBLAQIUABQAAAAIAIdO4kDMhPJFxwEAAJoDAAAOAAAAAAAAAAEAIAAAACYBAABkcnMv&#10;ZTJvRG9jLnhtbFBLBQYAAAAABgAGAFkBAABfBQAAAAA=&#10;">
              <v:fill on="f" focussize="0,0"/>
              <v:stroke on="f"/>
              <v:imagedata o:title=""/>
              <o:lock v:ext="edit" aspectratio="f"/>
              <v:textbox inset="0mm,0mm,0mm,0mm" style="mso-fit-shape-to-text:t;">
                <w:txbxContent>
                  <w:p w14:paraId="40C8C216">
                    <w:pPr>
                      <w:pStyle w:val="13"/>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27</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72</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D97B6">
    <w:pPr>
      <w:pStyle w:val="13"/>
      <w:ind w:right="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8F2233">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GOf98kBAACa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ly&#10;lfXpA9SY9hgwMQ33fsCtmf2Azkx7UNHmLxIiGEd1z1d15ZCIyI/Wq/W6wpDA2HxBfPb0PERIb6W3&#10;JBsNjTi+oio/vYc0ps4puZrzD9qYMkLj/nIgZvaw3PvYY7bSsB8mQnvfnpFPj5NvqMNFp8S8cyhs&#10;XpLZiLOxn41jiPrQlS3K9SDcHRM2UXrLFUbYqTCOrLCb1ivvxJ/3kvX0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0Y5/3yQEAAJoDAAAOAAAAAAAAAAEAIAAAAB4BAABkcnMvZTJvRG9j&#10;LnhtbFBLBQYAAAAABgAGAFkBAABZBQAAAAA=&#10;">
              <v:fill on="f" focussize="0,0"/>
              <v:stroke on="f"/>
              <v:imagedata o:title=""/>
              <o:lock v:ext="edit" aspectratio="f"/>
              <v:textbox inset="0mm,0mm,0mm,0mm" style="mso-fit-shape-to-text:t;">
                <w:txbxContent>
                  <w:p w14:paraId="0F8F2233">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r>
      <w:rPr>
        <w:rFonts w:hint="eastAsia"/>
      </w:rPr>
      <w:t>85</w:t>
    </w:r>
  </w:p>
  <w:p w14:paraId="703142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AAAFB">
    <w:pPr>
      <w:pStyle w:val="13"/>
    </w:pPr>
    <w:r>
      <mc:AlternateContent>
        <mc:Choice Requires="wps">
          <w:drawing>
            <wp:anchor distT="0" distB="0" distL="114300" distR="114300" simplePos="0" relativeHeight="251665408" behindDoc="0" locked="0" layoutInCell="1" allowOverlap="1">
              <wp:simplePos x="0" y="0"/>
              <wp:positionH relativeFrom="margin">
                <wp:posOffset>4048760</wp:posOffset>
              </wp:positionH>
              <wp:positionV relativeFrom="paragraph">
                <wp:posOffset>-119380</wp:posOffset>
              </wp:positionV>
              <wp:extent cx="972185" cy="147955"/>
              <wp:effectExtent l="0" t="0" r="0" b="0"/>
              <wp:wrapNone/>
              <wp:docPr id="7" name="文本框 11"/>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a:noFill/>
                      </a:ln>
                    </wps:spPr>
                    <wps:txbx>
                      <w:txbxContent>
                        <w:p w14:paraId="73D21B14">
                          <w:pPr>
                            <w:pStyle w:val="13"/>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47</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72</w:t>
                          </w:r>
                          <w:r>
                            <w:rPr>
                              <w:rFonts w:hint="eastAsia" w:ascii="仿宋" w:hAnsi="仿宋" w:eastAsia="仿宋" w:cs="仿宋"/>
                            </w:rPr>
                            <w:fldChar w:fldCharType="end"/>
                          </w:r>
                          <w:r>
                            <w:rPr>
                              <w:rFonts w:hint="eastAsia" w:ascii="仿宋" w:hAnsi="仿宋" w:eastAsia="仿宋" w:cs="仿宋"/>
                            </w:rPr>
                            <w:t xml:space="preserve"> 页</w:t>
                          </w:r>
                        </w:p>
                      </w:txbxContent>
                    </wps:txbx>
                    <wps:bodyPr wrap="none" lIns="0" tIns="0" rIns="0" bIns="0" upright="0">
                      <a:spAutoFit/>
                    </wps:bodyPr>
                  </wps:wsp>
                </a:graphicData>
              </a:graphic>
            </wp:anchor>
          </w:drawing>
        </mc:Choice>
        <mc:Fallback>
          <w:pict>
            <v:shape id="文本框 11" o:spid="_x0000_s1026" o:spt="202" type="#_x0000_t202" style="position:absolute;left:0pt;margin-left:318.8pt;margin-top:-9.4pt;height:11.65pt;width:76.55pt;mso-position-horizontal-relative:margin;mso-wrap-style:none;z-index:251665408;mso-width-relative:page;mso-height-relative:page;" filled="f" stroked="f" coordsize="21600,21600" o:gfxdata="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&#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INKl81gAAAAkBAAAPAAAAAAAAAAEAIAAAACIAAABk&#10;cnMvZG93bnJldi54bWxQSwECFAAUAAAACACHTuJA5klOZs8BAACYAwAADgAAAAAAAAABACAAAAAl&#10;AQAAZHJzL2Uyb0RvYy54bWxQSwUGAAAAAAYABgBZAQAAZgUAAAAA&#10;">
              <v:fill on="f" focussize="0,0"/>
              <v:stroke on="f"/>
              <v:imagedata o:title=""/>
              <o:lock v:ext="edit" aspectratio="f"/>
              <v:textbox inset="0mm,0mm,0mm,0mm" style="mso-fit-shape-to-text:t;">
                <w:txbxContent>
                  <w:p w14:paraId="73D21B14">
                    <w:pPr>
                      <w:pStyle w:val="13"/>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47</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72</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86181">
    <w:pPr>
      <w:pStyle w:val="13"/>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0393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03935" cy="1828800"/>
                      </a:xfrm>
                      <a:prstGeom prst="rect">
                        <a:avLst/>
                      </a:prstGeom>
                      <a:noFill/>
                      <a:ln>
                        <a:noFill/>
                      </a:ln>
                    </wps:spPr>
                    <wps:txbx>
                      <w:txbxContent>
                        <w:p w14:paraId="4950ED1E">
                          <w:pPr>
                            <w:pStyle w:val="13"/>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63</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72</w:t>
                          </w:r>
                          <w:r>
                            <w:rPr>
                              <w:rFonts w:ascii="仿宋" w:hAnsi="仿宋" w:eastAsia="仿宋"/>
                            </w:rPr>
                            <w:fldChar w:fldCharType="end"/>
                          </w:r>
                          <w:r>
                            <w:rPr>
                              <w:rFonts w:ascii="仿宋" w:hAnsi="仿宋" w:eastAsia="仿宋"/>
                            </w:rPr>
                            <w:t xml:space="preserve"> 页</w:t>
                          </w:r>
                        </w:p>
                      </w:txbxContent>
                    </wps:txbx>
                    <wps:bodyPr wrap="square" lIns="0" tIns="0" rIns="0" bIns="0" upright="0">
                      <a:spAutoFit/>
                    </wps:bodyPr>
                  </wps:wsp>
                </a:graphicData>
              </a:graphic>
            </wp:anchor>
          </w:drawing>
        </mc:Choice>
        <mc:Fallback>
          <w:pict>
            <v:shape id="_x0000_s1026" o:spid="_x0000_s1026" o:spt="202" type="#_x0000_t202" style="position:absolute;left:0pt;margin-top:0pt;height:144pt;width:79.05pt;mso-position-horizontal:center;mso-position-horizontal-relative:margin;z-index:251659264;mso-width-relative:page;mso-height-relative:page;" filled="f" stroked="f" coordsize="21600,21600" o:gfxdata="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YoIW0gAAAAUBAAAPAAAAAAAAAAEAIAAAACIAAABkcnMv&#10;ZG93bnJldi54bWxQSwECFAAUAAAACACHTuJAgMhPTtABAACbAwAADgAAAAAAAAABACAAAAAhAQAA&#10;ZHJzL2Uyb0RvYy54bWxQSwUGAAAAAAYABgBZAQAAYwUAAAAA&#10;">
              <v:fill on="f" focussize="0,0"/>
              <v:stroke on="f"/>
              <v:imagedata o:title=""/>
              <o:lock v:ext="edit" aspectratio="f"/>
              <v:textbox inset="0mm,0mm,0mm,0mm" style="mso-fit-shape-to-text:t;">
                <w:txbxContent>
                  <w:p w14:paraId="4950ED1E">
                    <w:pPr>
                      <w:pStyle w:val="13"/>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63</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72</w:t>
                    </w:r>
                    <w:r>
                      <w:rPr>
                        <w:rFonts w:ascii="仿宋" w:hAnsi="仿宋" w:eastAsia="仿宋"/>
                      </w:rPr>
                      <w:fldChar w:fldCharType="end"/>
                    </w:r>
                    <w:r>
                      <w:rPr>
                        <w:rFonts w:ascii="仿宋" w:hAnsi="仿宋" w:eastAsia="仿宋"/>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D48E4">
    <w:pPr>
      <w:pStyle w:val="13"/>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B48F">
                          <w:pPr>
                            <w:pStyle w:val="13"/>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48</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72</w:t>
                          </w:r>
                          <w:r>
                            <w:rPr>
                              <w:rFonts w:ascii="仿宋" w:hAnsi="仿宋" w:eastAsia="仿宋"/>
                            </w:rPr>
                            <w:fldChar w:fldCharType="end"/>
                          </w:r>
                          <w:r>
                            <w:rPr>
                              <w:rFonts w:ascii="仿宋" w:hAnsi="仿宋" w:eastAsia="仿宋"/>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895B48F">
                    <w:pPr>
                      <w:pStyle w:val="13"/>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48</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72</w:t>
                    </w:r>
                    <w:r>
                      <w:rPr>
                        <w:rFonts w:ascii="仿宋" w:hAnsi="仿宋" w:eastAsia="仿宋"/>
                      </w:rPr>
                      <w:fldChar w:fldCharType="end"/>
                    </w:r>
                    <w:r>
                      <w:rPr>
                        <w:rFonts w:ascii="仿宋" w:hAnsi="仿宋" w:eastAsia="仿宋"/>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58D02">
    <w:pPr>
      <w:pStyle w:val="13"/>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C5B22D">
                          <w:pPr>
                            <w:pStyle w:val="13"/>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70</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72</w:t>
                          </w:r>
                          <w:r>
                            <w:rPr>
                              <w:rFonts w:ascii="仿宋" w:hAnsi="仿宋" w:eastAsia="仿宋"/>
                            </w:rPr>
                            <w:fldChar w:fldCharType="end"/>
                          </w:r>
                          <w:r>
                            <w:rPr>
                              <w:rFonts w:ascii="仿宋" w:hAnsi="仿宋" w:eastAsia="仿宋"/>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6C5B22D">
                    <w:pPr>
                      <w:pStyle w:val="13"/>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70</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72</w:t>
                    </w:r>
                    <w:r>
                      <w:rPr>
                        <w:rFonts w:ascii="仿宋" w:hAnsi="仿宋" w:eastAsia="仿宋"/>
                      </w:rPr>
                      <w:fldChar w:fldCharType="end"/>
                    </w:r>
                    <w:r>
                      <w:rPr>
                        <w:rFonts w:ascii="仿宋" w:hAnsi="仿宋" w:eastAsia="仿宋"/>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DA103">
    <w:pPr>
      <w:pStyle w:val="13"/>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A95A17">
                          <w:pPr>
                            <w:pStyle w:val="13"/>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65</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72</w:t>
                          </w:r>
                          <w:r>
                            <w:rPr>
                              <w:rFonts w:ascii="仿宋" w:hAnsi="仿宋" w:eastAsia="仿宋"/>
                            </w:rPr>
                            <w:fldChar w:fldCharType="end"/>
                          </w:r>
                          <w:r>
                            <w:rPr>
                              <w:rFonts w:ascii="仿宋" w:hAnsi="仿宋" w:eastAsia="仿宋"/>
                            </w:rPr>
                            <w:t xml:space="preserve"> </w:t>
                          </w:r>
                          <w:r>
                            <w:t>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5CA95A17">
                    <w:pPr>
                      <w:pStyle w:val="13"/>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65</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72</w:t>
                    </w:r>
                    <w:r>
                      <w:rPr>
                        <w:rFonts w:ascii="仿宋" w:hAnsi="仿宋" w:eastAsia="仿宋"/>
                      </w:rPr>
                      <w:fldChar w:fldCharType="end"/>
                    </w:r>
                    <w:r>
                      <w:rPr>
                        <w:rFonts w:ascii="仿宋" w:hAnsi="仿宋" w:eastAsia="仿宋"/>
                      </w:rPr>
                      <w:t xml:space="preserve"> </w:t>
                    </w:r>
                    <w: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A9FC2">
    <w:pPr>
      <w:pStyle w:val="13"/>
    </w:pPr>
    <w:r>
      <mc:AlternateContent>
        <mc:Choice Requires="wps">
          <w:drawing>
            <wp:anchor distT="0" distB="0" distL="114300" distR="114300" simplePos="0" relativeHeight="251666432" behindDoc="0" locked="0" layoutInCell="1" allowOverlap="1">
              <wp:simplePos x="0" y="0"/>
              <wp:positionH relativeFrom="margin">
                <wp:posOffset>2369185</wp:posOffset>
              </wp:positionH>
              <wp:positionV relativeFrom="paragraph">
                <wp:posOffset>0</wp:posOffset>
              </wp:positionV>
              <wp:extent cx="1828800" cy="1828800"/>
              <wp:effectExtent l="0" t="0" r="0" b="0"/>
              <wp:wrapNone/>
              <wp:docPr id="8"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414D4E">
                          <w:pPr>
                            <w:pStyle w:val="13"/>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72</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72</w:t>
                          </w:r>
                          <w:r>
                            <w:rPr>
                              <w:rFonts w:hint="eastAsia" w:ascii="仿宋" w:hAnsi="仿宋" w:eastAsia="仿宋" w:cs="仿宋"/>
                            </w:rPr>
                            <w:fldChar w:fldCharType="end"/>
                          </w:r>
                          <w:r>
                            <w:rPr>
                              <w:rFonts w:hint="eastAsia" w:ascii="仿宋" w:hAnsi="仿宋" w:eastAsia="仿宋" w:cs="仿宋"/>
                            </w:rPr>
                            <w:t xml:space="preserve"> 页</w:t>
                          </w:r>
                        </w:p>
                      </w:txbxContent>
                    </wps:txbx>
                    <wps:bodyPr wrap="none" lIns="0" tIns="0" rIns="0" bIns="0" upright="0">
                      <a:spAutoFit/>
                    </wps:bodyPr>
                  </wps:wsp>
                </a:graphicData>
              </a:graphic>
            </wp:anchor>
          </w:drawing>
        </mc:Choice>
        <mc:Fallback>
          <w:pict>
            <v:shape id="文本框 9" o:spid="_x0000_s1026" o:spt="202" type="#_x0000_t202" style="position:absolute;left:0pt;margin-left:186.55pt;margin-top:0pt;height:144pt;width:144pt;mso-position-horizontal-relative:margin;mso-wrap-style:none;z-index:251666432;mso-width-relative:page;mso-height-relative:page;" filled="f" stroked="f" coordsize="21600,21600" o:gfxdata="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7BByN1AAAAAgBAAAPAAAAAAAAAAEAIAAAACIAAABkcnMvZG93bnJl&#10;di54bWxQSwECFAAUAAAACACHTuJA1LDQhcgBAACZAwAADgAAAAAAAAABACAAAAAjAQAAZHJzL2Uy&#10;b0RvYy54bWxQSwUGAAAAAAYABgBZAQAAXQUAAAAA&#10;">
              <v:fill on="f" focussize="0,0"/>
              <v:stroke on="f"/>
              <v:imagedata o:title=""/>
              <o:lock v:ext="edit" aspectratio="f"/>
              <v:textbox inset="0mm,0mm,0mm,0mm" style="mso-fit-shape-to-text:t;">
                <w:txbxContent>
                  <w:p w14:paraId="11414D4E">
                    <w:pPr>
                      <w:pStyle w:val="13"/>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72</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72</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F978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62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1">
    <w:nsid w:val="E05913FD"/>
    <w:multiLevelType w:val="singleLevel"/>
    <w:tmpl w:val="E05913FD"/>
    <w:lvl w:ilvl="0" w:tentative="0">
      <w:start w:val="1"/>
      <w:numFmt w:val="decimal"/>
      <w:pStyle w:val="3"/>
      <w:lvlText w:val="%1."/>
      <w:lvlJc w:val="left"/>
      <w:pPr>
        <w:tabs>
          <w:tab w:val="left" w:pos="360"/>
        </w:tabs>
        <w:ind w:left="360" w:hanging="360"/>
      </w:pPr>
    </w:lvl>
  </w:abstractNum>
  <w:abstractNum w:abstractNumId="2">
    <w:nsid w:val="0945F259"/>
    <w:multiLevelType w:val="singleLevel"/>
    <w:tmpl w:val="0945F259"/>
    <w:lvl w:ilvl="0" w:tentative="0">
      <w:start w:val="1"/>
      <w:numFmt w:val="decimal"/>
      <w:suff w:val="nothing"/>
      <w:lvlText w:val="%1、"/>
      <w:lvlJc w:val="left"/>
    </w:lvl>
  </w:abstractNum>
  <w:abstractNum w:abstractNumId="3">
    <w:nsid w:val="0CB64857"/>
    <w:multiLevelType w:val="singleLevel"/>
    <w:tmpl w:val="0CB64857"/>
    <w:lvl w:ilvl="0" w:tentative="0">
      <w:start w:val="2"/>
      <w:numFmt w:val="decimal"/>
      <w:suff w:val="nothing"/>
      <w:lvlText w:val="%1、"/>
      <w:lvlJc w:val="left"/>
    </w:lvl>
  </w:abstractNum>
  <w:abstractNum w:abstractNumId="4">
    <w:nsid w:val="1A1BE98A"/>
    <w:multiLevelType w:val="singleLevel"/>
    <w:tmpl w:val="1A1BE98A"/>
    <w:lvl w:ilvl="0" w:tentative="0">
      <w:start w:val="1"/>
      <w:numFmt w:val="decimal"/>
      <w:pStyle w:val="38"/>
      <w:lvlText w:val="%1."/>
      <w:lvlJc w:val="left"/>
      <w:pPr>
        <w:ind w:left="425" w:hanging="425"/>
      </w:pPr>
      <w:rPr>
        <w:rFonts w:hint="default"/>
      </w:rPr>
    </w:lvl>
  </w:abstractNum>
  <w:abstractNum w:abstractNumId="5">
    <w:nsid w:val="495C2BCE"/>
    <w:multiLevelType w:val="singleLevel"/>
    <w:tmpl w:val="495C2BCE"/>
    <w:lvl w:ilvl="0" w:tentative="0">
      <w:start w:val="1"/>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MzM1NmViZGJjMWM3NmRkMTEwYTQyMzU2ZGY3YjcifQ=="/>
  </w:docVars>
  <w:rsids>
    <w:rsidRoot w:val="00972338"/>
    <w:rsid w:val="00000102"/>
    <w:rsid w:val="000002BC"/>
    <w:rsid w:val="00010D4B"/>
    <w:rsid w:val="00026436"/>
    <w:rsid w:val="00033725"/>
    <w:rsid w:val="0003512C"/>
    <w:rsid w:val="00043E70"/>
    <w:rsid w:val="00060810"/>
    <w:rsid w:val="000678CF"/>
    <w:rsid w:val="00067B4A"/>
    <w:rsid w:val="00073D65"/>
    <w:rsid w:val="000A58E4"/>
    <w:rsid w:val="000B416D"/>
    <w:rsid w:val="000C58F6"/>
    <w:rsid w:val="000C7D6E"/>
    <w:rsid w:val="000E40FB"/>
    <w:rsid w:val="000F4D18"/>
    <w:rsid w:val="000F66AE"/>
    <w:rsid w:val="001020A4"/>
    <w:rsid w:val="00103686"/>
    <w:rsid w:val="00111742"/>
    <w:rsid w:val="00133AC0"/>
    <w:rsid w:val="001344FF"/>
    <w:rsid w:val="0016436A"/>
    <w:rsid w:val="00170BB4"/>
    <w:rsid w:val="00172EE8"/>
    <w:rsid w:val="001777A3"/>
    <w:rsid w:val="00177B88"/>
    <w:rsid w:val="00182B23"/>
    <w:rsid w:val="0018730F"/>
    <w:rsid w:val="001B47BF"/>
    <w:rsid w:val="001D0F19"/>
    <w:rsid w:val="001F6CAA"/>
    <w:rsid w:val="00201BFD"/>
    <w:rsid w:val="0022318B"/>
    <w:rsid w:val="0022635D"/>
    <w:rsid w:val="002300A4"/>
    <w:rsid w:val="00241BBF"/>
    <w:rsid w:val="002608DD"/>
    <w:rsid w:val="00264B6D"/>
    <w:rsid w:val="00272EF5"/>
    <w:rsid w:val="00276A4B"/>
    <w:rsid w:val="00280A96"/>
    <w:rsid w:val="00286A5F"/>
    <w:rsid w:val="00287F7E"/>
    <w:rsid w:val="00291557"/>
    <w:rsid w:val="00293B4F"/>
    <w:rsid w:val="00294591"/>
    <w:rsid w:val="002979E3"/>
    <w:rsid w:val="002C398D"/>
    <w:rsid w:val="002D24C0"/>
    <w:rsid w:val="002E1B7D"/>
    <w:rsid w:val="002F6A52"/>
    <w:rsid w:val="0030491C"/>
    <w:rsid w:val="00310ABC"/>
    <w:rsid w:val="003178B9"/>
    <w:rsid w:val="0032269F"/>
    <w:rsid w:val="003506C0"/>
    <w:rsid w:val="00387C28"/>
    <w:rsid w:val="00394E2D"/>
    <w:rsid w:val="0039632A"/>
    <w:rsid w:val="003B236D"/>
    <w:rsid w:val="003B29B1"/>
    <w:rsid w:val="003B31EF"/>
    <w:rsid w:val="003B3567"/>
    <w:rsid w:val="003C5675"/>
    <w:rsid w:val="003E3F43"/>
    <w:rsid w:val="003E6EE0"/>
    <w:rsid w:val="003E72A3"/>
    <w:rsid w:val="00430592"/>
    <w:rsid w:val="00433680"/>
    <w:rsid w:val="004454AC"/>
    <w:rsid w:val="004518C7"/>
    <w:rsid w:val="00453034"/>
    <w:rsid w:val="004638D5"/>
    <w:rsid w:val="00472FF8"/>
    <w:rsid w:val="00473757"/>
    <w:rsid w:val="00484945"/>
    <w:rsid w:val="00487201"/>
    <w:rsid w:val="00492762"/>
    <w:rsid w:val="00492D3F"/>
    <w:rsid w:val="00493248"/>
    <w:rsid w:val="004A065C"/>
    <w:rsid w:val="004F230A"/>
    <w:rsid w:val="004F719B"/>
    <w:rsid w:val="00541AF8"/>
    <w:rsid w:val="00550760"/>
    <w:rsid w:val="005509BF"/>
    <w:rsid w:val="00551E60"/>
    <w:rsid w:val="005800EF"/>
    <w:rsid w:val="005A0EF5"/>
    <w:rsid w:val="005A33A1"/>
    <w:rsid w:val="005C5565"/>
    <w:rsid w:val="005D2BA1"/>
    <w:rsid w:val="005D3F66"/>
    <w:rsid w:val="005D52B0"/>
    <w:rsid w:val="005E0B5B"/>
    <w:rsid w:val="0060287E"/>
    <w:rsid w:val="00605279"/>
    <w:rsid w:val="00605A00"/>
    <w:rsid w:val="00611380"/>
    <w:rsid w:val="0061722C"/>
    <w:rsid w:val="00625913"/>
    <w:rsid w:val="00630553"/>
    <w:rsid w:val="006527C5"/>
    <w:rsid w:val="0067187C"/>
    <w:rsid w:val="00681D36"/>
    <w:rsid w:val="0068663D"/>
    <w:rsid w:val="006929D8"/>
    <w:rsid w:val="00693231"/>
    <w:rsid w:val="0069400C"/>
    <w:rsid w:val="006952C2"/>
    <w:rsid w:val="006A5509"/>
    <w:rsid w:val="006B0E2F"/>
    <w:rsid w:val="006D09FE"/>
    <w:rsid w:val="006D4E7A"/>
    <w:rsid w:val="006D5F0A"/>
    <w:rsid w:val="006D69DA"/>
    <w:rsid w:val="006F5FD3"/>
    <w:rsid w:val="0070033D"/>
    <w:rsid w:val="00701985"/>
    <w:rsid w:val="00701E17"/>
    <w:rsid w:val="00703DC4"/>
    <w:rsid w:val="00707AA7"/>
    <w:rsid w:val="0071198F"/>
    <w:rsid w:val="00717403"/>
    <w:rsid w:val="007174D0"/>
    <w:rsid w:val="00731B84"/>
    <w:rsid w:val="007412C8"/>
    <w:rsid w:val="00744259"/>
    <w:rsid w:val="0075592A"/>
    <w:rsid w:val="00762359"/>
    <w:rsid w:val="00771DC5"/>
    <w:rsid w:val="00773A48"/>
    <w:rsid w:val="00775EDD"/>
    <w:rsid w:val="00777C86"/>
    <w:rsid w:val="007B5D34"/>
    <w:rsid w:val="007D298D"/>
    <w:rsid w:val="007E05E6"/>
    <w:rsid w:val="007F32AA"/>
    <w:rsid w:val="00806259"/>
    <w:rsid w:val="00814ADA"/>
    <w:rsid w:val="00814BCD"/>
    <w:rsid w:val="00821FFA"/>
    <w:rsid w:val="008941F1"/>
    <w:rsid w:val="008A1F39"/>
    <w:rsid w:val="008B5AD5"/>
    <w:rsid w:val="008C66CA"/>
    <w:rsid w:val="008E0F76"/>
    <w:rsid w:val="008E55B7"/>
    <w:rsid w:val="008F1680"/>
    <w:rsid w:val="00925613"/>
    <w:rsid w:val="0093194B"/>
    <w:rsid w:val="00942015"/>
    <w:rsid w:val="00942A2D"/>
    <w:rsid w:val="009514B5"/>
    <w:rsid w:val="009702C5"/>
    <w:rsid w:val="00972338"/>
    <w:rsid w:val="00982798"/>
    <w:rsid w:val="009832EE"/>
    <w:rsid w:val="00992D10"/>
    <w:rsid w:val="00996F9E"/>
    <w:rsid w:val="009B0CEA"/>
    <w:rsid w:val="009B3C55"/>
    <w:rsid w:val="009E16E0"/>
    <w:rsid w:val="009E17DD"/>
    <w:rsid w:val="009E183F"/>
    <w:rsid w:val="009E4449"/>
    <w:rsid w:val="009E577E"/>
    <w:rsid w:val="00A0444A"/>
    <w:rsid w:val="00A117ED"/>
    <w:rsid w:val="00A43C4F"/>
    <w:rsid w:val="00A50C7F"/>
    <w:rsid w:val="00A637C6"/>
    <w:rsid w:val="00A71DEF"/>
    <w:rsid w:val="00A81ED6"/>
    <w:rsid w:val="00A9589E"/>
    <w:rsid w:val="00AA17FA"/>
    <w:rsid w:val="00AA7AEF"/>
    <w:rsid w:val="00AC3033"/>
    <w:rsid w:val="00AC5DE0"/>
    <w:rsid w:val="00AC6400"/>
    <w:rsid w:val="00AC71BF"/>
    <w:rsid w:val="00AD0CB8"/>
    <w:rsid w:val="00AD3050"/>
    <w:rsid w:val="00AE6C10"/>
    <w:rsid w:val="00B012AE"/>
    <w:rsid w:val="00B04703"/>
    <w:rsid w:val="00B07B4B"/>
    <w:rsid w:val="00B07DCF"/>
    <w:rsid w:val="00B46B7F"/>
    <w:rsid w:val="00B616B9"/>
    <w:rsid w:val="00B70645"/>
    <w:rsid w:val="00B774EF"/>
    <w:rsid w:val="00B951B0"/>
    <w:rsid w:val="00BD178C"/>
    <w:rsid w:val="00BE2908"/>
    <w:rsid w:val="00BE7210"/>
    <w:rsid w:val="00BF55BA"/>
    <w:rsid w:val="00BF5CF6"/>
    <w:rsid w:val="00C06D7C"/>
    <w:rsid w:val="00C22C1C"/>
    <w:rsid w:val="00C37A2A"/>
    <w:rsid w:val="00C43C27"/>
    <w:rsid w:val="00C52A59"/>
    <w:rsid w:val="00C57DE9"/>
    <w:rsid w:val="00C71782"/>
    <w:rsid w:val="00C71BE9"/>
    <w:rsid w:val="00C73417"/>
    <w:rsid w:val="00C81879"/>
    <w:rsid w:val="00C976AA"/>
    <w:rsid w:val="00CA2502"/>
    <w:rsid w:val="00CA371F"/>
    <w:rsid w:val="00CB1699"/>
    <w:rsid w:val="00CB2A0A"/>
    <w:rsid w:val="00CD6E6B"/>
    <w:rsid w:val="00CE2F4C"/>
    <w:rsid w:val="00CF5715"/>
    <w:rsid w:val="00CF5C07"/>
    <w:rsid w:val="00D178A3"/>
    <w:rsid w:val="00D22B22"/>
    <w:rsid w:val="00D35CBD"/>
    <w:rsid w:val="00D41EEC"/>
    <w:rsid w:val="00D53F71"/>
    <w:rsid w:val="00D62DE6"/>
    <w:rsid w:val="00D819F3"/>
    <w:rsid w:val="00DC6CD9"/>
    <w:rsid w:val="00DD7621"/>
    <w:rsid w:val="00DE37E6"/>
    <w:rsid w:val="00E13431"/>
    <w:rsid w:val="00E13682"/>
    <w:rsid w:val="00E306AE"/>
    <w:rsid w:val="00E467C7"/>
    <w:rsid w:val="00E63934"/>
    <w:rsid w:val="00E7592C"/>
    <w:rsid w:val="00E86B81"/>
    <w:rsid w:val="00EA3E9E"/>
    <w:rsid w:val="00EB2F70"/>
    <w:rsid w:val="00EC397F"/>
    <w:rsid w:val="00EC5A9A"/>
    <w:rsid w:val="00EE1446"/>
    <w:rsid w:val="00EE1DCA"/>
    <w:rsid w:val="00EF46C9"/>
    <w:rsid w:val="00F030BF"/>
    <w:rsid w:val="00F055FE"/>
    <w:rsid w:val="00F154FE"/>
    <w:rsid w:val="00F16F8F"/>
    <w:rsid w:val="00F324F4"/>
    <w:rsid w:val="00F43915"/>
    <w:rsid w:val="00F541E8"/>
    <w:rsid w:val="00F62445"/>
    <w:rsid w:val="00F64157"/>
    <w:rsid w:val="00F76262"/>
    <w:rsid w:val="00F8067E"/>
    <w:rsid w:val="00F868FD"/>
    <w:rsid w:val="00F9522E"/>
    <w:rsid w:val="00FA1E9C"/>
    <w:rsid w:val="00FA45FB"/>
    <w:rsid w:val="00FD08C6"/>
    <w:rsid w:val="00FD7F81"/>
    <w:rsid w:val="00FE503C"/>
    <w:rsid w:val="00FF50D2"/>
    <w:rsid w:val="0137554F"/>
    <w:rsid w:val="01463C70"/>
    <w:rsid w:val="014C4245"/>
    <w:rsid w:val="01B90AD4"/>
    <w:rsid w:val="020B3D9B"/>
    <w:rsid w:val="02263013"/>
    <w:rsid w:val="030F0DF0"/>
    <w:rsid w:val="0325366F"/>
    <w:rsid w:val="0370118D"/>
    <w:rsid w:val="040F6D7B"/>
    <w:rsid w:val="047A1AB3"/>
    <w:rsid w:val="0498492A"/>
    <w:rsid w:val="05145BD8"/>
    <w:rsid w:val="05315F20"/>
    <w:rsid w:val="05B316B3"/>
    <w:rsid w:val="05EB743C"/>
    <w:rsid w:val="05FD666C"/>
    <w:rsid w:val="06277B8D"/>
    <w:rsid w:val="06486F0A"/>
    <w:rsid w:val="065F3650"/>
    <w:rsid w:val="06800351"/>
    <w:rsid w:val="06B96A50"/>
    <w:rsid w:val="07591AEB"/>
    <w:rsid w:val="076B18B1"/>
    <w:rsid w:val="07921036"/>
    <w:rsid w:val="07A62D33"/>
    <w:rsid w:val="07C3612E"/>
    <w:rsid w:val="082F2D28"/>
    <w:rsid w:val="088A61B1"/>
    <w:rsid w:val="094D5939"/>
    <w:rsid w:val="09694018"/>
    <w:rsid w:val="097C2567"/>
    <w:rsid w:val="0A764BB2"/>
    <w:rsid w:val="0AD23AA5"/>
    <w:rsid w:val="0B031B89"/>
    <w:rsid w:val="0B8A2FBA"/>
    <w:rsid w:val="0B932621"/>
    <w:rsid w:val="0BD141A1"/>
    <w:rsid w:val="0BD25035"/>
    <w:rsid w:val="0BE9315E"/>
    <w:rsid w:val="0BFB6D72"/>
    <w:rsid w:val="0C0A3BBA"/>
    <w:rsid w:val="0DBF4B4E"/>
    <w:rsid w:val="0E406939"/>
    <w:rsid w:val="0E553A87"/>
    <w:rsid w:val="0F5A769C"/>
    <w:rsid w:val="0FFA2E60"/>
    <w:rsid w:val="104140EC"/>
    <w:rsid w:val="10686DD7"/>
    <w:rsid w:val="108F11EB"/>
    <w:rsid w:val="10B50311"/>
    <w:rsid w:val="10CA3950"/>
    <w:rsid w:val="11291EF4"/>
    <w:rsid w:val="11412771"/>
    <w:rsid w:val="114E2A15"/>
    <w:rsid w:val="123E176E"/>
    <w:rsid w:val="12434EDF"/>
    <w:rsid w:val="128321A8"/>
    <w:rsid w:val="134B3E4A"/>
    <w:rsid w:val="13D527DA"/>
    <w:rsid w:val="13FF3EF7"/>
    <w:rsid w:val="14007F6F"/>
    <w:rsid w:val="14103A0E"/>
    <w:rsid w:val="143E4A1F"/>
    <w:rsid w:val="14476C28"/>
    <w:rsid w:val="14ED592A"/>
    <w:rsid w:val="15570BDD"/>
    <w:rsid w:val="1568403C"/>
    <w:rsid w:val="15D63CC9"/>
    <w:rsid w:val="15E9726F"/>
    <w:rsid w:val="160B28B5"/>
    <w:rsid w:val="167C0C4A"/>
    <w:rsid w:val="16A47E9D"/>
    <w:rsid w:val="17C94409"/>
    <w:rsid w:val="17F16729"/>
    <w:rsid w:val="18492C74"/>
    <w:rsid w:val="18544907"/>
    <w:rsid w:val="188803F5"/>
    <w:rsid w:val="1A1D7A3A"/>
    <w:rsid w:val="1ADD6614"/>
    <w:rsid w:val="1AED28C5"/>
    <w:rsid w:val="1B5A745E"/>
    <w:rsid w:val="1B6E08D2"/>
    <w:rsid w:val="1BA62EBF"/>
    <w:rsid w:val="1BAE69A7"/>
    <w:rsid w:val="1BB31D55"/>
    <w:rsid w:val="1C5A76FC"/>
    <w:rsid w:val="1C5F3784"/>
    <w:rsid w:val="1C685D10"/>
    <w:rsid w:val="1CAA0ED5"/>
    <w:rsid w:val="1CEB5018"/>
    <w:rsid w:val="1D147C4E"/>
    <w:rsid w:val="1D266D39"/>
    <w:rsid w:val="1D3F5364"/>
    <w:rsid w:val="1EAF26F1"/>
    <w:rsid w:val="1EF65EF6"/>
    <w:rsid w:val="1F185A86"/>
    <w:rsid w:val="1F587CBF"/>
    <w:rsid w:val="1FDA7F57"/>
    <w:rsid w:val="20386C7C"/>
    <w:rsid w:val="204D76D0"/>
    <w:rsid w:val="204D7D98"/>
    <w:rsid w:val="20D661BE"/>
    <w:rsid w:val="21756DF6"/>
    <w:rsid w:val="21937289"/>
    <w:rsid w:val="21E64490"/>
    <w:rsid w:val="22332CD0"/>
    <w:rsid w:val="22345115"/>
    <w:rsid w:val="223E2629"/>
    <w:rsid w:val="228F3875"/>
    <w:rsid w:val="22FB2B87"/>
    <w:rsid w:val="235E632A"/>
    <w:rsid w:val="23ED217F"/>
    <w:rsid w:val="24477522"/>
    <w:rsid w:val="245E07C6"/>
    <w:rsid w:val="25194D16"/>
    <w:rsid w:val="252E1F46"/>
    <w:rsid w:val="25601F10"/>
    <w:rsid w:val="25B70759"/>
    <w:rsid w:val="25D12A4A"/>
    <w:rsid w:val="267D1E25"/>
    <w:rsid w:val="26B02E2F"/>
    <w:rsid w:val="26DC33C9"/>
    <w:rsid w:val="27840C09"/>
    <w:rsid w:val="27A0273B"/>
    <w:rsid w:val="280C5E8F"/>
    <w:rsid w:val="28324543"/>
    <w:rsid w:val="2871688D"/>
    <w:rsid w:val="288D6951"/>
    <w:rsid w:val="28C30F4C"/>
    <w:rsid w:val="2AE145DC"/>
    <w:rsid w:val="2B0A2A9E"/>
    <w:rsid w:val="2B336483"/>
    <w:rsid w:val="2BA465CB"/>
    <w:rsid w:val="2C412D2F"/>
    <w:rsid w:val="2CC141F4"/>
    <w:rsid w:val="2D0F4D53"/>
    <w:rsid w:val="2D9B70D9"/>
    <w:rsid w:val="2DC55411"/>
    <w:rsid w:val="2DD074B6"/>
    <w:rsid w:val="2E576723"/>
    <w:rsid w:val="2E7F6628"/>
    <w:rsid w:val="2F1578A4"/>
    <w:rsid w:val="2F423D79"/>
    <w:rsid w:val="306C11DC"/>
    <w:rsid w:val="30BE7780"/>
    <w:rsid w:val="30F42909"/>
    <w:rsid w:val="316D3DD0"/>
    <w:rsid w:val="31D07EFB"/>
    <w:rsid w:val="32543208"/>
    <w:rsid w:val="3316226B"/>
    <w:rsid w:val="33466E7C"/>
    <w:rsid w:val="334D6822"/>
    <w:rsid w:val="3356484E"/>
    <w:rsid w:val="339734DC"/>
    <w:rsid w:val="33BA02F8"/>
    <w:rsid w:val="34014CC9"/>
    <w:rsid w:val="341C35FC"/>
    <w:rsid w:val="34224C16"/>
    <w:rsid w:val="345921C0"/>
    <w:rsid w:val="346B473F"/>
    <w:rsid w:val="34925A06"/>
    <w:rsid w:val="35436FDA"/>
    <w:rsid w:val="35492DCC"/>
    <w:rsid w:val="35A65119"/>
    <w:rsid w:val="37094E89"/>
    <w:rsid w:val="37370181"/>
    <w:rsid w:val="384E0D78"/>
    <w:rsid w:val="38E247B5"/>
    <w:rsid w:val="39225081"/>
    <w:rsid w:val="3937047D"/>
    <w:rsid w:val="394D4F9F"/>
    <w:rsid w:val="398B4548"/>
    <w:rsid w:val="39FE23AD"/>
    <w:rsid w:val="3A203933"/>
    <w:rsid w:val="3AA0348E"/>
    <w:rsid w:val="3AC85F3C"/>
    <w:rsid w:val="3AE320A1"/>
    <w:rsid w:val="3BE13F53"/>
    <w:rsid w:val="3CA00DB9"/>
    <w:rsid w:val="3CA65DAF"/>
    <w:rsid w:val="3CC41BA5"/>
    <w:rsid w:val="3D203F0D"/>
    <w:rsid w:val="3D3848DA"/>
    <w:rsid w:val="3DDB5B22"/>
    <w:rsid w:val="3E536DB9"/>
    <w:rsid w:val="3E567991"/>
    <w:rsid w:val="3E627606"/>
    <w:rsid w:val="3EA9081B"/>
    <w:rsid w:val="3F263565"/>
    <w:rsid w:val="3F2F6B8F"/>
    <w:rsid w:val="3F882220"/>
    <w:rsid w:val="3FB8452F"/>
    <w:rsid w:val="3FF214A4"/>
    <w:rsid w:val="40556AC9"/>
    <w:rsid w:val="4072763D"/>
    <w:rsid w:val="40770C08"/>
    <w:rsid w:val="40822146"/>
    <w:rsid w:val="40BA5BEE"/>
    <w:rsid w:val="40EE4896"/>
    <w:rsid w:val="411F5F46"/>
    <w:rsid w:val="42391EFA"/>
    <w:rsid w:val="4256117C"/>
    <w:rsid w:val="42CB3072"/>
    <w:rsid w:val="42E4624A"/>
    <w:rsid w:val="42EB4C45"/>
    <w:rsid w:val="439A1BE4"/>
    <w:rsid w:val="44581805"/>
    <w:rsid w:val="448909A5"/>
    <w:rsid w:val="44F13427"/>
    <w:rsid w:val="454E4597"/>
    <w:rsid w:val="456A30E6"/>
    <w:rsid w:val="45FB77CB"/>
    <w:rsid w:val="45FF79D3"/>
    <w:rsid w:val="4771226D"/>
    <w:rsid w:val="482F2E61"/>
    <w:rsid w:val="486D0598"/>
    <w:rsid w:val="48A05C72"/>
    <w:rsid w:val="49647D7D"/>
    <w:rsid w:val="49837305"/>
    <w:rsid w:val="49845D29"/>
    <w:rsid w:val="499A554C"/>
    <w:rsid w:val="4A3A7615"/>
    <w:rsid w:val="4A461243"/>
    <w:rsid w:val="4A7A33BE"/>
    <w:rsid w:val="4AEE4549"/>
    <w:rsid w:val="4AF56A77"/>
    <w:rsid w:val="4B0F0AE8"/>
    <w:rsid w:val="4B2C281E"/>
    <w:rsid w:val="4B4664CE"/>
    <w:rsid w:val="4B750B31"/>
    <w:rsid w:val="4B941071"/>
    <w:rsid w:val="4BB81D43"/>
    <w:rsid w:val="4BE923F4"/>
    <w:rsid w:val="4C8D3C77"/>
    <w:rsid w:val="4CB448AC"/>
    <w:rsid w:val="4D0E24D9"/>
    <w:rsid w:val="4DA01C46"/>
    <w:rsid w:val="4DDC0D66"/>
    <w:rsid w:val="4DE936B0"/>
    <w:rsid w:val="4E4C437E"/>
    <w:rsid w:val="4E5902CC"/>
    <w:rsid w:val="4E8D44A0"/>
    <w:rsid w:val="4ECF7116"/>
    <w:rsid w:val="4F5C7625"/>
    <w:rsid w:val="4FA2342A"/>
    <w:rsid w:val="4FB54E8E"/>
    <w:rsid w:val="4FE1488B"/>
    <w:rsid w:val="50B61691"/>
    <w:rsid w:val="50D7665D"/>
    <w:rsid w:val="514666EF"/>
    <w:rsid w:val="51516E38"/>
    <w:rsid w:val="51863927"/>
    <w:rsid w:val="518C785D"/>
    <w:rsid w:val="51E91A75"/>
    <w:rsid w:val="51EB634B"/>
    <w:rsid w:val="525D6AA1"/>
    <w:rsid w:val="52B458D1"/>
    <w:rsid w:val="544B268E"/>
    <w:rsid w:val="54B501BD"/>
    <w:rsid w:val="54C67B3F"/>
    <w:rsid w:val="54E168DA"/>
    <w:rsid w:val="563E08D0"/>
    <w:rsid w:val="569265A2"/>
    <w:rsid w:val="56D83DF0"/>
    <w:rsid w:val="56E213FE"/>
    <w:rsid w:val="576926E6"/>
    <w:rsid w:val="577D06DB"/>
    <w:rsid w:val="596A1695"/>
    <w:rsid w:val="59CA5535"/>
    <w:rsid w:val="59F04BB4"/>
    <w:rsid w:val="5A5D23AA"/>
    <w:rsid w:val="5A715810"/>
    <w:rsid w:val="5A813E1E"/>
    <w:rsid w:val="5AE61C71"/>
    <w:rsid w:val="5B277634"/>
    <w:rsid w:val="5B432AC3"/>
    <w:rsid w:val="5B9F7CF6"/>
    <w:rsid w:val="5BEE53D5"/>
    <w:rsid w:val="5D0E3E30"/>
    <w:rsid w:val="5D1155AB"/>
    <w:rsid w:val="5D2A561A"/>
    <w:rsid w:val="5DC56BE4"/>
    <w:rsid w:val="5DC704DE"/>
    <w:rsid w:val="5DD278D2"/>
    <w:rsid w:val="5E001A03"/>
    <w:rsid w:val="5E2809E6"/>
    <w:rsid w:val="5EA54320"/>
    <w:rsid w:val="5EB860F8"/>
    <w:rsid w:val="5EC150E1"/>
    <w:rsid w:val="5F1A0E8A"/>
    <w:rsid w:val="5FEF678C"/>
    <w:rsid w:val="5FFB722C"/>
    <w:rsid w:val="60645F60"/>
    <w:rsid w:val="606B23C2"/>
    <w:rsid w:val="60922355"/>
    <w:rsid w:val="6158321F"/>
    <w:rsid w:val="616C52DB"/>
    <w:rsid w:val="61885009"/>
    <w:rsid w:val="620C7712"/>
    <w:rsid w:val="629A088E"/>
    <w:rsid w:val="62C21944"/>
    <w:rsid w:val="62D0468A"/>
    <w:rsid w:val="63293771"/>
    <w:rsid w:val="634F2A79"/>
    <w:rsid w:val="637B5C20"/>
    <w:rsid w:val="639932C3"/>
    <w:rsid w:val="64547214"/>
    <w:rsid w:val="64582EC3"/>
    <w:rsid w:val="646C35BE"/>
    <w:rsid w:val="64947310"/>
    <w:rsid w:val="64E5263D"/>
    <w:rsid w:val="657539D5"/>
    <w:rsid w:val="65BA2DA7"/>
    <w:rsid w:val="66611474"/>
    <w:rsid w:val="669A0526"/>
    <w:rsid w:val="669B3F62"/>
    <w:rsid w:val="66C17C3B"/>
    <w:rsid w:val="6702212A"/>
    <w:rsid w:val="67086B6F"/>
    <w:rsid w:val="67623DCA"/>
    <w:rsid w:val="67D31EFE"/>
    <w:rsid w:val="68010DF7"/>
    <w:rsid w:val="683C2786"/>
    <w:rsid w:val="68757459"/>
    <w:rsid w:val="689100EA"/>
    <w:rsid w:val="6895438F"/>
    <w:rsid w:val="68F27821"/>
    <w:rsid w:val="691D5825"/>
    <w:rsid w:val="696D234A"/>
    <w:rsid w:val="69AF24F6"/>
    <w:rsid w:val="69D74B57"/>
    <w:rsid w:val="69FF4345"/>
    <w:rsid w:val="6A8B35E2"/>
    <w:rsid w:val="6AB742D9"/>
    <w:rsid w:val="6B395CD4"/>
    <w:rsid w:val="6B8A2132"/>
    <w:rsid w:val="6B947424"/>
    <w:rsid w:val="6BA75B7B"/>
    <w:rsid w:val="6BEA3616"/>
    <w:rsid w:val="6C1029BA"/>
    <w:rsid w:val="6C3304CF"/>
    <w:rsid w:val="6C3D27CC"/>
    <w:rsid w:val="6C97799E"/>
    <w:rsid w:val="6CC91B21"/>
    <w:rsid w:val="6D8B50A2"/>
    <w:rsid w:val="6DE06311"/>
    <w:rsid w:val="6EAC2FA1"/>
    <w:rsid w:val="6F0642E6"/>
    <w:rsid w:val="6F227524"/>
    <w:rsid w:val="6F283233"/>
    <w:rsid w:val="6F4F4AD5"/>
    <w:rsid w:val="6F8B3D7C"/>
    <w:rsid w:val="6FD809F9"/>
    <w:rsid w:val="70893AA1"/>
    <w:rsid w:val="70ED1EAC"/>
    <w:rsid w:val="70F97850"/>
    <w:rsid w:val="712B6C2E"/>
    <w:rsid w:val="71401BDB"/>
    <w:rsid w:val="71770865"/>
    <w:rsid w:val="71B056C9"/>
    <w:rsid w:val="71D75792"/>
    <w:rsid w:val="72030793"/>
    <w:rsid w:val="720A351C"/>
    <w:rsid w:val="725453F3"/>
    <w:rsid w:val="72811299"/>
    <w:rsid w:val="728C4044"/>
    <w:rsid w:val="733F2580"/>
    <w:rsid w:val="736A735B"/>
    <w:rsid w:val="739E5AB6"/>
    <w:rsid w:val="73BC337E"/>
    <w:rsid w:val="74073538"/>
    <w:rsid w:val="741953E8"/>
    <w:rsid w:val="74241866"/>
    <w:rsid w:val="743D5354"/>
    <w:rsid w:val="744E5101"/>
    <w:rsid w:val="745C0078"/>
    <w:rsid w:val="749E2F49"/>
    <w:rsid w:val="74A13B37"/>
    <w:rsid w:val="74C804E3"/>
    <w:rsid w:val="74D84E7B"/>
    <w:rsid w:val="750D4820"/>
    <w:rsid w:val="75161A3A"/>
    <w:rsid w:val="753137DC"/>
    <w:rsid w:val="75750CC4"/>
    <w:rsid w:val="75D206DA"/>
    <w:rsid w:val="75D532E5"/>
    <w:rsid w:val="75EF7260"/>
    <w:rsid w:val="762F2C12"/>
    <w:rsid w:val="76D2427B"/>
    <w:rsid w:val="773E3A17"/>
    <w:rsid w:val="77C01C41"/>
    <w:rsid w:val="783B5319"/>
    <w:rsid w:val="787B6688"/>
    <w:rsid w:val="78A6387A"/>
    <w:rsid w:val="78CD701B"/>
    <w:rsid w:val="78D72E84"/>
    <w:rsid w:val="78EC1071"/>
    <w:rsid w:val="78F9378E"/>
    <w:rsid w:val="79644194"/>
    <w:rsid w:val="79B12DF8"/>
    <w:rsid w:val="7A815907"/>
    <w:rsid w:val="7B4A207F"/>
    <w:rsid w:val="7B666390"/>
    <w:rsid w:val="7BAE72B6"/>
    <w:rsid w:val="7BE40725"/>
    <w:rsid w:val="7BEA108E"/>
    <w:rsid w:val="7C5D15DB"/>
    <w:rsid w:val="7CC37BC7"/>
    <w:rsid w:val="7D0A3D17"/>
    <w:rsid w:val="7D346033"/>
    <w:rsid w:val="7D823F98"/>
    <w:rsid w:val="7D9104D4"/>
    <w:rsid w:val="7D9F3ECF"/>
    <w:rsid w:val="7DDA593C"/>
    <w:rsid w:val="7E3A49DE"/>
    <w:rsid w:val="7E7C25E5"/>
    <w:rsid w:val="7ED06D3F"/>
    <w:rsid w:val="7F052582"/>
    <w:rsid w:val="7F721B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3">
    <w:name w:val="List Number"/>
    <w:basedOn w:val="1"/>
    <w:next w:val="4"/>
    <w:qFormat/>
    <w:uiPriority w:val="0"/>
    <w:pPr>
      <w:numPr>
        <w:ilvl w:val="0"/>
        <w:numId w:val="1"/>
      </w:numPr>
    </w:pPr>
  </w:style>
  <w:style w:type="paragraph" w:styleId="4">
    <w:name w:val="Balloon Text"/>
    <w:basedOn w:val="1"/>
    <w:link w:val="23"/>
    <w:qFormat/>
    <w:uiPriority w:val="0"/>
    <w:rPr>
      <w:sz w:val="18"/>
      <w:szCs w:val="18"/>
    </w:r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Document Map"/>
    <w:basedOn w:val="1"/>
    <w:link w:val="24"/>
    <w:qFormat/>
    <w:uiPriority w:val="0"/>
    <w:rPr>
      <w:rFonts w:ascii="宋体"/>
      <w:sz w:val="18"/>
      <w:szCs w:val="18"/>
    </w:rPr>
  </w:style>
  <w:style w:type="paragraph" w:styleId="7">
    <w:name w:val="Body Text"/>
    <w:basedOn w:val="1"/>
    <w:next w:val="8"/>
    <w:qFormat/>
    <w:uiPriority w:val="0"/>
    <w:pPr>
      <w:autoSpaceDE w:val="0"/>
      <w:autoSpaceDN w:val="0"/>
      <w:spacing w:line="360" w:lineRule="auto"/>
    </w:pPr>
    <w:rPr>
      <w:rFonts w:ascii="宋体" w:hAnsi="Arial" w:cs="Arial"/>
      <w:snapToGrid w:val="0"/>
      <w:sz w:val="24"/>
      <w:szCs w:val="21"/>
      <w:lang w:val="zh-CN"/>
    </w:rPr>
  </w:style>
  <w:style w:type="paragraph" w:styleId="8">
    <w:name w:val="Body Text First Indent"/>
    <w:basedOn w:val="7"/>
    <w:unhideWhenUsed/>
    <w:qFormat/>
    <w:uiPriority w:val="99"/>
    <w:pPr>
      <w:spacing w:after="120"/>
      <w:ind w:firstLine="420" w:firstLineChars="100"/>
    </w:pPr>
    <w:rPr>
      <w:rFonts w:ascii="Times New Roman" w:hAnsi="Times New Roman"/>
      <w:kern w:val="2"/>
      <w:sz w:val="21"/>
    </w:rPr>
  </w:style>
  <w:style w:type="paragraph" w:styleId="9">
    <w:name w:val="Body Text Indent"/>
    <w:basedOn w:val="1"/>
    <w:next w:val="3"/>
    <w:qFormat/>
    <w:uiPriority w:val="0"/>
    <w:pPr>
      <w:spacing w:line="480" w:lineRule="exact"/>
      <w:ind w:firstLine="480" w:firstLineChars="200"/>
    </w:pPr>
    <w:rPr>
      <w:rFonts w:ascii="宋体" w:hAnsi="宋体"/>
      <w:sz w:val="24"/>
    </w:rPr>
  </w:style>
  <w:style w:type="paragraph" w:styleId="10">
    <w:name w:val="Plain Text"/>
    <w:basedOn w:val="1"/>
    <w:link w:val="25"/>
    <w:qFormat/>
    <w:uiPriority w:val="0"/>
    <w:rPr>
      <w:rFonts w:ascii="宋体" w:hAnsi="Courier New"/>
      <w:snapToGrid w:val="0"/>
      <w:szCs w:val="21"/>
    </w:rPr>
  </w:style>
  <w:style w:type="paragraph" w:styleId="11">
    <w:name w:val="toc 8"/>
    <w:basedOn w:val="1"/>
    <w:next w:val="1"/>
    <w:semiHidden/>
    <w:qFormat/>
    <w:uiPriority w:val="0"/>
    <w:pPr>
      <w:spacing w:afterLines="50"/>
      <w:ind w:left="1470"/>
      <w:jc w:val="left"/>
    </w:pPr>
    <w:rPr>
      <w:snapToGrid w:val="0"/>
      <w:kern w:val="0"/>
      <w:sz w:val="18"/>
      <w:szCs w:val="18"/>
    </w:rPr>
  </w:style>
  <w:style w:type="paragraph" w:styleId="12">
    <w:name w:val="Date"/>
    <w:basedOn w:val="1"/>
    <w:next w:val="1"/>
    <w:qFormat/>
    <w:uiPriority w:val="0"/>
    <w:pPr>
      <w:ind w:left="100" w:leftChars="2500"/>
    </w:pPr>
    <w:rPr>
      <w:rFonts w:ascii="宋体"/>
      <w:sz w:val="24"/>
      <w:szCs w:val="21"/>
      <w:lang w:val="zh-CN"/>
    </w:rPr>
  </w:style>
  <w:style w:type="paragraph" w:styleId="13">
    <w:name w:val="footer"/>
    <w:basedOn w:val="1"/>
    <w:link w:val="26"/>
    <w:qFormat/>
    <w:uiPriority w:val="99"/>
    <w:pPr>
      <w:tabs>
        <w:tab w:val="center" w:pos="4153"/>
        <w:tab w:val="right" w:pos="8306"/>
      </w:tabs>
      <w:snapToGrid w:val="0"/>
      <w:jc w:val="left"/>
    </w:pPr>
    <w:rPr>
      <w:sz w:val="18"/>
      <w:szCs w:val="18"/>
    </w:rPr>
  </w:style>
  <w:style w:type="paragraph" w:styleId="14">
    <w:name w:val="header"/>
    <w:basedOn w:val="1"/>
    <w:link w:val="27"/>
    <w:qFormat/>
    <w:uiPriority w:val="0"/>
    <w:pPr>
      <w:pBdr>
        <w:bottom w:val="single" w:color="auto" w:sz="6" w:space="1"/>
      </w:pBdr>
      <w:tabs>
        <w:tab w:val="center" w:pos="4153"/>
        <w:tab w:val="right" w:pos="8306"/>
      </w:tabs>
      <w:snapToGrid w:val="0"/>
      <w:ind w:right="360"/>
    </w:pPr>
    <w:rPr>
      <w:rFonts w:ascii="仿宋_GB2312" w:eastAsia="仿宋_GB2312"/>
      <w:b/>
      <w:i/>
      <w:sz w:val="18"/>
      <w:szCs w:val="18"/>
      <w:u w:val="single"/>
    </w:rPr>
  </w:style>
  <w:style w:type="paragraph" w:styleId="15">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6">
    <w:name w:val="Body Text First Indent 2"/>
    <w:basedOn w:val="9"/>
    <w:qFormat/>
    <w:uiPriority w:val="0"/>
    <w:pPr>
      <w:ind w:firstLine="420" w:firstLineChars="200"/>
    </w:pPr>
    <w:rPr>
      <w:rFonts w:ascii="Times New Roman" w:hAnsi="Times New Roman" w:cs="Times New Roman"/>
      <w:lang w:val="zh-C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bCs/>
    </w:rPr>
  </w:style>
  <w:style w:type="character" w:styleId="21">
    <w:name w:val="page number"/>
    <w:qFormat/>
    <w:uiPriority w:val="0"/>
    <w:rPr>
      <w:rFonts w:ascii="Arial" w:hAnsi="Arial" w:eastAsia="黑体" w:cs="Arial"/>
      <w:snapToGrid w:val="0"/>
      <w:kern w:val="0"/>
      <w:szCs w:val="21"/>
    </w:rPr>
  </w:style>
  <w:style w:type="character" w:styleId="22">
    <w:name w:val="Hyperlink"/>
    <w:qFormat/>
    <w:uiPriority w:val="99"/>
    <w:rPr>
      <w:rFonts w:ascii="Arial" w:hAnsi="Arial" w:eastAsia="黑体" w:cs="Arial"/>
      <w:snapToGrid w:val="0"/>
      <w:color w:val="000000"/>
      <w:kern w:val="0"/>
      <w:sz w:val="18"/>
      <w:szCs w:val="18"/>
      <w:u w:val="none"/>
    </w:rPr>
  </w:style>
  <w:style w:type="character" w:customStyle="1" w:styleId="23">
    <w:name w:val="批注框文本 Char"/>
    <w:link w:val="4"/>
    <w:qFormat/>
    <w:uiPriority w:val="0"/>
    <w:rPr>
      <w:kern w:val="2"/>
      <w:sz w:val="18"/>
      <w:szCs w:val="18"/>
    </w:rPr>
  </w:style>
  <w:style w:type="character" w:customStyle="1" w:styleId="24">
    <w:name w:val="文档结构图 Char"/>
    <w:link w:val="6"/>
    <w:qFormat/>
    <w:uiPriority w:val="0"/>
    <w:rPr>
      <w:rFonts w:ascii="宋体"/>
      <w:kern w:val="2"/>
      <w:sz w:val="18"/>
      <w:szCs w:val="18"/>
    </w:rPr>
  </w:style>
  <w:style w:type="character" w:customStyle="1" w:styleId="25">
    <w:name w:val="纯文本 Char"/>
    <w:link w:val="10"/>
    <w:qFormat/>
    <w:uiPriority w:val="0"/>
    <w:rPr>
      <w:rFonts w:ascii="宋体" w:hAnsi="Courier New" w:cs="Arial"/>
      <w:snapToGrid w:val="0"/>
      <w:kern w:val="2"/>
      <w:sz w:val="21"/>
      <w:szCs w:val="21"/>
    </w:rPr>
  </w:style>
  <w:style w:type="character" w:customStyle="1" w:styleId="26">
    <w:name w:val="页脚 Char"/>
    <w:link w:val="13"/>
    <w:qFormat/>
    <w:uiPriority w:val="99"/>
    <w:rPr>
      <w:kern w:val="2"/>
      <w:sz w:val="18"/>
      <w:szCs w:val="18"/>
    </w:rPr>
  </w:style>
  <w:style w:type="character" w:customStyle="1" w:styleId="27">
    <w:name w:val="页眉 Char"/>
    <w:link w:val="14"/>
    <w:qFormat/>
    <w:uiPriority w:val="0"/>
    <w:rPr>
      <w:rFonts w:ascii="仿宋_GB2312" w:eastAsia="仿宋_GB2312"/>
      <w:b/>
      <w:i/>
      <w:kern w:val="2"/>
      <w:sz w:val="18"/>
      <w:szCs w:val="18"/>
      <w:u w:val="single"/>
    </w:rPr>
  </w:style>
  <w:style w:type="paragraph" w:customStyle="1" w:styleId="28">
    <w:name w:val="_Style 3"/>
    <w:basedOn w:val="1"/>
    <w:qFormat/>
    <w:uiPriority w:val="0"/>
    <w:pPr>
      <w:adjustRightInd/>
      <w:ind w:firstLine="420" w:firstLineChars="200"/>
    </w:pPr>
    <w:rPr>
      <w:rFonts w:eastAsia="仿宋_GB2312"/>
      <w:sz w:val="28"/>
    </w:rPr>
  </w:style>
  <w:style w:type="paragraph" w:customStyle="1" w:styleId="29">
    <w:name w:val="索引 11"/>
    <w:basedOn w:val="1"/>
    <w:next w:val="1"/>
    <w:qFormat/>
    <w:uiPriority w:val="99"/>
    <w:pPr>
      <w:adjustRightInd/>
      <w:spacing w:line="360" w:lineRule="auto"/>
    </w:pPr>
    <w:rPr>
      <w:rFonts w:ascii="仿宋_GB2312" w:eastAsia="仿宋_GB2312"/>
      <w:sz w:val="24"/>
      <w:szCs w:val="20"/>
    </w:rPr>
  </w:style>
  <w:style w:type="paragraph" w:customStyle="1" w:styleId="3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3">
    <w:name w:val="纯文本1"/>
    <w:basedOn w:val="1"/>
    <w:qFormat/>
    <w:uiPriority w:val="0"/>
    <w:pPr>
      <w:adjustRightInd/>
    </w:pPr>
    <w:rPr>
      <w:rFonts w:ascii="宋体" w:hAnsi="Courier New"/>
      <w:kern w:val="0"/>
      <w:sz w:val="20"/>
      <w:szCs w:val="20"/>
    </w:rPr>
  </w:style>
  <w:style w:type="paragraph" w:customStyle="1" w:styleId="3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纯文本_0_0"/>
    <w:basedOn w:val="34"/>
    <w:qFormat/>
    <w:uiPriority w:val="0"/>
    <w:rPr>
      <w:rFonts w:ascii="宋体" w:hAnsi="Courier New"/>
      <w:szCs w:val="21"/>
    </w:rPr>
  </w:style>
  <w:style w:type="paragraph" w:customStyle="1" w:styleId="36">
    <w:name w:val="正文2"/>
    <w:basedOn w:val="1"/>
    <w:qFormat/>
    <w:uiPriority w:val="0"/>
    <w:pPr>
      <w:spacing w:before="156" w:line="360" w:lineRule="auto"/>
      <w:ind w:firstLine="510" w:firstLineChars="200"/>
    </w:pPr>
    <w:rPr>
      <w:sz w:val="24"/>
      <w:szCs w:val="20"/>
    </w:rPr>
  </w:style>
  <w:style w:type="paragraph" w:customStyle="1" w:styleId="37">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
    <w:name w:val="正文段"/>
    <w:basedOn w:val="1"/>
    <w:qFormat/>
    <w:uiPriority w:val="0"/>
    <w:pPr>
      <w:widowControl/>
      <w:numPr>
        <w:ilvl w:val="0"/>
        <w:numId w:val="2"/>
      </w:numPr>
      <w:tabs>
        <w:tab w:val="left" w:pos="1200"/>
      </w:tabs>
      <w:snapToGrid w:val="0"/>
      <w:spacing w:afterLines="50"/>
    </w:pPr>
    <w:rPr>
      <w:rFonts w:ascii="Times New Roman" w:hAnsi="Times New Roman"/>
      <w:kern w:val="0"/>
      <w:sz w:val="24"/>
      <w:szCs w:val="20"/>
    </w:rPr>
  </w:style>
  <w:style w:type="paragraph" w:customStyle="1" w:styleId="39">
    <w:name w:val="首行缩进"/>
    <w:basedOn w:val="9"/>
    <w:qFormat/>
    <w:uiPriority w:val="0"/>
    <w:pPr>
      <w:spacing w:line="400" w:lineRule="exact"/>
      <w:ind w:firstLine="200"/>
    </w:pPr>
    <w:rPr>
      <w:rFonts w:ascii="宋体" w:hAnsi="宋体"/>
      <w:sz w:val="21"/>
      <w:szCs w:val="21"/>
    </w:rPr>
  </w:style>
  <w:style w:type="paragraph" w:customStyle="1" w:styleId="40">
    <w:name w:val="p0"/>
    <w:basedOn w:val="1"/>
    <w:qFormat/>
    <w:uiPriority w:val="0"/>
    <w:pPr>
      <w:widowControl/>
    </w:pPr>
    <w:rPr>
      <w:rFonts w:ascii="Calibri" w:hAnsi="Calibri" w:eastAsia="宋体" w:cs="Times New Roman"/>
      <w:kern w:val="0"/>
      <w:szCs w:val="21"/>
    </w:rPr>
  </w:style>
  <w:style w:type="paragraph" w:customStyle="1" w:styleId="41">
    <w:name w:val="样式3"/>
    <w:basedOn w:val="10"/>
    <w:next w:val="1"/>
    <w:qFormat/>
    <w:uiPriority w:val="99"/>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65</Pages>
  <Words>2950</Words>
  <Characters>3299</Characters>
  <Lines>295</Lines>
  <Paragraphs>83</Paragraphs>
  <TotalTime>38</TotalTime>
  <ScaleCrop>false</ScaleCrop>
  <LinksUpToDate>false</LinksUpToDate>
  <CharactersWithSpaces>3346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冰比冰水冰_周雨²º¹⁸</cp:lastModifiedBy>
  <cp:lastPrinted>2022-08-31T07:54:00Z</cp:lastPrinted>
  <dcterms:modified xsi:type="dcterms:W3CDTF">2025-06-17T06:36:35Z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877F39560F69402490B82AF3BAB3D01E_13</vt:lpwstr>
  </property>
  <property fmtid="{D5CDD505-2E9C-101B-9397-08002B2CF9AE}" pid="4" name="KSOTemplateDocerSaveRecord">
    <vt:lpwstr>eyJoZGlkIjoiOGRlNDZmZTNkNjA0M2NkZjA5ZTQ2MjQ1OTJkMzkyNDgiLCJ1c2VySWQiOiIzNjY5MjM4MzUifQ==</vt:lpwstr>
  </property>
</Properties>
</file>