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2140"/>
          <w:tab w:val="center" w:pos="4753"/>
        </w:tabs>
        <w:kinsoku/>
        <w:overflowPunct/>
        <w:bidi w:val="0"/>
        <w:spacing w:beforeLines="10" w:line="360" w:lineRule="auto"/>
        <w:jc w:val="center"/>
        <w:rPr>
          <w:rFonts w:hint="eastAsia" w:ascii="宋体" w:hAnsi="宋体" w:eastAsia="宋体" w:cs="宋体"/>
          <w:color w:val="auto"/>
          <w:sz w:val="44"/>
          <w:highlight w:val="none"/>
        </w:rPr>
      </w:pPr>
    </w:p>
    <w:p>
      <w:pPr>
        <w:pStyle w:val="99"/>
        <w:jc w:val="center"/>
        <w:rPr>
          <w:rFonts w:hint="eastAsia" w:ascii="宋体" w:hAnsi="宋体" w:eastAsia="宋体" w:cs="宋体"/>
          <w:b/>
          <w:color w:val="auto"/>
          <w:kern w:val="2"/>
          <w:sz w:val="48"/>
          <w:szCs w:val="48"/>
          <w:highlight w:val="none"/>
          <w:lang w:val="en-US" w:eastAsia="zh-CN" w:bidi="ar-SA"/>
        </w:rPr>
      </w:pPr>
      <w:r>
        <w:rPr>
          <w:rFonts w:hint="eastAsia" w:hAnsi="宋体" w:cs="宋体"/>
          <w:b/>
          <w:color w:val="auto"/>
          <w:kern w:val="2"/>
          <w:sz w:val="48"/>
          <w:szCs w:val="48"/>
          <w:highlight w:val="none"/>
          <w:lang w:val="en-US" w:eastAsia="zh-CN" w:bidi="ar-SA"/>
        </w:rPr>
        <w:t>衢州市柯城区百家坊小学（筹）科学教室、录播教室等设施设备采购项目</w:t>
      </w:r>
    </w:p>
    <w:p>
      <w:pPr>
        <w:pStyle w:val="19"/>
        <w:rPr>
          <w:rFonts w:hint="eastAsia" w:ascii="宋体" w:hAnsi="宋体" w:eastAsia="宋体" w:cs="宋体"/>
          <w:color w:val="auto"/>
          <w:sz w:val="48"/>
          <w:szCs w:val="48"/>
          <w:highlight w:val="none"/>
        </w:rPr>
      </w:pPr>
    </w:p>
    <w:p>
      <w:pPr>
        <w:pStyle w:val="18"/>
        <w:rPr>
          <w:rFonts w:hint="eastAsia" w:ascii="宋体" w:hAnsi="宋体" w:eastAsia="宋体" w:cs="宋体"/>
        </w:rPr>
      </w:pPr>
    </w:p>
    <w:p>
      <w:pPr>
        <w:tabs>
          <w:tab w:val="left" w:pos="4500"/>
        </w:tabs>
        <w:kinsoku/>
        <w:overflowPunct/>
        <w:autoSpaceDE w:val="0"/>
        <w:autoSpaceDN w:val="0"/>
        <w:bidi w:val="0"/>
        <w:adjustRightInd w:val="0"/>
        <w:snapToGrid w:val="0"/>
        <w:spacing w:line="360" w:lineRule="auto"/>
        <w:jc w:val="center"/>
        <w:textAlignment w:val="bottom"/>
        <w:rPr>
          <w:rFonts w:hint="eastAsia" w:ascii="宋体" w:hAnsi="宋体" w:eastAsia="宋体" w:cs="宋体"/>
          <w:color w:val="auto"/>
          <w:sz w:val="48"/>
          <w:szCs w:val="48"/>
          <w:highlight w:val="none"/>
        </w:rPr>
      </w:pPr>
      <w:r>
        <w:rPr>
          <w:rFonts w:hint="eastAsia" w:ascii="宋体" w:hAnsi="宋体" w:eastAsia="宋体" w:cs="宋体"/>
          <w:b/>
          <w:color w:val="auto"/>
          <w:sz w:val="48"/>
          <w:szCs w:val="48"/>
          <w:highlight w:val="none"/>
        </w:rPr>
        <w:t>公开招标采购文件</w:t>
      </w:r>
    </w:p>
    <w:p>
      <w:pPr>
        <w:pStyle w:val="59"/>
        <w:kinsoku/>
        <w:overflowPunct/>
        <w:bidi w:val="0"/>
        <w:spacing w:after="0" w:line="360" w:lineRule="auto"/>
        <w:rPr>
          <w:rFonts w:hint="eastAsia" w:ascii="宋体" w:hAnsi="宋体" w:eastAsia="宋体" w:cs="宋体"/>
          <w:color w:val="auto"/>
          <w:highlight w:val="none"/>
        </w:rPr>
      </w:pPr>
    </w:p>
    <w:p>
      <w:pPr>
        <w:pStyle w:val="59"/>
        <w:kinsoku/>
        <w:overflowPunct/>
        <w:bidi w:val="0"/>
        <w:spacing w:after="0" w:line="360" w:lineRule="auto"/>
        <w:rPr>
          <w:rFonts w:hint="eastAsia" w:ascii="宋体" w:hAnsi="宋体" w:eastAsia="宋体" w:cs="宋体"/>
          <w:color w:val="auto"/>
          <w:highlight w:val="none"/>
        </w:rPr>
      </w:pPr>
    </w:p>
    <w:p>
      <w:pPr>
        <w:kinsoku/>
        <w:overflowPunct/>
        <w:bidi w:val="0"/>
        <w:spacing w:beforeLines="10" w:line="360" w:lineRule="auto"/>
        <w:ind w:firstLine="361" w:firstLineChars="100"/>
        <w:jc w:val="left"/>
        <w:rPr>
          <w:rFonts w:hint="eastAsia" w:ascii="宋体" w:hAnsi="宋体" w:eastAsia="宋体" w:cs="宋体"/>
          <w:b/>
          <w:color w:val="auto"/>
          <w:sz w:val="36"/>
          <w:highlight w:val="none"/>
        </w:rPr>
      </w:pPr>
    </w:p>
    <w:p>
      <w:pPr>
        <w:kinsoku/>
        <w:overflowPunct/>
        <w:bidi w:val="0"/>
        <w:spacing w:beforeLines="10" w:line="360" w:lineRule="auto"/>
        <w:ind w:firstLine="361" w:firstLineChars="100"/>
        <w:jc w:val="left"/>
        <w:rPr>
          <w:rFonts w:hint="default" w:ascii="宋体" w:hAnsi="宋体" w:eastAsia="宋体" w:cs="宋体"/>
          <w:b/>
          <w:color w:val="auto"/>
          <w:sz w:val="36"/>
          <w:highlight w:val="none"/>
          <w:lang w:val="en-US" w:eastAsia="zh-CN"/>
        </w:rPr>
      </w:pPr>
      <w:r>
        <w:rPr>
          <w:rFonts w:hint="eastAsia" w:ascii="宋体" w:hAnsi="宋体" w:eastAsia="宋体" w:cs="宋体"/>
          <w:b/>
          <w:color w:val="auto"/>
          <w:sz w:val="36"/>
          <w:highlight w:val="none"/>
        </w:rPr>
        <w:t>项目编号：</w:t>
      </w:r>
      <w:r>
        <w:rPr>
          <w:rFonts w:hint="eastAsia" w:ascii="宋体" w:hAnsi="宋体" w:cs="宋体"/>
          <w:b/>
          <w:color w:val="auto"/>
          <w:sz w:val="36"/>
          <w:highlight w:val="none"/>
          <w:lang w:val="en-US" w:eastAsia="zh-CN"/>
        </w:rPr>
        <w:t xml:space="preserve">DC1425043 </w:t>
      </w:r>
    </w:p>
    <w:p>
      <w:pPr>
        <w:kinsoku/>
        <w:overflowPunct/>
        <w:bidi w:val="0"/>
        <w:spacing w:beforeLines="10" w:line="360" w:lineRule="auto"/>
        <w:ind w:left="2165" w:leftChars="128" w:hanging="1807" w:hangingChars="500"/>
        <w:jc w:val="left"/>
        <w:rPr>
          <w:rFonts w:hint="eastAsia" w:ascii="宋体" w:hAnsi="宋体" w:eastAsia="宋体" w:cs="宋体"/>
          <w:b/>
          <w:color w:val="auto"/>
          <w:sz w:val="36"/>
          <w:highlight w:val="none"/>
          <w:u w:val="single"/>
          <w:lang w:eastAsia="zh-CN"/>
        </w:rPr>
      </w:pPr>
      <w:r>
        <w:rPr>
          <w:rFonts w:hint="eastAsia" w:ascii="宋体" w:hAnsi="宋体" w:eastAsia="宋体" w:cs="宋体"/>
          <w:b/>
          <w:color w:val="auto"/>
          <w:sz w:val="36"/>
          <w:highlight w:val="none"/>
        </w:rPr>
        <w:t>项目名称：</w:t>
      </w:r>
      <w:bookmarkStart w:id="0" w:name="OLE_LINK6"/>
      <w:r>
        <w:rPr>
          <w:rFonts w:hint="eastAsia" w:ascii="宋体" w:hAnsi="宋体" w:cs="宋体"/>
          <w:b/>
          <w:color w:val="auto"/>
          <w:sz w:val="36"/>
          <w:highlight w:val="none"/>
          <w:u w:val="single"/>
          <w:lang w:eastAsia="zh-CN"/>
        </w:rPr>
        <w:t>衢州市柯城区百家坊小学（筹）科学教室、录播教室等设施设备采购项目</w:t>
      </w:r>
      <w:bookmarkEnd w:id="0"/>
    </w:p>
    <w:p>
      <w:pPr>
        <w:widowControl/>
        <w:kinsoku/>
        <w:overflowPunct/>
        <w:bidi w:val="0"/>
        <w:spacing w:line="360" w:lineRule="auto"/>
        <w:ind w:right="-2"/>
        <w:jc w:val="center"/>
        <w:rPr>
          <w:rFonts w:hint="eastAsia" w:ascii="宋体" w:hAnsi="宋体" w:eastAsia="宋体" w:cs="宋体"/>
          <w:b/>
          <w:color w:val="auto"/>
          <w:highlight w:val="none"/>
        </w:rPr>
      </w:pPr>
      <w:r>
        <w:rPr>
          <w:rFonts w:hint="eastAsia" w:ascii="宋体" w:hAnsi="宋体" w:eastAsia="宋体" w:cs="宋体"/>
          <w:b/>
          <w:color w:val="auto"/>
          <w:sz w:val="36"/>
          <w:highlight w:val="none"/>
        </w:rPr>
        <w:t>（线上电子招投标）</w:t>
      </w:r>
    </w:p>
    <w:p>
      <w:pPr>
        <w:pStyle w:val="4"/>
        <w:kinsoku/>
        <w:overflowPunct/>
        <w:bidi w:val="0"/>
        <w:spacing w:line="360" w:lineRule="auto"/>
        <w:ind w:left="560" w:firstLine="0"/>
        <w:rPr>
          <w:rFonts w:hint="eastAsia" w:ascii="宋体" w:hAnsi="宋体" w:eastAsia="宋体" w:cs="宋体"/>
          <w:color w:val="auto"/>
          <w:highlight w:val="none"/>
        </w:rPr>
      </w:pPr>
    </w:p>
    <w:p>
      <w:pPr>
        <w:kinsoku/>
        <w:overflowPunct/>
        <w:autoSpaceDE w:val="0"/>
        <w:autoSpaceDN w:val="0"/>
        <w:bidi w:val="0"/>
        <w:adjustRightInd w:val="0"/>
        <w:snapToGrid w:val="0"/>
        <w:spacing w:beforeLines="10" w:line="360" w:lineRule="auto"/>
        <w:jc w:val="center"/>
        <w:textAlignment w:val="bottom"/>
        <w:rPr>
          <w:rFonts w:hint="eastAsia" w:ascii="宋体" w:hAnsi="宋体" w:eastAsia="宋体" w:cs="宋体"/>
          <w:b/>
          <w:color w:val="auto"/>
          <w:highlight w:val="none"/>
        </w:rPr>
      </w:pPr>
    </w:p>
    <w:p>
      <w:pPr>
        <w:pStyle w:val="59"/>
        <w:kinsoku/>
        <w:overflowPunct/>
        <w:bidi w:val="0"/>
        <w:spacing w:after="0" w:line="360" w:lineRule="auto"/>
        <w:ind w:left="560"/>
        <w:rPr>
          <w:rFonts w:hint="eastAsia" w:ascii="宋体" w:hAnsi="宋体" w:eastAsia="宋体" w:cs="宋体"/>
          <w:color w:val="auto"/>
          <w:highlight w:val="none"/>
        </w:rPr>
      </w:pPr>
    </w:p>
    <w:p>
      <w:pPr>
        <w:pStyle w:val="18"/>
        <w:kinsoku/>
        <w:overflowPunct/>
        <w:bidi w:val="0"/>
        <w:spacing w:after="0" w:line="360" w:lineRule="auto"/>
        <w:rPr>
          <w:rFonts w:hint="eastAsia" w:ascii="宋体" w:hAnsi="宋体" w:eastAsia="宋体" w:cs="宋体"/>
          <w:color w:val="auto"/>
          <w:highlight w:val="none"/>
        </w:rPr>
      </w:pPr>
    </w:p>
    <w:p>
      <w:pPr>
        <w:pStyle w:val="18"/>
        <w:kinsoku/>
        <w:overflowPunct/>
        <w:bidi w:val="0"/>
        <w:spacing w:after="0" w:line="360" w:lineRule="auto"/>
        <w:ind w:firstLine="210"/>
        <w:rPr>
          <w:rFonts w:hint="eastAsia" w:ascii="宋体" w:hAnsi="宋体" w:eastAsia="宋体" w:cs="宋体"/>
          <w:color w:val="auto"/>
          <w:highlight w:val="none"/>
        </w:rPr>
      </w:pPr>
    </w:p>
    <w:p>
      <w:pPr>
        <w:kinsoku/>
        <w:overflowPunct/>
        <w:autoSpaceDE w:val="0"/>
        <w:autoSpaceDN w:val="0"/>
        <w:bidi w:val="0"/>
        <w:adjustRightInd w:val="0"/>
        <w:snapToGrid w:val="0"/>
        <w:spacing w:beforeLines="10" w:line="360" w:lineRule="auto"/>
        <w:jc w:val="center"/>
        <w:textAlignment w:val="bottom"/>
        <w:rPr>
          <w:rFonts w:hint="eastAsia" w:ascii="宋体" w:hAnsi="宋体" w:eastAsia="宋体" w:cs="宋体"/>
          <w:b/>
          <w:color w:val="auto"/>
          <w:highlight w:val="none"/>
        </w:rPr>
      </w:pPr>
    </w:p>
    <w:p>
      <w:pPr>
        <w:kinsoku/>
        <w:overflowPunct/>
        <w:autoSpaceDE w:val="0"/>
        <w:autoSpaceDN w:val="0"/>
        <w:bidi w:val="0"/>
        <w:adjustRightInd w:val="0"/>
        <w:snapToGrid w:val="0"/>
        <w:spacing w:line="360" w:lineRule="auto"/>
        <w:ind w:left="0" w:leftChars="0" w:firstLine="842" w:firstLineChars="233"/>
        <w:textAlignment w:val="bottom"/>
        <w:rPr>
          <w:rFonts w:hint="eastAsia" w:ascii="宋体" w:hAnsi="宋体" w:eastAsia="宋体" w:cs="宋体"/>
          <w:b/>
          <w:color w:val="auto"/>
          <w:sz w:val="36"/>
          <w:highlight w:val="none"/>
        </w:rPr>
      </w:pPr>
      <w:r>
        <w:rPr>
          <w:rFonts w:hint="eastAsia" w:ascii="宋体" w:hAnsi="宋体" w:eastAsia="宋体" w:cs="宋体"/>
          <w:b/>
          <w:color w:val="auto"/>
          <w:sz w:val="36"/>
          <w:highlight w:val="none"/>
        </w:rPr>
        <w:t>招   标   人：</w:t>
      </w:r>
      <w:r>
        <w:rPr>
          <w:rFonts w:hint="eastAsia" w:ascii="宋体" w:hAnsi="宋体" w:eastAsia="宋体" w:cs="宋体"/>
          <w:b/>
          <w:color w:val="auto"/>
          <w:sz w:val="36"/>
          <w:highlight w:val="none"/>
          <w:lang w:eastAsia="zh-CN"/>
        </w:rPr>
        <w:t>衢州市柯城区百家坊小学（筹）</w:t>
      </w:r>
      <w:r>
        <w:rPr>
          <w:rFonts w:hint="eastAsia" w:ascii="宋体" w:hAnsi="宋体" w:eastAsia="宋体" w:cs="宋体"/>
          <w:b/>
          <w:color w:val="auto"/>
          <w:sz w:val="36"/>
          <w:highlight w:val="none"/>
        </w:rPr>
        <w:t xml:space="preserve"> </w:t>
      </w:r>
    </w:p>
    <w:p>
      <w:pPr>
        <w:kinsoku/>
        <w:overflowPunct/>
        <w:autoSpaceDE w:val="0"/>
        <w:autoSpaceDN w:val="0"/>
        <w:bidi w:val="0"/>
        <w:adjustRightInd w:val="0"/>
        <w:snapToGrid w:val="0"/>
        <w:spacing w:line="360" w:lineRule="auto"/>
        <w:ind w:left="0" w:leftChars="0" w:firstLine="842" w:firstLineChars="233"/>
        <w:textAlignment w:val="bottom"/>
        <w:rPr>
          <w:rFonts w:hint="eastAsia" w:ascii="宋体" w:hAnsi="宋体" w:eastAsia="宋体" w:cs="宋体"/>
          <w:b/>
          <w:color w:val="auto"/>
          <w:sz w:val="36"/>
          <w:highlight w:val="none"/>
          <w:lang w:eastAsia="zh-CN"/>
        </w:rPr>
      </w:pPr>
      <w:r>
        <w:rPr>
          <w:rFonts w:hint="eastAsia" w:ascii="宋体" w:hAnsi="宋体" w:eastAsia="宋体" w:cs="宋体"/>
          <w:b/>
          <w:color w:val="auto"/>
          <w:sz w:val="36"/>
          <w:highlight w:val="none"/>
        </w:rPr>
        <w:t>招标代理机构：</w:t>
      </w:r>
      <w:r>
        <w:rPr>
          <w:rFonts w:hint="eastAsia" w:ascii="宋体" w:hAnsi="宋体" w:eastAsia="宋体" w:cs="宋体"/>
          <w:b/>
          <w:color w:val="auto"/>
          <w:sz w:val="36"/>
          <w:highlight w:val="none"/>
          <w:lang w:eastAsia="zh-CN"/>
        </w:rPr>
        <w:t>德威工程管理咨询有限公司</w:t>
      </w:r>
    </w:p>
    <w:p>
      <w:pPr>
        <w:pStyle w:val="52"/>
        <w:kinsoku/>
        <w:overflowPunct/>
        <w:bidi w:val="0"/>
        <w:spacing w:beforeLines="10" w:line="360" w:lineRule="auto"/>
        <w:jc w:val="center"/>
        <w:rPr>
          <w:rFonts w:hint="eastAsia" w:ascii="宋体" w:hAnsi="宋体" w:eastAsia="宋体" w:cs="宋体"/>
          <w:color w:val="auto"/>
          <w:highlight w:val="none"/>
        </w:rPr>
      </w:pPr>
      <w:r>
        <w:rPr>
          <w:rFonts w:hint="eastAsia" w:ascii="宋体" w:hAnsi="宋体" w:eastAsia="宋体" w:cs="宋体"/>
          <w:color w:val="auto"/>
          <w:sz w:val="36"/>
          <w:highlight w:val="none"/>
        </w:rPr>
        <w:t>日期：</w:t>
      </w:r>
      <w:r>
        <w:rPr>
          <w:rFonts w:hint="eastAsia" w:ascii="宋体" w:hAnsi="宋体" w:eastAsia="宋体" w:cs="宋体"/>
          <w:color w:val="auto"/>
          <w:sz w:val="36"/>
          <w:highlight w:val="none"/>
          <w:lang w:eastAsia="zh-CN"/>
        </w:rPr>
        <w:t>202</w:t>
      </w:r>
      <w:r>
        <w:rPr>
          <w:rFonts w:hint="eastAsia" w:ascii="宋体" w:hAnsi="宋体" w:eastAsia="宋体" w:cs="宋体"/>
          <w:color w:val="auto"/>
          <w:sz w:val="36"/>
          <w:highlight w:val="none"/>
          <w:lang w:val="en-US" w:eastAsia="zh-CN"/>
        </w:rPr>
        <w:t>5</w:t>
      </w:r>
      <w:r>
        <w:rPr>
          <w:rFonts w:hint="eastAsia" w:ascii="宋体" w:hAnsi="宋体" w:eastAsia="宋体" w:cs="宋体"/>
          <w:color w:val="auto"/>
          <w:sz w:val="36"/>
          <w:highlight w:val="none"/>
        </w:rPr>
        <w:t>年</w:t>
      </w:r>
      <w:r>
        <w:rPr>
          <w:rFonts w:hint="eastAsia" w:ascii="宋体" w:hAnsi="宋体" w:eastAsia="宋体" w:cs="宋体"/>
          <w:color w:val="auto"/>
          <w:sz w:val="36"/>
          <w:highlight w:val="none"/>
          <w:lang w:val="en-US" w:eastAsia="zh-CN"/>
        </w:rPr>
        <w:t>5</w:t>
      </w:r>
      <w:r>
        <w:rPr>
          <w:rFonts w:hint="eastAsia" w:ascii="宋体" w:hAnsi="宋体" w:eastAsia="宋体" w:cs="宋体"/>
          <w:color w:val="auto"/>
          <w:sz w:val="36"/>
          <w:highlight w:val="none"/>
        </w:rPr>
        <w:t>月</w:t>
      </w:r>
      <w:r>
        <w:rPr>
          <w:rFonts w:hint="eastAsia" w:ascii="宋体" w:hAnsi="宋体" w:eastAsia="宋体" w:cs="宋体"/>
          <w:color w:val="auto"/>
          <w:highlight w:val="none"/>
        </w:rPr>
        <w:br w:type="page"/>
      </w:r>
    </w:p>
    <w:p>
      <w:pPr>
        <w:pStyle w:val="52"/>
        <w:kinsoku/>
        <w:overflowPunct/>
        <w:bidi w:val="0"/>
        <w:spacing w:beforeLines="10" w:line="360" w:lineRule="auto"/>
        <w:ind w:firstLine="361" w:firstLineChars="100"/>
        <w:jc w:val="center"/>
        <w:rPr>
          <w:rFonts w:hint="eastAsia" w:ascii="宋体" w:hAnsi="宋体" w:eastAsia="宋体" w:cs="宋体"/>
          <w:b/>
          <w:bCs/>
          <w:color w:val="auto"/>
          <w:sz w:val="36"/>
          <w:highlight w:val="none"/>
        </w:rPr>
      </w:pPr>
      <w:r>
        <w:rPr>
          <w:rFonts w:hint="eastAsia" w:ascii="宋体" w:hAnsi="宋体" w:eastAsia="宋体" w:cs="宋体"/>
          <w:b/>
          <w:bCs/>
          <w:color w:val="auto"/>
          <w:sz w:val="36"/>
          <w:highlight w:val="none"/>
        </w:rPr>
        <w:t>目  录</w:t>
      </w:r>
    </w:p>
    <w:p>
      <w:pPr>
        <w:kinsoku/>
        <w:overflowPunct/>
        <w:bidi w:val="0"/>
        <w:spacing w:line="360" w:lineRule="auto"/>
        <w:rPr>
          <w:rFonts w:hint="eastAsia" w:ascii="宋体" w:hAnsi="宋体" w:eastAsia="宋体" w:cs="宋体"/>
          <w:color w:val="auto"/>
          <w:highlight w:val="none"/>
        </w:rPr>
      </w:pPr>
    </w:p>
    <w:p>
      <w:pPr>
        <w:pStyle w:val="62"/>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fldChar w:fldCharType="begin"/>
      </w:r>
      <w:r>
        <w:rPr>
          <w:rFonts w:hint="eastAsia" w:ascii="宋体" w:hAnsi="宋体" w:eastAsia="宋体" w:cs="宋体"/>
          <w:b w:val="0"/>
          <w:color w:val="auto"/>
          <w:sz w:val="24"/>
          <w:szCs w:val="24"/>
          <w:highlight w:val="none"/>
        </w:rPr>
        <w:instrText xml:space="preserve">TOC \o "1-2" \h \z \u</w:instrText>
      </w:r>
      <w:r>
        <w:rPr>
          <w:rFonts w:hint="eastAsia" w:ascii="宋体" w:hAnsi="宋体" w:eastAsia="宋体" w:cs="宋体"/>
          <w:b w:val="0"/>
          <w:color w:val="auto"/>
          <w:sz w:val="24"/>
          <w:szCs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"_Toc32624"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第一部分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_Toc32624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62"/>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"_Toc31506"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第二部分  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fldChar w:fldCharType="end"/>
      </w:r>
    </w:p>
    <w:p>
      <w:pPr>
        <w:pStyle w:val="62"/>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"_Toc4895"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第三部分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8</w:t>
      </w:r>
    </w:p>
    <w:p>
      <w:pPr>
        <w:pStyle w:val="62"/>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"_Toc1203"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第四部分  合同文本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4</w:t>
      </w:r>
    </w:p>
    <w:p>
      <w:pPr>
        <w:pStyle w:val="62"/>
        <w:tabs>
          <w:tab w:val="right" w:leader="dot" w:pos="9026"/>
          <w:tab w:val="clear" w:pos="8364"/>
        </w:tabs>
        <w:kinsoku/>
        <w:overflowPunct/>
        <w:bidi w:val="0"/>
        <w:spacing w:after="0" w:line="360" w:lineRule="auto"/>
        <w:rPr>
          <w:rFonts w:hint="default" w:ascii="宋体" w:hAnsi="宋体" w:eastAsia="宋体" w:cs="宋体"/>
          <w:color w:val="auto"/>
          <w:szCs w:val="24"/>
          <w:highlight w:val="none"/>
          <w:lang w:val="en-US" w:eastAsia="zh-CN"/>
        </w:rPr>
      </w:pPr>
      <w:r>
        <w:rPr>
          <w:rFonts w:hint="eastAsia" w:ascii="宋体" w:hAnsi="宋体" w:eastAsia="宋体" w:cs="宋体"/>
          <w:color w:val="auto"/>
          <w:sz w:val="24"/>
          <w:szCs w:val="24"/>
          <w:highlight w:val="none"/>
        </w:rPr>
        <w:t xml:space="preserve">第五部分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"_Toc2553"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投标文件部分格式文件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40</w:t>
      </w:r>
    </w:p>
    <w:p>
      <w:pPr>
        <w:pStyle w:val="62"/>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"_Toc15453"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第六部分  评分办法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pPr>
        <w:kinsoku/>
        <w:overflowPunct/>
        <w:bidi w:val="0"/>
        <w:spacing w:line="360" w:lineRule="auto"/>
        <w:rPr>
          <w:rFonts w:hint="eastAsia" w:ascii="宋体" w:hAnsi="宋体" w:eastAsia="宋体" w:cs="宋体"/>
          <w:color w:val="auto"/>
          <w:sz w:val="24"/>
          <w:szCs w:val="24"/>
          <w:highlight w:val="none"/>
        </w:rPr>
      </w:pPr>
    </w:p>
    <w:p>
      <w:pPr>
        <w:pStyle w:val="47"/>
        <w:pageBreakBefore/>
        <w:kinsoku/>
        <w:overflowPunct/>
        <w:bidi w:val="0"/>
        <w:adjustRightInd w:val="0"/>
        <w:snapToGrid w:val="0"/>
        <w:spacing w:line="360" w:lineRule="auto"/>
        <w:jc w:val="center"/>
        <w:outlineLvl w:val="0"/>
        <w:rPr>
          <w:rFonts w:hint="eastAsia" w:ascii="宋体" w:hAnsi="宋体" w:eastAsia="宋体" w:cs="宋体"/>
          <w:b/>
          <w:color w:val="auto"/>
          <w:sz w:val="36"/>
          <w:highlight w:val="none"/>
        </w:rPr>
      </w:pPr>
      <w:r>
        <w:rPr>
          <w:rFonts w:hint="eastAsia" w:ascii="宋体" w:hAnsi="宋体" w:eastAsia="宋体" w:cs="宋体"/>
          <w:color w:val="auto"/>
          <w:sz w:val="24"/>
          <w:szCs w:val="24"/>
          <w:highlight w:val="none"/>
        </w:rPr>
        <w:fldChar w:fldCharType="end"/>
      </w:r>
      <w:bookmarkStart w:id="1" w:name="_Toc32624"/>
      <w:r>
        <w:rPr>
          <w:rFonts w:hint="eastAsia" w:ascii="宋体" w:hAnsi="宋体" w:eastAsia="宋体" w:cs="宋体"/>
          <w:b/>
          <w:color w:val="auto"/>
          <w:sz w:val="36"/>
          <w:highlight w:val="none"/>
        </w:rPr>
        <w:t xml:space="preserve"> 第一部分  招标公告</w:t>
      </w:r>
      <w:bookmarkEnd w:id="1"/>
      <w:bookmarkStart w:id="2" w:name="_Toc225840107"/>
    </w:p>
    <w:tbl>
      <w:tblPr>
        <w:tblStyle w:val="9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tcPr>
          <w:p>
            <w:pPr>
              <w:pStyle w:val="84"/>
              <w:keepNext w:val="0"/>
              <w:keepLines w:val="0"/>
              <w:pageBreakBefore w:val="0"/>
              <w:kinsoku/>
              <w:wordWrap/>
              <w:overflowPunct/>
              <w:topLinePunct w:val="0"/>
              <w:bidi w:val="0"/>
              <w:spacing w:before="0" w:beforeAutospacing="0" w:after="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pStyle w:val="84"/>
              <w:keepNext w:val="0"/>
              <w:keepLines w:val="0"/>
              <w:pageBreakBefore w:val="0"/>
              <w:kinsoku/>
              <w:wordWrap/>
              <w:overflowPunct/>
              <w:topLinePunct w:val="0"/>
              <w:bidi w:val="0"/>
              <w:spacing w:before="0" w:beforeAutospacing="0" w:after="0" w:afterAutospacing="0" w:line="400" w:lineRule="exact"/>
              <w:ind w:left="0" w:leftChars="0" w:firstLine="480" w:firstLineChars="200"/>
              <w:textAlignment w:val="auto"/>
              <w:rPr>
                <w:rFonts w:hint="eastAsia" w:ascii="宋体" w:hAnsi="宋体" w:eastAsia="宋体" w:cs="宋体"/>
                <w:b/>
                <w:bCs/>
                <w:color w:val="auto"/>
                <w:sz w:val="24"/>
                <w:szCs w:val="24"/>
                <w:highlight w:val="none"/>
              </w:rPr>
            </w:pPr>
            <w:r>
              <w:rPr>
                <w:rFonts w:hint="eastAsia" w:cs="宋体"/>
                <w:color w:val="auto"/>
                <w:sz w:val="24"/>
                <w:szCs w:val="24"/>
                <w:highlight w:val="none"/>
                <w:u w:val="single"/>
                <w:lang w:eastAsia="zh-CN"/>
              </w:rPr>
              <w:t>衢州市柯城区百家坊小学（筹）科学教室、录播教室等设施设备采购项目</w:t>
            </w:r>
            <w:r>
              <w:rPr>
                <w:rFonts w:hint="eastAsia" w:ascii="宋体" w:hAnsi="宋体" w:eastAsia="宋体" w:cs="宋体"/>
                <w:color w:val="auto"/>
                <w:sz w:val="24"/>
                <w:szCs w:val="24"/>
                <w:highlight w:val="none"/>
              </w:rPr>
              <w:t>的潜在投标人应在政采云平台（http://zfcg.czt.zj.gov.cn）获取（下载）招标文件，并于</w:t>
            </w:r>
            <w:r>
              <w:rPr>
                <w:rFonts w:hint="eastAsia" w:ascii="宋体" w:hAnsi="宋体" w:eastAsia="宋体" w:cs="宋体"/>
                <w:color w:val="auto"/>
                <w:sz w:val="24"/>
                <w:szCs w:val="24"/>
                <w:highlight w:val="none"/>
                <w:lang w:eastAsia="zh-CN"/>
              </w:rPr>
              <w:t>2025年</w:t>
            </w:r>
            <w:r>
              <w:rPr>
                <w:rFonts w:hint="eastAsia"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rPr>
              <w:t>日</w:t>
            </w:r>
            <w:r>
              <w:rPr>
                <w:rFonts w:hint="eastAsia" w:cs="宋体"/>
                <w:color w:val="auto"/>
                <w:sz w:val="24"/>
                <w:szCs w:val="24"/>
                <w:highlight w:val="none"/>
                <w:lang w:val="en-US" w:eastAsia="zh-CN"/>
              </w:rPr>
              <w:t>14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（北京时间）前提交（上传）</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w:t>
            </w:r>
          </w:p>
        </w:tc>
      </w:tr>
    </w:tbl>
    <w:p>
      <w:pPr>
        <w:keepNext w:val="0"/>
        <w:keepLines w:val="0"/>
        <w:pageBreakBefore w:val="0"/>
        <w:numPr>
          <w:ilvl w:val="0"/>
          <w:numId w:val="2"/>
        </w:numPr>
        <w:kinsoku/>
        <w:wordWrap/>
        <w:overflowPunct/>
        <w:topLinePunct w:val="0"/>
        <w:autoSpaceDE w:val="0"/>
        <w:autoSpaceDN w:val="0"/>
        <w:bidi w:val="0"/>
        <w:adjustRightInd w:val="0"/>
        <w:spacing w:line="400" w:lineRule="exact"/>
        <w:ind w:left="0" w:leftChars="0" w:right="-23" w:firstLine="482" w:firstLineChars="200"/>
        <w:textAlignment w:val="auto"/>
        <w:rPr>
          <w:rStyle w:val="89"/>
          <w:rFonts w:hint="eastAsia" w:ascii="宋体" w:hAnsi="宋体" w:eastAsia="宋体" w:cs="宋体"/>
          <w:color w:val="auto"/>
          <w:sz w:val="24"/>
          <w:szCs w:val="24"/>
          <w:highlight w:val="none"/>
        </w:rPr>
      </w:pPr>
      <w:r>
        <w:rPr>
          <w:rStyle w:val="89"/>
          <w:rFonts w:hint="eastAsia" w:ascii="宋体" w:hAnsi="宋体" w:eastAsia="宋体" w:cs="宋体"/>
          <w:color w:val="auto"/>
          <w:sz w:val="24"/>
          <w:szCs w:val="24"/>
          <w:highlight w:val="none"/>
        </w:rPr>
        <w:t>项目基本情况</w:t>
      </w:r>
    </w:p>
    <w:p>
      <w:pPr>
        <w:pStyle w:val="59"/>
        <w:keepNext w:val="0"/>
        <w:keepLines w:val="0"/>
        <w:pageBreakBefore w:val="0"/>
        <w:numPr>
          <w:ilvl w:val="0"/>
          <w:numId w:val="0"/>
        </w:numPr>
        <w:kinsoku/>
        <w:wordWrap/>
        <w:overflowPunct/>
        <w:topLinePunct w:val="0"/>
        <w:autoSpaceDE/>
        <w:autoSpaceDN/>
        <w:bidi w:val="0"/>
        <w:adjustRightInd/>
        <w:spacing w:after="0" w:line="400" w:lineRule="exact"/>
        <w:ind w:left="0" w:leftChars="0"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项目编号：DC1425043 </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u w:val="single"/>
          <w:lang w:eastAsia="zh-CN"/>
        </w:rPr>
        <w:t>衢州市柯城区百家坊小学（筹）科学教室、录播教室等设施设备采购项目</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val="en-US" w:eastAsia="zh-CN"/>
        </w:rPr>
        <w:t>438412</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最高限价（元）：</w:t>
      </w:r>
      <w:r>
        <w:rPr>
          <w:rFonts w:hint="eastAsia" w:ascii="宋体" w:hAnsi="宋体" w:cs="宋体"/>
          <w:color w:val="auto"/>
          <w:sz w:val="24"/>
          <w:szCs w:val="24"/>
          <w:highlight w:val="none"/>
          <w:lang w:val="en-US" w:eastAsia="zh-CN"/>
        </w:rPr>
        <w:t>438412</w:t>
      </w:r>
      <w:r>
        <w:rPr>
          <w:rFonts w:hint="eastAsia" w:ascii="宋体" w:hAnsi="宋体" w:eastAsia="宋体" w:cs="宋体"/>
          <w:color w:val="auto"/>
          <w:sz w:val="24"/>
          <w:szCs w:val="24"/>
          <w:highlight w:val="none"/>
          <w:lang w:val="en-US" w:eastAsia="zh-CN"/>
        </w:rPr>
        <w:t xml:space="preserve"> </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标项</w:t>
      </w:r>
      <w:r>
        <w:rPr>
          <w:rFonts w:hint="eastAsia" w:ascii="宋体" w:hAnsi="宋体" w:eastAsia="宋体" w:cs="宋体"/>
          <w:color w:val="auto"/>
          <w:sz w:val="24"/>
          <w:szCs w:val="24"/>
          <w:highlight w:val="none"/>
          <w:lang w:eastAsia="zh-CN"/>
        </w:rPr>
        <w:t>一</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标项名称:</w:t>
      </w:r>
      <w:bookmarkStart w:id="3" w:name="OLE_LINK12"/>
      <w:r>
        <w:rPr>
          <w:rFonts w:hint="eastAsia" w:ascii="宋体" w:hAnsi="宋体" w:cs="宋体"/>
          <w:color w:val="auto"/>
          <w:sz w:val="24"/>
          <w:szCs w:val="24"/>
          <w:highlight w:val="none"/>
          <w:u w:val="single"/>
          <w:lang w:eastAsia="zh-CN"/>
        </w:rPr>
        <w:t>衢州市柯城区百家坊小学（筹）科学教室、录播教室等</w:t>
      </w:r>
      <w:bookmarkEnd w:id="3"/>
      <w:r>
        <w:rPr>
          <w:rFonts w:hint="eastAsia" w:ascii="宋体" w:hAnsi="宋体" w:cs="宋体"/>
          <w:color w:val="auto"/>
          <w:sz w:val="24"/>
          <w:szCs w:val="24"/>
          <w:highlight w:val="none"/>
          <w:u w:val="single"/>
          <w:lang w:eastAsia="zh-CN"/>
        </w:rPr>
        <w:t>设施设备采购项目</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 1</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438412</w:t>
      </w:r>
    </w:p>
    <w:p>
      <w:pPr>
        <w:snapToGrid w:val="0"/>
        <w:spacing w:line="420" w:lineRule="exact"/>
        <w:ind w:firstLine="480" w:firstLineChars="200"/>
        <w:jc w:val="left"/>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简要规格描述或项目基本概况介绍、用途：</w:t>
      </w:r>
      <w:bookmarkStart w:id="4" w:name="OLE_LINK7"/>
      <w:r>
        <w:rPr>
          <w:rFonts w:hint="eastAsia" w:ascii="宋体" w:hAnsi="宋体" w:eastAsia="宋体" w:cs="宋体"/>
          <w:color w:val="auto"/>
          <w:sz w:val="24"/>
          <w:szCs w:val="24"/>
          <w:highlight w:val="none"/>
        </w:rPr>
        <w:t>主要针对</w:t>
      </w:r>
      <w:r>
        <w:rPr>
          <w:rFonts w:hint="eastAsia" w:ascii="宋体" w:hAnsi="宋体" w:eastAsia="宋体" w:cs="宋体"/>
          <w:color w:val="auto"/>
          <w:sz w:val="24"/>
          <w:szCs w:val="24"/>
          <w:highlight w:val="none"/>
          <w:lang w:eastAsia="zh-CN"/>
        </w:rPr>
        <w:t>衢州市柯城区百家坊小学（筹）科学教室、录播教室等设施设备采购</w:t>
      </w:r>
      <w:r>
        <w:rPr>
          <w:rFonts w:hint="eastAsia" w:ascii="宋体" w:hAnsi="宋体" w:eastAsia="宋体" w:cs="宋体"/>
          <w:color w:val="auto"/>
          <w:sz w:val="24"/>
          <w:szCs w:val="24"/>
          <w:highlight w:val="none"/>
        </w:rPr>
        <w:t>（具体详见第三部分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采购需求）</w:t>
      </w:r>
      <w:bookmarkEnd w:id="4"/>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合同履约期限：</w:t>
      </w:r>
      <w:r>
        <w:rPr>
          <w:rFonts w:hint="eastAsia" w:ascii="宋体" w:hAnsi="宋体" w:eastAsia="宋体" w:cs="宋体"/>
          <w:color w:val="auto"/>
          <w:sz w:val="24"/>
          <w:szCs w:val="24"/>
          <w:highlight w:val="none"/>
          <w:lang w:val="en-US" w:eastAsia="zh-CN"/>
        </w:rPr>
        <w:t>合同签订后</w:t>
      </w:r>
      <w:r>
        <w:rPr>
          <w:rFonts w:hint="eastAsia" w:ascii="宋体" w:hAnsi="宋体" w:eastAsia="宋体" w:cs="宋体"/>
          <w:color w:val="auto"/>
          <w:sz w:val="24"/>
          <w:szCs w:val="24"/>
          <w:highlight w:val="none"/>
          <w:u w:val="single"/>
          <w:lang w:val="en-US" w:eastAsia="zh-CN"/>
        </w:rPr>
        <w:t xml:space="preserve"> 30 </w:t>
      </w:r>
      <w:r>
        <w:rPr>
          <w:rFonts w:hint="eastAsia" w:ascii="宋体" w:hAnsi="宋体" w:eastAsia="宋体" w:cs="宋体"/>
          <w:color w:val="auto"/>
          <w:sz w:val="24"/>
          <w:szCs w:val="24"/>
          <w:highlight w:val="none"/>
          <w:lang w:val="en-US" w:eastAsia="zh-CN"/>
        </w:rPr>
        <w:t>天内完成供货及安装、调试</w:t>
      </w:r>
      <w:r>
        <w:rPr>
          <w:rFonts w:hint="eastAsia" w:ascii="宋体" w:hAnsi="宋体" w:eastAsia="宋体" w:cs="宋体"/>
          <w:color w:val="auto"/>
          <w:sz w:val="24"/>
          <w:szCs w:val="24"/>
          <w:highlight w:val="none"/>
          <w:lang w:eastAsia="zh-CN"/>
        </w:rPr>
        <w:t>，具体时间以采购人书面通知为准。</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本项目（否）接受联合体投标</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Fonts w:hint="eastAsia" w:ascii="宋体" w:hAnsi="宋体" w:eastAsia="宋体" w:cs="宋体"/>
          <w:color w:val="auto"/>
          <w:sz w:val="24"/>
          <w:szCs w:val="24"/>
          <w:highlight w:val="none"/>
        </w:rPr>
      </w:pPr>
      <w:r>
        <w:rPr>
          <w:rStyle w:val="89"/>
          <w:rFonts w:hint="eastAsia" w:ascii="宋体" w:hAnsi="宋体" w:eastAsia="宋体" w:cs="宋体"/>
          <w:color w:val="auto"/>
          <w:sz w:val="24"/>
          <w:szCs w:val="24"/>
          <w:highlight w:val="none"/>
        </w:rPr>
        <w:t>二、申请人的资格要求</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0" w:firstLine="480"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2.落实政府采购政策需满足的资格要求：</w:t>
      </w:r>
      <w:bookmarkStart w:id="5" w:name="OLE_LINK8"/>
      <w:r>
        <w:rPr>
          <w:rFonts w:hint="eastAsia" w:ascii="宋体" w:hAnsi="宋体" w:eastAsia="宋体" w:cs="宋体"/>
          <w:b/>
          <w:bCs/>
          <w:color w:val="auto"/>
          <w:sz w:val="24"/>
          <w:szCs w:val="24"/>
          <w:highlight w:val="none"/>
        </w:rPr>
        <w:t>本项目属于专门面向中小企业采购的项目</w:t>
      </w:r>
      <w:bookmarkEnd w:id="5"/>
      <w:r>
        <w:rPr>
          <w:rFonts w:hint="eastAsia" w:ascii="宋体" w:hAnsi="宋体" w:eastAsia="宋体" w:cs="宋体"/>
          <w:b/>
          <w:bCs/>
          <w:color w:val="auto"/>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单位负责人为同一人或者存在直接控股、管理关系的不同投标人，不得参加同一合同项下的政府采购活动；</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（2）非联合体投标。</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2" w:firstLineChars="200"/>
        <w:textAlignment w:val="auto"/>
        <w:rPr>
          <w:rStyle w:val="89"/>
          <w:rFonts w:hint="eastAsia" w:ascii="宋体" w:hAnsi="宋体" w:eastAsia="宋体" w:cs="宋体"/>
          <w:color w:val="auto"/>
          <w:sz w:val="24"/>
          <w:szCs w:val="24"/>
          <w:highlight w:val="none"/>
        </w:rPr>
      </w:pPr>
      <w:r>
        <w:rPr>
          <w:rStyle w:val="89"/>
          <w:rFonts w:hint="eastAsia" w:ascii="宋体" w:hAnsi="宋体" w:eastAsia="宋体" w:cs="宋体"/>
          <w:color w:val="auto"/>
          <w:sz w:val="24"/>
          <w:szCs w:val="24"/>
          <w:highlight w:val="none"/>
        </w:rPr>
        <w:t>三、获取采购文件</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时间：/至</w:t>
      </w:r>
      <w:r>
        <w:rPr>
          <w:rFonts w:hint="eastAsia" w:ascii="宋体" w:hAnsi="宋体" w:eastAsia="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日</w:t>
      </w:r>
      <w:r>
        <w:rPr>
          <w:rFonts w:hint="eastAsia" w:ascii="宋体" w:hAnsi="宋体" w:eastAsia="宋体" w:cs="宋体"/>
          <w:color w:val="auto"/>
          <w:sz w:val="24"/>
          <w:szCs w:val="24"/>
          <w:highlight w:val="none"/>
        </w:rPr>
        <w:t>，每天上午00:00至12:00，下午12:00至23:59（北京时间，线上获取法定节假日均可，线下获取文件法定节假日除外）</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地点（网址）：政采云平台（http://zfcg.czt.zj.gov.cn） </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方式： 潜在投标人登陆政采云平台，在线申请获取招标文件（进入“项目采购”应用，在获取招标文件菜单中选择项目，申请获取招标文件，本项目招标文件不收取工本费；仅需浏览招标文件的投标人可点击“游客，浏览招标文件”直接下载招标文件浏览）。 </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售价（元）：0 </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提示：招标公告附件内的招标文件（或采购需求）仅供阅览使用，</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只有在“政府采购云平台”完成获取招标文件申请并下载了招标文件后才视作依法获取招标文件（法律法规所指的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获取招标文件时间以</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完成获取招标文件申请后下载招标文件的时间为准）。</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注：请</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按上述要求获取招标文件，如未在“政采云”系统内完成相关流程，引起的投标无效责任自负。</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2" w:firstLineChars="200"/>
        <w:textAlignment w:val="auto"/>
        <w:rPr>
          <w:rStyle w:val="89"/>
          <w:rFonts w:hint="eastAsia" w:ascii="宋体" w:hAnsi="宋体" w:eastAsia="宋体" w:cs="宋体"/>
          <w:color w:val="auto"/>
          <w:sz w:val="24"/>
          <w:szCs w:val="24"/>
          <w:highlight w:val="none"/>
        </w:rPr>
      </w:pPr>
      <w:r>
        <w:rPr>
          <w:rStyle w:val="89"/>
          <w:rFonts w:hint="eastAsia" w:ascii="宋体" w:hAnsi="宋体" w:eastAsia="宋体" w:cs="宋体"/>
          <w:color w:val="auto"/>
          <w:sz w:val="24"/>
          <w:szCs w:val="24"/>
          <w:highlight w:val="none"/>
        </w:rPr>
        <w:t>四、提交投标文件截止时间、开标时间和地点</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提交投标文件截止时间：</w:t>
      </w:r>
      <w:bookmarkStart w:id="6" w:name="OLE_LINK15"/>
      <w:r>
        <w:rPr>
          <w:rFonts w:hint="eastAsia" w:ascii="宋体" w:hAnsi="宋体" w:eastAsia="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bookmarkEnd w:id="6"/>
      <w:r>
        <w:rPr>
          <w:rFonts w:hint="eastAsia" w:ascii="宋体" w:hAnsi="宋体" w:eastAsia="宋体" w:cs="宋体"/>
          <w:color w:val="auto"/>
          <w:sz w:val="24"/>
          <w:szCs w:val="24"/>
          <w:highlight w:val="none"/>
        </w:rPr>
        <w:t>（北京时间）</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投标地点（网址）：政采云平台（http://zfcg.czt.zj.gov.cn） </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 xml:space="preserve">（北京时间） </w:t>
      </w:r>
    </w:p>
    <w:p>
      <w:pPr>
        <w:autoSpaceDE w:val="0"/>
        <w:autoSpaceDN w:val="0"/>
        <w:adjustRightInd w:val="0"/>
        <w:spacing w:line="360" w:lineRule="auto"/>
        <w:ind w:right="-23"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开标地点（网址）：</w:t>
      </w:r>
      <w:r>
        <w:rPr>
          <w:rFonts w:hint="eastAsia" w:ascii="宋体" w:hAnsi="宋体" w:cs="宋体"/>
          <w:color w:val="auto"/>
          <w:sz w:val="24"/>
          <w:szCs w:val="24"/>
          <w:highlight w:val="none"/>
          <w:lang w:val="en-US" w:eastAsia="zh-CN"/>
        </w:rPr>
        <w:t>德威工程管理咨询有限公司</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衢州市柯城区</w:t>
      </w:r>
      <w:r>
        <w:rPr>
          <w:rFonts w:hint="eastAsia" w:ascii="宋体" w:hAnsi="宋体" w:eastAsia="宋体" w:cs="宋体"/>
          <w:color w:val="auto"/>
          <w:sz w:val="24"/>
          <w:szCs w:val="24"/>
          <w:highlight w:val="none"/>
          <w:lang w:val="en-US" w:eastAsia="zh-CN"/>
        </w:rPr>
        <w:t>荷五路468号</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五、采购意向公开链接</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Style w:val="89"/>
          <w:rFonts w:hint="eastAsia" w:ascii="宋体" w:hAnsi="宋体" w:eastAsia="宋体" w:cs="宋体"/>
          <w:b w:val="0"/>
          <w:bCs/>
          <w:color w:val="auto"/>
          <w:sz w:val="24"/>
          <w:szCs w:val="24"/>
          <w:highlight w:val="none"/>
          <w:lang w:eastAsia="zh-CN"/>
        </w:rPr>
      </w:pPr>
      <w:r>
        <w:rPr>
          <w:rStyle w:val="89"/>
          <w:rFonts w:hint="eastAsia" w:ascii="宋体" w:hAnsi="宋体" w:eastAsia="宋体" w:cs="宋体"/>
          <w:b w:val="0"/>
          <w:bCs/>
          <w:color w:val="auto"/>
          <w:sz w:val="24"/>
          <w:szCs w:val="24"/>
          <w:highlight w:val="none"/>
          <w:lang w:eastAsia="zh-CN"/>
        </w:rPr>
        <w:t>https://zfcg.czt.zj.gov.cn/site/detail?categoryCode=ZcyAnnouncement&amp;parentId=600007&amp;articleId=r9JjS7jjC42TvacKm5uQgg==</w:t>
      </w:r>
    </w:p>
    <w:p>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Style w:val="89"/>
          <w:rFonts w:hint="eastAsia" w:ascii="宋体" w:hAnsi="宋体" w:eastAsia="宋体" w:cs="宋体"/>
          <w:color w:val="auto"/>
          <w:sz w:val="24"/>
          <w:szCs w:val="24"/>
          <w:highlight w:val="none"/>
        </w:rPr>
      </w:pPr>
      <w:r>
        <w:rPr>
          <w:rStyle w:val="89"/>
          <w:rFonts w:hint="eastAsia" w:ascii="宋体" w:hAnsi="宋体" w:eastAsia="宋体" w:cs="宋体"/>
          <w:color w:val="auto"/>
          <w:sz w:val="24"/>
          <w:szCs w:val="24"/>
          <w:highlight w:val="none"/>
          <w:lang w:eastAsia="zh-CN"/>
        </w:rPr>
        <w:t>六、</w:t>
      </w:r>
      <w:r>
        <w:rPr>
          <w:rStyle w:val="89"/>
          <w:rFonts w:hint="eastAsia" w:ascii="宋体" w:hAnsi="宋体" w:eastAsia="宋体" w:cs="宋体"/>
          <w:color w:val="auto"/>
          <w:sz w:val="24"/>
          <w:szCs w:val="24"/>
          <w:highlight w:val="none"/>
        </w:rPr>
        <w:t>公告期限：</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、其他补充事宜</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bookmarkStart w:id="7" w:name="OLE_LINK9"/>
      <w:r>
        <w:rPr>
          <w:rFonts w:hint="eastAsia" w:ascii="宋体" w:hAnsi="宋体" w:eastAsia="宋体" w:cs="宋体"/>
          <w:color w:val="auto"/>
          <w:sz w:val="24"/>
          <w:szCs w:val="24"/>
          <w:highlight w:val="none"/>
        </w:rPr>
        <w:t>1.《浙江省财政厅关于进一步发挥政府采购政策功能全力推动经济稳进提质的通知》（浙财采监（2022）3号）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 知》（浙财采监（2021）22号）文件关于“健全行政裁决机制”要求，鼓励</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在线提起询问，路径为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政采云-项目采购-询问质疑投诉-询问列表:鼓励</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在线提起质 疑，路径为：政采云-项目采购-询问质疑投诉-质疑列表。质疑</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对在线质疑答复 不满意的，可在线提起投诉，路径为：浙江政府服务网-政府采购投诉处理-在线办理。</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认为采购文件使自己的权益受到损害的，可以自获取采购文件之日或者 采购公告期限届满之日（公告期限届满后获取采购文件的，以公告期限届满之日为准）起 7 个工作日内，对采购文件需求的以书面形式向招标人提出质疑，对其他内容的以书 面形式向招标人和采购代理机构提出质疑。质疑</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对招标人、采购代理机构的答复 不满意或者招标人、采购代理机构未在规定的时间内作出答复的，可以在答复期满后十 五个工作日内向同级政府采购监督管理部门投诉。质疑函范本、投诉书范本请到浙江政 府采购网下载专区下载。</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.其他事项：</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（1）包括节约资源、保护环境、支持创新、促进中小企业发展等。 详见招标文件的第二部分总则。</w:t>
      </w:r>
    </w:p>
    <w:p>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经招标人确认，本项目属于专门面向中小企业采购项目。</w:t>
      </w:r>
    </w:p>
    <w:p>
      <w:pPr>
        <w:keepNext w:val="0"/>
        <w:keepLines w:val="0"/>
        <w:pageBreakBefore w:val="0"/>
        <w:kinsoku/>
        <w:wordWrap/>
        <w:overflowPunct/>
        <w:topLinePunct w:val="0"/>
        <w:autoSpaceDE w:val="0"/>
        <w:autoSpaceDN w:val="0"/>
        <w:bidi w:val="0"/>
        <w:adjustRightInd w:val="0"/>
        <w:spacing w:line="400" w:lineRule="exact"/>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（2）在线投标响应（电子投标）说明：</w:t>
      </w:r>
    </w:p>
    <w:p>
      <w:pPr>
        <w:keepNext w:val="0"/>
        <w:keepLines w:val="0"/>
        <w:pageBreakBefore w:val="0"/>
        <w:kinsoku/>
        <w:wordWrap/>
        <w:overflowPunct/>
        <w:topLinePunct w:val="0"/>
        <w:autoSpaceDE w:val="0"/>
        <w:autoSpaceDN w:val="0"/>
        <w:bidi w:val="0"/>
        <w:adjustRightInd w:val="0"/>
        <w:spacing w:line="400" w:lineRule="exact"/>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1）本项目通过“政府采购云平台（www.zcygov.cn）”实行在线投标响应（电子投标），</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应先安装“政采云电子交易客户端”，并按照本招标文件和“政府采购云平台”的要求，通过“政采云电子交易客户端”编制并加密投标文件。</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未按规定加密的投标文件，“政府采购云平台”将予以拒收。“政采云电子交易客户端”请自行前往“浙江政府采购网-下载专区-电子交易客户端”进行下载；通过“政府采购云平台”参与在线投标时如遇平台技术问题详询95763）为确保网上操作合法、有效和安全，投标</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3）投标</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应当在投标截止时间前，将生成的“电子加密投标文件”上传递交至“政府采购云平台”。投标截止时间以后上传递交的投标文件将被“政府采购云平台”拒收。4）投标</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在“政府采购云平台”完成“电子加密投标文件”的上传递交后，还可以（EMS或顺丰邮寄形式）在投标截止时间前递交以介质（U盘）存储的数据电文形式的“备份投标文件”，“备份投标文件”应当密封包装并在包装上标注投标项目名称、投标单位名称并加盖公章。5）通过“政府采购云平台”上传递交的“电子加密投标文件”无法按时解密，投标</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递交了备份投标文件的，以备份投标文件为依据，否则视为投标文件撤回。通过“政府采购云平台”上传递交的“电子加密投标文件”已按时解密的，“备份投标文件”自动失效。投标</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仅递交备份投标文件的，投标无效。6）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keepNext w:val="0"/>
        <w:keepLines w:val="0"/>
        <w:pageBreakBefore w:val="0"/>
        <w:kinsoku/>
        <w:wordWrap/>
        <w:overflowPunct/>
        <w:topLinePunct w:val="0"/>
        <w:autoSpaceDE w:val="0"/>
        <w:autoSpaceDN w:val="0"/>
        <w:bidi w:val="0"/>
        <w:adjustRightInd w:val="0"/>
        <w:spacing w:line="400" w:lineRule="exact"/>
        <w:ind w:left="0" w:leftChars="0" w:right="-2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）采购项目需要落实的政府采购政策：</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1）《财政部发展改革委 生态环境部 市场监管总局关于调整优化节能产品、环境标志产品政府采购执行机制的通知》（财库〔2019〕9号）；</w:t>
      </w:r>
    </w:p>
    <w:p>
      <w:pPr>
        <w:keepNext w:val="0"/>
        <w:keepLines w:val="0"/>
        <w:pageBreakBefore w:val="0"/>
        <w:kinsoku/>
        <w:wordWrap/>
        <w:overflowPunct/>
        <w:topLinePunct w:val="0"/>
        <w:bidi w:val="0"/>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2）《政府采购促进中小企业发展管理办法》（财库[2020]46号）。</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3）本次采购为专门面向中小企业。</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4）根据财政部发布的《政府采购促进中小企业发展管理办法》 （财库[2020]46号）的规定规定执行。投标文件中须提供《中小企业声明函》。</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5）对于专门面向中、小、微型企业或者监狱企业或者残疾人福利性单位的政府采购货物或服务项目或工程项目，符合资格条件的不再执行价格评审优惠的扶持政策。</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中标</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为中小企业、残疾人福利性单位、监狱企业的，应当随中标结果同时公告其《中小企业声明函》、《残疾人福利性单位声明函》、《监狱企业声明函》，接受社会监督。）属于小型、微型企业的残疾人福利性单位、监狱企业，不重复享受政策。</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提供的《中小企业声明函》、《残疾人福利性单位声明函》、《监狱企业声明函》与事实不符的，依照《政府采购法》第七十七条第一款的规定追究法律责任。 </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）信用记录：根据财库[2016]125号《关于在政府采购活动中查询及使用信用记录有关问题的通知》要求，采购代理机构会对</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信用记录进行查询并甄别。</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1）信用信息查询的截止时点：投标截止时间；</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2）查询渠道：“信用中国”（www.creditchina.gov.cn）、“中国政府采购网”（www.ccgp.gov.cn）；</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3）信用信息查询记录和证据留存具体方式：采购代理机构经办人将查询网页打印与其他采购文件一并保存；</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4）信用信息的使用规则：</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存在不良信用记录的，其投标将被作为无效投标被拒绝。不良信用记录指：被列入失信被执行人、重大税收违法案件当事人名单、政府采购严重违法失信行为记录名单或浙江政府采购网曝光台中尚在行政处罚期内的。</w:t>
      </w:r>
    </w:p>
    <w:p>
      <w:pPr>
        <w:keepNext w:val="0"/>
        <w:keepLines w:val="0"/>
        <w:pageBreakBefore w:val="0"/>
        <w:kinsoku/>
        <w:wordWrap/>
        <w:overflowPunct/>
        <w:topLinePunct w:val="0"/>
        <w:autoSpaceDE w:val="0"/>
        <w:autoSpaceDN w:val="0"/>
        <w:bidi w:val="0"/>
        <w:adjustRightInd w:val="0"/>
        <w:spacing w:line="400" w:lineRule="exact"/>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）本项目相关公告（包括招标公告、中标公告及更正公告等）均以浙江政府采购网（http://zfcg.czt.zj.gov.cn/）发布的为准。</w:t>
      </w:r>
      <w:bookmarkEnd w:id="7"/>
    </w:p>
    <w:p>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Style w:val="89"/>
          <w:rFonts w:hint="eastAsia" w:ascii="宋体" w:hAnsi="宋体" w:eastAsia="宋体" w:cs="宋体"/>
          <w:color w:val="auto"/>
          <w:sz w:val="24"/>
          <w:szCs w:val="24"/>
          <w:highlight w:val="none"/>
        </w:rPr>
      </w:pPr>
      <w:r>
        <w:rPr>
          <w:rStyle w:val="89"/>
          <w:rFonts w:hint="eastAsia" w:ascii="宋体" w:hAnsi="宋体" w:eastAsia="宋体" w:cs="宋体"/>
          <w:color w:val="auto"/>
          <w:sz w:val="24"/>
          <w:szCs w:val="24"/>
          <w:highlight w:val="none"/>
          <w:lang w:eastAsia="zh-CN"/>
        </w:rPr>
        <w:t>八</w:t>
      </w:r>
      <w:r>
        <w:rPr>
          <w:rStyle w:val="89"/>
          <w:rFonts w:hint="eastAsia" w:ascii="宋体" w:hAnsi="宋体" w:eastAsia="宋体" w:cs="宋体"/>
          <w:color w:val="auto"/>
          <w:sz w:val="24"/>
          <w:szCs w:val="24"/>
          <w:highlight w:val="none"/>
        </w:rPr>
        <w:t>、对本次采购提出询问、质疑、投诉，请按以下方式联系</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1.采购人信息</w:t>
      </w:r>
    </w:p>
    <w:p>
      <w:pPr>
        <w:keepNext w:val="0"/>
        <w:keepLines w:val="0"/>
        <w:pageBreakBefore w:val="0"/>
        <w:kinsoku/>
        <w:wordWrap/>
        <w:overflowPunct/>
        <w:topLinePunct w:val="0"/>
        <w:autoSpaceDE w:val="0"/>
        <w:autoSpaceDN w:val="0"/>
        <w:bidi w:val="0"/>
        <w:adjustRightInd w:val="0"/>
        <w:spacing w:line="360" w:lineRule="auto"/>
        <w:ind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名称：衢州市柯城区百家坊小学（筹）</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地址：</w:t>
      </w:r>
      <w:bookmarkStart w:id="8" w:name="OLE_LINK4"/>
      <w:r>
        <w:rPr>
          <w:rFonts w:hint="eastAsia" w:ascii="宋体" w:hAnsi="宋体" w:eastAsia="宋体" w:cs="宋体"/>
          <w:color w:val="auto"/>
          <w:sz w:val="24"/>
          <w:szCs w:val="24"/>
          <w:highlight w:val="none"/>
          <w:lang w:val="en-US" w:eastAsia="zh-CN"/>
        </w:rPr>
        <w:t>衢州市柯城区四喜路1号</w:t>
      </w:r>
      <w:bookmarkEnd w:id="8"/>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传真：/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项目联系人（询问）：</w:t>
      </w:r>
      <w:r>
        <w:rPr>
          <w:rFonts w:hint="eastAsia" w:ascii="宋体" w:hAnsi="宋体" w:eastAsia="宋体" w:cs="宋体"/>
          <w:color w:val="auto"/>
          <w:sz w:val="24"/>
          <w:szCs w:val="24"/>
          <w:highlight w:val="none"/>
          <w:lang w:val="en-US" w:eastAsia="zh-CN"/>
        </w:rPr>
        <w:t>薛</w:t>
      </w:r>
      <w:r>
        <w:rPr>
          <w:rFonts w:hint="eastAsia" w:ascii="宋体" w:hAnsi="宋体" w:eastAsia="宋体" w:cs="宋体"/>
          <w:color w:val="auto"/>
          <w:sz w:val="24"/>
          <w:szCs w:val="24"/>
          <w:highlight w:val="none"/>
          <w:lang w:eastAsia="zh-CN"/>
        </w:rPr>
        <w:t>老师</w:t>
      </w:r>
      <w:r>
        <w:rPr>
          <w:rFonts w:hint="eastAsia" w:ascii="宋体" w:hAnsi="宋体" w:eastAsia="宋体" w:cs="宋体"/>
          <w:color w:val="auto"/>
          <w:sz w:val="24"/>
          <w:szCs w:val="24"/>
          <w:highlight w:val="none"/>
          <w:lang w:val="en-US" w:eastAsia="zh-CN"/>
        </w:rPr>
        <w:t xml:space="preserve">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项目联系方式（询问）：</w:t>
      </w:r>
      <w:bookmarkStart w:id="9" w:name="OLE_LINK1"/>
      <w:r>
        <w:rPr>
          <w:rFonts w:hint="eastAsia" w:ascii="宋体" w:hAnsi="宋体" w:eastAsia="宋体" w:cs="宋体"/>
          <w:color w:val="auto"/>
          <w:sz w:val="24"/>
          <w:szCs w:val="24"/>
          <w:highlight w:val="none"/>
          <w:lang w:eastAsia="zh-CN"/>
        </w:rPr>
        <w:t>0570-</w:t>
      </w:r>
      <w:r>
        <w:rPr>
          <w:rFonts w:hint="eastAsia" w:ascii="宋体" w:hAnsi="宋体" w:eastAsia="宋体" w:cs="宋体"/>
          <w:color w:val="auto"/>
          <w:sz w:val="24"/>
          <w:szCs w:val="24"/>
          <w:highlight w:val="none"/>
          <w:lang w:val="en-US" w:eastAsia="zh-CN"/>
        </w:rPr>
        <w:t>8350622</w:t>
      </w:r>
      <w:bookmarkEnd w:id="9"/>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质疑联系人：</w:t>
      </w:r>
      <w:r>
        <w:rPr>
          <w:rFonts w:hint="eastAsia" w:ascii="宋体" w:hAnsi="宋体" w:eastAsia="宋体" w:cs="宋体"/>
          <w:color w:val="auto"/>
          <w:sz w:val="24"/>
          <w:szCs w:val="24"/>
          <w:highlight w:val="none"/>
          <w:lang w:val="en-US" w:eastAsia="zh-CN"/>
        </w:rPr>
        <w:t>薛</w:t>
      </w:r>
      <w:r>
        <w:rPr>
          <w:rFonts w:hint="eastAsia" w:ascii="宋体" w:hAnsi="宋体" w:eastAsia="宋体" w:cs="宋体"/>
          <w:color w:val="auto"/>
          <w:sz w:val="24"/>
          <w:szCs w:val="24"/>
          <w:highlight w:val="none"/>
          <w:lang w:eastAsia="zh-CN"/>
        </w:rPr>
        <w:t>老师</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质疑联系方式：0570-</w:t>
      </w:r>
      <w:r>
        <w:rPr>
          <w:rFonts w:hint="eastAsia" w:ascii="宋体" w:hAnsi="宋体" w:eastAsia="宋体" w:cs="宋体"/>
          <w:color w:val="auto"/>
          <w:sz w:val="24"/>
          <w:szCs w:val="24"/>
          <w:highlight w:val="none"/>
          <w:lang w:val="en-US" w:eastAsia="zh-CN"/>
        </w:rPr>
        <w:t xml:space="preserve">8350622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2.采购代理机构信息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德威工程管理咨询有限公司</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bookmarkStart w:id="10" w:name="OLE_LINK13"/>
      <w:r>
        <w:rPr>
          <w:rFonts w:hint="eastAsia" w:ascii="宋体" w:hAnsi="宋体" w:eastAsia="宋体" w:cs="宋体"/>
          <w:color w:val="auto"/>
          <w:sz w:val="24"/>
          <w:szCs w:val="24"/>
          <w:highlight w:val="none"/>
          <w:lang w:eastAsia="zh-CN"/>
        </w:rPr>
        <w:t>衢州市柯城区</w:t>
      </w:r>
      <w:r>
        <w:rPr>
          <w:rFonts w:hint="eastAsia" w:ascii="宋体" w:hAnsi="宋体" w:eastAsia="宋体" w:cs="宋体"/>
          <w:color w:val="auto"/>
          <w:sz w:val="24"/>
          <w:szCs w:val="24"/>
          <w:highlight w:val="none"/>
          <w:lang w:val="en-US" w:eastAsia="zh-CN"/>
        </w:rPr>
        <w:t>荷五路468号</w:t>
      </w:r>
      <w:bookmarkEnd w:id="10"/>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lang w:val="en-US" w:eastAsia="zh-CN"/>
        </w:rPr>
        <w:t>祝女士</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w:t>
      </w:r>
      <w:r>
        <w:rPr>
          <w:rFonts w:hint="eastAsia" w:ascii="宋体" w:hAnsi="宋体" w:eastAsia="宋体" w:cs="宋体"/>
          <w:color w:val="auto"/>
          <w:sz w:val="24"/>
          <w:szCs w:val="24"/>
          <w:highlight w:val="none"/>
          <w:lang w:val="en-US" w:eastAsia="zh-CN"/>
        </w:rPr>
        <w:t>0570-8880182</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w:t>
      </w:r>
      <w:r>
        <w:rPr>
          <w:rFonts w:hint="eastAsia" w:ascii="宋体" w:hAnsi="宋体" w:eastAsia="宋体" w:cs="宋体"/>
          <w:color w:val="auto"/>
          <w:sz w:val="24"/>
          <w:szCs w:val="24"/>
          <w:highlight w:val="none"/>
          <w:lang w:val="en-US" w:eastAsia="zh-CN"/>
        </w:rPr>
        <w:t>吴先生</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w:t>
      </w:r>
      <w:r>
        <w:rPr>
          <w:rFonts w:hint="eastAsia" w:ascii="宋体" w:hAnsi="宋体" w:eastAsia="宋体" w:cs="宋体"/>
          <w:color w:val="auto"/>
          <w:sz w:val="24"/>
          <w:szCs w:val="24"/>
          <w:highlight w:val="none"/>
          <w:lang w:val="en-US" w:eastAsia="zh-CN"/>
        </w:rPr>
        <w:t>0570-8881082</w:t>
      </w:r>
      <w:r>
        <w:rPr>
          <w:rFonts w:hint="eastAsia" w:ascii="宋体" w:hAnsi="宋体" w:eastAsia="宋体" w:cs="宋体"/>
          <w:color w:val="auto"/>
          <w:sz w:val="24"/>
          <w:szCs w:val="24"/>
          <w:highlight w:val="none"/>
        </w:rPr>
        <w:t xml:space="preserve"> 　　　　　　</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3.同级政府采购监督管理部门            </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名称：衢州市柯城区财政局             </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地址：荷三路行政中心9号楼      </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传真：</w:t>
      </w:r>
      <w:r>
        <w:rPr>
          <w:rFonts w:hint="eastAsia" w:ascii="宋体" w:hAnsi="宋体" w:eastAsia="宋体" w:cs="宋体"/>
          <w:color w:val="auto"/>
          <w:sz w:val="24"/>
          <w:szCs w:val="22"/>
          <w:highlight w:val="none"/>
          <w:lang w:val="en-US" w:eastAsia="zh-CN"/>
        </w:rPr>
        <w:t>/</w:t>
      </w:r>
      <w:r>
        <w:rPr>
          <w:rFonts w:hint="eastAsia" w:ascii="宋体" w:hAnsi="宋体" w:eastAsia="宋体" w:cs="宋体"/>
          <w:color w:val="auto"/>
          <w:sz w:val="24"/>
          <w:szCs w:val="22"/>
          <w:highlight w:val="none"/>
        </w:rPr>
        <w:t xml:space="preserve">             </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联系人 ：</w:t>
      </w:r>
      <w:r>
        <w:rPr>
          <w:rFonts w:hint="eastAsia" w:ascii="宋体" w:hAnsi="宋体" w:eastAsia="宋体" w:cs="宋体"/>
          <w:color w:val="auto"/>
          <w:sz w:val="24"/>
          <w:szCs w:val="22"/>
          <w:highlight w:val="none"/>
          <w:lang w:eastAsia="zh-CN"/>
        </w:rPr>
        <w:t>蒋志斌</w:t>
      </w:r>
      <w:r>
        <w:rPr>
          <w:rFonts w:hint="eastAsia" w:ascii="宋体" w:hAnsi="宋体" w:eastAsia="宋体" w:cs="宋体"/>
          <w:color w:val="auto"/>
          <w:sz w:val="24"/>
          <w:szCs w:val="22"/>
          <w:highlight w:val="none"/>
        </w:rPr>
        <w:t xml:space="preserve">             </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rPr>
        <w:t>监督投诉电话：</w:t>
      </w:r>
      <w:bookmarkStart w:id="11" w:name="OLE_LINK10"/>
      <w:r>
        <w:rPr>
          <w:rFonts w:hint="eastAsia" w:ascii="宋体" w:hAnsi="宋体" w:eastAsia="宋体" w:cs="宋体"/>
          <w:color w:val="auto"/>
          <w:sz w:val="24"/>
          <w:szCs w:val="22"/>
          <w:highlight w:val="none"/>
        </w:rPr>
        <w:t>0570-302</w:t>
      </w:r>
      <w:r>
        <w:rPr>
          <w:rFonts w:hint="eastAsia" w:ascii="宋体" w:hAnsi="宋体" w:eastAsia="宋体" w:cs="宋体"/>
          <w:color w:val="auto"/>
          <w:sz w:val="24"/>
          <w:szCs w:val="22"/>
          <w:highlight w:val="none"/>
          <w:lang w:val="en-US" w:eastAsia="zh-CN"/>
        </w:rPr>
        <w:t>0829</w:t>
      </w:r>
      <w:bookmarkEnd w:id="11"/>
    </w:p>
    <w:p>
      <w:pPr>
        <w:pStyle w:val="59"/>
        <w:kinsoku/>
        <w:overflowPunct/>
        <w:bidi w:val="0"/>
        <w:spacing w:after="0" w:line="400" w:lineRule="exact"/>
        <w:ind w:left="0" w:leftChars="0" w:firstLine="420" w:firstLineChars="200"/>
        <w:jc w:val="left"/>
        <w:rPr>
          <w:rFonts w:hint="eastAsia" w:ascii="宋体" w:hAnsi="宋体" w:eastAsia="宋体" w:cs="宋体"/>
          <w:color w:val="auto"/>
          <w:sz w:val="21"/>
          <w:szCs w:val="21"/>
          <w:highlight w:val="none"/>
          <w:lang w:val="en-US" w:eastAsia="zh-CN"/>
        </w:rPr>
      </w:pPr>
    </w:p>
    <w:p>
      <w:pPr>
        <w:pStyle w:val="47"/>
        <w:pageBreakBefore/>
        <w:kinsoku/>
        <w:overflowPunct/>
        <w:bidi w:val="0"/>
        <w:adjustRightInd w:val="0"/>
        <w:snapToGrid w:val="0"/>
        <w:spacing w:line="400" w:lineRule="exact"/>
        <w:jc w:val="center"/>
        <w:outlineLvl w:val="0"/>
        <w:rPr>
          <w:rFonts w:hint="eastAsia" w:ascii="宋体" w:hAnsi="宋体" w:eastAsia="宋体" w:cs="宋体"/>
          <w:b/>
          <w:color w:val="auto"/>
          <w:sz w:val="36"/>
          <w:highlight w:val="none"/>
        </w:rPr>
      </w:pPr>
      <w:bookmarkStart w:id="12" w:name="_Toc31506"/>
      <w:r>
        <w:rPr>
          <w:rFonts w:hint="eastAsia" w:ascii="宋体" w:hAnsi="宋体" w:eastAsia="宋体" w:cs="宋体"/>
          <w:b/>
          <w:color w:val="auto"/>
          <w:sz w:val="36"/>
          <w:highlight w:val="none"/>
        </w:rPr>
        <w:t>第二部分  投标人须知</w:t>
      </w:r>
      <w:bookmarkEnd w:id="12"/>
    </w:p>
    <w:p>
      <w:pPr>
        <w:pStyle w:val="4"/>
        <w:kinsoku/>
        <w:overflowPunct/>
        <w:bidi w:val="0"/>
        <w:spacing w:line="400" w:lineRule="exact"/>
        <w:ind w:left="560" w:firstLine="0"/>
        <w:jc w:val="center"/>
        <w:rPr>
          <w:rFonts w:hint="eastAsia" w:ascii="宋体" w:hAnsi="宋体" w:eastAsia="宋体" w:cs="宋体"/>
          <w:color w:val="auto"/>
          <w:sz w:val="32"/>
          <w:highlight w:val="none"/>
        </w:rPr>
      </w:pPr>
      <w:bookmarkStart w:id="13" w:name="_Toc522530040"/>
      <w:bookmarkStart w:id="14" w:name="_Toc519670190"/>
      <w:bookmarkStart w:id="15" w:name="_Toc16117"/>
      <w:r>
        <w:rPr>
          <w:rFonts w:hint="eastAsia" w:ascii="宋体" w:hAnsi="宋体" w:eastAsia="宋体" w:cs="宋体"/>
          <w:color w:val="auto"/>
          <w:sz w:val="32"/>
          <w:highlight w:val="none"/>
        </w:rPr>
        <w:t>前 附 表</w:t>
      </w:r>
      <w:bookmarkEnd w:id="13"/>
      <w:bookmarkEnd w:id="14"/>
      <w:bookmarkEnd w:id="15"/>
    </w:p>
    <w:tbl>
      <w:tblPr>
        <w:tblStyle w:val="97"/>
        <w:tblW w:w="10615"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254"/>
        <w:gridCol w:w="8581"/>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25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8581"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内容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5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是否允许分包</w:t>
            </w:r>
          </w:p>
        </w:tc>
        <w:tc>
          <w:tcPr>
            <w:tcW w:w="8581" w:type="dxa"/>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☑不允许</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允许  分包内容要求：      分包金额要求：</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接受分包的第三人资质要求：</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5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踏勘现场</w:t>
            </w:r>
          </w:p>
        </w:tc>
        <w:tc>
          <w:tcPr>
            <w:tcW w:w="8581" w:type="dxa"/>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sym w:font="Wingdings" w:char="F0FE"/>
            </w:r>
            <w:r>
              <w:rPr>
                <w:rFonts w:hint="eastAsia" w:ascii="宋体" w:hAnsi="宋体" w:eastAsia="宋体" w:cs="宋体"/>
                <w:color w:val="auto"/>
                <w:spacing w:val="-2"/>
                <w:kern w:val="0"/>
                <w:position w:val="-3"/>
                <w:sz w:val="24"/>
                <w:highlight w:val="none"/>
              </w:rPr>
              <w:t>不组织  投标人如有需要可自行前往踏勘，联系方式见招标公告。</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 xml:space="preserve">□统一组织踏勘时间：踏勘集中地点：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5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投标预备答疑会</w:t>
            </w:r>
          </w:p>
        </w:tc>
        <w:tc>
          <w:tcPr>
            <w:tcW w:w="8581" w:type="dxa"/>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sym w:font="Wingdings" w:char="F0FE"/>
            </w:r>
            <w:r>
              <w:rPr>
                <w:rFonts w:hint="eastAsia" w:ascii="宋体" w:hAnsi="宋体" w:eastAsia="宋体" w:cs="宋体"/>
                <w:color w:val="auto"/>
                <w:spacing w:val="-2"/>
                <w:kern w:val="0"/>
                <w:position w:val="-3"/>
                <w:sz w:val="24"/>
                <w:highlight w:val="none"/>
              </w:rPr>
              <w:t>不召开</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□召开时间：召开地点：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25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kern w:val="0"/>
                <w:position w:val="-3"/>
                <w:sz w:val="24"/>
                <w:highlight w:val="none"/>
              </w:rPr>
              <w:t>是否</w:t>
            </w:r>
            <w:r>
              <w:rPr>
                <w:rFonts w:hint="eastAsia" w:ascii="宋体" w:hAnsi="宋体" w:eastAsia="宋体" w:cs="宋体"/>
                <w:color w:val="auto"/>
                <w:spacing w:val="-2"/>
                <w:kern w:val="0"/>
                <w:position w:val="-3"/>
                <w:sz w:val="24"/>
                <w:highlight w:val="none"/>
              </w:rPr>
              <w:t>接</w:t>
            </w:r>
            <w:r>
              <w:rPr>
                <w:rFonts w:hint="eastAsia" w:ascii="宋体" w:hAnsi="宋体" w:eastAsia="宋体" w:cs="宋体"/>
                <w:color w:val="auto"/>
                <w:kern w:val="0"/>
                <w:position w:val="-3"/>
                <w:sz w:val="24"/>
                <w:highlight w:val="none"/>
              </w:rPr>
              <w:t>受</w:t>
            </w:r>
            <w:r>
              <w:rPr>
                <w:rFonts w:hint="eastAsia" w:ascii="宋体" w:hAnsi="宋体" w:eastAsia="宋体" w:cs="宋体"/>
                <w:color w:val="auto"/>
                <w:spacing w:val="-2"/>
                <w:kern w:val="0"/>
                <w:position w:val="-3"/>
                <w:sz w:val="24"/>
                <w:highlight w:val="none"/>
              </w:rPr>
              <w:t>联</w:t>
            </w:r>
            <w:r>
              <w:rPr>
                <w:rFonts w:hint="eastAsia" w:ascii="宋体" w:hAnsi="宋体" w:eastAsia="宋体" w:cs="宋体"/>
                <w:color w:val="auto"/>
                <w:kern w:val="0"/>
                <w:position w:val="-3"/>
                <w:sz w:val="24"/>
                <w:highlight w:val="none"/>
              </w:rPr>
              <w:t>合</w:t>
            </w:r>
            <w:r>
              <w:rPr>
                <w:rFonts w:hint="eastAsia" w:ascii="宋体" w:hAnsi="宋体" w:eastAsia="宋体" w:cs="宋体"/>
                <w:color w:val="auto"/>
                <w:spacing w:val="-2"/>
                <w:kern w:val="0"/>
                <w:position w:val="-3"/>
                <w:sz w:val="24"/>
                <w:highlight w:val="none"/>
              </w:rPr>
              <w:t>体</w:t>
            </w:r>
            <w:r>
              <w:rPr>
                <w:rFonts w:hint="eastAsia" w:ascii="宋体" w:hAnsi="宋体" w:eastAsia="宋体" w:cs="宋体"/>
                <w:color w:val="auto"/>
                <w:kern w:val="0"/>
                <w:position w:val="-3"/>
                <w:sz w:val="24"/>
                <w:highlight w:val="none"/>
              </w:rPr>
              <w:t>投标</w:t>
            </w:r>
          </w:p>
        </w:tc>
        <w:tc>
          <w:tcPr>
            <w:tcW w:w="858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lang w:val="zh-CN"/>
              </w:rPr>
              <w:t>否。</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□是。</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25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是否允许进口产品投标</w:t>
            </w:r>
          </w:p>
        </w:tc>
        <w:tc>
          <w:tcPr>
            <w:tcW w:w="858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lang w:val="zh-CN"/>
              </w:rPr>
              <w:t>不允许。</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□允许，详见招标文件第三部分 采购需求。</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□部分允许，详见招标文件第三部分 采购需求。</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报价及交货方式：□CIP</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□CIF。</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25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kern w:val="0"/>
                <w:position w:val="-5"/>
                <w:sz w:val="24"/>
                <w:highlight w:val="none"/>
              </w:rPr>
              <w:t>投标</w:t>
            </w:r>
            <w:r>
              <w:rPr>
                <w:rFonts w:hint="eastAsia" w:ascii="宋体" w:hAnsi="宋体" w:eastAsia="宋体" w:cs="宋体"/>
                <w:color w:val="auto"/>
                <w:spacing w:val="-2"/>
                <w:kern w:val="0"/>
                <w:position w:val="-5"/>
                <w:sz w:val="24"/>
                <w:highlight w:val="none"/>
              </w:rPr>
              <w:t>文</w:t>
            </w:r>
            <w:r>
              <w:rPr>
                <w:rFonts w:hint="eastAsia" w:ascii="宋体" w:hAnsi="宋体" w:eastAsia="宋体" w:cs="宋体"/>
                <w:color w:val="auto"/>
                <w:kern w:val="0"/>
                <w:position w:val="-5"/>
                <w:sz w:val="24"/>
                <w:highlight w:val="none"/>
              </w:rPr>
              <w:t>件</w:t>
            </w:r>
            <w:r>
              <w:rPr>
                <w:rFonts w:hint="eastAsia" w:ascii="宋体" w:hAnsi="宋体" w:eastAsia="宋体" w:cs="宋体"/>
                <w:color w:val="auto"/>
                <w:spacing w:val="-2"/>
                <w:kern w:val="0"/>
                <w:position w:val="-5"/>
                <w:sz w:val="24"/>
                <w:highlight w:val="none"/>
              </w:rPr>
              <w:t>份</w:t>
            </w:r>
            <w:r>
              <w:rPr>
                <w:rFonts w:hint="eastAsia" w:ascii="宋体" w:hAnsi="宋体" w:eastAsia="宋体" w:cs="宋体"/>
                <w:color w:val="auto"/>
                <w:kern w:val="0"/>
                <w:position w:val="-5"/>
                <w:sz w:val="24"/>
                <w:highlight w:val="none"/>
              </w:rPr>
              <w:t>数</w:t>
            </w:r>
          </w:p>
        </w:tc>
        <w:tc>
          <w:tcPr>
            <w:tcW w:w="8581" w:type="dxa"/>
            <w:vAlign w:val="center"/>
          </w:tcPr>
          <w:p>
            <w:pPr>
              <w:keepNext w:val="0"/>
              <w:keepLines w:val="0"/>
              <w:pageBreakBefore w:val="0"/>
              <w:widowControl w:val="0"/>
              <w:numPr>
                <w:ilvl w:val="0"/>
                <w:numId w:val="3"/>
              </w:numPr>
              <w:kinsoku/>
              <w:wordWrap/>
              <w:overflowPunct/>
              <w:topLinePunct w:val="0"/>
              <w:bidi w:val="0"/>
              <w:spacing w:line="400" w:lineRule="exact"/>
              <w:ind w:left="0" w:lef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“电子加密投标文件”：在线上传递交、一份。</w:t>
            </w:r>
          </w:p>
          <w:p>
            <w:pPr>
              <w:keepNext w:val="0"/>
              <w:keepLines w:val="0"/>
              <w:pageBreakBefore w:val="0"/>
              <w:widowControl w:val="0"/>
              <w:numPr>
                <w:ilvl w:val="0"/>
                <w:numId w:val="3"/>
              </w:numPr>
              <w:kinsoku/>
              <w:wordWrap/>
              <w:overflowPunct/>
              <w:topLinePunct w:val="0"/>
              <w:bidi w:val="0"/>
              <w:spacing w:line="400" w:lineRule="exact"/>
              <w:ind w:left="0" w:leftChars="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“备份投标文件”：密封包装后（建议顺丰邮寄）投标截止时间前递交一份，邮寄地址：</w:t>
            </w:r>
            <w:r>
              <w:rPr>
                <w:rFonts w:hint="eastAsia" w:ascii="宋体" w:hAnsi="宋体" w:cs="宋体"/>
                <w:color w:val="auto"/>
                <w:sz w:val="24"/>
                <w:szCs w:val="24"/>
                <w:highlight w:val="none"/>
                <w:lang w:val="en-US" w:eastAsia="zh-CN"/>
              </w:rPr>
              <w:t>衢州市柯城区荷五路468号</w:t>
            </w:r>
            <w:r>
              <w:rPr>
                <w:rFonts w:hint="eastAsia" w:ascii="宋体" w:hAnsi="宋体" w:eastAsia="宋体" w:cs="宋体"/>
                <w:color w:val="auto"/>
                <w:sz w:val="24"/>
                <w:szCs w:val="24"/>
                <w:highlight w:val="none"/>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25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5"/>
                <w:sz w:val="24"/>
                <w:szCs w:val="22"/>
                <w:highlight w:val="none"/>
              </w:rPr>
              <w:t>投标文件的组成和编制</w:t>
            </w:r>
          </w:p>
        </w:tc>
        <w:tc>
          <w:tcPr>
            <w:tcW w:w="858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本项目完整的《投标文件》由“资格文件”、“商务技术文件”和“报价文件”三个部分组成。</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投标人应先安装“政采云电子交易客户端”，并按照本招标文件和“政府采购云平台”的要求，通过“政采云电子交易客户端”编制并加密投标文件。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25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position w:val="-3"/>
                <w:sz w:val="24"/>
                <w:highlight w:val="none"/>
              </w:rPr>
            </w:pPr>
            <w:r>
              <w:rPr>
                <w:rFonts w:hint="eastAsia" w:ascii="宋体" w:hAnsi="宋体" w:eastAsia="宋体" w:cs="宋体"/>
                <w:color w:val="auto"/>
                <w:kern w:val="0"/>
                <w:position w:val="-5"/>
                <w:sz w:val="24"/>
                <w:szCs w:val="22"/>
                <w:highlight w:val="none"/>
              </w:rPr>
              <w:t>投标文件的签章</w:t>
            </w:r>
          </w:p>
        </w:tc>
        <w:tc>
          <w:tcPr>
            <w:tcW w:w="858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position w:val="-2"/>
                <w:sz w:val="24"/>
                <w:highlight w:val="none"/>
              </w:rPr>
            </w:pPr>
            <w:r>
              <w:rPr>
                <w:rFonts w:hint="eastAsia" w:ascii="宋体" w:hAnsi="宋体" w:eastAsia="宋体" w:cs="宋体"/>
                <w:color w:val="auto"/>
                <w:sz w:val="24"/>
                <w:highlight w:val="none"/>
              </w:rPr>
              <w:t>电子签章</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25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3"/>
                <w:sz w:val="24"/>
                <w:highlight w:val="none"/>
              </w:rPr>
              <w:t>投标</w:t>
            </w:r>
            <w:r>
              <w:rPr>
                <w:rFonts w:hint="eastAsia" w:ascii="宋体" w:hAnsi="宋体" w:eastAsia="宋体" w:cs="宋体"/>
                <w:color w:val="auto"/>
                <w:spacing w:val="-2"/>
                <w:kern w:val="0"/>
                <w:position w:val="-3"/>
                <w:sz w:val="24"/>
                <w:highlight w:val="none"/>
              </w:rPr>
              <w:t>文</w:t>
            </w:r>
            <w:r>
              <w:rPr>
                <w:rFonts w:hint="eastAsia" w:ascii="宋体" w:hAnsi="宋体" w:eastAsia="宋体" w:cs="宋体"/>
                <w:color w:val="auto"/>
                <w:kern w:val="0"/>
                <w:position w:val="-3"/>
                <w:sz w:val="24"/>
                <w:highlight w:val="none"/>
              </w:rPr>
              <w:t>件</w:t>
            </w:r>
            <w:r>
              <w:rPr>
                <w:rFonts w:hint="eastAsia" w:ascii="宋体" w:hAnsi="宋体" w:eastAsia="宋体" w:cs="宋体"/>
                <w:color w:val="auto"/>
                <w:spacing w:val="-2"/>
                <w:kern w:val="0"/>
                <w:position w:val="-3"/>
                <w:sz w:val="24"/>
                <w:highlight w:val="none"/>
              </w:rPr>
              <w:t>有</w:t>
            </w:r>
            <w:r>
              <w:rPr>
                <w:rFonts w:hint="eastAsia" w:ascii="宋体" w:hAnsi="宋体" w:eastAsia="宋体" w:cs="宋体"/>
                <w:color w:val="auto"/>
                <w:kern w:val="0"/>
                <w:position w:val="-3"/>
                <w:sz w:val="24"/>
                <w:highlight w:val="none"/>
              </w:rPr>
              <w:t>效期</w:t>
            </w:r>
          </w:p>
        </w:tc>
        <w:tc>
          <w:tcPr>
            <w:tcW w:w="858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2"/>
                <w:sz w:val="24"/>
                <w:highlight w:val="none"/>
              </w:rPr>
              <w:t>自投</w:t>
            </w:r>
            <w:r>
              <w:rPr>
                <w:rFonts w:hint="eastAsia" w:ascii="宋体" w:hAnsi="宋体" w:eastAsia="宋体" w:cs="宋体"/>
                <w:color w:val="auto"/>
                <w:spacing w:val="-2"/>
                <w:kern w:val="0"/>
                <w:position w:val="-2"/>
                <w:sz w:val="24"/>
                <w:highlight w:val="none"/>
              </w:rPr>
              <w:t>标</w:t>
            </w:r>
            <w:r>
              <w:rPr>
                <w:rFonts w:hint="eastAsia" w:ascii="宋体" w:hAnsi="宋体" w:eastAsia="宋体" w:cs="宋体"/>
                <w:color w:val="auto"/>
                <w:kern w:val="0"/>
                <w:position w:val="-2"/>
                <w:sz w:val="24"/>
                <w:highlight w:val="none"/>
              </w:rPr>
              <w:t>截</w:t>
            </w:r>
            <w:r>
              <w:rPr>
                <w:rFonts w:hint="eastAsia" w:ascii="宋体" w:hAnsi="宋体" w:eastAsia="宋体" w:cs="宋体"/>
                <w:color w:val="auto"/>
                <w:spacing w:val="-2"/>
                <w:kern w:val="0"/>
                <w:position w:val="-2"/>
                <w:sz w:val="24"/>
                <w:highlight w:val="none"/>
              </w:rPr>
              <w:t>止</w:t>
            </w:r>
            <w:r>
              <w:rPr>
                <w:rFonts w:hint="eastAsia" w:ascii="宋体" w:hAnsi="宋体" w:eastAsia="宋体" w:cs="宋体"/>
                <w:color w:val="auto"/>
                <w:kern w:val="0"/>
                <w:position w:val="-2"/>
                <w:sz w:val="24"/>
                <w:highlight w:val="none"/>
              </w:rPr>
              <w:t>时</w:t>
            </w:r>
            <w:r>
              <w:rPr>
                <w:rFonts w:hint="eastAsia" w:ascii="宋体" w:hAnsi="宋体" w:eastAsia="宋体" w:cs="宋体"/>
                <w:color w:val="auto"/>
                <w:spacing w:val="-2"/>
                <w:kern w:val="0"/>
                <w:position w:val="-2"/>
                <w:sz w:val="24"/>
                <w:highlight w:val="none"/>
              </w:rPr>
              <w:t>间</w:t>
            </w:r>
            <w:r>
              <w:rPr>
                <w:rFonts w:hint="eastAsia" w:ascii="宋体" w:hAnsi="宋体" w:eastAsia="宋体" w:cs="宋体"/>
                <w:color w:val="auto"/>
                <w:kern w:val="0"/>
                <w:position w:val="-2"/>
                <w:sz w:val="24"/>
                <w:highlight w:val="none"/>
              </w:rPr>
              <w:t>起不少于</w:t>
            </w:r>
            <w:r>
              <w:rPr>
                <w:rFonts w:hint="eastAsia" w:ascii="宋体" w:hAnsi="宋体" w:eastAsia="宋体" w:cs="宋体"/>
                <w:color w:val="auto"/>
                <w:spacing w:val="-2"/>
                <w:kern w:val="0"/>
                <w:position w:val="-2"/>
                <w:sz w:val="24"/>
                <w:highlight w:val="none"/>
              </w:rPr>
              <w:t>90天。</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25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3"/>
                <w:sz w:val="24"/>
                <w:szCs w:val="22"/>
                <w:highlight w:val="none"/>
              </w:rPr>
              <w:t>投标文件的形式</w:t>
            </w:r>
          </w:p>
        </w:tc>
        <w:tc>
          <w:tcPr>
            <w:tcW w:w="8581" w:type="dxa"/>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☑电子投标文件（包括“电子加密投标文件”和“备份投标文件”，在投标文件编制完成后同时生成）；</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（1）“电子加密投标文件”是指通过“政采云电子交易客户端”完成投标文件编制后生成并加密的数据电文形式的投标文件。</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25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position w:val="-3"/>
                <w:sz w:val="24"/>
                <w:highlight w:val="none"/>
              </w:rPr>
            </w:pPr>
            <w:r>
              <w:rPr>
                <w:rFonts w:hint="eastAsia" w:ascii="宋体" w:hAnsi="宋体" w:eastAsia="宋体" w:cs="宋体"/>
                <w:color w:val="auto"/>
                <w:kern w:val="0"/>
                <w:position w:val="-3"/>
                <w:sz w:val="24"/>
                <w:highlight w:val="none"/>
              </w:rPr>
              <w:t>投标样品</w:t>
            </w:r>
          </w:p>
        </w:tc>
        <w:tc>
          <w:tcPr>
            <w:tcW w:w="858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1、本项目是否需要样品：□</w:t>
            </w:r>
            <w:r>
              <w:rPr>
                <w:rFonts w:hint="eastAsia" w:ascii="宋体" w:hAnsi="宋体" w:eastAsia="宋体" w:cs="宋体"/>
                <w:color w:val="auto"/>
                <w:kern w:val="2"/>
                <w:sz w:val="24"/>
                <w:szCs w:val="24"/>
                <w:highlight w:val="none"/>
                <w:lang w:val="zh-CN" w:eastAsia="zh-CN" w:bidi="ar-SA"/>
              </w:rPr>
              <w:t>否；</w:t>
            </w:r>
            <w:r>
              <w:rPr>
                <w:rFonts w:hint="eastAsia" w:ascii="宋体" w:hAnsi="宋体" w:eastAsia="宋体" w:cs="宋体"/>
                <w:color w:val="auto"/>
                <w:kern w:val="2"/>
                <w:sz w:val="24"/>
                <w:szCs w:val="24"/>
                <w:highlight w:val="none"/>
                <w:lang w:val="en-US" w:eastAsia="zh-CN" w:bidi="ar-SA"/>
              </w:rPr>
              <w:t>☑是，详见第三部分要求。</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2、样品标识：☑</w:t>
            </w:r>
            <w:r>
              <w:rPr>
                <w:rFonts w:hint="eastAsia" w:ascii="宋体" w:hAnsi="宋体" w:eastAsia="宋体" w:cs="宋体"/>
                <w:color w:val="auto"/>
                <w:kern w:val="2"/>
                <w:sz w:val="24"/>
                <w:szCs w:val="24"/>
                <w:highlight w:val="none"/>
                <w:lang w:val="zh-CN" w:eastAsia="zh-CN" w:bidi="ar-SA"/>
              </w:rPr>
              <w:t>明标；</w:t>
            </w:r>
            <w:r>
              <w:rPr>
                <w:rFonts w:hint="eastAsia" w:ascii="宋体" w:hAnsi="宋体" w:eastAsia="宋体" w:cs="宋体"/>
                <w:color w:val="auto"/>
                <w:kern w:val="2"/>
                <w:sz w:val="24"/>
                <w:szCs w:val="24"/>
                <w:highlight w:val="none"/>
                <w:lang w:val="en-US" w:eastAsia="zh-CN" w:bidi="ar-SA"/>
              </w:rPr>
              <w:t>□暗标。</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3、样品送至地点：</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cs="宋体"/>
                <w:color w:val="auto"/>
                <w:kern w:val="2"/>
                <w:sz w:val="24"/>
                <w:szCs w:val="24"/>
                <w:highlight w:val="none"/>
                <w:u w:val="single"/>
                <w:lang w:val="en-US" w:eastAsia="zh-CN" w:bidi="ar-SA"/>
              </w:rPr>
              <w:t>德威工程管理咨询有限公司（衢州市柯城区荷五路468号）</w:t>
            </w:r>
            <w:r>
              <w:rPr>
                <w:rFonts w:hint="eastAsia" w:ascii="宋体" w:hAnsi="宋体" w:eastAsia="宋体" w:cs="宋体"/>
                <w:color w:val="auto"/>
                <w:kern w:val="2"/>
                <w:sz w:val="24"/>
                <w:szCs w:val="24"/>
                <w:highlight w:val="none"/>
                <w:u w:val="single"/>
                <w:lang w:val="en-US" w:eastAsia="zh-CN" w:bidi="ar-SA"/>
              </w:rPr>
              <w:t xml:space="preserve"> </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4、中标人样品处理：□退还；☑封存至验收；□抵扣采购数量。</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kern w:val="2"/>
                <w:sz w:val="24"/>
                <w:szCs w:val="24"/>
                <w:highlight w:val="none"/>
                <w:lang w:val="en-US" w:eastAsia="zh-CN" w:bidi="ar-SA"/>
              </w:rPr>
              <w:t>5、样品退还时间：</w:t>
            </w:r>
            <w:r>
              <w:rPr>
                <w:rFonts w:hint="eastAsia" w:ascii="宋体" w:hAnsi="宋体" w:eastAsia="宋体" w:cs="宋体"/>
                <w:color w:val="auto"/>
                <w:kern w:val="2"/>
                <w:sz w:val="24"/>
                <w:szCs w:val="24"/>
                <w:highlight w:val="none"/>
                <w:u w:val="single"/>
                <w:lang w:val="en-US" w:eastAsia="zh-CN" w:bidi="ar-SA"/>
              </w:rPr>
              <w:t xml:space="preserve"> （另行通知）  </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highlight w:val="none"/>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1254" w:type="dxa"/>
            <w:vAlign w:val="center"/>
          </w:tcPr>
          <w:p>
            <w:pPr>
              <w:pStyle w:val="47"/>
              <w:keepNext w:val="0"/>
              <w:keepLines w:val="0"/>
              <w:pageBreakBefore w:val="0"/>
              <w:widowControl w:val="0"/>
              <w:kinsoku/>
              <w:wordWrap/>
              <w:overflowPunct/>
              <w:topLinePunct w:val="0"/>
              <w:bidi w:val="0"/>
              <w:snapToGrid w:val="0"/>
              <w:spacing w:line="360" w:lineRule="auto"/>
              <w:ind w:left="0" w:leftChars="0"/>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履约保证金交纳</w:t>
            </w:r>
          </w:p>
        </w:tc>
        <w:tc>
          <w:tcPr>
            <w:tcW w:w="8581" w:type="dxa"/>
            <w:vAlign w:val="center"/>
          </w:tcPr>
          <w:p>
            <w:pPr>
              <w:pStyle w:val="47"/>
              <w:keepNext w:val="0"/>
              <w:keepLines w:val="0"/>
              <w:pageBreakBefore w:val="0"/>
              <w:widowControl w:val="0"/>
              <w:kinsoku/>
              <w:wordWrap/>
              <w:overflowPunct/>
              <w:topLinePunct w:val="0"/>
              <w:bidi w:val="0"/>
              <w:snapToGrid w:val="0"/>
              <w:spacing w:line="360" w:lineRule="auto"/>
              <w:ind w:left="0" w:leftChars="0"/>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780" w:type="dxa"/>
            <w:vMerge w:val="restart"/>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1254" w:type="dxa"/>
            <w:vMerge w:val="restart"/>
            <w:vAlign w:val="center"/>
          </w:tcPr>
          <w:p>
            <w:pPr>
              <w:keepNext w:val="0"/>
              <w:keepLines w:val="0"/>
              <w:pageBreakBefore w:val="0"/>
              <w:widowControl w:val="0"/>
              <w:kinsoku/>
              <w:wordWrap/>
              <w:overflowPunct/>
              <w:topLinePunct w:val="0"/>
              <w:bidi w:val="0"/>
              <w:adjustRightInd w:val="0"/>
              <w:snapToGrid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其他注意事项</w:t>
            </w:r>
          </w:p>
        </w:tc>
        <w:tc>
          <w:tcPr>
            <w:tcW w:w="8581"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招标文件中部分加“▲”的条款，属于招标文件的实质性要求和条件，着重提醒各投标人注意，并认真查看招标文件中的每一个条款及要求，因误读招标文件而造成的后果，招标人概不负责。</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581"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以上内容如有变化将另行通知，如通知其中某一项内容发生变化，其余未提及的内容将不作变动。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581"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根据浙江省财政厅文件浙财采监[2015]13号文件《关于印发浙江省政府采购活动现场组织管理办法的通知》要求，本项目按浙江省政府采购活动现场组织管理办法实施。</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581"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企业质押融资：取得衢州市政府采购合同的</w:t>
            </w:r>
            <w:r>
              <w:rPr>
                <w:rFonts w:hint="eastAsia" w:ascii="宋体" w:hAnsi="宋体" w:cs="宋体"/>
                <w:color w:val="auto"/>
                <w:sz w:val="24"/>
                <w:szCs w:val="22"/>
                <w:highlight w:val="none"/>
                <w:lang w:eastAsia="zh-CN"/>
              </w:rPr>
              <w:t>投标人</w:t>
            </w:r>
            <w:r>
              <w:rPr>
                <w:rFonts w:hint="eastAsia" w:ascii="宋体" w:hAnsi="宋体" w:eastAsia="宋体" w:cs="宋体"/>
                <w:color w:val="auto"/>
                <w:sz w:val="24"/>
                <w:szCs w:val="22"/>
                <w:highlight w:val="none"/>
              </w:rPr>
              <w:t>，均可在政采云里实施政采贷或凭政府采购合同及应收账款收益权，向银行申请质押融资。申请质押融资时，</w:t>
            </w:r>
            <w:r>
              <w:rPr>
                <w:rFonts w:hint="eastAsia" w:ascii="宋体" w:hAnsi="宋体" w:cs="宋体"/>
                <w:color w:val="auto"/>
                <w:sz w:val="24"/>
                <w:szCs w:val="22"/>
                <w:highlight w:val="none"/>
                <w:lang w:eastAsia="zh-CN"/>
              </w:rPr>
              <w:t>投标人</w:t>
            </w:r>
            <w:r>
              <w:rPr>
                <w:rFonts w:hint="eastAsia" w:ascii="宋体" w:hAnsi="宋体" w:eastAsia="宋体" w:cs="宋体"/>
                <w:color w:val="auto"/>
                <w:sz w:val="24"/>
                <w:szCs w:val="22"/>
                <w:highlight w:val="none"/>
              </w:rPr>
              <w:t>需先注册“衢州金融服务信用信息平台”用户，登录后通过“中征融资”模快进入“中征应收账款融资服务平台”，完善企业信息后，向合作银行推送中标采购信息。</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rPr>
              <w:t>采购合同签订前已与银行机构达成融资意向的，</w:t>
            </w:r>
            <w:r>
              <w:rPr>
                <w:rFonts w:hint="eastAsia" w:ascii="宋体" w:hAnsi="宋体" w:cs="宋体"/>
                <w:color w:val="auto"/>
                <w:sz w:val="24"/>
                <w:szCs w:val="22"/>
                <w:highlight w:val="none"/>
                <w:lang w:eastAsia="zh-CN"/>
              </w:rPr>
              <w:t>投标人</w:t>
            </w:r>
            <w:r>
              <w:rPr>
                <w:rFonts w:hint="eastAsia" w:ascii="宋体" w:hAnsi="宋体" w:eastAsia="宋体" w:cs="宋体"/>
                <w:color w:val="auto"/>
                <w:sz w:val="24"/>
                <w:szCs w:val="22"/>
                <w:highlight w:val="none"/>
              </w:rPr>
              <w:t>应向采购单位或采购代理机构申明该合同将用于质押融资，并在合同中注明融资银行机构名称及在该银行机构的唯一收款账号。</w:t>
            </w:r>
            <w:r>
              <w:rPr>
                <w:rFonts w:hint="eastAsia" w:ascii="宋体" w:hAnsi="宋体" w:cs="宋体"/>
                <w:color w:val="auto"/>
                <w:sz w:val="24"/>
                <w:szCs w:val="22"/>
                <w:highlight w:val="none"/>
                <w:lang w:eastAsia="zh-CN"/>
              </w:rPr>
              <w:t>投标人</w:t>
            </w:r>
            <w:r>
              <w:rPr>
                <w:rFonts w:hint="eastAsia" w:ascii="宋体" w:hAnsi="宋体" w:eastAsia="宋体" w:cs="宋体"/>
                <w:color w:val="auto"/>
                <w:sz w:val="24"/>
                <w:szCs w:val="22"/>
                <w:highlight w:val="none"/>
              </w:rPr>
              <w:t>在合同签订后出现融资需求的，</w:t>
            </w:r>
            <w:r>
              <w:rPr>
                <w:rFonts w:hint="eastAsia" w:ascii="宋体" w:hAnsi="宋体" w:cs="宋体"/>
                <w:color w:val="auto"/>
                <w:sz w:val="24"/>
                <w:szCs w:val="22"/>
                <w:highlight w:val="none"/>
                <w:lang w:eastAsia="zh-CN"/>
              </w:rPr>
              <w:t>投标人</w:t>
            </w:r>
            <w:r>
              <w:rPr>
                <w:rFonts w:hint="eastAsia" w:ascii="宋体" w:hAnsi="宋体" w:eastAsia="宋体" w:cs="宋体"/>
                <w:color w:val="auto"/>
                <w:sz w:val="24"/>
                <w:szCs w:val="22"/>
                <w:highlight w:val="none"/>
              </w:rPr>
              <w:t>应根据银行机构要求向采购单位申请修改合同收款账号，并在开具发票时提供给采购人用于支付合同款项。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684" w:hRule="atLeast"/>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581"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根据《关于在政府采购活动中查询及使用信用记录有关问题的通知》财库[2016]125号的规定：</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1）采购人或采购代理机构将对本项目投标人的信用记录进行查询。查询渠道为信用中国网站（www.creditchina.gov.cn）、中国政府采购网（www.ccgp.gov.cn）；</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2）截止时点：提交投标文件（响应文件）截止时间前3年内；</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3）查询记录和证据的留存：信用信息查询记录和证据以网页截图等方式留存。</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5）联合体成员任意一方存在不良信用记录的，视同联合体存在不良信用记录。</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68" w:hRule="atLeast"/>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581"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本项目需要落实的政府采购政策：</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（1）《财政部发展改革委 生态环境部 市场监管总局关于调整优化节能产品、环境标志产品政府采购执行机制的通知》（财库〔2019〕9号）；</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（2）《政府采购促进中小企业发展管理办法》（财库[2020]46号）。</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3</w:t>
            </w:r>
            <w:r>
              <w:rPr>
                <w:rFonts w:hint="eastAsia" w:ascii="宋体" w:hAnsi="宋体" w:eastAsia="宋体" w:cs="宋体"/>
                <w:color w:val="auto"/>
                <w:sz w:val="24"/>
                <w:szCs w:val="22"/>
                <w:highlight w:val="none"/>
                <w:lang w:eastAsia="zh-CN"/>
              </w:rPr>
              <w:t>）本项目所属行业</w:t>
            </w:r>
            <w:r>
              <w:rPr>
                <w:rFonts w:hint="eastAsia" w:ascii="宋体" w:hAnsi="宋体" w:eastAsia="宋体" w:cs="宋体"/>
                <w:color w:val="auto"/>
                <w:sz w:val="24"/>
                <w:szCs w:val="22"/>
                <w:highlight w:val="none"/>
                <w:u w:val="single"/>
                <w:lang w:val="en-US" w:eastAsia="zh-CN"/>
              </w:rPr>
              <w:t xml:space="preserve"> 工业</w:t>
            </w:r>
            <w:r>
              <w:rPr>
                <w:rFonts w:hint="eastAsia" w:ascii="宋体" w:hAnsi="宋体" w:eastAsia="宋体" w:cs="宋体"/>
                <w:color w:val="auto"/>
                <w:sz w:val="24"/>
                <w:szCs w:val="22"/>
                <w:highlight w:val="none"/>
                <w:u w:val="none"/>
                <w:lang w:val="en-US" w:eastAsia="zh-CN"/>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415" w:hRule="atLeast"/>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581" w:type="dxa"/>
            <w:vAlign w:val="center"/>
          </w:tcPr>
          <w:p>
            <w:pPr>
              <w:keepNext w:val="0"/>
              <w:keepLines w:val="0"/>
              <w:pageBreakBefore w:val="0"/>
              <w:widowControl w:val="0"/>
              <w:kinsoku/>
              <w:wordWrap/>
              <w:overflowPunct/>
              <w:topLinePunct w:val="0"/>
              <w:autoSpaceDE/>
              <w:autoSpaceDN/>
              <w:bidi w:val="0"/>
              <w:spacing w:line="400" w:lineRule="exact"/>
              <w:ind w:left="0" w:lef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1、本次采购为专门面向中小企业。</w:t>
            </w:r>
          </w:p>
          <w:p>
            <w:pPr>
              <w:keepNext w:val="0"/>
              <w:keepLines w:val="0"/>
              <w:pageBreakBefore w:val="0"/>
              <w:widowControl w:val="0"/>
              <w:kinsoku/>
              <w:wordWrap/>
              <w:overflowPunct/>
              <w:topLinePunct w:val="0"/>
              <w:autoSpaceDE/>
              <w:autoSpaceDN/>
              <w:bidi w:val="0"/>
              <w:spacing w:line="400" w:lineRule="exact"/>
              <w:ind w:left="0" w:lef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2、根据财政部发布的《政府采购促进中小企业发展管理办法》 （财库[2020]46号）的规定规定执行。投标文件中须提供《中小企业声明函》。</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3、对于专门面向中、小、微型企业或者监狱企业或者残疾人福利性单位的政府采购货物或服务项目或工程项目，符合资格条件的不再执行价格评审优惠的扶持政策。</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b/>
                <w:bCs/>
                <w:color w:val="auto"/>
                <w:kern w:val="0"/>
                <w:sz w:val="24"/>
                <w:szCs w:val="24"/>
                <w:highlight w:val="none"/>
              </w:rPr>
              <w:t>中标</w:t>
            </w:r>
            <w:r>
              <w:rPr>
                <w:rFonts w:hint="eastAsia" w:ascii="宋体" w:hAnsi="宋体" w:cs="宋体"/>
                <w:b/>
                <w:bCs/>
                <w:color w:val="auto"/>
                <w:kern w:val="0"/>
                <w:sz w:val="24"/>
                <w:szCs w:val="24"/>
                <w:highlight w:val="none"/>
                <w:lang w:eastAsia="zh-CN"/>
              </w:rPr>
              <w:t>投标人</w:t>
            </w:r>
            <w:r>
              <w:rPr>
                <w:rFonts w:hint="eastAsia" w:ascii="宋体" w:hAnsi="宋体" w:eastAsia="宋体" w:cs="宋体"/>
                <w:b/>
                <w:bCs/>
                <w:color w:val="auto"/>
                <w:kern w:val="0"/>
                <w:sz w:val="24"/>
                <w:szCs w:val="24"/>
                <w:highlight w:val="none"/>
              </w:rPr>
              <w:t>为中小企业、残疾人福利性单位、监狱企业的，应当随中标结果同时公告其《中小企业声明函》、《残疾人福利性单位声明函》、《监狱企业声明函》，接受社会监督。）属于小型、微型企业的残疾人福利性单位、监狱企业，不重复享受政策。</w:t>
            </w:r>
            <w:r>
              <w:rPr>
                <w:rFonts w:hint="eastAsia" w:ascii="宋体" w:hAnsi="宋体" w:cs="宋体"/>
                <w:b/>
                <w:bCs/>
                <w:color w:val="auto"/>
                <w:kern w:val="0"/>
                <w:sz w:val="24"/>
                <w:szCs w:val="24"/>
                <w:highlight w:val="none"/>
                <w:lang w:eastAsia="zh-CN"/>
              </w:rPr>
              <w:t>投标人</w:t>
            </w:r>
            <w:r>
              <w:rPr>
                <w:rFonts w:hint="eastAsia" w:ascii="宋体" w:hAnsi="宋体" w:eastAsia="宋体" w:cs="宋体"/>
                <w:b/>
                <w:bCs/>
                <w:color w:val="auto"/>
                <w:kern w:val="0"/>
                <w:sz w:val="24"/>
                <w:szCs w:val="24"/>
                <w:highlight w:val="none"/>
              </w:rPr>
              <w:t xml:space="preserve">提供的《中小企业声明函》、《残疾人福利性单位声明函》、《监狱企业声明函》与事实不符的，依照《政府采购法》第七十七条第一款的规定追究法律责任。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550" w:hRule="atLeast"/>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254" w:type="dxa"/>
            <w:vAlign w:val="center"/>
          </w:tcPr>
          <w:p>
            <w:pPr>
              <w:pStyle w:val="47"/>
              <w:keepNext w:val="0"/>
              <w:keepLines w:val="0"/>
              <w:pageBreakBefore w:val="0"/>
              <w:widowControl w:val="0"/>
              <w:kinsoku/>
              <w:wordWrap/>
              <w:overflowPunct/>
              <w:topLinePunct w:val="0"/>
              <w:bidi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lang w:eastAsia="zh-CN"/>
              </w:rPr>
              <w:t>特别提醒</w:t>
            </w:r>
          </w:p>
        </w:tc>
        <w:tc>
          <w:tcPr>
            <w:tcW w:w="8581" w:type="dxa"/>
            <w:vAlign w:val="center"/>
          </w:tcPr>
          <w:p>
            <w:pPr>
              <w:pStyle w:val="47"/>
              <w:keepNext w:val="0"/>
              <w:keepLines w:val="0"/>
              <w:pageBreakBefore w:val="0"/>
              <w:widowControl w:val="0"/>
              <w:kinsoku/>
              <w:wordWrap/>
              <w:overflowPunct/>
              <w:topLinePunct w:val="0"/>
              <w:bidi w:val="0"/>
              <w:snapToGrid w:val="0"/>
              <w:spacing w:line="360" w:lineRule="auto"/>
              <w:ind w:left="0" w:leftChars="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bCs/>
                <w:smallCaps/>
                <w:color w:val="auto"/>
                <w:kern w:val="2"/>
                <w:sz w:val="24"/>
                <w:szCs w:val="24"/>
                <w:highlight w:val="none"/>
                <w:lang w:val="en-US" w:eastAsia="zh-CN" w:bidi="ar-SA"/>
              </w:rPr>
              <w:t>1.所有询标流程，均在线上完成，请各投标人务必不要离开电脑太久，并留意手机短信。（请提前检查“政采云”内，关于“项目采购”的岗位权限是否已勾选上。如有问题，请致电95763）</w:t>
            </w:r>
          </w:p>
        </w:tc>
      </w:tr>
      <w:bookmarkEnd w:id="2"/>
    </w:tbl>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16" w:name="_Toc233618972"/>
      <w:bookmarkStart w:id="17" w:name="_Toc522530041"/>
      <w:bookmarkStart w:id="18" w:name="_Toc994"/>
      <w:bookmarkStart w:id="19" w:name="_Toc226106467"/>
      <w:bookmarkStart w:id="20" w:name="_Toc226521904"/>
      <w:bookmarkStart w:id="21" w:name="_Toc226106516"/>
      <w:bookmarkStart w:id="22" w:name="_Toc225840109"/>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p>
    <w:p>
      <w:pPr>
        <w:pStyle w:val="19"/>
        <w:rPr>
          <w:rFonts w:hint="eastAsia" w:ascii="宋体" w:hAnsi="宋体" w:eastAsia="宋体" w:cs="宋体"/>
          <w:b/>
          <w:color w:val="auto"/>
          <w:sz w:val="32"/>
          <w:highlight w:val="none"/>
        </w:rPr>
      </w:pPr>
    </w:p>
    <w:p>
      <w:pPr>
        <w:pStyle w:val="18"/>
        <w:rPr>
          <w:rFonts w:hint="eastAsia" w:ascii="宋体" w:hAnsi="宋体" w:eastAsia="宋体" w:cs="宋体"/>
          <w:b/>
          <w:color w:val="auto"/>
          <w:sz w:val="32"/>
          <w:highlight w:val="none"/>
        </w:rPr>
      </w:pPr>
    </w:p>
    <w:p>
      <w:pPr>
        <w:rPr>
          <w:rFonts w:hint="eastAsia" w:ascii="宋体" w:hAnsi="宋体" w:eastAsia="宋体" w:cs="宋体"/>
          <w:b/>
          <w:color w:val="auto"/>
          <w:sz w:val="32"/>
          <w:highlight w:val="none"/>
        </w:rPr>
      </w:pPr>
    </w:p>
    <w:p>
      <w:pPr>
        <w:pStyle w:val="100"/>
        <w:rPr>
          <w:rFonts w:hint="eastAsia" w:ascii="宋体" w:hAnsi="宋体" w:eastAsia="宋体" w:cs="宋体"/>
          <w:color w:val="auto"/>
          <w:highlight w:val="none"/>
        </w:rPr>
      </w:pPr>
    </w:p>
    <w:p>
      <w:pPr>
        <w:pStyle w:val="18"/>
        <w:rPr>
          <w:rFonts w:hint="eastAsia" w:ascii="宋体" w:hAnsi="宋体" w:eastAsia="宋体" w:cs="宋体"/>
          <w:b/>
          <w:color w:val="auto"/>
          <w:sz w:val="32"/>
          <w:highlight w:val="none"/>
        </w:rPr>
      </w:pPr>
    </w:p>
    <w:p>
      <w:pPr>
        <w:rPr>
          <w:rFonts w:hint="eastAsia" w:ascii="宋体" w:hAnsi="宋体" w:eastAsia="宋体" w:cs="宋体"/>
          <w:b/>
          <w:color w:val="auto"/>
          <w:sz w:val="32"/>
          <w:highlight w:val="none"/>
        </w:rPr>
      </w:pPr>
    </w:p>
    <w:p>
      <w:pPr>
        <w:pStyle w:val="19"/>
        <w:rPr>
          <w:rFonts w:hint="eastAsia" w:ascii="宋体" w:hAnsi="宋体" w:eastAsia="宋体" w:cs="宋体"/>
          <w:b/>
          <w:color w:val="auto"/>
          <w:sz w:val="32"/>
          <w:highlight w:val="none"/>
        </w:rPr>
      </w:pPr>
    </w:p>
    <w:p>
      <w:pPr>
        <w:pStyle w:val="18"/>
        <w:rPr>
          <w:rFonts w:hint="eastAsia" w:ascii="宋体" w:hAnsi="宋体" w:eastAsia="宋体" w:cs="宋体"/>
          <w:b/>
          <w:color w:val="auto"/>
          <w:sz w:val="32"/>
          <w:highlight w:val="none"/>
        </w:rPr>
      </w:pPr>
    </w:p>
    <w:p>
      <w:pPr>
        <w:rPr>
          <w:rFonts w:hint="eastAsia" w:ascii="宋体" w:hAnsi="宋体" w:eastAsia="宋体" w:cs="宋体"/>
          <w:b/>
          <w:color w:val="auto"/>
          <w:sz w:val="32"/>
          <w:highlight w:val="none"/>
        </w:rPr>
      </w:pPr>
    </w:p>
    <w:p>
      <w:pPr>
        <w:pStyle w:val="19"/>
        <w:rPr>
          <w:rFonts w:hint="eastAsia" w:ascii="宋体" w:hAnsi="宋体" w:eastAsia="宋体" w:cs="宋体"/>
          <w:b/>
          <w:color w:val="auto"/>
          <w:sz w:val="32"/>
          <w:highlight w:val="none"/>
        </w:rPr>
      </w:pPr>
    </w:p>
    <w:p>
      <w:pPr>
        <w:pStyle w:val="18"/>
        <w:rPr>
          <w:rFonts w:hint="eastAsia" w:ascii="宋体" w:hAnsi="宋体" w:eastAsia="宋体" w:cs="宋体"/>
          <w:b/>
          <w:color w:val="auto"/>
          <w:sz w:val="32"/>
          <w:highlight w:val="none"/>
        </w:rPr>
      </w:pPr>
    </w:p>
    <w:p>
      <w:pPr>
        <w:rPr>
          <w:rFonts w:hint="eastAsia" w:ascii="宋体" w:hAnsi="宋体" w:eastAsia="宋体" w:cs="宋体"/>
          <w:b/>
          <w:color w:val="auto"/>
          <w:sz w:val="32"/>
          <w:highlight w:val="none"/>
        </w:rPr>
      </w:pPr>
    </w:p>
    <w:p>
      <w:pPr>
        <w:pStyle w:val="19"/>
        <w:rPr>
          <w:rFonts w:hint="eastAsia" w:ascii="宋体" w:hAnsi="宋体" w:eastAsia="宋体" w:cs="宋体"/>
          <w:b/>
          <w:color w:val="auto"/>
          <w:sz w:val="32"/>
          <w:highlight w:val="none"/>
        </w:rPr>
      </w:pPr>
    </w:p>
    <w:p>
      <w:pPr>
        <w:pStyle w:val="18"/>
        <w:rPr>
          <w:rFonts w:hint="eastAsia" w:ascii="宋体" w:hAnsi="宋体" w:eastAsia="宋体" w:cs="宋体"/>
          <w:b/>
          <w:color w:val="auto"/>
          <w:sz w:val="32"/>
          <w:highlight w:val="none"/>
        </w:rPr>
      </w:pPr>
    </w:p>
    <w:p>
      <w:pPr>
        <w:rPr>
          <w:rFonts w:hint="eastAsia" w:ascii="宋体" w:hAnsi="宋体" w:eastAsia="宋体" w:cs="宋体"/>
          <w:b/>
          <w:color w:val="auto"/>
          <w:sz w:val="32"/>
          <w:highlight w:val="none"/>
        </w:rPr>
      </w:pPr>
    </w:p>
    <w:p>
      <w:pPr>
        <w:pStyle w:val="19"/>
        <w:rPr>
          <w:rFonts w:hint="eastAsia" w:ascii="宋体" w:hAnsi="宋体" w:eastAsia="宋体" w:cs="宋体"/>
          <w:b/>
          <w:color w:val="auto"/>
          <w:sz w:val="32"/>
          <w:highlight w:val="none"/>
        </w:rPr>
      </w:pPr>
    </w:p>
    <w:p>
      <w:pPr>
        <w:pStyle w:val="18"/>
        <w:rPr>
          <w:rFonts w:hint="eastAsia" w:ascii="宋体" w:hAnsi="宋体" w:eastAsia="宋体" w:cs="宋体"/>
          <w:color w:val="auto"/>
          <w:highlight w:val="none"/>
        </w:rPr>
      </w:pPr>
    </w:p>
    <w:p>
      <w:pPr>
        <w:pStyle w:val="71"/>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9"/>
        <w:rPr>
          <w:rFonts w:hint="eastAsia" w:ascii="宋体" w:hAnsi="宋体" w:eastAsia="宋体" w:cs="宋体"/>
          <w:b/>
          <w:color w:val="auto"/>
          <w:sz w:val="32"/>
          <w:highlight w:val="none"/>
        </w:rPr>
      </w:pPr>
    </w:p>
    <w:p>
      <w:pPr>
        <w:pStyle w:val="18"/>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9"/>
        <w:rPr>
          <w:rFonts w:hint="eastAsia" w:ascii="宋体" w:hAnsi="宋体" w:eastAsia="宋体" w:cs="宋体"/>
          <w:color w:val="auto"/>
          <w:highlight w:val="none"/>
        </w:rPr>
      </w:pPr>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一、总 则</w:t>
      </w:r>
      <w:bookmarkEnd w:id="16"/>
      <w:bookmarkEnd w:id="17"/>
      <w:bookmarkEnd w:id="18"/>
    </w:p>
    <w:p>
      <w:pPr>
        <w:pStyle w:val="47"/>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23" w:name="_Hlt74730295"/>
      <w:bookmarkEnd w:id="23"/>
      <w:bookmarkStart w:id="24" w:name="_Hlt74714665"/>
      <w:bookmarkEnd w:id="24"/>
      <w:bookmarkStart w:id="25" w:name="_Hlt74730208"/>
      <w:bookmarkStart w:id="26" w:name="_Hlt74730112"/>
      <w:r>
        <w:rPr>
          <w:rFonts w:hint="eastAsia" w:ascii="宋体" w:hAnsi="宋体" w:eastAsia="宋体" w:cs="宋体"/>
          <w:b/>
          <w:color w:val="auto"/>
          <w:sz w:val="24"/>
          <w:highlight w:val="none"/>
        </w:rPr>
        <w:t>（一）实施依据</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本次招标工作按照《中华人民共和国政府采购法》等政府采购有关法律、法规、规章、文件的规定组织和实施。</w:t>
      </w:r>
    </w:p>
    <w:p>
      <w:pPr>
        <w:pStyle w:val="47"/>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27" w:name="_Toc91899873"/>
      <w:r>
        <w:rPr>
          <w:rFonts w:hint="eastAsia" w:ascii="宋体" w:hAnsi="宋体" w:eastAsia="宋体" w:cs="宋体"/>
          <w:b/>
          <w:color w:val="auto"/>
          <w:sz w:val="24"/>
          <w:highlight w:val="none"/>
        </w:rPr>
        <w:t>（二）采购方式</w:t>
      </w:r>
      <w:bookmarkEnd w:id="27"/>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公开招标。</w:t>
      </w:r>
      <w:bookmarkEnd w:id="25"/>
      <w:bookmarkEnd w:id="26"/>
      <w:bookmarkStart w:id="28" w:name="_Hlt74388212"/>
      <w:bookmarkEnd w:id="28"/>
      <w:bookmarkStart w:id="29" w:name="_Hlt68516771"/>
      <w:bookmarkEnd w:id="29"/>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kern w:val="0"/>
          <w:sz w:val="24"/>
          <w:highlight w:val="none"/>
          <w:lang w:val="zh-CN"/>
        </w:rPr>
      </w:pPr>
      <w:bookmarkStart w:id="30" w:name="_Toc91899877"/>
      <w:bookmarkStart w:id="31" w:name="_Hlt74730303"/>
      <w:r>
        <w:rPr>
          <w:rFonts w:hint="eastAsia" w:ascii="宋体" w:hAnsi="宋体" w:eastAsia="宋体" w:cs="宋体"/>
          <w:b/>
          <w:color w:val="auto"/>
          <w:sz w:val="24"/>
          <w:highlight w:val="none"/>
        </w:rPr>
        <w:t>（三）</w:t>
      </w:r>
      <w:r>
        <w:rPr>
          <w:rFonts w:hint="eastAsia" w:ascii="宋体" w:hAnsi="宋体" w:eastAsia="宋体" w:cs="宋体"/>
          <w:b/>
          <w:color w:val="auto"/>
          <w:kern w:val="0"/>
          <w:sz w:val="24"/>
          <w:highlight w:val="none"/>
          <w:lang w:val="zh-CN"/>
        </w:rPr>
        <w:t>定义</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招标（采购）人：是指依法进行政府采购的国家机关、事业单位、团体组织，见本项目“招标公告”；</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招标（采购）代理机构：受招标人委托，在委托的范围内办理政府采购事宜并组织招标活动的机构，见本项目“招标公告”；</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投标人（投标人）：是指参加本政府采购项目投标的投标人；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中标人：是指经评审获得本项目最终合同签订资格的投标人。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买方（甲方）：是指合同签订的一方，一般与招标人、用户相同；</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卖方（乙方）：是指合同签订的另一方，一般与中标人相同；</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制造商：包括是指拥有投标产品自主知识产权的单位；</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政府采购监管部门：</w:t>
      </w:r>
      <w:r>
        <w:rPr>
          <w:rFonts w:hint="eastAsia" w:ascii="宋体" w:hAnsi="宋体" w:eastAsia="宋体" w:cs="宋体"/>
          <w:color w:val="auto"/>
          <w:sz w:val="24"/>
          <w:szCs w:val="22"/>
          <w:highlight w:val="none"/>
        </w:rPr>
        <w:t xml:space="preserve">衢州市柯城区财政局 </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产品（货物）：系指按招标文件规定，须向招标人提供的一切设备及配套备品备件、工具、手册及其他有关技术资料和材料；</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产品应符合国家节能环保要求；投标人在投标文件中提供相关证明材料。</w:t>
      </w:r>
    </w:p>
    <w:p>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服务：</w:t>
      </w:r>
      <w:r>
        <w:rPr>
          <w:rFonts w:hint="eastAsia" w:ascii="宋体" w:hAnsi="宋体" w:eastAsia="宋体" w:cs="宋体"/>
          <w:color w:val="auto"/>
          <w:kern w:val="0"/>
          <w:sz w:val="24"/>
          <w:highlight w:val="none"/>
          <w:lang w:val="zh-CN"/>
        </w:rPr>
        <w:t>系指按招标文件规定，须向招标人提供</w:t>
      </w:r>
      <w:r>
        <w:rPr>
          <w:rFonts w:hint="eastAsia" w:ascii="宋体" w:hAnsi="宋体" w:eastAsia="宋体" w:cs="宋体"/>
          <w:color w:val="auto"/>
          <w:sz w:val="24"/>
          <w:highlight w:val="none"/>
          <w:lang w:val="zh-CN"/>
        </w:rPr>
        <w:t xml:space="preserve">的与供货有关的辅助服务，如运输、保险、培训安装、调试、验收、技术支持和交付使用后质保期内应履行的售后服务等义务； </w:t>
      </w:r>
    </w:p>
    <w:p>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培训：系指按招标文件规定，向招标人提供操作使用培训、系统管理培训和其他相关培训等。</w:t>
      </w:r>
    </w:p>
    <w:p>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书面形式：包括纸质文件、电子邮件、传真、信函、电报等。</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实质性响应:系指投标文件符合招标文件规定的实质性内容、条件和规定。</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重大偏离或保留：系指将会影响到招标文件规定的服务范围、质量标准，或会给合同中规定的招标人的权利和投标人的责任造成实质性限制，而纠正这些偏离或保留将对其他提交了实质性响应的投标文件的投标人产生不公平影响的。</w:t>
      </w:r>
    </w:p>
    <w:p>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zh-CN"/>
        </w:rPr>
        <w:t>细微偏离：系指投标文件对招标文件的非实质性内容存在不完全响应或不响应。</w:t>
      </w:r>
    </w:p>
    <w:p>
      <w:pPr>
        <w:pStyle w:val="47"/>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（四）投标费用</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kern w:val="0"/>
          <w:position w:val="-5"/>
          <w:sz w:val="24"/>
          <w:highlight w:val="none"/>
        </w:rPr>
      </w:pPr>
      <w:r>
        <w:rPr>
          <w:rFonts w:hint="eastAsia" w:ascii="宋体" w:hAnsi="宋体" w:eastAsia="宋体" w:cs="宋体"/>
          <w:color w:val="auto"/>
          <w:kern w:val="0"/>
          <w:position w:val="-5"/>
          <w:sz w:val="24"/>
          <w:highlight w:val="none"/>
        </w:rPr>
        <w:t>无论招投标过程中的做法和结果如何，投标人自行承担招投标活动中所发生的全部费用。</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（五）语言文字</w:t>
      </w:r>
    </w:p>
    <w:bookmarkEnd w:id="30"/>
    <w:bookmarkEnd w:id="31"/>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bookmarkStart w:id="32" w:name="_Hlt68072990"/>
      <w:bookmarkEnd w:id="32"/>
      <w:bookmarkStart w:id="33" w:name="_Hlt75236290"/>
      <w:bookmarkEnd w:id="33"/>
      <w:bookmarkStart w:id="34" w:name="_Hlt68057669"/>
      <w:bookmarkEnd w:id="34"/>
      <w:bookmarkStart w:id="35" w:name="_Hlt74729768"/>
      <w:bookmarkEnd w:id="35"/>
      <w:bookmarkStart w:id="36" w:name="_Hlt74707468"/>
      <w:bookmarkEnd w:id="36"/>
      <w:bookmarkStart w:id="37" w:name="_Toc91899879"/>
      <w:r>
        <w:rPr>
          <w:rFonts w:hint="eastAsia" w:ascii="宋体" w:hAnsi="宋体" w:eastAsia="宋体" w:cs="宋体"/>
          <w:color w:val="auto"/>
          <w:sz w:val="24"/>
          <w:highlight w:val="none"/>
        </w:rPr>
        <w:t>1、招标投标有关的语言使用中文。</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外文专用术语应附有中文注释。招投标文件及相关往来文件中有外文资料的（如质疑函、进口产品厂商授权书等），资料提供方应当将其翻译为中文，注明翻译人员姓名、工作单位、联系方式等信息，并对译文的完整性、客观性、真实性负责。</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（六）计量单位</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招标文件有明确规定的，适用招标文件规定的计量单位；招标文件没有规定的，应采用中华人民共和国法定计量单位，否则视同未响应。</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（七）转包与分包</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本项目不允许转包。本须知“前附表”规定允许分包的，投标人应当在投标文件载明分包的具体情况，应符合招标人在本须知“前附表”规定的分包内容、分包金额和接受分包的第三人资质要求等限制条件。</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（八）踏勘现场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1、若本须知“前附表”规定统一组织的，投标人应按规定的时间、地点准时出席，否则将不予单独安排；</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2、投标人踏勘现场发生的费用自理。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3、除招标人的原因外，投标人自行负责在踏勘现场中可能发生的人员伤亡和财产损失。</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4、招标人在踏勘现场中介绍的场地和相关的周边环境情况，投标人在编制投标文件时参考，招标人不对投标人据此作出的判断和决策负责。</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（九）投标预备会（答疑会）</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1、若本须知“前附表”规定召开答疑会的，招标人将按规定的时间、地点准时召开答疑会，澄清投标人提出的问题，投标人应按规定准时出席，否则将不予单独安排答疑。</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2、投标人应在答疑会时间的前一天，以书面形式将提出的问题送达招标人，以便招标人在会议期间澄清。</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3、答疑会后，招标人将按规定对投标人所提问题进行书面澄清答复。</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（十）对投标人的限制</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指法定代表人或者法律、行政法规规定代表单位行使职权的主要负责人）为同一人或者存在直接控股、管理关系的不同投标人不得分别参加同一合同项下的采购活动。违反本条规定的，相关投标均无效；</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2、为本项目提供过整体设计、规范编制或者项目管理、监理、检测等服务的投标人，不得再参加该采购项目的其他采购活动（不包括为该项目提供整体设计、规范编制或者项目管理、监理、检测等服务）；</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3、以联合体形式参加政府采购活动的，联合体各方不得再单独参加或者与其他投标人另外组成联合体参加同一合同项下的政府采购活动；</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4、为证明投标人拥有的业绩、荣誉、知识产权、项目案例等而在投标文件中提供的证明材料必须为投标人自身所有。不同法人、其他组织的资料与投标人无关。</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5、投标人之间的利害关系：</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（1）法定代表人或负责人或实际控制人是夫妻关系；</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（2）法定代表人或负责人或实际控制人是直系血亲关系；</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（3）法定代表人或负责人或实际控制人存在三代以内旁系血亲关系；</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（4）法定代表人或负责人或实际控制人存在近姻亲关系；</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（5）法定代表人或负责人或实际控制人存在股份控制或实际控制关系；</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（6）存在共同直接或间接投资设立子公司、联营企业和合营企业情况；</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（7）存在分级代理或代销关系、同一生产制造商关系、管理关系、重要业务（占主营业务收入 50%以上）或重要财务往来关系（如融资）等其他实质性控制关系； 如投标人之间存在以上利害关系并且存在影响政府采购公平竞争的行为的相关投标人的投标均无效。 </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6、采购人若有核心产品，请根据采购项目实际需求确定核心产品，并在采购文件第三部分“采购需求”中明确标注，若没有则不需要确定及注明。</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采用最低评标价法的采购项目，提供相同品牌产品（含核心产品）的不同投标人参加同一合同项下投标的，以其中通过资格审查、符合性审查且报价最低的参加评标；报价相同的，随机抽取方式确定，其他投标无效。 </w:t>
      </w:r>
    </w:p>
    <w:p>
      <w:pPr>
        <w:keepNext w:val="0"/>
        <w:keepLines w:val="0"/>
        <w:pageBreakBefore w:val="0"/>
        <w:kinsoku/>
        <w:wordWrap/>
        <w:overflowPunct/>
        <w:topLinePunct w:val="0"/>
        <w:bidi w:val="0"/>
        <w:spacing w:line="400" w:lineRule="exact"/>
        <w:ind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（2）使用综合评分法的采购项目，提供相同品牌产品（含核心产品）且通过资格审查、符合性审查的不同投标人参加同一合同项下投标的，按一家投标人计算，评审后得分最高的同品牌（含核心产品） 投标人获得中标人推荐资格；评审得分相同的，随机抽取方式确定，其他同品牌投标人不作为中标候选人。</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因特殊情况指定单一品牌采购的或本须知“前附表”规定投标人中标后提供制造商授权的，制造商授权文件将不再作为实质性响应条款，投标人可在中标后取得制造商针对该项目的授权文件。如制造商无故不予授权的，招标人可在中标人作出保证供货且保证产品质量和售后服务的承诺后授予其合同，招标人将在合同的验收、结算和违约责任中补充增加相应的制约性条款；</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8、招标公告中明确专门面向中小微企业采购的项目，只能由中小企业或微型企业参加。</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9、投标截止前被“信用中国”网站(</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"http://www.creditchina.gov.cn"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www.creditchina.gov.cn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)列入失信被执行人、重大税收违法案件当事人名单或被“中国政府采购网”(</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"http://www.ccgp.gov.cn"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www.ccgp.gov.cn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)列入政府采购严重违法失信行为记录名单等存在不良信用记录的投标人将被拒绝参加本项目采购活动。具体以投标截止当日招标代理机构在上述两个网站上查询到的信息为准。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两个以上的自然人、法人或者其他组织组成一个联合体，以一个投标人的身份共同参加政府采购活动的，将对所有联合体成员进行信用记录查询，联合体成员存在不良信用记录的，视同联合体存在不良信用记录。</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（十一）质疑与投诉</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认为招标文件、招标过程或中标结果使自己的合法权益受到损害的，应当在知道或者应知其权益受到损害之日起七个工作日内，以书面形式向招标人、招标代理机构提出质疑，逾期提出的，招标人与招标代理机构可以不予受理、答复。“知道或者应知其权益受到损害之日”是指：</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（1）对招标文件提出质疑的，为招标公告期限届满之日（公告期限为公告发布后5个工作日，不含发布当日）；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（2）对采购过程提出质疑的，为各招标程序环节结束之日；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（3）对评标结果提出质疑的，为中标结果公告期限届满之日（公告期限为公告发布后1个工作日，不含发布当日）。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投诉应当采用书面形式，其中质疑书、投诉书均应当明确阐述招标文件、招标过程或者中标结果中使自己合法权益受到损害的实质性内容，并提供相关事实、依据和证据及其来源或线索，便于有关单位调查、答复和处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投诉）函应载明质疑（投诉）人全称、地址、邮编、传真、联系人、联系电话，电子邮箱；联系人必须为投标人的在职职工，须提供法定代表人授权文件、法定代表人及联系人的身份证复印件、以及投标人为该联系人缴纳的社保凭证，联系人为法定代表人的须提供法定代表人资格证明及身份证复印件；质疑（投诉）函必须有联系人署名且加盖公章，否则不予受理（一式三份）。</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4、质疑、投诉函以电子邮件或传真形式提交的，还须在提交后以邮寄的方式提交质疑书纸质原件，以实际收到原件之日作为收到质疑之日。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5、未按上述要求提供的质疑（投诉）函，采购组织机构有权不予受理。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6、质疑投标人对招标人、招标代理机构的答复不满意或者招标人、招标代理机构未在规定时间内作出答复的，可以在答复期满后十五个工作日内向同级采购监管部门投诉。</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（十二）其他注意事项</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见本须知“前附表”，同时还需注意以下事项：</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1、法定代表人授权代表须为投标人</w:t>
      </w:r>
      <w:r>
        <w:rPr>
          <w:rFonts w:hint="eastAsia" w:ascii="宋体" w:hAnsi="宋体" w:eastAsia="宋体" w:cs="宋体"/>
          <w:b/>
          <w:color w:val="auto"/>
          <w:sz w:val="24"/>
          <w:highlight w:val="none"/>
        </w:rPr>
        <w:t>在职职工</w:t>
      </w:r>
      <w:r>
        <w:rPr>
          <w:rFonts w:hint="eastAsia" w:ascii="宋体" w:hAnsi="宋体" w:eastAsia="宋体" w:cs="宋体"/>
          <w:color w:val="auto"/>
          <w:sz w:val="24"/>
          <w:highlight w:val="none"/>
        </w:rPr>
        <w:t>，投标人须在投标文件中提供附有该授权代表为投标人</w:t>
      </w:r>
      <w:r>
        <w:rPr>
          <w:rFonts w:hint="eastAsia" w:ascii="宋体" w:hAnsi="宋体" w:eastAsia="宋体" w:cs="宋体"/>
          <w:b/>
          <w:color w:val="auto"/>
          <w:sz w:val="24"/>
          <w:highlight w:val="none"/>
        </w:rPr>
        <w:t>在职员工相关证明文件（如投标人为该员工缴纳的社保记录或劳务合同等）</w:t>
      </w:r>
      <w:r>
        <w:rPr>
          <w:rFonts w:hint="eastAsia" w:ascii="宋体" w:hAnsi="宋体" w:eastAsia="宋体" w:cs="宋体"/>
          <w:color w:val="auto"/>
          <w:sz w:val="24"/>
          <w:highlight w:val="none"/>
        </w:rPr>
        <w:t>的《法定代表人授权书》。</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3、▲投标人对所的采购内容必须全部进行投标。</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4、不论招标人、招标代理机构向投标人发送的资料文件，还是投标人提出的问题，均采用书面形式，任何口头提问及答复一律无效。</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若明确本项目为资格入围项目的，若出现有效投标人少于或等于入围需求家数时，将采用“末位淘汰制”，淘汰评审结果排名最后一名的投标人，其他有效投标人获得入围资格。只有二家及以下有效投标人的则重新组织招标。</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可能对其作出不利的评审。</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7、▲投标人应保证所投产品整体或其任一部分，均免受第三方提出的侵犯其专利权、商标权、著作权或其他知识产权的起诉。投标人应承担由此可能产生的一切法律责任和费用。</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若本须知“前附表”规定允许进口产品投标且该货物需从中华人民共和国境外提供的，货物的最终用户须为招标人，投标人应委托招标人指定机构或者经招标人同意后自行委托具有进出口代理权的机构办理相关进口事宜，并承担因此产生的所有费用。</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（十三）保密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参与招标投标活动的各方应对招标文件和投标文件中的商业和技术等秘密保密，违者应对此造成的后果承担法律责任。</w:t>
      </w:r>
    </w:p>
    <w:bookmarkEnd w:id="37"/>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38" w:name="_Toc9352"/>
      <w:bookmarkStart w:id="39" w:name="_Toc522530042"/>
      <w:bookmarkStart w:id="40" w:name="_Toc233618973"/>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二、招标文件</w:t>
      </w:r>
      <w:bookmarkEnd w:id="38"/>
      <w:bookmarkEnd w:id="39"/>
      <w:bookmarkEnd w:id="40"/>
    </w:p>
    <w:p>
      <w:pPr>
        <w:pStyle w:val="47"/>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41" w:name="_Toc91899880"/>
      <w:bookmarkStart w:id="42" w:name="_Hlt74730307"/>
      <w:r>
        <w:rPr>
          <w:rFonts w:hint="eastAsia" w:ascii="宋体" w:hAnsi="宋体" w:eastAsia="宋体" w:cs="宋体"/>
          <w:b/>
          <w:color w:val="auto"/>
          <w:sz w:val="24"/>
          <w:highlight w:val="none"/>
        </w:rPr>
        <w:t>（一）招标文件的</w:t>
      </w:r>
      <w:bookmarkEnd w:id="41"/>
      <w:r>
        <w:rPr>
          <w:rFonts w:hint="eastAsia" w:ascii="宋体" w:hAnsi="宋体" w:eastAsia="宋体" w:cs="宋体"/>
          <w:b/>
          <w:color w:val="auto"/>
          <w:sz w:val="24"/>
          <w:highlight w:val="none"/>
        </w:rPr>
        <w:t>组成</w:t>
      </w:r>
    </w:p>
    <w:bookmarkEnd w:id="42"/>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招标文件包括下列文件及附件</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第一部分  招标公告</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第二部分  投标人须知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第三部分  采购需求</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第四部分  合同文本</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第五部分  投标文件部分格式文件</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第六部分  评分办法</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补充文件（如果有，包括相关的补充、更正、澄清公告和文件）</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其他附件（如果有，如图纸等）</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2、投标人应认真审阅上述招标文件组成中所有的内容。如果投标人编制的投标文件没有从实质上响应招标文件的要求，其投标文件将被拒绝。</w:t>
      </w:r>
    </w:p>
    <w:p>
      <w:pPr>
        <w:pStyle w:val="47"/>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（二）招标文件的解释</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1、投标人一旦参与本次招标活动，即被视为接受了本招标文件的所有内容，如有任何异议，均应在答疑截止时间前提出。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招标文件澄清、答复、修改、补充等书面内容均作为招标文件的补充文件，是招标文件的组成部分，将以传真、网上公告、电子邮件等形式书面告知所有购买招标文件的投标人，并对所有投标人均有约束力。当招标文件与补充文件就同一内容的表述不一致时，以最后发出的书面文件为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3、招标文件的解释权归招标人、招标代理机构所有。</w:t>
      </w:r>
    </w:p>
    <w:p>
      <w:pPr>
        <w:keepNext w:val="0"/>
        <w:keepLines w:val="0"/>
        <w:pageBreakBefore w:val="0"/>
        <w:tabs>
          <w:tab w:val="left" w:pos="3780"/>
        </w:tabs>
        <w:kinsoku/>
        <w:wordWrap/>
        <w:overflowPunct/>
        <w:topLinePunct w:val="0"/>
        <w:bidi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（三）招标文件的澄清</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人对招标文件如有疑问要求澄清，或认为有必要与招标人、招标代理机构进行技术交流的，投标人需将书面资料（《（项目名称）询问函》）在招标公告规定的询问截止时间前（对补充文件如有疑问要求澄清的，应在 24 小时内）以书面形式送达至招标代理机构，并与招标代理机构进行确认。招标代理机构有权对逾期收到疑问将不予受理、答复。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2、投标人要求澄清的资料应写明投标人全称、地址、邮编、传真、联系人、联系电话、电子邮箱、询疑日期并加盖投标人公章。</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 如有必要，招标人和招标代理机构对投标人所有要求澄清的问题都予以书面解答，澄清答复的文件为招标补充文件，作为招标文件的组成部分。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 投标人在招标文件规定的询疑截止时间前内未对招标文件提出疑问的，招标代理机构将视其对招标文件无异议。</w:t>
      </w:r>
    </w:p>
    <w:p>
      <w:pPr>
        <w:pStyle w:val="47"/>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（四）招标文件的修改</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1、由于各种原因招标人可能在投标截止时间前以澄清、答复、修改、补充文件的形式修改完善招标文件。</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澄清、答复、修改、补充文件发出后，原则上不改变招标文件规定的投标截止时间及开标时间。投标人如认为澄清、答复、修改、补充文件内容影响投标文件编制，须延长投标截止时间的，必须在收到澄清、答复、修改、补充文件后 24 小时内将意见和理由以书面形式向招标代理机构提出，否则，招标代理机构视投标人完全接受并有足够的时间编制投标文件且按规定时间进行投标。</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3、投标人在收到澄清、答复、修改、补充文件后，应在 24 小时内以书面形式向招标代理机构确认已收到该澄清、答复、修改、补充文件，逾期未确认的招标代理机构有权视其已收到。对澄清、答复、修改、补充文件如有疑问要求澄清，应在 24 小时内将书面送达招标代理机构，并与招标代理机构进行确认，逾期提出的，招标代理机构可不予受理。如有必要，招标代理机构将以书面形式回复询疑人。</w:t>
      </w:r>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43" w:name="_Toc522530043"/>
      <w:bookmarkStart w:id="44" w:name="_Toc91899884"/>
      <w:bookmarkStart w:id="45" w:name="_Toc233618974"/>
      <w:bookmarkStart w:id="46" w:name="_Toc20674"/>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三、投标文件</w:t>
      </w:r>
      <w:bookmarkEnd w:id="43"/>
      <w:bookmarkEnd w:id="44"/>
      <w:bookmarkEnd w:id="45"/>
      <w:bookmarkEnd w:id="46"/>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lang w:val="zh-CN"/>
        </w:rPr>
      </w:pPr>
      <w:r>
        <w:rPr>
          <w:rFonts w:hint="eastAsia" w:ascii="宋体" w:hAnsi="宋体" w:eastAsia="宋体" w:cs="宋体"/>
          <w:b/>
          <w:bCs/>
          <w:color w:val="auto"/>
          <w:sz w:val="24"/>
          <w:szCs w:val="22"/>
          <w:highlight w:val="none"/>
        </w:rPr>
        <w:t>（一）投标文件的编制</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本项目通过“政府采购云平台（www.zcygov.cn）”实行在线投标响应（电子投标）。投标人应通过“政采云电子交易客户端”，并按照本招标文件和“政府采购云平台”的要求编制并加密投标文件并进行关联定位。</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2、投标人应当按照本章节 “投标文件组成”规定的内容及顺序在“政采云电子交易客户端”编制投标文件。其中《资格文件》和《商务技术文件》中不得出现本项目投标报价，如因投标人原因提前泄露投标报价，是投标人的责任。</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3、本文件《第五部分  投标文件部分格式文件》中有提供格式的，投标人须参照格式进行编制（格式中要求提供相关证明材料的还需后附相关证明材料），并按格式要求在指定位置根据要求进行签章，否则视为未提供；本文件《第五部分  投标文件部分格式文件》未提供格式的，请各投标单位自行拟定格式，并加盖单位公章并由法定代表人或其授权代表签署（签字或盖章），否则视为未提供。</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4、《投标文件》内容不完整、编排混乱导致《投标文件》被误读、漏读或者查找不到相关内容的，是投标人的责任。</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5、《投标文件》因字迹潦草或表达不清所引起的后果由投标人负责。</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6、投标人没有按照本章节 “投标文件组成”要求提供全部资料，或者没有仔细阅读招标文件，或者没有对招标文件在各方面的要求作出实质性响应是投标人的风险，由此造成的一切后果由投标人自行承担。</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7、投标文件必须按招标文件提供的格式签字或盖章。授权代表签字的，投标文件应附法定代表人签署的授权委托书。</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（二）投标文件的签章</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1、《投标文件》的签章：见《前附表》；</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2、《投标文件》应由投标人法定代表人或其授权代表签字（或盖章），并加盖投标人公章。</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3、电子签章操作指南详见采购公告附件《</w:t>
      </w:r>
      <w:r>
        <w:rPr>
          <w:rFonts w:hint="eastAsia" w:ascii="宋体" w:hAnsi="宋体" w:cs="宋体"/>
          <w:b/>
          <w:bCs/>
          <w:color w:val="auto"/>
          <w:sz w:val="24"/>
          <w:szCs w:val="22"/>
          <w:highlight w:val="none"/>
          <w:lang w:eastAsia="zh-CN"/>
        </w:rPr>
        <w:t>投标人</w:t>
      </w:r>
      <w:r>
        <w:rPr>
          <w:rFonts w:hint="eastAsia" w:ascii="宋体" w:hAnsi="宋体" w:eastAsia="宋体" w:cs="宋体"/>
          <w:b/>
          <w:bCs/>
          <w:color w:val="auto"/>
          <w:sz w:val="24"/>
          <w:szCs w:val="22"/>
          <w:highlight w:val="none"/>
        </w:rPr>
        <w:t>项目采购-电子招投标操作指南》。</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（三）</w:t>
      </w:r>
      <w:r>
        <w:rPr>
          <w:rFonts w:hint="eastAsia" w:ascii="宋体" w:hAnsi="宋体" w:eastAsia="宋体" w:cs="宋体"/>
          <w:b/>
          <w:color w:val="auto"/>
          <w:sz w:val="24"/>
          <w:highlight w:val="none"/>
        </w:rPr>
        <w:t>）投标文件</w:t>
      </w:r>
      <w:r>
        <w:rPr>
          <w:rFonts w:hint="eastAsia" w:ascii="宋体" w:hAnsi="宋体" w:eastAsia="宋体" w:cs="宋体"/>
          <w:b/>
          <w:bCs/>
          <w:color w:val="auto"/>
          <w:sz w:val="24"/>
          <w:szCs w:val="22"/>
          <w:highlight w:val="none"/>
        </w:rPr>
        <w:t>的组成</w:t>
      </w:r>
    </w:p>
    <w:p>
      <w:pPr>
        <w:pStyle w:val="47"/>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1、资格文件</w:t>
      </w:r>
    </w:p>
    <w:p>
      <w:pPr>
        <w:keepNext w:val="0"/>
        <w:keepLines w:val="0"/>
        <w:pageBreakBefore w:val="0"/>
        <w:widowControl/>
        <w:tabs>
          <w:tab w:val="left" w:pos="3780"/>
        </w:tabs>
        <w:kinsoku/>
        <w:wordWrap/>
        <w:overflowPunct/>
        <w:topLinePunct w:val="0"/>
        <w:bidi w:val="0"/>
        <w:spacing w:line="40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（1）资格审查材料（按第五部分格式一要求提供）；</w:t>
      </w:r>
    </w:p>
    <w:p>
      <w:pPr>
        <w:pStyle w:val="47"/>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2、商务技术文件</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（1）投标声明函（格式见第五部分格式二）；</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（2）法定代表人身份证明或附有法定代表人身份证明及授权代表为投标人在职员工的证明文件（投标人为其缴纳的社保记录或劳务合同等）的授权委托书（格式见第五部分格式三）</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（3）商务评分中所需的材料（如有，详见评标办法）；</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（4）以往业绩情况（如有，具体要求见评标办法，并按第五部分格式四要求编排）</w:t>
      </w:r>
      <w:r>
        <w:rPr>
          <w:rFonts w:hint="eastAsia" w:ascii="宋体" w:hAnsi="宋体" w:eastAsia="宋体" w:cs="宋体"/>
          <w:color w:val="auto"/>
          <w:sz w:val="24"/>
          <w:szCs w:val="22"/>
          <w:highlight w:val="none"/>
          <w:lang w:eastAsia="zh-CN"/>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（5）商务/技术偏离表（格式见第五部分格式五）；</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6</w:t>
      </w:r>
      <w:r>
        <w:rPr>
          <w:rFonts w:hint="eastAsia" w:ascii="宋体" w:hAnsi="宋体" w:eastAsia="宋体" w:cs="宋体"/>
          <w:color w:val="auto"/>
          <w:sz w:val="24"/>
          <w:szCs w:val="22"/>
          <w:highlight w:val="none"/>
        </w:rPr>
        <w:t>）拟投入本项目的服务团队情况表（格式见第五部分格式</w:t>
      </w:r>
      <w:r>
        <w:rPr>
          <w:rFonts w:hint="eastAsia" w:ascii="宋体" w:hAnsi="宋体" w:eastAsia="宋体" w:cs="宋体"/>
          <w:color w:val="auto"/>
          <w:sz w:val="24"/>
          <w:szCs w:val="22"/>
          <w:highlight w:val="none"/>
          <w:lang w:eastAsia="zh-CN"/>
        </w:rPr>
        <w:t>六</w:t>
      </w:r>
      <w:r>
        <w:rPr>
          <w:rFonts w:hint="eastAsia" w:ascii="宋体" w:hAnsi="宋体" w:eastAsia="宋体" w:cs="宋体"/>
          <w:color w:val="auto"/>
          <w:sz w:val="24"/>
          <w:szCs w:val="22"/>
          <w:highlight w:val="none"/>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7</w:t>
      </w:r>
      <w:r>
        <w:rPr>
          <w:rFonts w:hint="eastAsia" w:ascii="宋体" w:hAnsi="宋体" w:eastAsia="宋体" w:cs="宋体"/>
          <w:color w:val="auto"/>
          <w:sz w:val="24"/>
          <w:szCs w:val="22"/>
          <w:highlight w:val="none"/>
        </w:rPr>
        <w:t>）技术评分中所需的材料（详见评标办法）；</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8</w:t>
      </w:r>
      <w:r>
        <w:rPr>
          <w:rFonts w:hint="eastAsia" w:ascii="宋体" w:hAnsi="宋体" w:eastAsia="宋体" w:cs="宋体"/>
          <w:color w:val="auto"/>
          <w:sz w:val="24"/>
          <w:szCs w:val="22"/>
          <w:highlight w:val="none"/>
        </w:rPr>
        <w:t>）其他商务技术文件或说明（如有）。</w:t>
      </w:r>
    </w:p>
    <w:p>
      <w:pPr>
        <w:pStyle w:val="47"/>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3、报价文件</w:t>
      </w:r>
    </w:p>
    <w:p>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（1）开标一览表（格式见第五部分格式</w:t>
      </w:r>
      <w:r>
        <w:rPr>
          <w:rFonts w:hint="eastAsia" w:ascii="宋体" w:hAnsi="宋体" w:eastAsia="宋体" w:cs="宋体"/>
          <w:color w:val="auto"/>
          <w:sz w:val="24"/>
          <w:szCs w:val="22"/>
          <w:highlight w:val="none"/>
          <w:lang w:eastAsia="zh-CN"/>
        </w:rPr>
        <w:t>七</w:t>
      </w:r>
      <w:r>
        <w:rPr>
          <w:rFonts w:hint="eastAsia" w:ascii="宋体" w:hAnsi="宋体" w:eastAsia="宋体" w:cs="宋体"/>
          <w:color w:val="auto"/>
          <w:sz w:val="24"/>
          <w:szCs w:val="22"/>
          <w:highlight w:val="none"/>
        </w:rPr>
        <w:t>）；</w:t>
      </w:r>
    </w:p>
    <w:p>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2</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投标报价明细表（格式见第五部分格式</w:t>
      </w:r>
      <w:r>
        <w:rPr>
          <w:rFonts w:hint="eastAsia" w:ascii="宋体" w:hAnsi="宋体" w:eastAsia="宋体" w:cs="宋体"/>
          <w:color w:val="auto"/>
          <w:sz w:val="24"/>
          <w:szCs w:val="22"/>
          <w:highlight w:val="none"/>
          <w:lang w:eastAsia="zh-CN"/>
        </w:rPr>
        <w:t>八</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eastAsia="zh-CN"/>
        </w:rPr>
        <w:t>。</w:t>
      </w:r>
    </w:p>
    <w:p>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szCs w:val="22"/>
          <w:highlight w:val="none"/>
          <w:u w:val="single"/>
          <w:lang w:val="zh-CN"/>
        </w:rPr>
        <w:t>投标文件中所需的各种证书、证件、证明资料</w:t>
      </w:r>
      <w:r>
        <w:rPr>
          <w:rFonts w:hint="eastAsia" w:ascii="宋体" w:hAnsi="宋体" w:eastAsia="宋体" w:cs="宋体"/>
          <w:color w:val="auto"/>
          <w:sz w:val="24"/>
          <w:szCs w:val="22"/>
          <w:highlight w:val="none"/>
          <w:u w:val="single"/>
        </w:rPr>
        <w:t>等</w:t>
      </w:r>
      <w:r>
        <w:rPr>
          <w:rFonts w:hint="eastAsia" w:ascii="宋体" w:hAnsi="宋体" w:eastAsia="宋体" w:cs="宋体"/>
          <w:color w:val="auto"/>
          <w:sz w:val="24"/>
          <w:szCs w:val="22"/>
          <w:highlight w:val="none"/>
          <w:u w:val="single"/>
          <w:lang w:val="zh-CN"/>
        </w:rPr>
        <w:t>如是复印件，须在复印件上加盖有效公章。</w:t>
      </w:r>
    </w:p>
    <w:p>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（三）投标报价</w:t>
      </w:r>
    </w:p>
    <w:p>
      <w:pPr>
        <w:pStyle w:val="364"/>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1、▲本次投标最高限价为</w:t>
      </w:r>
      <w:r>
        <w:rPr>
          <w:rFonts w:hint="eastAsia" w:ascii="宋体" w:hAnsi="宋体" w:cs="宋体"/>
          <w:color w:val="auto"/>
          <w:sz w:val="24"/>
          <w:szCs w:val="24"/>
          <w:highlight w:val="none"/>
          <w:u w:val="single"/>
          <w:lang w:val="en-US" w:eastAsia="zh-CN"/>
        </w:rPr>
        <w:t>438412</w:t>
      </w:r>
      <w:r>
        <w:rPr>
          <w:rFonts w:hint="eastAsia" w:ascii="宋体" w:hAnsi="宋体" w:eastAsia="宋体" w:cs="宋体"/>
          <w:color w:val="auto"/>
          <w:kern w:val="2"/>
          <w:sz w:val="24"/>
          <w:szCs w:val="22"/>
          <w:highlight w:val="none"/>
          <w:lang w:val="en-US" w:eastAsia="zh-CN" w:bidi="ar-SA"/>
        </w:rPr>
        <w:t>元</w:t>
      </w:r>
      <w:r>
        <w:rPr>
          <w:rFonts w:hint="eastAsia" w:ascii="宋体" w:hAnsi="宋体" w:eastAsia="宋体" w:cs="宋体"/>
          <w:color w:val="auto"/>
          <w:kern w:val="2"/>
          <w:sz w:val="24"/>
          <w:szCs w:val="22"/>
          <w:highlight w:val="none"/>
          <w:u w:val="none"/>
          <w:lang w:val="en-US" w:eastAsia="zh-CN" w:bidi="ar-SA"/>
        </w:rPr>
        <w:t>，</w:t>
      </w:r>
      <w:r>
        <w:rPr>
          <w:rFonts w:hint="eastAsia" w:ascii="宋体" w:hAnsi="宋体" w:cs="宋体"/>
          <w:color w:val="auto"/>
          <w:kern w:val="2"/>
          <w:sz w:val="24"/>
          <w:szCs w:val="22"/>
          <w:highlight w:val="none"/>
          <w:lang w:val="en-US" w:eastAsia="zh-CN" w:bidi="ar-SA"/>
        </w:rPr>
        <w:t>投标人</w:t>
      </w:r>
      <w:r>
        <w:rPr>
          <w:rFonts w:hint="eastAsia" w:ascii="宋体" w:hAnsi="宋体" w:eastAsia="宋体" w:cs="宋体"/>
          <w:color w:val="auto"/>
          <w:kern w:val="2"/>
          <w:sz w:val="24"/>
          <w:szCs w:val="22"/>
          <w:highlight w:val="none"/>
          <w:lang w:val="en-US" w:eastAsia="zh-CN" w:bidi="ar-SA"/>
        </w:rPr>
        <w:t>报价高于最高限价的，为无效响应文件。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kern w:val="2"/>
          <w:sz w:val="24"/>
          <w:szCs w:val="22"/>
          <w:highlight w:val="none"/>
          <w:lang w:val="en-US" w:eastAsia="zh-CN" w:bidi="ar-SA"/>
        </w:rPr>
        <w:t>2</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zh-CN"/>
        </w:rPr>
        <w:t>投标人</w:t>
      </w:r>
      <w:r>
        <w:rPr>
          <w:rFonts w:hint="eastAsia" w:ascii="宋体" w:hAnsi="宋体" w:eastAsia="宋体" w:cs="宋体"/>
          <w:bCs/>
          <w:color w:val="auto"/>
          <w:sz w:val="24"/>
          <w:szCs w:val="24"/>
          <w:highlight w:val="none"/>
          <w:lang w:val="zh-CN"/>
        </w:rPr>
        <w:t>的</w:t>
      </w: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lang w:val="zh-CN"/>
        </w:rPr>
        <w:t>报价为履行合同的最终价格，投标人的报价包括本次的货物价款、人工费、材料费、运输保险费、安装调试费（含安装人工等相关人工费用）、售后服务、各项税金、验收费等所有费用。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3、</w:t>
      </w:r>
      <w:r>
        <w:rPr>
          <w:rFonts w:hint="eastAsia" w:ascii="宋体" w:hAnsi="宋体" w:cs="宋体"/>
          <w:bCs/>
          <w:color w:val="auto"/>
          <w:sz w:val="24"/>
          <w:szCs w:val="24"/>
          <w:highlight w:val="none"/>
          <w:lang w:val="zh-CN"/>
        </w:rPr>
        <w:t>投标人</w:t>
      </w:r>
      <w:r>
        <w:rPr>
          <w:rFonts w:hint="eastAsia" w:ascii="宋体" w:hAnsi="宋体" w:eastAsia="宋体" w:cs="宋体"/>
          <w:bCs/>
          <w:color w:val="auto"/>
          <w:sz w:val="24"/>
          <w:szCs w:val="24"/>
          <w:highlight w:val="none"/>
          <w:lang w:val="zh-CN"/>
        </w:rPr>
        <w:t>应根据要求报价，报价单中不得漏填项目。</w:t>
      </w:r>
    </w:p>
    <w:p>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4</w:t>
      </w:r>
      <w:r>
        <w:rPr>
          <w:rFonts w:hint="eastAsia" w:ascii="宋体" w:hAnsi="宋体" w:eastAsia="宋体" w:cs="宋体"/>
          <w:color w:val="auto"/>
          <w:sz w:val="24"/>
          <w:szCs w:val="22"/>
          <w:highlight w:val="none"/>
        </w:rPr>
        <w:t>、其它费用处理</w:t>
      </w:r>
    </w:p>
    <w:p>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招标文件未列明，而投标人认为必需的费用也需列入报价。投标人在投标报价中应充分考虑所有可能发生的费用，否则招标人将视投标总价中已包括所有费用。</w:t>
      </w:r>
    </w:p>
    <w:p>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5</w:t>
      </w:r>
      <w:r>
        <w:rPr>
          <w:rFonts w:hint="eastAsia" w:ascii="宋体" w:hAnsi="宋体" w:eastAsia="宋体" w:cs="宋体"/>
          <w:color w:val="auto"/>
          <w:sz w:val="24"/>
          <w:szCs w:val="22"/>
          <w:highlight w:val="none"/>
        </w:rPr>
        <w:t>、投标货币</w:t>
      </w:r>
    </w:p>
    <w:p>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投标文件中价格全部采用人民币报价。</w:t>
      </w:r>
    </w:p>
    <w:p>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报价应是唯一的，不接受有选择的报价。</w:t>
      </w:r>
    </w:p>
    <w:p>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6</w:t>
      </w:r>
      <w:r>
        <w:rPr>
          <w:rFonts w:hint="eastAsia" w:ascii="宋体" w:hAnsi="宋体" w:eastAsia="宋体" w:cs="宋体"/>
          <w:color w:val="auto"/>
          <w:sz w:val="24"/>
          <w:szCs w:val="22"/>
          <w:highlight w:val="none"/>
        </w:rPr>
        <w:t>、投标人对在合同执行中，除上述费用及招标文件规定的由中标人负责的工作范围以外需要招标人协调或提供便利的工作应当在投标文件中说明。</w:t>
      </w:r>
      <w:bookmarkStart w:id="47" w:name="_Hlt75236011"/>
      <w:bookmarkEnd w:id="47"/>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u w:val="single"/>
        </w:rPr>
        <w:t>报价是中标的一个重要因素，但最低报价不是中标的唯一依据。</w:t>
      </w:r>
    </w:p>
    <w:p>
      <w:pPr>
        <w:pStyle w:val="19"/>
        <w:keepNext w:val="0"/>
        <w:keepLines w:val="0"/>
        <w:pageBreakBefore w:val="0"/>
        <w:widowControl w:val="0"/>
        <w:kinsoku/>
        <w:wordWrap/>
        <w:overflowPunct/>
        <w:topLinePunct w:val="0"/>
        <w:autoSpaceDE/>
        <w:autoSpaceDN/>
        <w:bidi w:val="0"/>
        <w:adjustRightInd/>
        <w:snapToGrid/>
        <w:spacing w:after="120" w:line="400" w:lineRule="exact"/>
        <w:ind w:left="0" w:leftChars="0" w:right="0" w:rightChars="0" w:firstLine="482" w:firstLineChars="200"/>
        <w:jc w:val="left"/>
        <w:textAlignment w:val="auto"/>
        <w:outlineLvl w:val="9"/>
        <w:rPr>
          <w:rFonts w:hint="eastAsia" w:ascii="宋体" w:hAnsi="宋体" w:eastAsia="宋体" w:cs="宋体"/>
          <w:b/>
          <w:bCs/>
          <w:color w:val="auto"/>
          <w:sz w:val="24"/>
          <w:szCs w:val="18"/>
          <w:highlight w:val="none"/>
        </w:rPr>
      </w:pPr>
      <w:r>
        <w:rPr>
          <w:rFonts w:hint="eastAsia" w:ascii="宋体" w:hAnsi="宋体" w:eastAsia="宋体" w:cs="宋体"/>
          <w:b/>
          <w:bCs/>
          <w:color w:val="auto"/>
          <w:sz w:val="24"/>
          <w:szCs w:val="18"/>
          <w:highlight w:val="none"/>
          <w:lang w:eastAsia="zh-CN"/>
        </w:rPr>
        <w:t>注：</w:t>
      </w:r>
      <w:r>
        <w:rPr>
          <w:rFonts w:hint="eastAsia" w:ascii="宋体" w:hAnsi="宋体" w:cs="宋体"/>
          <w:b/>
          <w:bCs/>
          <w:color w:val="auto"/>
          <w:sz w:val="24"/>
          <w:szCs w:val="18"/>
          <w:highlight w:val="none"/>
          <w:lang w:eastAsia="zh-CN"/>
        </w:rPr>
        <w:t>投标人</w:t>
      </w:r>
      <w:r>
        <w:rPr>
          <w:rFonts w:hint="eastAsia" w:ascii="宋体" w:hAnsi="宋体" w:eastAsia="宋体" w:cs="宋体"/>
          <w:b/>
          <w:bCs/>
          <w:color w:val="auto"/>
          <w:sz w:val="24"/>
          <w:szCs w:val="18"/>
          <w:highlight w:val="none"/>
        </w:rPr>
        <w:t>不得进行影响产品质量或者诚信履约的恶意报价。</w:t>
      </w:r>
      <w:r>
        <w:rPr>
          <w:rFonts w:hint="eastAsia" w:ascii="宋体" w:hAnsi="宋体" w:cs="宋体"/>
          <w:b/>
          <w:bCs/>
          <w:color w:val="auto"/>
          <w:sz w:val="24"/>
          <w:szCs w:val="18"/>
          <w:highlight w:val="none"/>
          <w:lang w:eastAsia="zh-CN"/>
        </w:rPr>
        <w:t>投标人</w:t>
      </w:r>
      <w:r>
        <w:rPr>
          <w:rFonts w:hint="eastAsia" w:ascii="宋体" w:hAnsi="宋体" w:eastAsia="宋体" w:cs="宋体"/>
          <w:b/>
          <w:bCs/>
          <w:color w:val="auto"/>
          <w:sz w:val="24"/>
          <w:szCs w:val="18"/>
          <w:highlight w:val="none"/>
        </w:rPr>
        <w:t>在项目评审前准备好报价核算、报价明细、报价说明等材料，以备评审专家核查，</w:t>
      </w:r>
      <w:r>
        <w:rPr>
          <w:rFonts w:hint="eastAsia" w:ascii="宋体" w:hAnsi="宋体" w:cs="宋体"/>
          <w:b/>
          <w:bCs/>
          <w:color w:val="auto"/>
          <w:sz w:val="24"/>
          <w:szCs w:val="18"/>
          <w:highlight w:val="none"/>
          <w:lang w:eastAsia="zh-CN"/>
        </w:rPr>
        <w:t>投标人</w:t>
      </w:r>
      <w:r>
        <w:rPr>
          <w:rFonts w:hint="eastAsia" w:ascii="宋体" w:hAnsi="宋体" w:eastAsia="宋体" w:cs="宋体"/>
          <w:b/>
          <w:bCs/>
          <w:color w:val="auto"/>
          <w:sz w:val="24"/>
          <w:szCs w:val="18"/>
          <w:highlight w:val="none"/>
        </w:rPr>
        <w:t>报价低于项目预算50%的，应当在报价文件中详细阐述不影响产品质量或者诚信履约的具体原因。</w:t>
      </w:r>
    </w:p>
    <w:p>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
          <w:color w:val="auto"/>
          <w:highlight w:val="none"/>
        </w:rPr>
      </w:pPr>
      <w:bookmarkStart w:id="48" w:name="_Toc91899887"/>
      <w:r>
        <w:rPr>
          <w:rFonts w:hint="eastAsia" w:ascii="宋体" w:hAnsi="宋体" w:eastAsia="宋体" w:cs="宋体"/>
          <w:b/>
          <w:color w:val="auto"/>
          <w:highlight w:val="none"/>
        </w:rPr>
        <w:t>（四）投标有效期</w:t>
      </w:r>
    </w:p>
    <w:p>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1、投标文件合格投递后，自投标截止日期起，至前附表规定的日期内有效。合同签订后，投标文件作为合同附件，投标文件有效期同合同有效期。</w:t>
      </w:r>
    </w:p>
    <w:p>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 招标人如因故推迟投标截止时间，将以书面形式通知所有投标人。在这种情况下，招标人与投标人以前在投标截止期方面的全部权利、责任和义务，将适用于延长至新的投标截止期。</w:t>
      </w:r>
    </w:p>
    <w:p>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3、投标人可拒绝接受延期要求。同意延长有效期的投标人不能修改投标文件。</w:t>
      </w:r>
    </w:p>
    <w:p>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4、投标截止后，在投标有效期内，投标人不能撤销投标文件。投标人强行撤销投标文件的，应按采购预算金额的2%赔偿对采购组织机构造成的损失。</w:t>
      </w:r>
    </w:p>
    <w:bookmarkEnd w:id="48"/>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49" w:name="_Toc522530044"/>
      <w:bookmarkStart w:id="50" w:name="_Toc19525"/>
      <w:bookmarkStart w:id="51" w:name="_Toc91899892"/>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四、投 标</w:t>
      </w:r>
      <w:bookmarkEnd w:id="49"/>
      <w:bookmarkEnd w:id="50"/>
    </w:p>
    <w:p>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（一）投标文件的上传和递交</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1、“电子加密投标文件”的上传、递交：</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a.投标人应在投标截止时间前将“电子加密投标文件”成功上传递交至“政府采购云平台”，否则投标无效。</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b.“电子加密投标文件”成功上传递交后，投标人可自行打印投标文件接收回执。</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2、“备份投标文件”的密封包装、递交：</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a.投标人在“政府采购云平台”完成“电子加密投标文件”的上传递交后，还可以（建议顺丰邮寄）在投标截止时间前递交以介质（U盘）存储的 “备份投标文件”（一份）；</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b.“备份投标文件”应当密封包装，并在包装上标注投标项目名称、投标单位名称并加盖公章。没有密封包装或者逾期邮寄送达至投标地点的“备份投标文件”将不予接收；</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d.电子备份投标文件，由投标人决定是否递交，并自行承担不递交电子备份投标文件的风险。</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lang w:val="en-US" w:eastAsia="zh-CN"/>
        </w:rPr>
        <w:t>3、</w:t>
      </w:r>
      <w:r>
        <w:rPr>
          <w:rFonts w:hint="eastAsia" w:ascii="宋体" w:hAnsi="宋体" w:eastAsia="宋体" w:cs="宋体"/>
          <w:b/>
          <w:bCs/>
          <w:color w:val="auto"/>
          <w:sz w:val="24"/>
          <w:szCs w:val="22"/>
          <w:highlight w:val="none"/>
        </w:rPr>
        <w:t>招标人如因故推迟投标截止时间，将以书面形式通知所有投标人。在这种情况下，招标人与投标人以前在投标截止期方面的全部权利、责任和义务，将适用于延长至新的投标截止期。</w:t>
      </w:r>
    </w:p>
    <w:p>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（二）“电子加密投标文件”解密和异常情况处理</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（1）开标后，采购组织机构将向各投标人发出“电子加密投标文件”的解密通知，各投标人代表应当在接到解密通知后30分钟内自行完成“电子加密投标文件”的在线解密。</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（3）投标截止时间前，投标人仅递交了“备份投标文件”而未将电子加密投标文件上传至“政府采购云平台”的，投标无效。</w:t>
      </w:r>
    </w:p>
    <w:p>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（三）投标文件的修改与撤回</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2、投标截止时间后，投标人不得撤回、修改《投标文件》。</w:t>
      </w:r>
    </w:p>
    <w:bookmarkEnd w:id="51"/>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52" w:name="_Toc233618976"/>
      <w:bookmarkStart w:id="53" w:name="_Toc91899897"/>
      <w:bookmarkStart w:id="54" w:name="_Toc6430"/>
      <w:bookmarkStart w:id="55" w:name="_Toc522530045"/>
      <w:r>
        <w:rPr>
          <w:rFonts w:hint="eastAsia" w:ascii="宋体" w:hAnsi="宋体" w:eastAsia="宋体" w:cs="宋体"/>
          <w:b/>
          <w:color w:val="auto"/>
          <w:sz w:val="32"/>
          <w:highlight w:val="none"/>
        </w:rPr>
        <w:t>五、开 标</w:t>
      </w:r>
      <w:bookmarkEnd w:id="52"/>
      <w:bookmarkEnd w:id="53"/>
      <w:bookmarkEnd w:id="54"/>
      <w:bookmarkEnd w:id="55"/>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（一）开标形式</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1、采购组织机构将按照招标文件规定的时间通过“政府采购云平台”组织开标、开启投标文件，所有投标人均应当准时在线参加。</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（二）开标准备</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1、开标的准备工作由采购组织机构负责落实；</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采购组织机构将按照招标文件规定的时间通过“政府采购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（三）开标流程（两阶段）</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1、开标第一阶段</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（2）投标文件解密结束，通过邮件形式发送各投标人组织签署《政府采购活动现场确认声明书》；</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（3）开启投标文件，进入资格审查；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（4）开启资格审查通过的投标人的商务技术文件进入符合性审查、商务技术评审；</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（5）第一阶段开标结束。</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备注：开标大会的第一阶段结束后，采购人或采购代理机构将对依法对投标人的资格进行审查，资格审查结束后进入符合性审查和商务技术的评审工作，具体见本章节“投标人资格审查”相关规定。</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2、开标大会第二阶段</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符合性审查、商务技术评审结束后，举行开标大会第二阶段会议。首先通过发送邮件形式公布符合性审查、商务技术评审无效投标人名称及理由；公布经商务技术评审后有效投标人的名单，同时公布其商务技术部分得分情况。</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（2）开启符合性审查、商务技术评审有效投标人的《报价文件》，公布开标一览表有关内容，同时当场制作开标记录表，投标人</w:t>
      </w:r>
      <w:r>
        <w:rPr>
          <w:rFonts w:hint="eastAsia" w:ascii="宋体" w:hAnsi="宋体" w:eastAsia="宋体" w:cs="宋体"/>
          <w:color w:val="auto"/>
          <w:sz w:val="24"/>
          <w:szCs w:val="22"/>
          <w:highlight w:val="none"/>
          <w:lang w:eastAsia="zh-CN"/>
        </w:rPr>
        <w:t>在线</w:t>
      </w:r>
      <w:r>
        <w:rPr>
          <w:rFonts w:hint="eastAsia" w:ascii="宋体" w:hAnsi="宋体" w:eastAsia="宋体" w:cs="宋体"/>
          <w:color w:val="auto"/>
          <w:sz w:val="24"/>
          <w:szCs w:val="22"/>
          <w:highlight w:val="none"/>
        </w:rPr>
        <w:t>签字确认（不予确认的应说明理由，否则视为无异议）。唱标结束后，由评标委员会对报价的合理性、准确性等进行审查核实。</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（3）评审结束后，</w:t>
      </w:r>
      <w:r>
        <w:rPr>
          <w:rFonts w:hint="eastAsia" w:ascii="宋体" w:hAnsi="宋体" w:eastAsia="宋体" w:cs="宋体"/>
          <w:color w:val="auto"/>
          <w:sz w:val="24"/>
          <w:szCs w:val="22"/>
          <w:highlight w:val="none"/>
          <w:lang w:eastAsia="zh-CN"/>
        </w:rPr>
        <w:t>投标人可在</w:t>
      </w:r>
      <w:r>
        <w:rPr>
          <w:rFonts w:hint="eastAsia" w:ascii="宋体" w:hAnsi="宋体" w:eastAsia="宋体" w:cs="宋体"/>
          <w:b/>
          <w:bCs/>
          <w:color w:val="auto"/>
          <w:sz w:val="24"/>
          <w:szCs w:val="22"/>
          <w:highlight w:val="none"/>
          <w:lang w:eastAsia="zh-CN"/>
        </w:rPr>
        <w:t>“</w:t>
      </w:r>
      <w:r>
        <w:rPr>
          <w:rFonts w:hint="eastAsia" w:ascii="宋体" w:hAnsi="宋体" w:eastAsia="宋体" w:cs="宋体"/>
          <w:b/>
          <w:bCs/>
          <w:color w:val="auto"/>
          <w:sz w:val="24"/>
          <w:szCs w:val="22"/>
          <w:highlight w:val="none"/>
        </w:rPr>
        <w:t>政府采购云平台</w:t>
      </w:r>
      <w:r>
        <w:rPr>
          <w:rFonts w:hint="eastAsia" w:ascii="宋体" w:hAnsi="宋体" w:eastAsia="宋体" w:cs="宋体"/>
          <w:b/>
          <w:bCs/>
          <w:color w:val="auto"/>
          <w:sz w:val="24"/>
          <w:szCs w:val="22"/>
          <w:highlight w:val="none"/>
          <w:lang w:eastAsia="zh-CN"/>
        </w:rPr>
        <w:t>”</w:t>
      </w:r>
      <w:r>
        <w:rPr>
          <w:rFonts w:hint="eastAsia" w:ascii="宋体" w:hAnsi="宋体" w:eastAsia="宋体" w:cs="宋体"/>
          <w:b w:val="0"/>
          <w:bCs w:val="0"/>
          <w:color w:val="auto"/>
          <w:sz w:val="24"/>
          <w:szCs w:val="22"/>
          <w:highlight w:val="none"/>
          <w:lang w:eastAsia="zh-CN"/>
        </w:rPr>
        <w:t>查看</w:t>
      </w:r>
      <w:r>
        <w:rPr>
          <w:rFonts w:hint="eastAsia" w:ascii="宋体" w:hAnsi="宋体" w:eastAsia="宋体" w:cs="宋体"/>
          <w:color w:val="auto"/>
          <w:sz w:val="24"/>
          <w:szCs w:val="22"/>
          <w:highlight w:val="none"/>
          <w:lang w:eastAsia="zh-CN"/>
        </w:rPr>
        <w:t>开标结果及</w:t>
      </w:r>
      <w:r>
        <w:rPr>
          <w:rFonts w:hint="eastAsia" w:ascii="宋体" w:hAnsi="宋体" w:eastAsia="宋体" w:cs="宋体"/>
          <w:color w:val="auto"/>
          <w:sz w:val="24"/>
          <w:szCs w:val="22"/>
          <w:highlight w:val="none"/>
        </w:rPr>
        <w:t>中标候选人名单，及采购人最终确定中标人名单的时间和公告方式等。</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特别说明：如遇“政府采购云平台”电子化开标或评审程序调整的，按调整后程序执行。</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bookmarkStart w:id="56" w:name="_Toc33194393"/>
      <w:bookmarkStart w:id="57" w:name="_Toc24550037"/>
      <w:r>
        <w:rPr>
          <w:rFonts w:hint="eastAsia" w:ascii="宋体" w:hAnsi="宋体" w:eastAsia="宋体" w:cs="宋体"/>
          <w:b/>
          <w:bCs/>
          <w:color w:val="auto"/>
          <w:sz w:val="24"/>
          <w:szCs w:val="22"/>
          <w:highlight w:val="none"/>
        </w:rPr>
        <w:t>（四）投标人资格审查</w:t>
      </w:r>
      <w:bookmarkEnd w:id="56"/>
      <w:bookmarkEnd w:id="57"/>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1、开标大会第一阶段结束后，采购人或采购代理机构首先依法对各投标人的资格进行审查，审查各投标人的资格是否满足招标文件的要求。</w:t>
      </w:r>
      <w:r>
        <w:rPr>
          <w:rFonts w:hint="eastAsia" w:ascii="宋体" w:hAnsi="宋体" w:eastAsia="宋体" w:cs="宋体"/>
          <w:color w:val="auto"/>
          <w:sz w:val="24"/>
          <w:szCs w:val="22"/>
          <w:highlight w:val="none"/>
        </w:rPr>
        <w:t>采购人或采购代理机构对投标人所提交的资格证明材料仅负审核的责任。如发现投标人所提交的资格证明材料不合法或与事实不符，采购人可取消其中标资格并追究投标人的法律责任。</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2、投标人提交的资格证明材料无法证明其符合招标文件规定的“投标人资格要求”的，采购人或采购代理机构将对其作资格审查不通过处理（无效投标），并不再将其投标提交评标委员会进行后续评审。</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bCs/>
          <w:color w:val="auto"/>
          <w:sz w:val="24"/>
          <w:szCs w:val="22"/>
          <w:highlight w:val="none"/>
        </w:rPr>
        <w:t>3、单位负责人为同一人或者存在直接控股、管理关系的不同投标人参加同一合同项下的政府采购活动的，相关投标人均作资格无效处理。</w:t>
      </w:r>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58" w:name="_Hlt75236101"/>
      <w:bookmarkEnd w:id="58"/>
      <w:bookmarkStart w:id="59" w:name="_Toc91899902"/>
      <w:bookmarkStart w:id="60" w:name="_Toc233618977"/>
      <w:bookmarkStart w:id="61" w:name="_Toc29851"/>
      <w:bookmarkStart w:id="62" w:name="_Toc522530046"/>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六、评 标</w:t>
      </w:r>
      <w:bookmarkEnd w:id="59"/>
      <w:bookmarkEnd w:id="60"/>
      <w:bookmarkEnd w:id="61"/>
      <w:bookmarkEnd w:id="62"/>
    </w:p>
    <w:p>
      <w:pPr>
        <w:pStyle w:val="47"/>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63" w:name="_Toc91899903"/>
      <w:r>
        <w:rPr>
          <w:rFonts w:hint="eastAsia" w:ascii="宋体" w:hAnsi="宋体" w:eastAsia="宋体" w:cs="宋体"/>
          <w:b/>
          <w:color w:val="auto"/>
          <w:sz w:val="24"/>
          <w:highlight w:val="none"/>
        </w:rPr>
        <w:t>（一）评标组织</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本项目评标委员会由5人(含)以上单数的人员组成，负责对投标文件进行审查、质询、评审和比较等。评标委员会由采购咨询专家和招标人代表组成，其中采购咨询专家人数不少于成员总数的三分之二。</w:t>
      </w:r>
      <w:r>
        <w:rPr>
          <w:rFonts w:hint="eastAsia" w:ascii="宋体" w:hAnsi="宋体" w:eastAsia="宋体" w:cs="宋体"/>
          <w:color w:val="auto"/>
          <w:kern w:val="0"/>
          <w:sz w:val="24"/>
          <w:highlight w:val="none"/>
        </w:rPr>
        <w:t>评标委员会成员名单在评审结果（采购结果）公告前保密。</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（二）评标原则</w:t>
      </w:r>
    </w:p>
    <w:p>
      <w:pPr>
        <w:pStyle w:val="47"/>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1、竞争优选；</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2、公平、公正、科学合理</w:t>
      </w:r>
      <w:r>
        <w:rPr>
          <w:rFonts w:hint="eastAsia" w:ascii="宋体" w:hAnsi="宋体" w:eastAsia="宋体" w:cs="宋体"/>
          <w:color w:val="auto"/>
          <w:sz w:val="24"/>
          <w:szCs w:val="22"/>
          <w:highlight w:val="none"/>
          <w:lang w:val="zh-CN"/>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3、</w:t>
      </w:r>
      <w:r>
        <w:rPr>
          <w:rFonts w:hint="eastAsia" w:ascii="宋体" w:hAnsi="宋体" w:eastAsia="宋体" w:cs="宋体"/>
          <w:color w:val="auto"/>
          <w:sz w:val="24"/>
          <w:szCs w:val="22"/>
          <w:highlight w:val="none"/>
        </w:rPr>
        <w:t>价格合理，方案、产品先进可行；</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4、反对不正当竞争。</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（三）评标纪律</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评标委员会成员要严格遵守评标纪律、保密、回避等相关规定，依法独立履行评标职责，客观、公正、审慎参与评标工作；</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1、严格遵守评标时间，因突发情况确实不能按时参加评标的，应事先告知招标组织机构；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2、服从招标组织机构的现场管理，主动出示身份证明，进入评标区域后应主动寄存移动通讯工具，按要求佩戴工作牌；</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3、与投标人或评标委员会其他成员存在利害关系的，要主动回避，自觉签订《政府采购评审人员廉洁自律承诺书》；</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4、保持评标现场安静，不在评标现场随意走动，因发生不可预见情况确需与外界联系或暂时离开评标现场的，应向现场监督员说明情况，征得同意后在监控区域内进行相关活动，并应接受相关工作人员的监督；</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5、自觉遵守职业道德，尊重招标人代表和投标人代表，配合招标组织机构回答投标人代表提出的有关异议；</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6、不得将评标过程、结果和投标人的商业秘密透露给任何单位和个人。未公告评标结果前不准泄露评标结果，不准将评标资料带出会场；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7、评标过程中，涉及到相关法律法规不清楚之处的，由招标人监管部门或请示权威部门作出法定解释，涉及到招标文件的由编制招标文件的机构和部门负责解释。</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8、如实行暗标评审的，其投标文件和产品样品的评审编号和编号保管，由监督人员负责；在评标委员评分完成后，再将投标人的投标文件和提供的产品样品编号交评委。</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 评标程序</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1、在评标专家中推选评标委员会组长，优先推选资深专家为组长；</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评标委员会组长召集成员认真阅读招标文件以及相关补充、质疑、答复文件、项目书面说明等材料，熟悉招标项目的基本概况、质量要求、数量、主要技术标准或服务需求，合同主要条款，投标文件无效情形，评标方法、评标依据、评标标准等；</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b/>
          <w:color w:val="auto"/>
          <w:sz w:val="24"/>
          <w:highlight w:val="none"/>
          <w:u w:val="single"/>
        </w:rPr>
        <w:t>资格审查</w:t>
      </w:r>
      <w:r>
        <w:rPr>
          <w:rFonts w:hint="eastAsia" w:ascii="宋体" w:hAnsi="宋体" w:eastAsia="宋体" w:cs="宋体"/>
          <w:color w:val="auto"/>
          <w:sz w:val="24"/>
          <w:highlight w:val="none"/>
        </w:rPr>
        <w:t>，经其书面授权的招标人代表或经其书面授权的招标代理机构代表采购代理机构按照招标文件要求对投标人逐一进行资格审查；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b/>
          <w:color w:val="auto"/>
          <w:sz w:val="24"/>
          <w:highlight w:val="none"/>
          <w:u w:val="single"/>
        </w:rPr>
        <w:t>商务技术文件的符合性审查</w:t>
      </w:r>
      <w:r>
        <w:rPr>
          <w:rFonts w:hint="eastAsia" w:ascii="宋体" w:hAnsi="宋体" w:eastAsia="宋体" w:cs="宋体"/>
          <w:color w:val="auto"/>
          <w:sz w:val="24"/>
          <w:highlight w:val="none"/>
        </w:rPr>
        <w:t>，评标人员对通过资格审查的各投标文件商务、技术部分的有效性、完整性和响应程度等进行审查，确定是否对招标文件作出实质性响应；</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b/>
          <w:color w:val="auto"/>
          <w:sz w:val="24"/>
          <w:highlight w:val="none"/>
          <w:u w:val="single"/>
        </w:rPr>
        <w:t>商务技术评分</w:t>
      </w:r>
      <w:r>
        <w:rPr>
          <w:rFonts w:hint="eastAsia" w:ascii="宋体" w:hAnsi="宋体" w:eastAsia="宋体" w:cs="宋体"/>
          <w:color w:val="auto"/>
          <w:sz w:val="24"/>
          <w:highlight w:val="none"/>
        </w:rPr>
        <w:t>，评标人员按招标文件规定的评标方法和评标标准，依法独立对投标文件商务、技术部分进行评估、比较，并给予评价或打分，不受任何单位和个人的干预；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评标人员对各投标文件非实质性内容有疑议或异议，或者审查发现明显的文字或计算错误等，及时向评标委员会组长提出。经评标委员会商议认为需要投标人作出必要澄清或说明的，应通知该投标人代表以书面</w:t>
      </w:r>
      <w:r>
        <w:rPr>
          <w:rFonts w:hint="eastAsia" w:ascii="宋体" w:hAnsi="宋体" w:eastAsia="宋体" w:cs="宋体"/>
          <w:color w:val="auto"/>
          <w:kern w:val="0"/>
          <w:sz w:val="24"/>
          <w:highlight w:val="none"/>
        </w:rPr>
        <w:t>（或通过“政府采购云平台”在线答复）</w:t>
      </w:r>
      <w:r>
        <w:rPr>
          <w:rFonts w:hint="eastAsia" w:ascii="宋体" w:hAnsi="宋体" w:eastAsia="宋体" w:cs="宋体"/>
          <w:color w:val="auto"/>
          <w:sz w:val="24"/>
          <w:highlight w:val="none"/>
        </w:rPr>
        <w:t>形式作出澄清或说明，</w:t>
      </w:r>
      <w:r>
        <w:rPr>
          <w:rFonts w:hint="eastAsia" w:ascii="宋体" w:hAnsi="宋体" w:eastAsia="宋体" w:cs="宋体"/>
          <w:color w:val="auto"/>
          <w:kern w:val="0"/>
          <w:sz w:val="24"/>
          <w:highlight w:val="none"/>
        </w:rPr>
        <w:t>投标人的澄清、说明或者补正不得超出投标文件的范围或者改变投标文件的实质性内容</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评标人员对商务、技术部分评审结果进行确认，现场监督员对评审结果签署监督意见。如发现分项评分超出评分标准范围、客观评分不一致以及存在评分畸高、畸低情形的，应由相关人员当场改正或作出说明；拒不改正又不作说明的，由现场监督员如实记载后存入项目档案资料；</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b/>
          <w:color w:val="auto"/>
          <w:sz w:val="24"/>
          <w:highlight w:val="none"/>
          <w:u w:val="single"/>
        </w:rPr>
        <w:t>报价文件的符合性审查</w:t>
      </w:r>
      <w:r>
        <w:rPr>
          <w:rFonts w:hint="eastAsia" w:ascii="宋体" w:hAnsi="宋体" w:eastAsia="宋体" w:cs="宋体"/>
          <w:color w:val="auto"/>
          <w:sz w:val="24"/>
          <w:highlight w:val="none"/>
        </w:rPr>
        <w:t>，对开启的投标文件报价部分的进行有效性、完整性和响应程度等进行审查，确定是否对招标文件作出实质性响应；</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（五）</w:t>
      </w:r>
      <w:r>
        <w:rPr>
          <w:rFonts w:hint="eastAsia" w:ascii="宋体" w:hAnsi="宋体" w:eastAsia="宋体" w:cs="宋体"/>
          <w:b/>
          <w:color w:val="auto"/>
          <w:sz w:val="24"/>
          <w:highlight w:val="none"/>
          <w:lang w:val="zh-CN"/>
        </w:rPr>
        <w:t>投标文件的鉴定</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评标委员会将审查每份投标文件是否实质上响应了招标文件的要求。重大偏离和保留、细微偏离由评标委员会鉴定。如发现投标文件与招标文件要求有重大偏离和保留，其投标文件将被作无效标处理。投标人不得通过修正或撤消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pPr>
        <w:pStyle w:val="47"/>
        <w:keepNext w:val="0"/>
        <w:keepLines w:val="0"/>
        <w:pageBreakBefore w:val="0"/>
        <w:kinsoku/>
        <w:wordWrap/>
        <w:overflowPunct/>
        <w:topLinePunct w:val="0"/>
        <w:bidi w:val="0"/>
        <w:adjustRightInd w:val="0"/>
        <w:snapToGrid w:val="0"/>
        <w:spacing w:line="400" w:lineRule="exact"/>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2、无效标情形</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2"/>
          <w:highlight w:val="none"/>
        </w:rPr>
      </w:pPr>
      <w:bookmarkStart w:id="64" w:name="_Hlk33211013"/>
      <w:r>
        <w:rPr>
          <w:rFonts w:hint="eastAsia" w:ascii="宋体" w:hAnsi="宋体" w:eastAsia="宋体" w:cs="宋体"/>
          <w:color w:val="auto"/>
          <w:sz w:val="24"/>
          <w:szCs w:val="22"/>
          <w:highlight w:val="none"/>
        </w:rPr>
        <w:t>（一）商务、技术文件符合性审查中，存在下列情形之一的，经评标委员会按少数服从多数原则认定后作无效标处理：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bookmarkStart w:id="65" w:name="_Toc33194396"/>
      <w:r>
        <w:rPr>
          <w:rFonts w:hint="eastAsia" w:ascii="宋体" w:hAnsi="宋体" w:eastAsia="宋体" w:cs="宋体"/>
          <w:color w:val="auto"/>
          <w:sz w:val="24"/>
          <w:szCs w:val="22"/>
          <w:highlight w:val="none"/>
        </w:rPr>
        <w:t>（1）投标文件未有效授权，法定代表人授权委托书等填写不完整或有涂改的；</w:t>
      </w:r>
      <w:bookmarkEnd w:id="65"/>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（2）投标文件没有对本招标文件作出实质性响应的，或不满足（不响应）本招标文件中标注“▲”的实质性要求条款的，或存在招标文件中明确规定的其他无效标情形的；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（3）投标文件存在一个或一个以上备选（替代）投标方案的；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（4）仅提交“备份投标文件”的；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（5）文件组成内容不齐全，本招标文件规定必须提供而未提供的（属于资格审查范围的除外）；</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（6）投标文件标注的响应或偏离情况与事实不符，或提供了虚假材料的；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（7）不响应或擅自改变本招标文件要求或投标文件有采购人不能接受的附加条件的；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（8）参加同一合同项下政府采购活动的不同投标人之间存在利害关系并且存在影响政府采购公平竞争行为的；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bookmarkStart w:id="66" w:name="_Toc33194397"/>
      <w:r>
        <w:rPr>
          <w:rFonts w:hint="eastAsia" w:ascii="宋体" w:hAnsi="宋体" w:eastAsia="宋体" w:cs="宋体"/>
          <w:color w:val="auto"/>
          <w:sz w:val="24"/>
          <w:szCs w:val="22"/>
          <w:highlight w:val="none"/>
        </w:rPr>
        <w:t>（9）招标人拟采购的产品如属于品目清单范围内的强制采购品目的，投标人未</w:t>
      </w:r>
      <w:bookmarkEnd w:id="66"/>
      <w:bookmarkStart w:id="67" w:name="_Toc33194398"/>
      <w:r>
        <w:rPr>
          <w:rFonts w:hint="eastAsia" w:ascii="宋体" w:hAnsi="宋体" w:eastAsia="宋体" w:cs="宋体"/>
          <w:color w:val="auto"/>
          <w:sz w:val="24"/>
          <w:szCs w:val="22"/>
          <w:highlight w:val="none"/>
        </w:rPr>
        <w:t>能在响应文件中提供国家确定的认证机构出具的、处于有效期之内的该产品节能产品、环境标志产品认证证书；</w:t>
      </w:r>
      <w:bookmarkEnd w:id="67"/>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（10）违反国家或政府部门相关法律、法规、文件规定的。</w:t>
      </w:r>
      <w:bookmarkEnd w:id="64"/>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（二）报价文件符合性审查中，存在下列情形之一的，经评标委员会认定后作无效标处理：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（1）投标文件没有对本招标文件作出实质性响应的，或不满足（不响应）本招标文件中标注“▲”的实质性要求条款的，或存在招标文件中明确规定的其他无效标情形的；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（2）投标文件存在一个或一个以上备选（替代）投标方案的；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（3）未按照招标文件标明的币种报价的，或者投标报价涵盖的内容不符合招标文件要求的；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（4）《开标一览表》</w:t>
      </w:r>
      <w:r>
        <w:rPr>
          <w:rFonts w:hint="eastAsia" w:ascii="宋体" w:hAnsi="宋体" w:eastAsia="宋体" w:cs="宋体"/>
          <w:color w:val="auto"/>
          <w:sz w:val="24"/>
          <w:szCs w:val="22"/>
          <w:highlight w:val="none"/>
          <w:lang w:eastAsia="zh-CN"/>
        </w:rPr>
        <w:t>总价</w:t>
      </w:r>
      <w:r>
        <w:rPr>
          <w:rFonts w:hint="eastAsia" w:ascii="宋体" w:hAnsi="宋体" w:eastAsia="宋体" w:cs="宋体"/>
          <w:color w:val="auto"/>
          <w:sz w:val="24"/>
          <w:szCs w:val="22"/>
          <w:highlight w:val="none"/>
        </w:rPr>
        <w:t>与《投标报价明细表》</w:t>
      </w:r>
      <w:r>
        <w:rPr>
          <w:rFonts w:hint="eastAsia" w:ascii="宋体" w:hAnsi="宋体" w:eastAsia="宋体" w:cs="宋体"/>
          <w:color w:val="auto"/>
          <w:sz w:val="24"/>
          <w:szCs w:val="22"/>
          <w:highlight w:val="none"/>
          <w:lang w:eastAsia="zh-CN"/>
        </w:rPr>
        <w:t>总价</w:t>
      </w:r>
      <w:r>
        <w:rPr>
          <w:rFonts w:hint="eastAsia" w:ascii="宋体" w:hAnsi="宋体" w:eastAsia="宋体" w:cs="宋体"/>
          <w:color w:val="auto"/>
          <w:sz w:val="24"/>
          <w:szCs w:val="22"/>
          <w:highlight w:val="none"/>
        </w:rPr>
        <w:t>不一致且拒不接受修正的；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（5）投标报价具有选择性，唱标价格与《投标文件》承诺的优惠（折扣）后价格不一致的；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（6）投标报价超过采购预算（或最高限价）的；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（7）仅提交“备份投标文件”的；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（8）投标文件组成内容不齐全，本招标文件规定必须提供而未提供的（属于资格审查范围的除外）；</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（9）投标文件标注的响应或偏离情况与事实不符，或提供了虚假材料的；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（10）不响应或擅自改变本招标文件要求或投标文件有采购人不能接受的附加条件的；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11）评审委员会认为投标人报价明显低于其他合格投标人的报价，有可能影响产品质量或者不能诚信履约的，应当要求其在合理时间内提供书面说明，必要时提供相关证明材料；投标人不能证明其报价合理性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12</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《技术商务评分汇总表》得分低于商务技术总分60%的</w:t>
      </w:r>
      <w:r>
        <w:rPr>
          <w:rFonts w:hint="eastAsia" w:ascii="宋体" w:hAnsi="宋体" w:cs="宋体"/>
          <w:color w:val="auto"/>
          <w:sz w:val="24"/>
          <w:szCs w:val="22"/>
          <w:highlight w:val="none"/>
          <w:lang w:eastAsia="zh-CN"/>
        </w:rPr>
        <w:t>投标人</w:t>
      </w:r>
      <w:r>
        <w:rPr>
          <w:rFonts w:hint="eastAsia" w:ascii="宋体" w:hAnsi="宋体" w:eastAsia="宋体" w:cs="宋体"/>
          <w:color w:val="auto"/>
          <w:sz w:val="24"/>
          <w:szCs w:val="22"/>
          <w:highlight w:val="none"/>
        </w:rPr>
        <w:t>的报价将被拒绝，“报价符合性审查”为不合格。</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w:t>
      </w:r>
      <w:r>
        <w:rPr>
          <w:rFonts w:hint="eastAsia" w:ascii="宋体" w:hAnsi="宋体" w:eastAsia="宋体" w:cs="宋体"/>
          <w:color w:val="auto"/>
          <w:sz w:val="24"/>
          <w:szCs w:val="22"/>
          <w:highlight w:val="none"/>
          <w:lang w:val="en-US" w:eastAsia="zh-CN"/>
        </w:rPr>
        <w:t>3</w:t>
      </w:r>
      <w:r>
        <w:rPr>
          <w:rFonts w:hint="eastAsia" w:ascii="宋体" w:hAnsi="宋体" w:eastAsia="宋体" w:cs="宋体"/>
          <w:color w:val="auto"/>
          <w:sz w:val="24"/>
          <w:szCs w:val="22"/>
          <w:highlight w:val="none"/>
        </w:rPr>
        <w:t>）违反国家或政府部门相关法律、法规、文件规定的。</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3、投标报价的错误修正</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评标委员会将对确定为实质上响应招标文件要求的投标文件报价部分进行校核，看其在投标报价方面是否有计算、累计或表达上的错误，修正错误的原则及顺序如下：</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（1）投标文件中开标一览表(报价表)内容与投标文件中明细表内容不一致的，以开标一览表为准；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（2）投标文件的大写金额和小写金额不一致的，以大写金额为准；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（3）如分项价格或单价有遗报，应视作已含在投标总价中；其投标总价不予调整。其分项价或单价由评标委员会在投标总价不变的前提下根据合理的原则对其予以确定；</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（4）如有多报、重报，其投标总价在评标过程中不予调整。如其中标，其合同价按其投标单价予以调整；</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（5）单价金额小数点有明显错位的，应以总价为准，并修改单价。</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按上述修正错误的原则，调整或修正投标文件的投标报价。经投标人确认后，调整后的投标报价对投标人起约束作用。如果投标人不接受或者投标人在评标结束之前不能到场确认的，评标委员会将把调整或修正后的投标报价作为该投标人的投标报价，进入商务报价评标，但不接受修正的投标人最终将丧失其中标候选人资格。</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4、废标</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在招标采购中，出现下列情形之一的，本项目废标：</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（1）符合专业条件的投标人或者对招标文件作实质响应的投标人不足三家的；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（2）出现影响采购公正的违法、违规行为的；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（3）投标人的报价均超过了采购预算，采购人不能支付的；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（4）因重大变故，采购任务取消的。</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5、可中止电子交易活动的情形</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采购过程中出现以下情形，导致电子交易平台无法正常运行，或者无法保证电子交易的公平、公正和安全时，采购组织机构可中止电子交易活动：</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（1）电子交易平台发生故障而无法登录访问的；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（2）电子交易平台应用或数据库出现错误，不能进行正常操作的；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（3）电子交易平台发现严重安全漏洞，有潜在泄密危险的；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（4）病毒发作导致不能进行正常操作的；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（5）其他无法保证电子交易的公平、公正和安全的情况。</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sz w:val="24"/>
          <w:szCs w:val="22"/>
          <w:highlight w:val="none"/>
        </w:rPr>
        <w:t>出现前款规定情形，不影响采购公平、公正性的，采购组织机构可以待上述情形消除后继续组织电子交易活动；影响或可能影响采购公平、公正性的，应当重新采购。</w:t>
      </w:r>
    </w:p>
    <w:p>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color w:val="auto"/>
          <w:szCs w:val="24"/>
          <w:highlight w:val="none"/>
        </w:rPr>
      </w:pPr>
      <w:r>
        <w:rPr>
          <w:rFonts w:hint="eastAsia" w:ascii="宋体" w:hAnsi="宋体" w:eastAsia="宋体" w:cs="宋体"/>
          <w:b/>
          <w:color w:val="auto"/>
          <w:highlight w:val="none"/>
        </w:rPr>
        <w:t>（六）投标文件的澄清、说明或补正</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人的澄清、说明或者补正应当采用书面（或通过“政府采购云平台”在线答复）形式提交，并加盖公章，或者由法定代表人或其授权的代表签字。投标人的澄清、说明或者补正不得超出投标文件的范围或者改变投标文件的实质性内容。</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（七）评标办法</w:t>
      </w:r>
    </w:p>
    <w:bookmarkEnd w:id="63"/>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bookmarkStart w:id="68" w:name="_Toc86216994"/>
      <w:r>
        <w:rPr>
          <w:rFonts w:hint="eastAsia" w:ascii="宋体" w:hAnsi="宋体" w:eastAsia="宋体" w:cs="宋体"/>
          <w:color w:val="auto"/>
          <w:sz w:val="24"/>
          <w:highlight w:val="none"/>
        </w:rPr>
        <w:t>详见“第六部分  评标办法”。</w:t>
      </w:r>
    </w:p>
    <w:p>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（八）评标内容的保密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1、公开开标后，直到公告中标单位止，凡属于审查、澄清、评价和比较投标的所有资料，都不向投标人或与评标无关的其他人泄露。</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 在投标文件的审查、澄清、评价和比较以及确定中标人过程中，投标人对招标人、招标代理机构和评标委员会施加影响的任何行为，都将导致取消资格。</w:t>
      </w:r>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69" w:name="_Toc23416"/>
      <w:bookmarkStart w:id="70" w:name="_Toc522530047"/>
      <w:bookmarkStart w:id="71" w:name="_Toc233618978"/>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七、定 标</w:t>
      </w:r>
      <w:bookmarkEnd w:id="68"/>
      <w:bookmarkEnd w:id="69"/>
      <w:bookmarkEnd w:id="70"/>
      <w:bookmarkEnd w:id="71"/>
    </w:p>
    <w:p>
      <w:pPr>
        <w:pStyle w:val="8"/>
        <w:keepNext w:val="0"/>
        <w:keepLines w:val="0"/>
        <w:pageBreakBefore w:val="0"/>
        <w:tabs>
          <w:tab w:val="left" w:pos="1440"/>
        </w:tabs>
        <w:kinsoku/>
        <w:wordWrap/>
        <w:overflowPunct/>
        <w:topLinePunct w:val="0"/>
        <w:bidi w:val="0"/>
        <w:adjustRightInd w:val="0"/>
        <w:snapToGrid w:val="0"/>
        <w:spacing w:after="0" w:line="400" w:lineRule="exact"/>
        <w:ind w:left="56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（一）定标</w:t>
      </w:r>
      <w:r>
        <w:rPr>
          <w:rFonts w:hint="eastAsia" w:ascii="宋体" w:hAnsi="宋体" w:eastAsia="宋体" w:cs="宋体"/>
          <w:b/>
          <w:color w:val="auto"/>
          <w:sz w:val="24"/>
          <w:highlight w:val="none"/>
        </w:rPr>
        <w:tab/>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评标委员会根据以下规定确定投标人排名并推荐中标候选人。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1、评标委员会根据各投标人的综合得分（商务技术分与报价得分之和）从高到低依次进行排名排序。特殊情形按以下原则处理：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（1）综合得分相同的，按投标报价低的优先原则确定排名；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（2）综合得分和投标报价均相同的，按</w:t>
      </w:r>
      <w:r>
        <w:rPr>
          <w:rFonts w:hint="eastAsia" w:ascii="宋体" w:hAnsi="宋体" w:eastAsia="宋体" w:cs="宋体"/>
          <w:color w:val="auto"/>
          <w:sz w:val="24"/>
          <w:szCs w:val="22"/>
          <w:highlight w:val="none"/>
          <w:lang w:eastAsia="zh-CN"/>
        </w:rPr>
        <w:t>商务技术</w:t>
      </w:r>
      <w:r>
        <w:rPr>
          <w:rFonts w:hint="eastAsia" w:ascii="宋体" w:hAnsi="宋体" w:eastAsia="宋体" w:cs="宋体"/>
          <w:color w:val="auto"/>
          <w:sz w:val="24"/>
          <w:szCs w:val="22"/>
          <w:highlight w:val="none"/>
        </w:rPr>
        <w:t>得分从高到低确定排名；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（3）综合得分、投标报价和</w:t>
      </w:r>
      <w:r>
        <w:rPr>
          <w:rFonts w:hint="eastAsia" w:ascii="宋体" w:hAnsi="宋体" w:eastAsia="宋体" w:cs="宋体"/>
          <w:color w:val="auto"/>
          <w:sz w:val="24"/>
          <w:szCs w:val="22"/>
          <w:highlight w:val="none"/>
          <w:lang w:eastAsia="zh-CN"/>
        </w:rPr>
        <w:t>商务技术</w:t>
      </w:r>
      <w:r>
        <w:rPr>
          <w:rFonts w:hint="eastAsia" w:ascii="宋体" w:hAnsi="宋体" w:eastAsia="宋体" w:cs="宋体"/>
          <w:color w:val="auto"/>
          <w:sz w:val="24"/>
          <w:szCs w:val="22"/>
          <w:highlight w:val="none"/>
        </w:rPr>
        <w:t>得分均相同的由评标委员会全体成员记名投票按少数服从多数的原则确定排名。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2、根据最终得分排序，通过书面评审报告的形式，向采购人推荐排名第一的投标人为中标候选人。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pStyle w:val="8"/>
        <w:keepNext w:val="0"/>
        <w:keepLines w:val="0"/>
        <w:pageBreakBefore w:val="0"/>
        <w:tabs>
          <w:tab w:val="left" w:pos="1440"/>
        </w:tabs>
        <w:kinsoku/>
        <w:wordWrap/>
        <w:overflowPunct/>
        <w:topLinePunct w:val="0"/>
        <w:bidi w:val="0"/>
        <w:adjustRightInd w:val="0"/>
        <w:snapToGrid w:val="0"/>
        <w:spacing w:after="0" w:line="400" w:lineRule="exact"/>
        <w:ind w:left="56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（二）招标结果公告</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在招标人确认招标结果后招标代理机构按相关政府采购规定将招标结果发布在原招标公告发布媒体。公告有效期为1个工作日。招标人、招标代理机构及评标委员会对未中标的投标人不作落标原因解释。</w:t>
      </w:r>
    </w:p>
    <w:p>
      <w:pPr>
        <w:pStyle w:val="8"/>
        <w:keepNext w:val="0"/>
        <w:keepLines w:val="0"/>
        <w:pageBreakBefore w:val="0"/>
        <w:tabs>
          <w:tab w:val="left" w:pos="1440"/>
        </w:tabs>
        <w:kinsoku/>
        <w:wordWrap/>
        <w:overflowPunct/>
        <w:topLinePunct w:val="0"/>
        <w:bidi w:val="0"/>
        <w:adjustRightInd w:val="0"/>
        <w:snapToGrid w:val="0"/>
        <w:spacing w:after="0" w:line="400" w:lineRule="exact"/>
        <w:ind w:left="560"/>
        <w:textAlignment w:val="auto"/>
        <w:rPr>
          <w:rFonts w:hint="eastAsia" w:ascii="宋体" w:hAnsi="宋体" w:eastAsia="宋体" w:cs="宋体"/>
          <w:b/>
          <w:color w:val="auto"/>
          <w:sz w:val="24"/>
          <w:highlight w:val="none"/>
        </w:rPr>
      </w:pPr>
      <w:bookmarkStart w:id="72" w:name="_Hlt75236103"/>
      <w:bookmarkEnd w:id="72"/>
      <w:bookmarkStart w:id="73" w:name="_Toc86216995"/>
      <w:bookmarkStart w:id="74" w:name="_Toc91899910"/>
      <w:r>
        <w:rPr>
          <w:rFonts w:hint="eastAsia" w:ascii="宋体" w:hAnsi="宋体" w:eastAsia="宋体" w:cs="宋体"/>
          <w:b/>
          <w:color w:val="auto"/>
          <w:sz w:val="24"/>
          <w:highlight w:val="none"/>
        </w:rPr>
        <w:t>（三）中标通知书</w:t>
      </w:r>
      <w:r>
        <w:rPr>
          <w:rFonts w:hint="eastAsia" w:ascii="宋体" w:hAnsi="宋体" w:eastAsia="宋体" w:cs="宋体"/>
          <w:b/>
          <w:color w:val="auto"/>
          <w:sz w:val="24"/>
          <w:highlight w:val="none"/>
        </w:rPr>
        <w:tab/>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在公告中标结果的同时，招标人或者招标代理机构应当向中标人发出中标通知书。</w:t>
      </w:r>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75" w:name="_Toc15506"/>
      <w:bookmarkStart w:id="76" w:name="_Toc233618979"/>
      <w:bookmarkStart w:id="77" w:name="_Toc522530048"/>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八、</w:t>
      </w:r>
      <w:bookmarkEnd w:id="73"/>
      <w:r>
        <w:rPr>
          <w:rFonts w:hint="eastAsia" w:ascii="宋体" w:hAnsi="宋体" w:eastAsia="宋体" w:cs="宋体"/>
          <w:b/>
          <w:color w:val="auto"/>
          <w:sz w:val="32"/>
          <w:highlight w:val="none"/>
        </w:rPr>
        <w:t>合同签订及其他</w:t>
      </w:r>
      <w:bookmarkEnd w:id="75"/>
      <w:bookmarkEnd w:id="76"/>
      <w:bookmarkEnd w:id="77"/>
    </w:p>
    <w:bookmarkEnd w:id="74"/>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（一）合同的签订</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中标人接到中标通知书后按规定的日期、时间、地点，由法定代表人或其授权代表与招标人代表按照“第四部分 合同文本”内容签订《采购合同》。</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所签订的合同不得对招标文件和中标人投标文件作实质性修改。招标人不得向中标投标人提出任何不合理的要求，作为签订合同的条件，不得与中标人私下订立背离合同实质性内容的协议。</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招标文件及补充文件、中标人的投标文件及投标修改文件、评标过程中有关澄清文件和中标通知书均作为合同附件。</w:t>
      </w:r>
    </w:p>
    <w:p>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中标后，投标人拒绝签订合同的，采购人可以按照评审报告推荐的中标或者成交候选人名单排序，确定下一候选人为中标或者成交投标人，也可以重新开展政府采购活动。投标人中标或者成交后拒绝签订合同的，应按采购预算金额的2%对采购人进行赔偿；赔偿金额不足以弥补采购人损失的，投标人应继续承担超过部分的损失。</w:t>
      </w:r>
    </w:p>
    <w:p>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存在下列行为的，采购代理机构将其失信行为上报政府采购主管部门，由主管部门按有关规定对其违法失信行为记录进行公开：</w:t>
      </w:r>
    </w:p>
    <w:p>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（1）中标或者成交后，拒绝签订政府采购合同的；</w:t>
      </w:r>
    </w:p>
    <w:p>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（2）投标有效期内撤销投标文件的。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如签订合同并生效后，投标人无故拒绝或延期合格交货的，除按照合同条款处罚外，列入不良行为记录一次，并给予通报。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中标人因制造商原因无法供货导致无法签订合同的视为“中标后无正当理由不与招标人签订合同”。 </w:t>
      </w:r>
    </w:p>
    <w:p>
      <w:pPr>
        <w:keepNext w:val="0"/>
        <w:keepLines w:val="0"/>
        <w:pageBreakBefore w:val="0"/>
        <w:tabs>
          <w:tab w:val="left" w:pos="0"/>
        </w:tabs>
        <w:kinsoku/>
        <w:wordWrap/>
        <w:overflowPunct/>
        <w:topLinePunct w:val="0"/>
        <w:bidi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（二）售后服务考核</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将参照有关法律法规，对投标人进行考核，发现弄虚作假，偷工减料，以次充好，达不到国家、行业有关标准和技术文件规定的，一经查实，招标人将视情况终止合同。</w:t>
      </w:r>
    </w:p>
    <w:p>
      <w:pPr>
        <w:keepNext w:val="0"/>
        <w:keepLines w:val="0"/>
        <w:pageBreakBefore w:val="0"/>
        <w:tabs>
          <w:tab w:val="left" w:pos="0"/>
        </w:tabs>
        <w:kinsoku/>
        <w:wordWrap/>
        <w:overflowPunct/>
        <w:topLinePunct w:val="0"/>
        <w:bidi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（三）招标代理服务费</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本次招标代理服务费按规定收取。</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134" w:bottom="1440" w:left="1134" w:header="851" w:footer="850" w:gutter="0"/>
          <w:pgBorders>
            <w:top w:val="none" w:sz="0" w:space="0"/>
            <w:left w:val="none" w:sz="0" w:space="0"/>
            <w:bottom w:val="none" w:sz="0" w:space="0"/>
            <w:right w:val="none" w:sz="0" w:space="0"/>
          </w:pgBorders>
          <w:pgNumType w:start="1"/>
          <w:cols w:space="0" w:num="1"/>
          <w:titlePg/>
          <w:rtlGutter w:val="0"/>
          <w:docGrid w:linePitch="381" w:charSpace="0"/>
        </w:sectPr>
      </w:pPr>
    </w:p>
    <w:p>
      <w:pPr>
        <w:pStyle w:val="312"/>
        <w:numPr>
          <w:ilvl w:val="0"/>
          <w:numId w:val="4"/>
        </w:numPr>
        <w:kinsoku/>
        <w:overflowPunct/>
        <w:bidi w:val="0"/>
        <w:spacing w:before="0" w:line="400" w:lineRule="exact"/>
        <w:ind w:firstLine="0" w:firstLineChars="0"/>
        <w:jc w:val="center"/>
        <w:outlineLvl w:val="0"/>
        <w:rPr>
          <w:rFonts w:hint="eastAsia" w:ascii="宋体" w:hAnsi="宋体" w:eastAsia="宋体" w:cs="宋体"/>
          <w:b/>
          <w:color w:val="auto"/>
          <w:sz w:val="36"/>
          <w:highlight w:val="none"/>
        </w:rPr>
      </w:pPr>
      <w:bookmarkStart w:id="78" w:name="OLE_LINK5"/>
      <w:bookmarkStart w:id="79" w:name="OLE_LINK3"/>
      <w:r>
        <w:rPr>
          <w:rFonts w:hint="eastAsia" w:ascii="宋体" w:hAnsi="宋体" w:eastAsia="宋体" w:cs="宋体"/>
          <w:b/>
          <w:color w:val="auto"/>
          <w:sz w:val="36"/>
          <w:highlight w:val="none"/>
        </w:rPr>
        <w:t>采购需求</w:t>
      </w:r>
    </w:p>
    <w:p>
      <w:pPr>
        <w:pStyle w:val="99"/>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baseline"/>
        <w:rPr>
          <w:rFonts w:hint="eastAsia" w:ascii="宋体" w:hAnsi="宋体" w:eastAsia="宋体" w:cs="宋体"/>
          <w:b/>
          <w:bCs w:val="0"/>
          <w:color w:val="auto"/>
          <w:sz w:val="24"/>
          <w:szCs w:val="24"/>
          <w:highlight w:val="none"/>
          <w:lang w:val="en-US" w:eastAsia="zh-CN"/>
        </w:rPr>
      </w:pPr>
      <w:bookmarkStart w:id="80" w:name="_Toc86217003"/>
      <w:bookmarkStart w:id="81" w:name="_Toc233618986"/>
      <w:bookmarkStart w:id="82" w:name="_Toc1203"/>
      <w:bookmarkStart w:id="83" w:name="_Toc492733886"/>
      <w:r>
        <w:rPr>
          <w:rFonts w:hint="eastAsia" w:ascii="宋体" w:hAnsi="宋体" w:eastAsia="宋体" w:cs="宋体"/>
          <w:b/>
          <w:bCs w:val="0"/>
          <w:color w:val="auto"/>
          <w:sz w:val="24"/>
          <w:szCs w:val="24"/>
          <w:highlight w:val="none"/>
          <w:lang w:val="en-US" w:eastAsia="zh-CN"/>
        </w:rPr>
        <w:t>一、项目名称</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衢州市柯城区百家坊小学（筹）科学教室、录播教室等设施设备采购项目</w:t>
      </w:r>
    </w:p>
    <w:p>
      <w:pPr>
        <w:pStyle w:val="9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baseline"/>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bidi="ar-SA"/>
        </w:rPr>
        <w:t>二、</w:t>
      </w:r>
      <w:r>
        <w:rPr>
          <w:rFonts w:hint="eastAsia" w:ascii="宋体" w:hAnsi="宋体" w:eastAsia="宋体" w:cs="宋体"/>
          <w:b/>
          <w:bCs w:val="0"/>
          <w:color w:val="auto"/>
          <w:sz w:val="24"/>
          <w:szCs w:val="24"/>
          <w:highlight w:val="none"/>
          <w:lang w:val="en-US" w:eastAsia="zh-CN"/>
        </w:rPr>
        <w:t>采购清单及要求</w:t>
      </w:r>
    </w:p>
    <w:tbl>
      <w:tblPr>
        <w:tblStyle w:val="97"/>
        <w:tblW w:w="92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7"/>
        <w:gridCol w:w="672"/>
        <w:gridCol w:w="5"/>
        <w:gridCol w:w="25"/>
        <w:gridCol w:w="360"/>
        <w:gridCol w:w="4745"/>
        <w:gridCol w:w="4"/>
        <w:gridCol w:w="15"/>
        <w:gridCol w:w="438"/>
        <w:gridCol w:w="4"/>
        <w:gridCol w:w="15"/>
        <w:gridCol w:w="93"/>
        <w:gridCol w:w="346"/>
        <w:gridCol w:w="4"/>
        <w:gridCol w:w="15"/>
        <w:gridCol w:w="92"/>
        <w:gridCol w:w="457"/>
        <w:gridCol w:w="14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9242"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科学教室1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9"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51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技术参数、规格、功能</w:t>
            </w:r>
          </w:p>
        </w:tc>
        <w:tc>
          <w:tcPr>
            <w:tcW w:w="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4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20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参考图片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教师演示台</w:t>
            </w:r>
          </w:p>
        </w:tc>
        <w:tc>
          <w:tcPr>
            <w:tcW w:w="51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规格：1800*700*850mm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台面:采用新型、环保、基材整体12.7mm的高强度金属树脂理化板。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桌身：整体采用60*40*1.2mm优质方钢，横梁40*40*1.2mm,全部钢制件纳米陶瓷镀膜防锈处理，表面采用高温粉体烤漆，耐腐蚀；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结构：演示台下设一个移动式储物柜，尺寸500*600*650mm </w:t>
            </w:r>
          </w:p>
        </w:tc>
        <w:tc>
          <w:tcPr>
            <w:tcW w:w="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20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36830</wp:posOffset>
                  </wp:positionH>
                  <wp:positionV relativeFrom="paragraph">
                    <wp:posOffset>385445</wp:posOffset>
                  </wp:positionV>
                  <wp:extent cx="1074420" cy="581660"/>
                  <wp:effectExtent l="0" t="0" r="11430" b="8890"/>
                  <wp:wrapNone/>
                  <wp:docPr id="7" name="图片_5"/>
                  <wp:cNvGraphicFramePr/>
                  <a:graphic xmlns:a="http://schemas.openxmlformats.org/drawingml/2006/main">
                    <a:graphicData uri="http://schemas.openxmlformats.org/drawingml/2006/picture">
                      <pic:pic xmlns:pic="http://schemas.openxmlformats.org/drawingml/2006/picture">
                        <pic:nvPicPr>
                          <pic:cNvPr id="7" name="图片_5"/>
                          <pic:cNvPicPr/>
                        </pic:nvPicPr>
                        <pic:blipFill>
                          <a:blip r:embed="rId13"/>
                          <a:stretch>
                            <a:fillRect/>
                          </a:stretch>
                        </pic:blipFill>
                        <pic:spPr>
                          <a:xfrm>
                            <a:off x="0" y="0"/>
                            <a:ext cx="1074420" cy="5816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全钢六角桌</w:t>
            </w:r>
          </w:p>
        </w:tc>
        <w:tc>
          <w:tcPr>
            <w:tcW w:w="51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1.规格:1400*1220*700*780mm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台面:采用12.7mm厚高强度金属树脂理化板，防水、耐刮、耐高温、耐磨、耐冲击、不变形、无毒、易清洁。台面板材经过国家化学建筑材料测试中心性能检测，检测项目包括65%硝酸、98%硫酸、37%盐酸、99%乙酸、85%磷酸、37%甲醛、4%氢氧化钠、硫化钠饱和液、苯酚、四氯化碳、40%氢氟酸、25%氨水、28%氨水、高氯酸、1%硝酸银、石脑油、丙酮、正乙烷、苯、过氧化钠、10%氣化镁、双氧水、二甲苯、醋酸乙酯、10%硫酸铜等25项，且测试结果都达到1级。甲醛含量0.5mg/L;可溶性铅含里:0.5mg/m2，可溶性镉含里:0.5mg/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3.柜身:采用钣金插件无焊接、稳定牢固无变形，整体美观大方。柜体分上下两部分，便于安装和运输。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4.板材:采用1.0冷扎板,表面均经磷化、酸洗、静电处理，喷涂环氧树脂喷涂厚度&gt;75um。门铰:采用</w:t>
            </w:r>
            <w:bookmarkStart w:id="84" w:name="OLE_LINK14"/>
            <w:r>
              <w:rPr>
                <w:rFonts w:hint="eastAsia" w:ascii="宋体" w:hAnsi="宋体" w:eastAsia="宋体" w:cs="宋体"/>
                <w:i w:val="0"/>
                <w:iCs w:val="0"/>
                <w:color w:val="000000"/>
                <w:kern w:val="0"/>
                <w:sz w:val="20"/>
                <w:szCs w:val="20"/>
                <w:u w:val="none"/>
                <w:lang w:val="en-US" w:eastAsia="zh-CN" w:bidi="ar"/>
              </w:rPr>
              <w:t>DTC^175 度阻尼铰链</w:t>
            </w:r>
            <w:bookmarkEnd w:id="84"/>
            <w:r>
              <w:rPr>
                <w:rFonts w:hint="eastAsia" w:ascii="宋体" w:hAnsi="宋体" w:eastAsia="宋体" w:cs="宋体"/>
                <w:i w:val="0"/>
                <w:iCs w:val="0"/>
                <w:color w:val="000000"/>
                <w:kern w:val="0"/>
                <w:sz w:val="20"/>
                <w:szCs w:val="20"/>
                <w:u w:val="none"/>
                <w:lang w:val="en-US" w:eastAsia="zh-CN" w:bidi="ar"/>
              </w:rPr>
              <w:t>。自闭式，与柜体面水平角度&lt;15度时，柜门即可自行关闭，弹性好，外形美观，使用过程中无噪音，可开关十万次，达到国际五金行业标准，使用寿命长。</w:t>
            </w:r>
          </w:p>
        </w:tc>
        <w:tc>
          <w:tcPr>
            <w:tcW w:w="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20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21590</wp:posOffset>
                  </wp:positionH>
                  <wp:positionV relativeFrom="paragraph">
                    <wp:posOffset>645160</wp:posOffset>
                  </wp:positionV>
                  <wp:extent cx="1134745" cy="1091565"/>
                  <wp:effectExtent l="0" t="0" r="8255" b="13335"/>
                  <wp:wrapNone/>
                  <wp:docPr id="10" name="图片_4"/>
                  <wp:cNvGraphicFramePr/>
                  <a:graphic xmlns:a="http://schemas.openxmlformats.org/drawingml/2006/main">
                    <a:graphicData uri="http://schemas.openxmlformats.org/drawingml/2006/picture">
                      <pic:pic xmlns:pic="http://schemas.openxmlformats.org/drawingml/2006/picture">
                        <pic:nvPicPr>
                          <pic:cNvPr id="10" name="图片_4"/>
                          <pic:cNvPicPr/>
                        </pic:nvPicPr>
                        <pic:blipFill>
                          <a:blip r:embed="rId14"/>
                          <a:stretch>
                            <a:fillRect/>
                          </a:stretch>
                        </pic:blipFill>
                        <pic:spPr>
                          <a:xfrm>
                            <a:off x="0" y="0"/>
                            <a:ext cx="1134745" cy="109156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962"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实验凳</w:t>
            </w:r>
          </w:p>
        </w:tc>
        <w:tc>
          <w:tcPr>
            <w:tcW w:w="513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规格：Φ295*430-480mm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★A：凳面1、材质：采用环保型ABS改性塑料一次性注塑成型 2、尺寸：30cm×3cm±</w:t>
            </w:r>
            <w:r>
              <w:rPr>
                <w:rFonts w:hint="eastAsia" w:ascii="宋体" w:hAnsi="宋体" w:cs="宋体"/>
                <w:i w:val="0"/>
                <w:iCs w:val="0"/>
                <w:color w:val="000000"/>
                <w:kern w:val="0"/>
                <w:sz w:val="20"/>
                <w:szCs w:val="20"/>
                <w:u w:val="none"/>
                <w:lang w:val="en-US" w:eastAsia="zh-CN" w:bidi="ar"/>
              </w:rPr>
              <w:t>5mm</w:t>
            </w:r>
            <w:r>
              <w:rPr>
                <w:rFonts w:hint="eastAsia" w:ascii="宋体" w:hAnsi="宋体" w:eastAsia="宋体" w:cs="宋体"/>
                <w:i w:val="0"/>
                <w:iCs w:val="0"/>
                <w:color w:val="000000"/>
                <w:kern w:val="0"/>
                <w:sz w:val="20"/>
                <w:szCs w:val="20"/>
                <w:u w:val="none"/>
                <w:lang w:val="en-US" w:eastAsia="zh-CN" w:bidi="ar"/>
              </w:rPr>
              <w:t xml:space="preserve"> 3、表面细纹咬花，防滑不发光                                                                                                                                                                                                                                                                   B：脚钢架1、材质及形状：椭圆形无缝钢管  2、尺寸:16×36×1.45mm 3、全圆满焊接完成，结构牢固，经高温粉体烤漆处理，长时间使用也不会产生表面烤漆剥落现象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C：脚垫1、材质：采用PP加耐磨纤维质塑料，实心倒勾式一体射出成型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D：凳面可通过旋转螺杆来升降凳子高度,可调高度5cm。</w:t>
            </w:r>
          </w:p>
        </w:tc>
        <w:tc>
          <w:tcPr>
            <w:tcW w:w="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4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20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62865</wp:posOffset>
                  </wp:positionH>
                  <wp:positionV relativeFrom="paragraph">
                    <wp:posOffset>369570</wp:posOffset>
                  </wp:positionV>
                  <wp:extent cx="937260" cy="922020"/>
                  <wp:effectExtent l="0" t="0" r="15240" b="11430"/>
                  <wp:wrapNone/>
                  <wp:docPr id="8" name="Picture_1"/>
                  <wp:cNvGraphicFramePr/>
                  <a:graphic xmlns:a="http://schemas.openxmlformats.org/drawingml/2006/main">
                    <a:graphicData uri="http://schemas.openxmlformats.org/drawingml/2006/picture">
                      <pic:pic xmlns:pic="http://schemas.openxmlformats.org/drawingml/2006/picture">
                        <pic:nvPicPr>
                          <pic:cNvPr id="8" name="Picture_1"/>
                          <pic:cNvPicPr/>
                        </pic:nvPicPr>
                        <pic:blipFill>
                          <a:blip r:embed="rId15"/>
                          <a:stretch>
                            <a:fillRect/>
                          </a:stretch>
                        </pic:blipFill>
                        <pic:spPr>
                          <a:xfrm>
                            <a:off x="0" y="0"/>
                            <a:ext cx="937260" cy="92202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899160</wp:posOffset>
                  </wp:positionH>
                  <wp:positionV relativeFrom="paragraph">
                    <wp:posOffset>0</wp:posOffset>
                  </wp:positionV>
                  <wp:extent cx="1270" cy="1228090"/>
                  <wp:effectExtent l="0" t="0" r="0" b="0"/>
                  <wp:wrapNone/>
                  <wp:docPr id="5" name="图片_2"/>
                  <wp:cNvGraphicFramePr/>
                  <a:graphic xmlns:a="http://schemas.openxmlformats.org/drawingml/2006/main">
                    <a:graphicData uri="http://schemas.openxmlformats.org/drawingml/2006/picture">
                      <pic:pic xmlns:pic="http://schemas.openxmlformats.org/drawingml/2006/picture">
                        <pic:nvPicPr>
                          <pic:cNvPr id="5" name="图片_2"/>
                          <pic:cNvPicPr/>
                        </pic:nvPicPr>
                        <pic:blipFill>
                          <a:blip r:embed="rId16"/>
                          <a:stretch>
                            <a:fillRect/>
                          </a:stretch>
                        </pic:blipFill>
                        <pic:spPr>
                          <a:xfrm>
                            <a:off x="0" y="0"/>
                            <a:ext cx="1270" cy="122809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1206500</wp:posOffset>
                  </wp:positionH>
                  <wp:positionV relativeFrom="paragraph">
                    <wp:posOffset>41910</wp:posOffset>
                  </wp:positionV>
                  <wp:extent cx="0" cy="979805"/>
                  <wp:effectExtent l="0" t="0" r="0" b="0"/>
                  <wp:wrapNone/>
                  <wp:docPr id="9" name="图片_1"/>
                  <wp:cNvGraphicFramePr/>
                  <a:graphic xmlns:a="http://schemas.openxmlformats.org/drawingml/2006/main">
                    <a:graphicData uri="http://schemas.openxmlformats.org/drawingml/2006/picture">
                      <pic:pic xmlns:pic="http://schemas.openxmlformats.org/drawingml/2006/picture">
                        <pic:nvPicPr>
                          <pic:cNvPr id="9" name="图片_1"/>
                          <pic:cNvPicPr/>
                        </pic:nvPicPr>
                        <pic:blipFill>
                          <a:blip r:embed="rId17"/>
                          <a:stretch>
                            <a:fillRect/>
                          </a:stretch>
                        </pic:blipFill>
                        <pic:spPr>
                          <a:xfrm>
                            <a:off x="0" y="0"/>
                            <a:ext cx="0" cy="97980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9242"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科学教室2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9"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51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技术参数、规格、功能</w:t>
            </w:r>
          </w:p>
        </w:tc>
        <w:tc>
          <w:tcPr>
            <w:tcW w:w="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4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20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参考图片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9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教师演示台</w:t>
            </w:r>
          </w:p>
        </w:tc>
        <w:tc>
          <w:tcPr>
            <w:tcW w:w="51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规格：1800*700*850mm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台面:采用新型、环保、基材整体12.7mm的高强度金属树脂理化板。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桌身：整体采用60*40*1.2mm优质方钢，横梁40*40*1.2mm,全部钢制件纳米陶瓷镀膜防锈处理，表面采用高温粉体烤漆，耐腐蚀；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结构：演示台下设一个移动式储物柜，尺寸500*600*650mm </w:t>
            </w:r>
          </w:p>
        </w:tc>
        <w:tc>
          <w:tcPr>
            <w:tcW w:w="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20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27305</wp:posOffset>
                  </wp:positionH>
                  <wp:positionV relativeFrom="paragraph">
                    <wp:posOffset>440055</wp:posOffset>
                  </wp:positionV>
                  <wp:extent cx="996315" cy="692150"/>
                  <wp:effectExtent l="0" t="0" r="13335" b="12700"/>
                  <wp:wrapNone/>
                  <wp:docPr id="23" name="图片_6"/>
                  <wp:cNvGraphicFramePr/>
                  <a:graphic xmlns:a="http://schemas.openxmlformats.org/drawingml/2006/main">
                    <a:graphicData uri="http://schemas.openxmlformats.org/drawingml/2006/picture">
                      <pic:pic xmlns:pic="http://schemas.openxmlformats.org/drawingml/2006/picture">
                        <pic:nvPicPr>
                          <pic:cNvPr id="23" name="图片_6"/>
                          <pic:cNvPicPr/>
                        </pic:nvPicPr>
                        <pic:blipFill>
                          <a:blip r:embed="rId18"/>
                          <a:stretch>
                            <a:fillRect/>
                          </a:stretch>
                        </pic:blipFill>
                        <pic:spPr>
                          <a:xfrm>
                            <a:off x="0" y="0"/>
                            <a:ext cx="996315" cy="6921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八位实验桌</w:t>
            </w:r>
          </w:p>
        </w:tc>
        <w:tc>
          <w:tcPr>
            <w:tcW w:w="51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规格：2400×1200×780mm，台面板材：采用≥12.7mm厚高强度金属树脂理化板，表面光滑、平整，耐酸碱、耐高温、耐腐蚀、防水、防火、抗老化；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结构：台面为实心理化板一体化成型，桌身由桌腿、立柱、前横梁、中横梁、后横梁及加强横支撑件组成。学生位设书包斗。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★桌腿：主体材料均采用优质铝镁合金型材及铝压铸件连接组合框架，材料表面经高压静电喷涂环氧树脂防护层，耐酸碱，耐腐蚀处理。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桌脚为可调脚：高强度可调脚，采用10mm螺纹钢，下部采用环保型PP加耐磨纤维质塑料。</w:t>
            </w:r>
          </w:p>
        </w:tc>
        <w:tc>
          <w:tcPr>
            <w:tcW w:w="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20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82550</wp:posOffset>
                  </wp:positionH>
                  <wp:positionV relativeFrom="paragraph">
                    <wp:posOffset>786130</wp:posOffset>
                  </wp:positionV>
                  <wp:extent cx="1022350" cy="793750"/>
                  <wp:effectExtent l="0" t="0" r="6350" b="6350"/>
                  <wp:wrapNone/>
                  <wp:docPr id="20" name="图片_11"/>
                  <wp:cNvGraphicFramePr/>
                  <a:graphic xmlns:a="http://schemas.openxmlformats.org/drawingml/2006/main">
                    <a:graphicData uri="http://schemas.openxmlformats.org/drawingml/2006/picture">
                      <pic:pic xmlns:pic="http://schemas.openxmlformats.org/drawingml/2006/picture">
                        <pic:nvPicPr>
                          <pic:cNvPr id="20" name="图片_11"/>
                          <pic:cNvPicPr/>
                        </pic:nvPicPr>
                        <pic:blipFill>
                          <a:blip r:embed="rId19"/>
                          <a:stretch>
                            <a:fillRect/>
                          </a:stretch>
                        </pic:blipFill>
                        <pic:spPr>
                          <a:xfrm>
                            <a:off x="0" y="0"/>
                            <a:ext cx="1022350" cy="7937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62"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实验凳</w:t>
            </w:r>
          </w:p>
        </w:tc>
        <w:tc>
          <w:tcPr>
            <w:tcW w:w="513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1.尺寸：Φ295*450mm;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2.材质：PP+钢管；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工艺：面板采用pp新料一体注塑成型，面板直径295mm±2mm，中间有內弧造型，椅腿钢管尺寸：20*40*1.5mm，采用扁圆管满焊焊接，表面采用高温粉体烤漆，耐腐蚀，不易生锈；脚垫：采用Pa纤维质塑胶一体成型，防滑、耐用、耐摩擦；凳子底部加黑色护垫，保护地板防止摩擦，所有零部件采用永久性固定方式，不会产生松散、脱落之情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4.功能：凳子可悬挂于桌子上方便收纳及打扫卫生。</w:t>
            </w:r>
          </w:p>
        </w:tc>
        <w:tc>
          <w:tcPr>
            <w:tcW w:w="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4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20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98425</wp:posOffset>
                  </wp:positionH>
                  <wp:positionV relativeFrom="paragraph">
                    <wp:posOffset>450215</wp:posOffset>
                  </wp:positionV>
                  <wp:extent cx="923925" cy="916940"/>
                  <wp:effectExtent l="0" t="0" r="9525" b="16510"/>
                  <wp:wrapNone/>
                  <wp:docPr id="21" name="图片_5"/>
                  <wp:cNvGraphicFramePr/>
                  <a:graphic xmlns:a="http://schemas.openxmlformats.org/drawingml/2006/main">
                    <a:graphicData uri="http://schemas.openxmlformats.org/drawingml/2006/picture">
                      <pic:pic xmlns:pic="http://schemas.openxmlformats.org/drawingml/2006/picture">
                        <pic:nvPicPr>
                          <pic:cNvPr id="21" name="图片_5"/>
                          <pic:cNvPicPr/>
                        </pic:nvPicPr>
                        <pic:blipFill>
                          <a:blip r:embed="rId20"/>
                          <a:stretch>
                            <a:fillRect/>
                          </a:stretch>
                        </pic:blipFill>
                        <pic:spPr>
                          <a:xfrm>
                            <a:off x="0" y="0"/>
                            <a:ext cx="923925" cy="91694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899160</wp:posOffset>
                  </wp:positionH>
                  <wp:positionV relativeFrom="paragraph">
                    <wp:posOffset>0</wp:posOffset>
                  </wp:positionV>
                  <wp:extent cx="1270" cy="1228090"/>
                  <wp:effectExtent l="0" t="0" r="0" b="0"/>
                  <wp:wrapNone/>
                  <wp:docPr id="22" name="图片_2"/>
                  <wp:cNvGraphicFramePr/>
                  <a:graphic xmlns:a="http://schemas.openxmlformats.org/drawingml/2006/main">
                    <a:graphicData uri="http://schemas.openxmlformats.org/drawingml/2006/picture">
                      <pic:pic xmlns:pic="http://schemas.openxmlformats.org/drawingml/2006/picture">
                        <pic:nvPicPr>
                          <pic:cNvPr id="22" name="图片_2"/>
                          <pic:cNvPicPr/>
                        </pic:nvPicPr>
                        <pic:blipFill>
                          <a:blip r:embed="rId16"/>
                          <a:stretch>
                            <a:fillRect/>
                          </a:stretch>
                        </pic:blipFill>
                        <pic:spPr>
                          <a:xfrm>
                            <a:off x="0" y="0"/>
                            <a:ext cx="1270" cy="122809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899160</wp:posOffset>
                  </wp:positionH>
                  <wp:positionV relativeFrom="paragraph">
                    <wp:posOffset>0</wp:posOffset>
                  </wp:positionV>
                  <wp:extent cx="1270" cy="1228090"/>
                  <wp:effectExtent l="0" t="0" r="0" b="0"/>
                  <wp:wrapNone/>
                  <wp:docPr id="18" name="图片_8"/>
                  <wp:cNvGraphicFramePr/>
                  <a:graphic xmlns:a="http://schemas.openxmlformats.org/drawingml/2006/main">
                    <a:graphicData uri="http://schemas.openxmlformats.org/drawingml/2006/picture">
                      <pic:pic xmlns:pic="http://schemas.openxmlformats.org/drawingml/2006/picture">
                        <pic:nvPicPr>
                          <pic:cNvPr id="18" name="图片_8"/>
                          <pic:cNvPicPr/>
                        </pic:nvPicPr>
                        <pic:blipFill>
                          <a:blip r:embed="rId16"/>
                          <a:stretch>
                            <a:fillRect/>
                          </a:stretch>
                        </pic:blipFill>
                        <pic:spPr>
                          <a:xfrm>
                            <a:off x="0" y="0"/>
                            <a:ext cx="1270" cy="122809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1206500</wp:posOffset>
                  </wp:positionH>
                  <wp:positionV relativeFrom="paragraph">
                    <wp:posOffset>41910</wp:posOffset>
                  </wp:positionV>
                  <wp:extent cx="0" cy="979805"/>
                  <wp:effectExtent l="0" t="0" r="0" b="0"/>
                  <wp:wrapNone/>
                  <wp:docPr id="19" name="图片_1"/>
                  <wp:cNvGraphicFramePr/>
                  <a:graphic xmlns:a="http://schemas.openxmlformats.org/drawingml/2006/main">
                    <a:graphicData uri="http://schemas.openxmlformats.org/drawingml/2006/picture">
                      <pic:pic xmlns:pic="http://schemas.openxmlformats.org/drawingml/2006/picture">
                        <pic:nvPicPr>
                          <pic:cNvPr id="19" name="图片_1"/>
                          <pic:cNvPicPr/>
                        </pic:nvPicPr>
                        <pic:blipFill>
                          <a:blip r:embed="rId17"/>
                          <a:stretch>
                            <a:fillRect/>
                          </a:stretch>
                        </pic:blipFill>
                        <pic:spPr>
                          <a:xfrm>
                            <a:off x="0" y="0"/>
                            <a:ext cx="0" cy="97980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1206500</wp:posOffset>
                  </wp:positionH>
                  <wp:positionV relativeFrom="paragraph">
                    <wp:posOffset>41910</wp:posOffset>
                  </wp:positionV>
                  <wp:extent cx="0" cy="979805"/>
                  <wp:effectExtent l="0" t="0" r="0" b="0"/>
                  <wp:wrapNone/>
                  <wp:docPr id="24" name="图片_7"/>
                  <wp:cNvGraphicFramePr/>
                  <a:graphic xmlns:a="http://schemas.openxmlformats.org/drawingml/2006/main">
                    <a:graphicData uri="http://schemas.openxmlformats.org/drawingml/2006/picture">
                      <pic:pic xmlns:pic="http://schemas.openxmlformats.org/drawingml/2006/picture">
                        <pic:nvPicPr>
                          <pic:cNvPr id="24" name="图片_7"/>
                          <pic:cNvPicPr/>
                        </pic:nvPicPr>
                        <pic:blipFill>
                          <a:blip r:embed="rId17"/>
                          <a:stretch>
                            <a:fillRect/>
                          </a:stretch>
                        </pic:blipFill>
                        <pic:spPr>
                          <a:xfrm>
                            <a:off x="0" y="0"/>
                            <a:ext cx="0" cy="97980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242"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科学教室3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9"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51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技术参数、规格、功能</w:t>
            </w:r>
          </w:p>
        </w:tc>
        <w:tc>
          <w:tcPr>
            <w:tcW w:w="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4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20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参考图片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教师演示台</w:t>
            </w:r>
          </w:p>
        </w:tc>
        <w:tc>
          <w:tcPr>
            <w:tcW w:w="51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规格：1800*700*850mm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台面:采用桌面38mm厚橡胶木指接板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桌身：整体采用采用60*40*1.2mm优质冷轧方钢，横梁40*40*1.2mm,全部钢制件纳米陶瓷镀膜防锈处理，表面采用高温粉体烤漆，耐腐蚀，不易生锈质；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结构：演示台下设一个移动式储物柜，尺寸500*600*650mm </w:t>
            </w:r>
          </w:p>
        </w:tc>
        <w:tc>
          <w:tcPr>
            <w:tcW w:w="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20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128905</wp:posOffset>
                  </wp:positionH>
                  <wp:positionV relativeFrom="paragraph">
                    <wp:posOffset>295910</wp:posOffset>
                  </wp:positionV>
                  <wp:extent cx="986155" cy="475615"/>
                  <wp:effectExtent l="0" t="0" r="4445" b="635"/>
                  <wp:wrapNone/>
                  <wp:docPr id="28" name="图片_4"/>
                  <wp:cNvGraphicFramePr/>
                  <a:graphic xmlns:a="http://schemas.openxmlformats.org/drawingml/2006/main">
                    <a:graphicData uri="http://schemas.openxmlformats.org/drawingml/2006/picture">
                      <pic:pic xmlns:pic="http://schemas.openxmlformats.org/drawingml/2006/picture">
                        <pic:nvPicPr>
                          <pic:cNvPr id="28" name="图片_4"/>
                          <pic:cNvPicPr/>
                        </pic:nvPicPr>
                        <pic:blipFill>
                          <a:blip r:embed="rId21"/>
                          <a:stretch>
                            <a:fillRect/>
                          </a:stretch>
                        </pic:blipFill>
                        <pic:spPr>
                          <a:xfrm>
                            <a:off x="0" y="0"/>
                            <a:ext cx="986155" cy="47561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9"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钢木八位实验桌</w:t>
            </w:r>
          </w:p>
        </w:tc>
        <w:tc>
          <w:tcPr>
            <w:tcW w:w="512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1.尺寸：D2400*W1200*H750mm；</w:t>
            </w:r>
            <w:r>
              <w:rPr>
                <w:rFonts w:hint="eastAsia" w:ascii="宋体" w:hAnsi="宋体" w:eastAsia="宋体" w:cs="宋体"/>
                <w:i w:val="0"/>
                <w:iCs w:val="0"/>
                <w:color w:val="000000"/>
                <w:kern w:val="0"/>
                <w:sz w:val="20"/>
                <w:szCs w:val="20"/>
                <w:u w:val="none"/>
                <w:lang w:val="en-US" w:eastAsia="zh-CN" w:bidi="ar"/>
              </w:rPr>
              <w:br w:type="textWrapping"/>
            </w:r>
            <w:r>
              <w:rPr>
                <w:rStyle w:val="622"/>
                <w:lang w:val="en-US" w:eastAsia="zh-CN" w:bidi="ar"/>
              </w:rPr>
              <w:t>2.</w:t>
            </w:r>
            <w:r>
              <w:rPr>
                <w:rFonts w:hint="eastAsia" w:ascii="宋体" w:hAnsi="宋体" w:eastAsia="宋体" w:cs="宋体"/>
                <w:i w:val="0"/>
                <w:iCs w:val="0"/>
                <w:color w:val="000000"/>
                <w:kern w:val="0"/>
                <w:sz w:val="20"/>
                <w:szCs w:val="20"/>
                <w:u w:val="none"/>
                <w:lang w:val="en-US" w:eastAsia="zh-CN" w:bidi="ar"/>
              </w:rPr>
              <w:t>材质：橡胶木实木</w:t>
            </w:r>
            <w:r>
              <w:rPr>
                <w:rStyle w:val="622"/>
                <w:lang w:val="en-US" w:eastAsia="zh-CN" w:bidi="ar"/>
              </w:rPr>
              <w:t>+</w:t>
            </w:r>
            <w:r>
              <w:rPr>
                <w:rFonts w:hint="eastAsia" w:ascii="宋体" w:hAnsi="宋体" w:eastAsia="宋体" w:cs="宋体"/>
                <w:i w:val="0"/>
                <w:iCs w:val="0"/>
                <w:color w:val="000000"/>
                <w:kern w:val="0"/>
                <w:sz w:val="20"/>
                <w:szCs w:val="20"/>
                <w:u w:val="none"/>
                <w:lang w:val="en-US" w:eastAsia="zh-CN" w:bidi="ar"/>
              </w:rPr>
              <w:t>优质钢架；台面为38mm厚硬实木齿接板材表面涂环保亚光清漆（桌面可选铺设3mm厚水晶防护垫，耐酸碱防腐蚀、耐磨抗污抗冲击，有效减少噪音污染）。</w:t>
            </w:r>
            <w:r>
              <w:rPr>
                <w:rFonts w:hint="eastAsia" w:ascii="宋体" w:hAnsi="宋体" w:eastAsia="宋体" w:cs="宋体"/>
                <w:i w:val="0"/>
                <w:iCs w:val="0"/>
                <w:color w:val="000000"/>
                <w:kern w:val="0"/>
                <w:sz w:val="20"/>
                <w:szCs w:val="20"/>
                <w:u w:val="none"/>
                <w:lang w:val="en-US" w:eastAsia="zh-CN" w:bidi="ar"/>
              </w:rPr>
              <w:br w:type="textWrapping"/>
            </w:r>
            <w:r>
              <w:rPr>
                <w:rStyle w:val="622"/>
                <w:lang w:val="en-US" w:eastAsia="zh-CN" w:bidi="ar"/>
              </w:rPr>
              <w:t>3.</w:t>
            </w:r>
            <w:r>
              <w:rPr>
                <w:rFonts w:hint="eastAsia" w:ascii="宋体" w:hAnsi="宋体" w:eastAsia="宋体" w:cs="宋体"/>
                <w:i w:val="0"/>
                <w:iCs w:val="0"/>
                <w:color w:val="000000"/>
                <w:kern w:val="0"/>
                <w:sz w:val="20"/>
                <w:szCs w:val="20"/>
                <w:u w:val="none"/>
                <w:lang w:val="en-US" w:eastAsia="zh-CN" w:bidi="ar"/>
              </w:rPr>
              <w:t>工艺：桌面采用优质实木，使用天然植物精炼木蜡油经反复打磨、浸润、擦拭、上光制</w:t>
            </w:r>
            <w:bookmarkStart w:id="115" w:name="_GoBack"/>
            <w:bookmarkEnd w:id="115"/>
            <w:r>
              <w:rPr>
                <w:rFonts w:hint="eastAsia" w:ascii="宋体" w:hAnsi="宋体" w:eastAsia="宋体" w:cs="宋体"/>
                <w:i w:val="0"/>
                <w:iCs w:val="0"/>
                <w:color w:val="000000"/>
                <w:kern w:val="0"/>
                <w:sz w:val="20"/>
                <w:szCs w:val="20"/>
                <w:u w:val="none"/>
                <w:lang w:val="en-US" w:eastAsia="zh-CN" w:bidi="ar"/>
              </w:rPr>
              <w:t>成，不含甲醛；桌架采用优质钢架，满焊焊接而成，表面采用高温粉体烤漆，耐腐蚀，不易生锈质；</w:t>
            </w:r>
            <w:r>
              <w:rPr>
                <w:rFonts w:hint="eastAsia" w:ascii="宋体" w:hAnsi="宋体" w:eastAsia="宋体" w:cs="宋体"/>
                <w:i w:val="0"/>
                <w:iCs w:val="0"/>
                <w:color w:val="000000"/>
                <w:kern w:val="0"/>
                <w:sz w:val="20"/>
                <w:szCs w:val="20"/>
                <w:u w:val="none"/>
                <w:lang w:val="en-US" w:eastAsia="zh-CN" w:bidi="ar"/>
              </w:rPr>
              <w:br w:type="textWrapping"/>
            </w:r>
            <w:r>
              <w:rPr>
                <w:rStyle w:val="622"/>
                <w:lang w:val="en-US" w:eastAsia="zh-CN" w:bidi="ar"/>
              </w:rPr>
              <w:t>4.</w:t>
            </w:r>
            <w:r>
              <w:rPr>
                <w:rFonts w:hint="eastAsia" w:ascii="宋体" w:hAnsi="宋体" w:eastAsia="宋体" w:cs="宋体"/>
                <w:i w:val="0"/>
                <w:iCs w:val="0"/>
                <w:color w:val="000000"/>
                <w:kern w:val="0"/>
                <w:sz w:val="20"/>
                <w:szCs w:val="20"/>
                <w:u w:val="none"/>
                <w:lang w:val="en-US" w:eastAsia="zh-CN" w:bidi="ar"/>
              </w:rPr>
              <w:t>功能：天然实木，木质坚韧，耐腐蚀性强，适合多人小组活动。</w:t>
            </w:r>
          </w:p>
        </w:tc>
        <w:tc>
          <w:tcPr>
            <w:tcW w:w="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20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r>
              <w:drawing>
                <wp:inline distT="0" distB="0" distL="114300" distR="114300">
                  <wp:extent cx="1038860" cy="800100"/>
                  <wp:effectExtent l="0" t="0" r="8255" b="0"/>
                  <wp:docPr id="12" name="图片 11" descr="劳技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劳技桌"/>
                          <pic:cNvPicPr>
                            <a:picLocks noChangeAspect="1"/>
                          </pic:cNvPicPr>
                        </pic:nvPicPr>
                        <pic:blipFill>
                          <a:blip r:embed="rId22"/>
                          <a:stretch>
                            <a:fillRect/>
                          </a:stretch>
                        </pic:blipFill>
                        <pic:spPr>
                          <a:xfrm>
                            <a:off x="0" y="0"/>
                            <a:ext cx="1038860" cy="80010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9"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实验凳</w:t>
            </w:r>
          </w:p>
        </w:tc>
        <w:tc>
          <w:tcPr>
            <w:tcW w:w="512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340×240×420mm，凳面340×240×18mm三聚氰胺板注塑包边一次成型，凳架立柱采用25×25*1.0mm方型管、20×20*1.0mm方管连接档。造型美观。所有铁件经酸洗、磷化后静电喷塑，喷塑表面光亮平整，无颗粒渣点，颜色均匀。脚套采用PP新料，带防滑槽，静音，可有效防止倾倒。</w:t>
            </w:r>
          </w:p>
        </w:tc>
        <w:tc>
          <w:tcPr>
            <w:tcW w:w="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4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20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393065</wp:posOffset>
                  </wp:positionH>
                  <wp:positionV relativeFrom="paragraph">
                    <wp:posOffset>189865</wp:posOffset>
                  </wp:positionV>
                  <wp:extent cx="467995" cy="578485"/>
                  <wp:effectExtent l="0" t="0" r="8255" b="12065"/>
                  <wp:wrapNone/>
                  <wp:docPr id="25" name="图片_8"/>
                  <wp:cNvGraphicFramePr/>
                  <a:graphic xmlns:a="http://schemas.openxmlformats.org/drawingml/2006/main">
                    <a:graphicData uri="http://schemas.openxmlformats.org/drawingml/2006/picture">
                      <pic:pic xmlns:pic="http://schemas.openxmlformats.org/drawingml/2006/picture">
                        <pic:nvPicPr>
                          <pic:cNvPr id="25" name="图片_8"/>
                          <pic:cNvPicPr/>
                        </pic:nvPicPr>
                        <pic:blipFill>
                          <a:blip r:embed="rId23"/>
                          <a:stretch>
                            <a:fillRect/>
                          </a:stretch>
                        </pic:blipFill>
                        <pic:spPr>
                          <a:xfrm>
                            <a:off x="0" y="0"/>
                            <a:ext cx="467995" cy="57848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1206500</wp:posOffset>
                  </wp:positionH>
                  <wp:positionV relativeFrom="paragraph">
                    <wp:posOffset>41910</wp:posOffset>
                  </wp:positionV>
                  <wp:extent cx="0" cy="979170"/>
                  <wp:effectExtent l="0" t="0" r="0" b="0"/>
                  <wp:wrapNone/>
                  <wp:docPr id="27" name="图片_1"/>
                  <wp:cNvGraphicFramePr/>
                  <a:graphic xmlns:a="http://schemas.openxmlformats.org/drawingml/2006/main">
                    <a:graphicData uri="http://schemas.openxmlformats.org/drawingml/2006/picture">
                      <pic:pic xmlns:pic="http://schemas.openxmlformats.org/drawingml/2006/picture">
                        <pic:nvPicPr>
                          <pic:cNvPr id="27" name="图片_1"/>
                          <pic:cNvPicPr/>
                        </pic:nvPicPr>
                        <pic:blipFill>
                          <a:blip r:embed="rId17"/>
                          <a:stretch>
                            <a:fillRect/>
                          </a:stretch>
                        </pic:blipFill>
                        <pic:spPr>
                          <a:xfrm>
                            <a:off x="0" y="0"/>
                            <a:ext cx="0" cy="97917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1206500</wp:posOffset>
                  </wp:positionH>
                  <wp:positionV relativeFrom="paragraph">
                    <wp:posOffset>41910</wp:posOffset>
                  </wp:positionV>
                  <wp:extent cx="0" cy="979805"/>
                  <wp:effectExtent l="0" t="0" r="0" b="0"/>
                  <wp:wrapNone/>
                  <wp:docPr id="29" name="图片_5"/>
                  <wp:cNvGraphicFramePr/>
                  <a:graphic xmlns:a="http://schemas.openxmlformats.org/drawingml/2006/main">
                    <a:graphicData uri="http://schemas.openxmlformats.org/drawingml/2006/picture">
                      <pic:pic xmlns:pic="http://schemas.openxmlformats.org/drawingml/2006/picture">
                        <pic:nvPicPr>
                          <pic:cNvPr id="29" name="图片_5"/>
                          <pic:cNvPicPr/>
                        </pic:nvPicPr>
                        <pic:blipFill>
                          <a:blip r:embed="rId24"/>
                          <a:stretch>
                            <a:fillRect/>
                          </a:stretch>
                        </pic:blipFill>
                        <pic:spPr>
                          <a:xfrm>
                            <a:off x="0" y="0"/>
                            <a:ext cx="0" cy="97980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9242"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科学准备室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9"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0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531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技术参数、规格、功能</w:t>
            </w:r>
          </w:p>
        </w:tc>
        <w:tc>
          <w:tcPr>
            <w:tcW w:w="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参考图片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19"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准备台</w:t>
            </w:r>
          </w:p>
        </w:tc>
        <w:tc>
          <w:tcPr>
            <w:tcW w:w="531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规格：1800*700*850mm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台面:采用新型、环保、基材整体12.7mm的高强度金属树脂理化板。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桌身：整体采用1.0mm厚优质冷轧钢板，全部钢制件纳米陶瓷镀膜防锈处理。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结构：演示台下设一个移动式储物柜，尺寸500*600*650mm </w:t>
            </w:r>
          </w:p>
        </w:tc>
        <w:tc>
          <w:tcPr>
            <w:tcW w:w="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82"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仪器柜（A）</w:t>
            </w:r>
          </w:p>
        </w:tc>
        <w:tc>
          <w:tcPr>
            <w:tcW w:w="531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1.规格：1000*500*2000mm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2.材质：PP材质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3.柜体：侧板，顶板及底板采用增强型PP材质，一次注塑成型。表面做磨砂处理，结构紧密，耐腐蚀性强。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4.上柜门：采用增强型PP材质一次注塑成型，外嵌5mm钢化烤漆玻璃,中间玻璃做镂空处理，透明可视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5.下柜门：采用增强型PP材质一次注塑成型，外嵌5mm钢化烤漆玻璃。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6.层板：配两块活动层板，层板为增强型PP材质一次注塑成型，承重不低于20公斤。美观耐用。层板可以抽取，自由组合各层空间。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7.门把手：采用增强型PP材质一次注塑成型，美观耐用。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8.门铰链：用增强型PP材质一次注塑成型，内嵌隐藏安装方便，耐腐蚀。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9.仪器柜内部无可视金属材料，确保了仪器柜的耐腐蚀性及耐候性。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10.柜体预留通风系统，可以与通风管路连接。</w:t>
            </w:r>
          </w:p>
        </w:tc>
        <w:tc>
          <w:tcPr>
            <w:tcW w:w="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44450</wp:posOffset>
                  </wp:positionH>
                  <wp:positionV relativeFrom="paragraph">
                    <wp:posOffset>527050</wp:posOffset>
                  </wp:positionV>
                  <wp:extent cx="652145" cy="1573530"/>
                  <wp:effectExtent l="0" t="0" r="14605" b="7620"/>
                  <wp:wrapNone/>
                  <wp:docPr id="30" name="图片_4"/>
                  <wp:cNvGraphicFramePr/>
                  <a:graphic xmlns:a="http://schemas.openxmlformats.org/drawingml/2006/main">
                    <a:graphicData uri="http://schemas.openxmlformats.org/drawingml/2006/picture">
                      <pic:pic xmlns:pic="http://schemas.openxmlformats.org/drawingml/2006/picture">
                        <pic:nvPicPr>
                          <pic:cNvPr id="30" name="图片_4"/>
                          <pic:cNvPicPr/>
                        </pic:nvPicPr>
                        <pic:blipFill>
                          <a:blip r:embed="rId25"/>
                          <a:stretch>
                            <a:fillRect/>
                          </a:stretch>
                        </pic:blipFill>
                        <pic:spPr>
                          <a:xfrm>
                            <a:off x="0" y="0"/>
                            <a:ext cx="652145" cy="157353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54"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仪器柜（B）</w:t>
            </w:r>
          </w:p>
        </w:tc>
        <w:tc>
          <w:tcPr>
            <w:tcW w:w="531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1.规格：1000*500*2000mm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2.材质：PP材质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3.柜体：侧板，顶板及底板采用增强型PP材质，一次注塑成型。表面做磨砂处理，结构紧密，耐腐蚀性强。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4.上柜门：采用增强型PP材质一次注塑成型，外嵌5mm钢化烤漆玻璃,中间玻璃做镂空处理，透明可视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5.下柜门：采用增强型PP材质一次注塑成型，外嵌5mm钢化烤漆玻璃,中间玻璃做镂空处理，透明可视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6.层板：配三块活动层板，层板为增强型PP材质一次注塑成型，层板加强筋为整体抽芯工艺，抽芯处加入两根1.2mm厚方管，承重不低于20公斤。美观耐用。层板可以抽取，自由组合各层空间。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7.门把手：采用增强型PP材质一次注塑成型，美观耐用。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8.门铰链：用增强型PP材质一次注塑成型，内嵌隐藏安装方便，耐腐蚀。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9.仪器柜内部无可视金属材料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10.柜体预留通风系统，可以与通风管路连接。</w:t>
            </w:r>
          </w:p>
        </w:tc>
        <w:tc>
          <w:tcPr>
            <w:tcW w:w="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35560</wp:posOffset>
                  </wp:positionH>
                  <wp:positionV relativeFrom="paragraph">
                    <wp:posOffset>842010</wp:posOffset>
                  </wp:positionV>
                  <wp:extent cx="702310" cy="1017270"/>
                  <wp:effectExtent l="0" t="0" r="2540" b="11430"/>
                  <wp:wrapNone/>
                  <wp:docPr id="31" name="Picture_1"/>
                  <wp:cNvGraphicFramePr/>
                  <a:graphic xmlns:a="http://schemas.openxmlformats.org/drawingml/2006/main">
                    <a:graphicData uri="http://schemas.openxmlformats.org/drawingml/2006/picture">
                      <pic:pic xmlns:pic="http://schemas.openxmlformats.org/drawingml/2006/picture">
                        <pic:nvPicPr>
                          <pic:cNvPr id="31" name="Picture_1"/>
                          <pic:cNvPicPr/>
                        </pic:nvPicPr>
                        <pic:blipFill>
                          <a:blip r:embed="rId26"/>
                          <a:stretch>
                            <a:fillRect/>
                          </a:stretch>
                        </pic:blipFill>
                        <pic:spPr>
                          <a:xfrm>
                            <a:off x="0" y="0"/>
                            <a:ext cx="702310" cy="1017270"/>
                          </a:xfrm>
                          <a:prstGeom prst="rect">
                            <a:avLst/>
                          </a:prstGeom>
                          <a:noFill/>
                          <a:ln>
                            <a:noFill/>
                          </a:ln>
                        </pic:spPr>
                      </pic:pic>
                    </a:graphicData>
                  </a:graphic>
                </wp:anchor>
              </w:drawing>
            </w:r>
          </w:p>
        </w:tc>
      </w:tr>
    </w:tbl>
    <w:p>
      <w:pPr>
        <w:widowControl w:val="0"/>
        <w:spacing w:line="420" w:lineRule="exact"/>
        <w:ind w:firstLine="482" w:firstLineChars="200"/>
        <w:jc w:val="both"/>
        <w:rPr>
          <w:rFonts w:hint="eastAsia" w:ascii="宋体" w:hAnsi="宋体" w:eastAsia="宋体" w:cs="宋体"/>
          <w:b/>
          <w:smallCaps w:val="0"/>
          <w:color w:val="auto"/>
          <w:kern w:val="0"/>
          <w:sz w:val="24"/>
          <w:szCs w:val="24"/>
          <w:lang w:val="en-US" w:eastAsia="zh-CN"/>
        </w:rPr>
      </w:pPr>
    </w:p>
    <w:tbl>
      <w:tblPr>
        <w:tblStyle w:val="97"/>
        <w:tblW w:w="92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4"/>
        <w:gridCol w:w="871"/>
        <w:gridCol w:w="6090"/>
        <w:gridCol w:w="516"/>
        <w:gridCol w:w="437"/>
        <w:gridCol w:w="6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trPr>
        <w:tc>
          <w:tcPr>
            <w:tcW w:w="9242" w:type="dxa"/>
            <w:gridSpan w:val="6"/>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科学教学仪器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编号</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技术参数、规格、功能</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打孔器</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采用优质钢材，防锈处理。穿孔管用外径为6mm．8mm．10mm，管长80mm，壁厚1mm的冷拔无缝钢管，手柄用2mm厚低碳钢板，通用条Φ3mm碳素钢等制成。四件为一套，可穿4mm．6mm．8mm的圆孔。</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打气筒</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1.质量等级为合格品，气筒外径Φ30mm，长500mm，充气软管为塑胶或橡胶制品，与充气筒底座、气筒气嘴接合密闭，装卸方便。2. 气筒外管用工程塑料或其他同等强度的材质制成。3. 充气活塞或充气筒推拉轻便、灵活，无气体泄漏现象。4. 最大充气压力不小于0.8MPa（10kg/cm2）。</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99"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仪器车</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1．仪器车应分为2层，层间距不小于300mm。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2．车架用直径不小于Φ19mm、壁厚不小于1mm的不锈钢管制成，高不低于800mm。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3．车架脚安装有不小于Φ50mm、厚15mm转动灵活的万向轮。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4．车隔板为不薄于1mm的不锈钢制成，四周安装有30mm的挡板。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5．整车安装好后应载重50Kg，应运行平稳，不得变形、摇晃、松动。</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辆</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6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生物显微镜</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总放大倍数：40X-640X。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观察镜筒：单目直筒，弯臂支架可45°倾斜。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    镜： H10X、H16X。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物    镜：消色差4X、10X、40X（弹）。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转 换 器：三孔转换器。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载 物 台：固定金属方平台，尺寸120mm×120mm；切片夹。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调焦机构：粗调范围50 mm，微调范围1.8-2.2 mm，有限位机构。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聚光镜：旋转光阑板，ф3.2mm、ф4mm、ф5mm、ф8mm、ф15mm。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光    源：平凹反光镜ф50mm。</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生物显微演示装置</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彩色，分辨率450TV线以上，放大倍数40×～1500×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9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学生显微镜</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总放大倍数：200X。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观察镜筒：单目直筒，弯臂支架可45°倾斜。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    镜： H12.5X。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物    镜：消色差16X。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载 物 台：固定金属方平台，尺寸84mm×88mm；切片夹。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调焦机构：粗调范围20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光    源：平凹反光镜ф44mm。</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放大镜</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1．由凸透镜、透镜框及手柄组成。2．凸透镜直径不小于Φ30mm,柄长52mm 放大倍率：5×。3．透镜应无明显条纹。气泡度q为Φ1.0 [0.5]。4．透镜框应能牢靠地夹持透镜。</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放大镜</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1．由凸透镜、透镜框及手柄组成。2．凸透镜直径不小于Φ40mm,柄长52mm，放大倍率：3×。3．透镜应无明显条纹。气泡度q为Φ1.0[0.5]。4．透镜框应能牢靠地夹持透镜。</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6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天文望远镜</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包装：彩盒4pcs/ctn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反射式焦距:700mm,通光口径：60mm.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配有3只目镜:H20mm,H12.5和SR4MM,最大放大倍率525倍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1.5x正像镜及3x巴洛增倍镜</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99"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酒精喷灯</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室常用的工具，用于弯曲玻管（棒）和熔接玻璃管用，结构为座式。纯铜制作，具有耐高温的功能。1、产品为组合式，主要由壶体、燃杯、壶嘴、喷管、火苗调节杆、钢针组成。2、壶体外形尺寸：直径100mm±2mm，高135mm±2mm。容量250ml，组合后应摆放平稳，左右调节,调节方便。3、喷管与壶体连接螺纹、壶体密封盖无漏气现象。4.焊接部位应焊接牢固、光滑。</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电加热器</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密封式、方形结构。1、额定电压AC220V±5％ 50Hz＋5,消耗功率1000W。2、加热盘直径150mm。3、温控旋扭控制温度，指示灯显示加热。</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保温箱</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手提式。箱体材料：外表面是高强度工程塑料,中间保温层是高密度聚氨酯无氟发泡，保温时间：15个小时</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2"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听诊器</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产品为普通医用听诊器。2．听诊器传音应清晰。3．耳环弹片应用弹簧钢制成。4．耳环的弹力应适宜，弹性良好。5、听诊器导管材料必须用乳胶导管，抗拉强度＞17MPG，伸长率＞700％。6．应符合国标GB11237-89《听诊器》有关规定</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水族箱</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1、尺寸:长 320×宽220×高325mm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2、过滤系统:上部过滤器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3、照明功率:6W</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手持移动灯</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LED灯光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手按发电、无需安装电池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环保型</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水槽</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250*180*100mm</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三脚架</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．由铁环和3只脚组成。2．铁环内径：72mm ，外径：88mm。3．三只脚与铁环焊接紧固，脚距相等，立放台上时圆环应与台面平行，所支承的容器不得有滑动。脚高：135mm  4.三脚架须经烤漆防锈处理，漆层均匀、牢固。</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试管架</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木制，6孔</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2"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旋转架</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产品由底座、支杆、旋转体构成，二件为一套。底座直径65mm，高20mm。支杆直径10mm，长75mm，顶尖为钢制，表面镀铬处理。旋转体上有盛放磁铁和胶棒的凹槽。组装后的高度为105mm。</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百叶箱支架</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宽窄应于百叶箱配套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百叶箱</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百叶箱尺寸：460×290×537mm。2.应选杂木或杉木并经干燥脱脂处理，百叶为单层，人字形排列。3.箱内外应涂白色漆，箱体榫接成形，应牢固，无变形。4.百叶箱顶盖采用多层实木胶合板制成，前面高于后面10mm，以保护箱内仪器免受损害。</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电池盒</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可串并联，4个电池盒为1组。</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直尺</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木制材料制成。木直尺漆层均匀、整洁，表面无伤痕、无毛刺、无变形。2.全长有效刻度500mm，尺宽约28mm。尺的一面有刻度，是测量面。尺面最小刻度1mm、刻线长度较短，每5mm一小格、刻线长度中等，每10mm一大格、刻线长度较长、并标有数字。3.尺面刻线均匀清晰，无断线。4.尺面平整挺直，平面度≤3mm，尺边直线度≤2mm。5.全长示值允差±1mm。</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软尺</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软塑。规格：1500mm。双面刻度，一面为毫米、另一面为市寸。软尺最小分度值为1mm，分度值之间有相应的数字，刻度线均匀、清晰，无形变。尺两端采用金属封头。</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托盘天平</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应为非封闭等臂杠杆、双盘式托盘天平。有标尺游码装置，最大称量：500g，分度值：0.5g标尺称量范围：0～10g，秤盘直径：Φ100mm。结构：杠杆为钢材制成，刀子碳素钢制成，标尺应光洁平直，刻线清晰，分度牌刻线均匀。游码起点应对准零线，移动时松紧适宜，当杠杆受到轻微抨击时，游码不得移位。</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金属钩码</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1．产品为50g±0.5g×10只，定位装入塑料盒内。2．钩码尺寸不小于Φ27×17.2mm，上钩高不低于10mm。3．材料用钢材制成，外表镀铬，镀层不得有脱落，不均等现象。</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体重计</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体重秤、附测身高，最大秤量120千克。最大长度计量范围70-190cm。</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电子停表</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产品采用微型电脑芯片，液晶显示屏。2. 外观质量：机芯在表壳组件稳固，液晶屏显示清晰、表面无伤痕、印字清楚正确、表壳与后盖的配合紧密，不得有明显的缝隙；表壳外棱角无锋利感。 3.功能：秒表计时（可分段计时）、时间、日历、响闹显示。4.精度0.1s。</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温度计</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1．红液。2．测量范围：0－100℃；最小分度值：1℃；允许误差±1℃。3．玻管不弯曲，不崩损缺口，红液不得断线。4．产品应符合《玻璃仪器通用技术要求》5．要符合技术标准的要求JJG 130《温度计》</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温度计</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感温物质：水银。2．测量范围：0－200℃；最小分度值：2℃；允许误差±2℃。3．玻璃应光洁透明，不得有裂痕。毛细管不得有明显的弯曲现象，其孔径应均匀，管壁内应清洁无杂质。4．感温液体（水银）必须纯洁、无杂质。液线不得中断。上升时不得有停滞和跳跃现象；下降时不得在管壁上留下液滴。</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99"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体温计</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棒式，测量范围35－42℃。2．体温计按国际实用温标刻度，稳度最小分度值为0.1℃，分度均匀，两相邻分度中心的距离应不小于0.55mm。3．标度线、计量数字和标志颜色牢固，不允许由脱色、影响读数、颜色污迹等现象。4．产品应符合国标B1588-2001《玻璃体温计》的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92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寒暑表</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1、采用摄氏（℃）和华氏（℉）木板双刻度，面板标有：摄氏 -30℃～50℃；华氏 -20℃～120℃的标志。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2、玻璃棒芯感温液，正面放大玻璃液读数。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3、温度准确度：±1℃（0℃～30℃）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4、最小分度值：1℃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5、储藏条件：-30℃～60℃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6、尺寸：不小于250mm×49mm×9mm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性能、结构、外观符合JY0001第4、6、7的有关要求。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最高温度表</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1.测量范围：-16℃～+82℃，用于实验用最高温度表；2.外部是玻璃制品，有清晰刻度，内部是液体汞柱。</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最低温度表</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1．测量范围：-52～+42℃，用于实验用最低温度表；2. 外部是玻璃制品，有清晰刻度，内部是液体汞柱。</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条形盒测力计</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5N。1.由方形弹簧盒（带刻板）、弹簧、提环、挂钩、指针等组成。零点可调。2.最小刻度：0.1N。3.金属表面防锈处理。</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条形盒测力计</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2.5N。1.由方形弹簧盒（带刻板）、弹簧、提环、挂钩、指针等组成。零点可调。 2.最小刻度：0.05N。3.金属表面防锈处理。</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条形盒测力计</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1N。1.由方形弹簧盒（带刻板）、弹簧、提环、挂钩、指针等组成。零点可调。2.最小刻度：0.02N。3.金属表面防锈处理。</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多用电表</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指针式，不低于2.5级，磁电系整流式仪表，共设19档基本量程，能分别测量交直流电压，直流电压电流，电阻等。</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湿度计</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双指针式、全塑料外壳，带座可悬挂。1.可测温度及湿度。2.直径约128mm。3.温度可测 -30°C~50°C，湿度可测 10%RH~90%RH。</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指南针</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1．外壳直径≥30mm。表面材质为透明塑料。2．衬板印有东、南、西、北等方向性标志。3．小磁针为菱形小磁针</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2"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肺活量计</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电子高精度肺活量测试仪量程：1000ML，显示分辩率：1ML，最小测量量程；200ML，分度值：5ML。分度：5ML，显示：4位液晶显示器，通过专用稳压器接220V外接电源。电源开关/清零功能键</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雨量器</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主要由储水筒、测量杯、导水漏斗组成。2、储水筒外形尺寸直径：大端110mm，高度：150mm，内底部有一固定测量杯的凸出部位。3、测量杯外形尺寸：70mm，高度：150mm，内壁有10～50ml刻线。4、导水漏斗锥形，外形尺寸直径：大端115mm，长度：100mm，漏斗口直径：12mm±1mm，锥形大口直径：95mm。</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风杯式风速表</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持式，有直读装置，风速传感器、主机，主机需带有显示屏及功能按钮，显示屏尺寸：60mm×25mm，显示的数字字节尺寸不小于18mm×6mm。能测量瞬时风速、平均风速、瞬时风级、平均风级、对应浪高及具有数据锁存功能。电源为五号干电池3节。</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斜面</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长815mm</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压簧</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工作极限负荷为5N。用1.5mm的钢丝绕成，圈的外直径30mm，间距7mm，长度约70mm。采用优质钢材，防锈电镀处理。</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拉簧</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工作极限5N。密绕，两端带钩环。用1mm的钢丝绕成，圈的外直径18mm，有效圈数65圈，总长度100mm。采用优质钢材，防锈电镀处理。</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2"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沉浮块</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沉浮块由三种不同体积的正方体、三个直径相同的球和一个沉浮子组成。正方体的尺寸分别为：35mm、30mm、20mm；球直径23mm。正方体的重量均为12.5g；球的重量分别为：6.5g、6g、2.5g。浮沉子内可装重物改变其重量，可变成：浮、悬、沉等三种形式。</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杠杆尺及支架</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杠杆尺、支架杆、底座等构成。底座采用塑料注塑成型，底座中间有一孔，用于固定支架用。支架杆采用塑料注塑成型，上端为圆弧，宽15mm，下端宽24mm，整体厚度为8mm。杠杆尺的有效长度不小于500mm，杠杆两侧分别标有数字，每1cm一小刻线、5cm一大刻线、并标有数字（分别为5、10、15、20、25），在大刻线处下应有一挂孔，孔径4.5mm。尺的两端为调平螺母，调平螺母重量不大于8g。</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2"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滑轮组及支架</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底座、支架、横梁、单滑轮1个、双滑轮1个构成。底座采用塑料注塑成型，底座中间有一直径4mm的通孔。支架杆采用塑料注塑成型，上端为圆弧，宽15mm，下端宽24mm，整体厚度为8mm。横梁为塑料制品，长不小于100mm，横梁上应有悬挂滑轮的圆孔2个。</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轮轴及支架</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轮轴、支杆、底座、挂线等组成。底座采用塑料注塑成型，底座中间有一直径4mm孔。轮轴为大小两轮，大轮直径90mm，小轮直径50mm。支杆采用塑料注塑成型，上端为圆弧，宽15mm，下端宽24mm，整体厚度为8mm。</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39"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齿轮组及支架</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产品由底座、立杆、大中小齿轮（各1）、手摇柄组成，全套为塑料制品。大齿轮齿数为28 ，中齿轮齿数21，小齿轮齿数为14 。底座采用塑料注塑成型，底座中间有一孔，用于固定支杆用。支杆采用塑料注塑成型，上端为圆弧，宽15mm，下端宽24mm，整体厚度为8mm。支杆上有安装齿轮的定位孔。</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弹簧片</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不锈钢片。</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小车</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塑料制品，车体上部带有可放置重物的凹槽。车轮直径为20mm。</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62"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三球仪</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地球、月球、月相板、季节盘、大小齿轮、固定螺帽、变速箱、底座、太阳模型及传动机构等组成。太阳模型直径约100mm，地球模型直径约58mm，地球倾角约66.5°，月球模型直径约19mm,季节盘直径约198mm，底座直径约193mm。</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太阳高度测量器</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由塑料制量角器、测量架、重锤、底座等组成，应能测量太阳在天体坐标中高度。1、仪器底座Φ85mm±1mm，为塑料制并装置调平螺丝，并使重锤能对准基尖。2、旋转测量架上的孔与投影屏的孔应同轴，长约100mm。3、量角器直径为100mm，刻线清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9"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风的形成实验材料</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产品由透明风管、风叶、风叶支架、蜡烛组成。1、风管应为透明塑料，直径不小于55mm±1mm，高度不低于180mm±1mm，壁厚不小于2mm。2、风叶为铝制，为四片叶，直径约为44mm±1mm。</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组装风车材料</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1.由支杆、叶片基座、叶片（6片）、轴芯等组成；2.叶片、基座、支架用塑料注塑成型；3.叶片角度可调。4.叶片与叶片基座连接设计合理，叶片转动灵活。5.轴芯应与支杆配合良好，与叶片基座孔连接转动灵活。</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组装水轮材料</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组装式，全塑料制。由底座、支架、轴骰、轴、叶片六片、小皮带轮构成。</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2"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太阳能的应用材料</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材料由太阳能电池板、发光二极管、小电机、风叶及蜂鸣器（小喇叭）组成。1.发光二极管直径为5mm，红色。2.电机为直流电机，电压不大于3V。3.风叶为塑料制品，叶片数为4片，外径约58mm。4.蜂鸣器（小喇叭）直径为10mm。5.材料采用塑料盒包装</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音叉</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音叉应采用碳钢制成，表面镀铬，音叉长度不小于190mm，频率256Hz，叉枝宽不小于8mm，叉枝厚不小于5mm，两支股内间距不小于8mm，需配音叉槌头，共鸣箱。</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小鼓</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鼓身为木制，直径不小于150mm，高度不小于80mm,双面鼓面，配鼓锤2支。</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组装土电话材料</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1、产品为散件袋装，由塑料话筒2个、PVC片2块、话筒圈2个、棉线1根组成；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2、塑料话筒规格Φ48×30mm,表面平整、圆滑、色泽均匀；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3、PVC片直径为25mm，中心孔直径约1.5mm，应与话筒上口大小相符；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4、话筒圈直径约25mm，与塑料话筒组装后无脱落现象；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5、棉线粗约直径0.5mm,硬度适宜，长度5m。</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热传导实验材料</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1、产品由塑棒1根、木棒1根、铜片1片、铁片1片、玻璃片、瓷匙、石棉布、棉花组成。2、用塑料盒包装</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物体热涨冷缩实验材料</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金属球、塑料球、实验架等，金属球及塑料球直径为15mm、实验器需带手柄，手柄长度不小于100mm，实验圆环外径不小于20mm。包装采用PVC透明塑料吸塑定位包装。</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灯座及灯泡</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由底座、电珠座，正（红）、负(黑）接线柱帽等组成；2.该产品底板（塑料）制作，螺丝口由有色金属（铜）制作；3.小灯座为螺旋式灯座与小电珠配用；4.小灯座最高工作电压为36V，最大工作电流为2.5A。配套小电珠为3.8V和2.5V各1支。</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99"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适用于教学演示实验和学生分组实验用的教学开关；2.开关的最高工作电压36V，额定工作电流6A；3.开关闸刀与接线柱及垫片为导电性好的材料制成，表面镀铬，闸刀的宽度小于7mm，闸刀厚度不小于0.7mm.接线柱直线4mm，有效行程不小于4mm；4.开关应具有足够的强度。</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物体导电性实验材料</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由塑料盒、插座、发光二极管、电池盒、测试片等组成；盒盖上有插座一对、发光二极管1个，电池盒置于盒底中，电池盒可装五号电池2节。测试片：铜、铁、铝、塑料、木片各一片。插座由磷铜片制成。</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条形磁铁</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D-CG-LT-180.铁氧体制作,南北两极，教师演示用。</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条形磁铁</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铁氧体制作，学生分组实验用。</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蹄形磁铁</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D-CG-LU-100。铁氧体制作，形状为马蹄形，南北两极，教师演示用。两极内尺寸约41mm；高95mm。</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蹄形磁铁</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铁氧体制作，形状为马蹄形，南北两极。两极内尺寸约18mm；高35mm。</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0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磁针</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磁针体长度为144mm，磁针两极，每一极端点磁感应强度不小于9MT；2.有垂直翼形针体和支座两部分；3.磁针体：具有磁性的片状针体；翼形磁针的磁针体为翼形扭式，两翼面与中部面互相垂直；两翼面端斜面向下；4.磁针体的中间铆接铜轴承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环形磁铁</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学生用。铁氧体制作，形状为圆形。外径约32mm，内径约16mm，厚约5mm。</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电磁铁组装材料</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组装式。材料由塑料成型的线圈骨架2个、铁芯2根、多股导线（长2m、短1m各1根）、小垫片30片组成。</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6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电磁铁</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用，蹄形圆铁、柱形圆铁、大头针、联接线、桥板、骨架、小磁针（1对）、线圈。蹄形圆铁表面均应做防锈处理，直径不小于8mm，需配有羊眼挂钩。骨架一对，长度不小于30mm。柱形圆铁表面均应做防锈处理，直径不小于8mm，长度不小于40mm。</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手摇发电机</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手摇式，透明外壳。小型发电机由齿轮、正负极接头、灯炮、手柄等组成。空载输出电压应6.0V，输出电流:0.2A。</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激光笔</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带红色光源，射程不小于5米。射径内无变形。配三个帽头及三个扭扣电池。笔身外径12mm，长63mm。</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小孔成像装置</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组装式，底座、支杆、支架、小孔板、白屏、烛台、蜡烛等。</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平面镜及支架</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产品由底座、支杆、支架、平面镜各2件组成。</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曲面镜及支架</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曲面镜由底座、支杆、支架及曲面镜面组成。</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透镜、棱镜及支架</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产品由双凸透镜、双凹透镜、等边三棱镜、镜框、立杆、底座组成。</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成像屏及支架</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组装式，底座、支杆、支架、毛屏、白屏等</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2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昆虫观察盒</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盒体带圆锥形，上小下大，基本尺寸：底部直径76mm、上部直径47mm、高75mm，底部有毫米的刻度标尺（两条刻度尺互成直角）并可取下；2.带有不小于3倍的放大镜；3.盒体放大镜直径Φ36±1mm；4.镜片透光性能好，中心Φ30mm范围内不允许有明显的条纹、气泡、沙眼等缺陷，镜片边缘不允许有明显的裂碎和崩边现象；5.塑料件表面应光滑透明、无毛刺、裂缝、疤痕和缺角，底盘刻度不允许有变形现象。</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动物饲养笼</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1、用于小学自然教学中所使用的动物饲养槽。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2、饲养槽盖用铁丝网制成，以通风透气；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3、栏栅结构，由金属制成，笼门开启方便。</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塑料注射器</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30ml。产品为一次性。符合GB 15810-2001《注射器》的有关规定。</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单摆</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1、由摆球、线绳组成。2、钢球直径19mm。3、摆球均沿直径方向钻孔，供穿线使用，钢球表面镀铬、抛光。4、摆球附悬线1根，长度均≥1100mm。</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照相机模型</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光学。塑料外壳，光学玻璃组成。1、产品由镜头、机身及光屏组成。2、镜头为光学玻璃、可伸缩。</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儿童骨骼模型</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本模具高42cm，男性儿童骨骼，串成人体正常直立，姿势固定在支架上，示头颅骨、脊柱、胸廊、骨盆、上肢骨、下肢骨等及关节均可活动。</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儿童牙列模型</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1.适用小学自然教学演示时使用；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2.模型取正常儿童男性牙齿的上颌和下颌部分，用蛇形管连接，可自由张开、闭合，并附牙刷。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3.产品采用优质复合树脂制作成型后经高档漆喷漆绘色而成。</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少年人体半身模型</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PVC材质，少年模型，高420mm带底座。头颈部座正中矢状切面，颈部做水平切面，胸腹部两侧近腋前线切下胸腹壁，显示内脏器官位置、形态结构和相互关系。</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眼构造模型</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PVC材质，由六倍大成人眼球模型，支架和底座组成，眼球前后极正中水平切面，展示内部结构、器官、血管、神经等。</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啄木鸟仿真模型</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模型应为自然大小、附于一段树干上并带底座。模型应用羽毛全部覆盖成型的体架，各种羽毛的分布与着色应呈自然状，特征鲜明、逼真、形象。应显示喙直坚硬，末端尖锐的特征。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42"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猫头鹰仿真模型</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型应为自然大小，整体固定在底盘上。模型应用羽毛全部覆盖成型的体架，各种羽毛的分布与着色应呈自然状，特征鲜明、逼真、形象。应突出眼睛的瞳孔大，喙坚硬，末端尖锐，向下钩曲，趾端有长而锐利的钩爪。</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平面政区地球仪</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直径不小于310mm，比例尺1∶40000 000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平面地形地球仪</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直径不小于310mm，比例尺1∶40 000 000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59"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地动仪模型</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由地动仪筒体一套、塑料龙8条、塑料蛙8只、底座1个、支杆1根、龙珠8颗组成。筒身下端直径约178mm、上端直径约180mm。②地动仪筒体为塑制，含：筒座、筒身、筒盖、筒顶盖4部分组成。③表面均涂有金色漆。筒身内部带有地震摇晃碰触机制。龙珠为金属制，直径8mm，表面镀铬。</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地球构造模型</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球体直径320mm（可剖分），内部应有嵌块，可直观看到地壳，地幔，外核等圈层。底座直径不小于210mm，模型整体高约为：450mm。</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2"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司南模型</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模型由地盘及磁性勺两部分组成。1、地盘外壳为塑料，内嵌玻璃及方位图，方位图包括：八卦、天干、地支和二十八宿、共计二十四个方位图。2、磁性勺由嵌有高强磁性材料的塑料件制成。</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月相变化演示器</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采用胶合板外箱，图面采用喷绘写真，箱面绘有新月、峨眉月、上弦月、凸月、下弦月、峨眉月、新月等。</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蟾蜍浸制标本</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执行JY145-82标准。</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河蚌浸制标本</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执行JY145-82标准。</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爬行类动物浸制标本</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蛇或蜥蜴</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02"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蛙发育顺序标本</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产品由蛙的八个发育期组成：①单细胞期  ②尾芽期③具外鳃的蝌蚪  ④具内鳃的蝌蚪 ⑤具后肢蝌蚪 ⑥具前后肢蝌蚪 ⑦尾缩期蝌蚪   ⑧幼蛙3、 产品应符合教育部标准JY148-82《蛙发育顺序标本技术条件》的要求。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昆虫标本</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常见益虫、害虫各6～7种</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桑蚕生活史标本</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产品由卵幼虫四龄）、雌、雄成虫、茧、蚕丝、丝织品和桑叶组成。应符合JY0325-1993《家蚕生活史标本技术条件》的要求。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兔外形标本</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自然大,兔剥皮标本。</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植物种子传播方式标本</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动物传播、弹力传播、风力传播、水力传播</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天然材料标本</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木、棉花、石油、煤、矿石等</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人造材料标本</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金属、塑料、玻璃、陶瓷、纸、布、密度板、水泥等</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纺织品标本</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标本盒为盒体和盒盖两部分构成，全塑料制，上盖透明。具有耐压、防潮。盒盖内侧贴有与各标本对应的品名。标本为：毛料、麻布、棉花、绸布、腈纶、锦纶、涤纶、尼龙。</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各种纸样标本</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标本盒为盒底和翻盖整体构造。标本粘于盒底并有标签，标本分别为：书写纸、蜡纸、卫生纸、复写纸、热敏纸、透明纸、白板纸、过滤纸、蜡光纸、瓦楞纸、绝缘纸、皮纹纸。</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矿物标本</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锡石、赤铁矿、铝土矿、黄铜矿、白云石、云母，应符合JY0005-1990的有关要求。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岩石标本</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玄武岩、花岗岩、安山岩、流纹岩、砂岩、页岩，　应符合JY0005-1990的有关要求。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金属矿物标本</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铜、铁、铝、钨、锡等</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土壤标本</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参照执行JY0005-1990的有关要求。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矿物提炼物标本</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石油、金属等</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玻片标本</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6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植物根尖纵切</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标本在80x和200x学生显微镜下观察根尖的结构。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能看清根冠、分生区、伸长区、根毛区和原形成层等。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根毛与表皮细胞无间隔，可不要求看到根毛内的胞核。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标本取于人工培养的玉米根，取材部位为根冠至根毛区。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标本的纵切面应与原形成层平行，并过原形成层。原形成层顶端至分生区顶端的距离应在基本分生组织厚度的1／3以内。如无完整根毛时，则至少应有一处表皮细胞能显示形成根毛之特征。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切片厚度在8μm以内，每张玻片垂放材料1～2片。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胞核着色明显，可见核仁，胞质着色均匀。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产品应符合JY68－82《植物根尖纵切》的要求。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木本双子叶植物茎横切</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80×和200×学生显微镜下，观察双子叶植物茎横断面的结构。2．能看清表皮（有时可看到表皮毛）厚角组织、薄壁组织、髓及环列于茎中的维管束等。3．能看清维管束为外韧型，分别认出韧皮纤维、筛板、筛管、形成层和木质导管等横断结构。4．标本取材于椴木。5．切片厚度在25μm以内。6．表皮、厚角组织、薄壁组织和维管束等处细胞倾斜部分不超过茎横断面的1/4。形成层形态正常。7．标本用番红、固绿染色，导管、厚壁组织，呈红色，其它组织绿色，厚角组织、筛板等有时也可呈红色。8．应符合JY67－82《生物玻片标本通用技术条件（试行）》的规定。9．产品应符合JY233－87《双子叶植物茎横切》的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92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草本植物茎横切</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标本在80x和200x学生显微镜下观察单子叶植物茎横断面的结构。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能看清表皮、散生维管束、薄壁组织。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表皮为一层排列整齐的细胞，表皮下有一圈机械组织。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标本取材于人工培养的玉米茎，取节间部位。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切片厚度在25μm以内。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切面应与纵轴垂直，表皮、机械组织、薄壁组织、维管束等处细胞倾斜不超过茎的1／4。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标本用蕃红、固绿染色，木质导管、机械组织呈红色，其他组织绿色。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产品应符合JY72－82《单子叶植物茎横切》的要求。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洋葱表皮装片</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标本在80×和200×学生显微镜下观察鳞片叶表皮形态和结构。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能看清鳞片叶表皮的长方形细胞，并具细胞核。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标本取材于洋葱鳞片叶表皮。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标本为平铺装片，每片材料不小于2×2mm，四周须剪整齐。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应符合JY67－82《生物玻片标本通用技术条件（试行）》的规定。</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2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叶片横切</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标本在80×和200×学生显微镜下，观察迎春叶横断面。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能看清上下表皮、气孔的断面、栅状组织、海绵组织、叶脉等。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在栅栏组织和海绵组织的细胞中能看清胞核和叶绿体。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在主脉的横切断面上看清木质部韧皮部形成层和机械组织。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在主脉两侧可见到侧脉的横或纵断面，也应看清木质部和韧皮部，有时可见木质部导管的纵切面。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标本取材为迎春叶。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作过主脉的横切片厚度为8微米，每张玻片横放材料一片。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应符合JY67－82《生物玻片标本通用技术条件（试行）》的规定。</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02"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叶片气孔装片</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标本在80×和200×学生显微镜下，观察迎春叶横断面。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能看清上下表皮、气孔的断面、栅状组织、海绵组织、叶脉等。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在栅栏组织和海绵组织的细胞中能看清胞核和叶绿体。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在主脉的横切断面上看清木质部韧皮部形成层和机械组织。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在主脉两侧可见到侧脉的横或纵断面，也应看清木质部和韧皮部，有时可见木质部导管的纵切面。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标本取材为迎春叶。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作过主脉的横切片厚度为8微米，每张玻片横放材料一片。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应符合JY67－82《生物玻片标本通用技术条件（试行）》的规定。</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动物表皮细胞装片</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标本在80x和200x学生显微镜下观察动物表皮细胞的结构。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表皮为复层扁平上皮，近表面的浅层细胞有角化脱落在象。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应符合JY67－82《生物玻片标本通用技术条件（试行）》的规定。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产品应符合JY91－82《人皮过毛囊切片》的有关要求。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6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蛙卵细胞切片</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标本在50×生物显微镜下观察蛙受精卵尚未进行第一次分裂时的形态。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能认出有黑色素的动物半球在上，无黑色素的植物半球在下。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应符合JY67—82《生物玻片标本通用技术条件》的规定。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标本选用出现“灰新月区”时的受精卵，形态正常，去掉胶膜。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作卵的垂直于“灰新月区”的中部纵切，其厚度在12μm以内。每张玻片放材料1~2片，卵黄粒不破碎，无皱褶、刀痕。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标本保留自然色素，不染色。</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骨细胞切片</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标本在50×和100×显微镜下观察骨单位结构。每片材料不小于3mm×3mm。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可见同心圆状排列的骨板，每一骨单位的骨板间有3~6层骨陷窝，骨小管从中央管向周围呈放射状排列。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取材于长骨材料，经磨薄或横切，硝酸银或其它染色液染色。</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82"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口腔粘膜细胞装片</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标本在400x生物显微镜下观察复层扁平上皮的结构。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能看清复层扁平上皮细胞在近表层呈扁平形，胞核较扁，有脱落现象，表层以下的细胞逐渐增厚，呈不规则的多边形，胞核圆形，紧贴基膜的深部细胞有呈方形成矩形的。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应符合JY67－82《生物玻片标本通用技术条件（试行）》的规定。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标本取材于幼小哺乳动物的口腔粘膜。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胞核、胞质着色对比应明显，上皮细胞界限度清晰，表层细胞不应脱落较多。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应符合JY67－82《生物玻片标本通用技术条件（试行）》的规定。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产品应符合JY90－82《复层扁平上皮装片》的要求。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人血细胞装片</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标本在400x生物显微镜下观察血液中血胞的形态。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能看清红血细胞和白血细胞，有时可见血小板。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标本取材于人的新鲜血液，血细胞变形者，不宜使用。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血膜应涂布均匀、无污物，血细胞不重叠、无变形和自溶现象。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用苏木精、曙红双重染色。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染色要均匀，白血细胞的胞核和血小板呈兰紫色，白血细胞的胞质和红血细胞呈粉红色，血浆不着色。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应符合JY67－82《生物玻片标本通用技术条件（试行）》的规定。</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中国政区地图</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对开，纸张规格不低于128g铜版纸，有国家测绘局地图审批号，符合新课标教学的要求。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中国地形地图</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对开，纸张规格不低于128g铜版纸，有国家测绘局地图审批号，符合新课标教学的要求。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小学科学安全操作挂图</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25幅；纸张规格：100克铜版纸；印刷：彩色胶印。图形：逼真，色彩鲜明，线条清晰。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小学科学生命世界教学挂图</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对开29幅；纸张规格：100克铜版纸；印刷：彩色胶印。图形：逼真，色彩鲜明，线条清晰。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小学科学物质世界教学挂图</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对开22幅；纸张规格：100克铜版纸；印刷：彩色胶印。图形：逼真，色彩鲜明，线条清晰。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小学科学地球与宇宙教学挂图</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对开28幅；纸张规格：100克铜版纸；印刷：彩色胶印。图形：逼真，色彩鲜明，线条清晰。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科学史挂图</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对开24幅；纸张规格：100克铜版纸；印刷：彩色胶印。图形：逼真，色彩鲜明，线条清晰。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9"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植物分类图谱</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内容：不少于60种植物图片，纸张规格：封面150克铜版纸；印刷：彩色胶印。图形：逼真，色彩鲜明，线条清晰。印刷质量：符合GB7705－87《平面装潢印刷品标准》。</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动物分类图谱</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内容：不少于60种动物图片，纸张规格：封面150克铜版纸；印刷：彩色胶印。图形：逼真，色彩鲜明，线条清晰。印刷质量：符合GB7705－87《平面装潢印刷品标准》。</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小学科学生命世界教学投影片</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本片为彩色，由105片构成。每套片型分为单片和复合片。</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小学科学物质世界教学投影片</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本片为彩色，由90片构成。每套片型分为单片和复合片。</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小学科学地球与宇宙教学投影片</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本片为彩色，由60片构成。整套片型为单片。</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小学科学教学素材库</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产品由动物世界大百科（动物园、适者生存）光盘和十万个为什么（植物知识）光盘构成。两光盘采用专用塑料盒定位包装。</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小学科学实验教学指导书</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要求：开本16开,符合GB/T 7705-2008《平版装潢印刷品》。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小学科学实验仪器手册</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要求：开本16开,符合GB/T 7705-2008《平版装潢印刷品》。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量筒</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量杯</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甘油注射器</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30mL，塑料</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φ15mm×150mm</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φ20mm×200mm</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烧瓶</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平、长，250mL</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锥形瓶</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酒精灯</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150mL</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漏斗</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60mm</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Y形管</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采用透明玻璃制造，全长100±5mm，支长50±5mm，直径7-8mm，壁厚1.5mm。</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滴管</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150mm，附乳胶头，采用透明玻璃制造，全长150±10mm，上管外径15±1mm，壁厚1.3mm，产品应符合GB/T12414-1995《药用玻璃管》的标准。</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集气瓶</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125mL</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镊子</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不锈钢或不锈铁，125mm。</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试管夹</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1、产品为木质或竹质材料制成。夹长不小于100mm，手柄长度不小于80mm。 2. 夹口张、合松劲强度适宜，便于试管夹持和拿取。 </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2"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石棉网</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1.产品为在金属网上涂敷石棉材料而制成。2.金属网无锈蚀，具备一定的强度。石棉材料涂敷均匀，附着力强。涂敷面不得裸漏金属网面。3.石棉材料涂敷面直径不小于80mm。</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燃烧匙</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燃烧勺用紫铜制成，手柄杆长度不小于200mm。2. 手柄与燃烧勺焊接牢靠。3. 成型规整、表面无毛刺、无锈蚀。</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药匙</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塑料制</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玻璃管</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φ5mm～φ6mm</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千克</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玻璃棒</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φ5mm～φ6mm</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橡胶管</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优质天然橡胶制造、内径为7～8mm，壁厚1mm。</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千克</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橡胶塞</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0-10#橡胶制品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千克</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试管刷</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金属丝和胶合在其上的猪鬃毛制成、金属丝用Φ3mm左右的镀锌铁丝2根绞合。3.制成的试管刷直径不小于Φ30mm，长度不小于100mm，要求不散、脱毛。</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烧瓶刷</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猪棕毛制</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培养皿</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蒸发皿</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瓷，60mm</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塑料量杯</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药品</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硫酸铝钾(明矾)</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酒精</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千克</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pH广范围试纸</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实验材料</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2"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小学科学一般实验材料</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蜡纸、锡箔纸、塑料手套、塑料管、毛细管、种子、橡皮泥、种植土、过滤纸、导线、碘酒、蜡烛、塑料薄膜、透明塑料袋、不透明塑料袋、棉布、吸管、食用油、食盐、食糖、气球、方格纸、松香等</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载玻片</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玻璃制。通过计量认证。0.1mm 1/400mm。产品执行JB/T8230.3《载玻片》的标准。</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盖玻片</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产品为钠钙玻璃制品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测电笔</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由测电头、绝缘手柄组成。</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一字螺丝刀</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磁性，一字槽,总长度不小于158mm，主体为金属制品，长度为97mm，手柄为胶质，总长度61mm</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十字螺丝刀</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磁性,十字槽,长度158mm，主体为金属制品，长度为97mm，手柄为胶质，总长度61mm</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尖嘴钳</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8寸尖咀钳，总长度不小于200mm，45#高碳钢锻造，其他符合QB/T2442.3标准。</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钢手锯</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带锯条锯弓12寸,ABS柄,方管锯</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手锤</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羊角锤锤头采用优质高碳钢锻造，表面经镜面抛光处理，锤头边缘钢材特殊淬火，规格：250G 。</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活扳手</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材质：中碳钢，其他符合GB/T4440-1998《活扳手》的要求。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电烙铁</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60W,20W</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手电钻</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Φ1mm～Φ13mm</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钢制，表面防锈处理。手握部分采用塑料套，总长160mm。</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花盆</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无毒树脂花盆。</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小刀</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金属制品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塑料桶</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材质：优质PP；耐热温度不小于120度；耐冷温度不小于-20度。颜色：红、绿、蓝均可。无异味，桶壁厚实，结实耐用。</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手摇铃</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纯铜制作，直径不小于100mm，壁厚不小于2mm，柄为木制。</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手持筛子</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塑料制。由一个塑料外框和二片塑料筛网构成。</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喷水壶</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喷壶容量为2L，壶体材料是PE塑料，喷嘴为纯铜喷头。</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吹风机</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1.使用电源：220V  50Hz。2.塑料外壳，分二档调节风速。</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39"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采集捕捞工具</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由标本夹、捕虫网、水网、小铁铲、枝剪等组成。2．标本夹：①用塑料注塑制成，两块为一套，五横三竖；3．捕虫网：网兜用人造纤维材料，底成尖形，网柄为ABS工程塑料制成，网圈用直径Φ2～2．5mm的镀锌铁丝。4．水网：用密织纱布，网柄为ABS工程塑料制成，网圈用直径Φ2～2.5mm的镀锌铁丝。5．小铁铲用来挖掘植物地下根茎，采用钢板制成，木手柄安装牢固。6．枝剪用于剪取树枝及修整标本，钢质。剪刀刃锋利，无崩裂，剪口前端应对齐。</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榨汁器</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1.手动。2.产品由盛液盒带手柄、压杆、压盘、压杯组成。3、盛液盒直径80mm、深70mm，有溢液口。</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widowControl w:val="0"/>
        <w:spacing w:line="420" w:lineRule="exact"/>
        <w:ind w:firstLine="482" w:firstLineChars="200"/>
        <w:jc w:val="both"/>
        <w:rPr>
          <w:rFonts w:hint="eastAsia" w:ascii="宋体" w:hAnsi="宋体" w:eastAsia="宋体" w:cs="宋体"/>
          <w:b/>
          <w:smallCaps w:val="0"/>
          <w:color w:val="auto"/>
          <w:kern w:val="0"/>
          <w:sz w:val="24"/>
          <w:szCs w:val="24"/>
          <w:lang w:val="en-US" w:eastAsia="zh-CN"/>
        </w:rPr>
      </w:pPr>
    </w:p>
    <w:tbl>
      <w:tblPr>
        <w:tblStyle w:val="97"/>
        <w:tblW w:w="92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8"/>
        <w:gridCol w:w="871"/>
        <w:gridCol w:w="6095"/>
        <w:gridCol w:w="508"/>
        <w:gridCol w:w="399"/>
        <w:gridCol w:w="6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9" w:hRule="atLeast"/>
        </w:trPr>
        <w:tc>
          <w:tcPr>
            <w:tcW w:w="9242" w:type="dxa"/>
            <w:gridSpan w:val="6"/>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数学教学仪器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编号</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技术参数、规格、功能</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方格黑板</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磁性；600mm×900mm；50mm×50mm数学坐标方格</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计算器</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小学型计算器</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长150mm，圆头，刀刃不锈钢材质，手柄塑料材质，带安全帽</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刻刀</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美工刀，不锈钢，全长130mm～160mm，刀片宽10mm</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1～3年级磁性教具</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合教具，带磁性，能实现以下教学用途：万以内数的认识、认识分数、计数、认识计数单位、认识年月日、认识平面的几何图形、长度测量、认识面积单位、长方形和正方形的面积公式、感受平移、旋转、轴对称现象、辨认位置与方向等</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4～6年级磁性教具</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合教具，带磁性，能实现以下教学用途：万以上数的认识、理解百分数、比较小数和分数的大小、负数、等式的性质、认识正比例的量和图像、了解平面上两条直线的平行和相交、认识几何图形、认识和使用量角器、估计不规则面积图形、计算长方体、正方体、圆柱表面积、认识轴对称图形和对称轴、观察认识平移和旋转等</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演示算盘</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75cm×25cm×3.5cm；上珠2颗，下珠5颗，不少于13档位</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演示算盘</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75cm×25cm×3.5cm；上珠1颗，下珠4颗，不少于13档位</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数字、运算符号贴片</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演示用，磁贴；数字0～9、加号、减号、乘号、除号、大于号、小于号、等号、大于等于号、小于等于号；裸图：高10cm；颜色鲜艳，如：亮红、亮黄等</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数字、运算符号贴片</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学生用；数字0～9、加号、减号、乘号、除号、大于号、小于号、等号、大于等于号、小于等于号；裸图：高5cm；颜色鲜艳，如：亮红、亮黄等</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百数表</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演示用；100cm×100cm，每行10个格，共10行；磁贴，可写可擦</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大数进位模型</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1个千位正方体、10个百位正方块，10个十位长方条，100个正方颗粒；以塑料盒包装，便于收纳</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计数片</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圆形Φ≥25mm，正方形≥25mm×25mm，正三角形边长≥25mm，各片厚≥1mm，每种图形各20张</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竖式计数器</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演示用；三档，标明“个位”“十位”“百位”</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竖式计数器</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演示用；五档，标明“个位”“十位”“百位”“千位”“万位”</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竖式计数器</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学生用；五档，标明“个位”“十位”“百位”“千位”“万位”</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计数棒</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演示用；由100根棒组成，五种颜色，每种颜色20根；200mm，截面形状可为正方形，圆形或正多边形，截面积外接圆直径10mm</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计数棍</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学生用；由100根棒组成，五种颜色，每种颜色20根；100mm，截面形状可为正方形，圆形或正多边形，截面积外接圆直径4mm</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计数彩条</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由十种木条组成，分别涂上白、红、浅绿、紫、黄、深绿、黑、蓝、棕、橙等颜色；十种木条的截面都是1cm2的正方形、长度分别为1cm，2cm，3cm，…，10cm</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分数片</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用；由1个正方形底板和12条全长相同的长方形片组成，底板用塑料或木材制，片用塑料制；12条长方形片每行颜色不同，分别表示1，1/2，1/3，1/4，1/5，1/6，1/7，1/8，1/9，1/10，1/12，1/16，每块上应有相应的分数值，可独立取下贴于黑板上</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圆形分数模型</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演示用；采用直径≥22cm、厚度≥0.8mm的软磁板；包含15片未裁切的圆（以不同颜色标示1～1/20等分数），15片裁切的圆（依1～1/20等分进行），2片圆形白软磁板</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立体分数模型</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由球体、正方体等几何形体，四分之一球体、八分之一球体、四分之一正方体、八分之一正方体等组成</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口算练习器</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旋转式，能组成二位数、加、减、乘、除符号和一位数的运算式，没有等号和答案；数字高度≥50mm</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点子图</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演示用：磁贴，60mm×80mm，每行14个点子，12行</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计数多层积木</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学生用；塑料材质；积木块包括1个10mm×10mm×10mm的正方体，90mm×10mm×10mm、90mm×100mm×10mm、90mm×100mm×100mm的长方体各1个；每个积木块外都应画有10mm的方格；配透明塑料盒</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沙漏组</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包含30秒、1分钟、3分钟、5分钟、10分钟和15分钟的沙漏各1个</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钟表模型</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演示用；三针，联动/非联动两用，12h/24h表示，盘面直径应为250mm～300mm，无透明钟面罩</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钟表模型</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学生用；两针，非联动，12h表示，盘面直径≥80mm，无透明钟面罩</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钟表模型</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学生用；三针，联动，12h/24h表示，盘面直径≥80mm，有透明钟面罩</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电子秒表</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专用型，全时段分辨力0.01s；有防震、防水功能，电池更换周期≥1.5年</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托盘天平</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演示用，500g，0.5g</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简易天平</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等臂双吊桶非自动天平，最大载荷200g，分度值1g，槽码用金属制：10g16个，5g8个。允许误差：应分别≤0.5g和0.3g。吊桶容积应为200mL，可称量液体。吊桶应能自动调整方向，保持垂直与水平面</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弹簧度盘秤</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指针式，最大称量1kg，最小称量50g，分度值5g</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数字天平</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包含配有20个法码和1个天平座；能呈现等于、大于、小于的关系式</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杠杆平衡器</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学生用；包含杠杆尺、支架及勾码1盒</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几何图形片</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正方形（50mm×100mm）、长方形（50mm×100mm）、直角三角形（直角边长50mm、100mm）、等边三角形（边长100mm）、等腰三角形（两腰长100mm）、平行四边形（底边200mm、高100mm）、直角梯形(底边长200mm、高100mm）、一般梯形（下底边长100mm）、圆形（直径100mm）</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几何形体模型</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长方体（一般和特殊）、正方体、实心圆柱、空心圆柱、圆锥体（等底等高、等底不等高、等高不等底）、球等</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七巧板</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演示用；磁吸式，七种颜色，所组成的正方形≥400mm×400mm，厚≥4mm</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七巧板</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学生用；七种颜色，所组成的正方形≥80mm×80mm，厚≥1mm</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七巧块</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 7 块形状不同的模块组成正方体，1 个纸盒装，尺寸65 mm×65 mm×65 mm</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百鸟蛋</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由9块不同形状模块组成蛋形，尺寸≥135mm×110mm×5mm</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长正方体框架模型</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直径为2mm的红、黄、蓝小棒各16根；红色小棒长150mm，黄色小棒长100mm，蓝色小棒长50mm；白色三通接口20个；透明收纳盒，用于收纳上述物品</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角操作材料</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可变换角的大小，两边长度可拉伸可收缩，可在60mm～100mm范围内改变，宽度为7mm～10mm</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钉板</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390mm×590mm，配有橡皮筋</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钉板</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透明塑料制，200mm×200mm，配有橡皮筋</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钉板</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学生用，塑料制，≥140mm×140mm，配有橡皮筋</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条形拼搭条</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拼搭条的宽度为8mm，长度和颜色分别为30mm（红色），40mm（黄色），50mm（蓝色），80mm（紫色），100mm（绿色），120mm（橙色），各12条；拼搭条两端分别为公母扣，便于相互拼搭</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8面空间连接模型</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包括4个红杆、64个透明杆、40个正方颗粒、12个六通造形连接器、12个八通造形连接器</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直尺</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演示用；1m，最小分度值1mm，分别有米、分米、厘米、毫米四种单位，刻度清晰，宜采用工程塑料制</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软尺</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2000mm，最小分度值为1mm，宽度≥13mm；每厘米处应为长线，每5mm处应为中线，每毫米处应为短线；应按示值线所代表的m、dm或cm值标出</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三角尺</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用；工程塑料或木制，30°、60°直角三角尺和等腰直角三角尺各1个，带把手，60°角所对直角边和等腰三角尺的斜角边应有标尺，宜三边都有标尺；标尺长度应≥500mm，最小分度值应为0.5cm，字体高度应≥10mm，标尺零位前不留空白</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圆规</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演示用；工程塑料或木制，圆规两脚张开松紧应可调，一脚端部可夹普通粉笔，另一脚端部能在黑板定位（宜采用橡胶摩擦定位）</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量角器</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用；塑料制，直角度分度线应为0°～180°和180°～0°双向标度，最小分度值应为1°，双向角度标度中间有划线槽；在半圆的直径边应有直尺，直尺的最小分度值宜为1cm；半圆直径应为500mm～510mm；厚≥8mm，半圆圆心定位孔的直应在0°～180°线（X轴）上，在定位孔半圆圆周上应有一短线，标出Y轴的位置。半圆孔直径应为10mm～12mm；手柄应安装在直尺与半圆定位孔之间</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面积测量器</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非脆性的透明塑料板，面积测量部分≥100mm×100mm，其中一面印刷边长为5mm的方格，每10mm处用粗线印刷，每5mm处用细线印刷，粗线处标有数字</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探索几何图形面积计算公式材料</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脆性的透明塑料板，由1个边长30mm的正方形、1个边长60mm×30mm的长方形、1个底边边长60mm、高30mm的平行四边形，2个底边边长60mm、高30mm的直角三角形、2个底边边长60mm、高30mm的锐角三角形、2个底边边长60mm、高30mm的钝角三角形、2个上底20mm、下底40mm、高30mm的梯形组成</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圆周率、圆面积计算公式推导演示模型</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由圆面积演示器和圆周率计算公式推导模型两部分组成；圆面积演示器直径200mm，由15块1/16扇形块和2块1/32扇形块组成，各扇形背面应附磁性塑料；圆周率计算公式推导演示模型应有底板、圆和刻度尺组成，圆直径100mm，刻度尺长340mm并固定在底板上</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塑料量杯</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透明，圆柱形，2 L，标度最小分度值应为 50 mL，塑料量杯的容许误差应≤示值的 2％</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塑料量杯</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透明，棱柱形，1.5 L，标度最小分度值应为 50 mL，塑料量杯的容许误差应≤示值的 2％</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塑料量杯</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透明，水杯形，1 L，标度最小分度值应为 50 mL，塑料量杯的容许误差应≤示值的 2％</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几何形体表面 积 展 开 模型</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演示用；长方体、正方体、圆柱体各一，三种不同颜色， 长方体边长宜为 60 mm×120  mm×180  mm，正方体边长宜为 150 mm，圆柱直径宜为 90 mm、高宜为 150 mm；几何形体外包有相应颜色的薄塑料制的表面积展开图形</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几何形体表面 积 展 开 模型</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学生用；长方体、正方体、圆柱体各一，三种不同颜色， 长方体尺寸宜为 20 mm×40 mm×60 mm，正方体尺寸宜为 50 mm，圆柱直径宜为 30 mm、高宜为 50 mm；几何形体外包有相应颜色的薄塑料制的表面积展开图形</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立方厘米、立方分米模型</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 mm×100 mm×100 mm 透明正方体容器 1 个，侧面显示刻度线，内含四种规格立方体，规格数量如下：100 mm×100 mm×90 mm 白色长方体 1 个（表面有 1 平方厘米的格子线）100 mm×90 mm×10  mm 黄色长方体 1 个（表面有  1  平方厘米的格子线），90  mm×10  mm×10  mm黄色长方体 1 个（表面有 1 平方厘米的格子线），10 mm×10 mm×10 mm 红色小正方体 1 个</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探索几何形体体积计算公式材料</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应由三部分组成，如下：长方体体积：由 18 个边长 10 mm 的正方体和 1 个长方体容器构成，长方体内部尺寸 31 mm×31 mm×21 mm；圆柱体体积：由 2 个颜色不同、截面为半圆的圆柱组成，每个半圆柱由截面为扇形的柱体构成，不少于 8 块； 圆柱圆锥体积比：由无色透明的圆柱形容器和圆锥形容器组成，圆柱和圆锥均高 100 mm，直径 100 mm，圆柱壁应有三等分的标度线</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图形变换操作材料</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应有2个平行四边形（边长30mm，高20mm），2个正方形（边长30mm），2个三角形（底30mm，高20mm）和2个圆（直径30mm）组成；彩色透明塑料制；用于平移、旋转、对称等内容</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旋转模型</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手工旋转装置：产生球的旋转模型，产生圆锥的旋转模型，产生圆柱的旋转模型，产生圆台的旋转模型（可选），产生双曲面的旋转模型（可选），产生抛物面的旋转模型（可选），产生椭球的旋转模型（可选）</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演示用转盘</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转盘和盘面可换的数字、色块、空白盘面组成，盘面直径≥400mm，更换盘面时应不需拆下指针，悬挂式，圆盘面应敷设磁性塑料；可换盘面应采用铁片作材料，双面印有符号或颜色；数字盘面应印有0～10；色块盘面应有三种不同的颜色，每种颜色四块；空白盘面一面应使用白色无光塑料，应可用白板笔书写</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数字骰子</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≥12mm×12mm×12mm，每个侧面上有不同的数字，不少于3个</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空白骰子</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≥12mm×12mm×12mm，不少于2个，可用铅笔书写并可擦除</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塑料球</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五种颜色，每种颜色各10个，球径应≥20mm，配不透明袋2个，袋口有伸、缩拉绳</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活动日历</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演示用；边长 10 cm 的正方体 4 块；可写可擦</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活动日历</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学生用；边长 5 cm 的正方体 4 块；可写可擦</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彩色双面双色纸</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学生用；边长 5 cm 的正方体 4 块；可写可擦</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表面涂色的正方体</w:t>
            </w:r>
          </w:p>
        </w:tc>
        <w:tc>
          <w:tcPr>
            <w:tcW w:w="6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正方体 3 cm×3 cm×3 cm，64 个；其中三面涂红色的 8 个，两面涂红色的 24 个，一面涂红色 24 个，六面均不涂红色的 8 个，不涂红色的面均涂白色</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widowControl w:val="0"/>
        <w:spacing w:line="420" w:lineRule="exact"/>
        <w:ind w:firstLine="482" w:firstLineChars="200"/>
        <w:jc w:val="both"/>
        <w:rPr>
          <w:rFonts w:hint="eastAsia" w:ascii="宋体" w:hAnsi="宋体" w:eastAsia="宋体" w:cs="宋体"/>
          <w:b/>
          <w:smallCaps w:val="0"/>
          <w:color w:val="auto"/>
          <w:kern w:val="0"/>
          <w:sz w:val="24"/>
          <w:szCs w:val="24"/>
          <w:lang w:val="en-US" w:eastAsia="zh-CN"/>
        </w:rPr>
      </w:pPr>
    </w:p>
    <w:tbl>
      <w:tblPr>
        <w:tblStyle w:val="97"/>
        <w:tblW w:w="92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1"/>
        <w:gridCol w:w="850"/>
        <w:gridCol w:w="4224"/>
        <w:gridCol w:w="614"/>
        <w:gridCol w:w="614"/>
        <w:gridCol w:w="22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0" w:hRule="atLeast"/>
        </w:trPr>
        <w:tc>
          <w:tcPr>
            <w:tcW w:w="92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32"/>
                <w:szCs w:val="32"/>
                <w:u w:val="none"/>
                <w:lang w:val="en-US" w:eastAsia="zh-CN" w:bidi="ar"/>
              </w:rPr>
              <w:t>录播室桌椅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9"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4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技术参数、规格、功能</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参考图片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8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教师演示台</w:t>
            </w:r>
          </w:p>
        </w:tc>
        <w:tc>
          <w:tcPr>
            <w:tcW w:w="4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1.产品规格： 1400*500*750MM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2.桌面及柜门采用: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（1）.桌面：25mm厚多层板，环保板材，平整、防水、易清洗，桌面颜色与学生桌一致；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（2）.柜体：18mm厚多层板；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（3）.柜体沉重力强，坚固耐用。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3.桌架：采用优质碳钢，金属件接口连接隐蔽美观、喷涂表面细腻光润；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（1）.采用Ø30*89的优质碳钢材质；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（2）.表面涂装：高温粉体烤漆。长时间使用也不会产生表面漆剥落现象。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4.底部静音轮设计：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（1）.材质：采用PU静音轮；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（2）.底部承重式静音轮，360°旋转，耐磨、静音、经久耐用；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★5.可调整角度的阅览台（角度机械结构）；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（1）.材质：采用优质环保板材、优质碳钢；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（2）.角度调节机械结构设计满足多样阅览需求；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6.柜体多样性扩展接口；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（1）.材质：采用优质环保塑料；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（2）.扩展接口满足各种终端设备使用；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产品特点：优质选材，安全牢固，移动灵活，适合多种场景空间使用；</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146050</wp:posOffset>
                  </wp:positionH>
                  <wp:positionV relativeFrom="paragraph">
                    <wp:posOffset>1195705</wp:posOffset>
                  </wp:positionV>
                  <wp:extent cx="1038860" cy="772795"/>
                  <wp:effectExtent l="0" t="0" r="8890" b="8255"/>
                  <wp:wrapNone/>
                  <wp:docPr id="35" name="图片_7"/>
                  <wp:cNvGraphicFramePr/>
                  <a:graphic xmlns:a="http://schemas.openxmlformats.org/drawingml/2006/main">
                    <a:graphicData uri="http://schemas.openxmlformats.org/drawingml/2006/picture">
                      <pic:pic xmlns:pic="http://schemas.openxmlformats.org/drawingml/2006/picture">
                        <pic:nvPicPr>
                          <pic:cNvPr id="35" name="图片_7"/>
                          <pic:cNvPicPr/>
                        </pic:nvPicPr>
                        <pic:blipFill>
                          <a:blip r:embed="rId27"/>
                          <a:stretch>
                            <a:fillRect/>
                          </a:stretch>
                        </pic:blipFill>
                        <pic:spPr>
                          <a:xfrm>
                            <a:off x="0" y="0"/>
                            <a:ext cx="1038860" cy="7727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4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录播室桌</w:t>
            </w:r>
          </w:p>
        </w:tc>
        <w:tc>
          <w:tcPr>
            <w:tcW w:w="4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1、产品规格：760×650×740（±10）㎜；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2、整体造型设计为房形，桌面长边760㎜，采用18.0mm厚三聚氰胺密度板制成；多张桌子可拼成不同形状组合使用；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桌体钢架：采用Φ32×1.5㎜优质碳钢圆管制成，三足支撑设计，第三足采用月牙形支撑脚设计，增大地面接触面积，保证桌体稳定安全；采用二氧化碳保护焊接，不得有虚焊、漏焊等现象。表面经过抛丸处理后经全自动喷塑流水线粉末静电喷塑，表面光洁，平整，色泽鲜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3、滚轮及脚垫：前端桌腿配置2.5寸橡胶材质合成医用级可刹车脚轮，移动式可松开刹车，自由组合，灵活配置；固定式锁住刹车轮，安全稳固；脚垫采用U型脚垫装配管子一体成型。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产品特点：此款产品组装方便；弧形前脚更稳固，搭配后面两个带刹车脚轮，移动时方便轻松，无需搬动，只要抬起一端即可推送，采用了医用级静音轮，推送时轻巧无噪音；桌面房型设计，灵动组合多达四种，满足各项学习需求。</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336550</wp:posOffset>
                  </wp:positionH>
                  <wp:positionV relativeFrom="paragraph">
                    <wp:posOffset>1056005</wp:posOffset>
                  </wp:positionV>
                  <wp:extent cx="659765" cy="852170"/>
                  <wp:effectExtent l="0" t="0" r="6985" b="5080"/>
                  <wp:wrapNone/>
                  <wp:docPr id="34" name="图片_5"/>
                  <wp:cNvGraphicFramePr/>
                  <a:graphic xmlns:a="http://schemas.openxmlformats.org/drawingml/2006/main">
                    <a:graphicData uri="http://schemas.openxmlformats.org/drawingml/2006/picture">
                      <pic:pic xmlns:pic="http://schemas.openxmlformats.org/drawingml/2006/picture">
                        <pic:nvPicPr>
                          <pic:cNvPr id="34" name="图片_5"/>
                          <pic:cNvPicPr/>
                        </pic:nvPicPr>
                        <pic:blipFill>
                          <a:blip r:embed="rId28"/>
                          <a:stretch>
                            <a:fillRect/>
                          </a:stretch>
                        </pic:blipFill>
                        <pic:spPr>
                          <a:xfrm>
                            <a:off x="0" y="0"/>
                            <a:ext cx="659765" cy="85217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8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录播室椅</w:t>
            </w:r>
          </w:p>
        </w:tc>
        <w:tc>
          <w:tcPr>
            <w:tcW w:w="4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1.尺寸：440×440×580㎜±5mm, 椅面375×380×130㎜±3mm，座高440㎜±3mm)  2.材质：坐垫、脚垫材质为PP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3.工艺：钢管直径22mm，壁厚1.8mm</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127000</wp:posOffset>
                  </wp:positionH>
                  <wp:positionV relativeFrom="paragraph">
                    <wp:posOffset>351790</wp:posOffset>
                  </wp:positionV>
                  <wp:extent cx="932815" cy="695960"/>
                  <wp:effectExtent l="0" t="0" r="635" b="8890"/>
                  <wp:wrapNone/>
                  <wp:docPr id="36" name="图片_6"/>
                  <wp:cNvGraphicFramePr/>
                  <a:graphic xmlns:a="http://schemas.openxmlformats.org/drawingml/2006/main">
                    <a:graphicData uri="http://schemas.openxmlformats.org/drawingml/2006/picture">
                      <pic:pic xmlns:pic="http://schemas.openxmlformats.org/drawingml/2006/picture">
                        <pic:nvPicPr>
                          <pic:cNvPr id="36" name="图片_6"/>
                          <pic:cNvPicPr/>
                        </pic:nvPicPr>
                        <pic:blipFill>
                          <a:blip r:embed="rId29"/>
                          <a:stretch>
                            <a:fillRect/>
                          </a:stretch>
                        </pic:blipFill>
                        <pic:spPr>
                          <a:xfrm>
                            <a:off x="0" y="0"/>
                            <a:ext cx="932815" cy="6959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62"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观摩多功能椅</w:t>
            </w:r>
          </w:p>
        </w:tc>
        <w:tc>
          <w:tcPr>
            <w:tcW w:w="4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规格尺寸：500*500*800mm，靠背及下座采用高密度网布格，阻燃、舒适、回弹性好。面料为优质网布格.依照人体工程学设计，线条流畅，美观大方，骨架钢管电镀，可折叠。配有医用聚氨酯静音带刹车万向轮。</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171450</wp:posOffset>
                  </wp:positionH>
                  <wp:positionV relativeFrom="paragraph">
                    <wp:posOffset>158115</wp:posOffset>
                  </wp:positionV>
                  <wp:extent cx="1053465" cy="856615"/>
                  <wp:effectExtent l="0" t="0" r="13335" b="635"/>
                  <wp:wrapNone/>
                  <wp:docPr id="32" name="Picture_6"/>
                  <wp:cNvGraphicFramePr/>
                  <a:graphic xmlns:a="http://schemas.openxmlformats.org/drawingml/2006/main">
                    <a:graphicData uri="http://schemas.openxmlformats.org/drawingml/2006/picture">
                      <pic:pic xmlns:pic="http://schemas.openxmlformats.org/drawingml/2006/picture">
                        <pic:nvPicPr>
                          <pic:cNvPr id="32" name="Picture_6"/>
                          <pic:cNvPicPr/>
                        </pic:nvPicPr>
                        <pic:blipFill>
                          <a:blip r:embed="rId30"/>
                          <a:stretch>
                            <a:fillRect/>
                          </a:stretch>
                        </pic:blipFill>
                        <pic:spPr>
                          <a:xfrm>
                            <a:off x="0" y="0"/>
                            <a:ext cx="1053465" cy="85661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844550</wp:posOffset>
                  </wp:positionH>
                  <wp:positionV relativeFrom="paragraph">
                    <wp:posOffset>0</wp:posOffset>
                  </wp:positionV>
                  <wp:extent cx="0" cy="1129030"/>
                  <wp:effectExtent l="0" t="0" r="0" b="0"/>
                  <wp:wrapNone/>
                  <wp:docPr id="33" name="图片_11"/>
                  <wp:cNvGraphicFramePr/>
                  <a:graphic xmlns:a="http://schemas.openxmlformats.org/drawingml/2006/main">
                    <a:graphicData uri="http://schemas.openxmlformats.org/drawingml/2006/picture">
                      <pic:pic xmlns:pic="http://schemas.openxmlformats.org/drawingml/2006/picture">
                        <pic:nvPicPr>
                          <pic:cNvPr id="33" name="图片_11"/>
                          <pic:cNvPicPr/>
                        </pic:nvPicPr>
                        <pic:blipFill>
                          <a:blip r:embed="rId31"/>
                          <a:stretch>
                            <a:fillRect/>
                          </a:stretch>
                        </pic:blipFill>
                        <pic:spPr>
                          <a:xfrm>
                            <a:off x="0" y="0"/>
                            <a:ext cx="0" cy="112903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1206500</wp:posOffset>
                  </wp:positionH>
                  <wp:positionV relativeFrom="paragraph">
                    <wp:posOffset>41910</wp:posOffset>
                  </wp:positionV>
                  <wp:extent cx="0" cy="971550"/>
                  <wp:effectExtent l="0" t="0" r="0" b="0"/>
                  <wp:wrapNone/>
                  <wp:docPr id="37" name="图片_10"/>
                  <wp:cNvGraphicFramePr/>
                  <a:graphic xmlns:a="http://schemas.openxmlformats.org/drawingml/2006/main">
                    <a:graphicData uri="http://schemas.openxmlformats.org/drawingml/2006/picture">
                      <pic:pic xmlns:pic="http://schemas.openxmlformats.org/drawingml/2006/picture">
                        <pic:nvPicPr>
                          <pic:cNvPr id="37" name="图片_10"/>
                          <pic:cNvPicPr/>
                        </pic:nvPicPr>
                        <pic:blipFill>
                          <a:blip r:embed="rId17"/>
                          <a:stretch>
                            <a:fillRect/>
                          </a:stretch>
                        </pic:blipFill>
                        <pic:spPr>
                          <a:xfrm>
                            <a:off x="0" y="0"/>
                            <a:ext cx="0" cy="971550"/>
                          </a:xfrm>
                          <a:prstGeom prst="rect">
                            <a:avLst/>
                          </a:prstGeom>
                          <a:noFill/>
                          <a:ln>
                            <a:noFill/>
                          </a:ln>
                        </pic:spPr>
                      </pic:pic>
                    </a:graphicData>
                  </a:graphic>
                </wp:anchor>
              </w:drawing>
            </w:r>
          </w:p>
        </w:tc>
      </w:tr>
    </w:tbl>
    <w:p>
      <w:pPr>
        <w:widowControl w:val="0"/>
        <w:spacing w:line="420" w:lineRule="exact"/>
        <w:ind w:firstLine="482" w:firstLineChars="200"/>
        <w:jc w:val="both"/>
        <w:rPr>
          <w:rFonts w:hint="eastAsia" w:ascii="宋体" w:hAnsi="宋体" w:eastAsia="宋体" w:cs="宋体"/>
          <w:b/>
          <w:smallCaps w:val="0"/>
          <w:color w:val="auto"/>
          <w:kern w:val="0"/>
          <w:sz w:val="24"/>
          <w:szCs w:val="24"/>
          <w:lang w:val="en-US" w:eastAsia="zh-CN"/>
        </w:rPr>
      </w:pPr>
    </w:p>
    <w:tbl>
      <w:tblPr>
        <w:tblStyle w:val="97"/>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1"/>
        <w:gridCol w:w="850"/>
        <w:gridCol w:w="4224"/>
        <w:gridCol w:w="614"/>
        <w:gridCol w:w="614"/>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0" w:hRule="atLeast"/>
        </w:trPr>
        <w:tc>
          <w:tcPr>
            <w:tcW w:w="9242" w:type="dxa"/>
            <w:gridSpan w:val="6"/>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母婴室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1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4224"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技术参数、规格、功能</w:t>
            </w:r>
          </w:p>
        </w:tc>
        <w:tc>
          <w:tcPr>
            <w:tcW w:w="614"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614"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2229"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857" w:hRule="atLeast"/>
        </w:trPr>
        <w:tc>
          <w:tcPr>
            <w:tcW w:w="71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多功能婴儿床（睡眠+护理)</w:t>
            </w:r>
          </w:p>
        </w:tc>
        <w:tc>
          <w:tcPr>
            <w:tcW w:w="422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92×50×83cm，空间宽敞，宝宝翻身活动自如，适合0至3岁婴幼儿使用。1.材质:高碳钢,航空铝,亲肤布料，无油漆，零甲醛，无毒无异味，宝宝啃咬无忧。2.承重50kg，结构稳固。3.六档床高随意调，与妈妈休息的床、沙发无缝拼接。4.通过摇杆轻松旋转，睡床与摇篮之间秒切换。5.设计了15°微弧安抚哄睡摇篮模式，哄娃不用抱。6.五十厘米小宽度，搭配静音万向轮，室内室外任意移动，看护更省心。7.搭配护理台,换尿布不累腰。★8.科学设置5°倾斜,防止宝宝反胃呛奶。9.配备细孔遮光蚊帐,呵护宝宝安心睡眠。10.超强收纳功能，宝宝用品一"装"到底，整洁美观。11.可折叠，易收纳，不占地，车后箱也可方便携带。12.一体式布套，轻松便捷拆洗。</w:t>
            </w:r>
          </w:p>
        </w:tc>
        <w:tc>
          <w:tcPr>
            <w:tcW w:w="61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2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136525</wp:posOffset>
                  </wp:positionH>
                  <wp:positionV relativeFrom="paragraph">
                    <wp:posOffset>751840</wp:posOffset>
                  </wp:positionV>
                  <wp:extent cx="947420" cy="924560"/>
                  <wp:effectExtent l="0" t="0" r="5080" b="8890"/>
                  <wp:wrapNone/>
                  <wp:docPr id="45" name="图片_5"/>
                  <wp:cNvGraphicFramePr/>
                  <a:graphic xmlns:a="http://schemas.openxmlformats.org/drawingml/2006/main">
                    <a:graphicData uri="http://schemas.openxmlformats.org/drawingml/2006/picture">
                      <pic:pic xmlns:pic="http://schemas.openxmlformats.org/drawingml/2006/picture">
                        <pic:nvPicPr>
                          <pic:cNvPr id="45" name="图片_5"/>
                          <pic:cNvPicPr/>
                        </pic:nvPicPr>
                        <pic:blipFill>
                          <a:blip r:embed="rId32"/>
                          <a:stretch>
                            <a:fillRect/>
                          </a:stretch>
                        </pic:blipFill>
                        <pic:spPr>
                          <a:xfrm>
                            <a:off x="0" y="0"/>
                            <a:ext cx="947420" cy="92456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 w:hRule="atLeast"/>
        </w:trPr>
        <w:tc>
          <w:tcPr>
            <w:tcW w:w="71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实木长方桌</w:t>
            </w:r>
          </w:p>
        </w:tc>
        <w:tc>
          <w:tcPr>
            <w:tcW w:w="4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尺寸：1200×600×550mm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主材：桌面采用25mm厚橡胶木实木板，甲醛释放量符合GB18580-2017《室内装饰装修材料人造板及其制品中甲醛释放限量》标准要求，桌腿采用φ62mm橡胶木实木料。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水性漆：涂料采用水性漆表面喷涂处理，甲醛，VOC，乙二醇醚及醚酯总和，苯系物总和，烷基酚聚氧乙烯醚总和含量符合GB18581-2020《木器涂料中有害物质限量》标准要求。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五金件：抗盐雾符合GB28007-2011《儿童家具通用技术条件》标准要求。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脚钉：重金属检测符合GB28481-2012《塑料家具中有害物质限量》标准要求。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工艺：表面光洁，无裂缝，无毛刺，无锐边，连接牢固安全,边缘抛圆处理,安全缝隙和孔洞均符合GB28007-2011《儿童家具通用技术条件》标准要求。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特有：桌面板边缘斜切后修大圆角,无框架连接档以增加桌面下活动空间。</w:t>
            </w:r>
          </w:p>
        </w:tc>
        <w:tc>
          <w:tcPr>
            <w:tcW w:w="61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22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234950</wp:posOffset>
                  </wp:positionH>
                  <wp:positionV relativeFrom="paragraph">
                    <wp:posOffset>732790</wp:posOffset>
                  </wp:positionV>
                  <wp:extent cx="814070" cy="1262380"/>
                  <wp:effectExtent l="0" t="0" r="5080" b="13970"/>
                  <wp:wrapNone/>
                  <wp:docPr id="38" name="ID_3A88241AF876460A85E90B91D456572A"/>
                  <wp:cNvGraphicFramePr/>
                  <a:graphic xmlns:a="http://schemas.openxmlformats.org/drawingml/2006/main">
                    <a:graphicData uri="http://schemas.openxmlformats.org/drawingml/2006/picture">
                      <pic:pic xmlns:pic="http://schemas.openxmlformats.org/drawingml/2006/picture">
                        <pic:nvPicPr>
                          <pic:cNvPr id="38" name="ID_3A88241AF876460A85E90B91D456572A"/>
                          <pic:cNvPicPr/>
                        </pic:nvPicPr>
                        <pic:blipFill>
                          <a:blip r:embed="rId33"/>
                          <a:stretch>
                            <a:fillRect/>
                          </a:stretch>
                        </pic:blipFill>
                        <pic:spPr>
                          <a:xfrm>
                            <a:off x="0" y="0"/>
                            <a:ext cx="814070" cy="12623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844550</wp:posOffset>
                  </wp:positionH>
                  <wp:positionV relativeFrom="paragraph">
                    <wp:posOffset>0</wp:posOffset>
                  </wp:positionV>
                  <wp:extent cx="0" cy="1127125"/>
                  <wp:effectExtent l="0" t="0" r="0" b="0"/>
                  <wp:wrapNone/>
                  <wp:docPr id="39" name="图片_3"/>
                  <wp:cNvGraphicFramePr/>
                  <a:graphic xmlns:a="http://schemas.openxmlformats.org/drawingml/2006/main">
                    <a:graphicData uri="http://schemas.openxmlformats.org/drawingml/2006/picture">
                      <pic:pic xmlns:pic="http://schemas.openxmlformats.org/drawingml/2006/picture">
                        <pic:nvPicPr>
                          <pic:cNvPr id="39" name="图片_3"/>
                          <pic:cNvPicPr/>
                        </pic:nvPicPr>
                        <pic:blipFill>
                          <a:blip r:embed="rId34"/>
                          <a:stretch>
                            <a:fillRect/>
                          </a:stretch>
                        </pic:blipFill>
                        <pic:spPr>
                          <a:xfrm>
                            <a:off x="0" y="0"/>
                            <a:ext cx="0" cy="11271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1206500</wp:posOffset>
                  </wp:positionH>
                  <wp:positionV relativeFrom="paragraph">
                    <wp:posOffset>0</wp:posOffset>
                  </wp:positionV>
                  <wp:extent cx="0" cy="970915"/>
                  <wp:effectExtent l="0" t="0" r="0" b="0"/>
                  <wp:wrapNone/>
                  <wp:docPr id="40" name="图片_2"/>
                  <wp:cNvGraphicFramePr/>
                  <a:graphic xmlns:a="http://schemas.openxmlformats.org/drawingml/2006/main">
                    <a:graphicData uri="http://schemas.openxmlformats.org/drawingml/2006/picture">
                      <pic:pic xmlns:pic="http://schemas.openxmlformats.org/drawingml/2006/picture">
                        <pic:nvPicPr>
                          <pic:cNvPr id="40" name="图片_2"/>
                          <pic:cNvPicPr/>
                        </pic:nvPicPr>
                        <pic:blipFill>
                          <a:blip r:embed="rId35"/>
                          <a:stretch>
                            <a:fillRect/>
                          </a:stretch>
                        </pic:blipFill>
                        <pic:spPr>
                          <a:xfrm>
                            <a:off x="0" y="0"/>
                            <a:ext cx="0" cy="97091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0" w:hRule="atLeast"/>
        </w:trPr>
        <w:tc>
          <w:tcPr>
            <w:tcW w:w="71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实木多格柜</w:t>
            </w:r>
          </w:p>
        </w:tc>
        <w:tc>
          <w:tcPr>
            <w:tcW w:w="4224" w:type="dxa"/>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尺寸：836×300×685mm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主材：采用18mm厚橡胶木实木板，甲醛释放量符合GB18580-2017《室内装饰装修材料人造板及其制品中甲醛释放限量》标准要求。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水性漆：涂料采用水性漆表面喷涂处理，甲醛，VOC，乙二醇醚及醚酯总和，苯系物总和，烷基酚聚氧乙烯醚总和含量符合GB18581-2020《木器涂料中有害物质限量》标准要求。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五金件：抗盐雾符合GB28007-2011《儿童家具通用技术条件》标准要求。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脚钉：重金属检测符合GB28481-2012《塑料家具中有害物质限量》标准要求。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工艺：表面光洁，无裂缝，无毛刺，无锐边，连接牢固安全,边缘抛圆处理,安全缝隙和孔洞均符合GB28007-2011《儿童家具通用技术条件》标准要求。</w:t>
            </w:r>
          </w:p>
        </w:tc>
        <w:tc>
          <w:tcPr>
            <w:tcW w:w="61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1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223520</wp:posOffset>
                  </wp:positionH>
                  <wp:positionV relativeFrom="paragraph">
                    <wp:posOffset>894080</wp:posOffset>
                  </wp:positionV>
                  <wp:extent cx="986155" cy="820420"/>
                  <wp:effectExtent l="0" t="0" r="4445" b="17780"/>
                  <wp:wrapNone/>
                  <wp:docPr id="42" name="ID_33263D8DA3054337850EBCF416A5E164"/>
                  <wp:cNvGraphicFramePr/>
                  <a:graphic xmlns:a="http://schemas.openxmlformats.org/drawingml/2006/main">
                    <a:graphicData uri="http://schemas.openxmlformats.org/drawingml/2006/picture">
                      <pic:pic xmlns:pic="http://schemas.openxmlformats.org/drawingml/2006/picture">
                        <pic:nvPicPr>
                          <pic:cNvPr id="42" name="ID_33263D8DA3054337850EBCF416A5E164"/>
                          <pic:cNvPicPr/>
                        </pic:nvPicPr>
                        <pic:blipFill>
                          <a:blip r:embed="rId36"/>
                          <a:stretch>
                            <a:fillRect/>
                          </a:stretch>
                        </pic:blipFill>
                        <pic:spPr>
                          <a:xfrm>
                            <a:off x="0" y="0"/>
                            <a:ext cx="986155" cy="82042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482" w:hRule="atLeast"/>
        </w:trPr>
        <w:tc>
          <w:tcPr>
            <w:tcW w:w="71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微烤一体机</w:t>
            </w:r>
          </w:p>
        </w:tc>
        <w:tc>
          <w:tcPr>
            <w:tcW w:w="422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规格:459×385×281mm,容量20L，功率1150W，二级能效，CCC认证。4档火力调节，立体微烤。做好一份早餐只需要一分钟。智能、小型、速热均匀、自动杀菌。</w:t>
            </w:r>
          </w:p>
        </w:tc>
        <w:tc>
          <w:tcPr>
            <w:tcW w:w="61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298450</wp:posOffset>
                  </wp:positionH>
                  <wp:positionV relativeFrom="paragraph">
                    <wp:posOffset>163195</wp:posOffset>
                  </wp:positionV>
                  <wp:extent cx="934085" cy="624205"/>
                  <wp:effectExtent l="0" t="0" r="18415" b="4445"/>
                  <wp:wrapNone/>
                  <wp:docPr id="41" name="图片_9"/>
                  <wp:cNvGraphicFramePr/>
                  <a:graphic xmlns:a="http://schemas.openxmlformats.org/drawingml/2006/main">
                    <a:graphicData uri="http://schemas.openxmlformats.org/drawingml/2006/picture">
                      <pic:pic xmlns:pic="http://schemas.openxmlformats.org/drawingml/2006/picture">
                        <pic:nvPicPr>
                          <pic:cNvPr id="41" name="图片_9"/>
                          <pic:cNvPicPr/>
                        </pic:nvPicPr>
                        <pic:blipFill>
                          <a:blip r:embed="rId37"/>
                          <a:stretch>
                            <a:fillRect/>
                          </a:stretch>
                        </pic:blipFill>
                        <pic:spPr>
                          <a:xfrm>
                            <a:off x="0" y="0"/>
                            <a:ext cx="934085" cy="62420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9" w:hRule="atLeast"/>
        </w:trPr>
        <w:tc>
          <w:tcPr>
            <w:tcW w:w="71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暖奶器（热奶+消毒）</w:t>
            </w:r>
          </w:p>
        </w:tc>
        <w:tc>
          <w:tcPr>
            <w:tcW w:w="422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368×180×350mm。暖奶或消毒与烧水可同时工作，互不干扰。水浴40°适温暖奶，还原母乳，完成后24小时保温，随取随喝。高温100°蒸汽消毒，给奶嘴、奶瓶等物件杀菌消毒。防干烧自动断电，守护全家安全。水烧开后可保持恒温，昼夜随时温水冲泡奶粉</w:t>
            </w:r>
          </w:p>
        </w:tc>
        <w:tc>
          <w:tcPr>
            <w:tcW w:w="61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368300</wp:posOffset>
                  </wp:positionH>
                  <wp:positionV relativeFrom="paragraph">
                    <wp:posOffset>370205</wp:posOffset>
                  </wp:positionV>
                  <wp:extent cx="824865" cy="648970"/>
                  <wp:effectExtent l="0" t="0" r="13335" b="17780"/>
                  <wp:wrapNone/>
                  <wp:docPr id="44" name="图片_6"/>
                  <wp:cNvGraphicFramePr/>
                  <a:graphic xmlns:a="http://schemas.openxmlformats.org/drawingml/2006/main">
                    <a:graphicData uri="http://schemas.openxmlformats.org/drawingml/2006/picture">
                      <pic:pic xmlns:pic="http://schemas.openxmlformats.org/drawingml/2006/picture">
                        <pic:nvPicPr>
                          <pic:cNvPr id="44" name="图片_6"/>
                          <pic:cNvPicPr/>
                        </pic:nvPicPr>
                        <pic:blipFill>
                          <a:blip r:embed="rId38"/>
                          <a:stretch>
                            <a:fillRect/>
                          </a:stretch>
                        </pic:blipFill>
                        <pic:spPr>
                          <a:xfrm>
                            <a:off x="0" y="0"/>
                            <a:ext cx="824865" cy="64897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2" w:hRule="atLeast"/>
        </w:trPr>
        <w:tc>
          <w:tcPr>
            <w:tcW w:w="71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养生壶</w:t>
            </w:r>
          </w:p>
        </w:tc>
        <w:tc>
          <w:tcPr>
            <w:tcW w:w="422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规格：245×220×274mm，额定功率1200W，2升大容量，可24小时预约+保温。加热均匀，高温熬煮，采用慧瞳遥感技术实现持续沸腾而不溢，充分炖煮，身萃营养，营养析出效率更高</w:t>
            </w:r>
          </w:p>
        </w:tc>
        <w:tc>
          <w:tcPr>
            <w:tcW w:w="61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2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406400</wp:posOffset>
                  </wp:positionH>
                  <wp:positionV relativeFrom="paragraph">
                    <wp:posOffset>133350</wp:posOffset>
                  </wp:positionV>
                  <wp:extent cx="518160" cy="631825"/>
                  <wp:effectExtent l="0" t="0" r="15240" b="15875"/>
                  <wp:wrapNone/>
                  <wp:docPr id="43" name="图片_8"/>
                  <wp:cNvGraphicFramePr/>
                  <a:graphic xmlns:a="http://schemas.openxmlformats.org/drawingml/2006/main">
                    <a:graphicData uri="http://schemas.openxmlformats.org/drawingml/2006/picture">
                      <pic:pic xmlns:pic="http://schemas.openxmlformats.org/drawingml/2006/picture">
                        <pic:nvPicPr>
                          <pic:cNvPr id="43" name="图片_8"/>
                          <pic:cNvPicPr/>
                        </pic:nvPicPr>
                        <pic:blipFill>
                          <a:blip r:embed="rId39"/>
                          <a:stretch>
                            <a:fillRect/>
                          </a:stretch>
                        </pic:blipFill>
                        <pic:spPr>
                          <a:xfrm>
                            <a:off x="0" y="0"/>
                            <a:ext cx="518160" cy="631825"/>
                          </a:xfrm>
                          <a:prstGeom prst="rect">
                            <a:avLst/>
                          </a:prstGeom>
                          <a:noFill/>
                          <a:ln>
                            <a:noFill/>
                          </a:ln>
                        </pic:spPr>
                      </pic:pic>
                    </a:graphicData>
                  </a:graphic>
                </wp:anchor>
              </w:drawing>
            </w:r>
          </w:p>
        </w:tc>
      </w:tr>
    </w:tbl>
    <w:p>
      <w:pPr>
        <w:widowControl w:val="0"/>
        <w:spacing w:line="420" w:lineRule="exact"/>
        <w:ind w:firstLine="482" w:firstLineChars="200"/>
        <w:jc w:val="both"/>
        <w:rPr>
          <w:rFonts w:hint="eastAsia" w:ascii="宋体" w:hAnsi="宋体" w:eastAsia="宋体" w:cs="宋体"/>
          <w:b/>
          <w:smallCaps w:val="0"/>
          <w:color w:val="auto"/>
          <w:kern w:val="0"/>
          <w:sz w:val="24"/>
          <w:szCs w:val="24"/>
          <w:lang w:val="en-US" w:eastAsia="zh-CN"/>
        </w:rPr>
      </w:pPr>
    </w:p>
    <w:tbl>
      <w:tblPr>
        <w:tblStyle w:val="97"/>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61"/>
        <w:gridCol w:w="1318"/>
        <w:gridCol w:w="5403"/>
        <w:gridCol w:w="776"/>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19" w:hRule="atLeast"/>
        </w:trPr>
        <w:tc>
          <w:tcPr>
            <w:tcW w:w="9242"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32"/>
                <w:szCs w:val="32"/>
                <w:u w:val="none"/>
                <w:lang w:val="en-US" w:eastAsia="zh-CN" w:bidi="ar"/>
              </w:rPr>
              <w:t>校医室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编号</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540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技术参数、规格、功能</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检查床</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平板诊查床， 规格尺寸：1880mm*600mm*670mm，床框采用40mm*20mm*1.2mm厚的圆形管焊接；床腿采用圆形管焊接；床面采用厚的木板包覆以海绵和人造革制成。</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观察床</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铁架床头，平板病床，规格1950*900*500mm, 含床垫</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0"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电子体重秤</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1、最大秤量：200kg。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2、最小秤量：2kg。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3、分度值：100g。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4、显示：LCD（带背光）。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5、身高计测量范围：70cm～190cm。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分度值：0.5cm。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6、工作环境：相对温度5℃～40℃、相对湿度≤90%RH。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储存环境：相对温度-25℃～50℃、相对湿度≤90%RH。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7、电源：交直流两用，4节2号/1.5V。</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2"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立式消毒机</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部专用公共消毒机，红外自动感应喷雾消毒，无接触，避免交叉感染，全封闭管路，定制型电磁水泵，准确控制流量，定制不锈钢微孔喷头，保证雾化效果，手部免洗，带不锈钢支架，支架升降高度100-150cm，底座直径32cm。6V电源，可插电源或者装电池使用。</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消毒机专用免洗消毒液</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用于手及其他皮肤部位的杀菌消毒。将本品原液均匀喷于皮肤表面至湿润，揉搓至干爽，可有效杀灭上述致病菌。 本品经国家检测机构检测：入口无毒，不含酒精，无刺激，无残留。5L/桶，4桶/箱。</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视力表灯箱</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标准对数LED5m ;视力表灯箱采用LED光源及导光板， 三划等长的正方形“E”字视标，光照度应达到200~700Lx，铝合金喷漆外框，规格：900*300*10mm。 电压：220V/50hz,输入功率：≤60VA+15%，带红绿视标，三合一含附件，分离式安全电源线。</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140"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落地蛇形灯</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不锈钢，手术反光灯，升降杆调整范围：1380㎜—1730㎜;电源电压： 220V±22V 50Hz±1 Hz;输入功率： ≤200VA;环境温度：5℃--40℃;湿度：      ≤80%;大气压力：86Kpa--106 Kpa;使用灯泡功率： ≤200W;电源线长度：1650mm.</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00"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额戴反光镜</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直径80mm,五官科反光器具</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测径规</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钢制，340mm×75mm×2mm，外径测量范围：0-500mm，内径测量范围：0-250mm</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担架</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折叠式，2010×510×160mm 折叠式担架承受最大静载荷150Kg的力后，担架杆不允许产生永久性变形，帆布面、帆布缝制处及担架脚无开裂、破损现象；</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0"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皮脂厚度测量仪</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皮脂厚度计刻度盘范围0-60mm，分度值0.5mm，指针指示，正常指示为零，可调节。接点间压力调节到10克/平方毫米 。精致铝盒包装，箱体300*120*65mm，产品全长270mm，把柄长110mm厚20mm，,上下臂长150mm厚4mm。</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身高坐高计</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机械式 身高量程60～200cm，坐高量程40～120cm，分度值1mm，误差±2mm，重复性±2mm；底板：398*386*15mm、 坐板：390*290*15mm ；显示：刻度尺。刻度尺使用灵无分段、接活，刻度计不锈钢或铝合金制，刻度计缝。</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急救箱</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纱布块，镊子，剪刀，绷带等</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00"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外伤处理器械</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脱脂纱布1包，药棉1包，绷带1卷，镊子1把，剪刀1把等等</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卫生箱</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铝合金359*190*210mm ，内有隔层，插袋，可手提或肩背。  </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便携式铝合金箱</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铝合金355*250*180mm ，内有2个隔层，12格分栏，适合存放多种物品及器材</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冷藏箱</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12L冷藏箱，配置冰排。产品外壳为聚乙烯，内胆为聚丙烯，一次性注塑成形，聚氨酯无氟发泡，绝缘层密度：≥40kg/m3，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绝缘层厚度：≥20mm。</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00"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远视力表</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视力检测用 400*660mm ，纸质</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00"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近视力表</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视力检测用 210*770mm ，纸质</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胸围尺</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150cm ，测量范围：0-150cm 材质：ABS。．PVC塑料质，顶端粘附金属薄片；2.双面刻度，分度值≤1mm，有效量程：≥1500mm。</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教室卫生测量尺</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材质：木质 ， 规格：三折</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屏风</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移动式。180*50cm * 4片，屏风架为2.5cm以上不锈钢材料焊制而成，优质屏风布，底部三组滑轮脚，更加稳定.</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00"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污物桶</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不锈钢脚踏翻盖式，  8L, 20L, 各1只为一套</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废弃物桶</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黄色塑料,医疗用脚踏式,易清洗，坚实耐用，不易扁形，适用于医院，诊所，病房等，15L,30L，各1只为一套。  15L配套手提背心式垃圾袋33cm（10*25)*52cm*100条/扎，   30L配套手提背心式垃圾袋48（12.5*2）*70cm*50条/扎。</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00"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治疗盘</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不锈钢治疗盘20*30cm，2小杯，2大杯</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弯盘</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标配，不锈钢腰型盘  大、中、小号为一套， 304材质不锈钢。</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敷料缸</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不锈钢8cm，9cm 各一只为一套，304材质不锈钢。</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00"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棉球缸</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不锈钢10cm，12cm 各一只为一套，304材质不锈钢。</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器械缸</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不锈钢，折叠式盖子.小号，中号， 大号各一只为一套。304材质不锈钢。</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贮槽</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不锈钢储物槽，17cm，20cm各一只为一套。</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方盘</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不锈钢31*24cm，20*30cm,各一只/套。304材质不锈钢。</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带盖方盘</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不锈钢23*15cm,20*30cm，各一只/套。304材质不锈钢。</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12.5-22cm ， 12把/套</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镊子</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12.5-25cm ， 6种/套</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859"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叩诊锤</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塑柄T型圆头叩诊锤，叩诊锤由锤柄，锤头，锤头座和柔性击打部构成。                                                                        前端为橡胶锤头，后端为塑料圆柱手柄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规格：长不小于200mm，锤柄直径不小于18mm。</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00"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止血带</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卡扣式</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840"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五官检查器</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窥耳器(直径2,3,4毫米) ×4     窥鼻器(直径8) ×1  鼻扩张器 ×1     喉镜杆 ×1     反光喉镜(Φ15/Φ18/Φ21) ×3  塑料压舌板 ×1     电筒手柄 ×1    备用电珠（2.5V/0.3A）  ×2  电源：1.5V×2 “C”型电池（2号）</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00"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电子握力计</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电子式，材质：塑料，电子；测量范围：1-120 KGF；分辨率：0.1 KGF；测量精度：0.2%FS；电源电压：6.5-12V（电池），标准9V。</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2"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照度计</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最大测量：100000Lux，准确度高反应速度快，读值锁定功能，可锁定测量值，符号及单位显示，读取方便，自动归零，测量范围：1Lux-100000 Lux，分辨率：1Lux，显示：31/2位液晶显示器，显示量大读数1999，量程档位：2000 Lux档、20000 Lux、100000 Lux，Lux档显示之读数需要×10才为正确的照度值，100000 Lux档显示之读数需要×100才为正确的照度值，准确度：±（4%rdg+2d）0-19999Lux，±（5%rdg+2d）20000-100000Lux，(以色温2856K标准面灯校正)，重复测试：±2%，温度特性：±0.1d/℃,取样率：2.0次/秒，感光体：光二极管附滤光镜片，守载显示：2000 Lux，20000 Lux档过载显示“1”</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氧气袋</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42L氧气包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异物针</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不锈钢，直，弯各一支</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放大镜</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手持式，金属外圈，5倍放大</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00"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白大衣</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涤平（抗菌型），易洗耐磨，抗皱不起球，透气性好。</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工作帽</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涤卡面料/涤平</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夹板</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木质夹板，每组三套</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拐杖</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铝合金材质，可伸缩</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一次性手套</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PE,一次性使用，100只/包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橡胶检查手套</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一次性橡胶检查手套</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防护面屏</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一次性隔离面罩，尺寸：32*22cm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防飞沫、飞溅、油污，面部防护</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护目镜</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一次性护目镜，由头箍、镜片组成、镜片尺寸：不小于105*50mm、耐热性能好，防高速粒子冲击</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00"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酒精免洗手液</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消毒用</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热水袋</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大号橡胶注水暖水袋</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00"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止血带</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一次性使用捆扎止血带，点连式，50条/盒，用于静脉输液或抽血时暂时阻断静脉回流。</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器械柜</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规格：宽850*厚390*高1800mm，颜色为普通亚光灰色，采用GBQ235A 0.5mm以上，高硬度冷轧钢板厚钢板冲压成型，整体高精度焊接技术，表面经脱脂、酸洗、磷化、静电喷涂，流水线高温条件处理，结实耐用，防腐蚀。整体分为上下两部分，上部镶装玻璃门，上下部分均带可调整隔板。</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0" w:hRule="atLeast"/>
        </w:trPr>
        <w:tc>
          <w:tcPr>
            <w:tcW w:w="96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31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药品柜</w:t>
            </w:r>
          </w:p>
        </w:tc>
        <w:tc>
          <w:tcPr>
            <w:tcW w:w="54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尺寸：850*500*1800mm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柜体采用优质冷轧钢板材制作，经激光切割、折压、焊接成型，经酸洗磷化、静电喷塑处理加工而成；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座面采用优质板材，牢固可靠，美观大方，耐久防锈；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分别采用移门式或开门式设计，以适应不同客户要求，配备抽屉与书写板选项；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中间带有2个抽屉，抽屉滑道采用三节静音式滑轮，抽拉灵活，无噪音。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采用整体一体化设计，使柜体更干净，不易产生细菌，上部玻璃门可以更加耐久使用，均配备固定三层隔板；</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bl>
    <w:p>
      <w:pPr>
        <w:widowControl w:val="0"/>
        <w:spacing w:line="420" w:lineRule="exact"/>
        <w:ind w:firstLine="482" w:firstLineChars="200"/>
        <w:jc w:val="both"/>
        <w:rPr>
          <w:rFonts w:hint="eastAsia" w:ascii="宋体" w:hAnsi="宋体" w:eastAsia="宋体" w:cs="宋体"/>
          <w:b/>
          <w:smallCaps w:val="0"/>
          <w:color w:val="auto"/>
          <w:kern w:val="0"/>
          <w:sz w:val="24"/>
          <w:szCs w:val="24"/>
          <w:highlight w:val="none"/>
          <w:lang w:val="en-US" w:eastAsia="zh-CN"/>
        </w:rPr>
      </w:pPr>
      <w:r>
        <w:rPr>
          <w:rFonts w:hint="eastAsia" w:ascii="宋体" w:hAnsi="宋体" w:eastAsia="宋体" w:cs="宋体"/>
          <w:b/>
          <w:smallCaps w:val="0"/>
          <w:color w:val="auto"/>
          <w:kern w:val="0"/>
          <w:sz w:val="24"/>
          <w:szCs w:val="24"/>
          <w:lang w:val="en-US" w:eastAsia="zh-CN"/>
        </w:rPr>
        <w:t>注：1、</w:t>
      </w:r>
      <w:r>
        <w:rPr>
          <w:rFonts w:hint="eastAsia" w:ascii="宋体" w:hAnsi="宋体" w:eastAsia="宋体" w:cs="宋体"/>
          <w:b/>
          <w:smallCaps w:val="0"/>
          <w:color w:val="auto"/>
          <w:kern w:val="0"/>
          <w:sz w:val="24"/>
          <w:szCs w:val="24"/>
          <w:highlight w:val="none"/>
          <w:lang w:val="en-US" w:eastAsia="zh-CN"/>
        </w:rPr>
        <w:t>本项目所涉及的数量，与采购内容数量不一致时，按其中标单价和实际使用量结算。税费、人工费、安装费等一切与之相关的所有费用都需包含在报价中。</w:t>
      </w:r>
    </w:p>
    <w:p>
      <w:pPr>
        <w:pStyle w:val="6"/>
        <w:keepNext w:val="0"/>
        <w:keepLines w:val="0"/>
        <w:pageBreakBefore w:val="0"/>
        <w:widowControl w:val="0"/>
        <w:kinsoku/>
        <w:wordWrap/>
        <w:overflowPunct/>
        <w:topLinePunct w:val="0"/>
        <w:autoSpaceDE/>
        <w:autoSpaceDN/>
        <w:bidi w:val="0"/>
        <w:adjustRightInd/>
        <w:snapToGrid/>
        <w:spacing w:before="0" w:after="0" w:line="420" w:lineRule="exact"/>
        <w:ind w:firstLine="964" w:firstLineChars="400"/>
        <w:textAlignment w:val="auto"/>
        <w:outlineLvl w:val="3"/>
        <w:rPr>
          <w:rFonts w:hint="default" w:ascii="宋体" w:hAnsi="宋体" w:eastAsia="宋体" w:cs="宋体"/>
          <w:b/>
          <w:smallCaps w:val="0"/>
          <w:color w:val="auto"/>
          <w:kern w:val="0"/>
          <w:sz w:val="24"/>
          <w:szCs w:val="24"/>
          <w:highlight w:val="none"/>
          <w:lang w:val="en-US" w:eastAsia="zh-CN" w:bidi="ar-SA"/>
        </w:rPr>
      </w:pPr>
      <w:r>
        <w:rPr>
          <w:rFonts w:hint="eastAsia" w:ascii="宋体" w:hAnsi="宋体" w:eastAsia="宋体" w:cs="宋体"/>
          <w:b/>
          <w:smallCaps w:val="0"/>
          <w:color w:val="FF0000"/>
          <w:kern w:val="0"/>
          <w:sz w:val="24"/>
          <w:szCs w:val="24"/>
          <w:highlight w:val="none"/>
          <w:lang w:val="en-US" w:eastAsia="zh-CN" w:bidi="ar-SA"/>
        </w:rPr>
        <w:t>2、以上参数规格均±5mm 。</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0" w:leftChars="0" w:firstLine="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lang w:val="en-US" w:eastAsia="zh-CN" w:bidi="ar-SA"/>
        </w:rPr>
        <w:t>三</w:t>
      </w:r>
      <w:r>
        <w:rPr>
          <w:rFonts w:hint="eastAsia" w:ascii="宋体" w:hAnsi="宋体" w:eastAsia="宋体" w:cs="宋体"/>
          <w:b/>
          <w:bCs/>
          <w:color w:val="auto"/>
          <w:kern w:val="2"/>
          <w:sz w:val="24"/>
          <w:szCs w:val="24"/>
          <w:highlight w:val="none"/>
          <w:lang w:val="en-US" w:eastAsia="zh-CN" w:bidi="ar-SA"/>
        </w:rPr>
        <w:t>、样品要求：</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0" w:leftChars="0" w:firstLine="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1.</w:t>
      </w:r>
      <w:r>
        <w:rPr>
          <w:rFonts w:hint="eastAsia" w:ascii="宋体" w:hAnsi="宋体" w:eastAsia="宋体" w:cs="宋体"/>
          <w:b/>
          <w:bCs/>
          <w:color w:val="auto"/>
          <w:kern w:val="2"/>
          <w:sz w:val="24"/>
          <w:szCs w:val="24"/>
          <w:highlight w:val="none"/>
          <w:lang w:val="en-US" w:eastAsia="zh-CN" w:bidi="ar-SA"/>
        </w:rPr>
        <w:t xml:space="preserve">投标人需在样品上标明样品名称等相关信息，但不能标明单位名称。 </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0" w:leftChars="0" w:firstLine="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2.未中标人的样品在投标结束后由投标人自行取回，中标人样品由采购人封存后用于验收检查用。</w:t>
      </w:r>
    </w:p>
    <w:p>
      <w:pPr>
        <w:keepNext w:val="0"/>
        <w:keepLines w:val="0"/>
        <w:widowControl/>
        <w:suppressLineNumbers w:val="0"/>
        <w:spacing w:before="0" w:beforeAutospacing="0" w:after="0" w:afterAutospacing="0"/>
        <w:ind w:left="0" w:right="0" w:firstLine="482" w:firstLineChars="200"/>
        <w:jc w:val="both"/>
        <w:rPr>
          <w:color w:val="FF0000"/>
          <w:highlight w:val="none"/>
          <w:lang w:val="en-US"/>
        </w:rPr>
      </w:pPr>
      <w:r>
        <w:rPr>
          <w:rFonts w:hint="eastAsia" w:ascii="宋体" w:hAnsi="宋体" w:eastAsia="宋体" w:cs="宋体"/>
          <w:b/>
          <w:bCs/>
          <w:color w:val="auto"/>
          <w:kern w:val="2"/>
          <w:sz w:val="24"/>
          <w:szCs w:val="24"/>
          <w:highlight w:val="none"/>
          <w:lang w:val="en-US" w:eastAsia="zh-CN" w:bidi="ar-SA"/>
        </w:rPr>
        <w:t>3.</w:t>
      </w:r>
      <w:r>
        <w:rPr>
          <w:rFonts w:hint="eastAsia" w:ascii="宋体" w:hAnsi="宋体" w:eastAsia="宋体" w:cs="宋体"/>
          <w:b/>
          <w:bCs/>
          <w:i w:val="0"/>
          <w:iCs w:val="0"/>
          <w:color w:val="FF0000"/>
          <w:kern w:val="2"/>
          <w:sz w:val="24"/>
          <w:szCs w:val="24"/>
          <w:highlight w:val="none"/>
          <w:lang w:val="en-US" w:eastAsia="zh-CN" w:bidi="ar-SA"/>
        </w:rPr>
        <w:t>样品提交时间：样品应于投标截止时间当天</w:t>
      </w:r>
      <w:r>
        <w:rPr>
          <w:rFonts w:hint="eastAsia" w:ascii="宋体" w:hAnsi="宋体" w:cs="宋体"/>
          <w:b/>
          <w:bCs/>
          <w:i w:val="0"/>
          <w:iCs w:val="0"/>
          <w:color w:val="FF0000"/>
          <w:kern w:val="2"/>
          <w:sz w:val="24"/>
          <w:szCs w:val="24"/>
          <w:highlight w:val="none"/>
          <w:lang w:val="en-US" w:eastAsia="zh-CN" w:bidi="ar-SA"/>
        </w:rPr>
        <w:t>13</w:t>
      </w:r>
      <w:r>
        <w:rPr>
          <w:rFonts w:hint="eastAsia" w:ascii="宋体" w:hAnsi="宋体" w:eastAsia="宋体" w:cs="宋体"/>
          <w:b/>
          <w:bCs/>
          <w:i w:val="0"/>
          <w:iCs w:val="0"/>
          <w:color w:val="FF0000"/>
          <w:kern w:val="2"/>
          <w:sz w:val="24"/>
          <w:szCs w:val="24"/>
          <w:highlight w:val="none"/>
          <w:lang w:val="en-US" w:eastAsia="zh-CN" w:bidi="ar-SA"/>
        </w:rPr>
        <w:t>时</w:t>
      </w:r>
      <w:r>
        <w:rPr>
          <w:rFonts w:hint="eastAsia" w:ascii="宋体" w:hAnsi="宋体" w:cs="宋体"/>
          <w:b/>
          <w:bCs/>
          <w:i w:val="0"/>
          <w:iCs w:val="0"/>
          <w:color w:val="FF0000"/>
          <w:kern w:val="2"/>
          <w:sz w:val="24"/>
          <w:szCs w:val="24"/>
          <w:highlight w:val="none"/>
          <w:lang w:val="en-US" w:eastAsia="zh-CN" w:bidi="ar-SA"/>
        </w:rPr>
        <w:t>30</w:t>
      </w:r>
      <w:r>
        <w:rPr>
          <w:rFonts w:hint="eastAsia" w:ascii="宋体" w:hAnsi="宋体" w:eastAsia="宋体" w:cs="宋体"/>
          <w:b/>
          <w:bCs/>
          <w:i w:val="0"/>
          <w:iCs w:val="0"/>
          <w:color w:val="FF0000"/>
          <w:kern w:val="2"/>
          <w:sz w:val="24"/>
          <w:szCs w:val="24"/>
          <w:highlight w:val="none"/>
          <w:lang w:val="en-US" w:eastAsia="zh-CN" w:bidi="ar-SA"/>
        </w:rPr>
        <w:t>分至</w:t>
      </w:r>
      <w:r>
        <w:rPr>
          <w:rFonts w:hint="eastAsia" w:ascii="宋体" w:hAnsi="宋体" w:cs="宋体"/>
          <w:b/>
          <w:bCs/>
          <w:i w:val="0"/>
          <w:iCs w:val="0"/>
          <w:color w:val="FF0000"/>
          <w:kern w:val="2"/>
          <w:sz w:val="24"/>
          <w:szCs w:val="24"/>
          <w:highlight w:val="none"/>
          <w:lang w:val="en-US" w:eastAsia="zh-CN" w:bidi="ar-SA"/>
        </w:rPr>
        <w:t>14</w:t>
      </w:r>
      <w:r>
        <w:rPr>
          <w:rFonts w:hint="eastAsia" w:ascii="宋体" w:hAnsi="宋体" w:eastAsia="宋体" w:cs="宋体"/>
          <w:b/>
          <w:bCs/>
          <w:i w:val="0"/>
          <w:iCs w:val="0"/>
          <w:color w:val="FF0000"/>
          <w:kern w:val="2"/>
          <w:sz w:val="24"/>
          <w:szCs w:val="24"/>
          <w:highlight w:val="none"/>
          <w:lang w:val="en-US" w:eastAsia="zh-CN" w:bidi="ar-SA"/>
        </w:rPr>
        <w:t>时</w:t>
      </w:r>
      <w:r>
        <w:rPr>
          <w:rFonts w:hint="eastAsia" w:ascii="宋体" w:hAnsi="宋体" w:cs="宋体"/>
          <w:b/>
          <w:bCs/>
          <w:i w:val="0"/>
          <w:iCs w:val="0"/>
          <w:color w:val="FF0000"/>
          <w:kern w:val="2"/>
          <w:sz w:val="24"/>
          <w:szCs w:val="24"/>
          <w:highlight w:val="none"/>
          <w:lang w:val="en-US" w:eastAsia="zh-CN" w:bidi="ar-SA"/>
        </w:rPr>
        <w:t>30</w:t>
      </w:r>
      <w:r>
        <w:rPr>
          <w:rFonts w:hint="eastAsia" w:ascii="宋体" w:hAnsi="宋体" w:eastAsia="宋体" w:cs="宋体"/>
          <w:b/>
          <w:bCs/>
          <w:i w:val="0"/>
          <w:iCs w:val="0"/>
          <w:color w:val="FF0000"/>
          <w:kern w:val="2"/>
          <w:sz w:val="24"/>
          <w:szCs w:val="24"/>
          <w:highlight w:val="none"/>
          <w:lang w:val="en-US" w:eastAsia="zh-CN" w:bidi="ar-SA"/>
        </w:rPr>
        <w:t>分送至衢州市柯城区荷五路468号并安装完毕，规定时间之外送达的样品不予接收，样品接收联系人：</w:t>
      </w:r>
      <w:r>
        <w:rPr>
          <w:rFonts w:hint="eastAsia" w:ascii="宋体" w:hAnsi="宋体" w:cs="宋体"/>
          <w:b/>
          <w:bCs/>
          <w:i w:val="0"/>
          <w:iCs w:val="0"/>
          <w:color w:val="FF0000"/>
          <w:kern w:val="2"/>
          <w:sz w:val="24"/>
          <w:szCs w:val="24"/>
          <w:highlight w:val="none"/>
          <w:lang w:val="en-US" w:eastAsia="zh-CN" w:bidi="ar-SA"/>
        </w:rPr>
        <w:t>祝女士</w:t>
      </w:r>
      <w:r>
        <w:rPr>
          <w:rFonts w:hint="eastAsia" w:ascii="宋体" w:hAnsi="宋体" w:eastAsia="宋体" w:cs="宋体"/>
          <w:b/>
          <w:bCs/>
          <w:i w:val="0"/>
          <w:iCs w:val="0"/>
          <w:color w:val="FF0000"/>
          <w:kern w:val="2"/>
          <w:sz w:val="24"/>
          <w:szCs w:val="24"/>
          <w:highlight w:val="none"/>
          <w:lang w:val="en-US" w:eastAsia="zh-CN" w:bidi="ar-SA"/>
        </w:rPr>
        <w:t>，电话：0570-8880182 。</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0" w:leftChars="0" w:firstLine="420" w:firstLineChars="0"/>
        <w:textAlignment w:val="auto"/>
        <w:rPr>
          <w:rFonts w:hint="eastAsia" w:ascii="宋体" w:hAnsi="宋体" w:eastAsia="宋体" w:cs="宋体"/>
          <w:b/>
          <w:bCs/>
          <w:i/>
          <w:iCs/>
          <w:color w:val="FF0000"/>
          <w:kern w:val="2"/>
          <w:sz w:val="24"/>
          <w:szCs w:val="24"/>
          <w:highlight w:val="none"/>
          <w:lang w:val="en-US" w:eastAsia="zh-CN" w:bidi="ar-SA"/>
        </w:rPr>
      </w:pPr>
      <w:r>
        <w:rPr>
          <w:rFonts w:hint="eastAsia" w:ascii="宋体" w:hAnsi="宋体" w:cs="宋体"/>
          <w:b/>
          <w:bCs/>
          <w:i/>
          <w:iCs/>
          <w:color w:val="FF0000"/>
          <w:kern w:val="2"/>
          <w:sz w:val="24"/>
          <w:szCs w:val="24"/>
          <w:highlight w:val="none"/>
          <w:lang w:val="en-US" w:eastAsia="zh-CN" w:bidi="ar-SA"/>
        </w:rPr>
        <w:t>特别说明：</w:t>
      </w:r>
      <w:r>
        <w:rPr>
          <w:rFonts w:hint="eastAsia" w:ascii="宋体" w:hAnsi="宋体" w:eastAsia="宋体" w:cs="宋体"/>
          <w:b/>
          <w:bCs/>
          <w:i/>
          <w:iCs/>
          <w:color w:val="FF0000"/>
          <w:kern w:val="2"/>
          <w:sz w:val="24"/>
          <w:szCs w:val="24"/>
          <w:highlight w:val="none"/>
          <w:lang w:val="en-US" w:eastAsia="zh-CN" w:bidi="ar-SA"/>
        </w:rPr>
        <w:t>未提供样品（包括样品数量不全、样品未在规定时间内送达）的样品分作零分处理。</w:t>
      </w:r>
    </w:p>
    <w:p>
      <w:pPr>
        <w:pStyle w:val="47"/>
        <w:spacing w:before="156" w:after="156" w:line="360" w:lineRule="auto"/>
        <w:ind w:firstLine="0" w:firstLineChars="0"/>
        <w:jc w:val="center"/>
        <w:rPr>
          <w:rFonts w:hint="eastAsia" w:hAnsi="宋体" w:eastAsia="宋体"/>
          <w:b/>
          <w:color w:val="FF0000"/>
          <w:sz w:val="36"/>
          <w:szCs w:val="36"/>
          <w:lang w:val="en-US" w:eastAsia="zh-CN"/>
        </w:rPr>
      </w:pPr>
      <w:r>
        <w:rPr>
          <w:rFonts w:hint="eastAsia" w:hAnsi="宋体" w:eastAsia="宋体"/>
          <w:b/>
          <w:color w:val="FF0000"/>
          <w:sz w:val="36"/>
          <w:szCs w:val="36"/>
          <w:lang w:val="en-US" w:eastAsia="zh-CN"/>
        </w:rPr>
        <w:t>样品清单</w:t>
      </w:r>
    </w:p>
    <w:tbl>
      <w:tblPr>
        <w:tblStyle w:val="98"/>
        <w:tblW w:w="87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2927"/>
        <w:gridCol w:w="3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2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vertAlign w:val="baseline"/>
                <w:lang w:val="en-US" w:eastAsia="zh-CN"/>
              </w:rPr>
            </w:pPr>
            <w:r>
              <w:rPr>
                <w:rFonts w:hint="eastAsia" w:ascii="宋体" w:hAnsi="宋体" w:eastAsia="宋体" w:cs="宋体"/>
                <w:color w:val="FF0000"/>
                <w:sz w:val="24"/>
                <w:szCs w:val="24"/>
                <w:vertAlign w:val="baseline"/>
                <w:lang w:val="en-US" w:eastAsia="zh-CN"/>
              </w:rPr>
              <w:t>名称</w:t>
            </w:r>
          </w:p>
        </w:tc>
        <w:tc>
          <w:tcPr>
            <w:tcW w:w="292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vertAlign w:val="baseline"/>
                <w:lang w:val="en-US" w:eastAsia="zh-CN"/>
              </w:rPr>
            </w:pPr>
            <w:r>
              <w:rPr>
                <w:rFonts w:hint="eastAsia" w:ascii="宋体" w:hAnsi="宋体" w:eastAsia="宋体" w:cs="宋体"/>
                <w:color w:val="FF0000"/>
                <w:sz w:val="24"/>
                <w:szCs w:val="24"/>
                <w:vertAlign w:val="baseline"/>
                <w:lang w:val="en-US" w:eastAsia="zh-CN"/>
              </w:rPr>
              <w:t>规格</w:t>
            </w:r>
          </w:p>
        </w:tc>
        <w:tc>
          <w:tcPr>
            <w:tcW w:w="389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vertAlign w:val="baseline"/>
                <w:lang w:val="en-US" w:eastAsia="zh-CN"/>
              </w:rPr>
            </w:pPr>
            <w:r>
              <w:rPr>
                <w:rFonts w:hint="eastAsia" w:ascii="宋体" w:hAnsi="宋体" w:eastAsia="宋体" w:cs="宋体"/>
                <w:color w:val="FF0000"/>
                <w:sz w:val="24"/>
                <w:szCs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92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vertAlign w:val="baseline"/>
                <w:lang w:val="en-US" w:eastAsia="zh-CN"/>
              </w:rPr>
            </w:pPr>
            <w:r>
              <w:rPr>
                <w:rFonts w:hint="eastAsia" w:ascii="宋体" w:hAnsi="宋体" w:eastAsia="宋体" w:cs="宋体"/>
                <w:color w:val="FF0000"/>
                <w:sz w:val="24"/>
                <w:szCs w:val="24"/>
                <w:highlight w:val="none"/>
                <w:lang w:val="en-US" w:eastAsia="zh-CN"/>
              </w:rPr>
              <w:t>仪器柜</w:t>
            </w:r>
            <w:r>
              <w:rPr>
                <w:rFonts w:hint="eastAsia" w:ascii="宋体" w:hAnsi="宋体" w:cs="宋体"/>
                <w:color w:val="FF0000"/>
                <w:sz w:val="24"/>
                <w:szCs w:val="24"/>
                <w:highlight w:val="none"/>
                <w:lang w:val="en-US" w:eastAsia="zh-CN"/>
              </w:rPr>
              <w:t>A</w:t>
            </w:r>
          </w:p>
        </w:tc>
        <w:tc>
          <w:tcPr>
            <w:tcW w:w="292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vertAlign w:val="baseline"/>
                <w:lang w:val="en-US" w:eastAsia="zh-CN"/>
              </w:rPr>
            </w:pPr>
            <w:r>
              <w:rPr>
                <w:rFonts w:hint="eastAsia" w:ascii="宋体" w:hAnsi="宋体" w:eastAsia="宋体" w:cs="宋体"/>
                <w:color w:val="FF0000"/>
                <w:sz w:val="24"/>
                <w:szCs w:val="24"/>
                <w:vertAlign w:val="baseline"/>
                <w:lang w:val="en-US" w:eastAsia="zh-CN"/>
              </w:rPr>
              <w:t>按参数要求提供</w:t>
            </w:r>
          </w:p>
        </w:tc>
        <w:tc>
          <w:tcPr>
            <w:tcW w:w="389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FF0000"/>
                <w:kern w:val="2"/>
                <w:sz w:val="24"/>
                <w:szCs w:val="24"/>
                <w:u w:val="none"/>
                <w:lang w:val="en-US" w:eastAsia="zh-CN" w:bidi="ar-SA"/>
              </w:rPr>
            </w:pPr>
            <w:r>
              <w:rPr>
                <w:rFonts w:hint="eastAsia" w:ascii="宋体" w:hAnsi="宋体" w:eastAsia="宋体" w:cs="宋体"/>
                <w:i w:val="0"/>
                <w:iCs w:val="0"/>
                <w:color w:val="FF0000"/>
                <w:kern w:val="2"/>
                <w:sz w:val="24"/>
                <w:szCs w:val="24"/>
                <w:u w:val="none"/>
                <w:lang w:val="en-US" w:eastAsia="zh-CN" w:bidi="ar-S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2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vertAlign w:val="baseline"/>
                <w:lang w:val="en-US" w:eastAsia="zh-CN"/>
              </w:rPr>
            </w:pPr>
            <w:r>
              <w:rPr>
                <w:rFonts w:hint="eastAsia" w:ascii="宋体" w:hAnsi="宋体" w:eastAsia="宋体" w:cs="宋体"/>
                <w:b w:val="0"/>
                <w:bCs/>
                <w:color w:val="FF0000"/>
                <w:kern w:val="2"/>
                <w:sz w:val="24"/>
                <w:szCs w:val="24"/>
                <w:highlight w:val="none"/>
                <w:lang w:val="en-US" w:eastAsia="zh-CN"/>
              </w:rPr>
              <w:t>录播室椅</w:t>
            </w:r>
          </w:p>
        </w:tc>
        <w:tc>
          <w:tcPr>
            <w:tcW w:w="292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FF0000"/>
                <w:sz w:val="24"/>
                <w:szCs w:val="24"/>
                <w:vertAlign w:val="baseline"/>
                <w:lang w:val="en-US" w:eastAsia="zh-CN"/>
              </w:rPr>
            </w:pPr>
            <w:r>
              <w:rPr>
                <w:rFonts w:hint="eastAsia" w:ascii="宋体" w:hAnsi="宋体" w:eastAsia="宋体" w:cs="宋体"/>
                <w:color w:val="FF0000"/>
                <w:sz w:val="24"/>
                <w:szCs w:val="24"/>
                <w:vertAlign w:val="baseline"/>
                <w:lang w:val="en-US" w:eastAsia="zh-CN"/>
              </w:rPr>
              <w:t>按参数要求提供</w:t>
            </w:r>
          </w:p>
        </w:tc>
        <w:tc>
          <w:tcPr>
            <w:tcW w:w="3898"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FF0000"/>
                <w:sz w:val="24"/>
                <w:szCs w:val="24"/>
                <w:vertAlign w:val="baseline"/>
                <w:lang w:val="en-US" w:eastAsia="zh-CN"/>
              </w:rPr>
            </w:pPr>
            <w:r>
              <w:rPr>
                <w:rFonts w:hint="eastAsia" w:ascii="宋体" w:hAnsi="宋体" w:eastAsia="宋体" w:cs="宋体"/>
                <w:color w:val="FF0000"/>
                <w:sz w:val="24"/>
                <w:szCs w:val="24"/>
                <w:vertAlign w:val="baseline"/>
                <w:lang w:val="en-US" w:eastAsia="zh-CN"/>
              </w:rPr>
              <w:t>1</w:t>
            </w:r>
            <w:r>
              <w:rPr>
                <w:rFonts w:hint="eastAsia" w:ascii="宋体" w:hAnsi="宋体" w:cs="宋体"/>
                <w:color w:val="FF0000"/>
                <w:sz w:val="24"/>
                <w:szCs w:val="24"/>
                <w:vertAlign w:val="baseline"/>
                <w:lang w:val="en-US" w:eastAsia="zh-CN"/>
              </w:rPr>
              <w:t>张</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0" w:leftChars="0" w:firstLine="420" w:firstLineChars="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四、商务要求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1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lang w:val="en-US" w:eastAsia="zh-CN" w:bidi="ar-SA"/>
        </w:rPr>
        <w:t>1、质保期：</w:t>
      </w:r>
      <w:r>
        <w:rPr>
          <w:rFonts w:hint="eastAsia" w:ascii="宋体" w:hAnsi="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rPr>
        <w:t>年。从验收合格交付使用起。在此期间，除人为因素外，若不能正常使用，投标</w:t>
      </w:r>
      <w:r>
        <w:rPr>
          <w:rFonts w:hint="eastAsia" w:ascii="宋体" w:hAnsi="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应免费维修并对其中材料进行更换，直至正常使用。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w:t>
      </w:r>
      <w:r>
        <w:rPr>
          <w:rFonts w:hint="eastAsia" w:ascii="宋体" w:hAnsi="宋体" w:eastAsia="宋体" w:cs="宋体"/>
          <w:b w:val="0"/>
          <w:bCs w:val="0"/>
          <w:color w:val="auto"/>
          <w:sz w:val="24"/>
          <w:szCs w:val="24"/>
          <w:highlight w:val="none"/>
          <w:lang w:eastAsia="zh-CN"/>
        </w:rPr>
        <w:t>交货期：</w:t>
      </w:r>
      <w:r>
        <w:rPr>
          <w:rFonts w:hint="eastAsia" w:ascii="宋体" w:hAnsi="宋体" w:eastAsia="宋体" w:cs="宋体"/>
          <w:b w:val="0"/>
          <w:bCs w:val="0"/>
          <w:color w:val="auto"/>
          <w:sz w:val="24"/>
          <w:szCs w:val="24"/>
          <w:highlight w:val="none"/>
        </w:rPr>
        <w:t>接到采购人通知起</w:t>
      </w:r>
      <w:r>
        <w:rPr>
          <w:rFonts w:hint="eastAsia" w:ascii="宋体" w:hAnsi="宋体" w:eastAsia="宋体" w:cs="宋体"/>
          <w:b w:val="0"/>
          <w:bCs w:val="0"/>
          <w:color w:val="auto"/>
          <w:sz w:val="24"/>
          <w:szCs w:val="24"/>
          <w:highlight w:val="none"/>
          <w:u w:val="single"/>
          <w:lang w:val="en-US" w:eastAsia="zh-CN"/>
        </w:rPr>
        <w:t xml:space="preserve"> 30 </w:t>
      </w:r>
      <w:r>
        <w:rPr>
          <w:rFonts w:hint="eastAsia" w:ascii="宋体" w:hAnsi="宋体" w:eastAsia="宋体" w:cs="宋体"/>
          <w:b w:val="0"/>
          <w:bCs w:val="0"/>
          <w:color w:val="auto"/>
          <w:sz w:val="24"/>
          <w:szCs w:val="24"/>
          <w:highlight w:val="none"/>
        </w:rPr>
        <w:t>日历天内完成本项目的供货、安装及调试，并通过验收</w:t>
      </w:r>
      <w:r>
        <w:rPr>
          <w:rFonts w:hint="eastAsia" w:ascii="宋体" w:hAnsi="宋体" w:eastAsia="宋体" w:cs="宋体"/>
          <w:b w:val="0"/>
          <w:bCs w:val="0"/>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w:t>
      </w:r>
      <w:r>
        <w:rPr>
          <w:rFonts w:hint="eastAsia" w:ascii="宋体" w:hAnsi="宋体" w:eastAsia="宋体" w:cs="宋体"/>
          <w:b w:val="0"/>
          <w:bCs w:val="0"/>
          <w:color w:val="auto"/>
          <w:sz w:val="24"/>
          <w:szCs w:val="24"/>
          <w:highlight w:val="none"/>
          <w:lang w:eastAsia="zh-CN"/>
        </w:rPr>
        <w:t>付款方式:</w:t>
      </w:r>
      <w:bookmarkStart w:id="85" w:name="OLE_LINK2"/>
      <w:r>
        <w:rPr>
          <w:rFonts w:hint="eastAsia" w:ascii="宋体" w:hAnsi="宋体" w:eastAsia="宋体" w:cs="宋体"/>
          <w:b w:val="0"/>
          <w:bCs w:val="0"/>
          <w:color w:val="auto"/>
          <w:sz w:val="24"/>
          <w:szCs w:val="24"/>
          <w:highlight w:val="none"/>
          <w:lang w:eastAsia="zh-CN"/>
        </w:rPr>
        <w:t>合同签订生效且项目具备实施条件后7个工作日内支付合同价的40%;货物全部到场后支付至合同价的80%；安装调试完毕、验收合格后，支付剩余合同款项。</w:t>
      </w:r>
      <w:bookmarkEnd w:id="78"/>
      <w:bookmarkEnd w:id="85"/>
    </w:p>
    <w:bookmarkEnd w:id="79"/>
    <w:p>
      <w:pPr>
        <w:pStyle w:val="18"/>
        <w:rPr>
          <w:rFonts w:hint="eastAsia" w:ascii="宋体" w:hAnsi="宋体" w:eastAsia="宋体" w:cs="宋体"/>
          <w:color w:val="auto"/>
          <w:sz w:val="24"/>
          <w:highlight w:val="none"/>
        </w:rPr>
      </w:pPr>
    </w:p>
    <w:p>
      <w:pPr>
        <w:pStyle w:val="71"/>
        <w:rPr>
          <w:rFonts w:hint="eastAsia" w:ascii="宋体" w:hAnsi="宋体" w:eastAsia="宋体" w:cs="宋体"/>
          <w:color w:val="auto"/>
          <w:sz w:val="24"/>
          <w:highlight w:val="none"/>
        </w:rPr>
      </w:pPr>
    </w:p>
    <w:p>
      <w:pPr>
        <w:pStyle w:val="47"/>
        <w:kinsoku/>
        <w:overflowPunct/>
        <w:bidi w:val="0"/>
        <w:snapToGrid w:val="0"/>
        <w:spacing w:line="400" w:lineRule="exact"/>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第四部分  合同文本</w:t>
      </w:r>
    </w:p>
    <w:p>
      <w:pPr>
        <w:pStyle w:val="47"/>
        <w:kinsoku/>
        <w:overflowPunct/>
        <w:bidi w:val="0"/>
        <w:snapToGrid w:val="0"/>
        <w:spacing w:line="4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（最终以双方实际签订合同条款为准）</w:t>
      </w:r>
    </w:p>
    <w:p>
      <w:pPr>
        <w:keepNext w:val="0"/>
        <w:keepLines w:val="0"/>
        <w:pageBreakBefore w:val="0"/>
        <w:widowControl w:val="0"/>
        <w:kinsoku/>
        <w:wordWrap/>
        <w:overflowPunct/>
        <w:topLinePunct w:val="0"/>
        <w:autoSpaceDE/>
        <w:autoSpaceDN/>
        <w:bidi w:val="0"/>
        <w:adjustRightInd/>
        <w:snapToGrid w:val="0"/>
        <w:spacing w:line="460" w:lineRule="exact"/>
        <w:ind w:left="0" w:leftChars="0"/>
        <w:textAlignment w:val="auto"/>
        <w:rPr>
          <w:rFonts w:hint="eastAsia" w:ascii="宋体" w:hAnsi="宋体" w:eastAsia="宋体" w:cs="宋体"/>
          <w:color w:val="auto"/>
          <w:sz w:val="24"/>
          <w:szCs w:val="24"/>
        </w:rPr>
      </w:pPr>
      <w:bookmarkStart w:id="86" w:name="_Toc2553"/>
      <w:bookmarkStart w:id="87" w:name="_Toc519670202"/>
      <w:bookmarkStart w:id="88" w:name="_Toc522530052"/>
      <w:r>
        <w:rPr>
          <w:rFonts w:hint="eastAsia" w:ascii="宋体" w:hAnsi="宋体" w:eastAsia="宋体" w:cs="宋体"/>
          <w:color w:val="auto"/>
          <w:sz w:val="24"/>
          <w:szCs w:val="24"/>
        </w:rPr>
        <w:t>甲方：</w:t>
      </w:r>
      <w:r>
        <w:rPr>
          <w:rFonts w:hint="eastAsia" w:ascii="宋体" w:hAnsi="宋体" w:eastAsia="宋体" w:cs="宋体"/>
          <w:color w:val="auto"/>
          <w:sz w:val="24"/>
          <w:szCs w:val="24"/>
          <w:u w:val="single"/>
          <w:lang w:val="en-US" w:eastAsia="zh-CN"/>
        </w:rPr>
        <w:t>衢州市柯城区百家坊小学（筹）</w:t>
      </w:r>
      <w:r>
        <w:rPr>
          <w:rFonts w:hint="eastAsia" w:ascii="宋体" w:hAnsi="宋体" w:eastAsia="宋体" w:cs="宋体"/>
          <w:color w:val="auto"/>
          <w:sz w:val="24"/>
          <w:szCs w:val="24"/>
        </w:rPr>
        <w:t xml:space="preserve">  </w:t>
      </w:r>
    </w:p>
    <w:p>
      <w:pPr>
        <w:pStyle w:val="58"/>
        <w:keepNext w:val="0"/>
        <w:keepLines w:val="0"/>
        <w:pageBreakBefore w:val="0"/>
        <w:widowControl w:val="0"/>
        <w:kinsoku/>
        <w:wordWrap/>
        <w:overflowPunct/>
        <w:topLinePunct w:val="0"/>
        <w:autoSpaceDE/>
        <w:autoSpaceDN/>
        <w:bidi w:val="0"/>
        <w:adjustRightInd/>
        <w:spacing w:line="460" w:lineRule="exact"/>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衢州市柯城区百家坊小学（筹）科学教室、录播教室等设施设备采购项目</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采购结果和公开招标采购文件要求，并依照《中华人民共和国民法典》、《中华人民共和国政府采购法》及其他等有关法律、行政法规的规定，同时在平等、公平、诚实和信用的原则下，经双方协商一致，订立本合同。</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一、项目清单</w:t>
      </w:r>
    </w:p>
    <w:tbl>
      <w:tblPr>
        <w:tblStyle w:val="97"/>
        <w:tblW w:w="9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293"/>
        <w:gridCol w:w="1810"/>
        <w:gridCol w:w="1112"/>
        <w:gridCol w:w="934"/>
        <w:gridCol w:w="179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1038"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93"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810"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w:t>
            </w:r>
          </w:p>
        </w:tc>
        <w:tc>
          <w:tcPr>
            <w:tcW w:w="1112"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934"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1793"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全费用综合单价（元）</w:t>
            </w:r>
          </w:p>
        </w:tc>
        <w:tc>
          <w:tcPr>
            <w:tcW w:w="1585"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1038"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rPr>
            </w:pPr>
          </w:p>
        </w:tc>
        <w:tc>
          <w:tcPr>
            <w:tcW w:w="1293"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810"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112"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934"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793"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585"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038"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rPr>
            </w:pPr>
          </w:p>
        </w:tc>
        <w:tc>
          <w:tcPr>
            <w:tcW w:w="1293"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810"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112"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934"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793"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585"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038"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rPr>
            </w:pPr>
          </w:p>
        </w:tc>
        <w:tc>
          <w:tcPr>
            <w:tcW w:w="1293"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810"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112"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934"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793"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585"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038"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rPr>
            </w:pPr>
          </w:p>
        </w:tc>
        <w:tc>
          <w:tcPr>
            <w:tcW w:w="1293"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810"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112"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934"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793"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585"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038"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293"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810"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jc w:val="center"/>
              <w:textAlignment w:val="auto"/>
              <w:rPr>
                <w:rFonts w:hint="eastAsia" w:ascii="宋体" w:hAnsi="宋体" w:eastAsia="宋体" w:cs="宋体"/>
                <w:color w:val="auto"/>
                <w:sz w:val="24"/>
                <w:szCs w:val="24"/>
              </w:rPr>
            </w:pPr>
          </w:p>
        </w:tc>
        <w:tc>
          <w:tcPr>
            <w:tcW w:w="1112"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934"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793"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585"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b/>
          <w:bCs/>
          <w:color w:val="auto"/>
          <w:sz w:val="24"/>
          <w:szCs w:val="24"/>
        </w:rPr>
      </w:pP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二、合同履行时间及地点</w:t>
      </w:r>
    </w:p>
    <w:p>
      <w:pPr>
        <w:keepNext w:val="0"/>
        <w:keepLines w:val="0"/>
        <w:pageBreakBefore w:val="0"/>
        <w:widowControl w:val="0"/>
        <w:kinsoku/>
        <w:wordWrap/>
        <w:overflowPunct/>
        <w:topLinePunct w:val="0"/>
        <w:autoSpaceDE/>
        <w:autoSpaceDN/>
        <w:bidi w:val="0"/>
        <w:adjustRightInd/>
        <w:spacing w:line="360" w:lineRule="auto"/>
        <w:ind w:left="240" w:leftChars="0" w:hanging="240" w:hanging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（一）合同签订后</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个日历日内完成；</w:t>
      </w:r>
    </w:p>
    <w:p>
      <w:pPr>
        <w:keepNext w:val="0"/>
        <w:keepLines w:val="0"/>
        <w:pageBreakBefore w:val="0"/>
        <w:widowControl w:val="0"/>
        <w:kinsoku/>
        <w:wordWrap/>
        <w:overflowPunct/>
        <w:topLinePunct w:val="0"/>
        <w:autoSpaceDE/>
        <w:autoSpaceDN/>
        <w:bidi w:val="0"/>
        <w:adjustRightInd/>
        <w:spacing w:line="360" w:lineRule="auto"/>
        <w:ind w:left="240" w:leftChars="0" w:hanging="240" w:hanging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autoSpaceDN/>
        <w:bidi w:val="0"/>
        <w:adjustRightInd/>
        <w:spacing w:line="360" w:lineRule="auto"/>
        <w:ind w:left="240" w:leftChars="0" w:hanging="240" w:hanging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（二）按甲方要求；</w:t>
      </w:r>
    </w:p>
    <w:p>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地点：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三、合同金额及支付方式</w:t>
      </w:r>
    </w:p>
    <w:p>
      <w:pPr>
        <w:keepNext w:val="0"/>
        <w:keepLines w:val="0"/>
        <w:pageBreakBefore w:val="0"/>
        <w:widowControl w:val="0"/>
        <w:kinsoku/>
        <w:wordWrap/>
        <w:overflowPunct/>
        <w:topLinePunct w:val="0"/>
        <w:autoSpaceDE/>
        <w:autoSpaceDN/>
        <w:bidi w:val="0"/>
        <w:adjustRightInd/>
        <w:spacing w:line="360" w:lineRule="auto"/>
        <w:ind w:left="14" w:leftChars="5" w:firstLine="458" w:firstLineChars="19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（一）本合同含税金额为人民币（大写）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，（小写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）。该金额为完成</w:t>
      </w: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rPr>
        <w:t>所需的全部费用，包括但不限于材料及加工费、运输费、装卸费、机械费、安装费、调试费、售后服务费、税金及利润等完成本项目所需的一切费用。</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（二）本合同</w:t>
      </w:r>
      <w:r>
        <w:rPr>
          <w:rFonts w:hint="eastAsia" w:ascii="宋体" w:hAnsi="宋体" w:eastAsia="宋体" w:cs="宋体"/>
          <w:color w:val="auto"/>
          <w:sz w:val="24"/>
          <w:szCs w:val="24"/>
          <w:lang w:eastAsia="zh-CN"/>
        </w:rPr>
        <w:t>采购数量</w:t>
      </w:r>
      <w:r>
        <w:rPr>
          <w:rFonts w:hint="eastAsia" w:ascii="宋体" w:hAnsi="宋体" w:eastAsia="宋体" w:cs="宋体"/>
          <w:color w:val="auto"/>
          <w:sz w:val="24"/>
          <w:szCs w:val="24"/>
        </w:rPr>
        <w:t>按实计取、按实结算，结算价=中标单价*实际数量。</w:t>
      </w:r>
    </w:p>
    <w:p>
      <w:pPr>
        <w:keepNext w:val="0"/>
        <w:keepLines w:val="0"/>
        <w:pageBreakBefore w:val="0"/>
        <w:widowControl w:val="0"/>
        <w:kinsoku/>
        <w:wordWrap/>
        <w:overflowPunct/>
        <w:topLinePunct w:val="0"/>
        <w:autoSpaceDE/>
        <w:autoSpaceDN/>
        <w:bidi w:val="0"/>
        <w:adjustRightInd/>
        <w:spacing w:line="360" w:lineRule="auto"/>
        <w:ind w:left="0" w:leftChars="0"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合同签订生效且项目具备实施条件后7个工作日内支付合同价的40%;货物全部到场后支付至合同价的80%；安装调试完毕、验收合格后，支付剩余合同款项。</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（三）乙方需提供增值税专票，乙方未提供发票的甲方有权拒绝付款。</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（四）本合同执行中相关的一切税费均由乙方负担。</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四、服务要求</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（一）质量标准</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1、乙方应提供项目实施方案，方案应包括且不限于以下内容：详细材质、制作工艺、后期质保等。对甲方提供的素材及要求，应按照规范进行排版制作，成品安排生产前应经过甲方确认后实施。</w:t>
      </w:r>
    </w:p>
    <w:p>
      <w:pPr>
        <w:keepNext w:val="0"/>
        <w:keepLines w:val="0"/>
        <w:pageBreakBefore w:val="0"/>
        <w:widowControl w:val="0"/>
        <w:kinsoku/>
        <w:wordWrap/>
        <w:overflowPunct/>
        <w:topLinePunct w:val="0"/>
        <w:autoSpaceDE/>
        <w:autoSpaceDN/>
        <w:bidi w:val="0"/>
        <w:adjustRightInd/>
        <w:spacing w:line="360" w:lineRule="auto"/>
        <w:ind w:left="0" w:leftChars="0"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2、乙方应</w:t>
      </w:r>
      <w:r>
        <w:rPr>
          <w:rFonts w:hint="eastAsia" w:ascii="宋体" w:hAnsi="宋体" w:eastAsia="宋体" w:cs="宋体"/>
          <w:color w:val="auto"/>
          <w:spacing w:val="-6"/>
          <w:sz w:val="24"/>
          <w:szCs w:val="24"/>
        </w:rPr>
        <w:t>按招标文件规定的性能、技术要求、质量标准向甲方提供未经使用的全新物资及相应服务，并</w:t>
      </w:r>
      <w:r>
        <w:rPr>
          <w:rFonts w:hint="eastAsia" w:ascii="宋体" w:hAnsi="宋体" w:eastAsia="宋体" w:cs="宋体"/>
          <w:color w:val="auto"/>
          <w:sz w:val="24"/>
          <w:szCs w:val="24"/>
        </w:rPr>
        <w:t>保证所用材料是未使用过的合格正品。如发生所供货物与合同规定不符或技术、工艺、材料缺陷以及其他由于乙方的原因造成的任何不足，甲方有权拒收或退货，由此产生的一切责任和后果由乙方承担。此外，甲方有权委托法定机构进行鉴定，若鉴定结果证明服务所用材料是有缺陷的，包括潜在的缺陷或使用不符合要求等，甲方将以书面形式向乙方提出索赔。若乙方在收到索赔通知后，在服务承诺约定的时间内没有采取措施，甲方可采取必要的补救措施 ，但风险和费用将由乙方承担。</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3、乙方应保证积极主动的与甲方配合，及时响应甲方的各项要求。</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4、本</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采购内容均应达到国家规定的合格标准以及甲方的质量要求。</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pacing w:val="-6"/>
          <w:sz w:val="24"/>
          <w:szCs w:val="24"/>
        </w:rPr>
        <w:t>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（二）质保期限</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1、服务质量保证期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年（自交货验收合格之日起计）。</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2、乙方提供的服务成果在质量保证期内出现的质量及安全问题，乙方应负责处理解决并承担一切费用。无法达到要求的，根据实际情况，经双方协商，可按以下办法处理：</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（1）维修：由乙方承担所发生的全部费用。</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（2）更换:由乙方承担所发生的全部费用。</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（3）贬值处理:由甲、乙双方合议定价。</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（4）退货处理:乙方应退还甲方支付的合同款，同时应承担该货物的直接费用。</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3、如在使用过程中发生质量问题，乙方在接到甲方通知后在 24 小时内到达甲方现场，及时解决问题。</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4、超过质保期的，乙</w:t>
      </w:r>
      <w:r>
        <w:rPr>
          <w:rFonts w:hint="eastAsia" w:ascii="宋体" w:hAnsi="宋体" w:eastAsia="宋体" w:cs="宋体"/>
          <w:color w:val="auto"/>
          <w:sz w:val="24"/>
          <w:szCs w:val="24"/>
        </w:rPr>
        <w:t>方维修时只收部件成本费。</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、其他要求</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乙方应在规定的时间内安排相关工作人员进场，进入施工现场必须服从甲方的统一管理，工作人员应严格遵守安全生产的相关规定，避免发生人身损害等意外事件。如期间发生任何安全问题，均由乙方负责处理并承担所有法律责任，与甲方无关。同时，工作人员应全程安全文明施工，保持施工环境整洁，总体布置体现统筹规划、布局合理、减少干扰和避免环境污染的原则。如对原建筑造成损坏或污染，由乙方负责恢复原状或修复，严重的甲方有权索赔。</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（二）转包或分包</w:t>
      </w:r>
    </w:p>
    <w:p>
      <w:pPr>
        <w:keepNext w:val="0"/>
        <w:keepLines w:val="0"/>
        <w:pageBreakBefore w:val="0"/>
        <w:widowControl w:val="0"/>
        <w:kinsoku/>
        <w:wordWrap/>
        <w:overflowPunct/>
        <w:topLinePunct w:val="0"/>
        <w:autoSpaceDE/>
        <w:autoSpaceDN/>
        <w:bidi w:val="0"/>
        <w:adjustRightInd/>
        <w:spacing w:line="360" w:lineRule="auto"/>
        <w:ind w:left="0" w:leftChars="0"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1、本合同范围的服务，应由乙方直接供应，不得转让他人供应；</w:t>
      </w:r>
    </w:p>
    <w:p>
      <w:pPr>
        <w:keepNext w:val="0"/>
        <w:keepLines w:val="0"/>
        <w:pageBreakBefore w:val="0"/>
        <w:widowControl w:val="0"/>
        <w:kinsoku/>
        <w:wordWrap/>
        <w:overflowPunct/>
        <w:topLinePunct w:val="0"/>
        <w:autoSpaceDE/>
        <w:autoSpaceDN/>
        <w:bidi w:val="0"/>
        <w:adjustRightInd/>
        <w:spacing w:line="360" w:lineRule="auto"/>
        <w:ind w:left="0" w:leftChars="0"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2、除非得到甲方的同意，乙方不得将本合同范围的服务全部或部分分包给他人供应；</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（三）知识产权归属</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1、乙方向甲方交付的项目相关知识产权成果，不能侵犯他人著作权、商标权、外观专利、企业名称（含企业字号、商号、标示）等合法、在先的知识产权、民事权利。</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2、乙方应保证甲方不受到第三方关于知识产权侵权的指控，任何第三方如果提出侵权指控，乙方应与第三方交涉并承担可能发生的一切法律责任，并按赔偿甲方由此而产生一切的相关经济损失。</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乙方履行本合同期间所产生的知识产权成果及其权利归属仅归甲方一方所有，甲方有权通过任何媒体永久性免费使用。乙方不享有上述任何知识产权权利，不得自行实施或者使用，也不得将本合同项下的上述相关知识产权泄露、转让或者许可给第三方，不得对外披露或者公布。</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（五）乙方保证所交付的货物的所有权完全属于乙方且无任何抵押、查封等产权瑕疵。</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在项目实施过程中，部分采购内容乙方无法满足按招标文件及甲方要求完成制作安装的，甲方则有权选择第三方代为完成，视为该部分服务分包给第三方完成，分包费用由乙方结算，结算依据为中标单价及实际</w:t>
      </w:r>
      <w:r>
        <w:rPr>
          <w:rFonts w:hint="eastAsia" w:ascii="宋体" w:hAnsi="宋体" w:eastAsia="宋体" w:cs="宋体"/>
          <w:color w:val="auto"/>
          <w:sz w:val="24"/>
          <w:szCs w:val="24"/>
          <w:lang w:eastAsia="zh-CN"/>
        </w:rPr>
        <w:t>采购数量</w:t>
      </w:r>
      <w:r>
        <w:rPr>
          <w:rFonts w:hint="eastAsia" w:ascii="宋体" w:hAnsi="宋体" w:eastAsia="宋体" w:cs="宋体"/>
          <w:color w:val="auto"/>
          <w:sz w:val="24"/>
          <w:szCs w:val="24"/>
        </w:rPr>
        <w:t>，若有差额损失由乙方承担。</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（七）实际服务过程中，与项目实施有关的木条边框、打孔配件、螺丝、胶水等属于耗材或配件的，甲方不再另外支付费用。</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七、调试和验收</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1、甲方对乙方提交的货物依据招标文件上的技术规格要求和国家有关质量标准进行现场初步验收，外观、说明书符合招标文件技术要求的，给予签收，初步验收不合格的应采取换货等补救措施。</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2、甲方按照采购合同规定或招标文件的技术、服务等要求组织对乙方履约的验收，并出具验收单。甲方对到货验收不代表乙方货物无质量问题，乙方仍应对货物承担质量责任。</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3、甲方对乙方提供的货物进行验收时，乙方必须在现场并协助甲方调试，全部验收合格的，验收方成员应当在验收单上签字并加盖单位公章。</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4、甲方有在货物制造过程中派员监造的权利，乙方有义务为甲方监造人员行使该权利提供方便。</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八、甲、乙双方的权利和义务</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（一）甲方责任：</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1、有权对服务质量、进度进行检查、监督；</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2、甲方保证按本合同规定时限支付相关费用。</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（二）乙方责任：</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成果质量、文字错误、工艺或材料有缺陷达不到招标文件要求的，应按甲方要求返工，所造成的经济损失由乙方承担；如甲方要求服务的内容因乙方原因造成延误或作废不用的，均由乙方承担全部损失，甲方保留索赔权利。</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2、满足甲方对本项目的其他合理要求。</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3、按投标文件确定的人员和方案计划开展工作，甲方提供的资料内容，乙方应履行保密责任；</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4、不得出现任何不文明或违法违规的内容。</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九、违约责任</w:t>
      </w:r>
    </w:p>
    <w:p>
      <w:pPr>
        <w:keepNext w:val="0"/>
        <w:keepLines w:val="0"/>
        <w:pageBreakBefore w:val="0"/>
        <w:widowControl w:val="0"/>
        <w:kinsoku/>
        <w:wordWrap/>
        <w:overflowPunct/>
        <w:topLinePunct w:val="0"/>
        <w:autoSpaceDE/>
        <w:autoSpaceDN/>
        <w:bidi w:val="0"/>
        <w:adjustRightInd/>
        <w:spacing w:line="360" w:lineRule="auto"/>
        <w:ind w:left="0" w:leftChars="0"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双方确定，按以下约定承担各自违约责任：</w:t>
      </w:r>
    </w:p>
    <w:p>
      <w:pPr>
        <w:keepNext w:val="0"/>
        <w:keepLines w:val="0"/>
        <w:pageBreakBefore w:val="0"/>
        <w:widowControl w:val="0"/>
        <w:kinsoku/>
        <w:wordWrap/>
        <w:overflowPunct/>
        <w:topLinePunct w:val="0"/>
        <w:autoSpaceDE/>
        <w:autoSpaceDN/>
        <w:bidi w:val="0"/>
        <w:adjustRightInd/>
        <w:spacing w:line="360" w:lineRule="auto"/>
        <w:ind w:left="0" w:leftChars="0" w:firstLine="57" w:firstLineChars="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（一）甲方违约责任:</w:t>
      </w:r>
    </w:p>
    <w:p>
      <w:pPr>
        <w:keepNext w:val="0"/>
        <w:keepLines w:val="0"/>
        <w:pageBreakBefore w:val="0"/>
        <w:widowControl w:val="0"/>
        <w:kinsoku/>
        <w:wordWrap/>
        <w:overflowPunct/>
        <w:topLinePunct w:val="0"/>
        <w:autoSpaceDE/>
        <w:autoSpaceDN/>
        <w:bidi w:val="0"/>
        <w:adjustRightInd/>
        <w:spacing w:line="360" w:lineRule="auto"/>
        <w:ind w:left="0" w:leftChars="0"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1、甲方无理由未按合同规定期限向乙方支付合同价款的，自逾期之日起至实际支付之日，每逾期一天，甲方向乙方</w:t>
      </w:r>
      <w:r>
        <w:rPr>
          <w:rFonts w:hint="eastAsia" w:ascii="宋体" w:hAnsi="宋体" w:eastAsia="宋体" w:cs="宋体"/>
          <w:color w:val="auto"/>
          <w:sz w:val="24"/>
          <w:szCs w:val="24"/>
          <w:highlight w:val="none"/>
        </w:rPr>
        <w:t>偿付应支付金额 1‰的违约金。</w:t>
      </w:r>
    </w:p>
    <w:p>
      <w:pPr>
        <w:keepNext w:val="0"/>
        <w:keepLines w:val="0"/>
        <w:pageBreakBefore w:val="0"/>
        <w:widowControl w:val="0"/>
        <w:kinsoku/>
        <w:wordWrap/>
        <w:overflowPunct/>
        <w:topLinePunct w:val="0"/>
        <w:autoSpaceDE/>
        <w:autoSpaceDN/>
        <w:bidi w:val="0"/>
        <w:adjustRightInd/>
        <w:spacing w:line="360" w:lineRule="auto"/>
        <w:ind w:left="0" w:leftChars="0" w:firstLine="57" w:firstLineChars="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（二）乙方违约责任:</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所交付的货物不符合本合同约定的技术要求或质量标准规定的，甲方有权拒绝接收。如果乙方在15个工作日内仍无法提供符合合同要求的产品，乙方赔偿由此给甲方造成的全部损失外，甲方还有权单方解除合同。</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逾期交货:如乙方逾期交货或未按照合同规定期限完成货物交付的，自逾期之日起至实际完成之日，每逾期一天，乙方向甲方偿付合同金额1‰的违约金。如乙方逾期超过1个月，甲方将解除合同。如因甲方原因，致使乙方未能按照合同规定期限完成货物交付的，则乙方不承担违约责任。</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3、质保期内出现问题，如乙方在接到通知后24小时内没有响应，按1000元/次支付违约金，并承担由此给甲方造成的损失。</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4、因乙方货物存在质量缺陷给甲方或第三方造成人身或财产损失的，乙方应负责赔偿因此而造成的一切损失。</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保证完成本项目不存在对任何第三方侵权行为(包括但不限于商标、专利、版权、知识产权等)。若发生侵权行为，由乙方负全责，并承担由此发生的一切经济和法律责任，并按照合同金额的5%向甲方支付违约金。</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十、不可抗力</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条所述的“不可抗力”是指那些合同双方在订立合同时无法控制、不可预见，并且通常情况下不可避免和克服的事件，包括但不限于:战争、严重火灾、水灾、台风、地震以及不可抗力事件。如果由于不可抗力致使本合同任何一方无法按时履行合同义务，则在受不可抗力影响的时间和范围内该方有权中止对其义务的履行。</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发生不可抗力事件时，受不可抗力影响的一方应尽快以书面形式将不可抗力的情况和原因通知另一方。同时必须在不可抗力发生后10日内，以挂号信等形式递交有关公证机关的证明。在任何情况下，如果不可抗力事件持续超过60天，则任何一方有权在向对方发出终止通知后终止本合同。</w:t>
      </w:r>
    </w:p>
    <w:p>
      <w:pPr>
        <w:pStyle w:val="618"/>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十一、合同解除条件</w:t>
      </w:r>
    </w:p>
    <w:p>
      <w:pPr>
        <w:pStyle w:val="618"/>
        <w:keepNext w:val="0"/>
        <w:keepLines w:val="0"/>
        <w:pageBreakBefore w:val="0"/>
        <w:widowControl w:val="0"/>
        <w:kinsoku/>
        <w:wordWrap/>
        <w:overflowPunct/>
        <w:topLinePunct w:val="0"/>
        <w:autoSpaceDE/>
        <w:autoSpaceDN/>
        <w:bidi w:val="0"/>
        <w:adjustRightInd/>
        <w:spacing w:line="360" w:lineRule="auto"/>
        <w:ind w:left="0" w:leftChars="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除本合同另有规定外，在发生以下情况时，甲方有权单方解除本合同:</w:t>
      </w:r>
    </w:p>
    <w:p>
      <w:pPr>
        <w:pStyle w:val="618"/>
        <w:keepNext w:val="0"/>
        <w:keepLines w:val="0"/>
        <w:pageBreakBefore w:val="0"/>
        <w:widowControl w:val="0"/>
        <w:kinsoku/>
        <w:wordWrap/>
        <w:overflowPunct/>
        <w:topLinePunct w:val="0"/>
        <w:autoSpaceDE/>
        <w:autoSpaceDN/>
        <w:bidi w:val="0"/>
        <w:adjustRightInd/>
        <w:spacing w:line="360" w:lineRule="auto"/>
        <w:ind w:left="0" w:leftChars="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（一）所供产品不能满足本合同约定的技术要求或质量标准规定，导致甲方本项目无法正常生产运行的；</w:t>
      </w:r>
    </w:p>
    <w:p>
      <w:pPr>
        <w:pStyle w:val="618"/>
        <w:keepNext w:val="0"/>
        <w:keepLines w:val="0"/>
        <w:pageBreakBefore w:val="0"/>
        <w:widowControl w:val="0"/>
        <w:kinsoku/>
        <w:wordWrap/>
        <w:overflowPunct/>
        <w:topLinePunct w:val="0"/>
        <w:autoSpaceDE/>
        <w:autoSpaceDN/>
        <w:bidi w:val="0"/>
        <w:adjustRightInd/>
        <w:spacing w:line="360" w:lineRule="auto"/>
        <w:ind w:left="0" w:leftChars="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（二）乙方未履行合同规定的实质义务并且在接到甲方通知后15天内仍不补救或补救未成的；</w:t>
      </w:r>
    </w:p>
    <w:p>
      <w:pPr>
        <w:pStyle w:val="618"/>
        <w:keepNext w:val="0"/>
        <w:keepLines w:val="0"/>
        <w:pageBreakBefore w:val="0"/>
        <w:widowControl w:val="0"/>
        <w:kinsoku/>
        <w:wordWrap/>
        <w:overflowPunct/>
        <w:topLinePunct w:val="0"/>
        <w:autoSpaceDE/>
        <w:autoSpaceDN/>
        <w:bidi w:val="0"/>
        <w:adjustRightInd/>
        <w:spacing w:line="360" w:lineRule="auto"/>
        <w:ind w:left="0" w:leftChars="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（三）乙方未按照合同规定期限完成货物交付的，且逾期超过1个月仍无法完成的;</w:t>
      </w:r>
    </w:p>
    <w:p>
      <w:pPr>
        <w:pStyle w:val="618"/>
        <w:keepNext w:val="0"/>
        <w:keepLines w:val="0"/>
        <w:pageBreakBefore w:val="0"/>
        <w:widowControl w:val="0"/>
        <w:kinsoku/>
        <w:wordWrap/>
        <w:overflowPunct/>
        <w:topLinePunct w:val="0"/>
        <w:autoSpaceDE/>
        <w:autoSpaceDN/>
        <w:bidi w:val="0"/>
        <w:adjustRightInd/>
        <w:spacing w:line="360" w:lineRule="auto"/>
        <w:ind w:left="0" w:leftChars="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（四）所供产品使用过程中出现重大质量问题乙方未按合同要求响应并处理的;</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十二、争议解决</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合同争议的解决方式:本合同在履行过程中发生的争议，由双方当事人协商解决:协商不成的，按下列</w:t>
      </w:r>
      <w:r>
        <w:rPr>
          <w:rFonts w:hint="eastAsia" w:ascii="宋体" w:hAnsi="宋体" w:eastAsia="宋体" w:cs="宋体"/>
          <w:color w:val="auto"/>
          <w:sz w:val="24"/>
          <w:szCs w:val="24"/>
          <w:highlight w:val="none"/>
          <w:u w:val="single"/>
        </w:rPr>
        <w:t>第（二）</w:t>
      </w:r>
      <w:r>
        <w:rPr>
          <w:rFonts w:hint="eastAsia" w:ascii="宋体" w:hAnsi="宋体" w:eastAsia="宋体" w:cs="宋体"/>
          <w:color w:val="auto"/>
          <w:sz w:val="24"/>
          <w:szCs w:val="24"/>
          <w:highlight w:val="none"/>
        </w:rPr>
        <w:t>方式解决:</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（一）提交衢州仲裁委员会仲裁；</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（二）依法向甲方所在地人民法院起诉。</w:t>
      </w:r>
    </w:p>
    <w:p>
      <w:pPr>
        <w:keepNext w:val="0"/>
        <w:keepLines w:val="0"/>
        <w:pageBreakBefore w:val="0"/>
        <w:widowControl w:val="0"/>
        <w:tabs>
          <w:tab w:val="left" w:pos="7280"/>
        </w:tabs>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十三、合同生效及其它</w:t>
      </w:r>
    </w:p>
    <w:p>
      <w:pPr>
        <w:keepNext w:val="0"/>
        <w:keepLines w:val="0"/>
        <w:pageBreakBefore w:val="0"/>
        <w:widowControl w:val="0"/>
        <w:tabs>
          <w:tab w:val="left" w:pos="7280"/>
        </w:tabs>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（一）本合同自合同签订之日起生效，正本一式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份，具有同等法律效力，甲乙双方各执</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w:t>
      </w:r>
    </w:p>
    <w:p>
      <w:pPr>
        <w:pStyle w:val="47"/>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（二）本合同经甲乙双方法定代表人或委托代理人签字并加盖公章后生效。</w:t>
      </w:r>
    </w:p>
    <w:p>
      <w:pPr>
        <w:pStyle w:val="47"/>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（三）本合同未尽事宜，经双方商议可续签补充协议。该补充协议与本合同具有相同法律效力，但该补充协议的内容不能实质性修改招标文件的主要条款。</w:t>
      </w:r>
    </w:p>
    <w:p>
      <w:pPr>
        <w:pStyle w:val="618"/>
        <w:keepNext w:val="0"/>
        <w:keepLines w:val="0"/>
        <w:pageBreakBefore w:val="0"/>
        <w:widowControl w:val="0"/>
        <w:kinsoku/>
        <w:wordWrap/>
        <w:overflowPunct/>
        <w:topLinePunct w:val="0"/>
        <w:autoSpaceDE/>
        <w:autoSpaceDN/>
        <w:bidi w:val="0"/>
        <w:adjustRightInd/>
        <w:ind w:left="0" w:leftChars="0" w:firstLine="0"/>
        <w:textAlignment w:val="auto"/>
        <w:rPr>
          <w:rFonts w:hint="eastAsia" w:ascii="宋体" w:hAnsi="宋体" w:eastAsia="宋体" w:cs="宋体"/>
          <w:color w:val="auto"/>
          <w:sz w:val="24"/>
          <w:szCs w:val="24"/>
        </w:rPr>
      </w:pPr>
    </w:p>
    <w:p>
      <w:pPr>
        <w:pStyle w:val="618"/>
        <w:keepNext w:val="0"/>
        <w:keepLines w:val="0"/>
        <w:pageBreakBefore w:val="0"/>
        <w:widowControl w:val="0"/>
        <w:kinsoku/>
        <w:wordWrap/>
        <w:overflowPunct/>
        <w:topLinePunct w:val="0"/>
        <w:autoSpaceDE/>
        <w:autoSpaceDN/>
        <w:bidi w:val="0"/>
        <w:adjustRightInd/>
        <w:ind w:left="0" w:leftChars="0" w:firstLine="0"/>
        <w:textAlignment w:val="auto"/>
        <w:rPr>
          <w:rFonts w:hint="eastAsia" w:ascii="宋体" w:hAnsi="宋体" w:eastAsia="宋体" w:cs="宋体"/>
          <w:color w:val="auto"/>
          <w:sz w:val="24"/>
          <w:szCs w:val="24"/>
        </w:rPr>
      </w:pPr>
    </w:p>
    <w:p>
      <w:pPr>
        <w:pStyle w:val="618"/>
        <w:keepNext w:val="0"/>
        <w:keepLines w:val="0"/>
        <w:pageBreakBefore w:val="0"/>
        <w:widowControl w:val="0"/>
        <w:kinsoku/>
        <w:wordWrap/>
        <w:overflowPunct/>
        <w:topLinePunct w:val="0"/>
        <w:autoSpaceDE/>
        <w:autoSpaceDN/>
        <w:bidi w:val="0"/>
        <w:adjustRightInd/>
        <w:ind w:left="0" w:leftChars="0" w:firstLine="0"/>
        <w:textAlignment w:val="auto"/>
        <w:rPr>
          <w:rFonts w:hint="eastAsia" w:ascii="宋体" w:hAnsi="宋体" w:eastAsia="宋体" w:cs="宋体"/>
          <w:color w:val="auto"/>
          <w:sz w:val="24"/>
          <w:szCs w:val="24"/>
        </w:rPr>
      </w:pPr>
    </w:p>
    <w:p>
      <w:pPr>
        <w:pStyle w:val="47"/>
        <w:keepNext w:val="0"/>
        <w:keepLines w:val="0"/>
        <w:pageBreakBefore w:val="0"/>
        <w:widowControl w:val="0"/>
        <w:kinsoku/>
        <w:wordWrap/>
        <w:overflowPunct/>
        <w:topLinePunct w:val="0"/>
        <w:autoSpaceDE/>
        <w:autoSpaceDN/>
        <w:bidi w:val="0"/>
        <w:adjustRightIn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甲方（公章）：                       乙方（公章）：</w:t>
      </w:r>
    </w:p>
    <w:p>
      <w:pPr>
        <w:keepNext w:val="0"/>
        <w:keepLines w:val="0"/>
        <w:pageBreakBefore w:val="0"/>
        <w:widowControl w:val="0"/>
        <w:kinsoku/>
        <w:wordWrap/>
        <w:overflowPunct/>
        <w:topLinePunct w:val="0"/>
        <w:autoSpaceDE/>
        <w:autoSpaceDN/>
        <w:bidi w:val="0"/>
        <w:adjustRightIn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                           法定代表人</w:t>
      </w:r>
    </w:p>
    <w:p>
      <w:pPr>
        <w:keepNext w:val="0"/>
        <w:keepLines w:val="0"/>
        <w:pageBreakBefore w:val="0"/>
        <w:widowControl w:val="0"/>
        <w:kinsoku/>
        <w:wordWrap/>
        <w:overflowPunct/>
        <w:topLinePunct w:val="0"/>
        <w:autoSpaceDE/>
        <w:autoSpaceDN/>
        <w:bidi w:val="0"/>
        <w:adjustRightIn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或委托代理人（签字或盖章）            或委托代理人（签字或盖章）                                 </w:t>
      </w:r>
    </w:p>
    <w:p>
      <w:pPr>
        <w:keepNext w:val="0"/>
        <w:keepLines w:val="0"/>
        <w:pageBreakBefore w:val="0"/>
        <w:widowControl w:val="0"/>
        <w:kinsoku/>
        <w:wordWrap/>
        <w:overflowPunct/>
        <w:topLinePunct w:val="0"/>
        <w:autoSpaceDE/>
        <w:autoSpaceDN/>
        <w:bidi w:val="0"/>
        <w:adjustRightIn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                              电 话：</w:t>
      </w:r>
    </w:p>
    <w:p>
      <w:pPr>
        <w:keepNext w:val="0"/>
        <w:keepLines w:val="0"/>
        <w:pageBreakBefore w:val="0"/>
        <w:widowControl w:val="0"/>
        <w:kinsoku/>
        <w:wordWrap/>
        <w:overflowPunct/>
        <w:topLinePunct w:val="0"/>
        <w:autoSpaceDE/>
        <w:autoSpaceDN/>
        <w:bidi w:val="0"/>
        <w:adjustRightIn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户 名：                              户 名：</w:t>
      </w:r>
    </w:p>
    <w:p>
      <w:pPr>
        <w:keepNext w:val="0"/>
        <w:keepLines w:val="0"/>
        <w:pageBreakBefore w:val="0"/>
        <w:widowControl w:val="0"/>
        <w:kinsoku/>
        <w:wordWrap/>
        <w:overflowPunct/>
        <w:topLinePunct w:val="0"/>
        <w:autoSpaceDE/>
        <w:autoSpaceDN/>
        <w:bidi w:val="0"/>
        <w:adjustRightIn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开户行：                             开户行：</w:t>
      </w:r>
    </w:p>
    <w:p>
      <w:pPr>
        <w:keepNext w:val="0"/>
        <w:keepLines w:val="0"/>
        <w:pageBreakBefore w:val="0"/>
        <w:widowControl w:val="0"/>
        <w:kinsoku/>
        <w:wordWrap/>
        <w:overflowPunct/>
        <w:topLinePunct w:val="0"/>
        <w:autoSpaceDE/>
        <w:autoSpaceDN/>
        <w:bidi w:val="0"/>
        <w:adjustRightIn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帐 号：                              帐 号：</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rPr>
        <w:t>地 址：                              地 址：</w:t>
      </w:r>
    </w:p>
    <w:p>
      <w:pPr>
        <w:pStyle w:val="47"/>
        <w:kinsoku/>
        <w:overflowPunct/>
        <w:bidi w:val="0"/>
        <w:snapToGrid w:val="0"/>
        <w:spacing w:line="400" w:lineRule="exact"/>
        <w:ind w:firstLine="480" w:firstLineChars="200"/>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br w:type="page"/>
      </w:r>
    </w:p>
    <w:p>
      <w:pPr>
        <w:pStyle w:val="47"/>
        <w:kinsoku/>
        <w:overflowPunct/>
        <w:bidi w:val="0"/>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36"/>
          <w:highlight w:val="none"/>
        </w:rPr>
        <w:t>第五部分 投标文件部分格式文件</w:t>
      </w:r>
    </w:p>
    <w:p>
      <w:pPr>
        <w:pStyle w:val="47"/>
        <w:kinsoku/>
        <w:overflowPunct/>
        <w:bidi w:val="0"/>
        <w:adjustRightInd w:val="0"/>
        <w:snapToGrid w:val="0"/>
        <w:spacing w:line="400" w:lineRule="exact"/>
        <w:jc w:val="center"/>
        <w:outlineLvl w:val="1"/>
        <w:rPr>
          <w:rFonts w:hint="eastAsia" w:ascii="宋体" w:hAnsi="宋体" w:eastAsia="宋体" w:cs="宋体"/>
          <w:b/>
          <w:color w:val="auto"/>
          <w:sz w:val="28"/>
          <w:highlight w:val="none"/>
        </w:rPr>
      </w:pPr>
      <w:r>
        <w:rPr>
          <w:rFonts w:hint="eastAsia" w:ascii="宋体" w:hAnsi="宋体" w:eastAsia="宋体" w:cs="宋体"/>
          <w:b/>
          <w:color w:val="auto"/>
          <w:sz w:val="28"/>
          <w:highlight w:val="none"/>
          <w:lang w:val="zh-CN"/>
        </w:rPr>
        <w:t>格式</w:t>
      </w:r>
      <w:r>
        <w:rPr>
          <w:rFonts w:hint="eastAsia" w:ascii="宋体" w:hAnsi="宋体" w:eastAsia="宋体" w:cs="宋体"/>
          <w:b/>
          <w:color w:val="auto"/>
          <w:sz w:val="28"/>
          <w:highlight w:val="none"/>
        </w:rPr>
        <w:t>一：资格审查资料</w:t>
      </w:r>
      <w:bookmarkEnd w:id="86"/>
    </w:p>
    <w:p>
      <w:pPr>
        <w:kinsoku/>
        <w:overflowPunct/>
        <w:bidi w:val="0"/>
        <w:spacing w:line="4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资格审查资料</w:t>
      </w:r>
    </w:p>
    <w:p>
      <w:pPr>
        <w:kinsoku/>
        <w:overflowPunct/>
        <w:autoSpaceDE w:val="0"/>
        <w:autoSpaceDN w:val="0"/>
        <w:bidi w:val="0"/>
        <w:adjustRightInd w:val="0"/>
        <w:snapToGrid w:val="0"/>
        <w:spacing w:line="400" w:lineRule="exact"/>
        <w:ind w:firstLine="560" w:firstLineChars="200"/>
        <w:jc w:val="left"/>
        <w:rPr>
          <w:rFonts w:hint="eastAsia" w:ascii="宋体" w:hAnsi="宋体" w:eastAsia="宋体" w:cs="宋体"/>
          <w:color w:val="auto"/>
          <w:kern w:val="0"/>
          <w:szCs w:val="21"/>
          <w:highlight w:val="none"/>
        </w:rPr>
      </w:pPr>
    </w:p>
    <w:p>
      <w:pPr>
        <w:pStyle w:val="47"/>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（一）资格审查须知</w:t>
      </w:r>
    </w:p>
    <w:p>
      <w:pPr>
        <w:pStyle w:val="47"/>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1、投标人必须认真填写招标文件规定的所有表格，并对其真实性负责，采购人有权对其进行调查核实和要求澄清。</w:t>
      </w:r>
    </w:p>
    <w:p>
      <w:pPr>
        <w:pStyle w:val="47"/>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pPr>
        <w:pStyle w:val="47"/>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（二）资格审查资料格式</w:t>
      </w:r>
    </w:p>
    <w:bookmarkEnd w:id="87"/>
    <w:p>
      <w:pPr>
        <w:pStyle w:val="47"/>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表1 强制性资格条件 </w:t>
      </w:r>
    </w:p>
    <w:p>
      <w:pPr>
        <w:pStyle w:val="47"/>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表2：</w:t>
      </w:r>
      <w:r>
        <w:rPr>
          <w:rFonts w:hint="eastAsia" w:ascii="宋体" w:hAnsi="宋体" w:eastAsia="宋体" w:cs="宋体"/>
          <w:color w:val="auto"/>
          <w:sz w:val="24"/>
          <w:szCs w:val="24"/>
          <w:highlight w:val="none"/>
          <w:shd w:val="clear" w:color="auto" w:fill="auto"/>
        </w:rPr>
        <w:t>具有良好的商业信誉和健全的财务会计制度声明函</w:t>
      </w:r>
    </w:p>
    <w:p>
      <w:pPr>
        <w:pStyle w:val="47"/>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eastAsia="zh-CN"/>
        </w:rPr>
        <w:t>表</w:t>
      </w:r>
      <w:r>
        <w:rPr>
          <w:rFonts w:hint="eastAsia" w:ascii="宋体" w:hAnsi="宋体" w:eastAsia="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rPr>
        <w:t>具有履行合同所必需的专业服务（技术）能力的承诺函</w:t>
      </w:r>
    </w:p>
    <w:p>
      <w:pPr>
        <w:pStyle w:val="47"/>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表</w:t>
      </w:r>
      <w:r>
        <w:rPr>
          <w:rFonts w:hint="eastAsia" w:ascii="宋体" w:hAnsi="宋体" w:eastAsia="宋体" w:cs="宋体"/>
          <w:color w:val="auto"/>
          <w:sz w:val="24"/>
          <w:highlight w:val="none"/>
          <w:shd w:val="clear" w:color="auto" w:fill="auto"/>
          <w:lang w:val="en-US" w:eastAsia="zh-CN"/>
        </w:rPr>
        <w:t>4</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zCs w:val="24"/>
          <w:highlight w:val="none"/>
          <w:shd w:val="clear" w:color="auto" w:fill="auto"/>
        </w:rPr>
        <w:t>依法缴纳税收和社会保障资金的声明函</w:t>
      </w:r>
    </w:p>
    <w:p>
      <w:pPr>
        <w:pStyle w:val="47"/>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ascii="宋体" w:hAnsi="宋体" w:eastAsia="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rPr>
        <w:t xml:space="preserve">：没有重大违法记录承诺函 </w:t>
      </w:r>
    </w:p>
    <w:p>
      <w:pPr>
        <w:pStyle w:val="47"/>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ascii="宋体" w:hAnsi="宋体" w:eastAsia="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rPr>
        <w:t>：无违法失信的声明函</w:t>
      </w:r>
    </w:p>
    <w:p>
      <w:pPr>
        <w:pStyle w:val="47"/>
        <w:keepNext w:val="0"/>
        <w:keepLines w:val="0"/>
        <w:pageBreakBefore w:val="0"/>
        <w:widowControl w:val="0"/>
        <w:kinsoku/>
        <w:wordWrap/>
        <w:overflowPunct/>
        <w:topLinePunct w:val="0"/>
        <w:autoSpaceDE/>
        <w:autoSpaceDN/>
        <w:bidi w:val="0"/>
        <w:adjustRightInd/>
        <w:snapToGrid w:val="0"/>
        <w:spacing w:line="400" w:lineRule="exact"/>
        <w:ind w:left="476" w:leftChars="170" w:right="0" w:rightChars="0" w:firstLine="0" w:firstLineChars="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ascii="宋体" w:hAnsi="宋体" w:eastAsia="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rPr>
        <w:t>：《中小企业声明函》或《残疾人福利性单位声明函》或《监狱企业声明函》</w:t>
      </w:r>
    </w:p>
    <w:p>
      <w:pPr>
        <w:pStyle w:val="47"/>
        <w:keepNext w:val="0"/>
        <w:keepLines w:val="0"/>
        <w:pageBreakBefore w:val="0"/>
        <w:widowControl w:val="0"/>
        <w:kinsoku/>
        <w:wordWrap/>
        <w:overflowPunct/>
        <w:topLinePunct w:val="0"/>
        <w:autoSpaceDE/>
        <w:autoSpaceDN/>
        <w:bidi w:val="0"/>
        <w:adjustRightInd/>
        <w:snapToGrid w:val="0"/>
        <w:spacing w:line="400" w:lineRule="exact"/>
        <w:ind w:left="476" w:leftChars="170" w:right="0" w:rightChars="0" w:firstLine="0" w:firstLineChars="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ascii="宋体" w:hAnsi="宋体" w:eastAsia="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rPr>
        <w:t>：与其他</w:t>
      </w:r>
      <w:r>
        <w:rPr>
          <w:rFonts w:hint="eastAsia"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无利害关系的声明函</w:t>
      </w:r>
    </w:p>
    <w:p>
      <w:pPr>
        <w:pStyle w:val="47"/>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ascii="宋体" w:hAnsi="宋体" w:eastAsia="宋体" w:cs="宋体"/>
          <w:color w:val="auto"/>
          <w:sz w:val="24"/>
          <w:szCs w:val="24"/>
          <w:highlight w:val="none"/>
          <w:shd w:val="clear" w:color="auto" w:fill="auto"/>
          <w:lang w:val="en-US" w:eastAsia="zh-CN"/>
        </w:rPr>
        <w:t>9</w:t>
      </w:r>
      <w:r>
        <w:rPr>
          <w:rFonts w:hint="eastAsia" w:ascii="宋体" w:hAnsi="宋体" w:eastAsia="宋体" w:cs="宋体"/>
          <w:color w:val="auto"/>
          <w:sz w:val="24"/>
          <w:szCs w:val="24"/>
          <w:highlight w:val="none"/>
          <w:shd w:val="clear" w:color="auto" w:fill="auto"/>
        </w:rPr>
        <w:t>：非联合体的声明函</w:t>
      </w:r>
    </w:p>
    <w:p>
      <w:pPr>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outlineLvl w:val="9"/>
        <w:rPr>
          <w:rFonts w:hint="eastAsia" w:ascii="宋体" w:hAnsi="宋体" w:eastAsia="宋体" w:cs="宋体"/>
          <w:b/>
          <w:color w:val="auto"/>
          <w:sz w:val="24"/>
          <w:szCs w:val="24"/>
          <w:highlight w:val="none"/>
        </w:rPr>
      </w:pPr>
    </w:p>
    <w:p>
      <w:pPr>
        <w:pStyle w:val="19"/>
        <w:keepNext w:val="0"/>
        <w:keepLines w:val="0"/>
        <w:pageBreakBefore w:val="0"/>
        <w:widowControl w:val="0"/>
        <w:kinsoku/>
        <w:wordWrap/>
        <w:overflowPunct/>
        <w:topLinePunct w:val="0"/>
        <w:autoSpaceDE/>
        <w:autoSpaceDN/>
        <w:bidi w:val="0"/>
        <w:adjustRightInd/>
        <w:spacing w:after="0" w:line="400" w:lineRule="exact"/>
        <w:ind w:right="0" w:rightChars="0"/>
        <w:jc w:val="both"/>
        <w:textAlignment w:val="auto"/>
        <w:outlineLvl w:val="9"/>
        <w:rPr>
          <w:rFonts w:hint="eastAsia" w:ascii="宋体" w:hAnsi="宋体" w:eastAsia="宋体" w:cs="宋体"/>
          <w:b/>
          <w:color w:val="auto"/>
          <w:sz w:val="24"/>
          <w:szCs w:val="24"/>
          <w:highlight w:val="none"/>
        </w:rPr>
      </w:pPr>
    </w:p>
    <w:p>
      <w:pPr>
        <w:pStyle w:val="19"/>
        <w:kinsoku/>
        <w:overflowPunct/>
        <w:bidi w:val="0"/>
        <w:spacing w:after="0"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b/>
          <w:color w:val="auto"/>
          <w:sz w:val="30"/>
          <w:szCs w:val="30"/>
          <w:highlight w:val="none"/>
        </w:rPr>
      </w:pPr>
    </w:p>
    <w:p>
      <w:pPr>
        <w:pStyle w:val="47"/>
        <w:kinsoku/>
        <w:overflowPunct/>
        <w:bidi w:val="0"/>
        <w:spacing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b/>
          <w:color w:val="auto"/>
          <w:sz w:val="30"/>
          <w:szCs w:val="30"/>
          <w:highlight w:val="none"/>
        </w:rPr>
      </w:pPr>
    </w:p>
    <w:p>
      <w:pPr>
        <w:pStyle w:val="19"/>
        <w:rPr>
          <w:rFonts w:hint="eastAsia" w:ascii="宋体" w:hAnsi="宋体" w:eastAsia="宋体" w:cs="宋体"/>
          <w:color w:val="auto"/>
          <w:highlight w:val="none"/>
        </w:rPr>
      </w:pPr>
    </w:p>
    <w:p>
      <w:pPr>
        <w:pStyle w:val="47"/>
        <w:kinsoku/>
        <w:overflowPunct/>
        <w:bidi w:val="0"/>
        <w:spacing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19"/>
        <w:kinsoku/>
        <w:overflowPunct/>
        <w:bidi w:val="0"/>
        <w:spacing w:after="0" w:line="400" w:lineRule="exact"/>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color w:val="auto"/>
          <w:highlight w:val="none"/>
        </w:rPr>
      </w:pPr>
      <w:r>
        <w:rPr>
          <w:rFonts w:hint="eastAsia" w:ascii="宋体" w:hAnsi="宋体" w:eastAsia="宋体" w:cs="宋体"/>
          <w:b/>
          <w:color w:val="auto"/>
          <w:sz w:val="30"/>
          <w:szCs w:val="30"/>
          <w:highlight w:val="none"/>
        </w:rPr>
        <w:t>表1：强制性资格条件</w:t>
      </w:r>
    </w:p>
    <w:p>
      <w:pPr>
        <w:kinsoku/>
        <w:overflowPunct/>
        <w:bidi w:val="0"/>
        <w:spacing w:line="400" w:lineRule="exact"/>
        <w:jc w:val="center"/>
        <w:rPr>
          <w:rFonts w:hint="eastAsia" w:ascii="宋体" w:hAnsi="宋体" w:eastAsia="宋体" w:cs="宋体"/>
          <w:color w:val="auto"/>
          <w:kern w:val="0"/>
          <w:highlight w:val="none"/>
        </w:rPr>
      </w:pPr>
      <w:r>
        <w:rPr>
          <w:rFonts w:hint="eastAsia" w:ascii="宋体" w:hAnsi="宋体" w:eastAsia="宋体" w:cs="宋体"/>
          <w:b/>
          <w:color w:val="auto"/>
          <w:sz w:val="30"/>
          <w:szCs w:val="30"/>
          <w:highlight w:val="none"/>
        </w:rPr>
        <w:t>强制性资格条件表</w:t>
      </w:r>
    </w:p>
    <w:tbl>
      <w:tblPr>
        <w:tblStyle w:val="97"/>
        <w:tblW w:w="9320" w:type="dxa"/>
        <w:tblInd w:w="0"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
      <w:tblGrid>
        <w:gridCol w:w="738"/>
        <w:gridCol w:w="2614"/>
        <w:gridCol w:w="2175"/>
        <w:gridCol w:w="3793"/>
      </w:tblGrid>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b/>
                <w:color w:val="auto"/>
                <w:sz w:val="20"/>
                <w:szCs w:val="20"/>
                <w:highlight w:val="none"/>
                <w:shd w:val="clear" w:color="auto" w:fill="auto"/>
              </w:rPr>
              <w:t>序号</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b/>
                <w:color w:val="auto"/>
                <w:sz w:val="20"/>
                <w:szCs w:val="20"/>
                <w:highlight w:val="none"/>
                <w:shd w:val="clear" w:color="auto" w:fill="auto"/>
              </w:rPr>
              <w:t>资格条件要求</w:t>
            </w:r>
          </w:p>
        </w:tc>
        <w:tc>
          <w:tcPr>
            <w:tcW w:w="5968"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b/>
                <w:color w:val="auto"/>
                <w:sz w:val="20"/>
                <w:szCs w:val="20"/>
                <w:highlight w:val="none"/>
                <w:shd w:val="clear" w:color="auto" w:fill="auto"/>
              </w:rPr>
              <w:t>要求提供的证明材料</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244"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基本资格要求：</w:t>
            </w:r>
          </w:p>
        </w:tc>
        <w:tc>
          <w:tcPr>
            <w:tcW w:w="5968"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1827"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1.1</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具有独立承担民事责任的能力</w:t>
            </w:r>
          </w:p>
        </w:tc>
        <w:tc>
          <w:tcPr>
            <w:tcW w:w="5968" w:type="dxa"/>
            <w:gridSpan w:val="2"/>
            <w:vAlign w:val="center"/>
          </w:tcPr>
          <w:p>
            <w:pPr>
              <w:kinsoku/>
              <w:overflowPunct/>
              <w:bidi w:val="0"/>
              <w:spacing w:line="400" w:lineRule="exact"/>
              <w:rPr>
                <w:rFonts w:hint="eastAsia" w:ascii="宋体" w:hAnsi="宋体" w:eastAsia="宋体" w:cs="宋体"/>
                <w:color w:val="auto"/>
                <w:sz w:val="20"/>
                <w:highlight w:val="none"/>
                <w:shd w:val="clear" w:color="auto" w:fill="auto"/>
                <w:lang w:val="zh-CN"/>
              </w:rPr>
            </w:pPr>
            <w:r>
              <w:rPr>
                <w:rFonts w:hint="eastAsia" w:ascii="宋体" w:hAnsi="宋体" w:eastAsia="宋体" w:cs="宋体"/>
                <w:color w:val="auto"/>
                <w:sz w:val="20"/>
                <w:highlight w:val="none"/>
                <w:shd w:val="clear" w:color="auto" w:fill="auto"/>
                <w:lang w:val="zh-CN"/>
              </w:rPr>
              <w:t>营业执照(或事业法人登记证书或其它工商等登记证明材料；自然人参与政府采购，提供身份证)复印件、实施“五证合一、一照一码”登记制度改革的，只需提供改革后取得的营业执照复印件</w:t>
            </w:r>
          </w:p>
          <w:p>
            <w:pPr>
              <w:kinsoku/>
              <w:overflowPunct/>
              <w:bidi w:val="0"/>
              <w:spacing w:line="400" w:lineRule="exact"/>
              <w:rPr>
                <w:rFonts w:hint="eastAsia" w:ascii="宋体" w:hAnsi="宋体" w:eastAsia="宋体" w:cs="宋体"/>
                <w:color w:val="auto"/>
                <w:sz w:val="20"/>
                <w:szCs w:val="20"/>
                <w:highlight w:val="none"/>
                <w:shd w:val="clear" w:color="auto" w:fill="auto"/>
                <w:lang w:val="zh-CN"/>
              </w:rPr>
            </w:pPr>
            <w:r>
              <w:rPr>
                <w:rFonts w:hint="eastAsia" w:ascii="宋体" w:hAnsi="宋体" w:eastAsia="宋体" w:cs="宋体"/>
                <w:color w:val="auto"/>
                <w:sz w:val="20"/>
                <w:highlight w:val="none"/>
                <w:shd w:val="clear" w:color="auto" w:fill="auto"/>
                <w:lang w:val="zh-CN"/>
              </w:rPr>
              <w:t xml:space="preserve">注：具体资格要求详见“第一部分 </w:t>
            </w:r>
            <w:r>
              <w:rPr>
                <w:rFonts w:hint="eastAsia" w:ascii="宋体" w:hAnsi="宋体" w:eastAsia="宋体" w:cs="宋体"/>
                <w:color w:val="auto"/>
                <w:sz w:val="20"/>
                <w:highlight w:val="none"/>
                <w:shd w:val="clear" w:color="auto" w:fill="auto"/>
                <w:lang w:val="en-US" w:eastAsia="zh-CN"/>
              </w:rPr>
              <w:t>招标</w:t>
            </w:r>
            <w:r>
              <w:rPr>
                <w:rFonts w:hint="eastAsia" w:ascii="宋体" w:hAnsi="宋体" w:eastAsia="宋体" w:cs="宋体"/>
                <w:color w:val="auto"/>
                <w:sz w:val="20"/>
                <w:highlight w:val="none"/>
                <w:shd w:val="clear" w:color="auto" w:fill="auto"/>
                <w:lang w:val="zh-CN"/>
              </w:rPr>
              <w:t>公告”中“二、申请人的资格要求”。</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1065"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1.2</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具有良好的商业信誉和健全的财务会计制度</w:t>
            </w:r>
          </w:p>
        </w:tc>
        <w:tc>
          <w:tcPr>
            <w:tcW w:w="5968" w:type="dxa"/>
            <w:gridSpan w:val="2"/>
            <w:vAlign w:val="center"/>
          </w:tcPr>
          <w:p>
            <w:pPr>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highlight w:val="none"/>
                <w:shd w:val="clear" w:color="auto" w:fill="auto"/>
                <w:lang w:val="zh-CN"/>
              </w:rPr>
              <w:t>具有良好的商业信誉和健全的财务会计制度声明函，</w:t>
            </w:r>
            <w:r>
              <w:rPr>
                <w:rFonts w:hint="eastAsia" w:ascii="宋体" w:hAnsi="宋体" w:eastAsia="宋体" w:cs="宋体"/>
                <w:color w:val="auto"/>
                <w:sz w:val="20"/>
                <w:highlight w:val="none"/>
                <w:shd w:val="clear" w:color="auto" w:fill="auto"/>
              </w:rPr>
              <w:t>详见表2。</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527"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1.3</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具有履行合同所必需的设备和专业技术能力</w:t>
            </w:r>
          </w:p>
        </w:tc>
        <w:tc>
          <w:tcPr>
            <w:tcW w:w="5968" w:type="dxa"/>
            <w:gridSpan w:val="2"/>
            <w:vAlign w:val="center"/>
          </w:tcPr>
          <w:p>
            <w:pPr>
              <w:rPr>
                <w:rFonts w:hint="eastAsia" w:ascii="宋体" w:hAnsi="宋体" w:eastAsia="宋体" w:cs="宋体"/>
                <w:color w:val="auto"/>
                <w:sz w:val="20"/>
                <w:szCs w:val="20"/>
                <w:highlight w:val="none"/>
                <w:shd w:val="clear" w:color="auto" w:fill="auto"/>
                <w:lang w:val="zh-CN"/>
              </w:rPr>
            </w:pPr>
            <w:r>
              <w:rPr>
                <w:rFonts w:hint="eastAsia" w:ascii="宋体" w:hAnsi="宋体" w:eastAsia="宋体" w:cs="宋体"/>
                <w:color w:val="auto"/>
                <w:sz w:val="20"/>
                <w:highlight w:val="none"/>
                <w:shd w:val="clear" w:color="auto" w:fill="auto"/>
                <w:lang w:val="zh-CN"/>
              </w:rPr>
              <w:t>具有履行合同所必需的设备和专业技术能力的声明函，</w:t>
            </w:r>
            <w:r>
              <w:rPr>
                <w:rFonts w:hint="eastAsia" w:ascii="宋体" w:hAnsi="宋体" w:eastAsia="宋体" w:cs="宋体"/>
                <w:color w:val="auto"/>
                <w:sz w:val="20"/>
                <w:highlight w:val="none"/>
                <w:shd w:val="clear" w:color="auto" w:fill="auto"/>
              </w:rPr>
              <w:t>详见表</w:t>
            </w:r>
            <w:r>
              <w:rPr>
                <w:rFonts w:hint="eastAsia" w:ascii="宋体" w:hAnsi="宋体" w:eastAsia="宋体" w:cs="宋体"/>
                <w:color w:val="auto"/>
                <w:sz w:val="20"/>
                <w:highlight w:val="none"/>
                <w:shd w:val="clear" w:color="auto" w:fill="auto"/>
                <w:lang w:val="en-US" w:eastAsia="zh-CN"/>
              </w:rPr>
              <w:t>3</w:t>
            </w:r>
            <w:r>
              <w:rPr>
                <w:rFonts w:hint="eastAsia" w:ascii="宋体" w:hAnsi="宋体" w:eastAsia="宋体" w:cs="宋体"/>
                <w:color w:val="auto"/>
                <w:sz w:val="20"/>
                <w:highlight w:val="none"/>
                <w:shd w:val="clear" w:color="auto" w:fill="auto"/>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1031"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1.4</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有依法缴纳税收和社会保障资金的良好记录</w:t>
            </w:r>
          </w:p>
        </w:tc>
        <w:tc>
          <w:tcPr>
            <w:tcW w:w="5968" w:type="dxa"/>
            <w:gridSpan w:val="2"/>
            <w:vAlign w:val="center"/>
          </w:tcPr>
          <w:p>
            <w:pPr>
              <w:rPr>
                <w:rFonts w:hint="eastAsia" w:ascii="宋体" w:hAnsi="宋体" w:eastAsia="宋体" w:cs="宋体"/>
                <w:color w:val="auto"/>
                <w:sz w:val="20"/>
                <w:szCs w:val="20"/>
                <w:highlight w:val="none"/>
                <w:shd w:val="clear" w:color="auto" w:fill="auto"/>
                <w:lang w:val="zh-CN"/>
              </w:rPr>
            </w:pPr>
            <w:r>
              <w:rPr>
                <w:rFonts w:hint="eastAsia" w:ascii="宋体" w:hAnsi="宋体" w:eastAsia="宋体" w:cs="宋体"/>
                <w:color w:val="auto"/>
                <w:sz w:val="20"/>
                <w:highlight w:val="none"/>
                <w:shd w:val="clear" w:color="auto" w:fill="auto"/>
                <w:lang w:val="zh-CN"/>
              </w:rPr>
              <w:t>依法缴纳税收和社会保障资金的声明</w:t>
            </w:r>
            <w:r>
              <w:rPr>
                <w:rFonts w:hint="eastAsia" w:ascii="宋体" w:hAnsi="宋体" w:eastAsia="宋体" w:cs="宋体"/>
                <w:color w:val="auto"/>
                <w:sz w:val="20"/>
                <w:highlight w:val="none"/>
                <w:shd w:val="clear" w:color="auto" w:fill="auto"/>
                <w:lang w:val="en-US" w:eastAsia="zh-CN"/>
              </w:rPr>
              <w:t>函</w:t>
            </w:r>
            <w:r>
              <w:rPr>
                <w:rFonts w:hint="eastAsia" w:ascii="宋体" w:hAnsi="宋体" w:eastAsia="宋体" w:cs="宋体"/>
                <w:color w:val="auto"/>
                <w:sz w:val="20"/>
                <w:highlight w:val="none"/>
                <w:shd w:val="clear" w:color="auto" w:fill="auto"/>
                <w:lang w:val="zh-CN"/>
              </w:rPr>
              <w:t>，</w:t>
            </w:r>
            <w:r>
              <w:rPr>
                <w:rFonts w:hint="eastAsia" w:ascii="宋体" w:hAnsi="宋体" w:eastAsia="宋体" w:cs="宋体"/>
                <w:color w:val="auto"/>
                <w:sz w:val="20"/>
                <w:highlight w:val="none"/>
                <w:shd w:val="clear" w:color="auto" w:fill="auto"/>
              </w:rPr>
              <w:t>详见表</w:t>
            </w:r>
            <w:r>
              <w:rPr>
                <w:rFonts w:hint="eastAsia" w:ascii="宋体" w:hAnsi="宋体" w:eastAsia="宋体" w:cs="宋体"/>
                <w:color w:val="auto"/>
                <w:sz w:val="20"/>
                <w:highlight w:val="none"/>
                <w:shd w:val="clear" w:color="auto" w:fill="auto"/>
                <w:lang w:val="en-US" w:eastAsia="zh-CN"/>
              </w:rPr>
              <w:t>4</w:t>
            </w:r>
            <w:r>
              <w:rPr>
                <w:rFonts w:hint="eastAsia" w:ascii="宋体" w:hAnsi="宋体" w:eastAsia="宋体" w:cs="宋体"/>
                <w:color w:val="auto"/>
                <w:sz w:val="20"/>
                <w:highlight w:val="none"/>
                <w:shd w:val="clear" w:color="auto" w:fill="auto"/>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679"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1.5</w:t>
            </w:r>
          </w:p>
        </w:tc>
        <w:tc>
          <w:tcPr>
            <w:tcW w:w="4789"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参加政府采购活动前三年内（新成立不满三年的公司自成立之日起算）在经营活动中没有重大违法记录</w:t>
            </w:r>
          </w:p>
        </w:tc>
        <w:tc>
          <w:tcPr>
            <w:tcW w:w="3793"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没有重大违法记录承诺函，详见表</w:t>
            </w:r>
            <w:r>
              <w:rPr>
                <w:rFonts w:hint="eastAsia" w:ascii="宋体" w:hAnsi="宋体" w:eastAsia="宋体" w:cs="宋体"/>
                <w:color w:val="auto"/>
                <w:sz w:val="20"/>
                <w:szCs w:val="20"/>
                <w:highlight w:val="none"/>
                <w:shd w:val="clear" w:color="auto" w:fill="auto"/>
                <w:lang w:val="en-US" w:eastAsia="zh-CN"/>
              </w:rPr>
              <w:t>5</w:t>
            </w:r>
            <w:r>
              <w:rPr>
                <w:rFonts w:hint="eastAsia" w:ascii="宋体" w:hAnsi="宋体" w:eastAsia="宋体" w:cs="宋体"/>
                <w:color w:val="auto"/>
                <w:sz w:val="20"/>
                <w:szCs w:val="20"/>
                <w:highlight w:val="none"/>
                <w:shd w:val="clear" w:color="auto" w:fill="auto"/>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1130"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1.6</w:t>
            </w:r>
          </w:p>
        </w:tc>
        <w:tc>
          <w:tcPr>
            <w:tcW w:w="4789"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en-US" w:eastAsia="zh-CN"/>
              </w:rPr>
              <w:t>投标</w:t>
            </w:r>
            <w:r>
              <w:rPr>
                <w:rFonts w:hint="eastAsia" w:ascii="宋体" w:hAnsi="宋体" w:eastAsia="宋体" w:cs="宋体"/>
                <w:color w:val="auto"/>
                <w:sz w:val="20"/>
                <w:szCs w:val="20"/>
                <w:highlight w:val="none"/>
                <w:shd w:val="clear" w:color="auto" w:fill="auto"/>
              </w:rPr>
              <w:t>截止前未被“信用中国”网站(www.creditchina.gov.cn)列入失信被执行人、重大税收违法案件当事人名单、政府采购不良行为记录名单；未被“中国政府采购网”(www.ccgp.gov.cn)列入政府采购严重违法失信行为记录名单。</w:t>
            </w:r>
          </w:p>
        </w:tc>
        <w:tc>
          <w:tcPr>
            <w:tcW w:w="3793" w:type="dxa"/>
            <w:vAlign w:val="center"/>
          </w:tcPr>
          <w:p>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lang w:bidi="ar"/>
              </w:rPr>
              <w:t>无违法失信的声明函，</w:t>
            </w:r>
            <w:r>
              <w:rPr>
                <w:rFonts w:hint="eastAsia" w:ascii="宋体" w:hAnsi="宋体" w:eastAsia="宋体" w:cs="宋体"/>
                <w:color w:val="auto"/>
                <w:sz w:val="20"/>
                <w:szCs w:val="20"/>
                <w:highlight w:val="none"/>
                <w:shd w:val="clear" w:color="auto" w:fill="auto"/>
              </w:rPr>
              <w:t>详见表</w:t>
            </w:r>
            <w:r>
              <w:rPr>
                <w:rFonts w:hint="eastAsia" w:ascii="宋体" w:hAnsi="宋体" w:eastAsia="宋体" w:cs="宋体"/>
                <w:color w:val="auto"/>
                <w:sz w:val="20"/>
                <w:szCs w:val="20"/>
                <w:highlight w:val="none"/>
                <w:shd w:val="clear" w:color="auto" w:fill="auto"/>
                <w:lang w:val="en-US" w:eastAsia="zh-CN"/>
              </w:rPr>
              <w:t>6。</w:t>
            </w:r>
          </w:p>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524"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2</w:t>
            </w:r>
          </w:p>
        </w:tc>
        <w:tc>
          <w:tcPr>
            <w:tcW w:w="4789"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特定资格要求：</w:t>
            </w:r>
          </w:p>
        </w:tc>
        <w:tc>
          <w:tcPr>
            <w:tcW w:w="3793"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524"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lang w:val="en-US" w:eastAsia="zh-CN"/>
              </w:rPr>
            </w:pPr>
            <w:r>
              <w:rPr>
                <w:rFonts w:hint="eastAsia" w:ascii="宋体" w:hAnsi="宋体" w:eastAsia="宋体" w:cs="宋体"/>
                <w:color w:val="auto"/>
                <w:sz w:val="20"/>
                <w:szCs w:val="20"/>
                <w:highlight w:val="none"/>
                <w:shd w:val="clear" w:color="auto" w:fill="auto"/>
                <w:lang w:val="en-US" w:eastAsia="zh-CN"/>
              </w:rPr>
              <w:t>2.1</w:t>
            </w:r>
          </w:p>
        </w:tc>
        <w:tc>
          <w:tcPr>
            <w:tcW w:w="4789" w:type="dxa"/>
            <w:gridSpan w:val="2"/>
            <w:vAlign w:val="center"/>
          </w:tcPr>
          <w:p>
            <w:pPr>
              <w:kinsoku/>
              <w:overflowPunct/>
              <w:bidi w:val="0"/>
              <w:spacing w:line="400" w:lineRule="exact"/>
              <w:jc w:val="left"/>
              <w:rPr>
                <w:rFonts w:hint="eastAsia" w:ascii="宋体" w:hAnsi="宋体" w:eastAsia="宋体" w:cs="宋体"/>
                <w:color w:val="auto"/>
                <w:sz w:val="20"/>
                <w:szCs w:val="20"/>
                <w:highlight w:val="none"/>
                <w:shd w:val="clear" w:color="auto" w:fill="auto"/>
                <w:lang w:val="zh-CN"/>
              </w:rPr>
            </w:pPr>
            <w:r>
              <w:rPr>
                <w:rFonts w:hint="eastAsia" w:ascii="宋体" w:hAnsi="宋体" w:eastAsia="宋体" w:cs="宋体"/>
                <w:color w:val="auto"/>
                <w:sz w:val="20"/>
                <w:szCs w:val="22"/>
                <w:highlight w:val="none"/>
                <w:lang w:val="zh-CN"/>
              </w:rPr>
              <w:t>本项目属于专门面向中小企业采购的项目,</w:t>
            </w:r>
            <w:r>
              <w:rPr>
                <w:rFonts w:hint="eastAsia" w:ascii="宋体" w:hAnsi="宋体" w:cs="宋体"/>
                <w:color w:val="auto"/>
                <w:sz w:val="20"/>
                <w:szCs w:val="22"/>
                <w:highlight w:val="none"/>
                <w:lang w:val="zh-CN"/>
              </w:rPr>
              <w:t>投标人</w:t>
            </w:r>
            <w:r>
              <w:rPr>
                <w:rFonts w:hint="eastAsia" w:ascii="宋体" w:hAnsi="宋体" w:eastAsia="宋体" w:cs="宋体"/>
                <w:color w:val="auto"/>
                <w:sz w:val="20"/>
                <w:szCs w:val="22"/>
                <w:highlight w:val="none"/>
                <w:lang w:val="zh-CN"/>
              </w:rPr>
              <w:t>应为中小企业或监狱企业或残疾人福利性单位</w:t>
            </w:r>
          </w:p>
        </w:tc>
        <w:tc>
          <w:tcPr>
            <w:tcW w:w="3793" w:type="dxa"/>
            <w:vAlign w:val="center"/>
          </w:tcPr>
          <w:p>
            <w:pPr>
              <w:kinsoku/>
              <w:overflowPunct/>
              <w:bidi w:val="0"/>
              <w:spacing w:line="400" w:lineRule="exact"/>
              <w:rPr>
                <w:rFonts w:hint="eastAsia" w:ascii="宋体" w:hAnsi="宋体" w:eastAsia="宋体" w:cs="宋体"/>
                <w:color w:val="auto"/>
                <w:sz w:val="20"/>
                <w:szCs w:val="20"/>
                <w:highlight w:val="none"/>
                <w:shd w:val="clear" w:color="auto" w:fill="auto"/>
                <w:lang w:eastAsia="zh-CN"/>
              </w:rPr>
            </w:pPr>
            <w:r>
              <w:rPr>
                <w:rFonts w:hint="eastAsia" w:ascii="宋体" w:hAnsi="宋体" w:eastAsia="宋体" w:cs="宋体"/>
                <w:color w:val="auto"/>
                <w:sz w:val="20"/>
                <w:highlight w:val="none"/>
                <w:lang w:eastAsia="zh-CN"/>
              </w:rPr>
              <w:t>提供</w:t>
            </w:r>
            <w:r>
              <w:rPr>
                <w:rFonts w:hint="eastAsia" w:ascii="宋体" w:hAnsi="宋体" w:eastAsia="宋体" w:cs="宋体"/>
                <w:color w:val="auto"/>
                <w:sz w:val="20"/>
                <w:highlight w:val="none"/>
              </w:rPr>
              <w:t>《中小企业声明函》</w:t>
            </w:r>
            <w:r>
              <w:rPr>
                <w:rFonts w:hint="eastAsia" w:ascii="宋体" w:hAnsi="宋体" w:eastAsia="宋体" w:cs="宋体"/>
                <w:color w:val="auto"/>
                <w:sz w:val="20"/>
                <w:highlight w:val="none"/>
                <w:lang w:eastAsia="zh-CN"/>
              </w:rPr>
              <w:t>或</w:t>
            </w:r>
            <w:r>
              <w:rPr>
                <w:rFonts w:hint="eastAsia" w:ascii="宋体" w:hAnsi="宋体" w:eastAsia="宋体" w:cs="宋体"/>
                <w:color w:val="auto"/>
                <w:sz w:val="20"/>
                <w:highlight w:val="none"/>
              </w:rPr>
              <w:t>《残疾人福利性单位声明函》</w:t>
            </w:r>
            <w:r>
              <w:rPr>
                <w:rFonts w:hint="eastAsia" w:ascii="宋体" w:hAnsi="宋体" w:eastAsia="宋体" w:cs="宋体"/>
                <w:color w:val="auto"/>
                <w:sz w:val="20"/>
                <w:highlight w:val="none"/>
                <w:lang w:eastAsia="zh-CN"/>
              </w:rPr>
              <w:t>或</w:t>
            </w:r>
            <w:r>
              <w:rPr>
                <w:rFonts w:hint="eastAsia" w:ascii="宋体" w:hAnsi="宋体" w:eastAsia="宋体" w:cs="宋体"/>
                <w:color w:val="auto"/>
                <w:sz w:val="20"/>
                <w:highlight w:val="none"/>
              </w:rPr>
              <w:t>《监狱企业声明函》</w:t>
            </w:r>
            <w:r>
              <w:rPr>
                <w:rFonts w:hint="eastAsia" w:ascii="宋体" w:hAnsi="宋体" w:eastAsia="宋体" w:cs="宋体"/>
                <w:color w:val="auto"/>
                <w:sz w:val="20"/>
                <w:highlight w:val="none"/>
                <w:lang w:eastAsia="zh-CN"/>
              </w:rPr>
              <w:t>。详见表</w:t>
            </w:r>
            <w:r>
              <w:rPr>
                <w:rFonts w:hint="eastAsia" w:ascii="宋体" w:hAnsi="宋体" w:eastAsia="宋体" w:cs="宋体"/>
                <w:color w:val="auto"/>
                <w:sz w:val="20"/>
                <w:highlight w:val="none"/>
                <w:lang w:val="en-US" w:eastAsia="zh-CN"/>
              </w:rPr>
              <w:t>7</w:t>
            </w:r>
            <w:r>
              <w:rPr>
                <w:rFonts w:hint="eastAsia" w:ascii="宋体" w:hAnsi="宋体" w:eastAsia="宋体" w:cs="宋体"/>
                <w:color w:val="auto"/>
                <w:sz w:val="20"/>
                <w:highlight w:val="none"/>
                <w:lang w:eastAsia="zh-CN"/>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323"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lang w:val="en-US" w:eastAsia="zh-CN"/>
              </w:rPr>
            </w:pPr>
            <w:r>
              <w:rPr>
                <w:rFonts w:hint="eastAsia" w:ascii="宋体" w:hAnsi="宋体" w:eastAsia="宋体" w:cs="宋体"/>
                <w:color w:val="auto"/>
                <w:sz w:val="20"/>
                <w:szCs w:val="20"/>
                <w:highlight w:val="none"/>
                <w:shd w:val="clear" w:color="auto" w:fill="auto"/>
                <w:lang w:val="en-US" w:eastAsia="zh-CN"/>
              </w:rPr>
              <w:t>2.2</w:t>
            </w:r>
          </w:p>
        </w:tc>
        <w:tc>
          <w:tcPr>
            <w:tcW w:w="4789"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单位负责人为同一人或者存在直接控股、管理关系的不同投标人，不得参加同一合同项下的政府采购活动</w:t>
            </w:r>
          </w:p>
        </w:tc>
        <w:tc>
          <w:tcPr>
            <w:tcW w:w="3793"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sz w:val="20"/>
                <w:szCs w:val="20"/>
                <w:highlight w:val="none"/>
                <w:shd w:val="clear" w:color="auto" w:fill="auto"/>
              </w:rPr>
              <w:t>与其他</w:t>
            </w:r>
            <w:r>
              <w:rPr>
                <w:rFonts w:hint="eastAsia" w:ascii="宋体" w:hAnsi="宋体" w:cs="宋体"/>
                <w:color w:val="auto"/>
                <w:sz w:val="20"/>
                <w:szCs w:val="20"/>
                <w:highlight w:val="none"/>
                <w:shd w:val="clear" w:color="auto" w:fill="auto"/>
                <w:lang w:eastAsia="zh-CN"/>
              </w:rPr>
              <w:t>投标人</w:t>
            </w:r>
            <w:r>
              <w:rPr>
                <w:rFonts w:hint="eastAsia" w:ascii="宋体" w:hAnsi="宋体" w:eastAsia="宋体" w:cs="宋体"/>
                <w:color w:val="auto"/>
                <w:sz w:val="20"/>
                <w:szCs w:val="20"/>
                <w:highlight w:val="none"/>
                <w:shd w:val="clear" w:color="auto" w:fill="auto"/>
              </w:rPr>
              <w:t>无利害关系的声明函，详见表</w:t>
            </w:r>
            <w:r>
              <w:rPr>
                <w:rFonts w:hint="eastAsia" w:ascii="宋体" w:hAnsi="宋体" w:eastAsia="宋体" w:cs="宋体"/>
                <w:color w:val="auto"/>
                <w:sz w:val="20"/>
                <w:szCs w:val="20"/>
                <w:highlight w:val="none"/>
                <w:shd w:val="clear" w:color="auto" w:fill="auto"/>
                <w:lang w:val="en-US" w:eastAsia="zh-CN"/>
              </w:rPr>
              <w:t>8</w:t>
            </w:r>
            <w:r>
              <w:rPr>
                <w:rFonts w:hint="eastAsia" w:ascii="宋体" w:hAnsi="宋体" w:eastAsia="宋体" w:cs="宋体"/>
                <w:color w:val="auto"/>
                <w:sz w:val="20"/>
                <w:szCs w:val="20"/>
                <w:highlight w:val="none"/>
                <w:shd w:val="clear" w:color="auto" w:fill="auto"/>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323"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lang w:val="en-US" w:eastAsia="zh-CN"/>
              </w:rPr>
            </w:pPr>
            <w:r>
              <w:rPr>
                <w:rFonts w:hint="eastAsia" w:ascii="宋体" w:hAnsi="宋体" w:eastAsia="宋体" w:cs="宋体"/>
                <w:color w:val="auto"/>
                <w:sz w:val="20"/>
                <w:szCs w:val="20"/>
                <w:highlight w:val="none"/>
                <w:shd w:val="clear" w:color="auto" w:fill="auto"/>
                <w:lang w:val="en-US" w:eastAsia="zh-CN"/>
              </w:rPr>
              <w:t>2.3</w:t>
            </w:r>
          </w:p>
        </w:tc>
        <w:tc>
          <w:tcPr>
            <w:tcW w:w="4789" w:type="dxa"/>
            <w:gridSpan w:val="2"/>
            <w:vAlign w:val="center"/>
          </w:tcPr>
          <w:p>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非联合体。</w:t>
            </w:r>
          </w:p>
        </w:tc>
        <w:tc>
          <w:tcPr>
            <w:tcW w:w="3793" w:type="dxa"/>
            <w:vAlign w:val="center"/>
          </w:tcPr>
          <w:p>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非联合体的声明函，</w:t>
            </w:r>
            <w:r>
              <w:rPr>
                <w:rFonts w:hint="eastAsia" w:ascii="宋体" w:hAnsi="宋体" w:eastAsia="宋体" w:cs="宋体"/>
                <w:color w:val="auto"/>
                <w:sz w:val="20"/>
                <w:szCs w:val="20"/>
                <w:highlight w:val="none"/>
                <w:shd w:val="clear" w:color="auto" w:fill="auto"/>
              </w:rPr>
              <w:t>详见表</w:t>
            </w:r>
            <w:r>
              <w:rPr>
                <w:rFonts w:hint="eastAsia" w:ascii="宋体" w:hAnsi="宋体" w:eastAsia="宋体" w:cs="宋体"/>
                <w:color w:val="auto"/>
                <w:sz w:val="20"/>
                <w:szCs w:val="20"/>
                <w:highlight w:val="none"/>
                <w:shd w:val="clear" w:color="auto" w:fill="auto"/>
                <w:lang w:val="en-US" w:eastAsia="zh-CN"/>
              </w:rPr>
              <w:t>9</w:t>
            </w:r>
            <w:r>
              <w:rPr>
                <w:rFonts w:hint="eastAsia" w:ascii="宋体" w:hAnsi="宋体" w:eastAsia="宋体" w:cs="宋体"/>
                <w:color w:val="auto"/>
                <w:kern w:val="0"/>
                <w:sz w:val="20"/>
                <w:szCs w:val="20"/>
                <w:highlight w:val="none"/>
                <w:shd w:val="clear" w:color="auto" w:fill="auto"/>
              </w:rPr>
              <w:t>。</w:t>
            </w:r>
          </w:p>
        </w:tc>
      </w:tr>
    </w:tbl>
    <w:p>
      <w:pPr>
        <w:pStyle w:val="19"/>
        <w:spacing w:before="66"/>
        <w:rPr>
          <w:rFonts w:hint="eastAsia" w:ascii="宋体" w:hAnsi="宋体" w:eastAsia="宋体" w:cs="宋体"/>
          <w:color w:val="auto"/>
          <w:sz w:val="24"/>
          <w:highlight w:val="none"/>
          <w:shd w:val="clear" w:color="auto" w:fill="auto"/>
        </w:rPr>
      </w:pPr>
    </w:p>
    <w:p>
      <w:pPr>
        <w:pStyle w:val="18"/>
        <w:rPr>
          <w:rFonts w:hint="eastAsia" w:ascii="宋体" w:hAnsi="宋体" w:eastAsia="宋体" w:cs="宋体"/>
          <w:color w:val="auto"/>
          <w:highlight w:val="none"/>
        </w:rPr>
      </w:pPr>
    </w:p>
    <w:p>
      <w:pPr>
        <w:pStyle w:val="19"/>
        <w:spacing w:before="66"/>
        <w:rPr>
          <w:rFonts w:hint="eastAsia" w:ascii="宋体" w:hAnsi="宋体" w:eastAsia="宋体" w:cs="宋体"/>
          <w:color w:val="auto"/>
          <w:sz w:val="24"/>
          <w:highlight w:val="none"/>
          <w:shd w:val="clear" w:color="auto" w:fill="auto"/>
        </w:rPr>
      </w:pPr>
    </w:p>
    <w:p>
      <w:pPr>
        <w:pStyle w:val="19"/>
        <w:spacing w:before="6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表2：</w:t>
      </w:r>
      <w:r>
        <w:rPr>
          <w:rFonts w:hint="eastAsia" w:ascii="宋体" w:hAnsi="宋体" w:eastAsia="宋体" w:cs="宋体"/>
          <w:color w:val="auto"/>
          <w:sz w:val="24"/>
          <w:szCs w:val="24"/>
          <w:highlight w:val="none"/>
          <w:shd w:val="clear" w:color="auto" w:fill="auto"/>
        </w:rPr>
        <w:t>具有良好的商业信誉和健全的财务会计制度声明函</w:t>
      </w:r>
    </w:p>
    <w:p>
      <w:pPr>
        <w:pStyle w:val="18"/>
        <w:rPr>
          <w:rFonts w:hint="eastAsia" w:ascii="宋体" w:hAnsi="宋体" w:eastAsia="宋体" w:cs="宋体"/>
          <w:color w:val="auto"/>
          <w:highlight w:val="none"/>
          <w:shd w:val="clear" w:color="auto" w:fill="auto"/>
        </w:rPr>
      </w:pPr>
    </w:p>
    <w:p>
      <w:pPr>
        <w:kinsoku/>
        <w:overflowPunct/>
        <w:bidi w:val="0"/>
        <w:spacing w:line="400" w:lineRule="exact"/>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具有良好的商业信誉和健全的财务会计制度声明函</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auto"/>
        <w:outlineLvl w:val="9"/>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u w:val="single"/>
          <w:shd w:val="clear" w:color="auto" w:fill="auto"/>
        </w:rPr>
        <w:t xml:space="preserve">（采购人）                   </w:t>
      </w:r>
      <w:r>
        <w:rPr>
          <w:rFonts w:hint="eastAsia" w:ascii="宋体" w:hAnsi="宋体" w:eastAsia="宋体" w:cs="宋体"/>
          <w:color w:val="auto"/>
          <w:kern w:val="0"/>
          <w:sz w:val="24"/>
          <w:highlight w:val="none"/>
          <w:shd w:val="clear" w:color="auto" w:fill="auto"/>
        </w:rPr>
        <w:t>：</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480" w:firstLineChars="200"/>
        <w:jc w:val="left"/>
        <w:textAlignment w:val="auto"/>
        <w:outlineLvl w:val="9"/>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我方</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cs="宋体"/>
          <w:color w:val="auto"/>
          <w:kern w:val="0"/>
          <w:sz w:val="24"/>
          <w:highlight w:val="none"/>
          <w:u w:val="single"/>
          <w:shd w:val="clear" w:color="auto" w:fill="auto"/>
          <w:lang w:eastAsia="zh-CN"/>
        </w:rPr>
        <w:t>投标人</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spacing w:val="-4"/>
          <w:sz w:val="24"/>
          <w:szCs w:val="24"/>
          <w:highlight w:val="none"/>
          <w:shd w:val="clear" w:color="auto" w:fill="auto"/>
        </w:rPr>
        <w:t>具有良好的商业</w:t>
      </w:r>
      <w:r>
        <w:rPr>
          <w:rFonts w:hint="eastAsia" w:ascii="宋体" w:hAnsi="宋体" w:eastAsia="宋体" w:cs="宋体"/>
          <w:color w:val="auto"/>
          <w:spacing w:val="-7"/>
          <w:sz w:val="24"/>
          <w:szCs w:val="24"/>
          <w:highlight w:val="none"/>
          <w:shd w:val="clear" w:color="auto" w:fill="auto"/>
        </w:rPr>
        <w:t>信誉和健全的财务会计制度，我方对上述声明的真实性负责。如有虚假，采购人可取消我方任何资格（投标/中标/签订合同），我方对此无任何异议</w:t>
      </w:r>
      <w:r>
        <w:rPr>
          <w:rFonts w:hint="eastAsia" w:ascii="宋体" w:hAnsi="宋体" w:eastAsia="宋体" w:cs="宋体"/>
          <w:color w:val="auto"/>
          <w:kern w:val="0"/>
          <w:sz w:val="24"/>
          <w:highlight w:val="none"/>
          <w:shd w:val="clear" w:color="auto" w:fill="auto"/>
        </w:rPr>
        <w:t>。</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特此承诺！</w:t>
      </w:r>
    </w:p>
    <w:p>
      <w:pPr>
        <w:pStyle w:val="59"/>
        <w:rPr>
          <w:rFonts w:hint="eastAsia" w:ascii="宋体" w:hAnsi="宋体" w:eastAsia="宋体" w:cs="宋体"/>
          <w:color w:val="auto"/>
          <w:kern w:val="0"/>
          <w:sz w:val="24"/>
          <w:highlight w:val="none"/>
          <w:shd w:val="clear" w:color="auto" w:fill="auto"/>
        </w:rPr>
      </w:pPr>
    </w:p>
    <w:p>
      <w:pPr>
        <w:adjustRightInd w:val="0"/>
        <w:snapToGrid w:val="0"/>
        <w:spacing w:line="360" w:lineRule="auto"/>
        <w:rPr>
          <w:rFonts w:hint="eastAsia" w:ascii="宋体" w:hAnsi="宋体" w:eastAsia="宋体" w:cs="宋体"/>
          <w:color w:val="auto"/>
          <w:kern w:val="0"/>
          <w:sz w:val="24"/>
          <w:highlight w:val="none"/>
          <w:shd w:val="clear" w:color="auto" w:fill="auto"/>
          <w:lang w:val="zh-CN"/>
        </w:rPr>
      </w:pPr>
    </w:p>
    <w:p>
      <w:pPr>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pPr>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cs="宋体"/>
          <w:color w:val="auto"/>
          <w:kern w:val="0"/>
          <w:sz w:val="24"/>
          <w:highlight w:val="none"/>
          <w:shd w:val="clear" w:color="auto" w:fill="auto"/>
          <w:lang w:val="zh-CN"/>
        </w:rPr>
        <w:t>投标人</w:t>
      </w:r>
      <w:r>
        <w:rPr>
          <w:rFonts w:hint="eastAsia" w:ascii="宋体" w:hAnsi="宋体" w:eastAsia="宋体" w:cs="宋体"/>
          <w:color w:val="auto"/>
          <w:kern w:val="0"/>
          <w:sz w:val="24"/>
          <w:highlight w:val="none"/>
          <w:shd w:val="clear" w:color="auto" w:fill="auto"/>
          <w:lang w:val="zh-CN"/>
        </w:rPr>
        <w:t>：</w:t>
      </w:r>
      <w:r>
        <w:rPr>
          <w:rFonts w:hint="eastAsia" w:ascii="宋体" w:hAnsi="宋体" w:eastAsia="宋体" w:cs="宋体"/>
          <w:color w:val="auto"/>
          <w:kern w:val="0"/>
          <w:sz w:val="24"/>
          <w:highlight w:val="none"/>
          <w:u w:val="single"/>
          <w:shd w:val="clear" w:color="auto" w:fill="auto"/>
          <w:lang w:val="zh-CN"/>
        </w:rPr>
        <w:t xml:space="preserve">（全称加盖公章） </w:t>
      </w:r>
    </w:p>
    <w:p>
      <w:pPr>
        <w:adjustRightInd w:val="0"/>
        <w:snapToGrid w:val="0"/>
        <w:spacing w:line="360" w:lineRule="auto"/>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shd w:val="clear" w:color="auto" w:fill="auto"/>
          <w:lang w:val="zh-CN"/>
        </w:rPr>
        <w:t>年</w:t>
      </w:r>
      <w:r>
        <w:rPr>
          <w:rFonts w:hint="eastAsia" w:ascii="宋体" w:hAnsi="宋体" w:eastAsia="宋体" w:cs="宋体"/>
          <w:color w:val="auto"/>
          <w:kern w:val="0"/>
          <w:sz w:val="24"/>
          <w:highlight w:val="none"/>
          <w:u w:val="single"/>
          <w:shd w:val="clear" w:color="auto" w:fill="auto"/>
        </w:rPr>
        <w:tab/>
      </w:r>
      <w:r>
        <w:rPr>
          <w:rFonts w:hint="eastAsia" w:ascii="宋体" w:hAnsi="宋体" w:eastAsia="宋体" w:cs="宋体"/>
          <w:color w:val="auto"/>
          <w:kern w:val="0"/>
          <w:sz w:val="24"/>
          <w:highlight w:val="none"/>
          <w:shd w:val="clear" w:color="auto" w:fill="auto"/>
          <w:lang w:val="zh-CN"/>
        </w:rPr>
        <w:t>月</w:t>
      </w:r>
      <w:r>
        <w:rPr>
          <w:rFonts w:hint="eastAsia" w:ascii="宋体" w:hAnsi="宋体" w:eastAsia="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shd w:val="clear" w:color="auto" w:fill="auto"/>
          <w:lang w:val="zh-CN"/>
        </w:rPr>
        <w:t>日</w:t>
      </w:r>
    </w:p>
    <w:p>
      <w:pPr>
        <w:kinsoku/>
        <w:overflowPunct/>
        <w:bidi w:val="0"/>
        <w:spacing w:line="400" w:lineRule="exact"/>
        <w:rPr>
          <w:rFonts w:hint="eastAsia" w:ascii="宋体" w:hAnsi="宋体" w:eastAsia="宋体" w:cs="宋体"/>
          <w:color w:val="auto"/>
          <w:sz w:val="24"/>
          <w:highlight w:val="none"/>
          <w:shd w:val="clear" w:color="auto" w:fill="auto"/>
          <w:lang w:eastAsia="zh-CN"/>
        </w:rPr>
      </w:pPr>
    </w:p>
    <w:p>
      <w:pPr>
        <w:pStyle w:val="59"/>
        <w:rPr>
          <w:rFonts w:hint="eastAsia" w:ascii="宋体" w:hAnsi="宋体" w:eastAsia="宋体" w:cs="宋体"/>
          <w:color w:val="auto"/>
          <w:sz w:val="24"/>
          <w:highlight w:val="none"/>
          <w:shd w:val="clear" w:color="auto" w:fill="auto"/>
          <w:lang w:eastAsia="zh-CN"/>
        </w:rPr>
      </w:pPr>
    </w:p>
    <w:p>
      <w:pPr>
        <w:pStyle w:val="59"/>
        <w:ind w:left="0" w:leftChars="0" w:firstLine="0" w:firstLineChars="0"/>
        <w:rPr>
          <w:rFonts w:hint="eastAsia" w:ascii="宋体" w:hAnsi="宋体" w:eastAsia="宋体" w:cs="宋体"/>
          <w:color w:val="auto"/>
          <w:highlight w:val="none"/>
          <w:shd w:val="clear" w:color="auto" w:fill="auto"/>
          <w:lang w:eastAsia="zh-CN"/>
        </w:rPr>
      </w:pPr>
    </w:p>
    <w:p>
      <w:pPr>
        <w:kinsoku/>
        <w:overflowPunct/>
        <w:bidi w:val="0"/>
        <w:spacing w:line="400" w:lineRule="exact"/>
        <w:rPr>
          <w:rFonts w:hint="eastAsia" w:ascii="宋体" w:hAnsi="宋体" w:eastAsia="宋体" w:cs="宋体"/>
          <w:color w:val="auto"/>
          <w:sz w:val="24"/>
          <w:highlight w:val="none"/>
          <w:shd w:val="clear" w:color="auto" w:fill="auto"/>
          <w:lang w:eastAsia="zh-CN"/>
        </w:rPr>
      </w:pPr>
    </w:p>
    <w:p>
      <w:pPr>
        <w:kinsoku/>
        <w:overflowPunct/>
        <w:bidi w:val="0"/>
        <w:spacing w:line="400" w:lineRule="exac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eastAsia="zh-CN"/>
        </w:rPr>
        <w:t>表</w:t>
      </w:r>
      <w:r>
        <w:rPr>
          <w:rFonts w:hint="eastAsia" w:ascii="宋体" w:hAnsi="宋体" w:eastAsia="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rPr>
        <w:t>具有履行合同所必需的专业服务（技术）能力的承诺函</w:t>
      </w:r>
    </w:p>
    <w:p>
      <w:pPr>
        <w:kinsoku/>
        <w:overflowPunct/>
        <w:bidi w:val="0"/>
        <w:adjustRightInd w:val="0"/>
        <w:snapToGrid w:val="0"/>
        <w:spacing w:line="400" w:lineRule="exact"/>
        <w:rPr>
          <w:rFonts w:hint="eastAsia" w:ascii="宋体" w:hAnsi="宋体" w:eastAsia="宋体" w:cs="宋体"/>
          <w:b/>
          <w:bCs/>
          <w:color w:val="auto"/>
          <w:sz w:val="24"/>
          <w:szCs w:val="24"/>
          <w:highlight w:val="none"/>
          <w:shd w:val="clear" w:color="auto" w:fill="auto"/>
        </w:rPr>
      </w:pPr>
    </w:p>
    <w:p>
      <w:pPr>
        <w:kinsoku/>
        <w:overflowPunct/>
        <w:bidi w:val="0"/>
        <w:spacing w:line="400" w:lineRule="exact"/>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具有履行合同所必需的专业服务（技术）能力的承诺函</w:t>
      </w:r>
    </w:p>
    <w:p>
      <w:pPr>
        <w:kinsoku/>
        <w:overflowPunct/>
        <w:bidi w:val="0"/>
        <w:spacing w:line="400" w:lineRule="exact"/>
        <w:rPr>
          <w:rFonts w:hint="eastAsia" w:ascii="宋体" w:hAnsi="宋体" w:eastAsia="宋体" w:cs="宋体"/>
          <w:color w:val="auto"/>
          <w:highlight w:val="none"/>
          <w:shd w:val="clear" w:color="auto" w:fill="auto"/>
        </w:rPr>
      </w:pPr>
    </w:p>
    <w:p>
      <w:pPr>
        <w:widowControl/>
        <w:kinsoku/>
        <w:overflowPunct/>
        <w:bidi w:val="0"/>
        <w:adjustRightInd w:val="0"/>
        <w:snapToGrid w:val="0"/>
        <w:spacing w:line="400" w:lineRule="exact"/>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u w:val="single"/>
          <w:shd w:val="clear" w:color="auto" w:fill="auto"/>
        </w:rPr>
        <w:t xml:space="preserve">（采购人）                   </w:t>
      </w:r>
      <w:r>
        <w:rPr>
          <w:rFonts w:hint="eastAsia" w:ascii="宋体" w:hAnsi="宋体" w:eastAsia="宋体" w:cs="宋体"/>
          <w:color w:val="auto"/>
          <w:kern w:val="0"/>
          <w:sz w:val="24"/>
          <w:highlight w:val="none"/>
          <w:shd w:val="clear" w:color="auto" w:fill="auto"/>
        </w:rPr>
        <w:t>：</w:t>
      </w:r>
    </w:p>
    <w:p>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我方</w:t>
      </w:r>
      <w:r>
        <w:rPr>
          <w:rFonts w:hint="eastAsia" w:ascii="宋体" w:hAnsi="宋体" w:eastAsia="宋体" w:cs="宋体"/>
          <w:color w:val="auto"/>
          <w:kern w:val="0"/>
          <w:sz w:val="24"/>
          <w:highlight w:val="none"/>
          <w:u w:val="single"/>
          <w:shd w:val="clear" w:color="auto" w:fill="auto"/>
        </w:rPr>
        <w:t xml:space="preserve"> （投标人）          </w:t>
      </w:r>
      <w:r>
        <w:rPr>
          <w:rFonts w:hint="eastAsia" w:ascii="宋体" w:hAnsi="宋体" w:eastAsia="宋体" w:cs="宋体"/>
          <w:color w:val="auto"/>
          <w:kern w:val="0"/>
          <w:sz w:val="24"/>
          <w:highlight w:val="none"/>
          <w:shd w:val="clear" w:color="auto" w:fill="auto"/>
        </w:rPr>
        <w:t>承诺具有履行合同所必需的专业服务（技术）能力。如有虚假，采购人可取消我方任何资格（投标/中标/签订合同），我方对此无任何异议。</w:t>
      </w:r>
    </w:p>
    <w:p>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特此承诺！</w:t>
      </w:r>
    </w:p>
    <w:p>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shd w:val="clear" w:color="auto" w:fill="auto"/>
        </w:rPr>
      </w:pPr>
    </w:p>
    <w:p>
      <w:pPr>
        <w:kinsoku/>
        <w:overflowPunct/>
        <w:bidi w:val="0"/>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eastAsia="宋体" w:cs="宋体"/>
          <w:color w:val="auto"/>
          <w:kern w:val="0"/>
          <w:sz w:val="24"/>
          <w:highlight w:val="none"/>
          <w:shd w:val="clear" w:color="auto" w:fill="auto"/>
          <w:lang w:val="zh-CN"/>
        </w:rPr>
        <w:t>投标人：</w:t>
      </w:r>
      <w:r>
        <w:rPr>
          <w:rFonts w:hint="eastAsia" w:ascii="宋体" w:hAnsi="宋体" w:eastAsia="宋体" w:cs="宋体"/>
          <w:color w:val="auto"/>
          <w:kern w:val="0"/>
          <w:sz w:val="24"/>
          <w:highlight w:val="none"/>
          <w:u w:val="single"/>
          <w:shd w:val="clear" w:color="auto" w:fill="auto"/>
          <w:lang w:val="zh-CN"/>
        </w:rPr>
        <w:t xml:space="preserve">（全称加盖公章）       </w:t>
      </w:r>
    </w:p>
    <w:p>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sz w:val="24"/>
          <w:szCs w:val="24"/>
          <w:highlight w:val="none"/>
          <w:shd w:val="clear" w:color="auto" w:fill="auto"/>
          <w:lang w:eastAsia="zh-CN"/>
        </w:rPr>
        <w:t>2025年</w:t>
      </w:r>
      <w:r>
        <w:rPr>
          <w:rFonts w:hint="eastAsia" w:ascii="宋体" w:hAnsi="宋体" w:eastAsia="宋体" w:cs="宋体"/>
          <w:color w:val="auto"/>
          <w:sz w:val="24"/>
          <w:szCs w:val="24"/>
          <w:highlight w:val="none"/>
          <w:shd w:val="clear" w:color="auto" w:fill="auto"/>
        </w:rPr>
        <w:t xml:space="preserve">  月  日</w:t>
      </w:r>
    </w:p>
    <w:p>
      <w:pPr>
        <w:kinsoku/>
        <w:overflowPunct/>
        <w:bidi w:val="0"/>
        <w:spacing w:line="400" w:lineRule="exact"/>
        <w:rPr>
          <w:rFonts w:hint="eastAsia" w:ascii="宋体" w:hAnsi="宋体" w:eastAsia="宋体" w:cs="宋体"/>
          <w:color w:val="auto"/>
          <w:sz w:val="24"/>
          <w:highlight w:val="none"/>
          <w:shd w:val="clear" w:color="auto" w:fill="auto"/>
        </w:rPr>
      </w:pPr>
    </w:p>
    <w:p>
      <w:pPr>
        <w:pStyle w:val="18"/>
        <w:rPr>
          <w:rFonts w:hint="eastAsia" w:ascii="宋体" w:hAnsi="宋体" w:eastAsia="宋体" w:cs="宋体"/>
          <w:color w:val="auto"/>
          <w:highlight w:val="none"/>
        </w:rPr>
      </w:pPr>
    </w:p>
    <w:p>
      <w:pPr>
        <w:pStyle w:val="19"/>
        <w:spacing w:before="66"/>
        <w:rPr>
          <w:rFonts w:hint="eastAsia" w:ascii="宋体" w:hAnsi="宋体" w:eastAsia="宋体" w:cs="宋体"/>
          <w:color w:val="auto"/>
          <w:sz w:val="24"/>
          <w:highlight w:val="none"/>
          <w:shd w:val="clear" w:color="auto" w:fill="auto"/>
        </w:rPr>
      </w:pPr>
    </w:p>
    <w:p>
      <w:pPr>
        <w:pStyle w:val="18"/>
        <w:rPr>
          <w:rFonts w:hint="eastAsia" w:ascii="宋体" w:hAnsi="宋体" w:eastAsia="宋体" w:cs="宋体"/>
          <w:color w:val="auto"/>
          <w:highlight w:val="none"/>
        </w:rPr>
      </w:pPr>
    </w:p>
    <w:p>
      <w:pPr>
        <w:pStyle w:val="19"/>
        <w:spacing w:before="66"/>
        <w:rPr>
          <w:rFonts w:hint="eastAsia" w:ascii="宋体" w:hAnsi="宋体" w:eastAsia="宋体" w:cs="宋体"/>
          <w:b/>
          <w:color w:val="auto"/>
          <w:kern w:val="2"/>
          <w:sz w:val="32"/>
          <w:highlight w:val="none"/>
          <w:shd w:val="clear" w:color="auto" w:fill="auto"/>
          <w:lang w:val="en-US" w:eastAsia="zh-CN" w:bidi="ar-SA"/>
        </w:rPr>
      </w:pPr>
      <w:r>
        <w:rPr>
          <w:rFonts w:hint="eastAsia" w:ascii="宋体" w:hAnsi="宋体" w:eastAsia="宋体" w:cs="宋体"/>
          <w:color w:val="auto"/>
          <w:sz w:val="24"/>
          <w:highlight w:val="none"/>
          <w:shd w:val="clear" w:color="auto" w:fill="auto"/>
        </w:rPr>
        <w:t>表</w:t>
      </w:r>
      <w:r>
        <w:rPr>
          <w:rFonts w:hint="eastAsia" w:ascii="宋体" w:hAnsi="宋体" w:eastAsia="宋体" w:cs="宋体"/>
          <w:color w:val="auto"/>
          <w:sz w:val="24"/>
          <w:highlight w:val="none"/>
          <w:shd w:val="clear" w:color="auto" w:fill="auto"/>
          <w:lang w:val="en-US" w:eastAsia="zh-CN"/>
        </w:rPr>
        <w:t>4</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zCs w:val="24"/>
          <w:highlight w:val="none"/>
          <w:shd w:val="clear" w:color="auto" w:fill="auto"/>
        </w:rPr>
        <w:t>依法缴纳税收和社会保障资金的声明函</w:t>
      </w:r>
    </w:p>
    <w:p>
      <w:pPr>
        <w:pStyle w:val="4"/>
        <w:numPr>
          <w:ilvl w:val="0"/>
          <w:numId w:val="0"/>
        </w:numPr>
        <w:tabs>
          <w:tab w:val="clear" w:pos="1110"/>
        </w:tabs>
        <w:spacing w:before="164"/>
        <w:ind w:left="456" w:leftChars="0" w:right="37" w:rightChars="0"/>
        <w:jc w:val="center"/>
        <w:rPr>
          <w:rFonts w:hint="eastAsia" w:ascii="宋体" w:hAnsi="宋体" w:eastAsia="宋体" w:cs="宋体"/>
          <w:b/>
          <w:color w:val="auto"/>
          <w:kern w:val="2"/>
          <w:sz w:val="32"/>
          <w:highlight w:val="none"/>
          <w:shd w:val="clear" w:color="auto" w:fill="auto"/>
          <w:lang w:val="en-US" w:eastAsia="zh-CN" w:bidi="ar-SA"/>
        </w:rPr>
      </w:pPr>
      <w:r>
        <w:rPr>
          <w:rFonts w:hint="eastAsia" w:ascii="宋体" w:hAnsi="宋体" w:eastAsia="宋体" w:cs="宋体"/>
          <w:b/>
          <w:color w:val="auto"/>
          <w:kern w:val="2"/>
          <w:sz w:val="32"/>
          <w:highlight w:val="none"/>
          <w:shd w:val="clear" w:color="auto" w:fill="auto"/>
          <w:lang w:val="en-US" w:eastAsia="zh-CN" w:bidi="ar-SA"/>
        </w:rPr>
        <w:t>依法缴纳税收和社会保障资金的声明函</w:t>
      </w:r>
    </w:p>
    <w:p>
      <w:pPr>
        <w:ind w:firstLine="720" w:firstLineChars="300"/>
        <w:rPr>
          <w:rFonts w:hint="eastAsia" w:ascii="宋体" w:hAnsi="宋体" w:eastAsia="宋体" w:cs="宋体"/>
          <w:color w:val="auto"/>
          <w:sz w:val="24"/>
          <w:highlight w:val="none"/>
          <w:shd w:val="clear" w:color="auto" w:fill="auto"/>
        </w:rPr>
      </w:pPr>
    </w:p>
    <w:p>
      <w:pPr>
        <w:widowControl/>
        <w:adjustRightInd w:val="0"/>
        <w:snapToGrid w:val="0"/>
        <w:spacing w:line="360" w:lineRule="auto"/>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u w:val="single"/>
          <w:shd w:val="clear" w:color="auto" w:fill="auto"/>
        </w:rPr>
        <w:t xml:space="preserve">（采购人）                   </w:t>
      </w:r>
      <w:r>
        <w:rPr>
          <w:rFonts w:hint="eastAsia" w:ascii="宋体" w:hAnsi="宋体" w:eastAsia="宋体" w:cs="宋体"/>
          <w:color w:val="auto"/>
          <w:kern w:val="0"/>
          <w:sz w:val="24"/>
          <w:highlight w:val="none"/>
          <w:shd w:val="clear" w:color="auto" w:fill="auto"/>
        </w:rPr>
        <w:t>：</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我方</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cs="宋体"/>
          <w:color w:val="auto"/>
          <w:kern w:val="0"/>
          <w:sz w:val="24"/>
          <w:highlight w:val="none"/>
          <w:u w:val="single"/>
          <w:shd w:val="clear" w:color="auto" w:fill="auto"/>
          <w:lang w:eastAsia="zh-CN"/>
        </w:rPr>
        <w:t>投标人</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spacing w:val="-4"/>
          <w:sz w:val="24"/>
          <w:szCs w:val="24"/>
          <w:highlight w:val="none"/>
          <w:shd w:val="clear" w:color="auto" w:fill="auto"/>
        </w:rPr>
        <w:t>严格依法缴纳税</w:t>
      </w:r>
      <w:r>
        <w:rPr>
          <w:rFonts w:hint="eastAsia" w:ascii="宋体" w:hAnsi="宋体" w:eastAsia="宋体" w:cs="宋体"/>
          <w:color w:val="auto"/>
          <w:spacing w:val="-8"/>
          <w:sz w:val="24"/>
          <w:szCs w:val="24"/>
          <w:highlight w:val="none"/>
          <w:shd w:val="clear" w:color="auto" w:fill="auto"/>
        </w:rPr>
        <w:t>收和社会保障资金，我方对上述声明的真实性负责。</w:t>
      </w:r>
      <w:r>
        <w:rPr>
          <w:rFonts w:hint="eastAsia" w:ascii="宋体" w:hAnsi="宋体" w:eastAsia="宋体" w:cs="宋体"/>
          <w:color w:val="auto"/>
          <w:spacing w:val="-7"/>
          <w:sz w:val="24"/>
          <w:szCs w:val="24"/>
          <w:highlight w:val="none"/>
          <w:shd w:val="clear" w:color="auto" w:fill="auto"/>
        </w:rPr>
        <w:t>如有虚假，采购人可取消我方任何资格（投标/中标/签订合同），我方对此无任何异议</w:t>
      </w:r>
      <w:r>
        <w:rPr>
          <w:rFonts w:hint="eastAsia" w:ascii="宋体" w:hAnsi="宋体" w:eastAsia="宋体" w:cs="宋体"/>
          <w:color w:val="auto"/>
          <w:kern w:val="0"/>
          <w:sz w:val="24"/>
          <w:highlight w:val="none"/>
          <w:shd w:val="clear" w:color="auto" w:fill="auto"/>
        </w:rPr>
        <w:t>。</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特此承诺！</w:t>
      </w:r>
    </w:p>
    <w:p>
      <w:pPr>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pPr>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cs="宋体"/>
          <w:color w:val="auto"/>
          <w:kern w:val="0"/>
          <w:sz w:val="24"/>
          <w:highlight w:val="none"/>
          <w:shd w:val="clear" w:color="auto" w:fill="auto"/>
          <w:lang w:val="zh-CN"/>
        </w:rPr>
        <w:t>投标人</w:t>
      </w:r>
      <w:r>
        <w:rPr>
          <w:rFonts w:hint="eastAsia" w:ascii="宋体" w:hAnsi="宋体" w:eastAsia="宋体" w:cs="宋体"/>
          <w:color w:val="auto"/>
          <w:kern w:val="0"/>
          <w:sz w:val="24"/>
          <w:highlight w:val="none"/>
          <w:shd w:val="clear" w:color="auto" w:fill="auto"/>
          <w:lang w:val="zh-CN"/>
        </w:rPr>
        <w:t>：</w:t>
      </w:r>
      <w:r>
        <w:rPr>
          <w:rFonts w:hint="eastAsia" w:ascii="宋体" w:hAnsi="宋体" w:eastAsia="宋体" w:cs="宋体"/>
          <w:color w:val="auto"/>
          <w:kern w:val="0"/>
          <w:sz w:val="24"/>
          <w:highlight w:val="none"/>
          <w:u w:val="single"/>
          <w:shd w:val="clear" w:color="auto" w:fill="auto"/>
          <w:lang w:val="zh-CN"/>
        </w:rPr>
        <w:t xml:space="preserve">（全称加盖公章）       </w:t>
      </w:r>
    </w:p>
    <w:p>
      <w:pPr>
        <w:adjustRightInd w:val="0"/>
        <w:snapToGrid w:val="0"/>
        <w:spacing w:line="360" w:lineRule="auto"/>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shd w:val="clear" w:color="auto" w:fill="auto"/>
          <w:lang w:val="zh-CN"/>
        </w:rPr>
        <w:t>年</w:t>
      </w:r>
      <w:r>
        <w:rPr>
          <w:rFonts w:hint="eastAsia" w:ascii="宋体" w:hAnsi="宋体" w:eastAsia="宋体" w:cs="宋体"/>
          <w:color w:val="auto"/>
          <w:kern w:val="0"/>
          <w:sz w:val="24"/>
          <w:highlight w:val="none"/>
          <w:u w:val="single"/>
          <w:shd w:val="clear" w:color="auto" w:fill="auto"/>
        </w:rPr>
        <w:tab/>
      </w:r>
      <w:r>
        <w:rPr>
          <w:rFonts w:hint="eastAsia" w:ascii="宋体" w:hAnsi="宋体" w:eastAsia="宋体" w:cs="宋体"/>
          <w:color w:val="auto"/>
          <w:kern w:val="0"/>
          <w:sz w:val="24"/>
          <w:highlight w:val="none"/>
          <w:shd w:val="clear" w:color="auto" w:fill="auto"/>
          <w:lang w:val="zh-CN"/>
        </w:rPr>
        <w:t>月</w:t>
      </w:r>
      <w:r>
        <w:rPr>
          <w:rFonts w:hint="eastAsia" w:ascii="宋体" w:hAnsi="宋体" w:eastAsia="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shd w:val="clear" w:color="auto" w:fill="auto"/>
          <w:lang w:val="zh-CN"/>
        </w:rPr>
        <w:t>日</w:t>
      </w:r>
    </w:p>
    <w:p>
      <w:pPr>
        <w:rPr>
          <w:rFonts w:hint="eastAsia" w:ascii="宋体" w:hAnsi="宋体" w:eastAsia="宋体" w:cs="宋体"/>
          <w:color w:val="auto"/>
          <w:highlight w:val="none"/>
          <w:shd w:val="clear" w:color="auto" w:fill="auto"/>
        </w:rPr>
      </w:pPr>
    </w:p>
    <w:p>
      <w:pPr>
        <w:pStyle w:val="59"/>
        <w:ind w:left="0" w:leftChars="0" w:firstLine="0" w:firstLineChars="0"/>
        <w:rPr>
          <w:rFonts w:hint="eastAsia" w:ascii="宋体" w:hAnsi="宋体" w:eastAsia="宋体" w:cs="宋体"/>
          <w:color w:val="auto"/>
          <w:highlight w:val="none"/>
          <w:shd w:val="clear" w:color="auto" w:fill="auto"/>
        </w:rPr>
      </w:pPr>
    </w:p>
    <w:p>
      <w:pP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表</w:t>
      </w:r>
      <w:r>
        <w:rPr>
          <w:rFonts w:hint="eastAsia" w:ascii="宋体" w:hAnsi="宋体" w:eastAsia="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rPr>
        <w:t xml:space="preserve">：没有重大违法记录承诺函 </w:t>
      </w:r>
    </w:p>
    <w:p>
      <w:pPr>
        <w:jc w:val="center"/>
        <w:rPr>
          <w:rFonts w:hint="eastAsia" w:ascii="宋体" w:hAnsi="宋体" w:eastAsia="宋体" w:cs="宋体"/>
          <w:b/>
          <w:color w:val="auto"/>
          <w:sz w:val="32"/>
          <w:highlight w:val="none"/>
          <w:shd w:val="clear" w:color="auto" w:fill="auto"/>
        </w:rPr>
      </w:pPr>
    </w:p>
    <w:p>
      <w:pPr>
        <w:jc w:val="center"/>
        <w:rPr>
          <w:rFonts w:hint="eastAsia" w:ascii="宋体" w:hAnsi="宋体" w:eastAsia="宋体" w:cs="宋体"/>
          <w:b/>
          <w:color w:val="auto"/>
          <w:sz w:val="32"/>
          <w:highlight w:val="none"/>
          <w:shd w:val="clear" w:color="auto" w:fill="auto"/>
        </w:rPr>
      </w:pPr>
    </w:p>
    <w:p>
      <w:pPr>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没有重大违法记录承诺函</w:t>
      </w:r>
    </w:p>
    <w:p>
      <w:pPr>
        <w:spacing w:line="360" w:lineRule="auto"/>
        <w:rPr>
          <w:rFonts w:hint="eastAsia" w:ascii="宋体" w:hAnsi="宋体" w:eastAsia="宋体" w:cs="宋体"/>
          <w:color w:val="auto"/>
          <w:sz w:val="24"/>
          <w:szCs w:val="24"/>
          <w:highlight w:val="none"/>
          <w:u w:val="single"/>
          <w:shd w:val="clear" w:color="auto" w:fill="auto"/>
        </w:rPr>
      </w:pPr>
    </w:p>
    <w:p>
      <w:pPr>
        <w:spacing w:line="360" w:lineRule="auto"/>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u w:val="single"/>
          <w:shd w:val="clear" w:color="auto" w:fill="auto"/>
        </w:rPr>
        <w:t>（采购人）</w:t>
      </w:r>
      <w:r>
        <w:rPr>
          <w:rFonts w:hint="eastAsia" w:ascii="宋体" w:hAnsi="宋体" w:eastAsia="宋体" w:cs="宋体"/>
          <w:color w:val="auto"/>
          <w:sz w:val="24"/>
          <w:szCs w:val="24"/>
          <w:highlight w:val="none"/>
          <w:shd w:val="clear" w:color="auto" w:fill="auto"/>
        </w:rPr>
        <w:t>：</w:t>
      </w:r>
    </w:p>
    <w:p>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 xml:space="preserve">（投标人）            </w:t>
      </w:r>
      <w:r>
        <w:rPr>
          <w:rFonts w:hint="eastAsia" w:ascii="宋体" w:hAnsi="宋体" w:eastAsia="宋体" w:cs="宋体"/>
          <w:color w:val="auto"/>
          <w:sz w:val="24"/>
          <w:szCs w:val="24"/>
          <w:highlight w:val="none"/>
          <w:shd w:val="clear" w:color="auto" w:fill="auto"/>
        </w:rPr>
        <w:t xml:space="preserve">具有良好的商业信誉，在参加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 </w:t>
      </w:r>
    </w:p>
    <w:p>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特此承诺！ </w:t>
      </w:r>
    </w:p>
    <w:p>
      <w:pPr>
        <w:spacing w:line="360" w:lineRule="auto"/>
        <w:rPr>
          <w:rFonts w:hint="eastAsia" w:ascii="宋体" w:hAnsi="宋体" w:eastAsia="宋体" w:cs="宋体"/>
          <w:color w:val="auto"/>
          <w:sz w:val="24"/>
          <w:szCs w:val="24"/>
          <w:highlight w:val="none"/>
          <w:shd w:val="clear" w:color="auto" w:fill="auto"/>
        </w:rPr>
      </w:pPr>
    </w:p>
    <w:p>
      <w:pPr>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pPr>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cs="宋体"/>
          <w:color w:val="auto"/>
          <w:kern w:val="0"/>
          <w:sz w:val="24"/>
          <w:highlight w:val="none"/>
          <w:shd w:val="clear" w:color="auto" w:fill="auto"/>
          <w:lang w:val="en-US" w:eastAsia="zh-CN"/>
        </w:rPr>
        <w:t>投标人</w:t>
      </w:r>
      <w:r>
        <w:rPr>
          <w:rFonts w:hint="eastAsia" w:ascii="宋体" w:hAnsi="宋体" w:eastAsia="宋体" w:cs="宋体"/>
          <w:color w:val="auto"/>
          <w:kern w:val="0"/>
          <w:sz w:val="24"/>
          <w:highlight w:val="none"/>
          <w:shd w:val="clear" w:color="auto" w:fill="auto"/>
          <w:lang w:val="zh-CN"/>
        </w:rPr>
        <w:t>：</w:t>
      </w:r>
      <w:r>
        <w:rPr>
          <w:rFonts w:hint="eastAsia" w:ascii="宋体" w:hAnsi="宋体" w:eastAsia="宋体" w:cs="宋体"/>
          <w:color w:val="auto"/>
          <w:kern w:val="0"/>
          <w:sz w:val="24"/>
          <w:highlight w:val="none"/>
          <w:u w:val="single"/>
          <w:shd w:val="clear" w:color="auto" w:fill="auto"/>
          <w:lang w:val="zh-CN"/>
        </w:rPr>
        <w:t xml:space="preserve">（全称加盖公章）       </w:t>
      </w:r>
    </w:p>
    <w:p>
      <w:pPr>
        <w:adjustRightInd w:val="0"/>
        <w:snapToGrid w:val="0"/>
        <w:spacing w:line="360" w:lineRule="auto"/>
        <w:rPr>
          <w:rFonts w:hint="eastAsia" w:ascii="宋体" w:hAnsi="宋体" w:eastAsia="宋体" w:cs="宋体"/>
          <w:b/>
          <w:color w:val="auto"/>
          <w:sz w:val="30"/>
          <w:szCs w:val="30"/>
          <w:highlight w:val="non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sz w:val="24"/>
          <w:szCs w:val="24"/>
          <w:highlight w:val="none"/>
          <w:shd w:val="clear" w:color="auto" w:fill="auto"/>
          <w:lang w:eastAsia="zh-CN"/>
        </w:rPr>
        <w:t>2025年</w:t>
      </w:r>
      <w:r>
        <w:rPr>
          <w:rFonts w:hint="eastAsia" w:ascii="宋体" w:hAnsi="宋体" w:eastAsia="宋体" w:cs="宋体"/>
          <w:color w:val="auto"/>
          <w:sz w:val="24"/>
          <w:szCs w:val="24"/>
          <w:highlight w:val="none"/>
          <w:shd w:val="clear" w:color="auto" w:fill="auto"/>
        </w:rPr>
        <w:t xml:space="preserve">  月  日</w:t>
      </w:r>
    </w:p>
    <w:p>
      <w:pPr>
        <w:widowControl/>
        <w:spacing w:line="312" w:lineRule="auto"/>
        <w:jc w:val="left"/>
        <w:rPr>
          <w:rFonts w:hint="eastAsia" w:ascii="宋体" w:hAnsi="宋体" w:eastAsia="宋体" w:cs="宋体"/>
          <w:color w:val="auto"/>
          <w:sz w:val="24"/>
          <w:highlight w:val="none"/>
          <w:shd w:val="clear" w:color="auto" w:fill="auto"/>
        </w:rPr>
      </w:pPr>
    </w:p>
    <w:p>
      <w:pPr>
        <w:widowControl/>
        <w:spacing w:line="312" w:lineRule="auto"/>
        <w:jc w:val="left"/>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highlight w:val="none"/>
          <w:shd w:val="clear" w:color="auto" w:fill="auto"/>
        </w:rPr>
        <w:t>表</w:t>
      </w:r>
      <w:r>
        <w:rPr>
          <w:rFonts w:hint="eastAsia" w:ascii="宋体" w:hAnsi="宋体" w:eastAsia="宋体" w:cs="宋体"/>
          <w:color w:val="auto"/>
          <w:sz w:val="24"/>
          <w:highlight w:val="none"/>
          <w:shd w:val="clear" w:color="auto" w:fill="auto"/>
          <w:lang w:val="en-US" w:eastAsia="zh-CN"/>
        </w:rPr>
        <w:t>6</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zCs w:val="22"/>
          <w:highlight w:val="none"/>
          <w:shd w:val="clear" w:color="auto" w:fill="auto"/>
        </w:rPr>
        <w:t>无违法失信的声明函</w:t>
      </w:r>
    </w:p>
    <w:p>
      <w:pPr>
        <w:spacing w:line="312" w:lineRule="auto"/>
        <w:jc w:val="center"/>
        <w:rPr>
          <w:rFonts w:hint="eastAsia" w:ascii="宋体" w:hAnsi="宋体" w:eastAsia="宋体" w:cs="宋体"/>
          <w:b/>
          <w:color w:val="auto"/>
          <w:sz w:val="32"/>
          <w:szCs w:val="22"/>
          <w:highlight w:val="none"/>
          <w:shd w:val="clear" w:color="auto" w:fill="auto"/>
        </w:rPr>
      </w:pPr>
    </w:p>
    <w:p>
      <w:pPr>
        <w:spacing w:line="312" w:lineRule="auto"/>
        <w:jc w:val="center"/>
        <w:rPr>
          <w:rFonts w:hint="eastAsia" w:ascii="宋体" w:hAnsi="宋体" w:eastAsia="宋体" w:cs="宋体"/>
          <w:b/>
          <w:color w:val="auto"/>
          <w:sz w:val="32"/>
          <w:szCs w:val="22"/>
          <w:highlight w:val="none"/>
          <w:shd w:val="clear" w:color="auto" w:fill="auto"/>
        </w:rPr>
      </w:pPr>
      <w:r>
        <w:rPr>
          <w:rFonts w:hint="eastAsia" w:ascii="宋体" w:hAnsi="宋体" w:eastAsia="宋体" w:cs="宋体"/>
          <w:b/>
          <w:color w:val="auto"/>
          <w:sz w:val="32"/>
          <w:szCs w:val="22"/>
          <w:highlight w:val="none"/>
          <w:shd w:val="clear" w:color="auto" w:fill="auto"/>
        </w:rPr>
        <w:t xml:space="preserve">无违法失信的声明函 </w:t>
      </w:r>
    </w:p>
    <w:p>
      <w:pPr>
        <w:pStyle w:val="19"/>
        <w:rPr>
          <w:rFonts w:hint="eastAsia" w:ascii="宋体" w:hAnsi="宋体" w:eastAsia="宋体" w:cs="宋体"/>
          <w:color w:val="auto"/>
          <w:highlight w:val="none"/>
        </w:rPr>
      </w:pPr>
    </w:p>
    <w:p>
      <w:pPr>
        <w:spacing w:line="312" w:lineRule="auto"/>
        <w:rPr>
          <w:rFonts w:hint="eastAsia" w:ascii="宋体" w:hAnsi="宋体" w:eastAsia="宋体" w:cs="宋体"/>
          <w:color w:val="auto"/>
          <w:highlight w:val="none"/>
          <w:shd w:val="clear" w:color="auto" w:fill="auto"/>
        </w:rPr>
      </w:pPr>
      <w:r>
        <w:rPr>
          <w:rFonts w:hint="eastAsia" w:ascii="宋体" w:hAnsi="宋体" w:eastAsia="宋体" w:cs="宋体"/>
          <w:color w:val="auto"/>
          <w:sz w:val="24"/>
          <w:szCs w:val="24"/>
          <w:highlight w:val="none"/>
          <w:u w:val="single"/>
          <w:shd w:val="clear" w:color="auto" w:fill="auto"/>
        </w:rPr>
        <w:t>（采购人）</w:t>
      </w:r>
      <w:r>
        <w:rPr>
          <w:rFonts w:hint="eastAsia" w:ascii="宋体" w:hAnsi="宋体" w:eastAsia="宋体" w:cs="宋体"/>
          <w:color w:val="auto"/>
          <w:sz w:val="24"/>
          <w:szCs w:val="24"/>
          <w:highlight w:val="none"/>
          <w:shd w:val="clear" w:color="auto" w:fill="auto"/>
        </w:rPr>
        <w:t>：</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截至</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lang w:eastAsia="zh-CN"/>
        </w:rPr>
        <w:t>项目名称</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（项目编号:</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w:t>
      </w:r>
      <w:r>
        <w:rPr>
          <w:rFonts w:hint="eastAsia" w:ascii="宋体" w:hAnsi="宋体" w:eastAsia="宋体" w:cs="宋体"/>
          <w:color w:val="auto"/>
          <w:sz w:val="24"/>
          <w:szCs w:val="24"/>
          <w:highlight w:val="none"/>
          <w:shd w:val="clear" w:color="auto" w:fill="auto"/>
        </w:rPr>
        <w:t>的</w:t>
      </w:r>
      <w:r>
        <w:rPr>
          <w:rFonts w:hint="eastAsia" w:ascii="宋体" w:hAnsi="宋体" w:eastAsia="宋体" w:cs="宋体"/>
          <w:color w:val="auto"/>
          <w:sz w:val="24"/>
          <w:szCs w:val="24"/>
          <w:highlight w:val="none"/>
          <w:shd w:val="clear" w:color="auto" w:fill="auto"/>
          <w:lang w:val="en-US" w:eastAsia="zh-CN"/>
        </w:rPr>
        <w:t>投标</w:t>
      </w:r>
      <w:r>
        <w:rPr>
          <w:rFonts w:hint="eastAsia" w:ascii="宋体" w:hAnsi="宋体" w:eastAsia="宋体" w:cs="宋体"/>
          <w:color w:val="auto"/>
          <w:sz w:val="24"/>
          <w:szCs w:val="24"/>
          <w:highlight w:val="none"/>
          <w:shd w:val="clear" w:color="auto" w:fill="auto"/>
        </w:rPr>
        <w:t xml:space="preserve">文件提交截止时间，往前追溯三年，期间未被信用中国”网站(www.creditchina.gov.cn)列入失信被执行人名单、重大税收违法案件当事人名单、政府采购不良行为记录名单;未被“中国政府采购网”(www.ccgp.gov.cn)列入政府采购严重违法失信行为记录名单。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本公司对上述声明的真实性负责。如有虚假，愿意承担相应责任，对此无任何异议。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特此声明！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 xml:space="preserve">全称：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（盖单位公章）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日期：</w:t>
      </w:r>
      <w:r>
        <w:rPr>
          <w:rFonts w:hint="eastAsia" w:ascii="宋体" w:hAnsi="宋体" w:eastAsia="宋体" w:cs="宋体"/>
          <w:color w:val="auto"/>
          <w:sz w:val="24"/>
          <w:szCs w:val="24"/>
          <w:highlight w:val="none"/>
          <w:shd w:val="clear" w:color="auto" w:fill="auto"/>
          <w:lang w:eastAsia="zh-CN"/>
        </w:rPr>
        <w:t>2025年</w:t>
      </w:r>
      <w:r>
        <w:rPr>
          <w:rFonts w:hint="eastAsia" w:ascii="宋体" w:hAnsi="宋体" w:eastAsia="宋体" w:cs="宋体"/>
          <w:color w:val="auto"/>
          <w:sz w:val="24"/>
          <w:szCs w:val="24"/>
          <w:highlight w:val="none"/>
          <w:shd w:val="clear" w:color="auto" w:fill="auto"/>
        </w:rPr>
        <w:t xml:space="preserve">  月  日</w:t>
      </w:r>
    </w:p>
    <w:p>
      <w:pPr>
        <w:widowControl/>
        <w:spacing w:line="312" w:lineRule="auto"/>
        <w:jc w:val="left"/>
        <w:rPr>
          <w:rFonts w:hint="eastAsia" w:ascii="宋体" w:hAnsi="宋体" w:eastAsia="宋体" w:cs="宋体"/>
          <w:color w:val="auto"/>
          <w:sz w:val="24"/>
          <w:highlight w:val="none"/>
          <w:shd w:val="clear" w:color="auto" w:fill="auto"/>
        </w:rPr>
      </w:pPr>
    </w:p>
    <w:p>
      <w:pPr>
        <w:pStyle w:val="523"/>
        <w:adjustRightInd w:val="0"/>
        <w:snapToGrid w:val="0"/>
        <w:spacing w:line="360" w:lineRule="auto"/>
        <w:ind w:firstLine="480" w:firstLineChars="200"/>
        <w:jc w:val="left"/>
        <w:outlineLvl w:val="1"/>
        <w:rPr>
          <w:rFonts w:hint="eastAsia" w:ascii="宋体" w:hAnsi="宋体" w:eastAsia="宋体" w:cs="宋体"/>
          <w:color w:val="auto"/>
          <w:sz w:val="24"/>
          <w:szCs w:val="22"/>
          <w:highlight w:val="none"/>
          <w:shd w:val="clear" w:color="auto" w:fill="auto"/>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bookmarkStart w:id="89" w:name="_Toc8165"/>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jc w:val="left"/>
        <w:outlineLvl w:val="1"/>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szCs w:val="22"/>
          <w:highlight w:val="none"/>
        </w:rPr>
        <w:t>表</w:t>
      </w:r>
      <w:r>
        <w:rPr>
          <w:rFonts w:hint="eastAsia" w:ascii="宋体" w:hAnsi="宋体" w:eastAsia="宋体" w:cs="宋体"/>
          <w:color w:val="auto"/>
          <w:sz w:val="24"/>
          <w:szCs w:val="22"/>
          <w:highlight w:val="none"/>
          <w:lang w:val="en-US" w:eastAsia="zh-CN"/>
        </w:rPr>
        <w:t>7</w:t>
      </w:r>
      <w:r>
        <w:rPr>
          <w:rFonts w:hint="eastAsia" w:ascii="宋体" w:hAnsi="宋体" w:eastAsia="宋体" w:cs="宋体"/>
          <w:color w:val="auto"/>
          <w:sz w:val="24"/>
          <w:szCs w:val="22"/>
          <w:highlight w:val="none"/>
        </w:rPr>
        <w:t>：</w:t>
      </w:r>
      <w:bookmarkStart w:id="90" w:name="_Toc6494396"/>
      <w:r>
        <w:rPr>
          <w:rFonts w:hint="eastAsia" w:ascii="宋体" w:hAnsi="宋体" w:eastAsia="宋体" w:cs="宋体"/>
          <w:color w:val="auto"/>
          <w:kern w:val="2"/>
          <w:sz w:val="24"/>
          <w:szCs w:val="22"/>
          <w:highlight w:val="none"/>
          <w:lang w:val="en-US" w:eastAsia="zh-CN" w:bidi="ar-SA"/>
        </w:rPr>
        <w:t>小微企业/监狱企业声明函/残疾人福利性单位声明函</w:t>
      </w:r>
      <w:bookmarkEnd w:id="90"/>
    </w:p>
    <w:p>
      <w:pPr>
        <w:pStyle w:val="586"/>
        <w:kinsoku/>
        <w:overflowPunct/>
        <w:bidi w:val="0"/>
        <w:spacing w:line="360" w:lineRule="auto"/>
        <w:jc w:val="center"/>
        <w:rPr>
          <w:rStyle w:val="608"/>
          <w:rFonts w:hint="eastAsia" w:ascii="宋体" w:hAnsi="宋体" w:eastAsia="宋体" w:cs="宋体"/>
          <w:b/>
          <w:bCs/>
          <w:color w:val="auto"/>
          <w:sz w:val="28"/>
          <w:szCs w:val="28"/>
          <w:highlight w:val="none"/>
        </w:rPr>
      </w:pPr>
    </w:p>
    <w:p>
      <w:pPr>
        <w:pStyle w:val="586"/>
        <w:kinsoku/>
        <w:overflowPunct/>
        <w:bidi w:val="0"/>
        <w:spacing w:line="360" w:lineRule="auto"/>
        <w:jc w:val="center"/>
        <w:rPr>
          <w:rStyle w:val="608"/>
          <w:rFonts w:hint="eastAsia" w:ascii="宋体" w:hAnsi="宋体" w:eastAsia="宋体" w:cs="宋体"/>
          <w:b/>
          <w:bCs/>
          <w:color w:val="auto"/>
          <w:sz w:val="28"/>
          <w:szCs w:val="28"/>
          <w:highlight w:val="none"/>
          <w:lang w:val="zh-TW" w:eastAsia="zh-TW"/>
        </w:rPr>
      </w:pPr>
      <w:r>
        <w:rPr>
          <w:rStyle w:val="608"/>
          <w:rFonts w:hint="eastAsia" w:ascii="宋体" w:hAnsi="宋体" w:eastAsia="宋体" w:cs="宋体"/>
          <w:b/>
          <w:bCs/>
          <w:color w:val="auto"/>
          <w:sz w:val="28"/>
          <w:szCs w:val="28"/>
          <w:highlight w:val="none"/>
        </w:rPr>
        <w:t>1、</w:t>
      </w:r>
      <w:r>
        <w:rPr>
          <w:rStyle w:val="608"/>
          <w:rFonts w:hint="eastAsia" w:ascii="宋体" w:hAnsi="宋体" w:eastAsia="宋体" w:cs="宋体"/>
          <w:b/>
          <w:bCs/>
          <w:color w:val="auto"/>
          <w:sz w:val="28"/>
          <w:szCs w:val="28"/>
          <w:highlight w:val="none"/>
          <w:lang w:val="zh-TW" w:eastAsia="zh-TW"/>
        </w:rPr>
        <w:t>中小企业声明函</w:t>
      </w:r>
      <w:r>
        <w:rPr>
          <w:rStyle w:val="608"/>
          <w:rFonts w:hint="eastAsia" w:ascii="宋体" w:hAnsi="宋体" w:eastAsia="宋体" w:cs="宋体"/>
          <w:b/>
          <w:bCs/>
          <w:color w:val="auto"/>
          <w:sz w:val="28"/>
          <w:szCs w:val="28"/>
          <w:highlight w:val="none"/>
          <w:lang w:val="zh-TW" w:eastAsia="zh-CN"/>
        </w:rPr>
        <w:t>（货物）</w:t>
      </w:r>
    </w:p>
    <w:p>
      <w:pPr>
        <w:pStyle w:val="586"/>
        <w:kinsoku/>
        <w:overflowPunct/>
        <w:bidi w:val="0"/>
        <w:spacing w:line="360" w:lineRule="auto"/>
        <w:rPr>
          <w:rStyle w:val="608"/>
          <w:rFonts w:hint="eastAsia" w:ascii="宋体" w:hAnsi="宋体" w:eastAsia="宋体" w:cs="宋体"/>
          <w:b/>
          <w:bCs/>
          <w:color w:val="auto"/>
          <w:sz w:val="24"/>
          <w:szCs w:val="24"/>
          <w:highlight w:val="none"/>
        </w:rPr>
      </w:pPr>
    </w:p>
    <w:p>
      <w:pPr>
        <w:pStyle w:val="612"/>
        <w:keepNext w:val="0"/>
        <w:keepLines w:val="0"/>
        <w:widowControl w:val="0"/>
        <w:shd w:val="clear" w:color="auto" w:fill="auto"/>
        <w:bidi w:val="0"/>
        <w:spacing w:before="0" w:after="0" w:line="360" w:lineRule="auto"/>
        <w:ind w:left="0" w:right="0" w:firstLine="66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本公司（联合体）郑重声明，根据《政府采购促进中小企业发展管理办法》（财库〔2020）46号）的规定，本公司（联合体）参加</w:t>
      </w:r>
      <w:r>
        <w:rPr>
          <w:rFonts w:hint="eastAsia" w:ascii="宋体" w:hAnsi="宋体" w:eastAsia="宋体" w:cs="宋体"/>
          <w:i/>
          <w:iCs/>
          <w:color w:val="auto"/>
          <w:spacing w:val="0"/>
          <w:w w:val="100"/>
          <w:position w:val="0"/>
          <w:sz w:val="24"/>
          <w:szCs w:val="24"/>
          <w:highlight w:val="none"/>
          <w:u w:val="single"/>
        </w:rPr>
        <w:t>（单位名称）</w:t>
      </w:r>
      <w:r>
        <w:rPr>
          <w:rFonts w:hint="eastAsia" w:ascii="宋体" w:hAnsi="宋体" w:eastAsia="宋体" w:cs="宋体"/>
          <w:color w:val="auto"/>
          <w:spacing w:val="0"/>
          <w:w w:val="100"/>
          <w:position w:val="0"/>
          <w:sz w:val="24"/>
          <w:szCs w:val="24"/>
          <w:highlight w:val="none"/>
        </w:rPr>
        <w:t>的</w:t>
      </w:r>
      <w:r>
        <w:rPr>
          <w:rFonts w:hint="eastAsia" w:ascii="宋体" w:hAnsi="宋体" w:eastAsia="宋体" w:cs="宋体"/>
          <w:i/>
          <w:iCs/>
          <w:color w:val="auto"/>
          <w:spacing w:val="0"/>
          <w:w w:val="100"/>
          <w:position w:val="0"/>
          <w:sz w:val="24"/>
          <w:szCs w:val="24"/>
          <w:highlight w:val="none"/>
          <w:u w:val="single"/>
        </w:rPr>
        <w:t>（项目名称）</w:t>
      </w:r>
      <w:r>
        <w:rPr>
          <w:rFonts w:hint="eastAsia" w:ascii="宋体" w:hAnsi="宋体" w:eastAsia="宋体" w:cs="宋体"/>
          <w:color w:val="auto"/>
          <w:spacing w:val="0"/>
          <w:w w:val="100"/>
          <w:position w:val="0"/>
          <w:sz w:val="24"/>
          <w:szCs w:val="24"/>
          <w:highlight w:val="none"/>
        </w:rPr>
        <w:t>采购活动,提供的货物全部由符合政策要求的中小企业制造。相关企业（含联合体中的中小企业、签订分包意向协议的中小企业）的具体情况如下：</w:t>
      </w:r>
    </w:p>
    <w:p>
      <w:pPr>
        <w:pStyle w:val="612"/>
        <w:keepNext w:val="0"/>
        <w:keepLines w:val="0"/>
        <w:widowControl w:val="0"/>
        <w:numPr>
          <w:ilvl w:val="0"/>
          <w:numId w:val="5"/>
        </w:numPr>
        <w:shd w:val="clear" w:color="auto" w:fill="auto"/>
        <w:tabs>
          <w:tab w:val="left" w:pos="1238"/>
          <w:tab w:val="left" w:pos="4435"/>
          <w:tab w:val="left" w:pos="6672"/>
        </w:tabs>
        <w:bidi w:val="0"/>
        <w:spacing w:before="0" w:after="0" w:line="360" w:lineRule="auto"/>
        <w:ind w:left="0" w:right="0" w:firstLine="660"/>
        <w:jc w:val="both"/>
        <w:rPr>
          <w:rFonts w:hint="eastAsia" w:ascii="宋体" w:hAnsi="宋体" w:eastAsia="宋体" w:cs="宋体"/>
          <w:i w:val="0"/>
          <w:iCs w:val="0"/>
          <w:color w:val="auto"/>
          <w:sz w:val="24"/>
          <w:szCs w:val="24"/>
          <w:highlight w:val="none"/>
        </w:rPr>
      </w:pPr>
      <w:bookmarkStart w:id="91" w:name="bookmark30"/>
      <w:bookmarkEnd w:id="91"/>
      <w:r>
        <w:rPr>
          <w:rFonts w:hint="eastAsia" w:ascii="宋体" w:hAnsi="宋体" w:eastAsia="宋体" w:cs="宋体"/>
          <w:i w:val="0"/>
          <w:iCs w:val="0"/>
          <w:color w:val="auto"/>
          <w:spacing w:val="0"/>
          <w:w w:val="100"/>
          <w:position w:val="0"/>
          <w:sz w:val="24"/>
          <w:szCs w:val="24"/>
          <w:highlight w:val="none"/>
          <w:u w:val="single"/>
        </w:rPr>
        <w:t>（标的名称）</w:t>
      </w:r>
      <w:r>
        <w:rPr>
          <w:rFonts w:hint="eastAsia" w:ascii="宋体" w:hAnsi="宋体" w:eastAsia="宋体" w:cs="宋体"/>
          <w:i w:val="0"/>
          <w:iCs w:val="0"/>
          <w:color w:val="auto"/>
          <w:spacing w:val="0"/>
          <w:w w:val="100"/>
          <w:position w:val="0"/>
          <w:sz w:val="24"/>
          <w:szCs w:val="24"/>
          <w:highlight w:val="none"/>
        </w:rPr>
        <w:t>,属于</w:t>
      </w:r>
      <w:r>
        <w:rPr>
          <w:rFonts w:hint="eastAsia" w:ascii="宋体" w:hAnsi="宋体" w:eastAsia="宋体" w:cs="宋体"/>
          <w:i w:val="0"/>
          <w:iCs w:val="0"/>
          <w:color w:val="auto"/>
          <w:spacing w:val="0"/>
          <w:w w:val="100"/>
          <w:position w:val="0"/>
          <w:sz w:val="24"/>
          <w:szCs w:val="24"/>
          <w:highlight w:val="none"/>
          <w:u w:val="single"/>
        </w:rPr>
        <w:t>（采购文件中明确的所属行业丿行业</w:t>
      </w:r>
      <w:r>
        <w:rPr>
          <w:rFonts w:hint="eastAsia" w:ascii="宋体" w:hAnsi="宋体" w:eastAsia="宋体" w:cs="宋体"/>
          <w:i w:val="0"/>
          <w:iCs w:val="0"/>
          <w:color w:val="auto"/>
          <w:spacing w:val="0"/>
          <w:w w:val="100"/>
          <w:position w:val="0"/>
          <w:sz w:val="24"/>
          <w:szCs w:val="24"/>
          <w:highlight w:val="none"/>
          <w:lang w:val="en-US" w:eastAsia="zh-CN"/>
        </w:rPr>
        <w:t>；</w:t>
      </w:r>
      <w:r>
        <w:rPr>
          <w:rFonts w:hint="eastAsia" w:ascii="宋体" w:hAnsi="宋体" w:eastAsia="宋体" w:cs="宋体"/>
          <w:i w:val="0"/>
          <w:iCs w:val="0"/>
          <w:color w:val="auto"/>
          <w:spacing w:val="0"/>
          <w:w w:val="100"/>
          <w:position w:val="0"/>
          <w:sz w:val="24"/>
          <w:szCs w:val="24"/>
          <w:highlight w:val="none"/>
        </w:rPr>
        <w:t>制造商为</w:t>
      </w:r>
      <w:r>
        <w:rPr>
          <w:rFonts w:hint="eastAsia" w:ascii="宋体" w:hAnsi="宋体" w:eastAsia="宋体" w:cs="宋体"/>
          <w:i w:val="0"/>
          <w:iCs w:val="0"/>
          <w:color w:val="auto"/>
          <w:spacing w:val="0"/>
          <w:w w:val="100"/>
          <w:position w:val="0"/>
          <w:sz w:val="24"/>
          <w:szCs w:val="24"/>
          <w:highlight w:val="none"/>
          <w:u w:val="single"/>
        </w:rPr>
        <w:t>（企业名称）</w:t>
      </w:r>
      <w:r>
        <w:rPr>
          <w:rFonts w:hint="eastAsia" w:ascii="宋体" w:hAnsi="宋体" w:eastAsia="宋体" w:cs="宋体"/>
          <w:i w:val="0"/>
          <w:iCs w:val="0"/>
          <w:color w:val="auto"/>
          <w:spacing w:val="0"/>
          <w:w w:val="100"/>
          <w:position w:val="0"/>
          <w:sz w:val="24"/>
          <w:szCs w:val="24"/>
          <w:highlight w:val="none"/>
        </w:rPr>
        <w:t>,从业人员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人，营业收入为</w:t>
      </w:r>
      <w:r>
        <w:rPr>
          <w:rFonts w:hint="eastAsia" w:ascii="宋体" w:hAnsi="宋体" w:eastAsia="宋体" w:cs="宋体"/>
          <w:i w:val="0"/>
          <w:iCs w:val="0"/>
          <w:color w:val="auto"/>
          <w:spacing w:val="0"/>
          <w:w w:val="100"/>
          <w:position w:val="0"/>
          <w:sz w:val="24"/>
          <w:szCs w:val="24"/>
          <w:highlight w:val="none"/>
          <w:u w:val="single"/>
          <w:lang w:val="en-US" w:eastAsia="zh-CN" w:bidi="zh-CN"/>
        </w:rPr>
        <w:t xml:space="preserve">       </w:t>
      </w:r>
      <w:r>
        <w:rPr>
          <w:rFonts w:hint="eastAsia" w:ascii="宋体" w:hAnsi="宋体" w:eastAsia="宋体" w:cs="宋体"/>
          <w:i w:val="0"/>
          <w:iCs w:val="0"/>
          <w:color w:val="auto"/>
          <w:spacing w:val="0"/>
          <w:w w:val="100"/>
          <w:position w:val="0"/>
          <w:sz w:val="24"/>
          <w:szCs w:val="24"/>
          <w:highlight w:val="none"/>
        </w:rPr>
        <w:t>万元，资产总额为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万元</w:t>
      </w:r>
      <w:r>
        <w:rPr>
          <w:rFonts w:hint="eastAsia" w:ascii="宋体" w:hAnsi="宋体" w:eastAsia="宋体" w:cs="宋体"/>
          <w:i w:val="0"/>
          <w:iCs w:val="0"/>
          <w:color w:val="auto"/>
          <w:spacing w:val="0"/>
          <w:w w:val="100"/>
          <w:position w:val="0"/>
          <w:sz w:val="24"/>
          <w:szCs w:val="24"/>
          <w:highlight w:val="none"/>
          <w:lang w:val="en-US" w:eastAsia="zh-CN"/>
        </w:rPr>
        <w:t>,</w:t>
      </w:r>
      <w:r>
        <w:rPr>
          <w:rFonts w:hint="eastAsia" w:ascii="宋体" w:hAnsi="宋体" w:eastAsia="宋体" w:cs="宋体"/>
          <w:i w:val="0"/>
          <w:iCs w:val="0"/>
          <w:color w:val="auto"/>
          <w:spacing w:val="0"/>
          <w:w w:val="100"/>
          <w:position w:val="0"/>
          <w:sz w:val="24"/>
          <w:szCs w:val="24"/>
          <w:highlight w:val="none"/>
        </w:rPr>
        <w:t>属于</w:t>
      </w:r>
      <w:r>
        <w:rPr>
          <w:rFonts w:hint="eastAsia" w:ascii="宋体" w:hAnsi="宋体" w:eastAsia="宋体" w:cs="宋体"/>
          <w:i w:val="0"/>
          <w:iCs w:val="0"/>
          <w:color w:val="auto"/>
          <w:spacing w:val="0"/>
          <w:w w:val="100"/>
          <w:position w:val="0"/>
          <w:sz w:val="24"/>
          <w:szCs w:val="24"/>
          <w:highlight w:val="none"/>
          <w:u w:val="single"/>
        </w:rPr>
        <w:t>（中型企业、小 型企业、微型企业）</w:t>
      </w:r>
      <w:r>
        <w:rPr>
          <w:rFonts w:hint="eastAsia" w:ascii="宋体" w:hAnsi="宋体" w:eastAsia="宋体" w:cs="宋体"/>
          <w:i w:val="0"/>
          <w:iCs w:val="0"/>
          <w:color w:val="auto"/>
          <w:spacing w:val="0"/>
          <w:w w:val="100"/>
          <w:position w:val="0"/>
          <w:sz w:val="24"/>
          <w:szCs w:val="24"/>
          <w:highlight w:val="none"/>
        </w:rPr>
        <w:t>,</w:t>
      </w:r>
    </w:p>
    <w:p>
      <w:pPr>
        <w:pStyle w:val="612"/>
        <w:keepNext w:val="0"/>
        <w:keepLines w:val="0"/>
        <w:widowControl w:val="0"/>
        <w:numPr>
          <w:ilvl w:val="0"/>
          <w:numId w:val="5"/>
        </w:numPr>
        <w:shd w:val="clear" w:color="auto" w:fill="auto"/>
        <w:tabs>
          <w:tab w:val="left" w:pos="1238"/>
          <w:tab w:val="left" w:pos="6331"/>
        </w:tabs>
        <w:bidi w:val="0"/>
        <w:spacing w:before="0" w:after="0" w:line="360" w:lineRule="auto"/>
        <w:ind w:left="0" w:right="0" w:firstLine="660"/>
        <w:jc w:val="both"/>
        <w:rPr>
          <w:rFonts w:hint="eastAsia" w:ascii="宋体" w:hAnsi="宋体" w:eastAsia="宋体" w:cs="宋体"/>
          <w:i w:val="0"/>
          <w:iCs w:val="0"/>
          <w:color w:val="auto"/>
          <w:sz w:val="24"/>
          <w:szCs w:val="24"/>
          <w:highlight w:val="none"/>
        </w:rPr>
      </w:pPr>
      <w:bookmarkStart w:id="92" w:name="bookmark31"/>
      <w:bookmarkEnd w:id="92"/>
      <w:r>
        <w:rPr>
          <w:rFonts w:hint="eastAsia" w:ascii="宋体" w:hAnsi="宋体" w:eastAsia="宋体" w:cs="宋体"/>
          <w:i w:val="0"/>
          <w:iCs w:val="0"/>
          <w:color w:val="auto"/>
          <w:spacing w:val="0"/>
          <w:w w:val="100"/>
          <w:position w:val="0"/>
          <w:sz w:val="24"/>
          <w:szCs w:val="24"/>
          <w:highlight w:val="none"/>
          <w:u w:val="single"/>
        </w:rPr>
        <w:t>（标的名称）</w:t>
      </w:r>
      <w:r>
        <w:rPr>
          <w:rFonts w:hint="eastAsia" w:ascii="宋体" w:hAnsi="宋体" w:eastAsia="宋体" w:cs="宋体"/>
          <w:i w:val="0"/>
          <w:iCs w:val="0"/>
          <w:color w:val="auto"/>
          <w:spacing w:val="0"/>
          <w:w w:val="100"/>
          <w:position w:val="0"/>
          <w:sz w:val="24"/>
          <w:szCs w:val="24"/>
          <w:highlight w:val="none"/>
        </w:rPr>
        <w:t>,属于</w:t>
      </w:r>
      <w:r>
        <w:rPr>
          <w:rFonts w:hint="eastAsia" w:ascii="宋体" w:hAnsi="宋体" w:eastAsia="宋体" w:cs="宋体"/>
          <w:i w:val="0"/>
          <w:iCs w:val="0"/>
          <w:color w:val="auto"/>
          <w:spacing w:val="0"/>
          <w:w w:val="100"/>
          <w:position w:val="0"/>
          <w:sz w:val="24"/>
          <w:szCs w:val="24"/>
          <w:highlight w:val="none"/>
          <w:u w:val="single"/>
        </w:rPr>
        <w:t>（采购文件中明确的所属行业丿行业</w:t>
      </w:r>
      <w:r>
        <w:rPr>
          <w:rFonts w:hint="eastAsia" w:ascii="宋体" w:hAnsi="宋体" w:eastAsia="宋体" w:cs="宋体"/>
          <w:i w:val="0"/>
          <w:iCs w:val="0"/>
          <w:color w:val="auto"/>
          <w:spacing w:val="0"/>
          <w:w w:val="100"/>
          <w:position w:val="0"/>
          <w:sz w:val="24"/>
          <w:szCs w:val="24"/>
          <w:highlight w:val="none"/>
          <w:lang w:eastAsia="zh-CN"/>
        </w:rPr>
        <w:t>；</w:t>
      </w:r>
      <w:r>
        <w:rPr>
          <w:rFonts w:hint="eastAsia" w:ascii="宋体" w:hAnsi="宋体" w:eastAsia="宋体" w:cs="宋体"/>
          <w:i w:val="0"/>
          <w:iCs w:val="0"/>
          <w:color w:val="auto"/>
          <w:spacing w:val="0"/>
          <w:w w:val="100"/>
          <w:position w:val="0"/>
          <w:sz w:val="24"/>
          <w:szCs w:val="24"/>
          <w:highlight w:val="none"/>
        </w:rPr>
        <w:t>制造商为</w:t>
      </w:r>
      <w:r>
        <w:rPr>
          <w:rFonts w:hint="eastAsia" w:ascii="宋体" w:hAnsi="宋体" w:eastAsia="宋体" w:cs="宋体"/>
          <w:i w:val="0"/>
          <w:iCs w:val="0"/>
          <w:color w:val="auto"/>
          <w:spacing w:val="0"/>
          <w:w w:val="100"/>
          <w:position w:val="0"/>
          <w:sz w:val="24"/>
          <w:szCs w:val="24"/>
          <w:highlight w:val="none"/>
          <w:u w:val="single"/>
        </w:rPr>
        <w:t>（企业名称）</w:t>
      </w:r>
      <w:r>
        <w:rPr>
          <w:rFonts w:hint="eastAsia" w:ascii="宋体" w:hAnsi="宋体" w:eastAsia="宋体" w:cs="宋体"/>
          <w:i w:val="0"/>
          <w:iCs w:val="0"/>
          <w:color w:val="auto"/>
          <w:spacing w:val="0"/>
          <w:w w:val="100"/>
          <w:position w:val="0"/>
          <w:sz w:val="24"/>
          <w:szCs w:val="24"/>
          <w:highlight w:val="none"/>
        </w:rPr>
        <w:t>,从业人员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人，营业收入为</w:t>
      </w:r>
      <w:r>
        <w:rPr>
          <w:rFonts w:hint="eastAsia" w:ascii="宋体" w:hAnsi="宋体" w:eastAsia="宋体" w:cs="宋体"/>
          <w:i w:val="0"/>
          <w:iCs w:val="0"/>
          <w:color w:val="auto"/>
          <w:spacing w:val="0"/>
          <w:w w:val="100"/>
          <w:position w:val="0"/>
          <w:sz w:val="24"/>
          <w:szCs w:val="24"/>
          <w:highlight w:val="none"/>
          <w:u w:val="single"/>
          <w:lang w:val="en-US" w:eastAsia="zh-CN" w:bidi="zh-CN"/>
        </w:rPr>
        <w:t xml:space="preserve">       </w:t>
      </w:r>
      <w:r>
        <w:rPr>
          <w:rFonts w:hint="eastAsia" w:ascii="宋体" w:hAnsi="宋体" w:eastAsia="宋体" w:cs="宋体"/>
          <w:i w:val="0"/>
          <w:iCs w:val="0"/>
          <w:color w:val="auto"/>
          <w:spacing w:val="0"/>
          <w:w w:val="100"/>
          <w:position w:val="0"/>
          <w:sz w:val="24"/>
          <w:szCs w:val="24"/>
          <w:highlight w:val="none"/>
        </w:rPr>
        <w:t>万元，资产总额为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万元</w:t>
      </w:r>
      <w:r>
        <w:rPr>
          <w:rFonts w:hint="eastAsia" w:ascii="宋体" w:hAnsi="宋体" w:eastAsia="宋体" w:cs="宋体"/>
          <w:i w:val="0"/>
          <w:iCs w:val="0"/>
          <w:color w:val="auto"/>
          <w:spacing w:val="0"/>
          <w:w w:val="100"/>
          <w:position w:val="0"/>
          <w:sz w:val="24"/>
          <w:szCs w:val="24"/>
          <w:highlight w:val="none"/>
          <w:lang w:val="en-US" w:eastAsia="zh-CN"/>
        </w:rPr>
        <w:t>,</w:t>
      </w:r>
      <w:r>
        <w:rPr>
          <w:rFonts w:hint="eastAsia" w:ascii="宋体" w:hAnsi="宋体" w:eastAsia="宋体" w:cs="宋体"/>
          <w:i w:val="0"/>
          <w:iCs w:val="0"/>
          <w:color w:val="auto"/>
          <w:spacing w:val="0"/>
          <w:w w:val="100"/>
          <w:position w:val="0"/>
          <w:sz w:val="24"/>
          <w:szCs w:val="24"/>
          <w:highlight w:val="none"/>
        </w:rPr>
        <w:t>属于</w:t>
      </w:r>
      <w:r>
        <w:rPr>
          <w:rFonts w:hint="eastAsia" w:ascii="宋体" w:hAnsi="宋体" w:eastAsia="宋体" w:cs="宋体"/>
          <w:i w:val="0"/>
          <w:iCs w:val="0"/>
          <w:color w:val="auto"/>
          <w:spacing w:val="0"/>
          <w:w w:val="100"/>
          <w:position w:val="0"/>
          <w:sz w:val="24"/>
          <w:szCs w:val="24"/>
          <w:highlight w:val="none"/>
          <w:u w:val="single"/>
        </w:rPr>
        <w:t>（中型企业、小 型企业、微型企业）</w:t>
      </w:r>
      <w:r>
        <w:rPr>
          <w:rFonts w:hint="eastAsia" w:ascii="宋体" w:hAnsi="宋体" w:eastAsia="宋体" w:cs="宋体"/>
          <w:i w:val="0"/>
          <w:iCs w:val="0"/>
          <w:color w:val="auto"/>
          <w:spacing w:val="0"/>
          <w:w w:val="100"/>
          <w:position w:val="0"/>
          <w:sz w:val="24"/>
          <w:szCs w:val="24"/>
          <w:highlight w:val="none"/>
          <w:lang w:val="zh-CN" w:eastAsia="zh-CN" w:bidi="zh-CN"/>
        </w:rPr>
        <w:t>,</w:t>
      </w:r>
      <w:r>
        <w:rPr>
          <w:rFonts w:hint="eastAsia" w:ascii="宋体" w:hAnsi="宋体" w:eastAsia="宋体" w:cs="宋体"/>
          <w:i w:val="0"/>
          <w:iCs w:val="0"/>
          <w:color w:val="auto"/>
          <w:spacing w:val="0"/>
          <w:w w:val="100"/>
          <w:position w:val="0"/>
          <w:sz w:val="24"/>
          <w:szCs w:val="24"/>
          <w:highlight w:val="none"/>
          <w:lang w:val="en-US" w:eastAsia="en-US" w:bidi="en-US"/>
        </w:rPr>
        <w:tab/>
      </w:r>
    </w:p>
    <w:p>
      <w:pPr>
        <w:pStyle w:val="612"/>
        <w:keepNext w:val="0"/>
        <w:keepLines w:val="0"/>
        <w:widowControl w:val="0"/>
        <w:shd w:val="clear" w:color="auto" w:fill="auto"/>
        <w:bidi w:val="0"/>
        <w:spacing w:before="0" w:after="0" w:line="360" w:lineRule="auto"/>
        <w:ind w:left="0" w:right="0" w:firstLine="66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以上企业，不属于大企业的分支机构，不存在控股股东为大企业的情形</w:t>
      </w:r>
      <w:r>
        <w:rPr>
          <w:rFonts w:hint="eastAsia" w:ascii="宋体" w:hAnsi="宋体" w:eastAsia="宋体" w:cs="宋体"/>
          <w:color w:val="auto"/>
          <w:spacing w:val="0"/>
          <w:w w:val="100"/>
          <w:position w:val="0"/>
          <w:sz w:val="24"/>
          <w:szCs w:val="24"/>
          <w:highlight w:val="none"/>
          <w:lang w:val="en-US" w:eastAsia="zh-CN"/>
        </w:rPr>
        <w:t>,</w:t>
      </w:r>
      <w:r>
        <w:rPr>
          <w:rFonts w:hint="eastAsia" w:ascii="宋体" w:hAnsi="宋体" w:eastAsia="宋体" w:cs="宋体"/>
          <w:color w:val="auto"/>
          <w:spacing w:val="0"/>
          <w:w w:val="100"/>
          <w:position w:val="0"/>
          <w:sz w:val="24"/>
          <w:szCs w:val="24"/>
          <w:highlight w:val="none"/>
        </w:rPr>
        <w:t>也不存在与大企业的负责人为同一人的情形。</w:t>
      </w:r>
    </w:p>
    <w:p>
      <w:pPr>
        <w:pStyle w:val="612"/>
        <w:keepNext w:val="0"/>
        <w:keepLines w:val="0"/>
        <w:widowControl w:val="0"/>
        <w:shd w:val="clear" w:color="auto" w:fill="auto"/>
        <w:bidi w:val="0"/>
        <w:spacing w:before="0" w:after="0" w:line="360" w:lineRule="auto"/>
        <w:ind w:left="0" w:right="0" w:firstLine="66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本企业对上述声明内容的真实性负责。如有虚假，将依法承担相应责任。</w:t>
      </w:r>
    </w:p>
    <w:p>
      <w:pPr>
        <w:pStyle w:val="612"/>
        <w:keepNext w:val="0"/>
        <w:keepLines w:val="0"/>
        <w:widowControl w:val="0"/>
        <w:shd w:val="clear" w:color="auto" w:fill="auto"/>
        <w:bidi w:val="0"/>
        <w:spacing w:before="0" w:after="0" w:line="360" w:lineRule="auto"/>
        <w:ind w:left="386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企业名称（盖章）:</w:t>
      </w:r>
    </w:p>
    <w:p>
      <w:pPr>
        <w:pStyle w:val="612"/>
        <w:keepNext w:val="0"/>
        <w:keepLines w:val="0"/>
        <w:widowControl w:val="0"/>
        <w:shd w:val="clear" w:color="auto" w:fill="auto"/>
        <w:bidi w:val="0"/>
        <w:spacing w:before="0" w:after="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日期：</w:t>
      </w:r>
    </w:p>
    <w:p>
      <w:pPr>
        <w:pStyle w:val="612"/>
        <w:kinsoku/>
        <w:overflowPunct/>
        <w:bidi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注：从业人员、营业收入、资产总额填报上一年度数据，无上一年度数据的新成立企业可不填报。</w:t>
      </w:r>
    </w:p>
    <w:p>
      <w:pPr>
        <w:pStyle w:val="605"/>
        <w:pBdr>
          <w:top w:val="none" w:color="auto" w:sz="0" w:space="0"/>
          <w:left w:val="none" w:color="auto" w:sz="0" w:space="0"/>
          <w:bottom w:val="none" w:color="auto" w:sz="0" w:space="0"/>
          <w:right w:val="none" w:color="auto" w:sz="0" w:space="0"/>
        </w:pBdr>
        <w:kinsoku/>
        <w:wordWrap w:val="0"/>
        <w:overflowPunct/>
        <w:bidi w:val="0"/>
        <w:spacing w:line="360" w:lineRule="auto"/>
        <w:ind w:firstLine="570"/>
        <w:rPr>
          <w:rFonts w:hint="eastAsia" w:ascii="宋体" w:hAnsi="宋体" w:eastAsia="宋体" w:cs="宋体"/>
          <w:b/>
          <w:bCs/>
          <w:color w:val="auto"/>
          <w:sz w:val="24"/>
          <w:szCs w:val="24"/>
          <w:highlight w:val="none"/>
        </w:rPr>
      </w:pPr>
    </w:p>
    <w:p>
      <w:pPr>
        <w:pStyle w:val="612"/>
        <w:kinsoku/>
        <w:overflowPunct/>
        <w:bidi w:val="0"/>
        <w:spacing w:line="400" w:lineRule="exact"/>
        <w:rPr>
          <w:rFonts w:hint="eastAsia" w:ascii="宋体" w:hAnsi="宋体" w:eastAsia="宋体" w:cs="宋体"/>
          <w:b/>
          <w:bCs/>
          <w:color w:val="auto"/>
          <w:sz w:val="24"/>
          <w:szCs w:val="24"/>
          <w:highlight w:val="none"/>
          <w:lang w:val="en-US" w:eastAsia="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pStyle w:val="19"/>
        <w:rPr>
          <w:rFonts w:hint="eastAsia" w:ascii="宋体" w:hAnsi="宋体" w:eastAsia="宋体" w:cs="宋体"/>
          <w:color w:val="auto"/>
          <w:highlight w:val="none"/>
          <w:lang w:val="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numPr>
          <w:ilvl w:val="0"/>
          <w:numId w:val="0"/>
        </w:numPr>
        <w:kinsoku/>
        <w:overflowPunct/>
        <w:bidi w:val="0"/>
        <w:spacing w:line="400" w:lineRule="exact"/>
        <w:jc w:val="center"/>
        <w:rPr>
          <w:rFonts w:hint="eastAsia" w:ascii="宋体" w:hAnsi="宋体" w:eastAsia="宋体" w:cs="宋体"/>
          <w:b/>
          <w:color w:val="auto"/>
          <w:spacing w:val="6"/>
          <w:sz w:val="24"/>
          <w:szCs w:val="24"/>
          <w:highlight w:val="none"/>
        </w:rPr>
      </w:pPr>
      <w:r>
        <w:rPr>
          <w:rFonts w:hint="eastAsia" w:ascii="宋体" w:hAnsi="宋体" w:eastAsia="宋体" w:cs="宋体"/>
          <w:b/>
          <w:color w:val="auto"/>
          <w:kern w:val="0"/>
          <w:sz w:val="24"/>
          <w:highlight w:val="none"/>
          <w:lang w:val="en-US" w:eastAsia="zh-CN"/>
        </w:rPr>
        <w:t>2.</w:t>
      </w:r>
      <w:r>
        <w:rPr>
          <w:rFonts w:hint="eastAsia" w:ascii="宋体" w:hAnsi="宋体" w:eastAsia="宋体" w:cs="宋体"/>
          <w:b/>
          <w:color w:val="auto"/>
          <w:spacing w:val="6"/>
          <w:sz w:val="28"/>
          <w:szCs w:val="28"/>
          <w:highlight w:val="none"/>
        </w:rPr>
        <w:t>监狱和戒毒企业证明材料</w:t>
      </w:r>
    </w:p>
    <w:p>
      <w:pPr>
        <w:pStyle w:val="19"/>
        <w:rPr>
          <w:rFonts w:hint="eastAsia" w:ascii="宋体" w:hAnsi="宋体" w:eastAsia="宋体" w:cs="宋体"/>
          <w:color w:val="auto"/>
          <w:highlight w:val="none"/>
        </w:rPr>
      </w:pPr>
    </w:p>
    <w:p>
      <w:pPr>
        <w:pStyle w:val="19"/>
        <w:numPr>
          <w:ilvl w:val="0"/>
          <w:numId w:val="0"/>
        </w:numPr>
        <w:rPr>
          <w:rFonts w:hint="eastAsia" w:ascii="宋体" w:hAnsi="宋体" w:eastAsia="宋体" w:cs="宋体"/>
          <w:color w:val="auto"/>
          <w:highlight w:val="none"/>
        </w:rPr>
      </w:pPr>
    </w:p>
    <w:p>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监狱和戒毒企业参加投标时应提供由省级以上监狱管理局、戒毒管理局（含新疆生产建设兵团）出具的属于监狱企业的证明文件。</w:t>
      </w:r>
    </w:p>
    <w:p>
      <w:pPr>
        <w:kinsoku/>
        <w:overflowPunct/>
        <w:bidi w:val="0"/>
        <w:spacing w:line="400" w:lineRule="exact"/>
        <w:rPr>
          <w:rFonts w:hint="eastAsia" w:ascii="宋体" w:hAnsi="宋体" w:eastAsia="宋体" w:cs="宋体"/>
          <w:color w:val="auto"/>
          <w:sz w:val="24"/>
          <w:szCs w:val="24"/>
          <w:highlight w:val="none"/>
        </w:rPr>
      </w:pPr>
    </w:p>
    <w:p>
      <w:pPr>
        <w:pStyle w:val="609"/>
        <w:kinsoku/>
        <w:overflowPunct/>
        <w:bidi w:val="0"/>
        <w:spacing w:line="400" w:lineRule="exact"/>
        <w:jc w:val="center"/>
        <w:rPr>
          <w:rFonts w:hint="eastAsia" w:ascii="宋体" w:hAnsi="宋体" w:eastAsia="宋体" w:cs="宋体"/>
          <w:b/>
          <w:color w:val="auto"/>
          <w:spacing w:val="6"/>
          <w:sz w:val="24"/>
          <w:highlight w:val="none"/>
        </w:rPr>
      </w:pPr>
    </w:p>
    <w:p>
      <w:pPr>
        <w:kinsoku/>
        <w:overflowPunct/>
        <w:bidi w:val="0"/>
        <w:snapToGrid w:val="0"/>
        <w:spacing w:line="400" w:lineRule="exact"/>
        <w:ind w:left="0" w:leftChars="0" w:firstLine="5880" w:firstLineChars="24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pPr>
        <w:pStyle w:val="605"/>
        <w:pBdr>
          <w:top w:val="none" w:color="auto" w:sz="0" w:space="0"/>
          <w:left w:val="none" w:color="auto" w:sz="0" w:space="0"/>
          <w:bottom w:val="none" w:color="auto" w:sz="0" w:space="0"/>
          <w:right w:val="none" w:color="auto" w:sz="0" w:space="0"/>
        </w:pBdr>
        <w:kinsoku/>
        <w:overflowPunct/>
        <w:bidi w:val="0"/>
        <w:snapToGrid w:val="0"/>
        <w:spacing w:line="400" w:lineRule="exact"/>
        <w:ind w:left="0" w:leftChars="0" w:firstLine="5880" w:firstLineChars="24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w:t>
      </w:r>
    </w:p>
    <w:p>
      <w:pPr>
        <w:pStyle w:val="605"/>
        <w:pBdr>
          <w:top w:val="none" w:color="auto" w:sz="0" w:space="0"/>
          <w:left w:val="none" w:color="auto" w:sz="0" w:space="0"/>
          <w:bottom w:val="none" w:color="auto" w:sz="0" w:space="0"/>
          <w:right w:val="none" w:color="auto" w:sz="0" w:space="0"/>
        </w:pBdr>
        <w:kinsoku/>
        <w:overflowPunct/>
        <w:bidi w:val="0"/>
        <w:snapToGrid w:val="0"/>
        <w:spacing w:line="400" w:lineRule="exact"/>
        <w:ind w:firstLine="0"/>
        <w:jc w:val="center"/>
        <w:rPr>
          <w:rFonts w:hint="eastAsia" w:ascii="宋体" w:hAnsi="宋体" w:eastAsia="宋体" w:cs="宋体"/>
          <w:color w:val="auto"/>
          <w:kern w:val="0"/>
          <w:sz w:val="24"/>
          <w:szCs w:val="24"/>
          <w:highlight w:val="none"/>
        </w:rPr>
      </w:pPr>
    </w:p>
    <w:p>
      <w:pPr>
        <w:pStyle w:val="609"/>
        <w:kinsoku/>
        <w:overflowPunct/>
        <w:bidi w:val="0"/>
        <w:spacing w:line="400" w:lineRule="exact"/>
        <w:jc w:val="center"/>
        <w:rPr>
          <w:rFonts w:hint="eastAsia" w:ascii="宋体" w:hAnsi="宋体" w:eastAsia="宋体" w:cs="宋体"/>
          <w:b/>
          <w:color w:val="auto"/>
          <w:spacing w:val="6"/>
          <w:sz w:val="24"/>
          <w:highlight w:val="none"/>
        </w:rPr>
      </w:pPr>
    </w:p>
    <w:p>
      <w:pPr>
        <w:pStyle w:val="609"/>
        <w:kinsoku/>
        <w:overflowPunct/>
        <w:bidi w:val="0"/>
        <w:spacing w:line="400" w:lineRule="exact"/>
        <w:jc w:val="center"/>
        <w:rPr>
          <w:rFonts w:hint="eastAsia" w:ascii="宋体" w:hAnsi="宋体" w:eastAsia="宋体" w:cs="宋体"/>
          <w:b/>
          <w:color w:val="auto"/>
          <w:spacing w:val="6"/>
          <w:sz w:val="24"/>
          <w:highlight w:val="none"/>
        </w:rPr>
      </w:pPr>
    </w:p>
    <w:p>
      <w:pPr>
        <w:pStyle w:val="609"/>
        <w:kinsoku/>
        <w:overflowPunct/>
        <w:bidi w:val="0"/>
        <w:spacing w:line="400" w:lineRule="exact"/>
        <w:jc w:val="center"/>
        <w:rPr>
          <w:rFonts w:hint="eastAsia" w:ascii="宋体" w:hAnsi="宋体" w:eastAsia="宋体" w:cs="宋体"/>
          <w:b/>
          <w:color w:val="auto"/>
          <w:spacing w:val="6"/>
          <w:sz w:val="24"/>
          <w:highlight w:val="none"/>
        </w:rPr>
      </w:pPr>
    </w:p>
    <w:p>
      <w:pPr>
        <w:pStyle w:val="609"/>
        <w:kinsoku/>
        <w:overflowPunct/>
        <w:bidi w:val="0"/>
        <w:spacing w:line="400" w:lineRule="exact"/>
        <w:jc w:val="center"/>
        <w:rPr>
          <w:rFonts w:hint="eastAsia" w:ascii="宋体" w:hAnsi="宋体" w:eastAsia="宋体" w:cs="宋体"/>
          <w:b/>
          <w:color w:val="auto"/>
          <w:spacing w:val="6"/>
          <w:sz w:val="24"/>
          <w:highlight w:val="none"/>
        </w:rPr>
      </w:pPr>
    </w:p>
    <w:p>
      <w:pPr>
        <w:pStyle w:val="609"/>
        <w:kinsoku/>
        <w:overflowPunct/>
        <w:bidi w:val="0"/>
        <w:spacing w:line="400" w:lineRule="exact"/>
        <w:jc w:val="center"/>
        <w:rPr>
          <w:rFonts w:hint="eastAsia" w:ascii="宋体" w:hAnsi="宋体" w:eastAsia="宋体" w:cs="宋体"/>
          <w:b/>
          <w:color w:val="auto"/>
          <w:spacing w:val="6"/>
          <w:sz w:val="24"/>
          <w:highlight w:val="none"/>
        </w:rPr>
      </w:pPr>
    </w:p>
    <w:p>
      <w:pPr>
        <w:pStyle w:val="609"/>
        <w:kinsoku/>
        <w:overflowPunct/>
        <w:bidi w:val="0"/>
        <w:spacing w:line="400" w:lineRule="exact"/>
        <w:jc w:val="center"/>
        <w:rPr>
          <w:rFonts w:hint="eastAsia" w:ascii="宋体" w:hAnsi="宋体" w:eastAsia="宋体" w:cs="宋体"/>
          <w:b/>
          <w:color w:val="auto"/>
          <w:spacing w:val="6"/>
          <w:sz w:val="24"/>
          <w:highlight w:val="none"/>
        </w:rPr>
      </w:pPr>
    </w:p>
    <w:p>
      <w:pPr>
        <w:pStyle w:val="609"/>
        <w:numPr>
          <w:ilvl w:val="0"/>
          <w:numId w:val="0"/>
        </w:numPr>
        <w:kinsoku/>
        <w:overflowPunct/>
        <w:bidi w:val="0"/>
        <w:spacing w:line="400" w:lineRule="exact"/>
        <w:ind w:leftChars="0" w:firstLine="2638" w:firstLineChars="900"/>
        <w:jc w:val="both"/>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lang w:val="en-US" w:eastAsia="zh-CN"/>
        </w:rPr>
        <w:t>3.</w:t>
      </w:r>
      <w:r>
        <w:rPr>
          <w:rFonts w:hint="eastAsia" w:ascii="宋体" w:hAnsi="宋体" w:eastAsia="宋体" w:cs="宋体"/>
          <w:b/>
          <w:color w:val="auto"/>
          <w:spacing w:val="6"/>
          <w:sz w:val="28"/>
          <w:szCs w:val="28"/>
          <w:highlight w:val="none"/>
        </w:rPr>
        <w:t>残疾人福利性单位声明函</w:t>
      </w:r>
    </w:p>
    <w:p>
      <w:pPr>
        <w:pStyle w:val="609"/>
        <w:numPr>
          <w:ilvl w:val="0"/>
          <w:numId w:val="0"/>
        </w:numPr>
        <w:kinsoku/>
        <w:overflowPunct/>
        <w:bidi w:val="0"/>
        <w:spacing w:line="400" w:lineRule="exact"/>
        <w:ind w:leftChars="0"/>
        <w:jc w:val="both"/>
        <w:rPr>
          <w:rFonts w:hint="eastAsia" w:ascii="宋体" w:hAnsi="宋体" w:eastAsia="宋体" w:cs="宋体"/>
          <w:b/>
          <w:color w:val="auto"/>
          <w:spacing w:val="6"/>
          <w:sz w:val="24"/>
          <w:highlight w:val="none"/>
        </w:rPr>
      </w:pPr>
    </w:p>
    <w:p>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widowControl/>
        <w:kinsoku/>
        <w:overflowPunct/>
        <w:bidi w:val="0"/>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 xml:space="preserve">      </w:t>
      </w:r>
    </w:p>
    <w:p>
      <w:pPr>
        <w:widowControl/>
        <w:kinsoku/>
        <w:overflowPunct/>
        <w:bidi w:val="0"/>
        <w:spacing w:line="400" w:lineRule="exact"/>
        <w:jc w:val="left"/>
        <w:rPr>
          <w:rFonts w:hint="eastAsia" w:ascii="宋体" w:hAnsi="宋体" w:eastAsia="宋体" w:cs="宋体"/>
          <w:color w:val="auto"/>
          <w:sz w:val="24"/>
          <w:highlight w:val="none"/>
        </w:rPr>
      </w:pPr>
    </w:p>
    <w:p>
      <w:pPr>
        <w:pStyle w:val="609"/>
        <w:kinsoku/>
        <w:overflowPunct/>
        <w:bidi w:val="0"/>
        <w:spacing w:line="400" w:lineRule="exact"/>
        <w:jc w:val="center"/>
        <w:rPr>
          <w:rFonts w:hint="eastAsia" w:ascii="宋体" w:hAnsi="宋体" w:eastAsia="宋体" w:cs="宋体"/>
          <w:b/>
          <w:color w:val="auto"/>
          <w:spacing w:val="6"/>
          <w:sz w:val="24"/>
          <w:highlight w:val="none"/>
        </w:rPr>
      </w:pPr>
    </w:p>
    <w:p>
      <w:pPr>
        <w:kinsoku/>
        <w:overflowPunct/>
        <w:bidi w:val="0"/>
        <w:snapToGrid w:val="0"/>
        <w:spacing w:line="400" w:lineRule="exact"/>
        <w:ind w:left="0" w:leftChars="0" w:firstLine="5880" w:firstLineChars="24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pPr>
        <w:pStyle w:val="605"/>
        <w:pBdr>
          <w:top w:val="none" w:color="auto" w:sz="0" w:space="0"/>
          <w:left w:val="none" w:color="auto" w:sz="0" w:space="0"/>
          <w:bottom w:val="none" w:color="auto" w:sz="0" w:space="0"/>
          <w:right w:val="none" w:color="auto" w:sz="0" w:space="0"/>
        </w:pBdr>
        <w:kinsoku/>
        <w:overflowPunct/>
        <w:bidi w:val="0"/>
        <w:snapToGrid w:val="0"/>
        <w:spacing w:line="400" w:lineRule="exact"/>
        <w:ind w:left="0" w:leftChars="0" w:firstLine="5880" w:firstLineChars="24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w:t>
      </w:r>
    </w:p>
    <w:p>
      <w:pPr>
        <w:pStyle w:val="605"/>
        <w:pBdr>
          <w:top w:val="none" w:color="auto" w:sz="0" w:space="0"/>
          <w:left w:val="none" w:color="auto" w:sz="0" w:space="0"/>
          <w:bottom w:val="none" w:color="auto" w:sz="0" w:space="0"/>
          <w:right w:val="none" w:color="auto" w:sz="0" w:space="0"/>
        </w:pBdr>
        <w:kinsoku/>
        <w:overflowPunct/>
        <w:bidi w:val="0"/>
        <w:snapToGrid w:val="0"/>
        <w:spacing w:line="400" w:lineRule="exact"/>
        <w:ind w:firstLine="0"/>
        <w:jc w:val="center"/>
        <w:rPr>
          <w:rFonts w:hint="eastAsia" w:ascii="宋体" w:hAnsi="宋体" w:eastAsia="宋体" w:cs="宋体"/>
          <w:color w:val="auto"/>
          <w:kern w:val="0"/>
          <w:sz w:val="24"/>
          <w:szCs w:val="24"/>
          <w:highlight w:val="none"/>
        </w:rPr>
      </w:pPr>
    </w:p>
    <w:p>
      <w:pPr>
        <w:widowControl/>
        <w:kinsoku/>
        <w:overflowPunct/>
        <w:bidi w:val="0"/>
        <w:spacing w:line="400" w:lineRule="exact"/>
        <w:jc w:val="left"/>
        <w:rPr>
          <w:rFonts w:hint="eastAsia" w:ascii="宋体" w:hAnsi="宋体" w:eastAsia="宋体" w:cs="宋体"/>
          <w:color w:val="auto"/>
          <w:sz w:val="24"/>
          <w:highlight w:val="none"/>
        </w:rPr>
      </w:pPr>
    </w:p>
    <w:p>
      <w:pPr>
        <w:pStyle w:val="19"/>
        <w:rPr>
          <w:rFonts w:hint="eastAsia" w:ascii="宋体" w:hAnsi="宋体" w:eastAsia="宋体" w:cs="宋体"/>
          <w:color w:val="auto"/>
          <w:highlight w:val="none"/>
        </w:rPr>
      </w:pPr>
    </w:p>
    <w:p>
      <w:pPr>
        <w:widowControl/>
        <w:kinsoku/>
        <w:overflowPunct/>
        <w:bidi w:val="0"/>
        <w:spacing w:line="400" w:lineRule="exact"/>
        <w:jc w:val="left"/>
        <w:rPr>
          <w:rFonts w:hint="eastAsia" w:ascii="宋体" w:hAnsi="宋体" w:eastAsia="宋体" w:cs="宋体"/>
          <w:color w:val="auto"/>
          <w:sz w:val="24"/>
          <w:highlight w:val="none"/>
        </w:rPr>
      </w:pPr>
    </w:p>
    <w:p>
      <w:pPr>
        <w:pStyle w:val="19"/>
        <w:rPr>
          <w:rFonts w:hint="eastAsia" w:ascii="宋体" w:hAnsi="宋体" w:eastAsia="宋体" w:cs="宋体"/>
          <w:color w:val="auto"/>
          <w:highlight w:val="none"/>
        </w:rPr>
      </w:pPr>
    </w:p>
    <w:p>
      <w:pPr>
        <w:widowControl/>
        <w:spacing w:line="312" w:lineRule="auto"/>
        <w:jc w:val="left"/>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表</w:t>
      </w:r>
      <w:r>
        <w:rPr>
          <w:rFonts w:hint="eastAsia" w:ascii="宋体" w:hAnsi="宋体" w:eastAsia="宋体" w:cs="宋体"/>
          <w:color w:val="auto"/>
          <w:sz w:val="24"/>
          <w:szCs w:val="22"/>
          <w:highlight w:val="none"/>
          <w:shd w:val="clear" w:color="auto" w:fill="auto"/>
          <w:lang w:val="en-US" w:eastAsia="zh-CN"/>
        </w:rPr>
        <w:t>8</w:t>
      </w:r>
      <w:r>
        <w:rPr>
          <w:rFonts w:hint="eastAsia" w:ascii="宋体" w:hAnsi="宋体" w:eastAsia="宋体" w:cs="宋体"/>
          <w:color w:val="auto"/>
          <w:sz w:val="24"/>
          <w:szCs w:val="22"/>
          <w:highlight w:val="none"/>
          <w:shd w:val="clear" w:color="auto" w:fill="auto"/>
        </w:rPr>
        <w:t>：与其他</w:t>
      </w:r>
      <w:r>
        <w:rPr>
          <w:rFonts w:hint="eastAsia" w:ascii="宋体" w:hAnsi="宋体" w:cs="宋体"/>
          <w:color w:val="auto"/>
          <w:sz w:val="24"/>
          <w:szCs w:val="22"/>
          <w:highlight w:val="none"/>
          <w:shd w:val="clear" w:color="auto" w:fill="auto"/>
          <w:lang w:eastAsia="zh-CN"/>
        </w:rPr>
        <w:t>投标人</w:t>
      </w:r>
      <w:r>
        <w:rPr>
          <w:rFonts w:hint="eastAsia" w:ascii="宋体" w:hAnsi="宋体" w:eastAsia="宋体" w:cs="宋体"/>
          <w:color w:val="auto"/>
          <w:sz w:val="24"/>
          <w:szCs w:val="22"/>
          <w:highlight w:val="none"/>
          <w:shd w:val="clear" w:color="auto" w:fill="auto"/>
        </w:rPr>
        <w:t>无利害关系的声明函</w:t>
      </w:r>
    </w:p>
    <w:p>
      <w:pPr>
        <w:spacing w:line="312"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与其他</w:t>
      </w:r>
      <w:r>
        <w:rPr>
          <w:rFonts w:hint="eastAsia" w:ascii="宋体" w:hAnsi="宋体" w:cs="宋体"/>
          <w:b/>
          <w:color w:val="auto"/>
          <w:sz w:val="32"/>
          <w:szCs w:val="32"/>
          <w:highlight w:val="none"/>
          <w:shd w:val="clear" w:color="auto" w:fill="auto"/>
          <w:lang w:eastAsia="zh-CN"/>
        </w:rPr>
        <w:t>投标人</w:t>
      </w:r>
      <w:r>
        <w:rPr>
          <w:rFonts w:hint="eastAsia" w:ascii="宋体" w:hAnsi="宋体" w:eastAsia="宋体" w:cs="宋体"/>
          <w:b/>
          <w:color w:val="auto"/>
          <w:sz w:val="32"/>
          <w:szCs w:val="32"/>
          <w:highlight w:val="none"/>
          <w:shd w:val="clear" w:color="auto" w:fill="auto"/>
        </w:rPr>
        <w:t>无利害关系的声明函</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sz w:val="24"/>
          <w:szCs w:val="24"/>
          <w:highlight w:val="none"/>
          <w:u w:val="single"/>
          <w:shd w:val="clear" w:color="auto" w:fill="auto"/>
        </w:rPr>
        <w:t>（采购人）</w:t>
      </w:r>
      <w:r>
        <w:rPr>
          <w:rFonts w:hint="eastAsia" w:ascii="宋体" w:hAnsi="宋体" w:eastAsia="宋体" w:cs="宋体"/>
          <w:color w:val="auto"/>
          <w:sz w:val="24"/>
          <w:szCs w:val="24"/>
          <w:highlight w:val="none"/>
          <w:shd w:val="clear" w:color="auto" w:fill="auto"/>
        </w:rPr>
        <w:t>：</w:t>
      </w:r>
    </w:p>
    <w:p>
      <w:pPr>
        <w:pStyle w:val="19"/>
        <w:keepNext w:val="0"/>
        <w:keepLines w:val="0"/>
        <w:pageBreakBefore w:val="0"/>
        <w:tabs>
          <w:tab w:val="left" w:pos="1903"/>
          <w:tab w:val="left" w:pos="4336"/>
        </w:tabs>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w:t>
      </w:r>
      <w:r>
        <w:rPr>
          <w:rFonts w:hint="eastAsia" w:ascii="宋体" w:hAnsi="宋体" w:cs="宋体"/>
          <w:color w:val="auto"/>
          <w:sz w:val="24"/>
          <w:szCs w:val="24"/>
          <w:highlight w:val="none"/>
          <w:u w:val="single"/>
          <w:shd w:val="clear" w:color="auto" w:fill="auto"/>
          <w:lang w:eastAsia="zh-CN"/>
        </w:rPr>
        <w:t>投标人</w:t>
      </w:r>
      <w:r>
        <w:rPr>
          <w:rFonts w:hint="eastAsia" w:ascii="宋体" w:hAnsi="宋体" w:eastAsia="宋体" w:cs="宋体"/>
          <w:color w:val="auto"/>
          <w:sz w:val="24"/>
          <w:szCs w:val="24"/>
          <w:highlight w:val="none"/>
          <w:u w:val="single"/>
          <w:shd w:val="clear" w:color="auto" w:fill="auto"/>
        </w:rPr>
        <w:t>）</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shd w:val="clear" w:color="auto" w:fill="auto"/>
        </w:rPr>
        <w:t>参加</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（采购人）</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lang w:eastAsia="zh-CN"/>
        </w:rPr>
        <w:t>项目名称</w:t>
      </w:r>
      <w:r>
        <w:rPr>
          <w:rFonts w:hint="eastAsia" w:ascii="宋体" w:hAnsi="宋体" w:eastAsia="宋体" w:cs="宋体"/>
          <w:color w:val="auto"/>
          <w:spacing w:val="-3"/>
          <w:sz w:val="24"/>
          <w:szCs w:val="24"/>
          <w:highlight w:val="none"/>
          <w:shd w:val="clear" w:color="auto" w:fill="auto"/>
        </w:rPr>
        <w:t>（项目编号</w:t>
      </w:r>
      <w:r>
        <w:rPr>
          <w:rFonts w:hint="eastAsia" w:ascii="宋体" w:hAnsi="宋体" w:eastAsia="宋体" w:cs="宋体"/>
          <w:color w:val="auto"/>
          <w:spacing w:val="-3"/>
          <w:sz w:val="24"/>
          <w:szCs w:val="24"/>
          <w:highlight w:val="none"/>
          <w:shd w:val="clear" w:color="auto" w:fill="auto"/>
          <w:lang w:eastAsia="zh-CN"/>
        </w:rPr>
        <w:t>：</w:t>
      </w:r>
      <w:r>
        <w:rPr>
          <w:rFonts w:hint="eastAsia" w:ascii="宋体" w:hAnsi="宋体" w:eastAsia="宋体" w:cs="宋体"/>
          <w:color w:val="auto"/>
          <w:spacing w:val="-3"/>
          <w:sz w:val="24"/>
          <w:szCs w:val="24"/>
          <w:highlight w:val="none"/>
          <w:u w:val="single"/>
          <w:shd w:val="clear" w:color="auto" w:fill="auto"/>
          <w:lang w:val="en-US" w:eastAsia="zh-CN"/>
        </w:rPr>
        <w:t xml:space="preserve">      </w:t>
      </w:r>
      <w:r>
        <w:rPr>
          <w:rFonts w:hint="eastAsia" w:ascii="宋体" w:hAnsi="宋体" w:eastAsia="宋体" w:cs="宋体"/>
          <w:color w:val="auto"/>
          <w:spacing w:val="-3"/>
          <w:sz w:val="24"/>
          <w:szCs w:val="24"/>
          <w:highlight w:val="none"/>
          <w:shd w:val="clear" w:color="auto" w:fill="auto"/>
        </w:rPr>
        <w:t>）政府采购活动，与其他</w:t>
      </w:r>
      <w:r>
        <w:rPr>
          <w:rFonts w:hint="eastAsia" w:ascii="宋体" w:hAnsi="宋体" w:cs="宋体"/>
          <w:color w:val="auto"/>
          <w:spacing w:val="-3"/>
          <w:sz w:val="24"/>
          <w:szCs w:val="24"/>
          <w:highlight w:val="none"/>
          <w:shd w:val="clear" w:color="auto" w:fill="auto"/>
          <w:lang w:eastAsia="zh-CN"/>
        </w:rPr>
        <w:t>投标人</w:t>
      </w:r>
      <w:r>
        <w:rPr>
          <w:rFonts w:hint="eastAsia" w:ascii="宋体" w:hAnsi="宋体" w:eastAsia="宋体" w:cs="宋体"/>
          <w:color w:val="auto"/>
          <w:spacing w:val="-3"/>
          <w:sz w:val="24"/>
          <w:szCs w:val="24"/>
          <w:highlight w:val="none"/>
          <w:shd w:val="clear" w:color="auto" w:fill="auto"/>
        </w:rPr>
        <w:t>不存在法定代表人为同一人或存在直接控股、管理关系。</w:t>
      </w:r>
    </w:p>
    <w:p>
      <w:pPr>
        <w:pStyle w:val="19"/>
        <w:keepNext w:val="0"/>
        <w:keepLines w:val="0"/>
        <w:pageBreakBefore w:val="0"/>
        <w:kinsoku/>
        <w:wordWrap/>
        <w:overflowPunct/>
        <w:topLinePunct w:val="0"/>
        <w:autoSpaceDE/>
        <w:autoSpaceDN/>
        <w:bidi w:val="0"/>
        <w:adjustRightInd/>
        <w:snapToGrid/>
        <w:spacing w:after="0" w:line="480" w:lineRule="exact"/>
        <w:ind w:left="490" w:leftChars="170" w:right="-30" w:hanging="14" w:hangingChars="6"/>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我方对上述声明的真实性负责。如有虚假，愿意承担相应责任，对此无任何异议。特此声明！</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 xml:space="preserve">全称：（盖单位公章） </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日期：</w:t>
      </w:r>
      <w:r>
        <w:rPr>
          <w:rFonts w:hint="eastAsia" w:ascii="宋体" w:hAnsi="宋体" w:eastAsia="宋体" w:cs="宋体"/>
          <w:color w:val="auto"/>
          <w:sz w:val="24"/>
          <w:szCs w:val="24"/>
          <w:highlight w:val="none"/>
          <w:shd w:val="clear" w:color="auto" w:fill="auto"/>
          <w:lang w:eastAsia="zh-CN"/>
        </w:rPr>
        <w:t>2025年</w:t>
      </w:r>
      <w:r>
        <w:rPr>
          <w:rFonts w:hint="eastAsia" w:ascii="宋体" w:hAnsi="宋体" w:eastAsia="宋体" w:cs="宋体"/>
          <w:color w:val="auto"/>
          <w:sz w:val="24"/>
          <w:szCs w:val="24"/>
          <w:highlight w:val="none"/>
          <w:shd w:val="clear" w:color="auto" w:fill="auto"/>
        </w:rPr>
        <w:t xml:space="preserve">  月  日</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highlight w:val="none"/>
          <w:shd w:val="clear" w:color="auto" w:fill="auto"/>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highlight w:val="none"/>
          <w:shd w:val="clear" w:color="auto" w:fill="auto"/>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highlight w:val="none"/>
          <w:shd w:val="clear" w:color="auto" w:fill="auto"/>
        </w:rPr>
      </w:pPr>
    </w:p>
    <w:p>
      <w:pPr>
        <w:pStyle w:val="59"/>
        <w:rPr>
          <w:rFonts w:hint="eastAsia" w:ascii="宋体" w:hAnsi="宋体" w:eastAsia="宋体" w:cs="宋体"/>
          <w:color w:val="auto"/>
          <w:sz w:val="24"/>
          <w:highlight w:val="none"/>
          <w:shd w:val="clear" w:color="auto" w:fill="auto"/>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highlight w:val="none"/>
          <w:shd w:val="clear" w:color="auto" w:fill="auto"/>
          <w:lang w:eastAsia="zh-CN"/>
        </w:rPr>
        <w:t>表</w:t>
      </w:r>
      <w:r>
        <w:rPr>
          <w:rFonts w:hint="eastAsia" w:ascii="宋体" w:hAnsi="宋体" w:eastAsia="宋体" w:cs="宋体"/>
          <w:color w:val="auto"/>
          <w:sz w:val="24"/>
          <w:highlight w:val="none"/>
          <w:shd w:val="clear" w:color="auto" w:fill="auto"/>
          <w:lang w:val="en-US" w:eastAsia="zh-CN"/>
        </w:rPr>
        <w:t>9：</w:t>
      </w:r>
      <w:r>
        <w:rPr>
          <w:rFonts w:hint="eastAsia" w:ascii="宋体" w:hAnsi="宋体" w:eastAsia="宋体" w:cs="宋体"/>
          <w:color w:val="auto"/>
          <w:sz w:val="24"/>
          <w:highlight w:val="none"/>
          <w:shd w:val="clear" w:color="auto" w:fill="auto"/>
        </w:rPr>
        <w:t>非联合体的声明函</w:t>
      </w:r>
    </w:p>
    <w:p>
      <w:pPr>
        <w:spacing w:line="312" w:lineRule="auto"/>
        <w:jc w:val="center"/>
        <w:rPr>
          <w:rFonts w:hint="eastAsia" w:ascii="宋体" w:hAnsi="宋体" w:eastAsia="宋体" w:cs="宋体"/>
          <w:b/>
          <w:color w:val="auto"/>
          <w:sz w:val="32"/>
          <w:szCs w:val="22"/>
          <w:highlight w:val="none"/>
          <w:shd w:val="clear" w:color="auto" w:fill="auto"/>
        </w:rPr>
      </w:pPr>
      <w:r>
        <w:rPr>
          <w:rFonts w:hint="eastAsia" w:ascii="宋体" w:hAnsi="宋体" w:eastAsia="宋体" w:cs="宋体"/>
          <w:b/>
          <w:color w:val="auto"/>
          <w:sz w:val="32"/>
          <w:szCs w:val="22"/>
          <w:highlight w:val="none"/>
          <w:shd w:val="clear" w:color="auto" w:fill="auto"/>
        </w:rPr>
        <w:t xml:space="preserve">非联合体的声明函 </w:t>
      </w:r>
    </w:p>
    <w:p>
      <w:pPr>
        <w:spacing w:line="312" w:lineRule="auto"/>
        <w:ind w:firstLine="480" w:firstLineChars="200"/>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u w:val="single"/>
          <w:shd w:val="clear" w:color="auto" w:fill="auto"/>
        </w:rPr>
        <w:t>（采购人）：</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cs="宋体"/>
          <w:color w:val="auto"/>
          <w:sz w:val="24"/>
          <w:szCs w:val="24"/>
          <w:highlight w:val="none"/>
          <w:u w:val="single"/>
          <w:shd w:val="clear" w:color="auto" w:fill="auto"/>
          <w:lang w:eastAsia="zh-CN"/>
        </w:rPr>
        <w:t>投标人</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独立参加</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（项目名称）</w:t>
      </w:r>
      <w:r>
        <w:rPr>
          <w:rFonts w:hint="eastAsia" w:ascii="宋体" w:hAnsi="宋体" w:eastAsia="宋体" w:cs="宋体"/>
          <w:color w:val="auto"/>
          <w:sz w:val="24"/>
          <w:szCs w:val="24"/>
          <w:highlight w:val="none"/>
          <w:u w:val="single"/>
          <w:shd w:val="clear" w:color="auto" w:fill="auto"/>
        </w:rPr>
        <w:t>（项目编号:</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w:t>
      </w:r>
      <w:r>
        <w:rPr>
          <w:rFonts w:hint="eastAsia" w:ascii="宋体" w:hAnsi="宋体" w:eastAsia="宋体" w:cs="宋体"/>
          <w:color w:val="auto"/>
          <w:sz w:val="24"/>
          <w:szCs w:val="24"/>
          <w:highlight w:val="none"/>
          <w:shd w:val="clear" w:color="auto" w:fill="auto"/>
        </w:rPr>
        <w:t xml:space="preserve">政府采购活动，未与其他单位组成联合体。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本公司对上述声明的真实性负责。如有虚假，将依法承担相应责任。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特此声明！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 xml:space="preserve">全称： （盖单位公章）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日期：</w:t>
      </w:r>
      <w:r>
        <w:rPr>
          <w:rFonts w:hint="eastAsia" w:ascii="宋体" w:hAnsi="宋体" w:eastAsia="宋体" w:cs="宋体"/>
          <w:color w:val="auto"/>
          <w:sz w:val="24"/>
          <w:szCs w:val="24"/>
          <w:highlight w:val="none"/>
          <w:shd w:val="clear" w:color="auto" w:fill="auto"/>
          <w:lang w:eastAsia="zh-CN"/>
        </w:rPr>
        <w:t>2025年</w:t>
      </w:r>
      <w:r>
        <w:rPr>
          <w:rFonts w:hint="eastAsia" w:ascii="宋体" w:hAnsi="宋体" w:eastAsia="宋体" w:cs="宋体"/>
          <w:color w:val="auto"/>
          <w:sz w:val="24"/>
          <w:szCs w:val="24"/>
          <w:highlight w:val="none"/>
          <w:shd w:val="clear" w:color="auto" w:fill="auto"/>
        </w:rPr>
        <w:t xml:space="preserve">  月  日</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highlight w:val="none"/>
        </w:rPr>
      </w:pPr>
    </w:p>
    <w:p>
      <w:pPr>
        <w:pStyle w:val="18"/>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18"/>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18"/>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47"/>
        <w:kinsoku/>
        <w:overflowPunct/>
        <w:bidi w:val="0"/>
        <w:adjustRightInd w:val="0"/>
        <w:snapToGrid w:val="0"/>
        <w:spacing w:line="400" w:lineRule="exact"/>
        <w:jc w:val="center"/>
        <w:outlineLvl w:val="1"/>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格式二：投标声明函</w:t>
      </w:r>
      <w:bookmarkEnd w:id="88"/>
      <w:bookmarkEnd w:id="89"/>
    </w:p>
    <w:p>
      <w:pPr>
        <w:kinsoku/>
        <w:overflowPunct/>
        <w:bidi w:val="0"/>
        <w:adjustRightInd w:val="0"/>
        <w:snapToGrid w:val="0"/>
        <w:spacing w:line="400" w:lineRule="exact"/>
        <w:rPr>
          <w:rFonts w:hint="eastAsia" w:ascii="宋体" w:hAnsi="宋体" w:eastAsia="宋体" w:cs="宋体"/>
          <w:color w:val="auto"/>
          <w:sz w:val="24"/>
          <w:highlight w:val="none"/>
          <w:lang w:eastAsia="zh-CN"/>
        </w:rPr>
      </w:pPr>
    </w:p>
    <w:p>
      <w:pPr>
        <w:kinsoku/>
        <w:overflowPunct/>
        <w:bidi w:val="0"/>
        <w:adjustRightInd w:val="0"/>
        <w:snapToGrid w:val="0"/>
        <w:spacing w:line="400" w:lineRule="exac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衢州市柯城区百家坊小学（筹）</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、德威工程管理咨询有限公司</w:t>
      </w:r>
      <w:r>
        <w:rPr>
          <w:rFonts w:hint="eastAsia" w:ascii="宋体" w:hAnsi="宋体" w:eastAsia="宋体" w:cs="宋体"/>
          <w:color w:val="auto"/>
          <w:sz w:val="24"/>
          <w:szCs w:val="24"/>
          <w:highlight w:val="none"/>
        </w:rPr>
        <w:t>：</w:t>
      </w:r>
    </w:p>
    <w:p>
      <w:pPr>
        <w:pStyle w:val="47"/>
        <w:kinsoku/>
        <w:overflowPunct/>
        <w:bidi w:val="0"/>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本单位自愿参加</w:t>
      </w:r>
      <w:r>
        <w:rPr>
          <w:rFonts w:hint="eastAsia" w:ascii="宋体" w:hAnsi="宋体" w:eastAsia="宋体" w:cs="宋体"/>
          <w:color w:val="auto"/>
          <w:sz w:val="24"/>
          <w:szCs w:val="24"/>
          <w:highlight w:val="none"/>
          <w:u w:val="single"/>
        </w:rPr>
        <w:t xml:space="preserve">              （项目名称）(项目编号：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的投标，并保证投标文件中所列举的投报价文件及相关资料和公司基本情况资料是真实的、合法的，我方：</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1、已详细阅读全部招标文件，包括招标文件补充文件（（如果有，包括相关的补充、更正、澄清公告和文件））、参考资料及有关附件，确认无误。我方完全理解并接受招标文件的各项规定和要求。</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2、同意提供按照贵方可能要求的与投标有关的一切数据或资料等。若贵方需要，我方愿意提供我方作出的一切承诺的证明材料。</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3、中标或者成交后，按采购文件规定与采购人签订合同。拒绝签订合同的，承诺按采购预算金额的2%对采购人进行赔偿；赔偿金额不足以弥补采购人损失的，承诺继续承担超过部分的损失。</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4、同意在招标文件中投标人须知规定的开标日期起遵守本投标书中的承诺且在投标有效期满之前均具有约束力。</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5、投标有效期内不撤销投标文件；强行撤销的，承诺按采购预算金额的2%赔偿对采购组织机构造成损失；</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6、中标或者成交后，按采购文件规定的采购代理服务费标准，承诺在签订合同前向采购代理机构支付采购代理服务费。</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7、完全理解贵方不一定要接受最低价的投标。</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8、单位、法定代表人、本项目授权代表及本项目负责人在参加本项目前三年内（以法院判决书生效日期为准）均无行贿犯罪记录。</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9、如有列情形之一的，我方愿意被取消中标资格（如中标），同时继续承担其他一切法律后果，并不再寻求任何旨在减轻或免除法律责任的解释：</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(1)提供虚假材料（承诺）谋取中标、成交的；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(2)采取不正当手段诋毁、排挤其他投标人的；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(3)与招标人、其它投标人或者招标代理机构恶意串通的；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(4)向招标人、招标代理机构行贿或者提供其他不正当利益的；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(5)在招标采购过程中与招标人进行协商谈判的；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(6)拒绝有关部门监督检查或提供虚假情况的。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法定（授权）代表人（签字或盖章）：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 xml:space="preserve">盖章：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联系电话（手机及座机）：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传真：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电子邮件：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纳税人识别号：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开户银行：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银行账号：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联系地址：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邮政编码：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日    期：        年  </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月    日</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p>
    <w:p>
      <w:pPr>
        <w:pStyle w:val="2"/>
        <w:ind w:left="0" w:leftChars="0" w:firstLine="0" w:firstLineChars="0"/>
        <w:rPr>
          <w:rFonts w:hint="eastAsia" w:ascii="宋体" w:hAnsi="宋体" w:eastAsia="宋体" w:cs="宋体"/>
          <w:b/>
          <w:color w:val="auto"/>
          <w:sz w:val="36"/>
          <w:highlight w:val="none"/>
        </w:rPr>
        <w:sectPr>
          <w:headerReference r:id="rId8" w:type="default"/>
          <w:footerReference r:id="rId9" w:type="default"/>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pPr>
      <w:r>
        <w:rPr>
          <w:rFonts w:hint="eastAsia" w:ascii="宋体" w:hAnsi="宋体" w:eastAsia="宋体" w:cs="宋体"/>
          <w:b/>
          <w:color w:val="auto"/>
          <w:kern w:val="0"/>
          <w:sz w:val="24"/>
          <w:szCs w:val="24"/>
          <w:highlight w:val="none"/>
          <w:lang w:val="zh-CN"/>
        </w:rPr>
        <w:t>注：未按照本投标声明函要求填报的将被视为非实质性响应，从而可能导致该投标文件被拒绝。</w:t>
      </w:r>
    </w:p>
    <w:bookmarkEnd w:id="80"/>
    <w:bookmarkEnd w:id="81"/>
    <w:bookmarkEnd w:id="82"/>
    <w:bookmarkEnd w:id="83"/>
    <w:p>
      <w:pPr>
        <w:pStyle w:val="47"/>
        <w:kinsoku/>
        <w:overflowPunct/>
        <w:bidi w:val="0"/>
        <w:adjustRightInd w:val="0"/>
        <w:snapToGrid w:val="0"/>
        <w:spacing w:line="400" w:lineRule="exact"/>
        <w:outlineLvl w:val="1"/>
        <w:rPr>
          <w:rFonts w:hint="eastAsia" w:ascii="宋体" w:hAnsi="宋体" w:eastAsia="宋体" w:cs="宋体"/>
          <w:b/>
          <w:color w:val="auto"/>
          <w:sz w:val="28"/>
          <w:highlight w:val="none"/>
        </w:rPr>
      </w:pPr>
      <w:bookmarkStart w:id="93" w:name="_Toc15127"/>
      <w:bookmarkStart w:id="94" w:name="_Toc522530053"/>
      <w:bookmarkStart w:id="95" w:name="_Toc233618990"/>
      <w:bookmarkStart w:id="96" w:name="_Toc233618989"/>
      <w:r>
        <w:rPr>
          <w:rFonts w:hint="eastAsia" w:ascii="宋体" w:hAnsi="宋体" w:eastAsia="宋体" w:cs="宋体"/>
          <w:b/>
          <w:color w:val="auto"/>
          <w:kern w:val="0"/>
          <w:sz w:val="30"/>
          <w:highlight w:val="none"/>
          <w:lang w:val="zh-CN"/>
        </w:rPr>
        <w:t>格式三：</w:t>
      </w:r>
      <w:r>
        <w:rPr>
          <w:rFonts w:hint="eastAsia" w:ascii="宋体" w:hAnsi="宋体" w:eastAsia="宋体" w:cs="宋体"/>
          <w:b/>
          <w:color w:val="auto"/>
          <w:sz w:val="28"/>
          <w:highlight w:val="none"/>
        </w:rPr>
        <w:t>法定代表人身份证明或法定代表人身份证明及授权委托书</w:t>
      </w:r>
      <w:bookmarkEnd w:id="93"/>
      <w:bookmarkEnd w:id="94"/>
    </w:p>
    <w:p>
      <w:pPr>
        <w:pStyle w:val="47"/>
        <w:kinsoku/>
        <w:overflowPunct/>
        <w:bidi w:val="0"/>
        <w:adjustRightInd w:val="0"/>
        <w:snapToGrid w:val="0"/>
        <w:spacing w:line="400" w:lineRule="exact"/>
        <w:jc w:val="center"/>
        <w:rPr>
          <w:rFonts w:hint="eastAsia" w:ascii="宋体" w:hAnsi="宋体" w:eastAsia="宋体" w:cs="宋体"/>
          <w:b/>
          <w:color w:val="auto"/>
          <w:sz w:val="28"/>
          <w:highlight w:val="none"/>
        </w:rPr>
      </w:pPr>
    </w:p>
    <w:p>
      <w:pPr>
        <w:pStyle w:val="47"/>
        <w:kinsoku/>
        <w:overflowPunct/>
        <w:bidi w:val="0"/>
        <w:adjustRightInd w:val="0"/>
        <w:snapToGrid w:val="0"/>
        <w:spacing w:line="400" w:lineRule="exact"/>
        <w:jc w:val="center"/>
        <w:rPr>
          <w:rFonts w:hint="eastAsia" w:ascii="宋体" w:hAnsi="宋体" w:eastAsia="宋体" w:cs="宋体"/>
          <w:b/>
          <w:color w:val="auto"/>
          <w:kern w:val="0"/>
          <w:sz w:val="30"/>
          <w:highlight w:val="none"/>
          <w:lang w:val="zh-CN"/>
        </w:rPr>
      </w:pPr>
      <w:r>
        <w:rPr>
          <w:rFonts w:hint="eastAsia" w:ascii="宋体" w:hAnsi="宋体" w:eastAsia="宋体" w:cs="宋体"/>
          <w:b/>
          <w:color w:val="auto"/>
          <w:sz w:val="28"/>
          <w:highlight w:val="none"/>
        </w:rPr>
        <w:t>3-1法定代表人身份证明</w:t>
      </w:r>
    </w:p>
    <w:p>
      <w:pPr>
        <w:kinsoku/>
        <w:overflowPunct/>
        <w:bidi w:val="0"/>
        <w:adjustRightInd w:val="0"/>
        <w:snapToGrid w:val="0"/>
        <w:spacing w:line="400" w:lineRule="exact"/>
        <w:rPr>
          <w:rFonts w:hint="eastAsia" w:ascii="宋体" w:hAnsi="宋体" w:eastAsia="宋体" w:cs="宋体"/>
          <w:color w:val="auto"/>
          <w:sz w:val="24"/>
          <w:highlight w:val="none"/>
        </w:rPr>
      </w:pP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姓名：  性别：  年龄：  职务：</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（投标人名称）的法定代表人。</w:t>
      </w:r>
    </w:p>
    <w:p>
      <w:pPr>
        <w:kinsoku/>
        <w:overflowPunct/>
        <w:bidi w:val="0"/>
        <w:adjustRightInd w:val="0"/>
        <w:snapToGrid w:val="0"/>
        <w:spacing w:line="400" w:lineRule="exact"/>
        <w:ind w:firstLine="560"/>
        <w:rPr>
          <w:rFonts w:hint="eastAsia" w:ascii="宋体" w:hAnsi="宋体" w:eastAsia="宋体" w:cs="宋体"/>
          <w:color w:val="auto"/>
          <w:sz w:val="24"/>
          <w:highlight w:val="none"/>
        </w:rPr>
      </w:pP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附：法定代表人身份证复印件</w:t>
      </w:r>
    </w:p>
    <w:p>
      <w:pPr>
        <w:kinsoku/>
        <w:overflowPunct/>
        <w:bidi w:val="0"/>
        <w:adjustRightInd w:val="0"/>
        <w:snapToGrid w:val="0"/>
        <w:spacing w:line="400" w:lineRule="exact"/>
        <w:rPr>
          <w:rFonts w:hint="eastAsia" w:ascii="宋体" w:hAnsi="宋体" w:eastAsia="宋体" w:cs="宋体"/>
          <w:color w:val="auto"/>
          <w:sz w:val="24"/>
          <w:highlight w:val="none"/>
        </w:rPr>
      </w:pPr>
    </w:p>
    <w:p>
      <w:pPr>
        <w:kinsoku/>
        <w:overflowPunct/>
        <w:bidi w:val="0"/>
        <w:adjustRightInd w:val="0"/>
        <w:snapToGrid w:val="0"/>
        <w:spacing w:line="400" w:lineRule="exact"/>
        <w:ind w:right="1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投标人</w:t>
      </w:r>
      <w:r>
        <w:rPr>
          <w:rFonts w:hint="eastAsia" w:ascii="宋体" w:hAnsi="宋体" w:eastAsia="宋体" w:cs="宋体"/>
          <w:color w:val="auto"/>
          <w:sz w:val="24"/>
          <w:highlight w:val="none"/>
        </w:rPr>
        <w:t xml:space="preserve">：（全称加盖公章） </w:t>
      </w:r>
    </w:p>
    <w:p>
      <w:pPr>
        <w:kinsoku/>
        <w:overflowPunct/>
        <w:bidi w:val="0"/>
        <w:adjustRightInd w:val="0"/>
        <w:snapToGrid w:val="0"/>
        <w:spacing w:line="400" w:lineRule="exact"/>
        <w:ind w:right="1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日期：   年    月    日</w:t>
      </w:r>
    </w:p>
    <w:tbl>
      <w:tblPr>
        <w:tblStyle w:val="97"/>
        <w:tblW w:w="9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28" w:hRule="atLeast"/>
          <w:jc w:val="center"/>
        </w:trPr>
        <w:tc>
          <w:tcPr>
            <w:tcW w:w="9242" w:type="dxa"/>
            <w:vAlign w:val="center"/>
          </w:tcPr>
          <w:p>
            <w:pPr>
              <w:kinsoku/>
              <w:overflowPunct/>
              <w:bidi w:val="0"/>
              <w:adjustRightInd w:val="0"/>
              <w:snapToGrid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法定代表人身份证复印件粘贴处（正、反面）</w:t>
            </w:r>
          </w:p>
        </w:tc>
      </w:tr>
    </w:tbl>
    <w:p>
      <w:pPr>
        <w:kinsoku/>
        <w:overflowPunct/>
        <w:bidi w:val="0"/>
        <w:spacing w:beforeLines="50" w:line="400" w:lineRule="exact"/>
        <w:jc w:val="center"/>
        <w:rPr>
          <w:rFonts w:hint="eastAsia" w:ascii="宋体" w:hAnsi="宋体" w:eastAsia="宋体" w:cs="宋体"/>
          <w:b/>
          <w:color w:val="auto"/>
          <w:highlight w:val="none"/>
        </w:rPr>
      </w:pPr>
    </w:p>
    <w:p>
      <w:pPr>
        <w:kinsoku/>
        <w:overflowPunct/>
        <w:bidi w:val="0"/>
        <w:spacing w:beforeLines="50" w:line="400" w:lineRule="exact"/>
        <w:jc w:val="center"/>
        <w:rPr>
          <w:rFonts w:hint="eastAsia" w:ascii="宋体" w:hAnsi="宋体" w:eastAsia="宋体" w:cs="宋体"/>
          <w:b/>
          <w:color w:val="auto"/>
          <w:highlight w:val="none"/>
        </w:rPr>
      </w:pPr>
    </w:p>
    <w:p>
      <w:pPr>
        <w:kinsoku/>
        <w:overflowPunct/>
        <w:bidi w:val="0"/>
        <w:spacing w:beforeLines="50" w:line="400" w:lineRule="exact"/>
        <w:jc w:val="center"/>
        <w:rPr>
          <w:rFonts w:hint="eastAsia" w:ascii="宋体" w:hAnsi="宋体" w:eastAsia="宋体" w:cs="宋体"/>
          <w:b/>
          <w:color w:val="auto"/>
          <w:highlight w:val="none"/>
        </w:rPr>
      </w:pPr>
    </w:p>
    <w:p>
      <w:pPr>
        <w:pStyle w:val="47"/>
        <w:kinsoku/>
        <w:overflowPunct/>
        <w:bidi w:val="0"/>
        <w:spacing w:line="400" w:lineRule="exact"/>
        <w:rPr>
          <w:rFonts w:hint="eastAsia" w:ascii="宋体" w:hAnsi="宋体" w:eastAsia="宋体" w:cs="宋体"/>
          <w:b/>
          <w:color w:val="auto"/>
          <w:highlight w:val="none"/>
        </w:rPr>
      </w:pPr>
    </w:p>
    <w:p>
      <w:pPr>
        <w:kinsoku/>
        <w:overflowPunct/>
        <w:bidi w:val="0"/>
        <w:spacing w:line="400" w:lineRule="exact"/>
        <w:rPr>
          <w:rFonts w:hint="eastAsia" w:ascii="宋体" w:hAnsi="宋体" w:eastAsia="宋体" w:cs="宋体"/>
          <w:b/>
          <w:color w:val="auto"/>
          <w:highlight w:val="none"/>
        </w:rPr>
      </w:pPr>
    </w:p>
    <w:p>
      <w:pPr>
        <w:pStyle w:val="47"/>
        <w:kinsoku/>
        <w:overflowPunct/>
        <w:bidi w:val="0"/>
        <w:spacing w:line="400" w:lineRule="exact"/>
        <w:rPr>
          <w:rFonts w:hint="eastAsia" w:ascii="宋体" w:hAnsi="宋体" w:eastAsia="宋体" w:cs="宋体"/>
          <w:color w:val="auto"/>
          <w:highlight w:val="none"/>
        </w:rPr>
      </w:pPr>
    </w:p>
    <w:p>
      <w:pPr>
        <w:kinsoku/>
        <w:overflowPunct/>
        <w:bidi w:val="0"/>
        <w:spacing w:beforeLines="50"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3-2法定代表人授权委托书</w:t>
      </w:r>
    </w:p>
    <w:p>
      <w:pPr>
        <w:kinsoku/>
        <w:overflowPunct/>
        <w:bidi w:val="0"/>
        <w:adjustRightInd w:val="0"/>
        <w:snapToGrid w:val="0"/>
        <w:spacing w:line="400" w:lineRule="exact"/>
        <w:rPr>
          <w:rFonts w:hint="eastAsia" w:ascii="宋体" w:hAnsi="宋体" w:eastAsia="宋体" w:cs="宋体"/>
          <w:color w:val="auto"/>
          <w:sz w:val="24"/>
          <w:highlight w:val="none"/>
          <w:lang w:eastAsia="zh-CN"/>
        </w:rPr>
      </w:pPr>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衢州市柯城区百家坊小学（筹）、</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德威工程管理咨询有限公司：</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（投标人名称）</w:t>
      </w:r>
      <w:r>
        <w:rPr>
          <w:rFonts w:hint="eastAsia" w:ascii="宋体" w:hAnsi="宋体" w:eastAsia="宋体" w:cs="宋体"/>
          <w:color w:val="auto"/>
          <w:sz w:val="24"/>
          <w:highlight w:val="none"/>
        </w:rPr>
        <w:t>的法定代表人，现委托</w:t>
      </w:r>
      <w:r>
        <w:rPr>
          <w:rFonts w:hint="eastAsia" w:ascii="宋体" w:hAnsi="宋体" w:eastAsia="宋体" w:cs="宋体"/>
          <w:color w:val="auto"/>
          <w:sz w:val="24"/>
          <w:highlight w:val="none"/>
          <w:u w:val="single"/>
        </w:rPr>
        <w:t xml:space="preserve">      （姓名）  （职务）</w:t>
      </w:r>
      <w:r>
        <w:rPr>
          <w:rFonts w:hint="eastAsia" w:ascii="宋体" w:hAnsi="宋体" w:eastAsia="宋体" w:cs="宋体"/>
          <w:color w:val="auto"/>
          <w:sz w:val="24"/>
          <w:highlight w:val="none"/>
        </w:rPr>
        <w:t>为我方授权代表，以我方名义签署、澄清、说明、补正、递交、撤回、修改</w:t>
      </w:r>
      <w:r>
        <w:rPr>
          <w:rFonts w:hint="eastAsia" w:ascii="宋体" w:hAnsi="宋体" w:eastAsia="宋体" w:cs="宋体"/>
          <w:color w:val="auto"/>
          <w:sz w:val="24"/>
          <w:highlight w:val="none"/>
          <w:u w:val="single"/>
        </w:rPr>
        <w:t>（项目名称）</w:t>
      </w:r>
      <w:r>
        <w:rPr>
          <w:rFonts w:hint="eastAsia" w:ascii="宋体" w:hAnsi="宋体" w:eastAsia="宋体" w:cs="宋体"/>
          <w:color w:val="auto"/>
          <w:spacing w:val="-3"/>
          <w:sz w:val="24"/>
          <w:szCs w:val="24"/>
          <w:highlight w:val="none"/>
          <w:u w:val="single"/>
          <w:lang w:val="en-US" w:eastAsia="zh-CN"/>
        </w:rPr>
        <w:t xml:space="preserve">                    </w:t>
      </w:r>
      <w:r>
        <w:rPr>
          <w:rFonts w:hint="eastAsia" w:ascii="宋体" w:hAnsi="宋体" w:eastAsia="宋体" w:cs="宋体"/>
          <w:color w:val="auto"/>
          <w:sz w:val="24"/>
          <w:highlight w:val="none"/>
          <w:u w:val="single"/>
        </w:rPr>
        <w:t>(项目编号：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投标文件、签订合同和处理有关事宜，其法律后果由我方承担。</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该授权代表无转委托权，特此委托</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1、委托代理人身份证复印件</w:t>
      </w:r>
    </w:p>
    <w:p>
      <w:pPr>
        <w:kinsoku/>
        <w:overflowPunct/>
        <w:bidi w:val="0"/>
        <w:adjustRightInd w:val="0"/>
        <w:snapToGrid w:val="0"/>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2、授权代表为投标人在职员工的证明文件（投标人为其缴纳的社保记录或劳务合同等）。</w:t>
      </w:r>
    </w:p>
    <w:p>
      <w:pPr>
        <w:kinsoku/>
        <w:overflowPunct/>
        <w:bidi w:val="0"/>
        <w:adjustRightInd w:val="0"/>
        <w:snapToGrid w:val="0"/>
        <w:spacing w:line="400" w:lineRule="exact"/>
        <w:rPr>
          <w:rFonts w:hint="eastAsia" w:ascii="宋体" w:hAnsi="宋体" w:eastAsia="宋体" w:cs="宋体"/>
          <w:color w:val="auto"/>
          <w:sz w:val="24"/>
          <w:highlight w:val="none"/>
        </w:rPr>
      </w:pPr>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投标人</w:t>
      </w:r>
      <w:r>
        <w:rPr>
          <w:rFonts w:hint="eastAsia" w:ascii="宋体" w:hAnsi="宋体" w:eastAsia="宋体" w:cs="宋体"/>
          <w:color w:val="auto"/>
          <w:sz w:val="24"/>
          <w:highlight w:val="none"/>
        </w:rPr>
        <w:t>：（全称加盖公章）</w:t>
      </w:r>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w:t>
      </w:r>
      <w:r>
        <w:rPr>
          <w:rFonts w:hint="eastAsia" w:ascii="宋体" w:hAnsi="宋体" w:cs="宋体"/>
          <w:color w:val="auto"/>
          <w:sz w:val="24"/>
          <w:highlight w:val="none"/>
          <w:lang w:val="en-US" w:eastAsia="zh-CN"/>
        </w:rPr>
        <w:t>人</w:t>
      </w:r>
      <w:r>
        <w:rPr>
          <w:rFonts w:hint="eastAsia" w:ascii="宋体" w:hAnsi="宋体" w:eastAsia="宋体" w:cs="宋体"/>
          <w:color w:val="auto"/>
          <w:sz w:val="24"/>
          <w:highlight w:val="none"/>
        </w:rPr>
        <w:t xml:space="preserve">：（签字或盖章）                        </w:t>
      </w:r>
      <w:r>
        <w:rPr>
          <w:rFonts w:hint="eastAsia" w:ascii="宋体" w:hAnsi="宋体" w:cs="宋体"/>
          <w:color w:val="auto"/>
          <w:sz w:val="24"/>
          <w:highlight w:val="none"/>
          <w:lang w:val="en-US" w:eastAsia="zh-CN"/>
        </w:rPr>
        <w:t>委托代理人</w:t>
      </w:r>
      <w:r>
        <w:rPr>
          <w:rFonts w:hint="eastAsia" w:ascii="宋体" w:hAnsi="宋体" w:eastAsia="宋体" w:cs="宋体"/>
          <w:color w:val="auto"/>
          <w:sz w:val="24"/>
          <w:highlight w:val="none"/>
        </w:rPr>
        <w:t>：（签字或盖章）</w:t>
      </w:r>
    </w:p>
    <w:p>
      <w:pPr>
        <w:kinsoku/>
        <w:overflowPunct/>
        <w:bidi w:val="0"/>
        <w:adjustRightInd w:val="0"/>
        <w:snapToGrid w:val="0"/>
        <w:spacing w:line="400" w:lineRule="exact"/>
        <w:ind w:firstLine="5160" w:firstLineChars="215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w:t>
      </w:r>
    </w:p>
    <w:tbl>
      <w:tblPr>
        <w:tblStyle w:val="97"/>
        <w:tblW w:w="94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9" w:hRule="atLeast"/>
          <w:jc w:val="center"/>
        </w:trPr>
        <w:tc>
          <w:tcPr>
            <w:tcW w:w="9425" w:type="dxa"/>
            <w:vAlign w:val="center"/>
          </w:tcPr>
          <w:p>
            <w:pPr>
              <w:kinsoku/>
              <w:overflowPunct/>
              <w:bidi w:val="0"/>
              <w:adjustRightInd w:val="0"/>
              <w:snapToGrid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授权代表身份证复印件粘贴处（正、反面）</w:t>
            </w:r>
          </w:p>
        </w:tc>
      </w:tr>
    </w:tbl>
    <w:p>
      <w:pPr>
        <w:kinsoku/>
        <w:overflowPunct/>
        <w:bidi w:val="0"/>
        <w:adjustRightInd w:val="0"/>
        <w:snapToGrid w:val="0"/>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注：如投标文件由授权代表签字或盖章的，投标文件必须附此授权委托书，否则视为无效投标文件。</w:t>
      </w:r>
    </w:p>
    <w:bookmarkEnd w:id="95"/>
    <w:p>
      <w:pPr>
        <w:pStyle w:val="47"/>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bookmarkStart w:id="97" w:name="_Toc522530054"/>
      <w:bookmarkStart w:id="98" w:name="_Toc391277571"/>
      <w:bookmarkStart w:id="99" w:name="_Toc354859551"/>
      <w:bookmarkStart w:id="100" w:name="_Toc233618991"/>
      <w:bookmarkStart w:id="101" w:name="_Toc354859632"/>
      <w:bookmarkStart w:id="102" w:name="_Toc354859475"/>
    </w:p>
    <w:p>
      <w:pPr>
        <w:pStyle w:val="47"/>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pPr>
        <w:pStyle w:val="47"/>
        <w:kinsoku/>
        <w:overflowPunct/>
        <w:bidi w:val="0"/>
        <w:adjustRightInd w:val="0"/>
        <w:snapToGrid w:val="0"/>
        <w:spacing w:line="400" w:lineRule="exact"/>
        <w:outlineLvl w:val="1"/>
        <w:rPr>
          <w:rFonts w:hint="eastAsia" w:ascii="宋体" w:hAnsi="宋体" w:eastAsia="宋体" w:cs="宋体"/>
          <w:b/>
          <w:color w:val="auto"/>
          <w:kern w:val="0"/>
          <w:sz w:val="30"/>
          <w:highlight w:val="none"/>
          <w:lang w:val="zh-CN"/>
        </w:rPr>
      </w:pPr>
    </w:p>
    <w:p>
      <w:pPr>
        <w:kinsoku/>
        <w:overflowPunct/>
        <w:bidi w:val="0"/>
        <w:spacing w:line="400" w:lineRule="exact"/>
        <w:rPr>
          <w:rFonts w:hint="eastAsia" w:ascii="宋体" w:hAnsi="宋体" w:eastAsia="宋体" w:cs="宋体"/>
          <w:color w:val="auto"/>
          <w:highlight w:val="none"/>
          <w:lang w:val="zh-CN"/>
        </w:rPr>
      </w:pPr>
    </w:p>
    <w:p>
      <w:pPr>
        <w:pStyle w:val="18"/>
        <w:rPr>
          <w:rFonts w:hint="eastAsia" w:ascii="宋体" w:hAnsi="宋体" w:eastAsia="宋体" w:cs="宋体"/>
          <w:color w:val="auto"/>
          <w:highlight w:val="none"/>
          <w:lang w:val="zh-CN"/>
        </w:rPr>
      </w:pPr>
    </w:p>
    <w:p>
      <w:pPr>
        <w:pStyle w:val="71"/>
        <w:rPr>
          <w:rFonts w:hint="eastAsia" w:ascii="宋体" w:hAnsi="宋体" w:eastAsia="宋体" w:cs="宋体"/>
          <w:color w:val="auto"/>
          <w:highlight w:val="none"/>
          <w:lang w:val="zh-CN"/>
        </w:rPr>
      </w:pPr>
    </w:p>
    <w:p>
      <w:pPr>
        <w:pStyle w:val="47"/>
        <w:kinsoku/>
        <w:overflowPunct/>
        <w:bidi w:val="0"/>
        <w:spacing w:line="400" w:lineRule="exact"/>
        <w:rPr>
          <w:rFonts w:hint="eastAsia" w:ascii="宋体" w:hAnsi="宋体" w:eastAsia="宋体" w:cs="宋体"/>
          <w:color w:val="auto"/>
          <w:highlight w:val="none"/>
          <w:lang w:val="zh-CN"/>
        </w:rPr>
      </w:pPr>
    </w:p>
    <w:p>
      <w:pPr>
        <w:kinsoku/>
        <w:overflowPunct/>
        <w:bidi w:val="0"/>
        <w:spacing w:line="400" w:lineRule="exact"/>
        <w:rPr>
          <w:rFonts w:hint="eastAsia" w:ascii="宋体" w:hAnsi="宋体" w:eastAsia="宋体" w:cs="宋体"/>
          <w:color w:val="auto"/>
          <w:highlight w:val="none"/>
          <w:lang w:val="zh-CN"/>
        </w:rPr>
      </w:pPr>
    </w:p>
    <w:p>
      <w:pPr>
        <w:pStyle w:val="47"/>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bookmarkStart w:id="103" w:name="_Toc10253"/>
      <w:r>
        <w:rPr>
          <w:rFonts w:hint="eastAsia" w:ascii="宋体" w:hAnsi="宋体" w:eastAsia="宋体" w:cs="宋体"/>
          <w:b/>
          <w:color w:val="auto"/>
          <w:kern w:val="0"/>
          <w:sz w:val="30"/>
          <w:highlight w:val="none"/>
          <w:lang w:val="zh-CN"/>
        </w:rPr>
        <w:t>格式四：以往业绩情况表</w:t>
      </w:r>
      <w:bookmarkEnd w:id="97"/>
      <w:bookmarkEnd w:id="103"/>
    </w:p>
    <w:p>
      <w:pPr>
        <w:kinsoku/>
        <w:overflowPunct/>
        <w:bidi w:val="0"/>
        <w:adjustRightInd w:val="0"/>
        <w:snapToGrid w:val="0"/>
        <w:spacing w:line="400" w:lineRule="exact"/>
        <w:jc w:val="center"/>
        <w:rPr>
          <w:rFonts w:hint="eastAsia" w:ascii="宋体" w:hAnsi="宋体" w:eastAsia="宋体" w:cs="宋体"/>
          <w:b/>
          <w:color w:val="auto"/>
          <w:sz w:val="24"/>
          <w:highlight w:val="none"/>
        </w:rPr>
      </w:pPr>
      <w:bookmarkStart w:id="104" w:name="_Toc522530055"/>
      <w:bookmarkStart w:id="105" w:name="_Toc25910"/>
      <w:r>
        <w:rPr>
          <w:rFonts w:hint="eastAsia" w:ascii="宋体" w:hAnsi="宋体" w:eastAsia="宋体" w:cs="宋体"/>
          <w:b/>
          <w:color w:val="auto"/>
          <w:sz w:val="24"/>
          <w:highlight w:val="none"/>
          <w:u w:val="single"/>
          <w:lang w:val="en-US" w:eastAsia="zh-CN"/>
        </w:rPr>
        <w:t xml:space="preserve">     </w:t>
      </w:r>
      <w:r>
        <w:rPr>
          <w:rFonts w:hint="eastAsia" w:ascii="宋体" w:hAnsi="宋体" w:eastAsia="宋体" w:cs="宋体"/>
          <w:b/>
          <w:color w:val="auto"/>
          <w:sz w:val="24"/>
          <w:highlight w:val="none"/>
        </w:rPr>
        <w:t>年以来</w:t>
      </w:r>
      <w:r>
        <w:rPr>
          <w:rFonts w:hint="eastAsia" w:ascii="宋体" w:hAnsi="宋体" w:eastAsia="宋体" w:cs="宋体"/>
          <w:b/>
          <w:color w:val="auto"/>
          <w:sz w:val="24"/>
          <w:highlight w:val="none"/>
          <w:lang w:eastAsia="zh-CN"/>
        </w:rPr>
        <w:t>企业</w:t>
      </w:r>
      <w:r>
        <w:rPr>
          <w:rFonts w:hint="eastAsia" w:ascii="宋体" w:hAnsi="宋体" w:eastAsia="宋体" w:cs="宋体"/>
          <w:b/>
          <w:color w:val="auto"/>
          <w:sz w:val="24"/>
          <w:highlight w:val="none"/>
        </w:rPr>
        <w:t>业绩情况汇总表</w:t>
      </w:r>
    </w:p>
    <w:tbl>
      <w:tblPr>
        <w:tblStyle w:val="97"/>
        <w:tblW w:w="9147"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499"/>
        <w:gridCol w:w="2690"/>
        <w:gridCol w:w="1914"/>
        <w:gridCol w:w="1000"/>
        <w:gridCol w:w="1414"/>
        <w:gridCol w:w="815"/>
        <w:gridCol w:w="815"/>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18"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690" w:type="dxa"/>
            <w:tcBorders>
              <w:top w:val="single" w:color="auto" w:sz="18"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项目名称</w:t>
            </w:r>
          </w:p>
        </w:tc>
        <w:tc>
          <w:tcPr>
            <w:tcW w:w="1914" w:type="dxa"/>
            <w:tcBorders>
              <w:top w:val="single" w:color="auto" w:sz="18"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合同内容</w:t>
            </w:r>
          </w:p>
        </w:tc>
        <w:tc>
          <w:tcPr>
            <w:tcW w:w="1000" w:type="dxa"/>
            <w:tcBorders>
              <w:top w:val="single" w:color="auto" w:sz="18"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合同价</w:t>
            </w:r>
          </w:p>
        </w:tc>
        <w:tc>
          <w:tcPr>
            <w:tcW w:w="1414" w:type="dxa"/>
            <w:tcBorders>
              <w:top w:val="single" w:color="auto" w:sz="18"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合同签订日期</w:t>
            </w:r>
          </w:p>
        </w:tc>
        <w:tc>
          <w:tcPr>
            <w:tcW w:w="815" w:type="dxa"/>
            <w:tcBorders>
              <w:top w:val="single" w:color="auto" w:sz="18"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所在页码</w:t>
            </w:r>
          </w:p>
        </w:tc>
        <w:tc>
          <w:tcPr>
            <w:tcW w:w="815" w:type="dxa"/>
            <w:tcBorders>
              <w:top w:val="single" w:color="auto" w:sz="18"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18"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18"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18"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18"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18"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18"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18"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bl>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b/>
          <w:color w:val="auto"/>
          <w:kern w:val="0"/>
          <w:sz w:val="24"/>
          <w:szCs w:val="24"/>
          <w:highlight w:val="none"/>
        </w:rPr>
        <w:t>注：本表后附评分办法中要求的证明材料。</w:t>
      </w:r>
    </w:p>
    <w:p>
      <w:pPr>
        <w:kinsoku/>
        <w:overflowPunct/>
        <w:bidi w:val="0"/>
        <w:adjustRightInd w:val="0"/>
        <w:snapToGrid w:val="0"/>
        <w:spacing w:line="400" w:lineRule="exact"/>
        <w:rPr>
          <w:rFonts w:hint="eastAsia" w:ascii="宋体" w:hAnsi="宋体" w:eastAsia="宋体" w:cs="宋体"/>
          <w:color w:val="auto"/>
          <w:kern w:val="0"/>
          <w:sz w:val="24"/>
          <w:highlight w:val="none"/>
          <w:lang w:val="zh-CN"/>
        </w:rPr>
      </w:pPr>
    </w:p>
    <w:p>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lang w:val="zh-CN"/>
        </w:rPr>
        <w:t xml:space="preserve">（全称加盖公章）       </w:t>
      </w:r>
    </w:p>
    <w:p>
      <w:pPr>
        <w:kinsoku/>
        <w:overflowPunct/>
        <w:bidi w:val="0"/>
        <w:adjustRightInd w:val="0"/>
        <w:snapToGrid w:val="0"/>
        <w:spacing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2025年</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kinsoku/>
        <w:overflowPunct/>
        <w:bidi w:val="0"/>
        <w:adjustRightInd w:val="0"/>
        <w:snapToGrid w:val="0"/>
        <w:spacing w:line="400" w:lineRule="exact"/>
        <w:jc w:val="center"/>
        <w:rPr>
          <w:rFonts w:hint="eastAsia" w:ascii="宋体" w:hAnsi="宋体" w:eastAsia="宋体" w:cs="宋体"/>
          <w:b/>
          <w:color w:val="auto"/>
          <w:sz w:val="24"/>
          <w:highlight w:val="none"/>
        </w:rPr>
      </w:pPr>
    </w:p>
    <w:p>
      <w:pPr>
        <w:pStyle w:val="18"/>
        <w:kinsoku/>
        <w:overflowPunct/>
        <w:bidi w:val="0"/>
        <w:spacing w:after="0" w:line="400" w:lineRule="exact"/>
        <w:ind w:firstLine="24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0"/>
          <w:szCs w:val="30"/>
          <w:highlight w:val="none"/>
        </w:rPr>
        <w:br w:type="page"/>
      </w:r>
    </w:p>
    <w:p>
      <w:pPr>
        <w:pStyle w:val="47"/>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r>
        <w:rPr>
          <w:rFonts w:hint="eastAsia" w:ascii="宋体" w:hAnsi="宋体" w:eastAsia="宋体" w:cs="宋体"/>
          <w:b/>
          <w:color w:val="auto"/>
          <w:kern w:val="0"/>
          <w:sz w:val="30"/>
          <w:highlight w:val="none"/>
          <w:lang w:val="zh-CN"/>
        </w:rPr>
        <w:t>格式五：</w:t>
      </w:r>
      <w:bookmarkEnd w:id="104"/>
      <w:bookmarkEnd w:id="105"/>
      <w:bookmarkStart w:id="106" w:name="_Toc522530057"/>
      <w:r>
        <w:rPr>
          <w:rFonts w:hint="eastAsia" w:ascii="宋体" w:hAnsi="宋体" w:eastAsia="宋体" w:cs="宋体"/>
          <w:b/>
          <w:color w:val="auto"/>
          <w:kern w:val="0"/>
          <w:sz w:val="30"/>
          <w:highlight w:val="none"/>
          <w:lang w:val="zh-CN"/>
        </w:rPr>
        <w:t>商务/技术偏离表</w:t>
      </w:r>
    </w:p>
    <w:p>
      <w:pPr>
        <w:kinsoku/>
        <w:overflowPunct/>
        <w:bidi w:val="0"/>
        <w:spacing w:line="400" w:lineRule="exact"/>
        <w:rPr>
          <w:rFonts w:hint="eastAsia" w:ascii="宋体" w:hAnsi="宋体" w:eastAsia="宋体" w:cs="宋体"/>
          <w:color w:val="auto"/>
          <w:highlight w:val="none"/>
          <w:lang w:val="zh-CN"/>
        </w:rPr>
      </w:pPr>
    </w:p>
    <w:tbl>
      <w:tblPr>
        <w:tblStyle w:val="97"/>
        <w:tblW w:w="9242"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693"/>
        <w:gridCol w:w="2593"/>
        <w:gridCol w:w="1431"/>
        <w:gridCol w:w="1848"/>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bidi w:val="0"/>
              <w:adjustRightInd w:val="0"/>
              <w:snapToGrid w:val="0"/>
              <w:spacing w:line="400" w:lineRule="exact"/>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序号</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招标文件要求</w:t>
            </w: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投标文件响应</w:t>
            </w: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正/负偏离</w:t>
            </w: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理由</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bl>
    <w:p>
      <w:pPr>
        <w:kinsoku/>
        <w:wordWrap/>
        <w:overflowPunct/>
        <w:topLinePunct w:val="0"/>
        <w:autoSpaceDE w:val="0"/>
        <w:autoSpaceDN w:val="0"/>
        <w:bidi w:val="0"/>
        <w:adjustRightInd w:val="0"/>
        <w:spacing w:line="400" w:lineRule="exact"/>
        <w:ind w:firstLine="5160" w:firstLineChars="2150"/>
        <w:rPr>
          <w:rFonts w:hint="eastAsia" w:ascii="宋体" w:hAnsi="宋体" w:eastAsia="宋体" w:cs="宋体"/>
          <w:color w:val="auto"/>
          <w:kern w:val="0"/>
          <w:sz w:val="24"/>
          <w:highlight w:val="none"/>
          <w:lang w:val="zh-CN"/>
        </w:rPr>
      </w:pPr>
    </w:p>
    <w:p>
      <w:pPr>
        <w:kinsoku/>
        <w:wordWrap/>
        <w:overflowPunct/>
        <w:topLinePunct w:val="0"/>
        <w:bidi w:val="0"/>
        <w:adjustRightInd w:val="0"/>
        <w:snapToGrid w:val="0"/>
        <w:spacing w:line="400" w:lineRule="exac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注：“商务偏离”是指对“商务部分”中条款的偏离，“技术偏离”是指对“第三部分  采购需求”中条款的偏离。本表仅在有偏离时填写，注明是正/负偏离，并说明理由。“投标文件响应”复制“招标文件要求”内容，不填写或未提供偏离表均视为无偏离。</w:t>
      </w:r>
    </w:p>
    <w:p>
      <w:pPr>
        <w:kinsoku/>
        <w:wordWrap/>
        <w:overflowPunct/>
        <w:topLinePunct w:val="0"/>
        <w:bidi w:val="0"/>
        <w:adjustRightInd w:val="0"/>
        <w:snapToGrid w:val="0"/>
        <w:spacing w:line="400" w:lineRule="exact"/>
        <w:rPr>
          <w:rFonts w:hint="eastAsia" w:ascii="宋体" w:hAnsi="宋体" w:eastAsia="宋体" w:cs="宋体"/>
          <w:color w:val="auto"/>
          <w:kern w:val="0"/>
          <w:sz w:val="24"/>
          <w:highlight w:val="none"/>
          <w:lang w:val="zh-CN"/>
        </w:rPr>
      </w:pPr>
    </w:p>
    <w:p>
      <w:pPr>
        <w:kinsoku/>
        <w:wordWrap/>
        <w:overflowPunct/>
        <w:topLinePunct w:val="0"/>
        <w:bidi w:val="0"/>
        <w:adjustRightInd w:val="0"/>
        <w:snapToGrid w:val="0"/>
        <w:spacing w:line="400" w:lineRule="exact"/>
        <w:rPr>
          <w:rFonts w:hint="eastAsia" w:ascii="宋体" w:hAnsi="宋体" w:eastAsia="宋体" w:cs="宋体"/>
          <w:color w:val="auto"/>
          <w:kern w:val="0"/>
          <w:sz w:val="24"/>
          <w:highlight w:val="none"/>
          <w:lang w:val="zh-CN"/>
        </w:rPr>
      </w:pPr>
    </w:p>
    <w:p>
      <w:pPr>
        <w:kinsoku/>
        <w:wordWrap/>
        <w:overflowPunct/>
        <w:topLinePunct w:val="0"/>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wordWrap/>
        <w:overflowPunct/>
        <w:topLinePunct w:val="0"/>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lang w:val="zh-CN"/>
        </w:rPr>
        <w:t xml:space="preserve">（全称加盖公章）       </w:t>
      </w:r>
    </w:p>
    <w:p>
      <w:pPr>
        <w:kinsoku/>
        <w:wordWrap/>
        <w:overflowPunct/>
        <w:topLinePunct w:val="0"/>
        <w:bidi w:val="0"/>
        <w:adjustRightInd w:val="0"/>
        <w:snapToGrid w:val="0"/>
        <w:spacing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pStyle w:val="8"/>
        <w:kinsoku/>
        <w:overflowPunct/>
        <w:bidi w:val="0"/>
        <w:spacing w:after="0" w:line="400" w:lineRule="exac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 </w:t>
      </w:r>
    </w:p>
    <w:p>
      <w:pPr>
        <w:pStyle w:val="59"/>
        <w:kinsoku/>
        <w:overflowPunct/>
        <w:bidi w:val="0"/>
        <w:spacing w:after="0" w:line="400" w:lineRule="exact"/>
        <w:rPr>
          <w:rFonts w:hint="eastAsia" w:ascii="宋体" w:hAnsi="宋体" w:eastAsia="宋体" w:cs="宋体"/>
          <w:color w:val="auto"/>
          <w:kern w:val="0"/>
          <w:sz w:val="24"/>
          <w:highlight w:val="none"/>
          <w:lang w:val="zh-CN"/>
        </w:rPr>
      </w:pPr>
    </w:p>
    <w:p>
      <w:pPr>
        <w:pStyle w:val="18"/>
        <w:kinsoku/>
        <w:overflowPunct/>
        <w:bidi w:val="0"/>
        <w:spacing w:after="0" w:line="400" w:lineRule="exact"/>
        <w:rPr>
          <w:rFonts w:hint="eastAsia" w:ascii="宋体" w:hAnsi="宋体" w:eastAsia="宋体" w:cs="宋体"/>
          <w:color w:val="auto"/>
          <w:kern w:val="0"/>
          <w:sz w:val="24"/>
          <w:highlight w:val="none"/>
          <w:lang w:val="zh-CN"/>
        </w:rPr>
      </w:pPr>
    </w:p>
    <w:p>
      <w:pPr>
        <w:pStyle w:val="71"/>
        <w:rPr>
          <w:rFonts w:hint="eastAsia" w:ascii="宋体" w:hAnsi="宋体" w:eastAsia="宋体" w:cs="宋体"/>
          <w:color w:val="auto"/>
          <w:highlight w:val="none"/>
          <w:lang w:val="zh-CN"/>
        </w:rPr>
      </w:pPr>
    </w:p>
    <w:p>
      <w:pPr>
        <w:kinsoku/>
        <w:overflowPunct/>
        <w:bidi w:val="0"/>
        <w:spacing w:line="400" w:lineRule="exact"/>
        <w:rPr>
          <w:rFonts w:hint="eastAsia" w:ascii="宋体" w:hAnsi="宋体" w:eastAsia="宋体" w:cs="宋体"/>
          <w:color w:val="auto"/>
          <w:kern w:val="0"/>
          <w:sz w:val="24"/>
          <w:highlight w:val="none"/>
          <w:lang w:val="zh-CN"/>
        </w:rPr>
      </w:pPr>
    </w:p>
    <w:p>
      <w:pPr>
        <w:pStyle w:val="8"/>
        <w:kinsoku/>
        <w:overflowPunct/>
        <w:bidi w:val="0"/>
        <w:spacing w:after="0" w:line="400" w:lineRule="exact"/>
        <w:rPr>
          <w:rFonts w:hint="eastAsia" w:ascii="宋体" w:hAnsi="宋体" w:eastAsia="宋体" w:cs="宋体"/>
          <w:color w:val="auto"/>
          <w:kern w:val="0"/>
          <w:sz w:val="24"/>
          <w:highlight w:val="none"/>
          <w:lang w:val="zh-CN"/>
        </w:rPr>
      </w:pPr>
    </w:p>
    <w:p>
      <w:pPr>
        <w:pStyle w:val="59"/>
        <w:kinsoku/>
        <w:overflowPunct/>
        <w:bidi w:val="0"/>
        <w:spacing w:after="0" w:line="400" w:lineRule="exact"/>
        <w:rPr>
          <w:rFonts w:hint="eastAsia" w:ascii="宋体" w:hAnsi="宋体" w:eastAsia="宋体" w:cs="宋体"/>
          <w:color w:val="auto"/>
          <w:kern w:val="0"/>
          <w:sz w:val="24"/>
          <w:highlight w:val="none"/>
          <w:lang w:val="zh-CN"/>
        </w:rPr>
      </w:pPr>
    </w:p>
    <w:p>
      <w:pPr>
        <w:pStyle w:val="18"/>
        <w:kinsoku/>
        <w:overflowPunct/>
        <w:bidi w:val="0"/>
        <w:spacing w:after="0" w:line="400" w:lineRule="exact"/>
        <w:rPr>
          <w:rFonts w:hint="eastAsia" w:ascii="宋体" w:hAnsi="宋体" w:eastAsia="宋体" w:cs="宋体"/>
          <w:color w:val="auto"/>
          <w:highlight w:val="none"/>
          <w:lang w:val="zh-CN"/>
        </w:rPr>
      </w:pPr>
    </w:p>
    <w:p>
      <w:pPr>
        <w:pStyle w:val="18"/>
        <w:kinsoku/>
        <w:overflowPunct/>
        <w:bidi w:val="0"/>
        <w:spacing w:after="0" w:line="400" w:lineRule="exact"/>
        <w:rPr>
          <w:rFonts w:hint="eastAsia" w:ascii="宋体" w:hAnsi="宋体" w:eastAsia="宋体" w:cs="宋体"/>
          <w:color w:val="auto"/>
          <w:highlight w:val="none"/>
        </w:rPr>
      </w:pPr>
    </w:p>
    <w:p>
      <w:pPr>
        <w:kinsoku/>
        <w:overflowPunct/>
        <w:bidi w:val="0"/>
        <w:adjustRightInd w:val="0"/>
        <w:snapToGrid w:val="0"/>
        <w:spacing w:line="400" w:lineRule="exact"/>
        <w:ind w:firstLine="562" w:firstLineChars="200"/>
        <w:jc w:val="center"/>
        <w:rPr>
          <w:rFonts w:hint="eastAsia" w:ascii="宋体" w:hAnsi="宋体" w:eastAsia="宋体" w:cs="宋体"/>
          <w:b/>
          <w:color w:val="auto"/>
          <w:highlight w:val="none"/>
        </w:rPr>
      </w:pPr>
    </w:p>
    <w:p>
      <w:pPr>
        <w:kinsoku/>
        <w:overflowPunct/>
        <w:bidi w:val="0"/>
        <w:adjustRightInd w:val="0"/>
        <w:snapToGrid w:val="0"/>
        <w:spacing w:line="400" w:lineRule="exact"/>
        <w:ind w:firstLine="602" w:firstLineChars="200"/>
        <w:jc w:val="center"/>
        <w:rPr>
          <w:rFonts w:hint="eastAsia" w:ascii="宋体" w:hAnsi="宋体" w:eastAsia="宋体" w:cs="宋体"/>
          <w:b/>
          <w:color w:val="auto"/>
          <w:kern w:val="0"/>
          <w:sz w:val="30"/>
          <w:highlight w:val="none"/>
          <w:lang w:val="zh-CN"/>
        </w:rPr>
      </w:pPr>
      <w:r>
        <w:rPr>
          <w:rFonts w:hint="eastAsia" w:ascii="宋体" w:hAnsi="宋体" w:eastAsia="宋体" w:cs="宋体"/>
          <w:b/>
          <w:color w:val="auto"/>
          <w:kern w:val="0"/>
          <w:sz w:val="30"/>
          <w:highlight w:val="none"/>
          <w:lang w:val="zh-CN"/>
        </w:rPr>
        <w:t>格式六：拟投入本项目的服务团队情况表</w:t>
      </w:r>
      <w:bookmarkEnd w:id="106"/>
    </w:p>
    <w:p>
      <w:pPr>
        <w:pStyle w:val="8"/>
        <w:kinsoku/>
        <w:overflowPunct/>
        <w:bidi w:val="0"/>
        <w:spacing w:after="0" w:line="400" w:lineRule="exact"/>
        <w:rPr>
          <w:rFonts w:hint="eastAsia" w:ascii="宋体" w:hAnsi="宋体" w:eastAsia="宋体" w:cs="宋体"/>
          <w:color w:val="auto"/>
          <w:highlight w:val="none"/>
        </w:rPr>
      </w:pPr>
    </w:p>
    <w:p>
      <w:pPr>
        <w:kinsoku/>
        <w:overflowPunct/>
        <w:bidi w:val="0"/>
        <w:adjustRightInd w:val="0"/>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拟投入本项目的服务团队情况表</w:t>
      </w:r>
    </w:p>
    <w:tbl>
      <w:tblPr>
        <w:tblStyle w:val="97"/>
        <w:tblW w:w="9223"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252"/>
        <w:gridCol w:w="3392"/>
        <w:gridCol w:w="1417"/>
        <w:gridCol w:w="1555"/>
        <w:gridCol w:w="1052"/>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序号</w:t>
            </w:r>
          </w:p>
        </w:tc>
        <w:tc>
          <w:tcPr>
            <w:tcW w:w="1252"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姓名</w:t>
            </w:r>
          </w:p>
        </w:tc>
        <w:tc>
          <w:tcPr>
            <w:tcW w:w="3392"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职称及相关专业认证（或执业资格）情况（如评分需要）</w:t>
            </w:r>
          </w:p>
        </w:tc>
        <w:tc>
          <w:tcPr>
            <w:tcW w:w="1417"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在本单位工作年限</w:t>
            </w:r>
          </w:p>
        </w:tc>
        <w:tc>
          <w:tcPr>
            <w:tcW w:w="1555"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在本项目中拟担任职务</w:t>
            </w:r>
          </w:p>
        </w:tc>
        <w:tc>
          <w:tcPr>
            <w:tcW w:w="1052"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014"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项目负责人</w:t>
            </w: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kern w:val="0"/>
                <w:sz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kern w:val="0"/>
                <w:sz w:val="24"/>
                <w:highlight w:val="none"/>
                <w:lang w:val="en-US" w:eastAsia="zh-CN"/>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sz w:val="24"/>
                <w:szCs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sz w:val="24"/>
                <w:szCs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kern w:val="0"/>
                <w:sz w:val="24"/>
                <w:highlight w:val="none"/>
                <w:lang w:val="en-US" w:eastAsia="zh-CN"/>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7</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sz w:val="24"/>
                <w:szCs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8</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kern w:val="0"/>
                <w:sz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sz w:val="24"/>
                <w:szCs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223" w:type="dxa"/>
            <w:gridSpan w:val="6"/>
            <w:vAlign w:val="center"/>
          </w:tcPr>
          <w:p>
            <w:pPr>
              <w:kinsoku/>
              <w:overflowPunct/>
              <w:autoSpaceDE w:val="0"/>
              <w:autoSpaceDN w:val="0"/>
              <w:bidi w:val="0"/>
              <w:adjustRightInd w:val="0"/>
              <w:spacing w:line="400" w:lineRule="exac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其他说明：（如有）</w:t>
            </w:r>
          </w:p>
        </w:tc>
      </w:tr>
    </w:tbl>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bCs/>
          <w:color w:val="auto"/>
          <w:kern w:val="0"/>
          <w:sz w:val="24"/>
          <w:highlight w:val="none"/>
        </w:rPr>
        <w:t>注：</w:t>
      </w:r>
      <w:r>
        <w:rPr>
          <w:rFonts w:hint="eastAsia" w:ascii="宋体" w:hAnsi="宋体" w:eastAsia="宋体" w:cs="宋体"/>
          <w:bCs/>
          <w:color w:val="auto"/>
          <w:sz w:val="24"/>
          <w:highlight w:val="none"/>
        </w:rPr>
        <w:t>本表后附对应的证明材料；“职称及相关专业认证”仅在评分办法有对应评分项时填写；具体内容见评分办法。</w:t>
      </w:r>
    </w:p>
    <w:p>
      <w:pPr>
        <w:kinsoku/>
        <w:overflowPunct/>
        <w:bidi w:val="0"/>
        <w:adjustRightInd w:val="0"/>
        <w:snapToGrid w:val="0"/>
        <w:spacing w:line="400" w:lineRule="exact"/>
        <w:rPr>
          <w:rFonts w:hint="eastAsia" w:ascii="宋体" w:hAnsi="宋体" w:eastAsia="宋体" w:cs="宋体"/>
          <w:color w:val="auto"/>
          <w:kern w:val="0"/>
          <w:sz w:val="24"/>
          <w:highlight w:val="none"/>
          <w:lang w:val="zh-CN"/>
        </w:rPr>
      </w:pPr>
    </w:p>
    <w:p>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lang w:val="zh-CN"/>
        </w:rPr>
        <w:t xml:space="preserve">（全称加盖公章）       </w:t>
      </w:r>
    </w:p>
    <w:p>
      <w:pPr>
        <w:kinsoku/>
        <w:overflowPunct/>
        <w:bidi w:val="0"/>
        <w:adjustRightInd w:val="0"/>
        <w:snapToGrid w:val="0"/>
        <w:spacing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2025年</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p>
      <w:pPr>
        <w:pStyle w:val="47"/>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pPr>
        <w:pStyle w:val="47"/>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pPr>
        <w:pStyle w:val="47"/>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pPr>
        <w:kinsoku/>
        <w:overflowPunct/>
        <w:bidi w:val="0"/>
        <w:spacing w:line="400" w:lineRule="exact"/>
        <w:rPr>
          <w:rFonts w:hint="eastAsia" w:ascii="宋体" w:hAnsi="宋体" w:eastAsia="宋体" w:cs="宋体"/>
          <w:b/>
          <w:color w:val="auto"/>
          <w:kern w:val="0"/>
          <w:sz w:val="30"/>
          <w:highlight w:val="none"/>
          <w:lang w:val="zh-CN"/>
        </w:rPr>
      </w:pPr>
    </w:p>
    <w:p>
      <w:pPr>
        <w:pStyle w:val="47"/>
        <w:kinsoku/>
        <w:overflowPunct/>
        <w:bidi w:val="0"/>
        <w:spacing w:line="400" w:lineRule="exact"/>
        <w:rPr>
          <w:rFonts w:hint="eastAsia" w:ascii="宋体" w:hAnsi="宋体" w:eastAsia="宋体" w:cs="宋体"/>
          <w:b/>
          <w:color w:val="auto"/>
          <w:kern w:val="0"/>
          <w:sz w:val="30"/>
          <w:highlight w:val="none"/>
          <w:lang w:val="zh-CN"/>
        </w:rPr>
      </w:pPr>
    </w:p>
    <w:p>
      <w:pPr>
        <w:kinsoku/>
        <w:overflowPunct/>
        <w:bidi w:val="0"/>
        <w:spacing w:line="400" w:lineRule="exact"/>
        <w:rPr>
          <w:rFonts w:hint="eastAsia" w:ascii="宋体" w:hAnsi="宋体" w:eastAsia="宋体" w:cs="宋体"/>
          <w:b/>
          <w:color w:val="auto"/>
          <w:kern w:val="0"/>
          <w:sz w:val="30"/>
          <w:highlight w:val="none"/>
          <w:lang w:val="zh-CN"/>
        </w:rPr>
      </w:pPr>
    </w:p>
    <w:p>
      <w:pPr>
        <w:pStyle w:val="47"/>
        <w:kinsoku/>
        <w:overflowPunct/>
        <w:bidi w:val="0"/>
        <w:spacing w:line="400" w:lineRule="exact"/>
        <w:rPr>
          <w:rFonts w:hint="eastAsia" w:ascii="宋体" w:hAnsi="宋体" w:eastAsia="宋体" w:cs="宋体"/>
          <w:b/>
          <w:color w:val="auto"/>
          <w:kern w:val="0"/>
          <w:sz w:val="30"/>
          <w:highlight w:val="none"/>
          <w:lang w:val="zh-CN"/>
        </w:rPr>
      </w:pPr>
    </w:p>
    <w:p>
      <w:pPr>
        <w:pStyle w:val="4"/>
        <w:kinsoku/>
        <w:overflowPunct/>
        <w:bidi w:val="0"/>
        <w:spacing w:line="400" w:lineRule="exact"/>
        <w:ind w:left="0" w:firstLine="0"/>
        <w:jc w:val="center"/>
        <w:rPr>
          <w:rFonts w:hint="eastAsia" w:ascii="宋体" w:hAnsi="宋体" w:eastAsia="宋体" w:cs="宋体"/>
          <w:color w:val="auto"/>
          <w:sz w:val="28"/>
          <w:highlight w:val="none"/>
        </w:rPr>
      </w:pPr>
      <w:r>
        <w:rPr>
          <w:rFonts w:hint="eastAsia" w:ascii="宋体" w:hAnsi="宋体" w:eastAsia="宋体" w:cs="宋体"/>
          <w:color w:val="auto"/>
          <w:kern w:val="0"/>
          <w:sz w:val="30"/>
          <w:highlight w:val="none"/>
          <w:lang w:val="zh-CN"/>
        </w:rPr>
        <w:t>格式七：</w:t>
      </w:r>
      <w:bookmarkStart w:id="107" w:name="_Toc8841"/>
      <w:bookmarkStart w:id="108" w:name="_Toc522530058"/>
      <w:r>
        <w:rPr>
          <w:rFonts w:hint="eastAsia" w:ascii="宋体" w:hAnsi="宋体" w:eastAsia="宋体" w:cs="宋体"/>
          <w:color w:val="auto"/>
          <w:sz w:val="28"/>
          <w:szCs w:val="22"/>
          <w:highlight w:val="none"/>
        </w:rPr>
        <w:t>开标一览表</w:t>
      </w:r>
      <w:bookmarkEnd w:id="98"/>
      <w:bookmarkEnd w:id="99"/>
      <w:bookmarkEnd w:id="100"/>
      <w:bookmarkEnd w:id="101"/>
      <w:bookmarkEnd w:id="102"/>
      <w:bookmarkEnd w:id="107"/>
      <w:bookmarkEnd w:id="108"/>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衢州市柯城区百家坊小学（筹）</w:t>
      </w:r>
      <w:r>
        <w:rPr>
          <w:rFonts w:hint="eastAsia" w:ascii="宋体" w:hAnsi="宋体" w:eastAsia="宋体" w:cs="宋体"/>
          <w:color w:val="auto"/>
          <w:sz w:val="24"/>
          <w:highlight w:val="none"/>
        </w:rPr>
        <w:t xml:space="preserve"> </w:t>
      </w:r>
    </w:p>
    <w:p>
      <w:pPr>
        <w:kinsoku/>
        <w:overflowPunct/>
        <w:bidi w:val="0"/>
        <w:adjustRightInd w:val="0"/>
        <w:snapToGrid w:val="0"/>
        <w:spacing w:line="400" w:lineRule="exact"/>
        <w:rPr>
          <w:rFonts w:hint="eastAsia" w:ascii="宋体" w:hAnsi="宋体" w:eastAsia="宋体" w:cs="宋体"/>
          <w:b/>
          <w:color w:val="auto"/>
          <w:sz w:val="30"/>
          <w:highlight w:val="none"/>
        </w:rPr>
      </w:pPr>
      <w:r>
        <w:rPr>
          <w:rFonts w:hint="eastAsia" w:ascii="宋体" w:hAnsi="宋体" w:eastAsia="宋体" w:cs="宋体"/>
          <w:color w:val="auto"/>
          <w:sz w:val="24"/>
          <w:highlight w:val="none"/>
          <w:lang w:eastAsia="zh-CN"/>
        </w:rPr>
        <w:t>德威工程管理咨询有限公司</w:t>
      </w:r>
      <w:r>
        <w:rPr>
          <w:rFonts w:hint="eastAsia" w:ascii="宋体" w:hAnsi="宋体" w:eastAsia="宋体" w:cs="宋体"/>
          <w:color w:val="auto"/>
          <w:sz w:val="24"/>
          <w:highlight w:val="none"/>
        </w:rPr>
        <w:t>：</w:t>
      </w:r>
    </w:p>
    <w:p>
      <w:pPr>
        <w:kinsoku/>
        <w:overflowPunct/>
        <w:bidi w:val="0"/>
        <w:spacing w:beforeLines="10" w:line="40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按贵方招标文件要求，如你方接受本投标文件，我方承诺按照如下开标一览表的价格完成</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 (项目编号：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lang w:val="zh-CN"/>
        </w:rPr>
        <w:t>的实施。</w:t>
      </w:r>
    </w:p>
    <w:p>
      <w:pPr>
        <w:kinsoku/>
        <w:overflowPunct/>
        <w:bidi w:val="0"/>
        <w:adjustRightInd w:val="0"/>
        <w:snapToGrid w:val="0"/>
        <w:spacing w:line="400" w:lineRule="exact"/>
        <w:ind w:right="480"/>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 xml:space="preserve">                                              货币单位：人民币元</w:t>
      </w:r>
    </w:p>
    <w:tbl>
      <w:tblPr>
        <w:tblStyle w:val="97"/>
        <w:tblW w:w="9242"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219"/>
        <w:gridCol w:w="502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9" w:hRule="atLeast"/>
          <w:tblHeader/>
          <w:jc w:val="center"/>
        </w:trPr>
        <w:tc>
          <w:tcPr>
            <w:tcW w:w="4219" w:type="dxa"/>
            <w:tcBorders>
              <w:top w:val="single" w:color="auto" w:sz="4" w:space="0"/>
            </w:tcBorders>
            <w:vAlign w:val="center"/>
          </w:tcPr>
          <w:p>
            <w:pPr>
              <w:spacing w:line="360" w:lineRule="auto"/>
              <w:jc w:val="center"/>
              <w:rPr>
                <w:rFonts w:hint="eastAsia" w:ascii="宋体" w:hAnsi="宋体" w:eastAsia="宋体" w:cs="宋体"/>
                <w:b/>
                <w:color w:val="auto"/>
                <w:sz w:val="24"/>
                <w:highlight w:val="none"/>
                <w:lang w:val="en-GB"/>
              </w:rPr>
            </w:pPr>
            <w:r>
              <w:rPr>
                <w:rFonts w:hint="eastAsia" w:ascii="宋体" w:hAnsi="宋体" w:eastAsia="宋体" w:cs="宋体"/>
                <w:b/>
                <w:color w:val="auto"/>
                <w:sz w:val="24"/>
                <w:highlight w:val="none"/>
                <w:lang w:val="en-GB" w:eastAsia="zh-CN"/>
              </w:rPr>
              <w:t>标项</w:t>
            </w:r>
            <w:r>
              <w:rPr>
                <w:rFonts w:hint="eastAsia" w:ascii="宋体" w:hAnsi="宋体" w:eastAsia="宋体" w:cs="宋体"/>
                <w:b/>
                <w:color w:val="auto"/>
                <w:sz w:val="24"/>
                <w:highlight w:val="none"/>
                <w:lang w:val="en-GB"/>
              </w:rPr>
              <w:t>名称</w:t>
            </w:r>
          </w:p>
        </w:tc>
        <w:tc>
          <w:tcPr>
            <w:tcW w:w="5023" w:type="dxa"/>
            <w:tcBorders>
              <w:right w:val="single" w:color="auto" w:sz="4" w:space="0"/>
            </w:tcBorders>
            <w:vAlign w:val="center"/>
          </w:tcPr>
          <w:p>
            <w:pPr>
              <w:spacing w:line="360" w:lineRule="auto"/>
              <w:jc w:val="center"/>
              <w:rPr>
                <w:rFonts w:hint="eastAsia" w:ascii="宋体" w:hAnsi="宋体" w:eastAsia="宋体" w:cs="宋体"/>
                <w:b/>
                <w:color w:val="auto"/>
                <w:sz w:val="24"/>
                <w:highlight w:val="none"/>
                <w:lang w:val="en-GB"/>
              </w:rPr>
            </w:pPr>
            <w:r>
              <w:rPr>
                <w:rFonts w:hint="eastAsia" w:ascii="宋体" w:hAnsi="宋体" w:eastAsia="宋体" w:cs="宋体"/>
                <w:b/>
                <w:color w:val="auto"/>
                <w:sz w:val="24"/>
                <w:highlight w:val="none"/>
                <w:lang w:val="en-GB"/>
              </w:rPr>
              <w:t>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55" w:hRule="atLeast"/>
          <w:jc w:val="center"/>
        </w:trPr>
        <w:tc>
          <w:tcPr>
            <w:tcW w:w="4219" w:type="dxa"/>
            <w:vAlign w:val="center"/>
          </w:tcPr>
          <w:p>
            <w:pPr>
              <w:spacing w:line="360" w:lineRule="auto"/>
              <w:jc w:val="center"/>
              <w:rPr>
                <w:rFonts w:hint="eastAsia" w:ascii="宋体" w:hAnsi="宋体" w:eastAsia="宋体" w:cs="宋体"/>
                <w:b w:val="0"/>
                <w:bCs w:val="0"/>
                <w:color w:val="auto"/>
                <w:sz w:val="24"/>
                <w:highlight w:val="none"/>
              </w:rPr>
            </w:pPr>
            <w:r>
              <w:rPr>
                <w:rFonts w:hint="eastAsia" w:ascii="宋体" w:hAnsi="宋体" w:cs="宋体"/>
                <w:color w:val="auto"/>
                <w:sz w:val="24"/>
                <w:highlight w:val="none"/>
                <w:lang w:val="en-GB" w:eastAsia="zh-CN"/>
              </w:rPr>
              <w:t>衢州市柯城区百家坊小学（筹）科学教室、录播教室等设施设备采购项目</w:t>
            </w:r>
          </w:p>
        </w:tc>
        <w:tc>
          <w:tcPr>
            <w:tcW w:w="5023" w:type="dxa"/>
            <w:tcBorders>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lang w:val="en-US" w:eastAsia="zh-CN"/>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85" w:hRule="atLeast"/>
          <w:jc w:val="center"/>
        </w:trPr>
        <w:tc>
          <w:tcPr>
            <w:tcW w:w="4219" w:type="dxa"/>
            <w:tcBorders>
              <w:right w:val="single" w:color="auto" w:sz="4" w:space="0"/>
            </w:tcBorders>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项目负责人</w:t>
            </w:r>
          </w:p>
        </w:tc>
        <w:tc>
          <w:tcPr>
            <w:tcW w:w="5023" w:type="dxa"/>
            <w:tcBorders>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400" w:lineRule="exact"/>
              <w:ind w:right="-773" w:rightChars="-276"/>
              <w:jc w:val="left"/>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85" w:hRule="atLeast"/>
          <w:jc w:val="center"/>
        </w:trPr>
        <w:tc>
          <w:tcPr>
            <w:tcW w:w="4219" w:type="dxa"/>
            <w:tcBorders>
              <w:right w:val="single" w:color="auto" w:sz="4" w:space="0"/>
            </w:tcBorders>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w:t>
            </w:r>
          </w:p>
        </w:tc>
        <w:tc>
          <w:tcPr>
            <w:tcW w:w="5023" w:type="dxa"/>
            <w:tcBorders>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400" w:lineRule="exact"/>
              <w:ind w:right="-773" w:rightChars="-276"/>
              <w:jc w:val="left"/>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55" w:hRule="atLeast"/>
          <w:jc w:val="center"/>
        </w:trPr>
        <w:tc>
          <w:tcPr>
            <w:tcW w:w="9242" w:type="dxa"/>
            <w:gridSpan w:val="2"/>
            <w:tcBorders>
              <w:righ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本报价已包含招标文件“第二部分 投标人须知 \三、投标文件\（三）投标报价”要求的全部内容。</w:t>
            </w:r>
          </w:p>
        </w:tc>
      </w:tr>
    </w:tbl>
    <w:p>
      <w:pPr>
        <w:adjustRightInd w:val="0"/>
        <w:snapToGrid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color w:val="auto"/>
          <w:kern w:val="0"/>
          <w:sz w:val="24"/>
          <w:highlight w:val="none"/>
          <w:lang w:val="zh-CN"/>
        </w:rPr>
        <w:t>1、此表报价单不得涂改，请按规定要求填报。</w:t>
      </w:r>
    </w:p>
    <w:p>
      <w:pPr>
        <w:adjustRightInd w:val="0"/>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2、以上报价最终对应“第三部分 项目技术及服务要求”中的各项内容的收费。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kern w:val="0"/>
          <w:sz w:val="24"/>
          <w:highlight w:val="none"/>
        </w:rPr>
        <w:t>3、本项目</w:t>
      </w:r>
      <w:r>
        <w:rPr>
          <w:rFonts w:hint="eastAsia" w:ascii="宋体" w:hAnsi="宋体" w:eastAsia="宋体" w:cs="宋体"/>
          <w:color w:val="auto"/>
          <w:kern w:val="0"/>
          <w:sz w:val="24"/>
          <w:highlight w:val="none"/>
          <w:lang w:eastAsia="zh-CN"/>
        </w:rPr>
        <w:t>的投标</w:t>
      </w:r>
      <w:r>
        <w:rPr>
          <w:rFonts w:hint="eastAsia" w:ascii="宋体" w:hAnsi="宋体" w:eastAsia="宋体" w:cs="宋体"/>
          <w:bCs/>
          <w:color w:val="auto"/>
          <w:sz w:val="24"/>
          <w:szCs w:val="24"/>
          <w:highlight w:val="none"/>
          <w:lang w:val="zh-CN"/>
        </w:rPr>
        <w:t>报价包括本次的货物价款、人工费、材料费、运输保险费、安装调试费（含安装人工等相关人工费用）、售后服务、各项税金等所有费用。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r>
        <w:rPr>
          <w:rFonts w:hint="eastAsia" w:ascii="宋体" w:hAnsi="宋体" w:cs="宋体"/>
          <w:b/>
          <w:bCs w:val="0"/>
          <w:color w:val="auto"/>
          <w:sz w:val="24"/>
          <w:szCs w:val="24"/>
          <w:highlight w:val="none"/>
          <w:lang w:val="en-US" w:eastAsia="zh-CN"/>
        </w:rPr>
        <w:t>投标人</w:t>
      </w:r>
      <w:r>
        <w:rPr>
          <w:rFonts w:hint="eastAsia" w:ascii="宋体" w:hAnsi="宋体" w:eastAsia="宋体" w:cs="宋体"/>
          <w:b/>
          <w:bCs w:val="0"/>
          <w:color w:val="auto"/>
          <w:sz w:val="24"/>
          <w:szCs w:val="24"/>
          <w:highlight w:val="none"/>
          <w:lang w:val="en-US" w:eastAsia="zh-CN"/>
        </w:rPr>
        <w:t>不得进行影响产品质量或者诚信履约的恶意报价。</w:t>
      </w:r>
      <w:r>
        <w:rPr>
          <w:rFonts w:hint="eastAsia" w:ascii="宋体" w:hAnsi="宋体" w:cs="宋体"/>
          <w:b/>
          <w:bCs w:val="0"/>
          <w:color w:val="auto"/>
          <w:sz w:val="24"/>
          <w:szCs w:val="24"/>
          <w:highlight w:val="none"/>
          <w:lang w:val="en-US" w:eastAsia="zh-CN"/>
        </w:rPr>
        <w:t>投标人</w:t>
      </w:r>
      <w:r>
        <w:rPr>
          <w:rFonts w:hint="eastAsia" w:ascii="宋体" w:hAnsi="宋体" w:eastAsia="宋体" w:cs="宋体"/>
          <w:b/>
          <w:bCs w:val="0"/>
          <w:color w:val="auto"/>
          <w:sz w:val="24"/>
          <w:szCs w:val="24"/>
          <w:highlight w:val="none"/>
          <w:lang w:val="en-US" w:eastAsia="zh-CN"/>
        </w:rPr>
        <w:t>在项目评审前准备好报价核算、报价明细、报价说明等材料，以备评审专家核查，</w:t>
      </w:r>
      <w:r>
        <w:rPr>
          <w:rFonts w:hint="eastAsia" w:ascii="宋体" w:hAnsi="宋体" w:cs="宋体"/>
          <w:b/>
          <w:bCs w:val="0"/>
          <w:color w:val="auto"/>
          <w:sz w:val="24"/>
          <w:szCs w:val="24"/>
          <w:highlight w:val="none"/>
          <w:lang w:val="en-US" w:eastAsia="zh-CN"/>
        </w:rPr>
        <w:t>投标人</w:t>
      </w:r>
      <w:r>
        <w:rPr>
          <w:rFonts w:hint="eastAsia" w:ascii="宋体" w:hAnsi="宋体" w:eastAsia="宋体" w:cs="宋体"/>
          <w:b/>
          <w:bCs w:val="0"/>
          <w:color w:val="auto"/>
          <w:sz w:val="24"/>
          <w:szCs w:val="24"/>
          <w:highlight w:val="none"/>
          <w:lang w:val="en-US" w:eastAsia="zh-CN"/>
        </w:rPr>
        <w:t>报价低于项目预算50%的，应当在报价文件中详细阐述不影响产品质量或者诚信履约的具体原因。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如果</w:t>
      </w:r>
      <w:r>
        <w:rPr>
          <w:rFonts w:hint="eastAsia" w:ascii="宋体" w:hAnsi="宋体" w:cs="宋体"/>
          <w:color w:val="auto"/>
          <w:kern w:val="0"/>
          <w:sz w:val="24"/>
          <w:highlight w:val="none"/>
          <w:lang w:eastAsia="zh-CN"/>
        </w:rPr>
        <w:t>投标人</w:t>
      </w:r>
      <w:r>
        <w:rPr>
          <w:rFonts w:hint="eastAsia" w:ascii="宋体" w:hAnsi="宋体" w:eastAsia="宋体" w:cs="宋体"/>
          <w:color w:val="auto"/>
          <w:kern w:val="0"/>
          <w:sz w:val="24"/>
          <w:highlight w:val="none"/>
        </w:rPr>
        <w:t>提出优惠条款，请在备注栏内注明。</w:t>
      </w:r>
    </w:p>
    <w:p>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lang w:val="zh-CN"/>
        </w:rPr>
      </w:pPr>
    </w:p>
    <w:p>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u w:val="single"/>
          <w:lang w:val="zh-CN"/>
        </w:rPr>
      </w:pP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lang w:val="zh-CN"/>
        </w:rPr>
        <w:t xml:space="preserve">（全称加盖公章）       </w:t>
      </w:r>
    </w:p>
    <w:p>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pStyle w:val="4"/>
        <w:kinsoku/>
        <w:overflowPunct/>
        <w:bidi w:val="0"/>
        <w:spacing w:line="400" w:lineRule="exact"/>
        <w:ind w:left="0" w:firstLine="0"/>
        <w:jc w:val="both"/>
        <w:rPr>
          <w:rFonts w:hint="eastAsia" w:ascii="宋体" w:hAnsi="宋体" w:eastAsia="宋体" w:cs="宋体"/>
          <w:color w:val="auto"/>
          <w:sz w:val="28"/>
          <w:highlight w:val="none"/>
          <w:lang w:eastAsia="zh-CN"/>
        </w:rPr>
        <w:sectPr>
          <w:footerReference r:id="rId11" w:type="first"/>
          <w:footerReference r:id="rId10" w:type="default"/>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pPr>
      <w:bookmarkStart w:id="109" w:name="_Toc522530061"/>
      <w:bookmarkStart w:id="110" w:name="_Toc16646"/>
    </w:p>
    <w:p>
      <w:pPr>
        <w:pStyle w:val="4"/>
        <w:kinsoku/>
        <w:overflowPunct/>
        <w:bidi w:val="0"/>
        <w:spacing w:line="400" w:lineRule="exact"/>
        <w:ind w:left="0" w:firstLine="0"/>
        <w:jc w:val="center"/>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lang w:eastAsia="zh-CN"/>
        </w:rPr>
        <w:t>格式八：投标报价明细表</w:t>
      </w:r>
    </w:p>
    <w:p>
      <w:pPr>
        <w:rPr>
          <w:rFonts w:hint="eastAsia" w:ascii="宋体" w:hAnsi="宋体" w:eastAsia="宋体" w:cs="宋体"/>
          <w:color w:val="auto"/>
          <w:highlight w:val="none"/>
          <w:lang w:eastAsia="zh-CN"/>
        </w:rPr>
      </w:pPr>
    </w:p>
    <w:tbl>
      <w:tblPr>
        <w:tblStyle w:val="98"/>
        <w:tblW w:w="85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692"/>
        <w:gridCol w:w="2041"/>
        <w:gridCol w:w="813"/>
        <w:gridCol w:w="949"/>
        <w:gridCol w:w="1"/>
        <w:gridCol w:w="948"/>
        <w:gridCol w:w="2"/>
        <w:gridCol w:w="947"/>
        <w:gridCol w:w="3"/>
        <w:gridCol w:w="1047"/>
        <w:gridCol w:w="3"/>
        <w:gridCol w:w="570"/>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序号</w:t>
            </w: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lang w:eastAsia="zh-CN"/>
              </w:rPr>
              <w:t>名称</w:t>
            </w: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技术参数</w:t>
            </w: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规格</w:t>
            </w:r>
          </w:p>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型号</w:t>
            </w: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val="en-US" w:eastAsia="zh-CN"/>
              </w:rPr>
              <w:t>数量</w:t>
            </w: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单位</w:t>
            </w: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单价（元）</w:t>
            </w: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总价（元）</w:t>
            </w: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w:t>
            </w: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val="en-US" w:eastAsia="zh-CN"/>
              </w:rPr>
              <w:t>2</w:t>
            </w: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287" w:type="dxa"/>
            <w:gridSpan w:val="3"/>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eastAsia="zh-CN"/>
              </w:rPr>
              <w:t>合计</w:t>
            </w: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bl>
    <w:p>
      <w:pPr>
        <w:rPr>
          <w:rFonts w:hint="eastAsia" w:ascii="宋体" w:hAnsi="宋体" w:eastAsia="宋体" w:cs="宋体"/>
          <w:color w:val="auto"/>
          <w:highlight w:val="none"/>
          <w:lang w:eastAsia="zh-CN"/>
        </w:rPr>
      </w:pPr>
    </w:p>
    <w:p>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sz w:val="21"/>
          <w:szCs w:val="21"/>
          <w:highlight w:val="none"/>
          <w:lang w:val="en-US" w:eastAsia="zh-CN"/>
        </w:rPr>
        <w:t>注：1、</w:t>
      </w:r>
      <w:r>
        <w:rPr>
          <w:rFonts w:hint="eastAsia" w:ascii="宋体" w:hAnsi="宋体" w:eastAsia="宋体" w:cs="宋体"/>
          <w:color w:val="auto"/>
          <w:kern w:val="0"/>
          <w:sz w:val="24"/>
          <w:highlight w:val="none"/>
          <w:lang w:val="zh-CN"/>
        </w:rPr>
        <w:t>此报价明细表请按规定要求填报。</w:t>
      </w:r>
    </w:p>
    <w:p>
      <w:pPr>
        <w:adjustRightInd w:val="0"/>
        <w:snapToGrid w:val="0"/>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kern w:val="0"/>
          <w:sz w:val="24"/>
          <w:highlight w:val="none"/>
          <w:lang w:val="en-US" w:eastAsia="zh-CN"/>
        </w:rPr>
        <w:t>2、以上报价应与“开标一览表”中的“投标报价”相一致。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0"/>
          <w:sz w:val="24"/>
          <w:szCs w:val="20"/>
          <w:highlight w:val="none"/>
          <w:lang w:val="en-US" w:eastAsia="zh-CN" w:bidi="ar-SA"/>
        </w:rPr>
        <w:t>3、本项目的投标报价</w:t>
      </w:r>
      <w:r>
        <w:rPr>
          <w:rFonts w:hint="eastAsia" w:ascii="宋体" w:hAnsi="宋体" w:eastAsia="宋体" w:cs="宋体"/>
          <w:bCs/>
          <w:color w:val="auto"/>
          <w:sz w:val="24"/>
          <w:szCs w:val="24"/>
          <w:highlight w:val="none"/>
          <w:lang w:val="zh-CN"/>
        </w:rPr>
        <w:t>包括本次的货物价款、人工费、材料费、运输保险费、安装调试费（含安装人工等相关人工费用）、售后服务、各项税金等所有费用。</w:t>
      </w:r>
    </w:p>
    <w:p>
      <w:pPr>
        <w:pStyle w:val="609"/>
        <w:widowControl/>
        <w:spacing w:line="360" w:lineRule="auto"/>
        <w:ind w:right="112" w:rightChars="40" w:firstLine="450"/>
        <w:jc w:val="left"/>
        <w:rPr>
          <w:rFonts w:hint="eastAsia" w:ascii="宋体" w:hAnsi="宋体" w:eastAsia="宋体" w:cs="宋体"/>
          <w:color w:val="auto"/>
          <w:kern w:val="0"/>
          <w:sz w:val="24"/>
          <w:szCs w:val="20"/>
          <w:highlight w:val="none"/>
          <w:lang w:val="en-US" w:eastAsia="zh-CN" w:bidi="ar-SA"/>
        </w:rPr>
      </w:pPr>
    </w:p>
    <w:p>
      <w:pPr>
        <w:pStyle w:val="609"/>
        <w:widowControl/>
        <w:spacing w:line="360" w:lineRule="auto"/>
        <w:ind w:right="112" w:rightChars="40" w:firstLine="450"/>
        <w:jc w:val="left"/>
        <w:rPr>
          <w:rFonts w:hint="eastAsia" w:ascii="宋体" w:hAnsi="宋体" w:eastAsia="宋体" w:cs="宋体"/>
          <w:color w:val="auto"/>
          <w:kern w:val="0"/>
          <w:sz w:val="24"/>
          <w:szCs w:val="20"/>
          <w:highlight w:val="none"/>
          <w:lang w:val="zh-CN" w:eastAsia="zh-CN" w:bidi="ar-SA"/>
        </w:rPr>
      </w:pPr>
      <w:r>
        <w:rPr>
          <w:rFonts w:hint="eastAsia" w:ascii="宋体" w:hAnsi="宋体" w:eastAsia="宋体" w:cs="宋体"/>
          <w:color w:val="auto"/>
          <w:kern w:val="0"/>
          <w:sz w:val="24"/>
          <w:szCs w:val="20"/>
          <w:highlight w:val="none"/>
          <w:lang w:val="en-US" w:eastAsia="zh-CN" w:bidi="ar-SA"/>
        </w:rPr>
        <w:t xml:space="preserve">              </w:t>
      </w:r>
    </w:p>
    <w:p>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lang w:val="zh-CN"/>
        </w:rPr>
        <w:t xml:space="preserve">（全称加盖公章）       </w:t>
      </w:r>
    </w:p>
    <w:p>
      <w:pPr>
        <w:kinsoku/>
        <w:overflowPunct/>
        <w:bidi w:val="0"/>
        <w:adjustRightInd w:val="0"/>
        <w:snapToGrid w:val="0"/>
        <w:spacing w:line="400" w:lineRule="exac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kinsoku/>
        <w:overflowPunct/>
        <w:bidi w:val="0"/>
        <w:adjustRightInd w:val="0"/>
        <w:snapToGrid w:val="0"/>
        <w:spacing w:line="400" w:lineRule="exact"/>
        <w:rPr>
          <w:rFonts w:hint="eastAsia" w:ascii="宋体" w:hAnsi="宋体" w:eastAsia="宋体" w:cs="宋体"/>
          <w:b/>
          <w:color w:val="auto"/>
          <w:szCs w:val="22"/>
          <w:highlight w:val="none"/>
        </w:rPr>
      </w:pPr>
    </w:p>
    <w:p>
      <w:pPr>
        <w:pStyle w:val="4"/>
        <w:kinsoku/>
        <w:overflowPunct/>
        <w:bidi w:val="0"/>
        <w:spacing w:line="400" w:lineRule="exact"/>
        <w:ind w:left="0" w:firstLine="0"/>
        <w:rPr>
          <w:rFonts w:hint="eastAsia" w:ascii="宋体" w:hAnsi="宋体" w:eastAsia="宋体" w:cs="宋体"/>
          <w:color w:val="auto"/>
          <w:sz w:val="28"/>
          <w:highlight w:val="none"/>
        </w:rPr>
      </w:pPr>
    </w:p>
    <w:p>
      <w:pPr>
        <w:rPr>
          <w:rFonts w:hint="eastAsia" w:ascii="宋体" w:hAnsi="宋体" w:eastAsia="宋体" w:cs="宋体"/>
          <w:color w:val="auto"/>
          <w:highlight w:val="none"/>
        </w:rPr>
      </w:pPr>
    </w:p>
    <w:p>
      <w:pPr>
        <w:pStyle w:val="19"/>
        <w:rPr>
          <w:rFonts w:hint="eastAsia" w:ascii="宋体" w:hAnsi="宋体" w:eastAsia="宋体" w:cs="宋体"/>
          <w:color w:val="auto"/>
          <w:highlight w:val="none"/>
        </w:rPr>
      </w:pPr>
    </w:p>
    <w:p>
      <w:pPr>
        <w:pStyle w:val="18"/>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sz w:val="28"/>
          <w:highlight w:val="none"/>
        </w:rPr>
      </w:pPr>
    </w:p>
    <w:p>
      <w:pPr>
        <w:pStyle w:val="4"/>
        <w:kinsoku/>
        <w:overflowPunct/>
        <w:bidi w:val="0"/>
        <w:spacing w:line="400" w:lineRule="exact"/>
        <w:ind w:left="0" w:firstLine="0"/>
        <w:rPr>
          <w:rFonts w:hint="eastAsia" w:ascii="宋体" w:hAnsi="宋体" w:eastAsia="宋体" w:cs="宋体"/>
          <w:color w:val="auto"/>
          <w:sz w:val="28"/>
          <w:highlight w:val="none"/>
        </w:rPr>
      </w:pPr>
      <w:r>
        <w:rPr>
          <w:rFonts w:hint="eastAsia" w:ascii="宋体" w:hAnsi="宋体" w:eastAsia="宋体" w:cs="宋体"/>
          <w:color w:val="auto"/>
          <w:sz w:val="28"/>
          <w:highlight w:val="none"/>
        </w:rPr>
        <w:t>投标文件封面</w:t>
      </w:r>
      <w:bookmarkEnd w:id="109"/>
      <w:bookmarkEnd w:id="110"/>
    </w:p>
    <w:p>
      <w:pPr>
        <w:tabs>
          <w:tab w:val="left" w:pos="4500"/>
        </w:tabs>
        <w:kinsoku/>
        <w:overflowPunct/>
        <w:autoSpaceDE w:val="0"/>
        <w:autoSpaceDN w:val="0"/>
        <w:bidi w:val="0"/>
        <w:adjustRightInd w:val="0"/>
        <w:snapToGrid w:val="0"/>
        <w:spacing w:line="400" w:lineRule="exact"/>
        <w:jc w:val="center"/>
        <w:textAlignment w:val="bottom"/>
        <w:rPr>
          <w:rFonts w:hint="eastAsia" w:ascii="宋体" w:hAnsi="宋体" w:eastAsia="宋体" w:cs="宋体"/>
          <w:b/>
          <w:color w:val="auto"/>
          <w:sz w:val="44"/>
          <w:szCs w:val="44"/>
          <w:highlight w:val="none"/>
        </w:rPr>
      </w:pPr>
    </w:p>
    <w:p>
      <w:pPr>
        <w:tabs>
          <w:tab w:val="left" w:pos="4500"/>
        </w:tabs>
        <w:kinsoku/>
        <w:overflowPunct/>
        <w:autoSpaceDE w:val="0"/>
        <w:autoSpaceDN w:val="0"/>
        <w:bidi w:val="0"/>
        <w:adjustRightInd w:val="0"/>
        <w:snapToGrid w:val="0"/>
        <w:spacing w:line="360" w:lineRule="auto"/>
        <w:jc w:val="center"/>
        <w:textAlignment w:val="bottom"/>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衢州市柯城区百家坊小学（筹）科学教室、录播教室等设施设备采购项目</w:t>
      </w:r>
    </w:p>
    <w:p>
      <w:pPr>
        <w:kinsoku/>
        <w:overflowPunct/>
        <w:bidi w:val="0"/>
        <w:spacing w:beforeLines="10" w:line="360" w:lineRule="auto"/>
        <w:jc w:val="center"/>
        <w:rPr>
          <w:rFonts w:hint="eastAsia" w:ascii="宋体" w:hAnsi="宋体" w:eastAsia="宋体" w:cs="宋体"/>
          <w:b/>
          <w:color w:val="auto"/>
          <w:sz w:val="32"/>
          <w:highlight w:val="none"/>
        </w:rPr>
      </w:pPr>
    </w:p>
    <w:p>
      <w:pPr>
        <w:kinsoku/>
        <w:overflowPunct/>
        <w:bidi w:val="0"/>
        <w:spacing w:beforeLines="10" w:line="360" w:lineRule="auto"/>
        <w:jc w:val="center"/>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rPr>
        <w:t>项目编号：</w:t>
      </w:r>
    </w:p>
    <w:p>
      <w:pPr>
        <w:pStyle w:val="59"/>
        <w:kinsoku/>
        <w:overflowPunct/>
        <w:bidi w:val="0"/>
        <w:spacing w:after="0" w:line="360" w:lineRule="auto"/>
        <w:ind w:left="560"/>
        <w:rPr>
          <w:rFonts w:hint="eastAsia" w:ascii="宋体" w:hAnsi="宋体" w:eastAsia="宋体" w:cs="宋体"/>
          <w:color w:val="auto"/>
          <w:highlight w:val="none"/>
        </w:rPr>
      </w:pPr>
    </w:p>
    <w:bookmarkEnd w:id="19"/>
    <w:bookmarkEnd w:id="20"/>
    <w:bookmarkEnd w:id="21"/>
    <w:bookmarkEnd w:id="22"/>
    <w:bookmarkEnd w:id="96"/>
    <w:p>
      <w:pPr>
        <w:kinsoku/>
        <w:overflowPunct/>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投</w:t>
      </w:r>
    </w:p>
    <w:p>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标</w:t>
      </w:r>
    </w:p>
    <w:p>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文</w:t>
      </w:r>
    </w:p>
    <w:p>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件</w:t>
      </w:r>
    </w:p>
    <w:p>
      <w:pPr>
        <w:pStyle w:val="47"/>
        <w:kinsoku/>
        <w:overflowPunct/>
        <w:bidi w:val="0"/>
        <w:spacing w:line="360" w:lineRule="auto"/>
        <w:rPr>
          <w:rFonts w:hint="eastAsia" w:ascii="宋体" w:hAnsi="宋体" w:eastAsia="宋体" w:cs="宋体"/>
          <w:color w:val="auto"/>
          <w:highlight w:val="none"/>
        </w:rPr>
      </w:pPr>
    </w:p>
    <w:p>
      <w:pPr>
        <w:kinsoku/>
        <w:overflowPunct/>
        <w:bidi w:val="0"/>
        <w:spacing w:line="360" w:lineRule="auto"/>
        <w:ind w:firstLine="960" w:firstLineChars="300"/>
        <w:rPr>
          <w:rFonts w:hint="eastAsia" w:ascii="宋体" w:hAnsi="宋体" w:eastAsia="宋体" w:cs="宋体"/>
          <w:color w:val="auto"/>
          <w:sz w:val="32"/>
          <w:highlight w:val="none"/>
        </w:rPr>
      </w:pPr>
    </w:p>
    <w:p>
      <w:pPr>
        <w:kinsoku/>
        <w:overflowPunct/>
        <w:bidi w:val="0"/>
        <w:spacing w:line="360" w:lineRule="auto"/>
        <w:ind w:firstLine="960" w:firstLineChars="300"/>
        <w:rPr>
          <w:rFonts w:hint="eastAsia" w:ascii="宋体" w:hAnsi="宋体" w:eastAsia="宋体" w:cs="宋体"/>
          <w:color w:val="auto"/>
          <w:sz w:val="32"/>
          <w:highlight w:val="none"/>
        </w:rPr>
      </w:pPr>
      <w:r>
        <w:rPr>
          <w:rFonts w:hint="eastAsia" w:ascii="宋体" w:hAnsi="宋体" w:eastAsia="宋体" w:cs="宋体"/>
          <w:color w:val="auto"/>
          <w:sz w:val="32"/>
          <w:highlight w:val="none"/>
        </w:rPr>
        <w:t>投标人：（加盖公章）</w:t>
      </w:r>
    </w:p>
    <w:p>
      <w:pPr>
        <w:kinsoku/>
        <w:overflowPunct/>
        <w:bidi w:val="0"/>
        <w:spacing w:line="360" w:lineRule="auto"/>
        <w:ind w:firstLine="960" w:firstLineChars="300"/>
        <w:rPr>
          <w:rFonts w:hint="eastAsia" w:ascii="宋体" w:hAnsi="宋体" w:eastAsia="宋体" w:cs="宋体"/>
          <w:color w:val="auto"/>
          <w:sz w:val="32"/>
          <w:highlight w:val="none"/>
        </w:rPr>
      </w:pPr>
      <w:r>
        <w:rPr>
          <w:rFonts w:hint="eastAsia" w:ascii="宋体" w:hAnsi="宋体" w:eastAsia="宋体" w:cs="宋体"/>
          <w:color w:val="auto"/>
          <w:sz w:val="32"/>
          <w:highlight w:val="none"/>
        </w:rPr>
        <w:t>地址：</w:t>
      </w:r>
    </w:p>
    <w:p>
      <w:pPr>
        <w:kinsoku/>
        <w:overflowPunct/>
        <w:bidi w:val="0"/>
        <w:spacing w:line="360" w:lineRule="auto"/>
        <w:ind w:firstLine="960" w:firstLineChars="300"/>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日期：</w:t>
      </w:r>
    </w:p>
    <w:p>
      <w:pPr>
        <w:pageBreakBefore/>
        <w:kinsoku/>
        <w:overflowPunct/>
        <w:bidi w:val="0"/>
        <w:adjustRightInd w:val="0"/>
        <w:snapToGrid w:val="0"/>
        <w:spacing w:line="400" w:lineRule="exact"/>
        <w:jc w:val="center"/>
        <w:outlineLvl w:val="0"/>
        <w:rPr>
          <w:rFonts w:hint="eastAsia" w:ascii="宋体" w:hAnsi="宋体" w:eastAsia="宋体" w:cs="宋体"/>
          <w:b/>
          <w:color w:val="auto"/>
          <w:sz w:val="36"/>
          <w:highlight w:val="none"/>
        </w:rPr>
      </w:pPr>
      <w:bookmarkStart w:id="111" w:name="_Toc15453"/>
      <w:r>
        <w:rPr>
          <w:rFonts w:hint="eastAsia" w:ascii="宋体" w:hAnsi="宋体" w:eastAsia="宋体" w:cs="宋体"/>
          <w:b/>
          <w:color w:val="auto"/>
          <w:sz w:val="36"/>
          <w:highlight w:val="none"/>
        </w:rPr>
        <w:t>第六部分  评分办法</w:t>
      </w:r>
      <w:bookmarkEnd w:id="111"/>
    </w:p>
    <w:p>
      <w:pPr>
        <w:pStyle w:val="3"/>
        <w:kinsoku/>
        <w:overflowPunct/>
        <w:topLinePunct/>
        <w:bidi w:val="0"/>
        <w:adjustRightInd w:val="0"/>
        <w:snapToGrid w:val="0"/>
        <w:spacing w:line="400" w:lineRule="exact"/>
        <w:jc w:val="left"/>
        <w:rPr>
          <w:rStyle w:val="607"/>
          <w:rFonts w:hint="eastAsia" w:ascii="宋体" w:hAnsi="宋体" w:eastAsia="宋体" w:cs="宋体"/>
          <w:color w:val="auto"/>
          <w:sz w:val="24"/>
          <w:szCs w:val="24"/>
          <w:highlight w:val="none"/>
          <w:lang w:eastAsia="zh-CN"/>
        </w:rPr>
      </w:pPr>
      <w:r>
        <w:rPr>
          <w:rStyle w:val="607"/>
          <w:rFonts w:hint="eastAsia" w:ascii="宋体" w:hAnsi="宋体" w:eastAsia="宋体" w:cs="宋体"/>
          <w:color w:val="auto"/>
          <w:sz w:val="24"/>
          <w:szCs w:val="24"/>
          <w:highlight w:val="none"/>
        </w:rPr>
        <w:t>一、总则</w:t>
      </w:r>
    </w:p>
    <w:p>
      <w:pPr>
        <w:pStyle w:val="3"/>
        <w:kinsoku/>
        <w:overflowPunct/>
        <w:topLinePunct/>
        <w:bidi w:val="0"/>
        <w:adjustRightInd w:val="0"/>
        <w:snapToGrid w:val="0"/>
        <w:spacing w:line="400" w:lineRule="exact"/>
        <w:jc w:val="left"/>
        <w:rPr>
          <w:rStyle w:val="607"/>
          <w:rFonts w:hint="eastAsia" w:ascii="宋体" w:hAnsi="宋体" w:eastAsia="宋体" w:cs="宋体"/>
          <w:b w:val="0"/>
          <w:color w:val="auto"/>
          <w:kern w:val="18"/>
          <w:sz w:val="24"/>
          <w:szCs w:val="24"/>
          <w:highlight w:val="none"/>
        </w:rPr>
      </w:pPr>
      <w:r>
        <w:rPr>
          <w:rStyle w:val="607"/>
          <w:rFonts w:hint="eastAsia" w:ascii="宋体" w:hAnsi="宋体" w:eastAsia="宋体" w:cs="宋体"/>
          <w:b w:val="0"/>
          <w:color w:val="auto"/>
          <w:sz w:val="24"/>
          <w:szCs w:val="24"/>
          <w:highlight w:val="none"/>
          <w:lang w:val="zh-TW"/>
        </w:rPr>
        <w:t>1</w:t>
      </w:r>
      <w:r>
        <w:rPr>
          <w:rStyle w:val="607"/>
          <w:rFonts w:hint="eastAsia" w:ascii="宋体" w:hAnsi="宋体" w:eastAsia="宋体" w:cs="宋体"/>
          <w:b w:val="0"/>
          <w:color w:val="auto"/>
          <w:sz w:val="24"/>
          <w:szCs w:val="24"/>
          <w:highlight w:val="none"/>
        </w:rPr>
        <w:t>、根据《中华人民共和国政府采购法》、《政府采购货物和服务招标投标管理办法》（财政部</w:t>
      </w:r>
      <w:r>
        <w:rPr>
          <w:rStyle w:val="607"/>
          <w:rFonts w:hint="eastAsia" w:ascii="宋体" w:hAnsi="宋体" w:eastAsia="宋体" w:cs="宋体"/>
          <w:b w:val="0"/>
          <w:color w:val="auto"/>
          <w:kern w:val="18"/>
          <w:sz w:val="24"/>
          <w:szCs w:val="24"/>
          <w:highlight w:val="none"/>
        </w:rPr>
        <w:t>第87号令）及相关法规的规定，结合采购项目特点制定本评标办法。</w:t>
      </w:r>
    </w:p>
    <w:p>
      <w:pPr>
        <w:pStyle w:val="3"/>
        <w:kinsoku/>
        <w:overflowPunct/>
        <w:topLinePunct/>
        <w:bidi w:val="0"/>
        <w:adjustRightInd w:val="0"/>
        <w:snapToGrid w:val="0"/>
        <w:spacing w:line="400" w:lineRule="exact"/>
        <w:jc w:val="left"/>
        <w:rPr>
          <w:rStyle w:val="607"/>
          <w:rFonts w:hint="eastAsia" w:ascii="宋体" w:hAnsi="宋体" w:eastAsia="宋体" w:cs="宋体"/>
          <w:b w:val="0"/>
          <w:color w:val="auto"/>
          <w:sz w:val="24"/>
          <w:szCs w:val="24"/>
          <w:highlight w:val="none"/>
        </w:rPr>
      </w:pPr>
      <w:r>
        <w:rPr>
          <w:rStyle w:val="607"/>
          <w:rFonts w:hint="eastAsia" w:ascii="宋体" w:hAnsi="宋体" w:eastAsia="宋体" w:cs="宋体"/>
          <w:b w:val="0"/>
          <w:color w:val="auto"/>
          <w:sz w:val="24"/>
          <w:szCs w:val="24"/>
          <w:highlight w:val="none"/>
          <w:lang w:val="zh-TW"/>
        </w:rPr>
        <w:t>2</w:t>
      </w:r>
      <w:r>
        <w:rPr>
          <w:rStyle w:val="607"/>
          <w:rFonts w:hint="eastAsia" w:ascii="宋体" w:hAnsi="宋体" w:eastAsia="宋体" w:cs="宋体"/>
          <w:b w:val="0"/>
          <w:color w:val="auto"/>
          <w:sz w:val="24"/>
          <w:szCs w:val="24"/>
          <w:highlight w:val="none"/>
        </w:rPr>
        <w:t>、评标工作由采购代理机构负责组织，具体评标事务由评标委员会负责。</w:t>
      </w:r>
    </w:p>
    <w:p>
      <w:pPr>
        <w:pStyle w:val="3"/>
        <w:kinsoku/>
        <w:overflowPunct/>
        <w:topLinePunct/>
        <w:bidi w:val="0"/>
        <w:adjustRightInd w:val="0"/>
        <w:snapToGrid w:val="0"/>
        <w:spacing w:line="400" w:lineRule="exact"/>
        <w:ind w:firstLine="240" w:firstLineChars="100"/>
        <w:jc w:val="left"/>
        <w:rPr>
          <w:rStyle w:val="607"/>
          <w:rFonts w:hint="eastAsia" w:ascii="宋体" w:hAnsi="宋体" w:eastAsia="宋体" w:cs="宋体"/>
          <w:b w:val="0"/>
          <w:color w:val="auto"/>
          <w:sz w:val="24"/>
          <w:szCs w:val="24"/>
          <w:highlight w:val="none"/>
        </w:rPr>
      </w:pPr>
      <w:r>
        <w:rPr>
          <w:rStyle w:val="607"/>
          <w:rFonts w:hint="eastAsia" w:ascii="宋体" w:hAnsi="宋体" w:eastAsia="宋体" w:cs="宋体"/>
          <w:b w:val="0"/>
          <w:color w:val="auto"/>
          <w:sz w:val="24"/>
          <w:szCs w:val="24"/>
          <w:highlight w:val="none"/>
        </w:rPr>
        <w:t>（1）评标委员会由5人组成（由采购人代表和评标专家组成，采购人代表人数不得超过总评委人数的三分之一）。</w:t>
      </w:r>
    </w:p>
    <w:p>
      <w:pPr>
        <w:pStyle w:val="3"/>
        <w:kinsoku/>
        <w:overflowPunct/>
        <w:topLinePunct/>
        <w:bidi w:val="0"/>
        <w:adjustRightInd w:val="0"/>
        <w:snapToGrid w:val="0"/>
        <w:spacing w:line="400" w:lineRule="exact"/>
        <w:ind w:left="244" w:leftChars="87" w:firstLine="240" w:firstLineChars="100"/>
        <w:jc w:val="left"/>
        <w:rPr>
          <w:rStyle w:val="607"/>
          <w:rFonts w:hint="eastAsia" w:ascii="宋体" w:hAnsi="宋体" w:eastAsia="宋体" w:cs="宋体"/>
          <w:b w:val="0"/>
          <w:color w:val="auto"/>
          <w:sz w:val="24"/>
          <w:szCs w:val="24"/>
          <w:highlight w:val="none"/>
        </w:rPr>
      </w:pPr>
      <w:r>
        <w:rPr>
          <w:rStyle w:val="607"/>
          <w:rFonts w:hint="eastAsia" w:ascii="宋体" w:hAnsi="宋体" w:eastAsia="宋体" w:cs="宋体"/>
          <w:b w:val="0"/>
          <w:color w:val="auto"/>
          <w:sz w:val="24"/>
          <w:szCs w:val="24"/>
          <w:highlight w:val="none"/>
        </w:rPr>
        <w:t>（2）评标专家确定方式：按相关规定从专家库中抽取。</w:t>
      </w:r>
    </w:p>
    <w:p>
      <w:pPr>
        <w:pStyle w:val="3"/>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lang w:val="zh-TW"/>
        </w:rPr>
        <w:t>3</w:t>
      </w:r>
      <w:r>
        <w:rPr>
          <w:rStyle w:val="607"/>
          <w:rFonts w:hint="eastAsia" w:ascii="宋体" w:hAnsi="宋体" w:eastAsia="宋体" w:cs="宋体"/>
          <w:b w:val="0"/>
          <w:color w:val="auto"/>
          <w:sz w:val="24"/>
          <w:szCs w:val="24"/>
          <w:highlight w:val="none"/>
        </w:rPr>
        <w:t>、评标工作应遵循公平、公正、科学及择优的原则，并以相同的评标程序和标准对待所有的投标人。</w:t>
      </w:r>
    </w:p>
    <w:p>
      <w:pPr>
        <w:pStyle w:val="3"/>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lang w:val="zh-TW"/>
        </w:rPr>
        <w:t>4</w:t>
      </w:r>
      <w:r>
        <w:rPr>
          <w:rStyle w:val="607"/>
          <w:rFonts w:hint="eastAsia" w:ascii="宋体" w:hAnsi="宋体" w:eastAsia="宋体" w:cs="宋体"/>
          <w:b w:val="0"/>
          <w:color w:val="auto"/>
          <w:sz w:val="24"/>
          <w:szCs w:val="24"/>
          <w:highlight w:val="none"/>
        </w:rPr>
        <w:t>、评标委员会按照采购项目文件规定的评标方法和标准进行评标，并独立履行下列职责：</w:t>
      </w:r>
    </w:p>
    <w:p>
      <w:pPr>
        <w:pStyle w:val="3"/>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rPr>
        <w:t xml:space="preserve"> （</w:t>
      </w:r>
      <w:r>
        <w:rPr>
          <w:rStyle w:val="607"/>
          <w:rFonts w:hint="eastAsia" w:ascii="宋体" w:hAnsi="宋体" w:eastAsia="宋体" w:cs="宋体"/>
          <w:b w:val="0"/>
          <w:color w:val="auto"/>
          <w:sz w:val="24"/>
          <w:szCs w:val="24"/>
          <w:highlight w:val="none"/>
          <w:lang w:val="zh-TW"/>
        </w:rPr>
        <w:t>1</w:t>
      </w:r>
      <w:r>
        <w:rPr>
          <w:rStyle w:val="607"/>
          <w:rFonts w:hint="eastAsia" w:ascii="宋体" w:hAnsi="宋体" w:eastAsia="宋体" w:cs="宋体"/>
          <w:b w:val="0"/>
          <w:color w:val="auto"/>
          <w:sz w:val="24"/>
          <w:szCs w:val="24"/>
          <w:highlight w:val="none"/>
        </w:rPr>
        <w:t>）审查投标文件是否符合招标文件要求，并作出评价；</w:t>
      </w:r>
    </w:p>
    <w:p>
      <w:pPr>
        <w:pStyle w:val="3"/>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rPr>
        <w:t xml:space="preserve"> （</w:t>
      </w:r>
      <w:r>
        <w:rPr>
          <w:rStyle w:val="607"/>
          <w:rFonts w:hint="eastAsia" w:ascii="宋体" w:hAnsi="宋体" w:eastAsia="宋体" w:cs="宋体"/>
          <w:b w:val="0"/>
          <w:color w:val="auto"/>
          <w:sz w:val="24"/>
          <w:szCs w:val="24"/>
          <w:highlight w:val="none"/>
          <w:lang w:val="zh-TW"/>
        </w:rPr>
        <w:t>2</w:t>
      </w:r>
      <w:r>
        <w:rPr>
          <w:rStyle w:val="607"/>
          <w:rFonts w:hint="eastAsia" w:ascii="宋体" w:hAnsi="宋体" w:eastAsia="宋体" w:cs="宋体"/>
          <w:b w:val="0"/>
          <w:color w:val="auto"/>
          <w:sz w:val="24"/>
          <w:szCs w:val="24"/>
          <w:highlight w:val="none"/>
        </w:rPr>
        <w:t>）要求投标投标人对投标文件有关事项作出解释或者澄清；</w:t>
      </w:r>
    </w:p>
    <w:p>
      <w:pPr>
        <w:pStyle w:val="3"/>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rPr>
        <w:t xml:space="preserve"> （</w:t>
      </w:r>
      <w:r>
        <w:rPr>
          <w:rStyle w:val="607"/>
          <w:rFonts w:hint="eastAsia" w:ascii="宋体" w:hAnsi="宋体" w:eastAsia="宋体" w:cs="宋体"/>
          <w:b w:val="0"/>
          <w:color w:val="auto"/>
          <w:sz w:val="24"/>
          <w:szCs w:val="24"/>
          <w:highlight w:val="none"/>
          <w:lang w:val="zh-TW"/>
        </w:rPr>
        <w:t>3</w:t>
      </w:r>
      <w:r>
        <w:rPr>
          <w:rStyle w:val="607"/>
          <w:rFonts w:hint="eastAsia" w:ascii="宋体" w:hAnsi="宋体" w:eastAsia="宋体" w:cs="宋体"/>
          <w:b w:val="0"/>
          <w:color w:val="auto"/>
          <w:sz w:val="24"/>
          <w:szCs w:val="24"/>
          <w:highlight w:val="none"/>
        </w:rPr>
        <w:t>）推荐中标候选人名单；</w:t>
      </w:r>
    </w:p>
    <w:p>
      <w:pPr>
        <w:pStyle w:val="3"/>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rPr>
        <w:t xml:space="preserve"> （</w:t>
      </w:r>
      <w:r>
        <w:rPr>
          <w:rStyle w:val="607"/>
          <w:rFonts w:hint="eastAsia" w:ascii="宋体" w:hAnsi="宋体" w:eastAsia="宋体" w:cs="宋体"/>
          <w:b w:val="0"/>
          <w:color w:val="auto"/>
          <w:sz w:val="24"/>
          <w:szCs w:val="24"/>
          <w:highlight w:val="none"/>
          <w:lang w:val="zh-TW"/>
        </w:rPr>
        <w:t>4</w:t>
      </w:r>
      <w:r>
        <w:rPr>
          <w:rStyle w:val="607"/>
          <w:rFonts w:hint="eastAsia" w:ascii="宋体" w:hAnsi="宋体" w:eastAsia="宋体" w:cs="宋体"/>
          <w:b w:val="0"/>
          <w:color w:val="auto"/>
          <w:sz w:val="24"/>
          <w:szCs w:val="24"/>
          <w:highlight w:val="none"/>
        </w:rPr>
        <w:t>）向采购代理机构或者有关部门报告非法干预评标工作的行为。</w:t>
      </w:r>
    </w:p>
    <w:p>
      <w:pPr>
        <w:pStyle w:val="3"/>
        <w:kinsoku/>
        <w:overflowPunct/>
        <w:topLinePunct/>
        <w:bidi w:val="0"/>
        <w:adjustRightInd w:val="0"/>
        <w:snapToGrid w:val="0"/>
        <w:spacing w:line="400" w:lineRule="exact"/>
        <w:ind w:left="4" w:hanging="4"/>
        <w:jc w:val="left"/>
        <w:rPr>
          <w:rStyle w:val="607"/>
          <w:rFonts w:hint="eastAsia" w:ascii="宋体" w:hAnsi="宋体" w:eastAsia="宋体" w:cs="宋体"/>
          <w:color w:val="auto"/>
          <w:sz w:val="24"/>
          <w:szCs w:val="24"/>
          <w:highlight w:val="none"/>
          <w:lang w:eastAsia="zh-CN"/>
        </w:rPr>
      </w:pPr>
      <w:r>
        <w:rPr>
          <w:rStyle w:val="607"/>
          <w:rFonts w:hint="eastAsia" w:ascii="宋体" w:hAnsi="宋体" w:eastAsia="宋体" w:cs="宋体"/>
          <w:color w:val="auto"/>
          <w:sz w:val="24"/>
          <w:szCs w:val="24"/>
          <w:highlight w:val="none"/>
        </w:rPr>
        <w:t>二、评标程序</w:t>
      </w:r>
    </w:p>
    <w:p>
      <w:pPr>
        <w:pStyle w:val="3"/>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rPr>
        <w:t>根据《政府采购货物和服务招标投标管理办法》的规定，评标按照下列工作程序进行：</w:t>
      </w:r>
    </w:p>
    <w:p>
      <w:pPr>
        <w:pStyle w:val="3"/>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val="zh-TW" w:eastAsia="zh-CN"/>
        </w:rPr>
      </w:pPr>
      <w:r>
        <w:rPr>
          <w:rStyle w:val="607"/>
          <w:rFonts w:hint="eastAsia" w:ascii="宋体" w:hAnsi="宋体" w:eastAsia="宋体" w:cs="宋体"/>
          <w:b w:val="0"/>
          <w:color w:val="auto"/>
          <w:sz w:val="24"/>
          <w:szCs w:val="24"/>
          <w:highlight w:val="none"/>
          <w:lang w:val="zh-TW"/>
        </w:rPr>
        <w:t>1、投标文件商务技术部分评审；</w:t>
      </w:r>
    </w:p>
    <w:p>
      <w:pPr>
        <w:pStyle w:val="3"/>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val="zh-TW" w:eastAsia="zh-CN"/>
        </w:rPr>
      </w:pPr>
      <w:r>
        <w:rPr>
          <w:rStyle w:val="607"/>
          <w:rFonts w:hint="eastAsia" w:ascii="宋体" w:hAnsi="宋体" w:eastAsia="宋体" w:cs="宋体"/>
          <w:b w:val="0"/>
          <w:color w:val="auto"/>
          <w:sz w:val="24"/>
          <w:szCs w:val="24"/>
          <w:highlight w:val="none"/>
          <w:lang w:val="zh-TW"/>
        </w:rPr>
        <w:t>2、投标文件报价部分审查；</w:t>
      </w:r>
    </w:p>
    <w:p>
      <w:pPr>
        <w:pStyle w:val="3"/>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val="zh-TW" w:eastAsia="zh-CN"/>
        </w:rPr>
      </w:pPr>
      <w:r>
        <w:rPr>
          <w:rStyle w:val="607"/>
          <w:rFonts w:hint="eastAsia" w:ascii="宋体" w:hAnsi="宋体" w:eastAsia="宋体" w:cs="宋体"/>
          <w:b w:val="0"/>
          <w:color w:val="auto"/>
          <w:sz w:val="24"/>
          <w:szCs w:val="24"/>
          <w:highlight w:val="none"/>
          <w:lang w:val="zh-TW"/>
        </w:rPr>
        <w:t>3、推荐中标候选人名单，编写评标报告。</w:t>
      </w:r>
    </w:p>
    <w:p>
      <w:pPr>
        <w:pStyle w:val="3"/>
        <w:kinsoku/>
        <w:overflowPunct/>
        <w:topLinePunct/>
        <w:bidi w:val="0"/>
        <w:adjustRightInd w:val="0"/>
        <w:snapToGrid w:val="0"/>
        <w:spacing w:line="400" w:lineRule="exact"/>
        <w:ind w:left="4" w:hanging="4"/>
        <w:jc w:val="left"/>
        <w:rPr>
          <w:rStyle w:val="607"/>
          <w:rFonts w:hint="eastAsia" w:ascii="宋体" w:hAnsi="宋体" w:eastAsia="宋体" w:cs="宋体"/>
          <w:color w:val="auto"/>
          <w:sz w:val="24"/>
          <w:szCs w:val="24"/>
          <w:highlight w:val="none"/>
          <w:lang w:eastAsia="zh-CN"/>
        </w:rPr>
      </w:pPr>
      <w:r>
        <w:rPr>
          <w:rStyle w:val="607"/>
          <w:rFonts w:hint="eastAsia" w:ascii="宋体" w:hAnsi="宋体" w:eastAsia="宋体" w:cs="宋体"/>
          <w:color w:val="auto"/>
          <w:sz w:val="24"/>
          <w:szCs w:val="24"/>
          <w:highlight w:val="none"/>
        </w:rPr>
        <w:t>三、定标及定标程序</w:t>
      </w:r>
    </w:p>
    <w:p>
      <w:pPr>
        <w:pStyle w:val="3"/>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val="zh-TW" w:eastAsia="zh-CN"/>
        </w:rPr>
      </w:pPr>
      <w:r>
        <w:rPr>
          <w:rStyle w:val="607"/>
          <w:rFonts w:hint="eastAsia" w:ascii="宋体" w:hAnsi="宋体" w:eastAsia="宋体" w:cs="宋体"/>
          <w:b w:val="0"/>
          <w:color w:val="auto"/>
          <w:sz w:val="24"/>
          <w:szCs w:val="24"/>
          <w:highlight w:val="none"/>
          <w:lang w:val="zh-TW"/>
        </w:rPr>
        <w:t>1、定标原则</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评标委员会根据以下规定确定投标人排名并推荐中标候选人。</w:t>
      </w:r>
    </w:p>
    <w:p>
      <w:pPr>
        <w:pStyle w:val="3"/>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rPr>
      </w:pPr>
      <w:r>
        <w:rPr>
          <w:rStyle w:val="607"/>
          <w:rFonts w:hint="eastAsia" w:ascii="宋体" w:hAnsi="宋体" w:eastAsia="宋体" w:cs="宋体"/>
          <w:b w:val="0"/>
          <w:color w:val="auto"/>
          <w:sz w:val="24"/>
          <w:szCs w:val="24"/>
          <w:highlight w:val="none"/>
          <w:lang w:val="zh-TW"/>
        </w:rPr>
        <w:t>2、定标程序</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2.</w:t>
      </w:r>
      <w:r>
        <w:rPr>
          <w:rFonts w:hint="eastAsia" w:ascii="宋体" w:hAnsi="宋体" w:eastAsia="宋体" w:cs="宋体"/>
          <w:color w:val="auto"/>
          <w:sz w:val="24"/>
          <w:szCs w:val="22"/>
          <w:highlight w:val="none"/>
        </w:rPr>
        <w:t>1、评标委员会根据各投标人的综合得分（商务技术分与报价得分之和）从高到低依次进行排名排序。特殊情形按以下原则处理：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（1）综合得分相同的，按投标报价低的优先原则确定排名；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（2）综合得分和投标报价均相同的，按</w:t>
      </w:r>
      <w:r>
        <w:rPr>
          <w:rFonts w:hint="eastAsia" w:ascii="宋体" w:hAnsi="宋体" w:eastAsia="宋体" w:cs="宋体"/>
          <w:color w:val="auto"/>
          <w:sz w:val="24"/>
          <w:szCs w:val="22"/>
          <w:highlight w:val="none"/>
          <w:lang w:eastAsia="zh-CN"/>
        </w:rPr>
        <w:t>商务技术</w:t>
      </w:r>
      <w:r>
        <w:rPr>
          <w:rFonts w:hint="eastAsia" w:ascii="宋体" w:hAnsi="宋体" w:eastAsia="宋体" w:cs="宋体"/>
          <w:color w:val="auto"/>
          <w:sz w:val="24"/>
          <w:szCs w:val="22"/>
          <w:highlight w:val="none"/>
        </w:rPr>
        <w:t>得分从高到低确定排名；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（3）综合得分、投标报价和</w:t>
      </w:r>
      <w:r>
        <w:rPr>
          <w:rFonts w:hint="eastAsia" w:ascii="宋体" w:hAnsi="宋体" w:eastAsia="宋体" w:cs="宋体"/>
          <w:color w:val="auto"/>
          <w:sz w:val="24"/>
          <w:szCs w:val="22"/>
          <w:highlight w:val="none"/>
          <w:lang w:eastAsia="zh-CN"/>
        </w:rPr>
        <w:t>商务技术</w:t>
      </w:r>
      <w:r>
        <w:rPr>
          <w:rFonts w:hint="eastAsia" w:ascii="宋体" w:hAnsi="宋体" w:eastAsia="宋体" w:cs="宋体"/>
          <w:color w:val="auto"/>
          <w:sz w:val="24"/>
          <w:szCs w:val="22"/>
          <w:highlight w:val="none"/>
        </w:rPr>
        <w:t>得分均相同的由评标委员会全体成员记名投票按少数服从多数的原则确定排名。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2.</w:t>
      </w:r>
      <w:r>
        <w:rPr>
          <w:rFonts w:hint="eastAsia" w:ascii="宋体" w:hAnsi="宋体" w:eastAsia="宋体" w:cs="宋体"/>
          <w:color w:val="auto"/>
          <w:sz w:val="24"/>
          <w:szCs w:val="22"/>
          <w:highlight w:val="none"/>
        </w:rPr>
        <w:t>2、根据最终得分排序，通过书面评审报告的形式，向采购人推荐排名第一的投标人为中标候选人。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2.</w:t>
      </w:r>
      <w:r>
        <w:rPr>
          <w:rFonts w:hint="eastAsia" w:ascii="宋体" w:hAnsi="宋体" w:eastAsia="宋体" w:cs="宋体"/>
          <w:color w:val="auto"/>
          <w:sz w:val="24"/>
          <w:szCs w:val="22"/>
          <w:highlight w:val="none"/>
        </w:rPr>
        <w:t>3、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pStyle w:val="53"/>
        <w:kinsoku/>
        <w:overflowPunct/>
        <w:bidi w:val="0"/>
        <w:spacing w:line="400" w:lineRule="exact"/>
        <w:ind w:firstLine="240" w:firstLineChars="100"/>
        <w:jc w:val="left"/>
        <w:rPr>
          <w:rStyle w:val="607"/>
          <w:rFonts w:hint="eastAsia" w:ascii="宋体" w:hAnsi="宋体" w:eastAsia="宋体" w:cs="宋体"/>
          <w:color w:val="auto"/>
          <w:sz w:val="24"/>
          <w:szCs w:val="24"/>
          <w:highlight w:val="none"/>
          <w:lang w:eastAsia="zh-CN"/>
        </w:rPr>
      </w:pPr>
      <w:r>
        <w:rPr>
          <w:rStyle w:val="607"/>
          <w:rFonts w:hint="eastAsia" w:ascii="宋体" w:hAnsi="宋体" w:eastAsia="宋体" w:cs="宋体"/>
          <w:color w:val="auto"/>
          <w:sz w:val="24"/>
          <w:szCs w:val="24"/>
          <w:highlight w:val="none"/>
          <w:lang w:val="en-US" w:eastAsia="zh-CN"/>
        </w:rPr>
        <w:t>2.4、</w:t>
      </w:r>
      <w:r>
        <w:rPr>
          <w:rStyle w:val="607"/>
          <w:rFonts w:hint="eastAsia" w:ascii="宋体" w:hAnsi="宋体" w:eastAsia="宋体" w:cs="宋体"/>
          <w:color w:val="auto"/>
          <w:sz w:val="24"/>
          <w:szCs w:val="24"/>
          <w:highlight w:val="none"/>
        </w:rPr>
        <w:t>评定结果经采购人确定后，采购人在中标人确定之日起2个工作日内将以书面形式发出《中标通知书》，并在浙江政府采购网公告中标结果。</w:t>
      </w:r>
    </w:p>
    <w:p>
      <w:pPr>
        <w:pStyle w:val="53"/>
        <w:kinsoku/>
        <w:overflowPunct/>
        <w:bidi w:val="0"/>
        <w:spacing w:line="400" w:lineRule="exact"/>
        <w:ind w:firstLine="240" w:firstLineChars="100"/>
        <w:jc w:val="left"/>
        <w:rPr>
          <w:rFonts w:hint="eastAsia" w:ascii="宋体" w:hAnsi="宋体" w:eastAsia="宋体" w:cs="宋体"/>
          <w:color w:val="auto"/>
          <w:sz w:val="24"/>
          <w:szCs w:val="22"/>
          <w:highlight w:val="none"/>
        </w:rPr>
      </w:pPr>
      <w:r>
        <w:rPr>
          <w:rStyle w:val="607"/>
          <w:rFonts w:hint="eastAsia" w:ascii="宋体" w:hAnsi="宋体" w:eastAsia="宋体" w:cs="宋体"/>
          <w:color w:val="auto"/>
          <w:sz w:val="24"/>
          <w:szCs w:val="24"/>
          <w:highlight w:val="none"/>
          <w:lang w:val="en-US" w:eastAsia="zh-CN"/>
        </w:rPr>
        <w:t>2.5、</w:t>
      </w:r>
      <w:r>
        <w:rPr>
          <w:rStyle w:val="607"/>
          <w:rFonts w:hint="eastAsia" w:ascii="宋体" w:hAnsi="宋体" w:eastAsia="宋体" w:cs="宋体"/>
          <w:color w:val="auto"/>
          <w:sz w:val="24"/>
          <w:szCs w:val="24"/>
          <w:highlight w:val="none"/>
        </w:rPr>
        <w:t>采购代理机构不解释中标或落标原因，不退回投标文件和其他投标资料。</w:t>
      </w:r>
    </w:p>
    <w:p>
      <w:pPr>
        <w:pStyle w:val="53"/>
        <w:kinsoku/>
        <w:overflowPunct/>
        <w:bidi w:val="0"/>
        <w:spacing w:line="400" w:lineRule="exact"/>
        <w:ind w:firstLine="0" w:firstLineChars="0"/>
        <w:jc w:val="left"/>
        <w:rPr>
          <w:rStyle w:val="607"/>
          <w:rFonts w:hint="eastAsia" w:ascii="宋体" w:hAnsi="宋体" w:eastAsia="宋体" w:cs="宋体"/>
          <w:b/>
          <w:color w:val="auto"/>
          <w:sz w:val="24"/>
          <w:szCs w:val="24"/>
          <w:highlight w:val="none"/>
        </w:rPr>
      </w:pPr>
      <w:r>
        <w:rPr>
          <w:rStyle w:val="607"/>
          <w:rFonts w:hint="eastAsia" w:ascii="宋体" w:hAnsi="宋体" w:eastAsia="宋体" w:cs="宋体"/>
          <w:b/>
          <w:color w:val="auto"/>
          <w:sz w:val="24"/>
          <w:szCs w:val="24"/>
          <w:highlight w:val="none"/>
        </w:rPr>
        <w:t>四、评标方法</w:t>
      </w:r>
    </w:p>
    <w:p>
      <w:pPr>
        <w:pStyle w:val="53"/>
        <w:kinsoku/>
        <w:overflowPunct/>
        <w:bidi w:val="0"/>
        <w:spacing w:line="400" w:lineRule="exact"/>
        <w:ind w:firstLine="240" w:firstLineChars="100"/>
        <w:jc w:val="left"/>
        <w:rPr>
          <w:rStyle w:val="607"/>
          <w:rFonts w:hint="eastAsia" w:ascii="宋体" w:hAnsi="宋体" w:eastAsia="宋体" w:cs="宋体"/>
          <w:color w:val="auto"/>
          <w:sz w:val="24"/>
          <w:szCs w:val="24"/>
          <w:highlight w:val="none"/>
          <w:lang w:val="zh-TW" w:eastAsia="zh-CN"/>
        </w:rPr>
      </w:pPr>
      <w:r>
        <w:rPr>
          <w:rStyle w:val="607"/>
          <w:rFonts w:hint="eastAsia" w:ascii="宋体" w:hAnsi="宋体" w:eastAsia="宋体" w:cs="宋体"/>
          <w:color w:val="auto"/>
          <w:sz w:val="24"/>
          <w:szCs w:val="24"/>
          <w:highlight w:val="none"/>
          <w:lang w:val="zh-TW"/>
        </w:rPr>
        <w:t>1</w:t>
      </w:r>
      <w:r>
        <w:rPr>
          <w:rStyle w:val="607"/>
          <w:rFonts w:hint="eastAsia" w:ascii="宋体" w:hAnsi="宋体" w:eastAsia="宋体" w:cs="宋体"/>
          <w:color w:val="auto"/>
          <w:sz w:val="24"/>
          <w:szCs w:val="24"/>
          <w:highlight w:val="none"/>
        </w:rPr>
        <w:t>、本次评标采用综合评分法</w:t>
      </w:r>
      <w:r>
        <w:rPr>
          <w:rStyle w:val="607"/>
          <w:rFonts w:hint="eastAsia" w:ascii="宋体" w:hAnsi="宋体" w:eastAsia="宋体" w:cs="宋体"/>
          <w:color w:val="auto"/>
          <w:sz w:val="24"/>
          <w:szCs w:val="24"/>
          <w:highlight w:val="none"/>
          <w:lang w:eastAsia="zh-CN"/>
        </w:rPr>
        <w:t>，即在</w:t>
      </w:r>
      <w:r>
        <w:rPr>
          <w:rStyle w:val="607"/>
          <w:rFonts w:hint="eastAsia" w:ascii="宋体" w:hAnsi="宋体" w:eastAsia="宋体" w:cs="宋体"/>
          <w:color w:val="auto"/>
          <w:sz w:val="24"/>
          <w:szCs w:val="24"/>
          <w:highlight w:val="none"/>
          <w:lang w:val="en-US" w:eastAsia="zh-CN"/>
        </w:rPr>
        <w:t>投标</w:t>
      </w:r>
      <w:r>
        <w:rPr>
          <w:rStyle w:val="607"/>
          <w:rFonts w:hint="eastAsia" w:ascii="宋体" w:hAnsi="宋体" w:eastAsia="宋体" w:cs="宋体"/>
          <w:color w:val="auto"/>
          <w:sz w:val="24"/>
          <w:szCs w:val="24"/>
          <w:highlight w:val="none"/>
          <w:lang w:eastAsia="zh-CN"/>
        </w:rPr>
        <w:t>文件满足</w:t>
      </w:r>
      <w:r>
        <w:rPr>
          <w:rStyle w:val="607"/>
          <w:rFonts w:hint="eastAsia" w:ascii="宋体" w:hAnsi="宋体" w:eastAsia="宋体" w:cs="宋体"/>
          <w:color w:val="auto"/>
          <w:sz w:val="24"/>
          <w:szCs w:val="24"/>
          <w:highlight w:val="none"/>
          <w:lang w:val="en-US" w:eastAsia="zh-CN"/>
        </w:rPr>
        <w:t>招标</w:t>
      </w:r>
      <w:r>
        <w:rPr>
          <w:rStyle w:val="607"/>
          <w:rFonts w:hint="eastAsia" w:ascii="宋体" w:hAnsi="宋体" w:eastAsia="宋体" w:cs="宋体"/>
          <w:color w:val="auto"/>
          <w:sz w:val="24"/>
          <w:szCs w:val="24"/>
          <w:highlight w:val="none"/>
          <w:lang w:eastAsia="zh-CN"/>
        </w:rPr>
        <w:t>文件全部实质性要求的前提下，按照评审因素的量化指标评审得分从高到低的顺序推荐投标人为第一、第二、……</w:t>
      </w:r>
      <w:r>
        <w:rPr>
          <w:rStyle w:val="607"/>
          <w:rFonts w:hint="eastAsia" w:ascii="宋体" w:hAnsi="宋体" w:eastAsia="宋体" w:cs="宋体"/>
          <w:color w:val="auto"/>
          <w:sz w:val="24"/>
          <w:szCs w:val="24"/>
          <w:highlight w:val="none"/>
          <w:lang w:val="en-US" w:eastAsia="zh-CN"/>
        </w:rPr>
        <w:t>中标</w:t>
      </w:r>
      <w:r>
        <w:rPr>
          <w:rStyle w:val="607"/>
          <w:rFonts w:hint="eastAsia" w:ascii="宋体" w:hAnsi="宋体" w:eastAsia="宋体" w:cs="宋体"/>
          <w:color w:val="auto"/>
          <w:sz w:val="24"/>
          <w:szCs w:val="24"/>
          <w:highlight w:val="none"/>
          <w:lang w:eastAsia="zh-CN"/>
        </w:rPr>
        <w:t>候选人的</w:t>
      </w:r>
      <w:r>
        <w:rPr>
          <w:rStyle w:val="607"/>
          <w:rFonts w:hint="eastAsia" w:ascii="宋体" w:hAnsi="宋体" w:eastAsia="宋体" w:cs="宋体"/>
          <w:color w:val="auto"/>
          <w:sz w:val="24"/>
          <w:szCs w:val="24"/>
          <w:highlight w:val="none"/>
          <w:lang w:val="en-US" w:eastAsia="zh-CN"/>
        </w:rPr>
        <w:t>评标</w:t>
      </w:r>
      <w:r>
        <w:rPr>
          <w:rStyle w:val="607"/>
          <w:rFonts w:hint="eastAsia" w:ascii="宋体" w:hAnsi="宋体" w:eastAsia="宋体" w:cs="宋体"/>
          <w:color w:val="auto"/>
          <w:sz w:val="24"/>
          <w:szCs w:val="24"/>
          <w:highlight w:val="none"/>
          <w:lang w:eastAsia="zh-CN"/>
        </w:rPr>
        <w:t>办法。</w:t>
      </w:r>
    </w:p>
    <w:p>
      <w:pPr>
        <w:pStyle w:val="53"/>
        <w:kinsoku/>
        <w:overflowPunct/>
        <w:bidi w:val="0"/>
        <w:spacing w:line="400" w:lineRule="exact"/>
        <w:ind w:firstLine="240" w:firstLineChars="100"/>
        <w:rPr>
          <w:rStyle w:val="607"/>
          <w:rFonts w:hint="eastAsia" w:ascii="宋体" w:hAnsi="宋体" w:eastAsia="宋体" w:cs="宋体"/>
          <w:color w:val="auto"/>
          <w:sz w:val="24"/>
          <w:szCs w:val="24"/>
          <w:highlight w:val="none"/>
        </w:rPr>
      </w:pPr>
      <w:r>
        <w:rPr>
          <w:rStyle w:val="607"/>
          <w:rFonts w:hint="eastAsia" w:ascii="宋体" w:hAnsi="宋体" w:eastAsia="宋体" w:cs="宋体"/>
          <w:color w:val="auto"/>
          <w:sz w:val="24"/>
          <w:szCs w:val="24"/>
          <w:highlight w:val="none"/>
          <w:lang w:val="zh-TW"/>
        </w:rPr>
        <w:t>2</w:t>
      </w:r>
      <w:r>
        <w:rPr>
          <w:rStyle w:val="607"/>
          <w:rFonts w:hint="eastAsia" w:ascii="宋体" w:hAnsi="宋体" w:eastAsia="宋体" w:cs="宋体"/>
          <w:color w:val="auto"/>
          <w:sz w:val="24"/>
          <w:szCs w:val="24"/>
          <w:highlight w:val="none"/>
        </w:rPr>
        <w:t>、本项目为商务技术分</w:t>
      </w:r>
      <w:r>
        <w:rPr>
          <w:rStyle w:val="607"/>
          <w:rFonts w:hint="eastAsia" w:ascii="宋体" w:hAnsi="宋体" w:eastAsia="宋体" w:cs="宋体"/>
          <w:color w:val="auto"/>
          <w:sz w:val="24"/>
          <w:szCs w:val="24"/>
          <w:highlight w:val="none"/>
          <w:lang w:val="en-US" w:eastAsia="zh-CN"/>
        </w:rPr>
        <w:t>70</w:t>
      </w:r>
      <w:r>
        <w:rPr>
          <w:rStyle w:val="607"/>
          <w:rFonts w:hint="eastAsia" w:ascii="宋体" w:hAnsi="宋体" w:eastAsia="宋体" w:cs="宋体"/>
          <w:color w:val="auto"/>
          <w:sz w:val="24"/>
          <w:szCs w:val="24"/>
          <w:highlight w:val="none"/>
        </w:rPr>
        <w:t>分和报价分</w:t>
      </w:r>
      <w:r>
        <w:rPr>
          <w:rStyle w:val="607"/>
          <w:rFonts w:hint="eastAsia" w:ascii="宋体" w:hAnsi="宋体" w:eastAsia="宋体" w:cs="宋体"/>
          <w:color w:val="auto"/>
          <w:sz w:val="24"/>
          <w:szCs w:val="24"/>
          <w:highlight w:val="none"/>
          <w:lang w:val="en-US" w:eastAsia="zh-CN"/>
        </w:rPr>
        <w:t>30</w:t>
      </w:r>
      <w:r>
        <w:rPr>
          <w:rStyle w:val="607"/>
          <w:rFonts w:hint="eastAsia" w:ascii="宋体" w:hAnsi="宋体" w:eastAsia="宋体" w:cs="宋体"/>
          <w:color w:val="auto"/>
          <w:sz w:val="24"/>
          <w:szCs w:val="24"/>
          <w:highlight w:val="none"/>
        </w:rPr>
        <w:t>合计评分，满分为</w:t>
      </w:r>
      <w:r>
        <w:rPr>
          <w:rStyle w:val="607"/>
          <w:rFonts w:hint="eastAsia" w:ascii="宋体" w:hAnsi="宋体" w:eastAsia="宋体" w:cs="宋体"/>
          <w:color w:val="auto"/>
          <w:sz w:val="24"/>
          <w:szCs w:val="24"/>
          <w:highlight w:val="none"/>
          <w:lang w:val="zh-TW"/>
        </w:rPr>
        <w:t>100</w:t>
      </w:r>
      <w:r>
        <w:rPr>
          <w:rStyle w:val="607"/>
          <w:rFonts w:hint="eastAsia" w:ascii="宋体" w:hAnsi="宋体" w:eastAsia="宋体" w:cs="宋体"/>
          <w:color w:val="auto"/>
          <w:sz w:val="24"/>
          <w:szCs w:val="24"/>
          <w:highlight w:val="none"/>
        </w:rPr>
        <w:t>分。</w:t>
      </w:r>
    </w:p>
    <w:p>
      <w:pPr>
        <w:pStyle w:val="53"/>
        <w:keepNext/>
        <w:keepLines/>
        <w:kinsoku/>
        <w:overflowPunct/>
        <w:bidi w:val="0"/>
        <w:adjustRightInd w:val="0"/>
        <w:snapToGrid w:val="0"/>
        <w:spacing w:line="400" w:lineRule="exact"/>
        <w:ind w:firstLine="0" w:firstLineChars="0"/>
        <w:jc w:val="left"/>
        <w:rPr>
          <w:rStyle w:val="607"/>
          <w:rFonts w:hint="eastAsia" w:ascii="宋体" w:hAnsi="宋体" w:eastAsia="宋体" w:cs="宋体"/>
          <w:bCs/>
          <w:color w:val="auto"/>
          <w:sz w:val="24"/>
          <w:szCs w:val="24"/>
          <w:highlight w:val="none"/>
        </w:rPr>
      </w:pPr>
      <w:r>
        <w:rPr>
          <w:rStyle w:val="607"/>
          <w:rFonts w:hint="eastAsia" w:ascii="宋体" w:hAnsi="宋体" w:eastAsia="宋体" w:cs="宋体"/>
          <w:b/>
          <w:color w:val="auto"/>
          <w:sz w:val="24"/>
          <w:szCs w:val="24"/>
          <w:highlight w:val="none"/>
        </w:rPr>
        <w:t>五、评标细则及标准</w:t>
      </w:r>
    </w:p>
    <w:p>
      <w:pPr>
        <w:kinsoku/>
        <w:overflowPunct/>
        <w:bidi w:val="0"/>
        <w:snapToGrid w:val="0"/>
        <w:spacing w:line="400" w:lineRule="exact"/>
        <w:ind w:firstLine="241" w:firstLineChars="100"/>
        <w:rPr>
          <w:rStyle w:val="608"/>
          <w:rFonts w:hint="eastAsia" w:ascii="宋体" w:hAnsi="宋体" w:eastAsia="宋体" w:cs="宋体"/>
          <w:b/>
          <w:bCs/>
          <w:color w:val="auto"/>
          <w:sz w:val="24"/>
          <w:szCs w:val="24"/>
          <w:highlight w:val="none"/>
        </w:rPr>
      </w:pPr>
      <w:r>
        <w:rPr>
          <w:rStyle w:val="607"/>
          <w:rFonts w:hint="eastAsia" w:ascii="宋体" w:hAnsi="宋体" w:eastAsia="宋体" w:cs="宋体"/>
          <w:b/>
          <w:color w:val="auto"/>
          <w:sz w:val="24"/>
          <w:szCs w:val="24"/>
          <w:highlight w:val="none"/>
        </w:rPr>
        <w:t>1</w:t>
      </w:r>
      <w:r>
        <w:rPr>
          <w:rStyle w:val="608"/>
          <w:rFonts w:hint="eastAsia" w:ascii="宋体" w:hAnsi="宋体" w:eastAsia="宋体" w:cs="宋体"/>
          <w:b/>
          <w:bCs/>
          <w:color w:val="auto"/>
          <w:sz w:val="24"/>
          <w:szCs w:val="24"/>
          <w:highlight w:val="none"/>
        </w:rPr>
        <w:t>、在投标文件评审过程中，如果出现评标委员会成员意见不一致的情况，按照少数服从多数的原则确定。</w:t>
      </w:r>
    </w:p>
    <w:p>
      <w:pPr>
        <w:pStyle w:val="59"/>
        <w:kinsoku/>
        <w:overflowPunct/>
        <w:bidi w:val="0"/>
        <w:spacing w:after="0" w:line="400" w:lineRule="exact"/>
        <w:ind w:left="0" w:leftChars="0" w:firstLine="482" w:firstLineChars="200"/>
        <w:rPr>
          <w:rStyle w:val="608"/>
          <w:rFonts w:hint="eastAsia" w:ascii="宋体" w:hAnsi="宋体" w:eastAsia="宋体" w:cs="宋体"/>
          <w:b/>
          <w:bCs/>
          <w:color w:val="auto"/>
          <w:sz w:val="24"/>
          <w:szCs w:val="24"/>
          <w:highlight w:val="none"/>
          <w:lang w:eastAsia="zh-CN"/>
        </w:rPr>
      </w:pPr>
      <w:r>
        <w:rPr>
          <w:rStyle w:val="608"/>
          <w:rFonts w:hint="eastAsia" w:ascii="宋体" w:hAnsi="宋体" w:eastAsia="宋体" w:cs="宋体"/>
          <w:b/>
          <w:bCs/>
          <w:color w:val="auto"/>
          <w:sz w:val="24"/>
          <w:szCs w:val="24"/>
          <w:highlight w:val="none"/>
          <w:lang w:eastAsia="zh-CN"/>
        </w:rPr>
        <w:t>评分细则</w:t>
      </w:r>
    </w:p>
    <w:tbl>
      <w:tblPr>
        <w:tblStyle w:val="97"/>
        <w:tblW w:w="10099"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51"/>
        <w:gridCol w:w="1311"/>
        <w:gridCol w:w="6634"/>
        <w:gridCol w:w="90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41" w:hRule="atLeast"/>
          <w:jc w:val="center"/>
        </w:trPr>
        <w:tc>
          <w:tcPr>
            <w:tcW w:w="1251" w:type="dxa"/>
            <w:tcBorders>
              <w:right w:val="single" w:color="auto" w:sz="4" w:space="0"/>
            </w:tcBorders>
            <w:vAlign w:val="center"/>
          </w:tcPr>
          <w:p>
            <w:pPr>
              <w:autoSpaceDE w:val="0"/>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w:t>
            </w:r>
          </w:p>
          <w:p>
            <w:pPr>
              <w:autoSpaceDE w:val="0"/>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7945" w:type="dxa"/>
            <w:gridSpan w:val="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c>
          <w:tcPr>
            <w:tcW w:w="903"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6" w:hRule="atLeast"/>
          <w:jc w:val="center"/>
        </w:trPr>
        <w:tc>
          <w:tcPr>
            <w:tcW w:w="1251" w:type="dxa"/>
            <w:tcBorders>
              <w:right w:val="single" w:color="auto" w:sz="4" w:space="0"/>
            </w:tcBorders>
            <w:vAlign w:val="center"/>
          </w:tcPr>
          <w:p>
            <w:pPr>
              <w:autoSpaceDE w:val="0"/>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p>
          <w:p>
            <w:pPr>
              <w:autoSpaceDE w:val="0"/>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c>
          <w:tcPr>
            <w:tcW w:w="7945" w:type="dxa"/>
            <w:gridSpan w:val="2"/>
            <w:vAlign w:val="center"/>
          </w:tcPr>
          <w:p>
            <w:pPr>
              <w:ind w:left="105" w:hanging="120" w:hanging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评标基准价：满足招标文件要求且投标价格最低的投标报价；</w:t>
            </w:r>
          </w:p>
          <w:p>
            <w:pPr>
              <w:ind w:left="105" w:hanging="120" w:hanging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投标报价得分=(评标基准价／投标报价)×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，四舍五入，保留两位小数</w:t>
            </w:r>
          </w:p>
        </w:tc>
        <w:tc>
          <w:tcPr>
            <w:tcW w:w="903" w:type="dxa"/>
            <w:vAlign w:val="center"/>
          </w:tcPr>
          <w:p>
            <w:pPr>
              <w:ind w:left="105" w:hanging="120" w:hanging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r>
              <w:rPr>
                <w:rFonts w:hint="eastAsia" w:ascii="宋体" w:hAnsi="宋体" w:eastAsia="宋体" w:cs="宋体"/>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91" w:hRule="atLeast"/>
          <w:jc w:val="center"/>
        </w:trPr>
        <w:tc>
          <w:tcPr>
            <w:tcW w:w="1251" w:type="dxa"/>
            <w:vMerge w:val="restart"/>
            <w:tcBorders>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技术、资信、商务（70分）</w:t>
            </w:r>
          </w:p>
        </w:tc>
        <w:tc>
          <w:tcPr>
            <w:tcW w:w="1311"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技术规格响应</w:t>
            </w:r>
          </w:p>
        </w:tc>
        <w:tc>
          <w:tcPr>
            <w:tcW w:w="6634" w:type="dxa"/>
            <w:vAlign w:val="center"/>
          </w:tcPr>
          <w:p>
            <w:pPr>
              <w:ind w:firstLine="2"/>
              <w:rPr>
                <w:rFonts w:hint="eastAsia" w:ascii="宋体" w:hAnsi="宋体" w:eastAsia="宋体" w:cs="宋体"/>
                <w:color w:val="auto"/>
                <w:sz w:val="24"/>
                <w:szCs w:val="24"/>
                <w:highlight w:val="none"/>
              </w:rPr>
            </w:pPr>
            <w:r>
              <w:rPr>
                <w:rFonts w:hint="eastAsia" w:ascii="宋体" w:hAnsi="宋体" w:eastAsia="宋体" w:cs="宋体"/>
                <w:i w:val="0"/>
                <w:iCs w:val="0"/>
                <w:kern w:val="0"/>
                <w:sz w:val="24"/>
                <w:szCs w:val="24"/>
                <w:lang w:val="en-US" w:eastAsia="zh-CN"/>
              </w:rPr>
              <w:t>产品技术参数全部满足招标文件要求的得</w:t>
            </w:r>
            <w:r>
              <w:rPr>
                <w:rFonts w:hint="eastAsia" w:ascii="宋体" w:hAnsi="宋体" w:cs="宋体"/>
                <w:i w:val="0"/>
                <w:iCs w:val="0"/>
                <w:kern w:val="0"/>
                <w:sz w:val="24"/>
                <w:szCs w:val="24"/>
                <w:lang w:val="en-US" w:eastAsia="zh-CN"/>
              </w:rPr>
              <w:t>10</w:t>
            </w:r>
            <w:r>
              <w:rPr>
                <w:rFonts w:hint="eastAsia" w:ascii="宋体" w:hAnsi="宋体" w:eastAsia="宋体" w:cs="宋体"/>
                <w:i w:val="0"/>
                <w:iCs w:val="0"/>
                <w:kern w:val="0"/>
                <w:sz w:val="24"/>
                <w:szCs w:val="24"/>
                <w:lang w:val="en-US" w:eastAsia="zh-CN"/>
              </w:rPr>
              <w:t>分；打★号指标，有负偏离的每项扣2分，非打★号指标，有负偏离的每项扣1分，扣完为止。</w:t>
            </w:r>
          </w:p>
        </w:tc>
        <w:tc>
          <w:tcPr>
            <w:tcW w:w="903" w:type="dxa"/>
            <w:vAlign w:val="center"/>
          </w:tcPr>
          <w:p>
            <w:pPr>
              <w:ind w:firstLine="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0</w:t>
            </w:r>
            <w:r>
              <w:rPr>
                <w:rFonts w:hint="eastAsia" w:ascii="宋体" w:hAnsi="宋体" w:eastAsia="宋体" w:cs="宋体"/>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60" w:hRule="atLeast"/>
          <w:jc w:val="center"/>
        </w:trPr>
        <w:tc>
          <w:tcPr>
            <w:tcW w:w="1251" w:type="dxa"/>
            <w:vMerge w:val="continue"/>
            <w:tcBorders>
              <w:right w:val="single" w:color="auto" w:sz="4" w:space="0"/>
            </w:tcBorders>
            <w:vAlign w:val="center"/>
          </w:tcPr>
          <w:p>
            <w:pPr>
              <w:rPr>
                <w:rFonts w:hint="eastAsia" w:ascii="宋体" w:hAnsi="宋体" w:eastAsia="宋体" w:cs="宋体"/>
                <w:color w:val="auto"/>
                <w:sz w:val="24"/>
                <w:szCs w:val="24"/>
                <w:highlight w:val="none"/>
              </w:rPr>
            </w:pPr>
          </w:p>
        </w:tc>
        <w:tc>
          <w:tcPr>
            <w:tcW w:w="1311"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产品性能</w:t>
            </w:r>
          </w:p>
        </w:tc>
        <w:tc>
          <w:tcPr>
            <w:tcW w:w="6634" w:type="dxa"/>
            <w:vAlign w:val="center"/>
          </w:tcPr>
          <w:p>
            <w:pPr>
              <w:ind w:firstLine="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评标委员会对</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投标产品综合性能进行评议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包含</w:t>
            </w:r>
            <w:r>
              <w:rPr>
                <w:rFonts w:hint="eastAsia" w:ascii="宋体" w:hAnsi="宋体" w:eastAsia="宋体" w:cs="宋体"/>
                <w:color w:val="auto"/>
                <w:sz w:val="24"/>
                <w:szCs w:val="24"/>
                <w:highlight w:val="none"/>
              </w:rPr>
              <w:t>产品技术先进</w:t>
            </w:r>
            <w:r>
              <w:rPr>
                <w:rFonts w:hint="eastAsia" w:ascii="宋体" w:hAnsi="宋体" w:eastAsia="宋体" w:cs="宋体"/>
                <w:color w:val="auto"/>
                <w:sz w:val="24"/>
                <w:szCs w:val="24"/>
                <w:highlight w:val="none"/>
                <w:lang w:val="en-US" w:eastAsia="zh-CN"/>
              </w:rPr>
              <w:t>性</w:t>
            </w:r>
            <w:r>
              <w:rPr>
                <w:rFonts w:hint="eastAsia" w:ascii="宋体" w:hAnsi="宋体" w:eastAsia="宋体" w:cs="宋体"/>
                <w:color w:val="auto"/>
                <w:sz w:val="24"/>
                <w:szCs w:val="24"/>
                <w:highlight w:val="none"/>
              </w:rPr>
              <w:t>、设备功能</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rPr>
              <w:t>满足使用要求</w:t>
            </w:r>
            <w:r>
              <w:rPr>
                <w:rFonts w:hint="eastAsia" w:ascii="宋体" w:hAnsi="宋体" w:eastAsia="宋体" w:cs="宋体"/>
                <w:color w:val="auto"/>
                <w:sz w:val="24"/>
                <w:szCs w:val="24"/>
                <w:highlight w:val="none"/>
                <w:lang w:val="en-US" w:eastAsia="zh-CN"/>
              </w:rPr>
              <w:t>等内容进行综合打分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（评分范围：5分，4.5分，4分，3.5分，3分，2.5分，2分，1.5分，1分，0.5分，0分）</w:t>
            </w:r>
          </w:p>
        </w:tc>
        <w:tc>
          <w:tcPr>
            <w:tcW w:w="903" w:type="dxa"/>
            <w:vAlign w:val="center"/>
          </w:tcPr>
          <w:p>
            <w:pPr>
              <w:ind w:firstLine="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70" w:hRule="atLeast"/>
          <w:jc w:val="center"/>
        </w:trPr>
        <w:tc>
          <w:tcPr>
            <w:tcW w:w="1251" w:type="dxa"/>
            <w:vMerge w:val="continue"/>
            <w:tcBorders>
              <w:right w:val="single" w:color="auto" w:sz="4" w:space="0"/>
            </w:tcBorders>
            <w:vAlign w:val="center"/>
          </w:tcPr>
          <w:p>
            <w:pPr>
              <w:rPr>
                <w:rFonts w:hint="eastAsia" w:ascii="宋体" w:hAnsi="宋体" w:eastAsia="宋体" w:cs="宋体"/>
                <w:color w:val="auto"/>
                <w:sz w:val="24"/>
                <w:szCs w:val="24"/>
                <w:highlight w:val="none"/>
              </w:rPr>
            </w:pPr>
          </w:p>
        </w:tc>
        <w:tc>
          <w:tcPr>
            <w:tcW w:w="1311"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项目认识和理解</w:t>
            </w:r>
          </w:p>
        </w:tc>
        <w:tc>
          <w:tcPr>
            <w:tcW w:w="6634" w:type="dxa"/>
            <w:vAlign w:val="center"/>
          </w:tcPr>
          <w:p>
            <w:pPr>
              <w:ind w:firstLine="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评标委员会根据投标人针对本项目认识和理解</w:t>
            </w:r>
            <w:r>
              <w:rPr>
                <w:rFonts w:hint="eastAsia" w:ascii="宋体" w:hAnsi="宋体" w:eastAsia="宋体" w:cs="宋体"/>
                <w:color w:val="auto"/>
                <w:sz w:val="24"/>
                <w:szCs w:val="24"/>
                <w:highlight w:val="none"/>
              </w:rPr>
              <w:t>进行评议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认识和理解是否完整、到位，</w:t>
            </w:r>
            <w:r>
              <w:rPr>
                <w:rFonts w:hint="eastAsia" w:ascii="宋体" w:hAnsi="宋体" w:eastAsia="宋体" w:cs="宋体"/>
                <w:color w:val="auto"/>
                <w:sz w:val="24"/>
                <w:szCs w:val="24"/>
                <w:highlight w:val="none"/>
              </w:rPr>
              <w:t>针对性强、具有可操作性</w:t>
            </w:r>
            <w:r>
              <w:rPr>
                <w:rFonts w:hint="eastAsia" w:ascii="宋体" w:hAnsi="宋体" w:eastAsia="宋体" w:cs="宋体"/>
                <w:color w:val="auto"/>
                <w:sz w:val="24"/>
                <w:szCs w:val="24"/>
                <w:highlight w:val="none"/>
                <w:lang w:val="en-US" w:eastAsia="zh-CN"/>
              </w:rPr>
              <w:t>等内容进行综合打分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（评分范围：</w:t>
            </w:r>
            <w:r>
              <w:rPr>
                <w:rFonts w:hint="eastAsia" w:ascii="宋体" w:hAnsi="宋体" w:cs="宋体"/>
                <w:color w:val="auto"/>
                <w:sz w:val="24"/>
                <w:szCs w:val="24"/>
                <w:highlight w:val="none"/>
                <w:lang w:val="en-US" w:eastAsia="zh-CN"/>
              </w:rPr>
              <w:t>7分，6.5分，</w:t>
            </w:r>
            <w:r>
              <w:rPr>
                <w:rFonts w:hint="eastAsia" w:ascii="宋体" w:hAnsi="宋体" w:eastAsia="宋体" w:cs="宋体"/>
                <w:color w:val="auto"/>
                <w:sz w:val="24"/>
                <w:szCs w:val="24"/>
                <w:highlight w:val="none"/>
                <w:lang w:val="en-US" w:eastAsia="zh-CN"/>
              </w:rPr>
              <w:t>6分，5.5分，5分，4.5分，4分，3.5分，3分，2.5分，2分，1.5分，1分，0.5分，0分）</w:t>
            </w:r>
          </w:p>
        </w:tc>
        <w:tc>
          <w:tcPr>
            <w:tcW w:w="903" w:type="dxa"/>
            <w:vAlign w:val="center"/>
          </w:tcPr>
          <w:p>
            <w:pPr>
              <w:ind w:firstLine="2"/>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95" w:hRule="atLeast"/>
          <w:jc w:val="center"/>
        </w:trPr>
        <w:tc>
          <w:tcPr>
            <w:tcW w:w="1251" w:type="dxa"/>
            <w:vMerge w:val="continue"/>
            <w:tcBorders>
              <w:right w:val="single" w:color="auto" w:sz="4" w:space="0"/>
            </w:tcBorders>
            <w:vAlign w:val="center"/>
          </w:tcPr>
          <w:p>
            <w:pPr>
              <w:rPr>
                <w:rFonts w:hint="eastAsia" w:ascii="宋体" w:hAnsi="宋体" w:eastAsia="宋体" w:cs="宋体"/>
                <w:color w:val="auto"/>
                <w:sz w:val="24"/>
                <w:szCs w:val="24"/>
                <w:highlight w:val="none"/>
              </w:rPr>
            </w:pPr>
          </w:p>
        </w:tc>
        <w:tc>
          <w:tcPr>
            <w:tcW w:w="1311" w:type="dxa"/>
            <w:vAlign w:val="center"/>
          </w:tcPr>
          <w:p>
            <w:pPr>
              <w:jc w:val="center"/>
              <w:rPr>
                <w:rFonts w:hint="eastAsia" w:ascii="宋体" w:hAnsi="宋体" w:eastAsia="宋体" w:cs="宋体"/>
                <w:color w:val="auto"/>
                <w:sz w:val="24"/>
                <w:szCs w:val="24"/>
                <w:highlight w:val="none"/>
              </w:rPr>
            </w:pPr>
            <w:bookmarkStart w:id="112" w:name="OLE_LINK16"/>
            <w:r>
              <w:rPr>
                <w:rFonts w:hint="eastAsia" w:ascii="宋体" w:hAnsi="宋体" w:eastAsia="宋体" w:cs="宋体"/>
                <w:color w:val="auto"/>
                <w:sz w:val="24"/>
                <w:szCs w:val="24"/>
                <w:highlight w:val="none"/>
              </w:rPr>
              <w:t>供货方案</w:t>
            </w:r>
            <w:bookmarkEnd w:id="112"/>
          </w:p>
        </w:tc>
        <w:tc>
          <w:tcPr>
            <w:tcW w:w="6634" w:type="dxa"/>
            <w:vAlign w:val="center"/>
          </w:tcPr>
          <w:p>
            <w:pPr>
              <w:ind w:firstLine="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评标委员会根据</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的供货方案进行评议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供货方案</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rPr>
              <w:t>完善，合理可行，针对性强、具有可操作性</w:t>
            </w:r>
            <w:r>
              <w:rPr>
                <w:rFonts w:hint="eastAsia" w:ascii="宋体" w:hAnsi="宋体" w:eastAsia="宋体" w:cs="宋体"/>
                <w:color w:val="auto"/>
                <w:sz w:val="24"/>
                <w:szCs w:val="24"/>
                <w:highlight w:val="none"/>
                <w:lang w:val="en-US" w:eastAsia="zh-CN"/>
              </w:rPr>
              <w:t>等内容进行综合打分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（评分范围：6分，5.5分，5分，4.5分，4分，3.5分，3分，2.5分，2分，1.5分，1分，0.5分，0分）</w:t>
            </w:r>
          </w:p>
        </w:tc>
        <w:tc>
          <w:tcPr>
            <w:tcW w:w="903" w:type="dxa"/>
            <w:vAlign w:val="center"/>
          </w:tcPr>
          <w:p>
            <w:pPr>
              <w:ind w:firstLine="2"/>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383" w:hRule="atLeast"/>
          <w:jc w:val="center"/>
        </w:trPr>
        <w:tc>
          <w:tcPr>
            <w:tcW w:w="1251" w:type="dxa"/>
            <w:vMerge w:val="continue"/>
            <w:tcBorders>
              <w:right w:val="single" w:color="auto" w:sz="4" w:space="0"/>
            </w:tcBorders>
            <w:vAlign w:val="center"/>
          </w:tcPr>
          <w:p>
            <w:pPr>
              <w:rPr>
                <w:rFonts w:hint="eastAsia" w:ascii="宋体" w:hAnsi="宋体" w:eastAsia="宋体" w:cs="宋体"/>
                <w:color w:val="auto"/>
                <w:sz w:val="24"/>
                <w:szCs w:val="24"/>
                <w:highlight w:val="none"/>
              </w:rPr>
            </w:pPr>
          </w:p>
        </w:tc>
        <w:tc>
          <w:tcPr>
            <w:tcW w:w="1311"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样品评审</w:t>
            </w:r>
          </w:p>
        </w:tc>
        <w:tc>
          <w:tcPr>
            <w:tcW w:w="6634" w:type="dxa"/>
            <w:vAlign w:val="center"/>
          </w:tcPr>
          <w:p>
            <w:pPr>
              <w:ind w:firstLine="2"/>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根据招标文件要求</w:t>
            </w:r>
            <w:r>
              <w:rPr>
                <w:rFonts w:hint="eastAsia" w:ascii="宋体" w:hAnsi="宋体" w:eastAsia="宋体" w:cs="宋体"/>
                <w:color w:val="FF0000"/>
                <w:sz w:val="24"/>
                <w:szCs w:val="24"/>
                <w:highlight w:val="none"/>
                <w:lang w:val="zh-CN" w:eastAsia="zh-CN"/>
              </w:rPr>
              <w:t>对</w:t>
            </w:r>
            <w:r>
              <w:rPr>
                <w:rFonts w:hint="eastAsia" w:ascii="宋体" w:hAnsi="宋体" w:eastAsia="宋体" w:cs="宋体"/>
                <w:color w:val="FF0000"/>
                <w:sz w:val="24"/>
                <w:szCs w:val="24"/>
                <w:highlight w:val="none"/>
                <w:lang w:val="en-US" w:eastAsia="zh-CN"/>
              </w:rPr>
              <w:t>投标人</w:t>
            </w:r>
            <w:r>
              <w:rPr>
                <w:rFonts w:hint="eastAsia" w:ascii="宋体" w:hAnsi="宋体" w:eastAsia="宋体" w:cs="宋体"/>
                <w:color w:val="FF0000"/>
                <w:sz w:val="24"/>
                <w:szCs w:val="24"/>
                <w:highlight w:val="none"/>
                <w:lang w:val="zh-CN" w:eastAsia="zh-CN"/>
              </w:rPr>
              <w:t>所提供的样品</w:t>
            </w:r>
            <w:r>
              <w:rPr>
                <w:rFonts w:hint="eastAsia" w:ascii="宋体" w:hAnsi="宋体" w:eastAsia="宋体" w:cs="宋体"/>
                <w:color w:val="FF0000"/>
                <w:sz w:val="24"/>
                <w:szCs w:val="24"/>
                <w:highlight w:val="none"/>
                <w:lang w:val="en-US" w:eastAsia="zh-CN"/>
              </w:rPr>
              <w:t>进行评分：</w:t>
            </w:r>
          </w:p>
          <w:p>
            <w:pPr>
              <w:ind w:firstLine="2"/>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1.</w:t>
            </w:r>
            <w:r>
              <w:rPr>
                <w:rFonts w:hint="eastAsia" w:ascii="宋体" w:hAnsi="宋体" w:eastAsia="宋体" w:cs="宋体"/>
                <w:color w:val="FF0000"/>
                <w:sz w:val="24"/>
                <w:szCs w:val="24"/>
                <w:highlight w:val="none"/>
                <w:lang w:val="zh-CN" w:eastAsia="zh-CN"/>
              </w:rPr>
              <w:t>外观设计：</w:t>
            </w:r>
            <w:r>
              <w:rPr>
                <w:rFonts w:hint="eastAsia" w:ascii="宋体" w:hAnsi="宋体" w:eastAsia="宋体" w:cs="宋体"/>
                <w:color w:val="FF0000"/>
                <w:sz w:val="24"/>
                <w:szCs w:val="24"/>
                <w:highlight w:val="none"/>
                <w:lang w:val="en-US" w:eastAsia="zh-CN"/>
              </w:rPr>
              <w:t>对投标产品整体风格、色彩搭配等方面进行综合打分（</w:t>
            </w:r>
            <w:r>
              <w:rPr>
                <w:rFonts w:hint="eastAsia" w:ascii="宋体" w:hAnsi="宋体" w:eastAsia="宋体" w:cs="宋体"/>
                <w:color w:val="FF0000"/>
                <w:sz w:val="24"/>
                <w:szCs w:val="24"/>
                <w:highlight w:val="none"/>
                <w:lang w:val="zh-CN" w:eastAsia="zh-CN"/>
              </w:rPr>
              <w:t>评分范围：</w:t>
            </w:r>
            <w:r>
              <w:rPr>
                <w:rFonts w:hint="eastAsia" w:ascii="宋体" w:hAnsi="宋体" w:cs="宋体"/>
                <w:color w:val="FF0000"/>
                <w:sz w:val="24"/>
                <w:szCs w:val="24"/>
                <w:highlight w:val="none"/>
                <w:lang w:val="en-US" w:eastAsia="zh-CN"/>
              </w:rPr>
              <w:t>5分，4.5分，</w:t>
            </w:r>
            <w:r>
              <w:rPr>
                <w:rFonts w:hint="eastAsia" w:ascii="宋体" w:hAnsi="宋体" w:eastAsia="宋体" w:cs="宋体"/>
                <w:color w:val="FF0000"/>
                <w:sz w:val="24"/>
                <w:szCs w:val="24"/>
                <w:highlight w:val="none"/>
                <w:lang w:val="en-US" w:eastAsia="zh-CN"/>
              </w:rPr>
              <w:t>4分，3.5分，3分，2.5分，2分，1.5分，1分，0.5分，0分）。</w:t>
            </w:r>
          </w:p>
          <w:p>
            <w:pPr>
              <w:ind w:firstLine="2"/>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2.</w:t>
            </w:r>
            <w:r>
              <w:rPr>
                <w:rFonts w:hint="eastAsia" w:ascii="宋体" w:hAnsi="宋体" w:eastAsia="宋体" w:cs="宋体"/>
                <w:color w:val="FF0000"/>
                <w:sz w:val="24"/>
                <w:szCs w:val="24"/>
                <w:highlight w:val="none"/>
                <w:lang w:val="zh-CN" w:eastAsia="zh-CN"/>
              </w:rPr>
              <w:t>主辅材料质量：</w:t>
            </w:r>
            <w:r>
              <w:rPr>
                <w:rFonts w:hint="eastAsia" w:ascii="宋体" w:hAnsi="宋体" w:eastAsia="宋体" w:cs="宋体"/>
                <w:color w:val="FF0000"/>
                <w:sz w:val="24"/>
                <w:szCs w:val="24"/>
                <w:highlight w:val="none"/>
                <w:lang w:val="en-US" w:eastAsia="zh-CN"/>
              </w:rPr>
              <w:t>对投标产品材料的质量、厚度，</w:t>
            </w:r>
            <w:r>
              <w:rPr>
                <w:rFonts w:hint="eastAsia" w:ascii="宋体" w:hAnsi="宋体" w:cs="宋体"/>
                <w:color w:val="FF0000"/>
                <w:sz w:val="24"/>
                <w:szCs w:val="24"/>
                <w:highlight w:val="none"/>
                <w:lang w:val="en-US" w:eastAsia="zh-CN"/>
              </w:rPr>
              <w:t>塑料柔韧性、强度</w:t>
            </w:r>
            <w:r>
              <w:rPr>
                <w:rFonts w:hint="eastAsia" w:ascii="宋体" w:hAnsi="宋体" w:eastAsia="宋体" w:cs="宋体"/>
                <w:color w:val="FF0000"/>
                <w:sz w:val="24"/>
                <w:szCs w:val="24"/>
                <w:highlight w:val="none"/>
                <w:lang w:val="en-US" w:eastAsia="zh-CN"/>
              </w:rPr>
              <w:t>，</w:t>
            </w:r>
            <w:r>
              <w:rPr>
                <w:rFonts w:hint="eastAsia" w:ascii="宋体" w:hAnsi="宋体" w:cs="宋体"/>
                <w:color w:val="FF0000"/>
                <w:sz w:val="24"/>
                <w:szCs w:val="24"/>
                <w:highlight w:val="none"/>
                <w:lang w:val="en-US" w:eastAsia="zh-CN"/>
              </w:rPr>
              <w:t>零部件</w:t>
            </w:r>
            <w:r>
              <w:rPr>
                <w:rFonts w:hint="eastAsia" w:ascii="宋体" w:hAnsi="宋体" w:eastAsia="宋体" w:cs="宋体"/>
                <w:color w:val="FF0000"/>
                <w:sz w:val="24"/>
                <w:szCs w:val="24"/>
                <w:highlight w:val="none"/>
                <w:lang w:val="en-US" w:eastAsia="zh-CN"/>
              </w:rPr>
              <w:t>质量等方面进行综合打分（</w:t>
            </w:r>
            <w:r>
              <w:rPr>
                <w:rFonts w:hint="eastAsia" w:ascii="宋体" w:hAnsi="宋体" w:eastAsia="宋体" w:cs="宋体"/>
                <w:color w:val="FF0000"/>
                <w:sz w:val="24"/>
                <w:szCs w:val="24"/>
                <w:highlight w:val="none"/>
                <w:lang w:val="zh-CN" w:eastAsia="zh-CN"/>
              </w:rPr>
              <w:t>评分范围：</w:t>
            </w:r>
            <w:r>
              <w:rPr>
                <w:rFonts w:hint="eastAsia" w:ascii="宋体" w:hAnsi="宋体" w:cs="宋体"/>
                <w:color w:val="FF0000"/>
                <w:sz w:val="24"/>
                <w:szCs w:val="24"/>
                <w:highlight w:val="none"/>
                <w:lang w:val="en-US" w:eastAsia="zh-CN"/>
              </w:rPr>
              <w:t>5分，4.5分，</w:t>
            </w:r>
            <w:r>
              <w:rPr>
                <w:rFonts w:hint="eastAsia" w:ascii="宋体" w:hAnsi="宋体" w:eastAsia="宋体" w:cs="宋体"/>
                <w:color w:val="FF0000"/>
                <w:sz w:val="24"/>
                <w:szCs w:val="24"/>
                <w:highlight w:val="none"/>
                <w:lang w:val="en-US" w:eastAsia="zh-CN"/>
              </w:rPr>
              <w:t>4分，3.5分，3分，2.5分，2分，1.5分，1分，0.5分，0分）。</w:t>
            </w:r>
          </w:p>
          <w:p>
            <w:pPr>
              <w:ind w:firstLine="2"/>
              <w:rPr>
                <w:rFonts w:hint="eastAsia" w:ascii="宋体" w:hAnsi="宋体" w:eastAsia="宋体" w:cs="宋体"/>
                <w:color w:val="auto"/>
                <w:sz w:val="24"/>
                <w:szCs w:val="24"/>
                <w:highlight w:val="none"/>
                <w:lang w:val="en-US" w:eastAsia="zh-CN"/>
              </w:rPr>
            </w:pPr>
            <w:r>
              <w:rPr>
                <w:rFonts w:hint="eastAsia" w:ascii="宋体" w:hAnsi="宋体" w:eastAsia="宋体" w:cs="宋体"/>
                <w:color w:val="FF0000"/>
                <w:sz w:val="24"/>
                <w:szCs w:val="24"/>
                <w:highlight w:val="none"/>
                <w:lang w:val="en-US" w:eastAsia="zh-CN"/>
              </w:rPr>
              <w:t>3.</w:t>
            </w:r>
            <w:r>
              <w:rPr>
                <w:rFonts w:hint="eastAsia" w:ascii="宋体" w:hAnsi="宋体" w:eastAsia="宋体" w:cs="宋体"/>
                <w:color w:val="FF0000"/>
                <w:sz w:val="24"/>
                <w:szCs w:val="24"/>
                <w:highlight w:val="none"/>
                <w:lang w:val="zh-CN" w:eastAsia="zh-CN"/>
              </w:rPr>
              <w:t>工艺水平：</w:t>
            </w:r>
            <w:r>
              <w:rPr>
                <w:rFonts w:hint="eastAsia" w:ascii="宋体" w:hAnsi="宋体" w:eastAsia="宋体" w:cs="宋体"/>
                <w:color w:val="FF0000"/>
                <w:sz w:val="24"/>
                <w:szCs w:val="24"/>
                <w:highlight w:val="none"/>
                <w:lang w:val="en-US" w:eastAsia="zh-CN"/>
              </w:rPr>
              <w:t>对投标产品结构稳定性，制作工艺精良</w:t>
            </w:r>
            <w:r>
              <w:rPr>
                <w:rFonts w:hint="eastAsia" w:ascii="宋体" w:hAnsi="宋体" w:cs="宋体"/>
                <w:color w:val="FF0000"/>
                <w:sz w:val="24"/>
                <w:szCs w:val="24"/>
                <w:highlight w:val="none"/>
                <w:lang w:val="en-US" w:eastAsia="zh-CN"/>
              </w:rPr>
              <w:t>、</w:t>
            </w:r>
            <w:r>
              <w:rPr>
                <w:rFonts w:hint="eastAsia" w:ascii="宋体" w:hAnsi="宋体" w:eastAsia="宋体" w:cs="宋体"/>
                <w:color w:val="FF0000"/>
                <w:sz w:val="24"/>
                <w:szCs w:val="24"/>
                <w:highlight w:val="none"/>
                <w:lang w:val="en-US" w:eastAsia="zh-CN"/>
              </w:rPr>
              <w:t>表面涂层平整光滑</w:t>
            </w:r>
            <w:r>
              <w:rPr>
                <w:rFonts w:hint="eastAsia" w:ascii="宋体" w:hAnsi="宋体" w:cs="宋体"/>
                <w:color w:val="FF0000"/>
                <w:sz w:val="24"/>
                <w:szCs w:val="24"/>
                <w:highlight w:val="none"/>
                <w:lang w:val="en-US" w:eastAsia="zh-CN"/>
              </w:rPr>
              <w:t>、</w:t>
            </w:r>
            <w:r>
              <w:rPr>
                <w:rFonts w:hint="eastAsia" w:ascii="宋体" w:hAnsi="宋体" w:eastAsia="宋体" w:cs="宋体"/>
                <w:color w:val="FF0000"/>
                <w:sz w:val="24"/>
                <w:szCs w:val="24"/>
                <w:highlight w:val="none"/>
                <w:lang w:val="en-US" w:eastAsia="zh-CN"/>
              </w:rPr>
              <w:t>边缘处理</w:t>
            </w:r>
            <w:r>
              <w:rPr>
                <w:rFonts w:hint="eastAsia" w:ascii="宋体" w:hAnsi="宋体" w:cs="宋体"/>
                <w:color w:val="FF0000"/>
                <w:sz w:val="24"/>
                <w:szCs w:val="24"/>
                <w:highlight w:val="none"/>
                <w:lang w:val="en-US" w:eastAsia="zh-CN"/>
              </w:rPr>
              <w:t>精致</w:t>
            </w:r>
            <w:r>
              <w:rPr>
                <w:rFonts w:hint="eastAsia" w:ascii="宋体" w:hAnsi="宋体" w:eastAsia="宋体" w:cs="宋体"/>
                <w:color w:val="FF0000"/>
                <w:sz w:val="24"/>
                <w:szCs w:val="24"/>
                <w:highlight w:val="none"/>
                <w:lang w:val="en-US" w:eastAsia="zh-CN"/>
              </w:rPr>
              <w:t>等方面进行综合打分</w:t>
            </w:r>
            <w:r>
              <w:rPr>
                <w:rFonts w:hint="eastAsia" w:ascii="宋体" w:hAnsi="宋体" w:eastAsia="宋体" w:cs="宋体"/>
                <w:color w:val="FF0000"/>
                <w:sz w:val="24"/>
                <w:szCs w:val="24"/>
                <w:highlight w:val="none"/>
                <w:lang w:val="zh-CN" w:eastAsia="zh-CN"/>
              </w:rPr>
              <w:t>（评分范围：</w:t>
            </w:r>
            <w:r>
              <w:rPr>
                <w:rFonts w:hint="eastAsia" w:ascii="宋体" w:hAnsi="宋体" w:eastAsia="宋体" w:cs="宋体"/>
                <w:color w:val="FF0000"/>
                <w:sz w:val="24"/>
                <w:szCs w:val="24"/>
                <w:highlight w:val="none"/>
                <w:lang w:val="en-US" w:eastAsia="zh-CN"/>
              </w:rPr>
              <w:t>4分，3.5分，3分，2.5分，2分，1.5分，1分，0.5分，0分</w:t>
            </w:r>
            <w:r>
              <w:rPr>
                <w:rFonts w:hint="eastAsia" w:ascii="宋体" w:hAnsi="宋体" w:eastAsia="宋体" w:cs="宋体"/>
                <w:color w:val="FF0000"/>
                <w:sz w:val="24"/>
                <w:szCs w:val="24"/>
                <w:highlight w:val="none"/>
                <w:lang w:val="zh-CN" w:eastAsia="zh-CN"/>
              </w:rPr>
              <w:t>）。</w:t>
            </w:r>
          </w:p>
        </w:tc>
        <w:tc>
          <w:tcPr>
            <w:tcW w:w="903" w:type="dxa"/>
            <w:vAlign w:val="center"/>
          </w:tcPr>
          <w:p>
            <w:pPr>
              <w:ind w:firstLine="2"/>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r>
              <w:rPr>
                <w:rFonts w:hint="eastAsia" w:ascii="宋体" w:hAnsi="宋体" w:eastAsia="宋体" w:cs="宋体"/>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734" w:hRule="atLeast"/>
          <w:jc w:val="center"/>
        </w:trPr>
        <w:tc>
          <w:tcPr>
            <w:tcW w:w="1251" w:type="dxa"/>
            <w:vMerge w:val="continue"/>
            <w:tcBorders>
              <w:right w:val="single" w:color="auto" w:sz="4" w:space="0"/>
            </w:tcBorders>
            <w:vAlign w:val="center"/>
          </w:tcPr>
          <w:p>
            <w:pPr>
              <w:rPr>
                <w:rFonts w:hint="eastAsia" w:ascii="宋体" w:hAnsi="宋体" w:eastAsia="宋体" w:cs="宋体"/>
                <w:color w:val="auto"/>
                <w:sz w:val="24"/>
                <w:szCs w:val="24"/>
                <w:highlight w:val="none"/>
              </w:rPr>
            </w:pPr>
          </w:p>
        </w:tc>
        <w:tc>
          <w:tcPr>
            <w:tcW w:w="1311"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安装调试方案</w:t>
            </w:r>
          </w:p>
        </w:tc>
        <w:tc>
          <w:tcPr>
            <w:tcW w:w="6634" w:type="dxa"/>
            <w:vAlign w:val="center"/>
          </w:tcPr>
          <w:p>
            <w:pPr>
              <w:ind w:firstLine="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评标委员会根据</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针对本项目设备安装调试方案的合理性进行评议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包括对场地环境的了解、人员的安排、时间进度的规划，对设备的调试进度安排，调试的步骤、措施，问题的解决方案等</w:t>
            </w:r>
            <w:r>
              <w:rPr>
                <w:rFonts w:hint="eastAsia" w:ascii="宋体" w:hAnsi="宋体" w:eastAsia="宋体" w:cs="宋体"/>
                <w:color w:val="auto"/>
                <w:sz w:val="24"/>
                <w:szCs w:val="24"/>
                <w:highlight w:val="none"/>
                <w:lang w:val="en-US" w:eastAsia="zh-CN"/>
              </w:rPr>
              <w:t>进行综合打分。（评分范围：</w:t>
            </w:r>
            <w:r>
              <w:rPr>
                <w:rFonts w:hint="eastAsia" w:ascii="宋体" w:hAnsi="宋体" w:cs="宋体"/>
                <w:color w:val="auto"/>
                <w:sz w:val="24"/>
                <w:szCs w:val="24"/>
                <w:highlight w:val="none"/>
                <w:lang w:val="en-US" w:eastAsia="zh-CN"/>
              </w:rPr>
              <w:t>7分，6.5分，</w:t>
            </w:r>
            <w:r>
              <w:rPr>
                <w:rFonts w:hint="eastAsia" w:ascii="宋体" w:hAnsi="宋体" w:eastAsia="宋体" w:cs="宋体"/>
                <w:color w:val="auto"/>
                <w:sz w:val="24"/>
                <w:szCs w:val="24"/>
                <w:highlight w:val="none"/>
                <w:lang w:val="en-US" w:eastAsia="zh-CN"/>
              </w:rPr>
              <w:t>6分，5.5分，5分，4.5分，4分，3.5分，3分，2.5分，2分，1.5分，1分，0.5分，0分）</w:t>
            </w:r>
          </w:p>
        </w:tc>
        <w:tc>
          <w:tcPr>
            <w:tcW w:w="903" w:type="dxa"/>
            <w:vAlign w:val="center"/>
          </w:tcPr>
          <w:p>
            <w:pPr>
              <w:ind w:firstLine="2"/>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r>
              <w:rPr>
                <w:rFonts w:hint="eastAsia" w:ascii="宋体" w:hAnsi="宋体" w:eastAsia="宋体" w:cs="宋体"/>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45" w:hRule="atLeast"/>
          <w:jc w:val="center"/>
        </w:trPr>
        <w:tc>
          <w:tcPr>
            <w:tcW w:w="1251" w:type="dxa"/>
            <w:vMerge w:val="continue"/>
            <w:tcBorders>
              <w:right w:val="single" w:color="auto" w:sz="4" w:space="0"/>
            </w:tcBorders>
            <w:vAlign w:val="center"/>
          </w:tcPr>
          <w:p>
            <w:pPr>
              <w:rPr>
                <w:rFonts w:hint="eastAsia" w:ascii="宋体" w:hAnsi="宋体" w:eastAsia="宋体" w:cs="宋体"/>
                <w:color w:val="auto"/>
                <w:sz w:val="24"/>
                <w:szCs w:val="24"/>
                <w:highlight w:val="none"/>
              </w:rPr>
            </w:pPr>
          </w:p>
        </w:tc>
        <w:tc>
          <w:tcPr>
            <w:tcW w:w="1311"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技术服务培训方案</w:t>
            </w:r>
          </w:p>
        </w:tc>
        <w:tc>
          <w:tcPr>
            <w:tcW w:w="6634" w:type="dxa"/>
            <w:vAlign w:val="center"/>
          </w:tcPr>
          <w:p>
            <w:pPr>
              <w:ind w:firstLine="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评标委员会根据</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提供的技术服务、培训方案进行评议</w:t>
            </w:r>
            <w:r>
              <w:rPr>
                <w:rFonts w:hint="eastAsia" w:ascii="宋体" w:hAnsi="宋体" w:eastAsia="宋体" w:cs="宋体"/>
                <w:color w:val="auto"/>
                <w:sz w:val="24"/>
                <w:szCs w:val="24"/>
                <w:highlight w:val="none"/>
                <w:lang w:eastAsia="zh-CN"/>
              </w:rPr>
              <w:t>。</w:t>
            </w:r>
          </w:p>
          <w:p>
            <w:pPr>
              <w:ind w:firstLine="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技术服务、培训方案</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rPr>
              <w:t>科学合理，</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rPr>
              <w:t>能快速有效的协助采购人掌握产品特性等</w:t>
            </w:r>
            <w:r>
              <w:rPr>
                <w:rFonts w:hint="eastAsia" w:ascii="宋体" w:hAnsi="宋体" w:eastAsia="宋体" w:cs="宋体"/>
                <w:color w:val="auto"/>
                <w:sz w:val="24"/>
                <w:szCs w:val="24"/>
                <w:highlight w:val="none"/>
                <w:lang w:val="en-US" w:eastAsia="zh-CN"/>
              </w:rPr>
              <w:t>进行综合打分。（评分范围：</w:t>
            </w:r>
            <w:r>
              <w:rPr>
                <w:rFonts w:hint="eastAsia" w:ascii="宋体" w:hAnsi="宋体" w:cs="宋体"/>
                <w:color w:val="auto"/>
                <w:sz w:val="24"/>
                <w:szCs w:val="24"/>
                <w:highlight w:val="none"/>
                <w:lang w:val="en-US" w:eastAsia="zh-CN"/>
              </w:rPr>
              <w:t>7分，6.5分，</w:t>
            </w:r>
            <w:r>
              <w:rPr>
                <w:rFonts w:hint="eastAsia" w:ascii="宋体" w:hAnsi="宋体" w:eastAsia="宋体" w:cs="宋体"/>
                <w:color w:val="auto"/>
                <w:sz w:val="24"/>
                <w:szCs w:val="24"/>
                <w:highlight w:val="none"/>
                <w:lang w:val="en-US" w:eastAsia="zh-CN"/>
              </w:rPr>
              <w:t>5分，4.5分，4分，3.5分，3分，2.5分，2分，1.5分，1分，0.5分，0分）</w:t>
            </w:r>
          </w:p>
        </w:tc>
        <w:tc>
          <w:tcPr>
            <w:tcW w:w="903" w:type="dxa"/>
            <w:vAlign w:val="center"/>
          </w:tcPr>
          <w:p>
            <w:pPr>
              <w:ind w:firstLine="2"/>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05" w:hRule="atLeast"/>
          <w:jc w:val="center"/>
        </w:trPr>
        <w:tc>
          <w:tcPr>
            <w:tcW w:w="1251" w:type="dxa"/>
            <w:vMerge w:val="continue"/>
            <w:tcBorders>
              <w:right w:val="single" w:color="auto" w:sz="4" w:space="0"/>
            </w:tcBorders>
            <w:vAlign w:val="center"/>
          </w:tcPr>
          <w:p>
            <w:pPr>
              <w:rPr>
                <w:rFonts w:hint="eastAsia" w:ascii="宋体" w:hAnsi="宋体" w:eastAsia="宋体" w:cs="宋体"/>
                <w:color w:val="auto"/>
                <w:sz w:val="24"/>
                <w:szCs w:val="24"/>
                <w:highlight w:val="none"/>
              </w:rPr>
            </w:pPr>
          </w:p>
        </w:tc>
        <w:tc>
          <w:tcPr>
            <w:tcW w:w="1311"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w:t>
            </w:r>
          </w:p>
        </w:tc>
        <w:tc>
          <w:tcPr>
            <w:tcW w:w="6634" w:type="dxa"/>
            <w:vAlign w:val="center"/>
          </w:tcPr>
          <w:p>
            <w:pPr>
              <w:ind w:firstLine="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售后服务方案，包括但不限于服务响应时间、故障解决方案，响应迅速，解决方案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备品备件储备情况充分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技术服务人员情况</w:t>
            </w:r>
            <w:r>
              <w:rPr>
                <w:rFonts w:hint="eastAsia" w:ascii="宋体" w:hAnsi="宋体" w:eastAsia="宋体" w:cs="宋体"/>
                <w:color w:val="auto"/>
                <w:sz w:val="24"/>
                <w:szCs w:val="24"/>
                <w:highlight w:val="none"/>
                <w:lang w:val="en-US" w:eastAsia="zh-CN"/>
              </w:rPr>
              <w:t>等进行综合打分。（评分范围：</w:t>
            </w:r>
            <w:bookmarkStart w:id="113" w:name="OLE_LINK17"/>
            <w:r>
              <w:rPr>
                <w:rFonts w:hint="eastAsia" w:ascii="宋体" w:hAnsi="宋体" w:cs="宋体"/>
                <w:color w:val="auto"/>
                <w:sz w:val="24"/>
                <w:szCs w:val="24"/>
                <w:highlight w:val="none"/>
                <w:lang w:val="en-US" w:eastAsia="zh-CN"/>
              </w:rPr>
              <w:t>7分，6.5分，</w:t>
            </w:r>
            <w:bookmarkEnd w:id="113"/>
            <w:r>
              <w:rPr>
                <w:rFonts w:hint="eastAsia" w:ascii="宋体" w:hAnsi="宋体" w:eastAsia="宋体" w:cs="宋体"/>
                <w:color w:val="auto"/>
                <w:sz w:val="24"/>
                <w:szCs w:val="24"/>
                <w:highlight w:val="none"/>
                <w:lang w:val="en-US" w:eastAsia="zh-CN"/>
              </w:rPr>
              <w:t>6分，5.5分，5分，4.5分，4分，3.5分，3分，2.5分，2分，1.5分，1分，0.5分，0分）</w:t>
            </w:r>
          </w:p>
        </w:tc>
        <w:tc>
          <w:tcPr>
            <w:tcW w:w="903" w:type="dxa"/>
            <w:vAlign w:val="center"/>
          </w:tcPr>
          <w:p>
            <w:pPr>
              <w:ind w:firstLine="2"/>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3" w:hRule="atLeast"/>
          <w:jc w:val="center"/>
        </w:trPr>
        <w:tc>
          <w:tcPr>
            <w:tcW w:w="1251" w:type="dxa"/>
            <w:vMerge w:val="continue"/>
            <w:tcBorders>
              <w:right w:val="single" w:color="auto" w:sz="4" w:space="0"/>
            </w:tcBorders>
            <w:vAlign w:val="center"/>
          </w:tcPr>
          <w:p>
            <w:pPr>
              <w:rPr>
                <w:rFonts w:hint="eastAsia" w:ascii="宋体" w:hAnsi="宋体" w:eastAsia="宋体" w:cs="宋体"/>
                <w:color w:val="auto"/>
                <w:sz w:val="24"/>
                <w:szCs w:val="24"/>
                <w:highlight w:val="none"/>
              </w:rPr>
            </w:pPr>
          </w:p>
        </w:tc>
        <w:tc>
          <w:tcPr>
            <w:tcW w:w="1311"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质保期</w:t>
            </w:r>
          </w:p>
        </w:tc>
        <w:tc>
          <w:tcPr>
            <w:tcW w:w="6634" w:type="dxa"/>
            <w:vAlign w:val="center"/>
          </w:tcPr>
          <w:p>
            <w:pPr>
              <w:ind w:firstLine="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质保期承诺三年的不得分，优于招标文件的，每延长1年得1分，最多得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分。（提供承诺函，不提供不得分）</w:t>
            </w:r>
          </w:p>
        </w:tc>
        <w:tc>
          <w:tcPr>
            <w:tcW w:w="903" w:type="dxa"/>
            <w:vAlign w:val="center"/>
          </w:tcPr>
          <w:p>
            <w:pPr>
              <w:ind w:firstLine="2"/>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22" w:hRule="atLeast"/>
          <w:jc w:val="center"/>
        </w:trPr>
        <w:tc>
          <w:tcPr>
            <w:tcW w:w="1251" w:type="dxa"/>
            <w:vMerge w:val="continue"/>
            <w:tcBorders>
              <w:right w:val="single" w:color="auto" w:sz="4" w:space="0"/>
            </w:tcBorders>
            <w:vAlign w:val="center"/>
          </w:tcPr>
          <w:p>
            <w:pPr>
              <w:rPr>
                <w:rFonts w:hint="eastAsia" w:ascii="宋体" w:hAnsi="宋体" w:eastAsia="宋体" w:cs="宋体"/>
                <w:color w:val="auto"/>
                <w:sz w:val="24"/>
                <w:szCs w:val="24"/>
                <w:highlight w:val="none"/>
              </w:rPr>
            </w:pPr>
          </w:p>
        </w:tc>
        <w:tc>
          <w:tcPr>
            <w:tcW w:w="1311" w:type="dxa"/>
            <w:tcBorders>
              <w:top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w:t>
            </w:r>
          </w:p>
        </w:tc>
        <w:tc>
          <w:tcPr>
            <w:tcW w:w="6634" w:type="dxa"/>
            <w:tcBorders>
              <w:top w:val="single" w:color="auto" w:sz="4" w:space="0"/>
            </w:tcBorders>
            <w:vAlign w:val="center"/>
          </w:tcPr>
          <w:p>
            <w:pPr>
              <w:rPr>
                <w:rFonts w:hint="eastAsia" w:ascii="宋体" w:hAnsi="宋体" w:eastAsia="宋体" w:cs="宋体"/>
                <w:color w:val="auto"/>
                <w:sz w:val="24"/>
                <w:szCs w:val="24"/>
                <w:highlight w:val="none"/>
              </w:rPr>
            </w:pPr>
            <w:bookmarkStart w:id="114" w:name="OLE_LINK11"/>
            <w:r>
              <w:rPr>
                <w:rFonts w:hint="eastAsia" w:ascii="宋体" w:hAnsi="宋体" w:eastAsia="宋体" w:cs="宋体"/>
                <w:color w:val="auto"/>
                <w:sz w:val="24"/>
                <w:szCs w:val="24"/>
                <w:highlight w:val="none"/>
              </w:rPr>
              <w:t>投标人每提供一个20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年1月1日(以合同签订时间为准）至今的类似项目合同的得1分，最高得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bookmarkEnd w:id="114"/>
          <w:p>
            <w:pPr>
              <w:pStyle w:val="448"/>
              <w:ind w:left="0" w:leftChars="0" w:firstLine="0" w:firstLineChars="0"/>
              <w:rPr>
                <w:rFonts w:hint="eastAsia" w:ascii="宋体" w:hAnsi="宋体" w:eastAsia="宋体" w:cs="宋体"/>
                <w:color w:val="auto"/>
                <w:sz w:val="24"/>
                <w:szCs w:val="24"/>
                <w:highlight w:val="none"/>
              </w:rPr>
            </w:pPr>
            <w:r>
              <w:rPr>
                <w:rFonts w:hint="eastAsia" w:ascii="宋体" w:hAnsi="宋体" w:cs="宋体"/>
                <w:i w:val="0"/>
                <w:iCs w:val="0"/>
                <w:sz w:val="24"/>
                <w:szCs w:val="24"/>
                <w:lang w:val="en-US" w:eastAsia="zh-CN"/>
              </w:rPr>
              <w:t>注：须提供合同和成交（中标）通知书。</w:t>
            </w:r>
          </w:p>
        </w:tc>
        <w:tc>
          <w:tcPr>
            <w:tcW w:w="903" w:type="dxa"/>
            <w:tcBorders>
              <w:top w:val="single" w:color="auto" w:sz="4" w:space="0"/>
            </w:tcBorders>
            <w:vAlign w:val="center"/>
          </w:tcPr>
          <w:p>
            <w:pPr>
              <w:pStyle w:val="448"/>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i w:val="0"/>
                <w:iCs w:val="0"/>
                <w:color w:val="auto"/>
                <w:sz w:val="24"/>
                <w:szCs w:val="24"/>
                <w:highlight w:val="none"/>
                <w:lang w:val="en-US" w:eastAsia="zh-CN"/>
              </w:rPr>
              <w:t>分</w:t>
            </w:r>
          </w:p>
        </w:tc>
      </w:tr>
    </w:tbl>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firstLine="482" w:firstLineChars="200"/>
        <w:textAlignment w:val="auto"/>
        <w:outlineLvl w:val="9"/>
        <w:rPr>
          <w:rStyle w:val="607"/>
          <w:rFonts w:hint="eastAsia" w:ascii="宋体" w:hAnsi="宋体" w:eastAsia="宋体" w:cs="宋体"/>
          <w:b/>
          <w:bCs/>
          <w:color w:val="auto"/>
          <w:sz w:val="24"/>
          <w:szCs w:val="24"/>
          <w:highlight w:val="none"/>
          <w:lang w:val="en-US" w:eastAsia="zh-CN"/>
        </w:rPr>
      </w:pPr>
      <w:r>
        <w:rPr>
          <w:rStyle w:val="607"/>
          <w:rFonts w:hint="eastAsia" w:ascii="宋体" w:hAnsi="宋体" w:eastAsia="宋体" w:cs="宋体"/>
          <w:b/>
          <w:bCs/>
          <w:color w:val="auto"/>
          <w:sz w:val="24"/>
          <w:szCs w:val="24"/>
          <w:highlight w:val="none"/>
          <w:lang w:val="en-US" w:eastAsia="zh-CN"/>
        </w:rPr>
        <w:t>注：商务技术得分低于商务技术总分60%的投标人的报价将被拒绝。</w:t>
      </w:r>
    </w:p>
    <w:p>
      <w:pPr>
        <w:pStyle w:val="53"/>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Style w:val="607"/>
          <w:rFonts w:hint="eastAsia" w:ascii="宋体" w:hAnsi="宋体" w:eastAsia="宋体" w:cs="宋体"/>
          <w:color w:val="auto"/>
          <w:sz w:val="24"/>
          <w:szCs w:val="24"/>
          <w:highlight w:val="none"/>
          <w:lang w:val="zh-TW"/>
        </w:rPr>
      </w:pPr>
      <w:r>
        <w:rPr>
          <w:rStyle w:val="607"/>
          <w:rFonts w:hint="eastAsia" w:ascii="宋体" w:hAnsi="宋体" w:eastAsia="宋体" w:cs="宋体"/>
          <w:color w:val="auto"/>
          <w:sz w:val="24"/>
          <w:szCs w:val="24"/>
          <w:highlight w:val="none"/>
          <w:lang w:val="en-US" w:eastAsia="zh-CN"/>
        </w:rPr>
        <w:t xml:space="preserve">(1) </w:t>
      </w:r>
      <w:r>
        <w:rPr>
          <w:rStyle w:val="607"/>
          <w:rFonts w:hint="eastAsia" w:ascii="宋体" w:hAnsi="宋体" w:eastAsia="宋体" w:cs="宋体"/>
          <w:color w:val="auto"/>
          <w:sz w:val="24"/>
          <w:szCs w:val="24"/>
          <w:highlight w:val="none"/>
          <w:lang w:val="zh-TW" w:eastAsia="zh-TW"/>
        </w:rPr>
        <w:t>评标委员会根据表格，对各投标单位的商务技术标进行书面审核和评论后，由各专家独立</w:t>
      </w:r>
      <w:r>
        <w:rPr>
          <w:rStyle w:val="607"/>
          <w:rFonts w:hint="eastAsia" w:ascii="宋体" w:hAnsi="宋体" w:eastAsia="宋体" w:cs="宋体"/>
          <w:color w:val="auto"/>
          <w:sz w:val="24"/>
          <w:szCs w:val="24"/>
          <w:highlight w:val="none"/>
        </w:rPr>
        <w:t>评</w:t>
      </w:r>
      <w:r>
        <w:rPr>
          <w:rStyle w:val="607"/>
          <w:rFonts w:hint="eastAsia" w:ascii="宋体" w:hAnsi="宋体" w:eastAsia="宋体" w:cs="宋体"/>
          <w:color w:val="auto"/>
          <w:sz w:val="24"/>
          <w:szCs w:val="24"/>
          <w:highlight w:val="none"/>
          <w:lang w:val="zh-TW" w:eastAsia="zh-TW"/>
        </w:rPr>
        <w:t>分，打分时保留小数</w:t>
      </w:r>
      <w:r>
        <w:rPr>
          <w:rStyle w:val="607"/>
          <w:rFonts w:hint="eastAsia" w:ascii="宋体" w:hAnsi="宋体" w:eastAsia="宋体" w:cs="宋体"/>
          <w:color w:val="auto"/>
          <w:sz w:val="24"/>
          <w:szCs w:val="24"/>
          <w:highlight w:val="none"/>
          <w:lang w:val="zh-TW"/>
        </w:rPr>
        <w:t>1</w:t>
      </w:r>
      <w:r>
        <w:rPr>
          <w:rStyle w:val="607"/>
          <w:rFonts w:hint="eastAsia" w:ascii="宋体" w:hAnsi="宋体" w:eastAsia="宋体" w:cs="宋体"/>
          <w:color w:val="auto"/>
          <w:sz w:val="24"/>
          <w:szCs w:val="24"/>
          <w:highlight w:val="none"/>
          <w:lang w:val="zh-TW" w:eastAsia="zh-TW"/>
        </w:rPr>
        <w:t>位，每人一份评分表，并签名。在统计得分时，如果发现某一单项评分超过评分细则规定的分值范围，则该张评分表无效。投标人商务技术的最终得分为评标专家组成员的有效评分的算术平均值。计算时保留小数</w:t>
      </w:r>
      <w:r>
        <w:rPr>
          <w:rStyle w:val="607"/>
          <w:rFonts w:hint="eastAsia" w:ascii="宋体" w:hAnsi="宋体" w:eastAsia="宋体" w:cs="宋体"/>
          <w:color w:val="auto"/>
          <w:sz w:val="24"/>
          <w:szCs w:val="24"/>
          <w:highlight w:val="none"/>
          <w:lang w:val="zh-TW"/>
        </w:rPr>
        <w:t>2</w:t>
      </w:r>
      <w:r>
        <w:rPr>
          <w:rStyle w:val="607"/>
          <w:rFonts w:hint="eastAsia" w:ascii="宋体" w:hAnsi="宋体" w:eastAsia="宋体" w:cs="宋体"/>
          <w:color w:val="auto"/>
          <w:sz w:val="24"/>
          <w:szCs w:val="24"/>
          <w:highlight w:val="none"/>
          <w:lang w:val="zh-TW" w:eastAsia="zh-TW"/>
        </w:rPr>
        <w:t>位</w:t>
      </w:r>
      <w:r>
        <w:rPr>
          <w:rStyle w:val="607"/>
          <w:rFonts w:hint="eastAsia" w:ascii="宋体" w:hAnsi="宋体" w:eastAsia="宋体" w:cs="宋体"/>
          <w:color w:val="auto"/>
          <w:sz w:val="24"/>
          <w:szCs w:val="24"/>
          <w:highlight w:val="none"/>
          <w:lang w:val="zh-TW"/>
        </w:rPr>
        <w:t>。</w:t>
      </w:r>
    </w:p>
    <w:p>
      <w:pPr>
        <w:pStyle w:val="53"/>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Style w:val="607"/>
          <w:rFonts w:hint="eastAsia" w:ascii="宋体" w:hAnsi="宋体" w:eastAsia="宋体" w:cs="宋体"/>
          <w:color w:val="auto"/>
          <w:sz w:val="24"/>
          <w:szCs w:val="24"/>
          <w:highlight w:val="none"/>
          <w:lang w:val="zh-TW"/>
        </w:rPr>
      </w:pPr>
      <w:r>
        <w:rPr>
          <w:rStyle w:val="607"/>
          <w:rFonts w:hint="eastAsia" w:ascii="宋体" w:hAnsi="宋体" w:eastAsia="宋体" w:cs="宋体"/>
          <w:color w:val="auto"/>
          <w:sz w:val="24"/>
          <w:szCs w:val="24"/>
          <w:highlight w:val="none"/>
          <w:lang w:val="zh-TW"/>
        </w:rPr>
        <w:t>（2）</w:t>
      </w:r>
      <w:r>
        <w:rPr>
          <w:rStyle w:val="607"/>
          <w:rFonts w:hint="eastAsia" w:ascii="宋体" w:hAnsi="宋体" w:eastAsia="宋体" w:cs="宋体"/>
          <w:color w:val="auto"/>
          <w:sz w:val="24"/>
          <w:szCs w:val="24"/>
          <w:highlight w:val="none"/>
          <w:lang w:val="zh-TW" w:eastAsia="zh-TW"/>
        </w:rPr>
        <w:t>评标委员会全体人员对评分细则和投标文件，充分讨论后，按少数服从多数的原则集体统一评分。</w:t>
      </w:r>
    </w:p>
    <w:p>
      <w:pPr>
        <w:pStyle w:val="586"/>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Style w:val="608"/>
          <w:rFonts w:hint="eastAsia" w:ascii="宋体" w:hAnsi="宋体" w:eastAsia="宋体" w:cs="宋体"/>
          <w:b/>
          <w:bCs/>
          <w:color w:val="auto"/>
          <w:szCs w:val="24"/>
          <w:highlight w:val="none"/>
        </w:rPr>
      </w:pPr>
      <w:r>
        <w:rPr>
          <w:rStyle w:val="607"/>
          <w:rFonts w:hint="eastAsia" w:ascii="宋体" w:hAnsi="宋体" w:eastAsia="宋体" w:cs="宋体"/>
          <w:color w:val="auto"/>
          <w:szCs w:val="24"/>
          <w:highlight w:val="none"/>
          <w:lang w:val="zh-TW"/>
        </w:rPr>
        <w:t>（3）</w:t>
      </w:r>
      <w:r>
        <w:rPr>
          <w:rStyle w:val="607"/>
          <w:rFonts w:hint="eastAsia" w:ascii="宋体" w:hAnsi="宋体" w:eastAsia="宋体" w:cs="宋体"/>
          <w:color w:val="auto"/>
          <w:szCs w:val="24"/>
          <w:highlight w:val="none"/>
          <w:lang w:val="zh-TW" w:eastAsia="zh-TW"/>
        </w:rPr>
        <w:t>分析总报价及各个分项报价是否合理、报价范围是否完整、有否重大错漏项。如评标委员会一致认为最低投标报价或某些分项明显不合理，有降低质量、不能诚信履约的可能时，评标委员会有权通知投标方限期进行解释。如投标方未在规定期限内做出解释，或所作解释不合理，经评标委员会取得一致意见后，可确定该投标为无效报价。</w:t>
      </w:r>
    </w:p>
    <w:p>
      <w:pPr>
        <w:pStyle w:val="53"/>
        <w:keepNext w:val="0"/>
        <w:keepLines w:val="0"/>
        <w:pageBreakBefore w:val="0"/>
        <w:kinsoku/>
        <w:wordWrap/>
        <w:overflowPunct/>
        <w:topLinePunct w:val="0"/>
        <w:autoSpaceDE/>
        <w:autoSpaceDN/>
        <w:bidi w:val="0"/>
        <w:adjustRightInd/>
        <w:snapToGrid/>
        <w:spacing w:line="400" w:lineRule="exact"/>
        <w:ind w:left="0" w:leftChars="0" w:right="0" w:rightChars="0" w:firstLine="482" w:firstLineChars="200"/>
        <w:textAlignment w:val="auto"/>
        <w:outlineLvl w:val="9"/>
        <w:rPr>
          <w:rStyle w:val="608"/>
          <w:rFonts w:hint="eastAsia" w:ascii="宋体" w:hAnsi="宋体" w:eastAsia="宋体" w:cs="宋体"/>
          <w:b/>
          <w:bCs/>
          <w:color w:val="auto"/>
          <w:sz w:val="24"/>
          <w:szCs w:val="24"/>
          <w:highlight w:val="none"/>
          <w:lang w:val="zh-TW" w:eastAsia="zh-TW"/>
        </w:rPr>
      </w:pPr>
      <w:r>
        <w:rPr>
          <w:rStyle w:val="608"/>
          <w:rFonts w:hint="eastAsia" w:ascii="宋体" w:hAnsi="宋体" w:eastAsia="宋体" w:cs="宋体"/>
          <w:b/>
          <w:bCs/>
          <w:color w:val="auto"/>
          <w:sz w:val="24"/>
          <w:szCs w:val="24"/>
          <w:highlight w:val="none"/>
          <w:lang w:val="zh-TW" w:eastAsia="zh-CN"/>
        </w:rPr>
        <w:t>（</w:t>
      </w:r>
      <w:r>
        <w:rPr>
          <w:rStyle w:val="608"/>
          <w:rFonts w:hint="eastAsia" w:ascii="宋体" w:hAnsi="宋体" w:eastAsia="宋体" w:cs="宋体"/>
          <w:b/>
          <w:bCs/>
          <w:color w:val="auto"/>
          <w:sz w:val="24"/>
          <w:szCs w:val="24"/>
          <w:highlight w:val="none"/>
          <w:lang w:val="en-US" w:eastAsia="zh-CN"/>
        </w:rPr>
        <w:t>4</w:t>
      </w:r>
      <w:r>
        <w:rPr>
          <w:rStyle w:val="608"/>
          <w:rFonts w:hint="eastAsia" w:ascii="宋体" w:hAnsi="宋体" w:eastAsia="宋体" w:cs="宋体"/>
          <w:b/>
          <w:bCs/>
          <w:color w:val="auto"/>
          <w:sz w:val="24"/>
          <w:szCs w:val="24"/>
          <w:highlight w:val="none"/>
          <w:lang w:val="zh-TW" w:eastAsia="zh-CN"/>
        </w:rPr>
        <w:t>）</w:t>
      </w:r>
      <w:r>
        <w:rPr>
          <w:rStyle w:val="608"/>
          <w:rFonts w:hint="eastAsia" w:ascii="宋体" w:hAnsi="宋体" w:eastAsia="宋体" w:cs="宋体"/>
          <w:b/>
          <w:bCs/>
          <w:color w:val="auto"/>
          <w:sz w:val="24"/>
          <w:szCs w:val="24"/>
          <w:highlight w:val="none"/>
          <w:lang w:val="zh-TW" w:eastAsia="zh-TW"/>
        </w:rPr>
        <w:t>评标委员会将推荐综合评分最高的投标者为中标候选人。</w:t>
      </w:r>
    </w:p>
    <w:p>
      <w:pPr>
        <w:pStyle w:val="53"/>
        <w:kinsoku/>
        <w:overflowPunct/>
        <w:bidi w:val="0"/>
        <w:spacing w:line="400" w:lineRule="exact"/>
        <w:ind w:firstLine="0" w:firstLineChars="0"/>
        <w:jc w:val="left"/>
        <w:rPr>
          <w:rStyle w:val="607"/>
          <w:rFonts w:hint="eastAsia" w:ascii="宋体" w:hAnsi="宋体" w:eastAsia="宋体" w:cs="宋体"/>
          <w:b/>
          <w:color w:val="auto"/>
          <w:sz w:val="24"/>
          <w:szCs w:val="24"/>
          <w:highlight w:val="none"/>
          <w:lang w:val="zh-CN"/>
        </w:rPr>
      </w:pPr>
      <w:r>
        <w:rPr>
          <w:rStyle w:val="607"/>
          <w:rFonts w:hint="eastAsia" w:ascii="宋体" w:hAnsi="宋体" w:eastAsia="宋体" w:cs="宋体"/>
          <w:b/>
          <w:color w:val="auto"/>
          <w:sz w:val="24"/>
          <w:szCs w:val="24"/>
          <w:highlight w:val="none"/>
          <w:lang w:val="zh-CN"/>
        </w:rPr>
        <w:t>六、开评标程序</w:t>
      </w:r>
    </w:p>
    <w:p>
      <w:pPr>
        <w:pStyle w:val="586"/>
        <w:kinsoku/>
        <w:overflowPunct/>
        <w:bidi w:val="0"/>
        <w:spacing w:line="400" w:lineRule="exact"/>
        <w:ind w:firstLine="422"/>
        <w:rPr>
          <w:rStyle w:val="607"/>
          <w:rFonts w:hint="eastAsia" w:ascii="宋体" w:hAnsi="宋体" w:eastAsia="宋体" w:cs="宋体"/>
          <w:color w:val="auto"/>
          <w:szCs w:val="24"/>
          <w:highlight w:val="none"/>
          <w:lang w:val="zh-CN"/>
        </w:rPr>
      </w:pPr>
      <w:r>
        <w:rPr>
          <w:rStyle w:val="607"/>
          <w:rFonts w:hint="eastAsia" w:ascii="宋体" w:hAnsi="宋体" w:eastAsia="宋体" w:cs="宋体"/>
          <w:color w:val="auto"/>
          <w:szCs w:val="24"/>
          <w:highlight w:val="none"/>
        </w:rPr>
        <w:t>1、</w:t>
      </w:r>
      <w:r>
        <w:rPr>
          <w:rStyle w:val="607"/>
          <w:rFonts w:hint="eastAsia" w:ascii="宋体" w:hAnsi="宋体" w:eastAsia="宋体" w:cs="宋体"/>
          <w:color w:val="auto"/>
          <w:szCs w:val="24"/>
          <w:highlight w:val="none"/>
          <w:lang w:val="zh-TW"/>
        </w:rPr>
        <w:t>工作人员宣布投标截止时间，截止时间以国家授时中心标准时间为准，宣布招标会议开始。</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rPr>
        <w:t>2、</w:t>
      </w:r>
      <w:r>
        <w:rPr>
          <w:rStyle w:val="607"/>
          <w:rFonts w:hint="eastAsia" w:ascii="宋体" w:hAnsi="宋体" w:eastAsia="宋体" w:cs="宋体"/>
          <w:color w:val="auto"/>
          <w:szCs w:val="24"/>
          <w:highlight w:val="none"/>
          <w:lang w:val="zh-TW"/>
        </w:rPr>
        <w:t>工作人员确认投标人法定代表人（负责人）或授权委托代理人资格、投标文件递交等情况。</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rPr>
        <w:t>3、</w:t>
      </w:r>
      <w:r>
        <w:rPr>
          <w:rStyle w:val="607"/>
          <w:rFonts w:hint="eastAsia" w:ascii="宋体" w:hAnsi="宋体" w:eastAsia="宋体" w:cs="宋体"/>
          <w:color w:val="auto"/>
          <w:szCs w:val="24"/>
          <w:highlight w:val="none"/>
          <w:lang w:val="zh-TW"/>
        </w:rPr>
        <w:t>本项目原则上采用政采云电子招投标开标及评审程序，但有下情形之一的，按以下情况处理：</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若投标人的电子投标文件在规定时间内无法解密或解密失败，工作人员将开启该投标人递交的电子备份投标文件，以完成开标。</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rPr>
        <w:t>4、</w:t>
      </w:r>
      <w:r>
        <w:rPr>
          <w:rStyle w:val="607"/>
          <w:rFonts w:hint="eastAsia" w:ascii="宋体" w:hAnsi="宋体" w:eastAsia="宋体" w:cs="宋体"/>
          <w:color w:val="auto"/>
          <w:szCs w:val="24"/>
          <w:highlight w:val="none"/>
          <w:lang w:val="zh-TW"/>
        </w:rPr>
        <w:t>电子投标开标及评审程序</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（1）投标截止时间后，投标人登录政采云平台，用“项目采购-开标评标”功能对电子投标文件进行在线解密。在线解密电子投标文件时间为开标时间起半个小时内。</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（2）评标委员会对商务技术文件进行评审；</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（3）在系统上商务技术</w:t>
      </w:r>
      <w:r>
        <w:rPr>
          <w:rStyle w:val="607"/>
          <w:rFonts w:hint="eastAsia" w:ascii="宋体" w:hAnsi="宋体" w:eastAsia="宋体" w:cs="宋体"/>
          <w:color w:val="auto"/>
          <w:szCs w:val="24"/>
          <w:highlight w:val="none"/>
        </w:rPr>
        <w:t>文件</w:t>
      </w:r>
      <w:r>
        <w:rPr>
          <w:rStyle w:val="607"/>
          <w:rFonts w:hint="eastAsia" w:ascii="宋体" w:hAnsi="宋体" w:eastAsia="宋体" w:cs="宋体"/>
          <w:color w:val="auto"/>
          <w:szCs w:val="24"/>
          <w:highlight w:val="none"/>
          <w:lang w:val="zh-TW"/>
        </w:rPr>
        <w:t>评审结果；</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（4）在系统上公开报价开标情况；</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（5）评标委员会对报价情况进行评审；</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（6）在系统上公布评审结果。</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特别说明：政采云公司如对电子化开标及评审程序有调整的，按调整后的程序操作。</w:t>
      </w:r>
    </w:p>
    <w:p>
      <w:pPr>
        <w:pStyle w:val="586"/>
        <w:kinsoku/>
        <w:overflowPunct/>
        <w:bidi w:val="0"/>
        <w:spacing w:line="400" w:lineRule="exact"/>
        <w:ind w:firstLine="422"/>
        <w:rPr>
          <w:rFonts w:hint="eastAsia" w:ascii="宋体" w:hAnsi="宋体" w:eastAsia="宋体" w:cs="宋体"/>
          <w:color w:val="auto"/>
          <w:szCs w:val="24"/>
          <w:highlight w:val="none"/>
        </w:rPr>
      </w:pPr>
      <w:r>
        <w:rPr>
          <w:rStyle w:val="607"/>
          <w:rFonts w:hint="eastAsia" w:ascii="宋体" w:hAnsi="宋体" w:eastAsia="宋体" w:cs="宋体"/>
          <w:color w:val="auto"/>
          <w:szCs w:val="24"/>
          <w:highlight w:val="none"/>
        </w:rPr>
        <w:t>5</w:t>
      </w:r>
      <w:r>
        <w:rPr>
          <w:rStyle w:val="607"/>
          <w:rFonts w:hint="eastAsia" w:ascii="宋体" w:hAnsi="宋体" w:eastAsia="宋体" w:cs="宋体"/>
          <w:color w:val="auto"/>
          <w:szCs w:val="24"/>
          <w:highlight w:val="none"/>
          <w:lang w:val="zh-TW"/>
        </w:rPr>
        <w:t>.开标会结束。</w:t>
      </w:r>
    </w:p>
    <w:sectPr>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auto"/>
    <w:pitch w:val="default"/>
    <w:sig w:usb0="00000000" w:usb1="00000000" w:usb2="0000007F" w:usb3="00000000" w:csb0="203F01FF" w:csb1="DFFF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HYKai U3HK">
    <w:altName w:val="MingLiU-ExtB"/>
    <w:panose1 w:val="00000000000000000000"/>
    <w:charset w:val="88"/>
    <w:family w:val="modern"/>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CS?o｡ﾀ?">
    <w:altName w:val="MS PGothic"/>
    <w:panose1 w:val="00000000000000000000"/>
    <w:charset w:val="80"/>
    <w:family w:val="modern"/>
    <w:pitch w:val="default"/>
    <w:sig w:usb0="00000000" w:usb1="00000000" w:usb2="00000010" w:usb3="00000000" w:csb0="00020000" w:csb1="00000000"/>
  </w:font>
  <w:font w:name="华文仿宋">
    <w:altName w:val="仿宋"/>
    <w:panose1 w:val="02010600040101010101"/>
    <w:charset w:val="86"/>
    <w:family w:val="auto"/>
    <w:pitch w:val="default"/>
    <w:sig w:usb0="00000000" w:usb1="00000000" w:usb2="00000000" w:usb3="00000000" w:csb0="0004009F" w:csb1="DFD70000"/>
  </w:font>
  <w:font w:name="ヒラギノ角ゴ Pro W3">
    <w:altName w:val="MS Gothic"/>
    <w:panose1 w:val="00000000000000000000"/>
    <w:charset w:val="80"/>
    <w:family w:val="auto"/>
    <w:pitch w:val="default"/>
    <w:sig w:usb0="00000000" w:usb1="00000000" w:usb2="00000012" w:usb3="00000000" w:csb0="0002000D" w:csb1="00000000"/>
  </w:font>
  <w:font w:name="??_GB2312">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7"/>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57"/>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p>
    <w:pPr>
      <w:pStyle w:val="5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center" w:y="1"/>
      <w:rPr>
        <w:rStyle w:val="91"/>
      </w:rPr>
    </w:pPr>
    <w:r>
      <w:fldChar w:fldCharType="begin"/>
    </w:r>
    <w:r>
      <w:rPr>
        <w:rStyle w:val="91"/>
      </w:rPr>
      <w:instrText xml:space="preserve">PAGE  </w:instrText>
    </w:r>
    <w:r>
      <w:fldChar w:fldCharType="separate"/>
    </w:r>
    <w:r>
      <w:rPr>
        <w:rStyle w:val="91"/>
      </w:rPr>
      <w:t>1</w:t>
    </w:r>
    <w:r>
      <w:fldChar w:fldCharType="end"/>
    </w:r>
  </w:p>
  <w:p>
    <w:pPr>
      <w:pStyle w:val="57"/>
    </w:pPr>
  </w:p>
  <w:p/>
  <w:p/>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7"/>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pStyle w:val="57"/>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after="120"/>
      <w:ind w:firstLine="422"/>
      <w:jc w:val="center"/>
      <w:rPr>
        <w:b/>
        <w:color w:val="984806"/>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7"/>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p>
                    <w:pPr>
                      <w:pStyle w:val="57"/>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7"/>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t4qQ0VAgAAFQQAAA4AAAAAAAAA&#10;AQAgAAAAHwEAAGRycy9lMm9Eb2MueG1sUEsFBgAAAAAGAAYAWQEAAKYFAAAAAA==&#10;">
              <v:fill on="f" focussize="0,0"/>
              <v:stroke on="f" weight="0.5pt"/>
              <v:imagedata o:title=""/>
              <o:lock v:ext="edit" aspectratio="f"/>
              <v:textbox inset="0mm,0mm,0mm,0mm" style="mso-fit-shape-to-text:t;">
                <w:txbxContent>
                  <w:p>
                    <w:pPr>
                      <w:pStyle w:val="57"/>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7"/>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57"/>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C78FC4"/>
    <w:multiLevelType w:val="singleLevel"/>
    <w:tmpl w:val="99C78FC4"/>
    <w:lvl w:ilvl="0" w:tentative="0">
      <w:start w:val="3"/>
      <w:numFmt w:val="chineseCounting"/>
      <w:suff w:val="space"/>
      <w:lvlText w:val="第%1部分"/>
      <w:lvlJc w:val="left"/>
      <w:rPr>
        <w:rFonts w:hint="eastAsia"/>
      </w:rPr>
    </w:lvl>
  </w:abstractNum>
  <w:abstractNum w:abstractNumId="1">
    <w:nsid w:val="F674539E"/>
    <w:multiLevelType w:val="singleLevel"/>
    <w:tmpl w:val="F674539E"/>
    <w:lvl w:ilvl="0" w:tentative="0">
      <w:start w:val="1"/>
      <w:numFmt w:val="decimal"/>
      <w:suff w:val="nothing"/>
      <w:lvlText w:val="（%1）"/>
      <w:lvlJc w:val="left"/>
    </w:lvl>
  </w:abstractNum>
  <w:abstractNum w:abstractNumId="2">
    <w:nsid w:val="2FF86FF6"/>
    <w:multiLevelType w:val="multilevel"/>
    <w:tmpl w:val="2FF86FF6"/>
    <w:lvl w:ilvl="0" w:tentative="0">
      <w:start w:val="1"/>
      <w:numFmt w:val="decimal"/>
      <w:lvlText w:val="%1"/>
      <w:lvlJc w:val="left"/>
      <w:pPr>
        <w:tabs>
          <w:tab w:val="left" w:pos="0"/>
        </w:tabs>
        <w:ind w:left="425" w:hanging="425"/>
      </w:pPr>
      <w:rPr>
        <w:rFonts w:hint="eastAsia"/>
      </w:rPr>
    </w:lvl>
    <w:lvl w:ilvl="1" w:tentative="0">
      <w:start w:val="1"/>
      <w:numFmt w:val="decimal"/>
      <w:lvlText w:val="%1.%2"/>
      <w:lvlJc w:val="left"/>
      <w:pPr>
        <w:tabs>
          <w:tab w:val="left" w:pos="0"/>
        </w:tabs>
        <w:ind w:left="567" w:hanging="567"/>
      </w:pPr>
      <w:rPr>
        <w:rFonts w:hint="eastAsia"/>
      </w:rPr>
    </w:lvl>
    <w:lvl w:ilvl="2" w:tentative="0">
      <w:start w:val="1"/>
      <w:numFmt w:val="decimal"/>
      <w:pStyle w:val="610"/>
      <w:lvlText w:val="%1.%2.%3"/>
      <w:lvlJc w:val="left"/>
      <w:pPr>
        <w:tabs>
          <w:tab w:val="left" w:pos="142"/>
        </w:tabs>
        <w:ind w:left="851" w:hanging="851"/>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3">
    <w:nsid w:val="3E21619A"/>
    <w:multiLevelType w:val="singleLevel"/>
    <w:tmpl w:val="3E21619A"/>
    <w:lvl w:ilvl="0" w:tentative="0">
      <w:start w:val="1"/>
      <w:numFmt w:val="chineseCounting"/>
      <w:suff w:val="nothing"/>
      <w:lvlText w:val="%1、"/>
      <w:lvlJc w:val="left"/>
      <w:rPr>
        <w:rFonts w:hint="eastAsia"/>
      </w:rPr>
    </w:lvl>
  </w:abstractNum>
  <w:abstractNum w:abstractNumId="4">
    <w:nsid w:val="6426958B"/>
    <w:multiLevelType w:val="singleLevel"/>
    <w:tmpl w:val="6426958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YjgxNGZjMTlhZGMwZDAxMTg4MmZjMjg0ZTM0MmUifQ=="/>
    <w:docVar w:name="KSO_WPS_MARK_KEY" w:val="6e5806a0-e1c8-4eda-a9a6-8b102f9e3b20"/>
  </w:docVars>
  <w:rsids>
    <w:rsidRoot w:val="007A5D82"/>
    <w:rsid w:val="00027E82"/>
    <w:rsid w:val="00046B9C"/>
    <w:rsid w:val="000B2DD3"/>
    <w:rsid w:val="000B6D1D"/>
    <w:rsid w:val="000C5583"/>
    <w:rsid w:val="000D1422"/>
    <w:rsid w:val="00105D0F"/>
    <w:rsid w:val="0013265A"/>
    <w:rsid w:val="0015040C"/>
    <w:rsid w:val="001A0CD4"/>
    <w:rsid w:val="001B2290"/>
    <w:rsid w:val="002131C9"/>
    <w:rsid w:val="002272AD"/>
    <w:rsid w:val="00243D83"/>
    <w:rsid w:val="0025204E"/>
    <w:rsid w:val="002903B8"/>
    <w:rsid w:val="0034556A"/>
    <w:rsid w:val="003A42CB"/>
    <w:rsid w:val="003C5EF4"/>
    <w:rsid w:val="00406FB1"/>
    <w:rsid w:val="00415500"/>
    <w:rsid w:val="00430F02"/>
    <w:rsid w:val="00483399"/>
    <w:rsid w:val="0048446F"/>
    <w:rsid w:val="004C66FE"/>
    <w:rsid w:val="005016A3"/>
    <w:rsid w:val="00553F2B"/>
    <w:rsid w:val="00560C55"/>
    <w:rsid w:val="005770C6"/>
    <w:rsid w:val="00592201"/>
    <w:rsid w:val="005D5A89"/>
    <w:rsid w:val="00620CEE"/>
    <w:rsid w:val="006475F9"/>
    <w:rsid w:val="006557B5"/>
    <w:rsid w:val="0067025D"/>
    <w:rsid w:val="006D68BC"/>
    <w:rsid w:val="006F7EC8"/>
    <w:rsid w:val="007221E1"/>
    <w:rsid w:val="007506F2"/>
    <w:rsid w:val="00785368"/>
    <w:rsid w:val="0079676D"/>
    <w:rsid w:val="007A5D82"/>
    <w:rsid w:val="007C3852"/>
    <w:rsid w:val="007F7870"/>
    <w:rsid w:val="00806165"/>
    <w:rsid w:val="00842EA4"/>
    <w:rsid w:val="008618A5"/>
    <w:rsid w:val="0088327D"/>
    <w:rsid w:val="008B6D38"/>
    <w:rsid w:val="008D4084"/>
    <w:rsid w:val="0090511E"/>
    <w:rsid w:val="009175E9"/>
    <w:rsid w:val="00965F66"/>
    <w:rsid w:val="009D3545"/>
    <w:rsid w:val="009F125B"/>
    <w:rsid w:val="009F2638"/>
    <w:rsid w:val="00A30AEF"/>
    <w:rsid w:val="00A74250"/>
    <w:rsid w:val="00AA31C9"/>
    <w:rsid w:val="00AE44FE"/>
    <w:rsid w:val="00B1163D"/>
    <w:rsid w:val="00B2721C"/>
    <w:rsid w:val="00B34A9D"/>
    <w:rsid w:val="00B52669"/>
    <w:rsid w:val="00B63531"/>
    <w:rsid w:val="00B648EC"/>
    <w:rsid w:val="00C23D3C"/>
    <w:rsid w:val="00C36099"/>
    <w:rsid w:val="00C40E2E"/>
    <w:rsid w:val="00C63501"/>
    <w:rsid w:val="00C82DC5"/>
    <w:rsid w:val="00C83E71"/>
    <w:rsid w:val="00C94444"/>
    <w:rsid w:val="00CB7716"/>
    <w:rsid w:val="00CE6FFB"/>
    <w:rsid w:val="00D7121C"/>
    <w:rsid w:val="00D93836"/>
    <w:rsid w:val="00DC0A28"/>
    <w:rsid w:val="00E20DA8"/>
    <w:rsid w:val="00E4621F"/>
    <w:rsid w:val="00EB2895"/>
    <w:rsid w:val="00EC7558"/>
    <w:rsid w:val="00F02364"/>
    <w:rsid w:val="00F41063"/>
    <w:rsid w:val="00FC5D2D"/>
    <w:rsid w:val="01186C7A"/>
    <w:rsid w:val="011D1ADA"/>
    <w:rsid w:val="014E520E"/>
    <w:rsid w:val="01A65DF4"/>
    <w:rsid w:val="01AA487D"/>
    <w:rsid w:val="01F70F33"/>
    <w:rsid w:val="01F96EC8"/>
    <w:rsid w:val="021777EF"/>
    <w:rsid w:val="02195631"/>
    <w:rsid w:val="02205F46"/>
    <w:rsid w:val="022E21C6"/>
    <w:rsid w:val="02372334"/>
    <w:rsid w:val="023B42B5"/>
    <w:rsid w:val="025564EB"/>
    <w:rsid w:val="02C45A4B"/>
    <w:rsid w:val="02DE09FE"/>
    <w:rsid w:val="02DE46CD"/>
    <w:rsid w:val="02F36679"/>
    <w:rsid w:val="0300101E"/>
    <w:rsid w:val="03031D77"/>
    <w:rsid w:val="0319088C"/>
    <w:rsid w:val="03366254"/>
    <w:rsid w:val="039D113B"/>
    <w:rsid w:val="03D86C66"/>
    <w:rsid w:val="03DD1E88"/>
    <w:rsid w:val="03E13221"/>
    <w:rsid w:val="03EB570F"/>
    <w:rsid w:val="041465B3"/>
    <w:rsid w:val="0427203C"/>
    <w:rsid w:val="04375C55"/>
    <w:rsid w:val="043B3259"/>
    <w:rsid w:val="045C3220"/>
    <w:rsid w:val="04671DFA"/>
    <w:rsid w:val="04836EB7"/>
    <w:rsid w:val="04913A57"/>
    <w:rsid w:val="04A65518"/>
    <w:rsid w:val="04BD70CC"/>
    <w:rsid w:val="04BE22A0"/>
    <w:rsid w:val="04CF49E8"/>
    <w:rsid w:val="04CF6494"/>
    <w:rsid w:val="04E702A5"/>
    <w:rsid w:val="05155495"/>
    <w:rsid w:val="05203D67"/>
    <w:rsid w:val="053509BB"/>
    <w:rsid w:val="05363B99"/>
    <w:rsid w:val="055A008C"/>
    <w:rsid w:val="05A94E9B"/>
    <w:rsid w:val="05B5354F"/>
    <w:rsid w:val="05C77D31"/>
    <w:rsid w:val="05CF34BF"/>
    <w:rsid w:val="05D626FD"/>
    <w:rsid w:val="05E10205"/>
    <w:rsid w:val="05F36976"/>
    <w:rsid w:val="05F80E9F"/>
    <w:rsid w:val="06053772"/>
    <w:rsid w:val="06671DFD"/>
    <w:rsid w:val="06A85729"/>
    <w:rsid w:val="070B6B2B"/>
    <w:rsid w:val="07260087"/>
    <w:rsid w:val="072C7A50"/>
    <w:rsid w:val="072E6C00"/>
    <w:rsid w:val="074A5FE6"/>
    <w:rsid w:val="07534A72"/>
    <w:rsid w:val="07673B86"/>
    <w:rsid w:val="07775D81"/>
    <w:rsid w:val="077765EB"/>
    <w:rsid w:val="07D04F72"/>
    <w:rsid w:val="07F30816"/>
    <w:rsid w:val="084C20C2"/>
    <w:rsid w:val="085146E0"/>
    <w:rsid w:val="085B3EDF"/>
    <w:rsid w:val="086218C9"/>
    <w:rsid w:val="08715170"/>
    <w:rsid w:val="087D2589"/>
    <w:rsid w:val="08970A9A"/>
    <w:rsid w:val="08AD60D8"/>
    <w:rsid w:val="08D35662"/>
    <w:rsid w:val="08EF6EE4"/>
    <w:rsid w:val="09096B03"/>
    <w:rsid w:val="09190EEC"/>
    <w:rsid w:val="093D37A3"/>
    <w:rsid w:val="096D7C5A"/>
    <w:rsid w:val="09796F60"/>
    <w:rsid w:val="098258BB"/>
    <w:rsid w:val="099D5A30"/>
    <w:rsid w:val="09B878D0"/>
    <w:rsid w:val="09CA55FB"/>
    <w:rsid w:val="09E924D2"/>
    <w:rsid w:val="09EB2C7F"/>
    <w:rsid w:val="09EC0BAB"/>
    <w:rsid w:val="0A0C2E66"/>
    <w:rsid w:val="0A146479"/>
    <w:rsid w:val="0A1D3BE9"/>
    <w:rsid w:val="0A4C074B"/>
    <w:rsid w:val="0A6C3C00"/>
    <w:rsid w:val="0A705E7E"/>
    <w:rsid w:val="0A9B375F"/>
    <w:rsid w:val="0AB255E0"/>
    <w:rsid w:val="0B085EBE"/>
    <w:rsid w:val="0B1262CC"/>
    <w:rsid w:val="0B1940D3"/>
    <w:rsid w:val="0B5B2301"/>
    <w:rsid w:val="0B5C2651"/>
    <w:rsid w:val="0B786CDF"/>
    <w:rsid w:val="0B901D30"/>
    <w:rsid w:val="0BD206EB"/>
    <w:rsid w:val="0BE22D2E"/>
    <w:rsid w:val="0BE23A54"/>
    <w:rsid w:val="0BE76914"/>
    <w:rsid w:val="0C274838"/>
    <w:rsid w:val="0C2F616C"/>
    <w:rsid w:val="0C4563B9"/>
    <w:rsid w:val="0C5E0654"/>
    <w:rsid w:val="0C62612E"/>
    <w:rsid w:val="0C743360"/>
    <w:rsid w:val="0C92386B"/>
    <w:rsid w:val="0CA04CA2"/>
    <w:rsid w:val="0CB85341"/>
    <w:rsid w:val="0CBD485A"/>
    <w:rsid w:val="0CD27274"/>
    <w:rsid w:val="0CE60C5B"/>
    <w:rsid w:val="0CFD24B4"/>
    <w:rsid w:val="0D0117B4"/>
    <w:rsid w:val="0D2E4F2F"/>
    <w:rsid w:val="0D4041EB"/>
    <w:rsid w:val="0D4C180E"/>
    <w:rsid w:val="0D7008B3"/>
    <w:rsid w:val="0D7F0C0F"/>
    <w:rsid w:val="0DA678BA"/>
    <w:rsid w:val="0DBB1D88"/>
    <w:rsid w:val="0DCE0F79"/>
    <w:rsid w:val="0DDA199C"/>
    <w:rsid w:val="0DDA727B"/>
    <w:rsid w:val="0DDC0EB9"/>
    <w:rsid w:val="0DDD00BB"/>
    <w:rsid w:val="0E125C73"/>
    <w:rsid w:val="0E173B47"/>
    <w:rsid w:val="0E445115"/>
    <w:rsid w:val="0E586E56"/>
    <w:rsid w:val="0E6869B9"/>
    <w:rsid w:val="0E965313"/>
    <w:rsid w:val="0EA91E75"/>
    <w:rsid w:val="0EE344B5"/>
    <w:rsid w:val="0F0E6720"/>
    <w:rsid w:val="0F4D3080"/>
    <w:rsid w:val="0F627DA2"/>
    <w:rsid w:val="0F8A67B5"/>
    <w:rsid w:val="0FA461AB"/>
    <w:rsid w:val="0FE663C2"/>
    <w:rsid w:val="0FE718AE"/>
    <w:rsid w:val="0FE81A41"/>
    <w:rsid w:val="0FEA4359"/>
    <w:rsid w:val="0FF504C5"/>
    <w:rsid w:val="10236D77"/>
    <w:rsid w:val="10384BA1"/>
    <w:rsid w:val="103F4D87"/>
    <w:rsid w:val="10523E08"/>
    <w:rsid w:val="10582DCC"/>
    <w:rsid w:val="105F2958"/>
    <w:rsid w:val="10631D68"/>
    <w:rsid w:val="1064669D"/>
    <w:rsid w:val="10716375"/>
    <w:rsid w:val="107E3BF9"/>
    <w:rsid w:val="11061962"/>
    <w:rsid w:val="1115410E"/>
    <w:rsid w:val="11202823"/>
    <w:rsid w:val="112A1FBA"/>
    <w:rsid w:val="11696F12"/>
    <w:rsid w:val="118F603A"/>
    <w:rsid w:val="119E4B3A"/>
    <w:rsid w:val="11BC311D"/>
    <w:rsid w:val="11E151B7"/>
    <w:rsid w:val="122E5B1E"/>
    <w:rsid w:val="123F44A2"/>
    <w:rsid w:val="12816125"/>
    <w:rsid w:val="128220B6"/>
    <w:rsid w:val="128C7D48"/>
    <w:rsid w:val="12AA3A07"/>
    <w:rsid w:val="12AC6E04"/>
    <w:rsid w:val="12E93547"/>
    <w:rsid w:val="12F3442E"/>
    <w:rsid w:val="1312722E"/>
    <w:rsid w:val="133476EF"/>
    <w:rsid w:val="13411BF9"/>
    <w:rsid w:val="13445791"/>
    <w:rsid w:val="134635DB"/>
    <w:rsid w:val="13646D10"/>
    <w:rsid w:val="139628D8"/>
    <w:rsid w:val="13A36590"/>
    <w:rsid w:val="13D226AF"/>
    <w:rsid w:val="13D34AF5"/>
    <w:rsid w:val="13DB4F92"/>
    <w:rsid w:val="1418000B"/>
    <w:rsid w:val="1427438A"/>
    <w:rsid w:val="14565D1F"/>
    <w:rsid w:val="14787907"/>
    <w:rsid w:val="14806907"/>
    <w:rsid w:val="14A151FA"/>
    <w:rsid w:val="14A8396E"/>
    <w:rsid w:val="14D44300"/>
    <w:rsid w:val="14D93CB1"/>
    <w:rsid w:val="14DA70D1"/>
    <w:rsid w:val="14EF7961"/>
    <w:rsid w:val="14F56D5A"/>
    <w:rsid w:val="14FB28FE"/>
    <w:rsid w:val="150429F6"/>
    <w:rsid w:val="150D2A54"/>
    <w:rsid w:val="15156A19"/>
    <w:rsid w:val="1572095A"/>
    <w:rsid w:val="15EA5CAE"/>
    <w:rsid w:val="15FA19FE"/>
    <w:rsid w:val="160217CC"/>
    <w:rsid w:val="16027579"/>
    <w:rsid w:val="16171CB4"/>
    <w:rsid w:val="161F16D9"/>
    <w:rsid w:val="16260333"/>
    <w:rsid w:val="1643527D"/>
    <w:rsid w:val="164A11FC"/>
    <w:rsid w:val="164A6903"/>
    <w:rsid w:val="164C095D"/>
    <w:rsid w:val="16623374"/>
    <w:rsid w:val="16632339"/>
    <w:rsid w:val="167A25D1"/>
    <w:rsid w:val="168626AD"/>
    <w:rsid w:val="16AF74C1"/>
    <w:rsid w:val="16B451A1"/>
    <w:rsid w:val="170A73BD"/>
    <w:rsid w:val="174A5A95"/>
    <w:rsid w:val="174F4395"/>
    <w:rsid w:val="176B0DEA"/>
    <w:rsid w:val="1777258E"/>
    <w:rsid w:val="177B2B4C"/>
    <w:rsid w:val="17847968"/>
    <w:rsid w:val="17863144"/>
    <w:rsid w:val="1786425E"/>
    <w:rsid w:val="178A0924"/>
    <w:rsid w:val="17985D5F"/>
    <w:rsid w:val="17A16F12"/>
    <w:rsid w:val="17BE442F"/>
    <w:rsid w:val="17C54B98"/>
    <w:rsid w:val="17CF4BB8"/>
    <w:rsid w:val="17D13202"/>
    <w:rsid w:val="17D21925"/>
    <w:rsid w:val="17DF243D"/>
    <w:rsid w:val="17E84521"/>
    <w:rsid w:val="17EB14FB"/>
    <w:rsid w:val="17FE0027"/>
    <w:rsid w:val="181B0779"/>
    <w:rsid w:val="18400A5E"/>
    <w:rsid w:val="18407A15"/>
    <w:rsid w:val="184765EF"/>
    <w:rsid w:val="187E6CAF"/>
    <w:rsid w:val="188633DB"/>
    <w:rsid w:val="188A1F09"/>
    <w:rsid w:val="188D05C7"/>
    <w:rsid w:val="18C73D32"/>
    <w:rsid w:val="18CB2B75"/>
    <w:rsid w:val="18EA4156"/>
    <w:rsid w:val="19024F6A"/>
    <w:rsid w:val="19167623"/>
    <w:rsid w:val="192B4317"/>
    <w:rsid w:val="193E101D"/>
    <w:rsid w:val="19433FC8"/>
    <w:rsid w:val="196561E2"/>
    <w:rsid w:val="19675A6E"/>
    <w:rsid w:val="19775513"/>
    <w:rsid w:val="198F4E4D"/>
    <w:rsid w:val="199B28A1"/>
    <w:rsid w:val="19AD5C55"/>
    <w:rsid w:val="19AE250E"/>
    <w:rsid w:val="19B10BC9"/>
    <w:rsid w:val="19C55B70"/>
    <w:rsid w:val="19D71810"/>
    <w:rsid w:val="19F23284"/>
    <w:rsid w:val="1A034B64"/>
    <w:rsid w:val="1A110FAB"/>
    <w:rsid w:val="1A224AA1"/>
    <w:rsid w:val="1A2528D9"/>
    <w:rsid w:val="1A272330"/>
    <w:rsid w:val="1A2E27C7"/>
    <w:rsid w:val="1A3076E5"/>
    <w:rsid w:val="1A39737E"/>
    <w:rsid w:val="1A791292"/>
    <w:rsid w:val="1AA56983"/>
    <w:rsid w:val="1AAF0325"/>
    <w:rsid w:val="1AD75490"/>
    <w:rsid w:val="1AE338C3"/>
    <w:rsid w:val="1AF31934"/>
    <w:rsid w:val="1AF632E9"/>
    <w:rsid w:val="1AF75459"/>
    <w:rsid w:val="1B1B2C06"/>
    <w:rsid w:val="1B23102F"/>
    <w:rsid w:val="1BB13BF3"/>
    <w:rsid w:val="1BB74F63"/>
    <w:rsid w:val="1BCC09C5"/>
    <w:rsid w:val="1BDE3E04"/>
    <w:rsid w:val="1BE80AAD"/>
    <w:rsid w:val="1BED13FF"/>
    <w:rsid w:val="1BF70361"/>
    <w:rsid w:val="1C00080C"/>
    <w:rsid w:val="1C024CC8"/>
    <w:rsid w:val="1C037EB6"/>
    <w:rsid w:val="1C177518"/>
    <w:rsid w:val="1C2F63A6"/>
    <w:rsid w:val="1C3F2750"/>
    <w:rsid w:val="1C411AC8"/>
    <w:rsid w:val="1C4B0137"/>
    <w:rsid w:val="1C4B41AF"/>
    <w:rsid w:val="1C6177B4"/>
    <w:rsid w:val="1C6B33C8"/>
    <w:rsid w:val="1C767F81"/>
    <w:rsid w:val="1C99460C"/>
    <w:rsid w:val="1CA650F5"/>
    <w:rsid w:val="1CBB49C8"/>
    <w:rsid w:val="1CFD2715"/>
    <w:rsid w:val="1D047F18"/>
    <w:rsid w:val="1D3B1492"/>
    <w:rsid w:val="1D3F5CDF"/>
    <w:rsid w:val="1D520FE4"/>
    <w:rsid w:val="1D647783"/>
    <w:rsid w:val="1D8525E2"/>
    <w:rsid w:val="1D884B4B"/>
    <w:rsid w:val="1D9B7143"/>
    <w:rsid w:val="1DA7646F"/>
    <w:rsid w:val="1DC558A4"/>
    <w:rsid w:val="1DD4732B"/>
    <w:rsid w:val="1DE63612"/>
    <w:rsid w:val="1DE85F2E"/>
    <w:rsid w:val="1E101B0B"/>
    <w:rsid w:val="1E19374A"/>
    <w:rsid w:val="1E195BB5"/>
    <w:rsid w:val="1E29538D"/>
    <w:rsid w:val="1E497EFC"/>
    <w:rsid w:val="1E6D4EB4"/>
    <w:rsid w:val="1E7F7B76"/>
    <w:rsid w:val="1E9A38F0"/>
    <w:rsid w:val="1EB9164B"/>
    <w:rsid w:val="1EBA0BB2"/>
    <w:rsid w:val="1EBF0860"/>
    <w:rsid w:val="1EE447BD"/>
    <w:rsid w:val="1EF2097C"/>
    <w:rsid w:val="1F0075A3"/>
    <w:rsid w:val="1F2C0899"/>
    <w:rsid w:val="1F415C80"/>
    <w:rsid w:val="1F7223F2"/>
    <w:rsid w:val="1F9A2B40"/>
    <w:rsid w:val="1FA936A0"/>
    <w:rsid w:val="1FF668C6"/>
    <w:rsid w:val="1FF67336"/>
    <w:rsid w:val="2002708F"/>
    <w:rsid w:val="201C3760"/>
    <w:rsid w:val="201F3F2C"/>
    <w:rsid w:val="20446D01"/>
    <w:rsid w:val="20632CC8"/>
    <w:rsid w:val="2093656D"/>
    <w:rsid w:val="209D2A8C"/>
    <w:rsid w:val="20A66858"/>
    <w:rsid w:val="20FB015C"/>
    <w:rsid w:val="20FF4B26"/>
    <w:rsid w:val="212649FA"/>
    <w:rsid w:val="212A476B"/>
    <w:rsid w:val="213C6A2D"/>
    <w:rsid w:val="216E0CF5"/>
    <w:rsid w:val="21BA0F46"/>
    <w:rsid w:val="21E830FD"/>
    <w:rsid w:val="221C5BAB"/>
    <w:rsid w:val="223A7C20"/>
    <w:rsid w:val="224A67E6"/>
    <w:rsid w:val="225E5065"/>
    <w:rsid w:val="228418C8"/>
    <w:rsid w:val="229354C1"/>
    <w:rsid w:val="229D030B"/>
    <w:rsid w:val="22C70AE1"/>
    <w:rsid w:val="22D0275F"/>
    <w:rsid w:val="22EB55BE"/>
    <w:rsid w:val="22F05634"/>
    <w:rsid w:val="22F55525"/>
    <w:rsid w:val="232A05DD"/>
    <w:rsid w:val="2331761B"/>
    <w:rsid w:val="23514754"/>
    <w:rsid w:val="23597941"/>
    <w:rsid w:val="235C6A64"/>
    <w:rsid w:val="236465ED"/>
    <w:rsid w:val="237301B7"/>
    <w:rsid w:val="23756396"/>
    <w:rsid w:val="2379206F"/>
    <w:rsid w:val="237F652B"/>
    <w:rsid w:val="23AB13B0"/>
    <w:rsid w:val="23DF2177"/>
    <w:rsid w:val="23FC6428"/>
    <w:rsid w:val="241E3953"/>
    <w:rsid w:val="243C32E8"/>
    <w:rsid w:val="243F212F"/>
    <w:rsid w:val="244E059E"/>
    <w:rsid w:val="24572DE2"/>
    <w:rsid w:val="24624EEE"/>
    <w:rsid w:val="24912A34"/>
    <w:rsid w:val="2491647C"/>
    <w:rsid w:val="24A64F12"/>
    <w:rsid w:val="24E83286"/>
    <w:rsid w:val="24F82D4B"/>
    <w:rsid w:val="253749C3"/>
    <w:rsid w:val="25757BBB"/>
    <w:rsid w:val="2585514B"/>
    <w:rsid w:val="258D50FE"/>
    <w:rsid w:val="259C237B"/>
    <w:rsid w:val="25A42B2E"/>
    <w:rsid w:val="25AB2640"/>
    <w:rsid w:val="25AB5457"/>
    <w:rsid w:val="25FF35A5"/>
    <w:rsid w:val="260A34EE"/>
    <w:rsid w:val="262313E5"/>
    <w:rsid w:val="26285253"/>
    <w:rsid w:val="262B36B8"/>
    <w:rsid w:val="265F6A8C"/>
    <w:rsid w:val="26757865"/>
    <w:rsid w:val="26AE111A"/>
    <w:rsid w:val="26C83AAC"/>
    <w:rsid w:val="270840EE"/>
    <w:rsid w:val="27100B77"/>
    <w:rsid w:val="27126367"/>
    <w:rsid w:val="275B048C"/>
    <w:rsid w:val="275B7DF2"/>
    <w:rsid w:val="2760534C"/>
    <w:rsid w:val="278A3C65"/>
    <w:rsid w:val="279B2617"/>
    <w:rsid w:val="27D319B2"/>
    <w:rsid w:val="27DF3186"/>
    <w:rsid w:val="27E005DD"/>
    <w:rsid w:val="27E03436"/>
    <w:rsid w:val="27EA7948"/>
    <w:rsid w:val="27F67FD1"/>
    <w:rsid w:val="280865AB"/>
    <w:rsid w:val="280C0791"/>
    <w:rsid w:val="280C5231"/>
    <w:rsid w:val="281F49DA"/>
    <w:rsid w:val="28481FCF"/>
    <w:rsid w:val="28806389"/>
    <w:rsid w:val="28883B56"/>
    <w:rsid w:val="28A145D8"/>
    <w:rsid w:val="28A649CC"/>
    <w:rsid w:val="28C33A61"/>
    <w:rsid w:val="28E2443B"/>
    <w:rsid w:val="28EC1DEA"/>
    <w:rsid w:val="28F03C43"/>
    <w:rsid w:val="29164A71"/>
    <w:rsid w:val="294B6114"/>
    <w:rsid w:val="29736E05"/>
    <w:rsid w:val="29C6331B"/>
    <w:rsid w:val="29D00C2D"/>
    <w:rsid w:val="29E46F79"/>
    <w:rsid w:val="29E626CA"/>
    <w:rsid w:val="29E9063C"/>
    <w:rsid w:val="29FD7131"/>
    <w:rsid w:val="2A0B74FD"/>
    <w:rsid w:val="2A2C7628"/>
    <w:rsid w:val="2A2D517A"/>
    <w:rsid w:val="2A3740FB"/>
    <w:rsid w:val="2A57342D"/>
    <w:rsid w:val="2A7144D5"/>
    <w:rsid w:val="2AB15EF0"/>
    <w:rsid w:val="2AB8760C"/>
    <w:rsid w:val="2AEA749C"/>
    <w:rsid w:val="2B016278"/>
    <w:rsid w:val="2B101B22"/>
    <w:rsid w:val="2B1B054C"/>
    <w:rsid w:val="2B2D2AC4"/>
    <w:rsid w:val="2B325ED0"/>
    <w:rsid w:val="2B404763"/>
    <w:rsid w:val="2B486B34"/>
    <w:rsid w:val="2B565C2C"/>
    <w:rsid w:val="2B7A3EFC"/>
    <w:rsid w:val="2B81017E"/>
    <w:rsid w:val="2B892E82"/>
    <w:rsid w:val="2B94181A"/>
    <w:rsid w:val="2B9E3498"/>
    <w:rsid w:val="2BBC431E"/>
    <w:rsid w:val="2BD456EC"/>
    <w:rsid w:val="2C0E0411"/>
    <w:rsid w:val="2C2858E8"/>
    <w:rsid w:val="2C2F2FEF"/>
    <w:rsid w:val="2C3E7B0C"/>
    <w:rsid w:val="2C577E1C"/>
    <w:rsid w:val="2C605D23"/>
    <w:rsid w:val="2C657396"/>
    <w:rsid w:val="2C69054D"/>
    <w:rsid w:val="2C814143"/>
    <w:rsid w:val="2C9343C0"/>
    <w:rsid w:val="2C9F626A"/>
    <w:rsid w:val="2CA77679"/>
    <w:rsid w:val="2CB649F5"/>
    <w:rsid w:val="2CC80477"/>
    <w:rsid w:val="2CDA7100"/>
    <w:rsid w:val="2D273E42"/>
    <w:rsid w:val="2D4D757F"/>
    <w:rsid w:val="2D50232D"/>
    <w:rsid w:val="2D602BCE"/>
    <w:rsid w:val="2D6C0E74"/>
    <w:rsid w:val="2D811361"/>
    <w:rsid w:val="2D861736"/>
    <w:rsid w:val="2DAB4BA4"/>
    <w:rsid w:val="2DB25E25"/>
    <w:rsid w:val="2DB7373B"/>
    <w:rsid w:val="2DD22450"/>
    <w:rsid w:val="2DF4125D"/>
    <w:rsid w:val="2E2D23E8"/>
    <w:rsid w:val="2E3B046E"/>
    <w:rsid w:val="2E520C9F"/>
    <w:rsid w:val="2E530A4B"/>
    <w:rsid w:val="2E550B10"/>
    <w:rsid w:val="2EB432C2"/>
    <w:rsid w:val="2EC75D1E"/>
    <w:rsid w:val="2F096EF5"/>
    <w:rsid w:val="2F1C0F54"/>
    <w:rsid w:val="2F5C6AD1"/>
    <w:rsid w:val="2F8B3B64"/>
    <w:rsid w:val="2FAC5150"/>
    <w:rsid w:val="2FC83110"/>
    <w:rsid w:val="30030473"/>
    <w:rsid w:val="302C4798"/>
    <w:rsid w:val="307000B7"/>
    <w:rsid w:val="307652E0"/>
    <w:rsid w:val="30BE30B2"/>
    <w:rsid w:val="30DD760C"/>
    <w:rsid w:val="30F037B7"/>
    <w:rsid w:val="31060203"/>
    <w:rsid w:val="310D58F9"/>
    <w:rsid w:val="310E2D9A"/>
    <w:rsid w:val="312A22E4"/>
    <w:rsid w:val="313559B3"/>
    <w:rsid w:val="313A166F"/>
    <w:rsid w:val="3149639F"/>
    <w:rsid w:val="314B6E06"/>
    <w:rsid w:val="314F7D17"/>
    <w:rsid w:val="3174455B"/>
    <w:rsid w:val="317B18DA"/>
    <w:rsid w:val="31816B73"/>
    <w:rsid w:val="31851480"/>
    <w:rsid w:val="319028F9"/>
    <w:rsid w:val="31973EDC"/>
    <w:rsid w:val="319C2813"/>
    <w:rsid w:val="31C667C2"/>
    <w:rsid w:val="31C73ED6"/>
    <w:rsid w:val="31E157EA"/>
    <w:rsid w:val="322C2610"/>
    <w:rsid w:val="3241526D"/>
    <w:rsid w:val="3251196A"/>
    <w:rsid w:val="32623B7E"/>
    <w:rsid w:val="326669AD"/>
    <w:rsid w:val="32802FE1"/>
    <w:rsid w:val="32C257D5"/>
    <w:rsid w:val="32D86D2B"/>
    <w:rsid w:val="33547BBB"/>
    <w:rsid w:val="335C64D7"/>
    <w:rsid w:val="337631E1"/>
    <w:rsid w:val="33775F59"/>
    <w:rsid w:val="33824DCA"/>
    <w:rsid w:val="3388544D"/>
    <w:rsid w:val="338A0A3C"/>
    <w:rsid w:val="33930D63"/>
    <w:rsid w:val="339E1AB7"/>
    <w:rsid w:val="33A07A69"/>
    <w:rsid w:val="33E70D41"/>
    <w:rsid w:val="340347FD"/>
    <w:rsid w:val="34130690"/>
    <w:rsid w:val="34240224"/>
    <w:rsid w:val="34260863"/>
    <w:rsid w:val="34402037"/>
    <w:rsid w:val="344459D5"/>
    <w:rsid w:val="347E62A7"/>
    <w:rsid w:val="348A2042"/>
    <w:rsid w:val="348B4B08"/>
    <w:rsid w:val="34992D08"/>
    <w:rsid w:val="34AE728B"/>
    <w:rsid w:val="34CD4FBC"/>
    <w:rsid w:val="34FD2414"/>
    <w:rsid w:val="35223B41"/>
    <w:rsid w:val="354B5F5A"/>
    <w:rsid w:val="354F0A7E"/>
    <w:rsid w:val="35677280"/>
    <w:rsid w:val="35845149"/>
    <w:rsid w:val="35901358"/>
    <w:rsid w:val="35FD2BCE"/>
    <w:rsid w:val="36021F40"/>
    <w:rsid w:val="36193CC3"/>
    <w:rsid w:val="36360E94"/>
    <w:rsid w:val="36412735"/>
    <w:rsid w:val="36855DEE"/>
    <w:rsid w:val="368B1519"/>
    <w:rsid w:val="369E781D"/>
    <w:rsid w:val="36CE1B81"/>
    <w:rsid w:val="36FB6483"/>
    <w:rsid w:val="373D2BC0"/>
    <w:rsid w:val="374A6487"/>
    <w:rsid w:val="375740B2"/>
    <w:rsid w:val="37841FFA"/>
    <w:rsid w:val="3791457C"/>
    <w:rsid w:val="37B976AA"/>
    <w:rsid w:val="3809170D"/>
    <w:rsid w:val="380D4601"/>
    <w:rsid w:val="3812716A"/>
    <w:rsid w:val="385C2DCA"/>
    <w:rsid w:val="385C79B7"/>
    <w:rsid w:val="38613D37"/>
    <w:rsid w:val="386D4A46"/>
    <w:rsid w:val="387E7FB6"/>
    <w:rsid w:val="38A23D04"/>
    <w:rsid w:val="38AD7DDF"/>
    <w:rsid w:val="38B25D8F"/>
    <w:rsid w:val="38FA3C19"/>
    <w:rsid w:val="390C3521"/>
    <w:rsid w:val="39343E79"/>
    <w:rsid w:val="393F130D"/>
    <w:rsid w:val="39586D27"/>
    <w:rsid w:val="395C7EA8"/>
    <w:rsid w:val="396B5B41"/>
    <w:rsid w:val="3971606B"/>
    <w:rsid w:val="398902C8"/>
    <w:rsid w:val="39A477F1"/>
    <w:rsid w:val="39C14F14"/>
    <w:rsid w:val="39CB65CF"/>
    <w:rsid w:val="3A04428C"/>
    <w:rsid w:val="3A103610"/>
    <w:rsid w:val="3A181A65"/>
    <w:rsid w:val="3A246F8E"/>
    <w:rsid w:val="3A354145"/>
    <w:rsid w:val="3A424688"/>
    <w:rsid w:val="3A752464"/>
    <w:rsid w:val="3A850084"/>
    <w:rsid w:val="3ADE36D2"/>
    <w:rsid w:val="3AE51AD8"/>
    <w:rsid w:val="3AF575F3"/>
    <w:rsid w:val="3B052DAD"/>
    <w:rsid w:val="3B0D13A3"/>
    <w:rsid w:val="3B1C4644"/>
    <w:rsid w:val="3B200A99"/>
    <w:rsid w:val="3B2074F8"/>
    <w:rsid w:val="3B487D3B"/>
    <w:rsid w:val="3B4A3C82"/>
    <w:rsid w:val="3B556612"/>
    <w:rsid w:val="3B5600FB"/>
    <w:rsid w:val="3B61265B"/>
    <w:rsid w:val="3BA00C79"/>
    <w:rsid w:val="3BA745F4"/>
    <w:rsid w:val="3BC865EA"/>
    <w:rsid w:val="3BD7675C"/>
    <w:rsid w:val="3BD85EA8"/>
    <w:rsid w:val="3BEA2540"/>
    <w:rsid w:val="3C047A4D"/>
    <w:rsid w:val="3C610815"/>
    <w:rsid w:val="3D305709"/>
    <w:rsid w:val="3D68066C"/>
    <w:rsid w:val="3DE27A0D"/>
    <w:rsid w:val="3E0620BF"/>
    <w:rsid w:val="3E236A22"/>
    <w:rsid w:val="3E251D20"/>
    <w:rsid w:val="3E4B5A15"/>
    <w:rsid w:val="3E554C90"/>
    <w:rsid w:val="3E570E68"/>
    <w:rsid w:val="3E7D7A5C"/>
    <w:rsid w:val="3E99230E"/>
    <w:rsid w:val="3EB30D2E"/>
    <w:rsid w:val="3EB3129C"/>
    <w:rsid w:val="3EE24830"/>
    <w:rsid w:val="3EE905BF"/>
    <w:rsid w:val="3F165706"/>
    <w:rsid w:val="3F68201C"/>
    <w:rsid w:val="3F7074B3"/>
    <w:rsid w:val="3F742073"/>
    <w:rsid w:val="3FB81167"/>
    <w:rsid w:val="3FDA4591"/>
    <w:rsid w:val="3FE361A5"/>
    <w:rsid w:val="3FF47336"/>
    <w:rsid w:val="3FF930D3"/>
    <w:rsid w:val="3FFF7CB6"/>
    <w:rsid w:val="402152B6"/>
    <w:rsid w:val="4022067D"/>
    <w:rsid w:val="402A6BA5"/>
    <w:rsid w:val="40476EDE"/>
    <w:rsid w:val="404D43F0"/>
    <w:rsid w:val="40650FA5"/>
    <w:rsid w:val="40671860"/>
    <w:rsid w:val="40855658"/>
    <w:rsid w:val="408E49B1"/>
    <w:rsid w:val="4097520C"/>
    <w:rsid w:val="40B5573C"/>
    <w:rsid w:val="40B85BD6"/>
    <w:rsid w:val="40D21EC7"/>
    <w:rsid w:val="40D92673"/>
    <w:rsid w:val="40DE568A"/>
    <w:rsid w:val="41053DD8"/>
    <w:rsid w:val="410B401A"/>
    <w:rsid w:val="411C7E79"/>
    <w:rsid w:val="41367526"/>
    <w:rsid w:val="413B3A1F"/>
    <w:rsid w:val="413C0389"/>
    <w:rsid w:val="414D2BD4"/>
    <w:rsid w:val="417C2072"/>
    <w:rsid w:val="418A6CCC"/>
    <w:rsid w:val="41943147"/>
    <w:rsid w:val="419C331C"/>
    <w:rsid w:val="41C024C4"/>
    <w:rsid w:val="41C7062A"/>
    <w:rsid w:val="41D05685"/>
    <w:rsid w:val="41E23311"/>
    <w:rsid w:val="41FB080C"/>
    <w:rsid w:val="41FF4189"/>
    <w:rsid w:val="42122CA8"/>
    <w:rsid w:val="421A7063"/>
    <w:rsid w:val="425E3582"/>
    <w:rsid w:val="4266334F"/>
    <w:rsid w:val="427C635A"/>
    <w:rsid w:val="42A90F16"/>
    <w:rsid w:val="42AC0E5B"/>
    <w:rsid w:val="42D12FBF"/>
    <w:rsid w:val="42F8343A"/>
    <w:rsid w:val="43024664"/>
    <w:rsid w:val="43083F52"/>
    <w:rsid w:val="4351644F"/>
    <w:rsid w:val="4362689F"/>
    <w:rsid w:val="43A510A4"/>
    <w:rsid w:val="43C721FD"/>
    <w:rsid w:val="43E97024"/>
    <w:rsid w:val="43F501B0"/>
    <w:rsid w:val="4402095F"/>
    <w:rsid w:val="44170D25"/>
    <w:rsid w:val="443A225E"/>
    <w:rsid w:val="44527CF9"/>
    <w:rsid w:val="4458374E"/>
    <w:rsid w:val="445A24BD"/>
    <w:rsid w:val="44664390"/>
    <w:rsid w:val="447F2497"/>
    <w:rsid w:val="44B474C7"/>
    <w:rsid w:val="44C27555"/>
    <w:rsid w:val="450179BC"/>
    <w:rsid w:val="45071CEB"/>
    <w:rsid w:val="451D594D"/>
    <w:rsid w:val="452610B1"/>
    <w:rsid w:val="45265639"/>
    <w:rsid w:val="452F5E5E"/>
    <w:rsid w:val="45383B45"/>
    <w:rsid w:val="456D703A"/>
    <w:rsid w:val="45732F05"/>
    <w:rsid w:val="457627D6"/>
    <w:rsid w:val="4583117D"/>
    <w:rsid w:val="45900458"/>
    <w:rsid w:val="45937A62"/>
    <w:rsid w:val="45BF054E"/>
    <w:rsid w:val="45C61682"/>
    <w:rsid w:val="45C66EB9"/>
    <w:rsid w:val="45D45AA8"/>
    <w:rsid w:val="45E325BE"/>
    <w:rsid w:val="45E9322E"/>
    <w:rsid w:val="45FA50A9"/>
    <w:rsid w:val="460458BC"/>
    <w:rsid w:val="461E6462"/>
    <w:rsid w:val="462061AB"/>
    <w:rsid w:val="462D1E0F"/>
    <w:rsid w:val="4642004E"/>
    <w:rsid w:val="46617AA3"/>
    <w:rsid w:val="4683165C"/>
    <w:rsid w:val="46984426"/>
    <w:rsid w:val="46A40226"/>
    <w:rsid w:val="46A4073F"/>
    <w:rsid w:val="46B7407C"/>
    <w:rsid w:val="46B90E05"/>
    <w:rsid w:val="46CD6008"/>
    <w:rsid w:val="46D2570C"/>
    <w:rsid w:val="46DB3E42"/>
    <w:rsid w:val="46FC4043"/>
    <w:rsid w:val="47040115"/>
    <w:rsid w:val="471B0744"/>
    <w:rsid w:val="473379F7"/>
    <w:rsid w:val="474273A5"/>
    <w:rsid w:val="475E183B"/>
    <w:rsid w:val="47620B13"/>
    <w:rsid w:val="47673289"/>
    <w:rsid w:val="47707058"/>
    <w:rsid w:val="478A49F3"/>
    <w:rsid w:val="47AC01DC"/>
    <w:rsid w:val="47CA0E20"/>
    <w:rsid w:val="47CF2CAA"/>
    <w:rsid w:val="47E37A43"/>
    <w:rsid w:val="47FD28EC"/>
    <w:rsid w:val="481141F7"/>
    <w:rsid w:val="482652C6"/>
    <w:rsid w:val="48364572"/>
    <w:rsid w:val="484D59E2"/>
    <w:rsid w:val="485E33F9"/>
    <w:rsid w:val="48611E7A"/>
    <w:rsid w:val="48642157"/>
    <w:rsid w:val="486F0102"/>
    <w:rsid w:val="48980810"/>
    <w:rsid w:val="48A07DF6"/>
    <w:rsid w:val="48B35A17"/>
    <w:rsid w:val="48C82689"/>
    <w:rsid w:val="48C9177A"/>
    <w:rsid w:val="48CB1A2F"/>
    <w:rsid w:val="48D33E74"/>
    <w:rsid w:val="48ED2EAD"/>
    <w:rsid w:val="48F3457D"/>
    <w:rsid w:val="48F74FE7"/>
    <w:rsid w:val="49174972"/>
    <w:rsid w:val="491B29C2"/>
    <w:rsid w:val="493D183B"/>
    <w:rsid w:val="494663F0"/>
    <w:rsid w:val="496117B7"/>
    <w:rsid w:val="49852803"/>
    <w:rsid w:val="4989364F"/>
    <w:rsid w:val="499C71A3"/>
    <w:rsid w:val="49A23E49"/>
    <w:rsid w:val="49A37CB3"/>
    <w:rsid w:val="49AE34E3"/>
    <w:rsid w:val="49BD5341"/>
    <w:rsid w:val="49BE31C7"/>
    <w:rsid w:val="49DD7115"/>
    <w:rsid w:val="4A001AB6"/>
    <w:rsid w:val="4A121ACE"/>
    <w:rsid w:val="4A260643"/>
    <w:rsid w:val="4A354DC8"/>
    <w:rsid w:val="4A667978"/>
    <w:rsid w:val="4A7B11CA"/>
    <w:rsid w:val="4A841234"/>
    <w:rsid w:val="4A9E376C"/>
    <w:rsid w:val="4AB52EC7"/>
    <w:rsid w:val="4ABC3B25"/>
    <w:rsid w:val="4ABD2B10"/>
    <w:rsid w:val="4AED73D2"/>
    <w:rsid w:val="4AF660AB"/>
    <w:rsid w:val="4B270FB0"/>
    <w:rsid w:val="4B2B24FF"/>
    <w:rsid w:val="4B2E7A87"/>
    <w:rsid w:val="4B33301D"/>
    <w:rsid w:val="4B56096D"/>
    <w:rsid w:val="4B771A77"/>
    <w:rsid w:val="4B786751"/>
    <w:rsid w:val="4B8E3B2C"/>
    <w:rsid w:val="4B94409A"/>
    <w:rsid w:val="4BC06C5F"/>
    <w:rsid w:val="4C0C7A0A"/>
    <w:rsid w:val="4C2942E6"/>
    <w:rsid w:val="4C600D95"/>
    <w:rsid w:val="4C8461EF"/>
    <w:rsid w:val="4C8D6888"/>
    <w:rsid w:val="4C983E5B"/>
    <w:rsid w:val="4CB008AD"/>
    <w:rsid w:val="4CB6421D"/>
    <w:rsid w:val="4CE47047"/>
    <w:rsid w:val="4CEA2732"/>
    <w:rsid w:val="4CFB33DC"/>
    <w:rsid w:val="4D3A46AD"/>
    <w:rsid w:val="4D3F7B32"/>
    <w:rsid w:val="4D40643B"/>
    <w:rsid w:val="4D5E01A0"/>
    <w:rsid w:val="4D6C226A"/>
    <w:rsid w:val="4D8E6102"/>
    <w:rsid w:val="4D9E0DEE"/>
    <w:rsid w:val="4DC4631F"/>
    <w:rsid w:val="4DFB70DA"/>
    <w:rsid w:val="4DFF05A3"/>
    <w:rsid w:val="4E3779FB"/>
    <w:rsid w:val="4E411AC2"/>
    <w:rsid w:val="4E456658"/>
    <w:rsid w:val="4E4F4DDD"/>
    <w:rsid w:val="4E4F59A0"/>
    <w:rsid w:val="4E594DDC"/>
    <w:rsid w:val="4E5A2CAE"/>
    <w:rsid w:val="4E662E38"/>
    <w:rsid w:val="4E6A26E4"/>
    <w:rsid w:val="4E8250D8"/>
    <w:rsid w:val="4E9F25D3"/>
    <w:rsid w:val="4EA96D01"/>
    <w:rsid w:val="4EBF6B80"/>
    <w:rsid w:val="4EC54F0F"/>
    <w:rsid w:val="4ECC2EB6"/>
    <w:rsid w:val="4ED80CDA"/>
    <w:rsid w:val="4F076469"/>
    <w:rsid w:val="4F2705FD"/>
    <w:rsid w:val="4F4B4AED"/>
    <w:rsid w:val="4F510271"/>
    <w:rsid w:val="4F5B730E"/>
    <w:rsid w:val="4F6D2041"/>
    <w:rsid w:val="4F6F73DD"/>
    <w:rsid w:val="4F793C80"/>
    <w:rsid w:val="4F7D256A"/>
    <w:rsid w:val="4F8042BD"/>
    <w:rsid w:val="4F98721B"/>
    <w:rsid w:val="4F9D18F3"/>
    <w:rsid w:val="4F9F30CF"/>
    <w:rsid w:val="4FC6669D"/>
    <w:rsid w:val="4FE01DD4"/>
    <w:rsid w:val="4FE106C7"/>
    <w:rsid w:val="4FE405D0"/>
    <w:rsid w:val="500D6C73"/>
    <w:rsid w:val="50252756"/>
    <w:rsid w:val="502B5A5E"/>
    <w:rsid w:val="502D6515"/>
    <w:rsid w:val="503C4B5D"/>
    <w:rsid w:val="503D1053"/>
    <w:rsid w:val="503E7050"/>
    <w:rsid w:val="504615CE"/>
    <w:rsid w:val="505D5C1B"/>
    <w:rsid w:val="50641853"/>
    <w:rsid w:val="509D0395"/>
    <w:rsid w:val="50C91743"/>
    <w:rsid w:val="50D259E6"/>
    <w:rsid w:val="50DA5799"/>
    <w:rsid w:val="50ED0543"/>
    <w:rsid w:val="51067C16"/>
    <w:rsid w:val="51094E52"/>
    <w:rsid w:val="510B58A3"/>
    <w:rsid w:val="51181152"/>
    <w:rsid w:val="51380850"/>
    <w:rsid w:val="513F7BDE"/>
    <w:rsid w:val="514A6211"/>
    <w:rsid w:val="516952AE"/>
    <w:rsid w:val="51A44805"/>
    <w:rsid w:val="51A759D9"/>
    <w:rsid w:val="51AB7DB1"/>
    <w:rsid w:val="51CC2CB9"/>
    <w:rsid w:val="51CD7467"/>
    <w:rsid w:val="51D7370F"/>
    <w:rsid w:val="51D92902"/>
    <w:rsid w:val="51EF64CB"/>
    <w:rsid w:val="51FA3520"/>
    <w:rsid w:val="52072061"/>
    <w:rsid w:val="52183F03"/>
    <w:rsid w:val="52211ACC"/>
    <w:rsid w:val="523C1EA9"/>
    <w:rsid w:val="527643B4"/>
    <w:rsid w:val="527A5ABC"/>
    <w:rsid w:val="528513A7"/>
    <w:rsid w:val="528B7B31"/>
    <w:rsid w:val="52964000"/>
    <w:rsid w:val="529C3702"/>
    <w:rsid w:val="52CB7796"/>
    <w:rsid w:val="52CE4979"/>
    <w:rsid w:val="53045BD3"/>
    <w:rsid w:val="530B4D46"/>
    <w:rsid w:val="53274D78"/>
    <w:rsid w:val="53563C85"/>
    <w:rsid w:val="536757A3"/>
    <w:rsid w:val="537E241C"/>
    <w:rsid w:val="53D632E4"/>
    <w:rsid w:val="54282718"/>
    <w:rsid w:val="54330E98"/>
    <w:rsid w:val="5439017D"/>
    <w:rsid w:val="54483FF6"/>
    <w:rsid w:val="545A05A8"/>
    <w:rsid w:val="545B188F"/>
    <w:rsid w:val="5460332D"/>
    <w:rsid w:val="547D21C7"/>
    <w:rsid w:val="548B3B61"/>
    <w:rsid w:val="549764E9"/>
    <w:rsid w:val="54F17C19"/>
    <w:rsid w:val="552F7EE9"/>
    <w:rsid w:val="55464338"/>
    <w:rsid w:val="555F7CF5"/>
    <w:rsid w:val="557275F1"/>
    <w:rsid w:val="558C6D44"/>
    <w:rsid w:val="558D7767"/>
    <w:rsid w:val="55930E6F"/>
    <w:rsid w:val="55A311EB"/>
    <w:rsid w:val="55AA00F9"/>
    <w:rsid w:val="55B25162"/>
    <w:rsid w:val="56081F25"/>
    <w:rsid w:val="560B0BE1"/>
    <w:rsid w:val="561B10BC"/>
    <w:rsid w:val="56467876"/>
    <w:rsid w:val="564F52B5"/>
    <w:rsid w:val="567B064F"/>
    <w:rsid w:val="56A47CBB"/>
    <w:rsid w:val="56A675BE"/>
    <w:rsid w:val="56AF34CC"/>
    <w:rsid w:val="56C744F7"/>
    <w:rsid w:val="56D05DB9"/>
    <w:rsid w:val="56F61D1F"/>
    <w:rsid w:val="56FE6B97"/>
    <w:rsid w:val="57024F39"/>
    <w:rsid w:val="57157D19"/>
    <w:rsid w:val="57213F3A"/>
    <w:rsid w:val="572214C9"/>
    <w:rsid w:val="57313DCE"/>
    <w:rsid w:val="574E0484"/>
    <w:rsid w:val="575701A2"/>
    <w:rsid w:val="577547D5"/>
    <w:rsid w:val="57B06A23"/>
    <w:rsid w:val="57CC6D86"/>
    <w:rsid w:val="57D90AFD"/>
    <w:rsid w:val="57EB5E17"/>
    <w:rsid w:val="57FF4827"/>
    <w:rsid w:val="580A3E45"/>
    <w:rsid w:val="581207C5"/>
    <w:rsid w:val="584741FA"/>
    <w:rsid w:val="584E7A49"/>
    <w:rsid w:val="58553E74"/>
    <w:rsid w:val="58A93B50"/>
    <w:rsid w:val="58AB2D49"/>
    <w:rsid w:val="58BB137F"/>
    <w:rsid w:val="58C56C3D"/>
    <w:rsid w:val="590B0514"/>
    <w:rsid w:val="590E2457"/>
    <w:rsid w:val="59273E84"/>
    <w:rsid w:val="592F012D"/>
    <w:rsid w:val="59432300"/>
    <w:rsid w:val="59502101"/>
    <w:rsid w:val="5966741B"/>
    <w:rsid w:val="596B5919"/>
    <w:rsid w:val="597520FE"/>
    <w:rsid w:val="59B67607"/>
    <w:rsid w:val="59D1733B"/>
    <w:rsid w:val="59DF1474"/>
    <w:rsid w:val="59E73D8B"/>
    <w:rsid w:val="59E80876"/>
    <w:rsid w:val="5A1676BE"/>
    <w:rsid w:val="5A4C4641"/>
    <w:rsid w:val="5A4D7B45"/>
    <w:rsid w:val="5A4F7429"/>
    <w:rsid w:val="5A876E27"/>
    <w:rsid w:val="5A940B09"/>
    <w:rsid w:val="5A9F20E1"/>
    <w:rsid w:val="5AA6530C"/>
    <w:rsid w:val="5AA828B1"/>
    <w:rsid w:val="5AAE1FA0"/>
    <w:rsid w:val="5AFC24F2"/>
    <w:rsid w:val="5B137595"/>
    <w:rsid w:val="5B642BCB"/>
    <w:rsid w:val="5B664C64"/>
    <w:rsid w:val="5B8B23A0"/>
    <w:rsid w:val="5B8D5B73"/>
    <w:rsid w:val="5BA02A3D"/>
    <w:rsid w:val="5BAA6BC3"/>
    <w:rsid w:val="5BBD27BC"/>
    <w:rsid w:val="5BC46D00"/>
    <w:rsid w:val="5BE54CAB"/>
    <w:rsid w:val="5BEB433C"/>
    <w:rsid w:val="5C0A21A7"/>
    <w:rsid w:val="5C201622"/>
    <w:rsid w:val="5C4252F4"/>
    <w:rsid w:val="5C636E7B"/>
    <w:rsid w:val="5C7B6323"/>
    <w:rsid w:val="5C8F2F02"/>
    <w:rsid w:val="5CA4234F"/>
    <w:rsid w:val="5CA5626B"/>
    <w:rsid w:val="5CBD5382"/>
    <w:rsid w:val="5CBF5EBC"/>
    <w:rsid w:val="5CC72378"/>
    <w:rsid w:val="5CCF3818"/>
    <w:rsid w:val="5D2607D7"/>
    <w:rsid w:val="5D29334A"/>
    <w:rsid w:val="5D297DC8"/>
    <w:rsid w:val="5D2E7B7A"/>
    <w:rsid w:val="5D304D2C"/>
    <w:rsid w:val="5D456B0D"/>
    <w:rsid w:val="5D714BD4"/>
    <w:rsid w:val="5D770A98"/>
    <w:rsid w:val="5D881A7F"/>
    <w:rsid w:val="5D911830"/>
    <w:rsid w:val="5D9A73ED"/>
    <w:rsid w:val="5DB8095B"/>
    <w:rsid w:val="5DC832EF"/>
    <w:rsid w:val="5DF70310"/>
    <w:rsid w:val="5E162914"/>
    <w:rsid w:val="5E667147"/>
    <w:rsid w:val="5E6946A1"/>
    <w:rsid w:val="5E743DAD"/>
    <w:rsid w:val="5EE60398"/>
    <w:rsid w:val="5EE60DAF"/>
    <w:rsid w:val="5F356D87"/>
    <w:rsid w:val="5F7C22CD"/>
    <w:rsid w:val="5F927AAA"/>
    <w:rsid w:val="5FCA1C81"/>
    <w:rsid w:val="5FF56D40"/>
    <w:rsid w:val="60025593"/>
    <w:rsid w:val="600D6C18"/>
    <w:rsid w:val="60432AC8"/>
    <w:rsid w:val="604B3BBD"/>
    <w:rsid w:val="60620C4F"/>
    <w:rsid w:val="6086434B"/>
    <w:rsid w:val="60B6165D"/>
    <w:rsid w:val="60CF3E67"/>
    <w:rsid w:val="60F819E2"/>
    <w:rsid w:val="61057182"/>
    <w:rsid w:val="618C797C"/>
    <w:rsid w:val="6193127D"/>
    <w:rsid w:val="61AB7A39"/>
    <w:rsid w:val="61BF3F5A"/>
    <w:rsid w:val="61C02766"/>
    <w:rsid w:val="61E61E1C"/>
    <w:rsid w:val="61E7154B"/>
    <w:rsid w:val="62273AA7"/>
    <w:rsid w:val="623F1D75"/>
    <w:rsid w:val="624C7713"/>
    <w:rsid w:val="624F6B20"/>
    <w:rsid w:val="626A2DA2"/>
    <w:rsid w:val="62710FF3"/>
    <w:rsid w:val="628B3790"/>
    <w:rsid w:val="6299493E"/>
    <w:rsid w:val="629B401A"/>
    <w:rsid w:val="62A860FF"/>
    <w:rsid w:val="62BA31BE"/>
    <w:rsid w:val="62D40F97"/>
    <w:rsid w:val="631651C6"/>
    <w:rsid w:val="63195F09"/>
    <w:rsid w:val="631F28F3"/>
    <w:rsid w:val="63597FCD"/>
    <w:rsid w:val="636001CA"/>
    <w:rsid w:val="63637018"/>
    <w:rsid w:val="636E4DB0"/>
    <w:rsid w:val="637C55C1"/>
    <w:rsid w:val="63B46442"/>
    <w:rsid w:val="63B858D2"/>
    <w:rsid w:val="63BC10F2"/>
    <w:rsid w:val="63FB31A4"/>
    <w:rsid w:val="64445A06"/>
    <w:rsid w:val="64A81F49"/>
    <w:rsid w:val="64D442D4"/>
    <w:rsid w:val="64EB2CED"/>
    <w:rsid w:val="64F0256E"/>
    <w:rsid w:val="64F94851"/>
    <w:rsid w:val="65280160"/>
    <w:rsid w:val="65300EC5"/>
    <w:rsid w:val="6538081A"/>
    <w:rsid w:val="65676612"/>
    <w:rsid w:val="65B15EDA"/>
    <w:rsid w:val="65F5183A"/>
    <w:rsid w:val="66094390"/>
    <w:rsid w:val="66373EED"/>
    <w:rsid w:val="664A20FA"/>
    <w:rsid w:val="66700AF6"/>
    <w:rsid w:val="66AB52AA"/>
    <w:rsid w:val="66D04BBC"/>
    <w:rsid w:val="66DE6FE0"/>
    <w:rsid w:val="67067EF1"/>
    <w:rsid w:val="672F6B54"/>
    <w:rsid w:val="673C7338"/>
    <w:rsid w:val="6751313B"/>
    <w:rsid w:val="67637F1F"/>
    <w:rsid w:val="67655AF9"/>
    <w:rsid w:val="67916963"/>
    <w:rsid w:val="67A54EDB"/>
    <w:rsid w:val="67E308B5"/>
    <w:rsid w:val="67E4180D"/>
    <w:rsid w:val="67F47EA3"/>
    <w:rsid w:val="680C6096"/>
    <w:rsid w:val="682866AF"/>
    <w:rsid w:val="682B22EE"/>
    <w:rsid w:val="683A6524"/>
    <w:rsid w:val="686076D6"/>
    <w:rsid w:val="688374A8"/>
    <w:rsid w:val="68A43004"/>
    <w:rsid w:val="68BF62C3"/>
    <w:rsid w:val="68C03953"/>
    <w:rsid w:val="68C41247"/>
    <w:rsid w:val="68E66CA0"/>
    <w:rsid w:val="69205D36"/>
    <w:rsid w:val="692F349B"/>
    <w:rsid w:val="69525280"/>
    <w:rsid w:val="69625D21"/>
    <w:rsid w:val="69C168D7"/>
    <w:rsid w:val="69C3368B"/>
    <w:rsid w:val="69C37DEF"/>
    <w:rsid w:val="69D62B98"/>
    <w:rsid w:val="69DB042B"/>
    <w:rsid w:val="69E150CB"/>
    <w:rsid w:val="69EE1E69"/>
    <w:rsid w:val="6A375C7A"/>
    <w:rsid w:val="6A4677DE"/>
    <w:rsid w:val="6A4E00C3"/>
    <w:rsid w:val="6A6F73F0"/>
    <w:rsid w:val="6AA7438C"/>
    <w:rsid w:val="6AD4703F"/>
    <w:rsid w:val="6ADB5EA5"/>
    <w:rsid w:val="6AEA006D"/>
    <w:rsid w:val="6AFC3C20"/>
    <w:rsid w:val="6B166A2F"/>
    <w:rsid w:val="6B2B7068"/>
    <w:rsid w:val="6B4C171B"/>
    <w:rsid w:val="6B7F197D"/>
    <w:rsid w:val="6B82583D"/>
    <w:rsid w:val="6B85617D"/>
    <w:rsid w:val="6B9950CC"/>
    <w:rsid w:val="6BAF2B16"/>
    <w:rsid w:val="6BB86036"/>
    <w:rsid w:val="6BD10196"/>
    <w:rsid w:val="6BEE1CD1"/>
    <w:rsid w:val="6BF74566"/>
    <w:rsid w:val="6C1747D2"/>
    <w:rsid w:val="6C230986"/>
    <w:rsid w:val="6C3D1483"/>
    <w:rsid w:val="6C461A87"/>
    <w:rsid w:val="6CF23782"/>
    <w:rsid w:val="6D024FFB"/>
    <w:rsid w:val="6D0424D2"/>
    <w:rsid w:val="6D067C9B"/>
    <w:rsid w:val="6D0D4301"/>
    <w:rsid w:val="6D293F19"/>
    <w:rsid w:val="6D583B03"/>
    <w:rsid w:val="6D671E98"/>
    <w:rsid w:val="6D957BAF"/>
    <w:rsid w:val="6D9A51C8"/>
    <w:rsid w:val="6DA07839"/>
    <w:rsid w:val="6DC13BD8"/>
    <w:rsid w:val="6DC20C5A"/>
    <w:rsid w:val="6DEF5C4F"/>
    <w:rsid w:val="6E056799"/>
    <w:rsid w:val="6E3549E7"/>
    <w:rsid w:val="6E4243B5"/>
    <w:rsid w:val="6E491F3E"/>
    <w:rsid w:val="6E643ED2"/>
    <w:rsid w:val="6E9D72C9"/>
    <w:rsid w:val="6EA069CF"/>
    <w:rsid w:val="6ED65122"/>
    <w:rsid w:val="6ED66053"/>
    <w:rsid w:val="6F267698"/>
    <w:rsid w:val="6F38008C"/>
    <w:rsid w:val="6F712C4D"/>
    <w:rsid w:val="6F960763"/>
    <w:rsid w:val="6F9C0AB7"/>
    <w:rsid w:val="6FA619ED"/>
    <w:rsid w:val="6FCB163B"/>
    <w:rsid w:val="6FD84B68"/>
    <w:rsid w:val="6FD9616A"/>
    <w:rsid w:val="6FE37C6B"/>
    <w:rsid w:val="6FEA5FD6"/>
    <w:rsid w:val="6FED1756"/>
    <w:rsid w:val="6FFC7800"/>
    <w:rsid w:val="700117AB"/>
    <w:rsid w:val="702244AA"/>
    <w:rsid w:val="70315496"/>
    <w:rsid w:val="705769CA"/>
    <w:rsid w:val="705A7508"/>
    <w:rsid w:val="706E71BD"/>
    <w:rsid w:val="70701C4B"/>
    <w:rsid w:val="708E2982"/>
    <w:rsid w:val="70AE2678"/>
    <w:rsid w:val="70CE1F76"/>
    <w:rsid w:val="70DB3D14"/>
    <w:rsid w:val="70E27F93"/>
    <w:rsid w:val="70E86135"/>
    <w:rsid w:val="71242F3A"/>
    <w:rsid w:val="71840BA1"/>
    <w:rsid w:val="718606CD"/>
    <w:rsid w:val="71950047"/>
    <w:rsid w:val="71E25F25"/>
    <w:rsid w:val="71E7431C"/>
    <w:rsid w:val="71FA2C98"/>
    <w:rsid w:val="72641B0D"/>
    <w:rsid w:val="72676F72"/>
    <w:rsid w:val="726F7C81"/>
    <w:rsid w:val="72807E26"/>
    <w:rsid w:val="728C3623"/>
    <w:rsid w:val="72A024FF"/>
    <w:rsid w:val="72A722C8"/>
    <w:rsid w:val="72AD39B6"/>
    <w:rsid w:val="72D16B6E"/>
    <w:rsid w:val="72FF2E55"/>
    <w:rsid w:val="735E2EF6"/>
    <w:rsid w:val="73831138"/>
    <w:rsid w:val="73976045"/>
    <w:rsid w:val="73A43391"/>
    <w:rsid w:val="73BE0238"/>
    <w:rsid w:val="73C46707"/>
    <w:rsid w:val="73D61DBE"/>
    <w:rsid w:val="73DD5DBE"/>
    <w:rsid w:val="73F3727F"/>
    <w:rsid w:val="74053D0B"/>
    <w:rsid w:val="74135CDD"/>
    <w:rsid w:val="74472AD6"/>
    <w:rsid w:val="744F37AA"/>
    <w:rsid w:val="746C62BC"/>
    <w:rsid w:val="7475796A"/>
    <w:rsid w:val="748C15BC"/>
    <w:rsid w:val="74CC67F4"/>
    <w:rsid w:val="74F310F6"/>
    <w:rsid w:val="74FD204F"/>
    <w:rsid w:val="74FF0626"/>
    <w:rsid w:val="751E0C7A"/>
    <w:rsid w:val="751F371C"/>
    <w:rsid w:val="752A6F6F"/>
    <w:rsid w:val="75941DF3"/>
    <w:rsid w:val="75954DD4"/>
    <w:rsid w:val="759C6DC0"/>
    <w:rsid w:val="75B65B36"/>
    <w:rsid w:val="75B66081"/>
    <w:rsid w:val="75F04356"/>
    <w:rsid w:val="75F94C86"/>
    <w:rsid w:val="76387C51"/>
    <w:rsid w:val="76480B20"/>
    <w:rsid w:val="76966590"/>
    <w:rsid w:val="76A51677"/>
    <w:rsid w:val="76A74B48"/>
    <w:rsid w:val="76A828E8"/>
    <w:rsid w:val="77020631"/>
    <w:rsid w:val="770479A8"/>
    <w:rsid w:val="7723459B"/>
    <w:rsid w:val="774C6CD5"/>
    <w:rsid w:val="774D0367"/>
    <w:rsid w:val="7750360F"/>
    <w:rsid w:val="775365F7"/>
    <w:rsid w:val="776A08B1"/>
    <w:rsid w:val="777D168E"/>
    <w:rsid w:val="779A2034"/>
    <w:rsid w:val="77AD584D"/>
    <w:rsid w:val="77BD227A"/>
    <w:rsid w:val="77C278B4"/>
    <w:rsid w:val="77CB1F66"/>
    <w:rsid w:val="77F22C55"/>
    <w:rsid w:val="77F24742"/>
    <w:rsid w:val="77F576B8"/>
    <w:rsid w:val="77FD5607"/>
    <w:rsid w:val="781C5BB5"/>
    <w:rsid w:val="78215CC2"/>
    <w:rsid w:val="78392E32"/>
    <w:rsid w:val="78482494"/>
    <w:rsid w:val="784B6342"/>
    <w:rsid w:val="78536C2C"/>
    <w:rsid w:val="787903B0"/>
    <w:rsid w:val="787A3EB4"/>
    <w:rsid w:val="789C3D38"/>
    <w:rsid w:val="78FD0660"/>
    <w:rsid w:val="79003002"/>
    <w:rsid w:val="79195500"/>
    <w:rsid w:val="79331C0A"/>
    <w:rsid w:val="7955157C"/>
    <w:rsid w:val="79820236"/>
    <w:rsid w:val="79844DCF"/>
    <w:rsid w:val="79866B7F"/>
    <w:rsid w:val="798745EF"/>
    <w:rsid w:val="79AB48FE"/>
    <w:rsid w:val="79AD36FA"/>
    <w:rsid w:val="79B1652A"/>
    <w:rsid w:val="79B61858"/>
    <w:rsid w:val="79CC1038"/>
    <w:rsid w:val="79F67E12"/>
    <w:rsid w:val="79FF6CB0"/>
    <w:rsid w:val="7A054169"/>
    <w:rsid w:val="7A5B6F19"/>
    <w:rsid w:val="7A700FB1"/>
    <w:rsid w:val="7A9B413D"/>
    <w:rsid w:val="7AAC7B7E"/>
    <w:rsid w:val="7AB90E57"/>
    <w:rsid w:val="7AC8011E"/>
    <w:rsid w:val="7ADF4527"/>
    <w:rsid w:val="7AE37846"/>
    <w:rsid w:val="7AE47E86"/>
    <w:rsid w:val="7AF2720D"/>
    <w:rsid w:val="7B0C3F15"/>
    <w:rsid w:val="7B291028"/>
    <w:rsid w:val="7B2F5426"/>
    <w:rsid w:val="7B684DCA"/>
    <w:rsid w:val="7B7A2C8B"/>
    <w:rsid w:val="7B7F2637"/>
    <w:rsid w:val="7B852BC5"/>
    <w:rsid w:val="7B8A228A"/>
    <w:rsid w:val="7B9C23BE"/>
    <w:rsid w:val="7BA90981"/>
    <w:rsid w:val="7BC4600E"/>
    <w:rsid w:val="7BFB3926"/>
    <w:rsid w:val="7C0F7337"/>
    <w:rsid w:val="7C274CBE"/>
    <w:rsid w:val="7C392F77"/>
    <w:rsid w:val="7C4A629F"/>
    <w:rsid w:val="7C5D62F2"/>
    <w:rsid w:val="7C5E1C65"/>
    <w:rsid w:val="7C6876C8"/>
    <w:rsid w:val="7C727507"/>
    <w:rsid w:val="7C931FE1"/>
    <w:rsid w:val="7CA420AB"/>
    <w:rsid w:val="7CAB28AE"/>
    <w:rsid w:val="7CB82337"/>
    <w:rsid w:val="7CC71594"/>
    <w:rsid w:val="7CD35696"/>
    <w:rsid w:val="7CDD1473"/>
    <w:rsid w:val="7CF52769"/>
    <w:rsid w:val="7CFD4495"/>
    <w:rsid w:val="7D5702BA"/>
    <w:rsid w:val="7D787D90"/>
    <w:rsid w:val="7D8969B7"/>
    <w:rsid w:val="7DE17BBA"/>
    <w:rsid w:val="7DE215DB"/>
    <w:rsid w:val="7E144E8F"/>
    <w:rsid w:val="7E182D16"/>
    <w:rsid w:val="7E30094B"/>
    <w:rsid w:val="7E654AB8"/>
    <w:rsid w:val="7E704415"/>
    <w:rsid w:val="7EA61EED"/>
    <w:rsid w:val="7EA75F15"/>
    <w:rsid w:val="7EAC5AC6"/>
    <w:rsid w:val="7EDE0C50"/>
    <w:rsid w:val="7EE57C91"/>
    <w:rsid w:val="7EEB62EE"/>
    <w:rsid w:val="7F01354C"/>
    <w:rsid w:val="7F2F6772"/>
    <w:rsid w:val="7F3D57E1"/>
    <w:rsid w:val="7F405587"/>
    <w:rsid w:val="7F575472"/>
    <w:rsid w:val="7F624F6F"/>
    <w:rsid w:val="7F6C64EB"/>
    <w:rsid w:val="7F8B11B0"/>
    <w:rsid w:val="7F8F4F7D"/>
    <w:rsid w:val="7FA155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link w:val="106"/>
    <w:qFormat/>
    <w:uiPriority w:val="9"/>
    <w:pPr>
      <w:keepNext/>
      <w:widowControl/>
      <w:spacing w:line="360" w:lineRule="auto"/>
      <w:jc w:val="center"/>
      <w:outlineLvl w:val="0"/>
    </w:pPr>
    <w:rPr>
      <w:rFonts w:ascii="黑体"/>
      <w:b/>
      <w:kern w:val="0"/>
      <w:sz w:val="32"/>
    </w:rPr>
  </w:style>
  <w:style w:type="paragraph" w:styleId="4">
    <w:name w:val="heading 2"/>
    <w:basedOn w:val="1"/>
    <w:next w:val="1"/>
    <w:link w:val="185"/>
    <w:qFormat/>
    <w:uiPriority w:val="0"/>
    <w:pPr>
      <w:keepNext/>
      <w:keepLines/>
      <w:tabs>
        <w:tab w:val="left" w:pos="706"/>
        <w:tab w:val="left" w:pos="1110"/>
      </w:tabs>
      <w:spacing w:line="360" w:lineRule="auto"/>
      <w:ind w:left="106" w:firstLine="454"/>
      <w:outlineLvl w:val="1"/>
    </w:pPr>
    <w:rPr>
      <w:rFonts w:eastAsia="黑体"/>
      <w:b/>
      <w:sz w:val="21"/>
    </w:rPr>
  </w:style>
  <w:style w:type="paragraph" w:styleId="5">
    <w:name w:val="heading 3"/>
    <w:basedOn w:val="1"/>
    <w:next w:val="1"/>
    <w:link w:val="108"/>
    <w:qFormat/>
    <w:uiPriority w:val="0"/>
    <w:pPr>
      <w:keepNext/>
      <w:keepLines/>
      <w:widowControl/>
      <w:tabs>
        <w:tab w:val="left" w:pos="720"/>
      </w:tabs>
      <w:spacing w:before="120" w:after="120" w:line="360" w:lineRule="auto"/>
      <w:ind w:left="720" w:hanging="720"/>
      <w:jc w:val="center"/>
      <w:outlineLvl w:val="2"/>
    </w:pPr>
    <w:rPr>
      <w:b/>
      <w:kern w:val="0"/>
      <w:sz w:val="32"/>
    </w:rPr>
  </w:style>
  <w:style w:type="paragraph" w:styleId="6">
    <w:name w:val="heading 4"/>
    <w:basedOn w:val="1"/>
    <w:next w:val="7"/>
    <w:link w:val="109"/>
    <w:qFormat/>
    <w:uiPriority w:val="0"/>
    <w:pPr>
      <w:tabs>
        <w:tab w:val="left" w:pos="720"/>
      </w:tabs>
      <w:spacing w:before="280" w:after="290" w:line="372" w:lineRule="auto"/>
      <w:outlineLvl w:val="3"/>
    </w:pPr>
    <w:rPr>
      <w:rFonts w:ascii="Arial" w:hAnsi="Arial" w:eastAsia="黑体"/>
    </w:rPr>
  </w:style>
  <w:style w:type="paragraph" w:styleId="9">
    <w:name w:val="heading 5"/>
    <w:basedOn w:val="1"/>
    <w:next w:val="1"/>
    <w:link w:val="110"/>
    <w:qFormat/>
    <w:uiPriority w:val="0"/>
    <w:pPr>
      <w:keepNext/>
      <w:keepLines/>
      <w:spacing w:before="280" w:after="290" w:line="372" w:lineRule="auto"/>
      <w:outlineLvl w:val="4"/>
    </w:pPr>
    <w:rPr>
      <w:b/>
    </w:rPr>
  </w:style>
  <w:style w:type="paragraph" w:styleId="10">
    <w:name w:val="heading 6"/>
    <w:basedOn w:val="1"/>
    <w:next w:val="1"/>
    <w:link w:val="111"/>
    <w:qFormat/>
    <w:uiPriority w:val="0"/>
    <w:pPr>
      <w:keepNext/>
      <w:keepLines/>
      <w:widowControl/>
      <w:tabs>
        <w:tab w:val="left" w:pos="1440"/>
      </w:tabs>
      <w:spacing w:before="240" w:after="64" w:line="317" w:lineRule="auto"/>
      <w:ind w:left="1152" w:hanging="1152"/>
      <w:jc w:val="left"/>
      <w:outlineLvl w:val="5"/>
    </w:pPr>
    <w:rPr>
      <w:rFonts w:ascii="Arial" w:hAnsi="Arial" w:eastAsia="黑体"/>
      <w:b/>
      <w:kern w:val="0"/>
      <w:sz w:val="24"/>
    </w:rPr>
  </w:style>
  <w:style w:type="paragraph" w:styleId="11">
    <w:name w:val="heading 7"/>
    <w:basedOn w:val="1"/>
    <w:next w:val="1"/>
    <w:link w:val="112"/>
    <w:qFormat/>
    <w:uiPriority w:val="0"/>
    <w:pPr>
      <w:keepNext/>
      <w:keepLines/>
      <w:widowControl/>
      <w:tabs>
        <w:tab w:val="left" w:pos="2520"/>
      </w:tabs>
      <w:spacing w:before="240" w:after="64" w:line="317" w:lineRule="auto"/>
      <w:ind w:left="1296" w:hanging="1296"/>
      <w:jc w:val="left"/>
      <w:outlineLvl w:val="6"/>
    </w:pPr>
    <w:rPr>
      <w:b/>
      <w:kern w:val="0"/>
      <w:sz w:val="24"/>
    </w:rPr>
  </w:style>
  <w:style w:type="paragraph" w:styleId="12">
    <w:name w:val="heading 8"/>
    <w:basedOn w:val="1"/>
    <w:next w:val="1"/>
    <w:link w:val="113"/>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3">
    <w:name w:val="heading 9"/>
    <w:basedOn w:val="1"/>
    <w:next w:val="1"/>
    <w:link w:val="114"/>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 w:val="21"/>
    </w:rPr>
  </w:style>
  <w:style w:type="character" w:default="1" w:styleId="88">
    <w:name w:val="Default Paragraph Font"/>
    <w:unhideWhenUsed/>
    <w:qFormat/>
    <w:uiPriority w:val="1"/>
  </w:style>
  <w:style w:type="table" w:default="1" w:styleId="97">
    <w:name w:val="Normal Table"/>
    <w:unhideWhenUsed/>
    <w:qFormat/>
    <w:uiPriority w:val="99"/>
    <w:tblPr>
      <w:tblLayout w:type="fixed"/>
      <w:tblCellMar>
        <w:top w:w="0" w:type="dxa"/>
        <w:left w:w="108" w:type="dxa"/>
        <w:bottom w:w="0" w:type="dxa"/>
        <w:right w:w="108" w:type="dxa"/>
      </w:tblCellMar>
    </w:tblPr>
  </w:style>
  <w:style w:type="paragraph" w:styleId="2">
    <w:name w:val="List 2"/>
    <w:basedOn w:val="1"/>
    <w:qFormat/>
    <w:uiPriority w:val="0"/>
    <w:pPr>
      <w:ind w:left="100" w:leftChars="200" w:hanging="200" w:hangingChars="200"/>
    </w:pPr>
    <w:rPr>
      <w:sz w:val="21"/>
    </w:rPr>
  </w:style>
  <w:style w:type="paragraph" w:styleId="7">
    <w:name w:val="Normal Indent"/>
    <w:basedOn w:val="1"/>
    <w:next w:val="8"/>
    <w:link w:val="305"/>
    <w:qFormat/>
    <w:uiPriority w:val="0"/>
    <w:pPr>
      <w:widowControl/>
      <w:ind w:firstLine="420"/>
      <w:jc w:val="left"/>
    </w:pPr>
    <w:rPr>
      <w:rFonts w:asciiTheme="minorHAnsi" w:hAnsiTheme="minorHAnsi" w:cstheme="minorBidi"/>
      <w:sz w:val="24"/>
      <w:szCs w:val="22"/>
    </w:rPr>
  </w:style>
  <w:style w:type="paragraph" w:styleId="8">
    <w:name w:val="Body Text Indent"/>
    <w:basedOn w:val="1"/>
    <w:next w:val="7"/>
    <w:link w:val="115"/>
    <w:unhideWhenUsed/>
    <w:qFormat/>
    <w:uiPriority w:val="0"/>
    <w:pPr>
      <w:spacing w:after="120"/>
      <w:ind w:left="420" w:leftChars="200"/>
    </w:pPr>
  </w:style>
  <w:style w:type="paragraph" w:styleId="14">
    <w:name w:val="List 3"/>
    <w:basedOn w:val="1"/>
    <w:qFormat/>
    <w:uiPriority w:val="0"/>
    <w:pPr>
      <w:ind w:left="100" w:leftChars="400" w:hanging="200" w:hangingChars="200"/>
    </w:pPr>
    <w:rPr>
      <w:sz w:val="21"/>
    </w:rPr>
  </w:style>
  <w:style w:type="paragraph" w:styleId="15">
    <w:name w:val="annotation subject"/>
    <w:basedOn w:val="16"/>
    <w:next w:val="16"/>
    <w:link w:val="353"/>
    <w:qFormat/>
    <w:uiPriority w:val="0"/>
    <w:rPr>
      <w:rFonts w:asciiTheme="minorHAnsi" w:hAnsiTheme="minorHAnsi" w:eastAsiaTheme="minorEastAsia" w:cstheme="minorBidi"/>
      <w:b/>
      <w:sz w:val="21"/>
      <w:szCs w:val="22"/>
    </w:rPr>
  </w:style>
  <w:style w:type="paragraph" w:styleId="16">
    <w:name w:val="annotation text"/>
    <w:basedOn w:val="1"/>
    <w:link w:val="121"/>
    <w:unhideWhenUsed/>
    <w:qFormat/>
    <w:uiPriority w:val="0"/>
    <w:pPr>
      <w:jc w:val="left"/>
    </w:pPr>
  </w:style>
  <w:style w:type="paragraph" w:styleId="17">
    <w:name w:val="toc 7"/>
    <w:basedOn w:val="1"/>
    <w:next w:val="1"/>
    <w:qFormat/>
    <w:uiPriority w:val="0"/>
    <w:pPr>
      <w:ind w:left="1680"/>
      <w:jc w:val="left"/>
    </w:pPr>
    <w:rPr>
      <w:sz w:val="18"/>
    </w:rPr>
  </w:style>
  <w:style w:type="paragraph" w:styleId="18">
    <w:name w:val="Body Text First Indent"/>
    <w:basedOn w:val="19"/>
    <w:next w:val="1"/>
    <w:link w:val="340"/>
    <w:qFormat/>
    <w:uiPriority w:val="0"/>
    <w:pPr>
      <w:ind w:firstLine="420" w:firstLineChars="100"/>
    </w:pPr>
    <w:rPr>
      <w:rFonts w:ascii="等线" w:hAnsi="等线" w:eastAsia="等线" w:cstheme="minorBidi"/>
      <w:sz w:val="21"/>
      <w:szCs w:val="22"/>
    </w:rPr>
  </w:style>
  <w:style w:type="paragraph" w:styleId="19">
    <w:name w:val="Body Text"/>
    <w:basedOn w:val="1"/>
    <w:next w:val="18"/>
    <w:link w:val="117"/>
    <w:unhideWhenUsed/>
    <w:qFormat/>
    <w:uiPriority w:val="0"/>
    <w:pPr>
      <w:spacing w:after="120"/>
    </w:pPr>
  </w:style>
  <w:style w:type="paragraph" w:styleId="20">
    <w:name w:val="List Number 2"/>
    <w:basedOn w:val="1"/>
    <w:qFormat/>
    <w:uiPriority w:val="0"/>
    <w:pPr>
      <w:tabs>
        <w:tab w:val="left" w:pos="0"/>
      </w:tabs>
      <w:ind w:left="1146" w:hanging="720"/>
    </w:pPr>
    <w:rPr>
      <w:sz w:val="21"/>
    </w:rPr>
  </w:style>
  <w:style w:type="paragraph" w:styleId="21">
    <w:name w:val="table of authorities"/>
    <w:basedOn w:val="1"/>
    <w:next w:val="1"/>
    <w:qFormat/>
    <w:uiPriority w:val="0"/>
    <w:pPr>
      <w:ind w:left="420" w:leftChars="200"/>
    </w:pPr>
    <w:rPr>
      <w:sz w:val="21"/>
    </w:rPr>
  </w:style>
  <w:style w:type="paragraph" w:styleId="22">
    <w:name w:val="macro"/>
    <w:link w:val="33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szCs w:val="22"/>
      <w:lang w:val="en-US" w:eastAsia="zh-CN" w:bidi="ar-SA"/>
    </w:rPr>
  </w:style>
  <w:style w:type="paragraph" w:styleId="23">
    <w:name w:val="Note Heading"/>
    <w:basedOn w:val="1"/>
    <w:next w:val="1"/>
    <w:link w:val="334"/>
    <w:qFormat/>
    <w:uiPriority w:val="0"/>
    <w:pPr>
      <w:jc w:val="center"/>
    </w:pPr>
    <w:rPr>
      <w:rFonts w:asciiTheme="minorHAnsi" w:hAnsiTheme="minorHAnsi" w:eastAsiaTheme="minorEastAsia" w:cstheme="minorBidi"/>
      <w:sz w:val="21"/>
      <w:szCs w:val="22"/>
    </w:rPr>
  </w:style>
  <w:style w:type="paragraph" w:styleId="24">
    <w:name w:val="List Bullet 4"/>
    <w:basedOn w:val="1"/>
    <w:qFormat/>
    <w:uiPriority w:val="0"/>
    <w:pPr>
      <w:tabs>
        <w:tab w:val="left" w:pos="1620"/>
      </w:tabs>
      <w:ind w:left="1620" w:hanging="360"/>
    </w:pPr>
    <w:rPr>
      <w:sz w:val="21"/>
    </w:rPr>
  </w:style>
  <w:style w:type="paragraph" w:styleId="25">
    <w:name w:val="index 8"/>
    <w:basedOn w:val="1"/>
    <w:next w:val="1"/>
    <w:qFormat/>
    <w:uiPriority w:val="0"/>
    <w:pPr>
      <w:ind w:left="1400" w:leftChars="1400"/>
    </w:pPr>
    <w:rPr>
      <w:sz w:val="21"/>
    </w:rPr>
  </w:style>
  <w:style w:type="paragraph" w:styleId="26">
    <w:name w:val="E-mail Signature"/>
    <w:basedOn w:val="1"/>
    <w:link w:val="328"/>
    <w:qFormat/>
    <w:uiPriority w:val="0"/>
    <w:rPr>
      <w:rFonts w:asciiTheme="minorHAnsi" w:hAnsiTheme="minorHAnsi" w:eastAsiaTheme="minorEastAsia" w:cstheme="minorBidi"/>
      <w:sz w:val="21"/>
      <w:szCs w:val="22"/>
    </w:rPr>
  </w:style>
  <w:style w:type="paragraph" w:styleId="27">
    <w:name w:val="List Number"/>
    <w:basedOn w:val="1"/>
    <w:qFormat/>
    <w:uiPriority w:val="0"/>
    <w:pPr>
      <w:tabs>
        <w:tab w:val="left" w:pos="360"/>
      </w:tabs>
      <w:ind w:left="360" w:hanging="360"/>
    </w:pPr>
    <w:rPr>
      <w:sz w:val="21"/>
    </w:rPr>
  </w:style>
  <w:style w:type="paragraph" w:styleId="28">
    <w:name w:val="caption"/>
    <w:basedOn w:val="1"/>
    <w:next w:val="1"/>
    <w:qFormat/>
    <w:uiPriority w:val="0"/>
    <w:rPr>
      <w:rFonts w:ascii="Arial" w:hAnsi="Arial" w:eastAsia="黑体"/>
      <w:sz w:val="20"/>
    </w:rPr>
  </w:style>
  <w:style w:type="paragraph" w:styleId="29">
    <w:name w:val="index 5"/>
    <w:basedOn w:val="1"/>
    <w:next w:val="1"/>
    <w:qFormat/>
    <w:uiPriority w:val="0"/>
    <w:pPr>
      <w:ind w:left="800" w:leftChars="800"/>
    </w:pPr>
    <w:rPr>
      <w:sz w:val="21"/>
    </w:rPr>
  </w:style>
  <w:style w:type="paragraph" w:styleId="30">
    <w:name w:val="List Bullet"/>
    <w:basedOn w:val="1"/>
    <w:qFormat/>
    <w:uiPriority w:val="0"/>
    <w:pPr>
      <w:tabs>
        <w:tab w:val="left" w:pos="735"/>
      </w:tabs>
      <w:ind w:left="735"/>
    </w:pPr>
    <w:rPr>
      <w:sz w:val="21"/>
    </w:rPr>
  </w:style>
  <w:style w:type="paragraph" w:styleId="31">
    <w:name w:val="envelope address"/>
    <w:basedOn w:val="1"/>
    <w:qFormat/>
    <w:uiPriority w:val="0"/>
    <w:pPr>
      <w:snapToGrid w:val="0"/>
      <w:ind w:left="100" w:leftChars="1400"/>
    </w:pPr>
    <w:rPr>
      <w:rFonts w:ascii="Arial" w:hAnsi="Arial"/>
      <w:sz w:val="24"/>
    </w:rPr>
  </w:style>
  <w:style w:type="paragraph" w:styleId="32">
    <w:name w:val="Document Map"/>
    <w:basedOn w:val="1"/>
    <w:link w:val="336"/>
    <w:qFormat/>
    <w:uiPriority w:val="0"/>
    <w:pPr>
      <w:shd w:val="clear" w:color="auto" w:fill="000080"/>
    </w:pPr>
    <w:rPr>
      <w:rFonts w:asciiTheme="minorHAnsi" w:hAnsiTheme="minorHAnsi" w:eastAsiaTheme="minorEastAsia" w:cstheme="minorBidi"/>
      <w:szCs w:val="22"/>
      <w:shd w:val="clear" w:color="auto" w:fill="000080"/>
    </w:rPr>
  </w:style>
  <w:style w:type="paragraph" w:styleId="33">
    <w:name w:val="toa heading"/>
    <w:basedOn w:val="1"/>
    <w:next w:val="1"/>
    <w:qFormat/>
    <w:uiPriority w:val="0"/>
    <w:pPr>
      <w:spacing w:before="120"/>
    </w:pPr>
    <w:rPr>
      <w:rFonts w:ascii="Arial" w:hAnsi="Arial"/>
      <w:sz w:val="24"/>
    </w:rPr>
  </w:style>
  <w:style w:type="paragraph" w:styleId="34">
    <w:name w:val="index 6"/>
    <w:basedOn w:val="1"/>
    <w:next w:val="1"/>
    <w:qFormat/>
    <w:uiPriority w:val="0"/>
    <w:pPr>
      <w:ind w:left="1000" w:leftChars="1000"/>
    </w:pPr>
    <w:rPr>
      <w:sz w:val="21"/>
    </w:rPr>
  </w:style>
  <w:style w:type="paragraph" w:styleId="35">
    <w:name w:val="Salutation"/>
    <w:basedOn w:val="1"/>
    <w:next w:val="1"/>
    <w:link w:val="344"/>
    <w:qFormat/>
    <w:uiPriority w:val="0"/>
    <w:rPr>
      <w:rFonts w:ascii="宋体" w:hAnsiTheme="minorHAnsi" w:eastAsiaTheme="minorEastAsia" w:cstheme="minorBidi"/>
      <w:szCs w:val="22"/>
    </w:rPr>
  </w:style>
  <w:style w:type="paragraph" w:styleId="36">
    <w:name w:val="Body Text 3"/>
    <w:basedOn w:val="1"/>
    <w:link w:val="348"/>
    <w:qFormat/>
    <w:uiPriority w:val="0"/>
    <w:pPr>
      <w:spacing w:after="120"/>
    </w:pPr>
    <w:rPr>
      <w:rFonts w:asciiTheme="minorHAnsi" w:hAnsiTheme="minorHAnsi" w:eastAsiaTheme="minorEastAsia" w:cstheme="minorBidi"/>
      <w:sz w:val="16"/>
      <w:szCs w:val="22"/>
    </w:rPr>
  </w:style>
  <w:style w:type="paragraph" w:styleId="37">
    <w:name w:val="Closing"/>
    <w:basedOn w:val="1"/>
    <w:link w:val="333"/>
    <w:qFormat/>
    <w:uiPriority w:val="0"/>
    <w:pPr>
      <w:ind w:left="100" w:leftChars="2100"/>
    </w:pPr>
    <w:rPr>
      <w:rFonts w:asciiTheme="minorHAnsi" w:hAnsiTheme="minorHAnsi" w:eastAsiaTheme="minorEastAsia" w:cstheme="minorBidi"/>
      <w:sz w:val="21"/>
      <w:szCs w:val="22"/>
    </w:rPr>
  </w:style>
  <w:style w:type="paragraph" w:styleId="38">
    <w:name w:val="List Bullet 3"/>
    <w:basedOn w:val="1"/>
    <w:qFormat/>
    <w:uiPriority w:val="0"/>
    <w:pPr>
      <w:tabs>
        <w:tab w:val="left" w:pos="1200"/>
      </w:tabs>
      <w:ind w:left="1200" w:hanging="360"/>
    </w:pPr>
    <w:rPr>
      <w:sz w:val="21"/>
    </w:rPr>
  </w:style>
  <w:style w:type="paragraph" w:styleId="39">
    <w:name w:val="List Number 3"/>
    <w:basedOn w:val="1"/>
    <w:qFormat/>
    <w:uiPriority w:val="0"/>
    <w:pPr>
      <w:tabs>
        <w:tab w:val="left" w:pos="1200"/>
      </w:tabs>
      <w:ind w:left="1200" w:hanging="360"/>
    </w:pPr>
    <w:rPr>
      <w:sz w:val="21"/>
    </w:rPr>
  </w:style>
  <w:style w:type="paragraph" w:styleId="40">
    <w:name w:val="List Continue"/>
    <w:basedOn w:val="1"/>
    <w:qFormat/>
    <w:uiPriority w:val="0"/>
    <w:pPr>
      <w:spacing w:after="120"/>
      <w:ind w:left="420" w:leftChars="200"/>
    </w:pPr>
    <w:rPr>
      <w:sz w:val="21"/>
    </w:rPr>
  </w:style>
  <w:style w:type="paragraph" w:styleId="41">
    <w:name w:val="Block Text"/>
    <w:basedOn w:val="1"/>
    <w:qFormat/>
    <w:uiPriority w:val="0"/>
    <w:pPr>
      <w:spacing w:line="240" w:lineRule="exact"/>
      <w:ind w:left="475" w:leftChars="240" w:right="292" w:rightChars="292" w:firstLine="473"/>
    </w:pPr>
    <w:rPr>
      <w:rFonts w:ascii="宋体" w:hAnsi="宋体"/>
      <w:spacing w:val="-6"/>
      <w:sz w:val="21"/>
    </w:rPr>
  </w:style>
  <w:style w:type="paragraph" w:styleId="42">
    <w:name w:val="List Bullet 2"/>
    <w:basedOn w:val="1"/>
    <w:qFormat/>
    <w:uiPriority w:val="0"/>
    <w:pPr>
      <w:tabs>
        <w:tab w:val="left" w:pos="780"/>
      </w:tabs>
      <w:ind w:left="780" w:hanging="360"/>
    </w:pPr>
    <w:rPr>
      <w:sz w:val="21"/>
    </w:rPr>
  </w:style>
  <w:style w:type="paragraph" w:styleId="43">
    <w:name w:val="HTML Address"/>
    <w:basedOn w:val="1"/>
    <w:link w:val="339"/>
    <w:qFormat/>
    <w:uiPriority w:val="0"/>
    <w:rPr>
      <w:rFonts w:asciiTheme="minorHAnsi" w:hAnsiTheme="minorHAnsi" w:eastAsiaTheme="minorEastAsia" w:cstheme="minorBidi"/>
      <w:i/>
      <w:sz w:val="21"/>
      <w:szCs w:val="22"/>
    </w:rPr>
  </w:style>
  <w:style w:type="paragraph" w:styleId="44">
    <w:name w:val="index 4"/>
    <w:basedOn w:val="1"/>
    <w:next w:val="1"/>
    <w:qFormat/>
    <w:uiPriority w:val="0"/>
    <w:pPr>
      <w:ind w:left="600" w:leftChars="600"/>
    </w:pPr>
    <w:rPr>
      <w:sz w:val="21"/>
    </w:rPr>
  </w:style>
  <w:style w:type="paragraph" w:styleId="45">
    <w:name w:val="toc 5"/>
    <w:basedOn w:val="1"/>
    <w:next w:val="1"/>
    <w:qFormat/>
    <w:uiPriority w:val="0"/>
    <w:pPr>
      <w:ind w:left="1120"/>
      <w:jc w:val="left"/>
    </w:pPr>
    <w:rPr>
      <w:sz w:val="18"/>
    </w:rPr>
  </w:style>
  <w:style w:type="paragraph" w:styleId="46">
    <w:name w:val="toc 3"/>
    <w:basedOn w:val="1"/>
    <w:next w:val="1"/>
    <w:qFormat/>
    <w:uiPriority w:val="0"/>
    <w:pPr>
      <w:ind w:left="560"/>
      <w:jc w:val="left"/>
    </w:pPr>
    <w:rPr>
      <w:i/>
      <w:sz w:val="20"/>
    </w:rPr>
  </w:style>
  <w:style w:type="paragraph" w:styleId="47">
    <w:name w:val="Plain Text"/>
    <w:basedOn w:val="1"/>
    <w:next w:val="1"/>
    <w:link w:val="332"/>
    <w:qFormat/>
    <w:uiPriority w:val="0"/>
    <w:rPr>
      <w:rFonts w:ascii="宋体" w:hAnsi="Courier New" w:cstheme="minorBidi"/>
      <w:sz w:val="21"/>
      <w:szCs w:val="22"/>
    </w:rPr>
  </w:style>
  <w:style w:type="paragraph" w:styleId="48">
    <w:name w:val="List Bullet 5"/>
    <w:basedOn w:val="1"/>
    <w:qFormat/>
    <w:uiPriority w:val="0"/>
    <w:pPr>
      <w:tabs>
        <w:tab w:val="left" w:pos="2040"/>
      </w:tabs>
      <w:ind w:left="2040" w:hanging="360"/>
    </w:pPr>
    <w:rPr>
      <w:sz w:val="21"/>
    </w:rPr>
  </w:style>
  <w:style w:type="paragraph" w:styleId="49">
    <w:name w:val="List Number 4"/>
    <w:basedOn w:val="1"/>
    <w:qFormat/>
    <w:uiPriority w:val="0"/>
    <w:pPr>
      <w:tabs>
        <w:tab w:val="left" w:pos="1620"/>
      </w:tabs>
      <w:ind w:left="1620" w:hanging="360"/>
    </w:pPr>
    <w:rPr>
      <w:sz w:val="21"/>
    </w:rPr>
  </w:style>
  <w:style w:type="paragraph" w:styleId="50">
    <w:name w:val="toc 8"/>
    <w:basedOn w:val="1"/>
    <w:next w:val="1"/>
    <w:qFormat/>
    <w:uiPriority w:val="0"/>
    <w:pPr>
      <w:ind w:left="1960"/>
      <w:jc w:val="left"/>
    </w:pPr>
    <w:rPr>
      <w:sz w:val="18"/>
    </w:rPr>
  </w:style>
  <w:style w:type="paragraph" w:styleId="51">
    <w:name w:val="index 3"/>
    <w:basedOn w:val="1"/>
    <w:next w:val="1"/>
    <w:qFormat/>
    <w:uiPriority w:val="0"/>
    <w:pPr>
      <w:ind w:left="400" w:leftChars="400"/>
    </w:pPr>
    <w:rPr>
      <w:sz w:val="21"/>
    </w:rPr>
  </w:style>
  <w:style w:type="paragraph" w:styleId="52">
    <w:name w:val="Date"/>
    <w:basedOn w:val="1"/>
    <w:next w:val="1"/>
    <w:link w:val="331"/>
    <w:qFormat/>
    <w:uiPriority w:val="0"/>
    <w:pPr>
      <w:adjustRightInd w:val="0"/>
      <w:jc w:val="right"/>
      <w:textAlignment w:val="baseline"/>
    </w:pPr>
    <w:rPr>
      <w:rFonts w:eastAsia="仿宋_GB2312" w:asciiTheme="minorHAnsi" w:hAnsiTheme="minorHAnsi" w:cstheme="minorBidi"/>
      <w:b/>
      <w:szCs w:val="22"/>
    </w:rPr>
  </w:style>
  <w:style w:type="paragraph" w:styleId="53">
    <w:name w:val="Body Text Indent 2"/>
    <w:basedOn w:val="1"/>
    <w:link w:val="335"/>
    <w:qFormat/>
    <w:uiPriority w:val="0"/>
    <w:pPr>
      <w:spacing w:line="520" w:lineRule="exact"/>
      <w:ind w:firstLine="848" w:firstLineChars="303"/>
    </w:pPr>
    <w:rPr>
      <w:rFonts w:ascii="黑体" w:eastAsia="黑体" w:hAnsiTheme="minorHAnsi" w:cstheme="minorBidi"/>
      <w:szCs w:val="22"/>
    </w:rPr>
  </w:style>
  <w:style w:type="paragraph" w:styleId="54">
    <w:name w:val="endnote text"/>
    <w:basedOn w:val="1"/>
    <w:link w:val="327"/>
    <w:qFormat/>
    <w:uiPriority w:val="0"/>
    <w:pPr>
      <w:snapToGrid w:val="0"/>
    </w:pPr>
    <w:rPr>
      <w:rFonts w:asciiTheme="minorHAnsi" w:hAnsiTheme="minorHAnsi" w:eastAsiaTheme="minorEastAsia" w:cstheme="minorBidi"/>
      <w:sz w:val="21"/>
      <w:szCs w:val="22"/>
    </w:rPr>
  </w:style>
  <w:style w:type="paragraph" w:styleId="55">
    <w:name w:val="List Continue 5"/>
    <w:basedOn w:val="1"/>
    <w:qFormat/>
    <w:uiPriority w:val="0"/>
    <w:pPr>
      <w:spacing w:after="120"/>
      <w:ind w:left="2100" w:leftChars="1000"/>
    </w:pPr>
    <w:rPr>
      <w:sz w:val="21"/>
    </w:rPr>
  </w:style>
  <w:style w:type="paragraph" w:styleId="56">
    <w:name w:val="Balloon Text"/>
    <w:basedOn w:val="1"/>
    <w:next w:val="1"/>
    <w:link w:val="343"/>
    <w:qFormat/>
    <w:uiPriority w:val="99"/>
    <w:rPr>
      <w:rFonts w:asciiTheme="minorHAnsi" w:hAnsiTheme="minorHAnsi" w:eastAsiaTheme="minorEastAsia" w:cstheme="minorBidi"/>
      <w:sz w:val="18"/>
      <w:szCs w:val="22"/>
    </w:rPr>
  </w:style>
  <w:style w:type="paragraph" w:styleId="57">
    <w:name w:val="footer"/>
    <w:basedOn w:val="1"/>
    <w:link w:val="105"/>
    <w:unhideWhenUsed/>
    <w:qFormat/>
    <w:uiPriority w:val="99"/>
    <w:pPr>
      <w:tabs>
        <w:tab w:val="center" w:pos="4153"/>
        <w:tab w:val="right" w:pos="8306"/>
      </w:tabs>
      <w:snapToGrid w:val="0"/>
      <w:jc w:val="left"/>
    </w:pPr>
    <w:rPr>
      <w:sz w:val="18"/>
      <w:szCs w:val="18"/>
    </w:rPr>
  </w:style>
  <w:style w:type="paragraph" w:styleId="58">
    <w:name w:val="envelope return"/>
    <w:basedOn w:val="1"/>
    <w:qFormat/>
    <w:uiPriority w:val="0"/>
    <w:pPr>
      <w:snapToGrid w:val="0"/>
    </w:pPr>
    <w:rPr>
      <w:rFonts w:ascii="Arial" w:hAnsi="Arial"/>
      <w:sz w:val="21"/>
    </w:rPr>
  </w:style>
  <w:style w:type="paragraph" w:styleId="59">
    <w:name w:val="Body Text First Indent 2"/>
    <w:basedOn w:val="8"/>
    <w:next w:val="19"/>
    <w:link w:val="341"/>
    <w:qFormat/>
    <w:uiPriority w:val="0"/>
    <w:pPr>
      <w:ind w:firstLine="420" w:firstLineChars="200"/>
    </w:pPr>
    <w:rPr>
      <w:rFonts w:ascii="等线" w:hAnsi="等线" w:eastAsia="等线" w:cstheme="minorBidi"/>
      <w:sz w:val="21"/>
      <w:szCs w:val="22"/>
    </w:rPr>
  </w:style>
  <w:style w:type="paragraph" w:styleId="60">
    <w:name w:val="header"/>
    <w:basedOn w:val="1"/>
    <w:link w:val="104"/>
    <w:unhideWhenUsed/>
    <w:qFormat/>
    <w:uiPriority w:val="0"/>
    <w:pPr>
      <w:pBdr>
        <w:bottom w:val="single" w:color="auto" w:sz="6" w:space="1"/>
      </w:pBdr>
      <w:tabs>
        <w:tab w:val="center" w:pos="4153"/>
        <w:tab w:val="right" w:pos="8306"/>
      </w:tabs>
      <w:snapToGrid w:val="0"/>
      <w:jc w:val="center"/>
    </w:pPr>
    <w:rPr>
      <w:sz w:val="18"/>
      <w:szCs w:val="18"/>
    </w:rPr>
  </w:style>
  <w:style w:type="paragraph" w:styleId="61">
    <w:name w:val="Signature"/>
    <w:basedOn w:val="1"/>
    <w:link w:val="347"/>
    <w:qFormat/>
    <w:uiPriority w:val="0"/>
    <w:pPr>
      <w:ind w:left="100" w:leftChars="2100"/>
    </w:pPr>
    <w:rPr>
      <w:rFonts w:asciiTheme="minorHAnsi" w:hAnsiTheme="minorHAnsi" w:eastAsiaTheme="minorEastAsia" w:cstheme="minorBidi"/>
      <w:sz w:val="21"/>
      <w:szCs w:val="22"/>
    </w:rPr>
  </w:style>
  <w:style w:type="paragraph" w:styleId="62">
    <w:name w:val="toc 1"/>
    <w:basedOn w:val="1"/>
    <w:next w:val="1"/>
    <w:qFormat/>
    <w:uiPriority w:val="39"/>
    <w:pPr>
      <w:tabs>
        <w:tab w:val="right" w:leader="dot" w:pos="8364"/>
      </w:tabs>
      <w:spacing w:before="120" w:after="120" w:line="360" w:lineRule="auto"/>
      <w:jc w:val="left"/>
    </w:pPr>
    <w:rPr>
      <w:b/>
      <w:caps/>
      <w:sz w:val="20"/>
    </w:rPr>
  </w:style>
  <w:style w:type="paragraph" w:styleId="63">
    <w:name w:val="List Continue 4"/>
    <w:basedOn w:val="1"/>
    <w:qFormat/>
    <w:uiPriority w:val="0"/>
    <w:pPr>
      <w:spacing w:after="120"/>
      <w:ind w:left="1680" w:leftChars="800"/>
    </w:pPr>
    <w:rPr>
      <w:sz w:val="21"/>
    </w:rPr>
  </w:style>
  <w:style w:type="paragraph" w:styleId="64">
    <w:name w:val="toc 4"/>
    <w:basedOn w:val="1"/>
    <w:next w:val="1"/>
    <w:qFormat/>
    <w:uiPriority w:val="0"/>
    <w:pPr>
      <w:ind w:left="840"/>
      <w:jc w:val="left"/>
    </w:pPr>
    <w:rPr>
      <w:sz w:val="18"/>
    </w:rPr>
  </w:style>
  <w:style w:type="paragraph" w:styleId="65">
    <w:name w:val="index heading"/>
    <w:basedOn w:val="1"/>
    <w:next w:val="66"/>
    <w:qFormat/>
    <w:uiPriority w:val="0"/>
    <w:rPr>
      <w:rFonts w:ascii="Arial" w:hAnsi="Arial"/>
      <w:b/>
      <w:sz w:val="21"/>
    </w:rPr>
  </w:style>
  <w:style w:type="paragraph" w:styleId="66">
    <w:name w:val="index 1"/>
    <w:basedOn w:val="1"/>
    <w:next w:val="1"/>
    <w:unhideWhenUsed/>
    <w:qFormat/>
    <w:uiPriority w:val="0"/>
  </w:style>
  <w:style w:type="paragraph" w:styleId="67">
    <w:name w:val="Subtitle"/>
    <w:basedOn w:val="1"/>
    <w:next w:val="1"/>
    <w:link w:val="349"/>
    <w:qFormat/>
    <w:uiPriority w:val="0"/>
    <w:pPr>
      <w:spacing w:before="240" w:after="60" w:line="312" w:lineRule="auto"/>
      <w:jc w:val="center"/>
      <w:outlineLvl w:val="1"/>
    </w:pPr>
    <w:rPr>
      <w:rFonts w:ascii="Cambria" w:hAnsi="Cambria" w:eastAsiaTheme="minorEastAsia" w:cstheme="minorBidi"/>
      <w:b/>
      <w:kern w:val="28"/>
      <w:sz w:val="32"/>
      <w:szCs w:val="22"/>
    </w:rPr>
  </w:style>
  <w:style w:type="paragraph" w:styleId="68">
    <w:name w:val="List Number 5"/>
    <w:basedOn w:val="1"/>
    <w:qFormat/>
    <w:uiPriority w:val="0"/>
    <w:pPr>
      <w:tabs>
        <w:tab w:val="left" w:pos="2040"/>
      </w:tabs>
      <w:ind w:left="2040" w:hanging="360"/>
    </w:pPr>
    <w:rPr>
      <w:sz w:val="21"/>
    </w:rPr>
  </w:style>
  <w:style w:type="paragraph" w:styleId="69">
    <w:name w:val="List"/>
    <w:basedOn w:val="1"/>
    <w:qFormat/>
    <w:uiPriority w:val="0"/>
    <w:pPr>
      <w:ind w:left="200" w:hanging="200" w:hangingChars="200"/>
    </w:pPr>
    <w:rPr>
      <w:sz w:val="21"/>
    </w:rPr>
  </w:style>
  <w:style w:type="paragraph" w:styleId="70">
    <w:name w:val="footnote text"/>
    <w:basedOn w:val="1"/>
    <w:link w:val="350"/>
    <w:qFormat/>
    <w:uiPriority w:val="0"/>
    <w:pPr>
      <w:snapToGrid w:val="0"/>
      <w:jc w:val="left"/>
    </w:pPr>
    <w:rPr>
      <w:rFonts w:asciiTheme="minorHAnsi" w:hAnsiTheme="minorHAnsi" w:eastAsiaTheme="minorEastAsia" w:cstheme="minorBidi"/>
      <w:sz w:val="18"/>
      <w:szCs w:val="22"/>
    </w:rPr>
  </w:style>
  <w:style w:type="paragraph" w:styleId="71">
    <w:name w:val="toc 6"/>
    <w:basedOn w:val="1"/>
    <w:next w:val="1"/>
    <w:qFormat/>
    <w:uiPriority w:val="0"/>
    <w:pPr>
      <w:ind w:left="1400"/>
      <w:jc w:val="left"/>
    </w:pPr>
    <w:rPr>
      <w:sz w:val="18"/>
    </w:rPr>
  </w:style>
  <w:style w:type="paragraph" w:styleId="72">
    <w:name w:val="List 5"/>
    <w:basedOn w:val="1"/>
    <w:qFormat/>
    <w:uiPriority w:val="0"/>
    <w:pPr>
      <w:ind w:left="100" w:leftChars="800" w:hanging="200" w:hangingChars="200"/>
    </w:pPr>
    <w:rPr>
      <w:sz w:val="21"/>
    </w:rPr>
  </w:style>
  <w:style w:type="paragraph" w:styleId="73">
    <w:name w:val="Body Text Indent 3"/>
    <w:basedOn w:val="1"/>
    <w:link w:val="346"/>
    <w:qFormat/>
    <w:uiPriority w:val="0"/>
    <w:pPr>
      <w:spacing w:line="520" w:lineRule="exact"/>
      <w:ind w:firstLine="547"/>
    </w:pPr>
    <w:rPr>
      <w:rFonts w:asciiTheme="minorHAnsi" w:hAnsiTheme="minorHAnsi" w:eastAsiaTheme="minorEastAsia" w:cstheme="minorBidi"/>
      <w:szCs w:val="22"/>
    </w:rPr>
  </w:style>
  <w:style w:type="paragraph" w:styleId="74">
    <w:name w:val="index 7"/>
    <w:basedOn w:val="1"/>
    <w:next w:val="1"/>
    <w:qFormat/>
    <w:uiPriority w:val="0"/>
    <w:pPr>
      <w:ind w:left="1200" w:leftChars="1200"/>
    </w:pPr>
    <w:rPr>
      <w:sz w:val="21"/>
    </w:rPr>
  </w:style>
  <w:style w:type="paragraph" w:styleId="75">
    <w:name w:val="index 9"/>
    <w:basedOn w:val="1"/>
    <w:next w:val="1"/>
    <w:qFormat/>
    <w:uiPriority w:val="0"/>
    <w:pPr>
      <w:ind w:left="1600" w:leftChars="1600"/>
    </w:pPr>
    <w:rPr>
      <w:sz w:val="21"/>
    </w:rPr>
  </w:style>
  <w:style w:type="paragraph" w:styleId="76">
    <w:name w:val="table of figures"/>
    <w:basedOn w:val="1"/>
    <w:next w:val="1"/>
    <w:qFormat/>
    <w:uiPriority w:val="0"/>
    <w:pPr>
      <w:ind w:left="560" w:hanging="560"/>
      <w:jc w:val="left"/>
    </w:pPr>
    <w:rPr>
      <w:smallCaps/>
      <w:sz w:val="20"/>
    </w:rPr>
  </w:style>
  <w:style w:type="paragraph" w:styleId="77">
    <w:name w:val="toc 2"/>
    <w:basedOn w:val="1"/>
    <w:next w:val="1"/>
    <w:qFormat/>
    <w:uiPriority w:val="39"/>
    <w:pPr>
      <w:tabs>
        <w:tab w:val="right" w:leader="dot" w:pos="8364"/>
      </w:tabs>
      <w:spacing w:line="360" w:lineRule="auto"/>
      <w:ind w:left="280"/>
      <w:jc w:val="left"/>
    </w:pPr>
    <w:rPr>
      <w:rFonts w:ascii="仿宋" w:hAnsi="仿宋" w:eastAsia="仿宋"/>
      <w:b/>
      <w:smallCaps/>
      <w:sz w:val="24"/>
    </w:rPr>
  </w:style>
  <w:style w:type="paragraph" w:styleId="78">
    <w:name w:val="toc 9"/>
    <w:basedOn w:val="1"/>
    <w:next w:val="1"/>
    <w:qFormat/>
    <w:uiPriority w:val="0"/>
    <w:pPr>
      <w:ind w:left="2240"/>
      <w:jc w:val="left"/>
    </w:pPr>
    <w:rPr>
      <w:sz w:val="18"/>
    </w:rPr>
  </w:style>
  <w:style w:type="paragraph" w:styleId="79">
    <w:name w:val="Body Text 2"/>
    <w:basedOn w:val="1"/>
    <w:link w:val="329"/>
    <w:qFormat/>
    <w:uiPriority w:val="0"/>
    <w:pPr>
      <w:spacing w:after="120" w:line="480" w:lineRule="auto"/>
    </w:pPr>
    <w:rPr>
      <w:rFonts w:asciiTheme="minorHAnsi" w:hAnsiTheme="minorHAnsi" w:eastAsiaTheme="minorEastAsia" w:cstheme="minorBidi"/>
      <w:sz w:val="21"/>
      <w:szCs w:val="22"/>
    </w:rPr>
  </w:style>
  <w:style w:type="paragraph" w:styleId="80">
    <w:name w:val="List 4"/>
    <w:basedOn w:val="1"/>
    <w:qFormat/>
    <w:uiPriority w:val="0"/>
    <w:pPr>
      <w:ind w:left="100" w:leftChars="600" w:hanging="200" w:hangingChars="200"/>
    </w:pPr>
    <w:rPr>
      <w:sz w:val="21"/>
    </w:rPr>
  </w:style>
  <w:style w:type="paragraph" w:styleId="81">
    <w:name w:val="List Continue 2"/>
    <w:basedOn w:val="1"/>
    <w:qFormat/>
    <w:uiPriority w:val="0"/>
    <w:pPr>
      <w:spacing w:after="120"/>
      <w:ind w:left="840" w:leftChars="400"/>
    </w:pPr>
    <w:rPr>
      <w:sz w:val="21"/>
    </w:rPr>
  </w:style>
  <w:style w:type="paragraph" w:styleId="82">
    <w:name w:val="Message Header"/>
    <w:basedOn w:val="1"/>
    <w:link w:val="35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Theme="minorEastAsia" w:cstheme="minorBidi"/>
      <w:sz w:val="24"/>
      <w:szCs w:val="22"/>
      <w:shd w:val="pct20" w:color="auto" w:fill="auto"/>
    </w:rPr>
  </w:style>
  <w:style w:type="paragraph" w:styleId="83">
    <w:name w:val="HTML Preformatted"/>
    <w:basedOn w:val="1"/>
    <w:link w:val="35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heme="minorBidi"/>
      <w:sz w:val="21"/>
      <w:szCs w:val="22"/>
    </w:rPr>
  </w:style>
  <w:style w:type="paragraph" w:styleId="84">
    <w:name w:val="Normal (Web)"/>
    <w:basedOn w:val="1"/>
    <w:qFormat/>
    <w:uiPriority w:val="99"/>
    <w:pPr>
      <w:widowControl/>
      <w:spacing w:before="100" w:beforeAutospacing="1" w:after="100" w:afterAutospacing="1"/>
      <w:jc w:val="left"/>
    </w:pPr>
    <w:rPr>
      <w:rFonts w:ascii="宋体" w:hAnsi="宋体"/>
      <w:kern w:val="0"/>
      <w:sz w:val="24"/>
    </w:rPr>
  </w:style>
  <w:style w:type="paragraph" w:styleId="85">
    <w:name w:val="List Continue 3"/>
    <w:basedOn w:val="1"/>
    <w:qFormat/>
    <w:uiPriority w:val="0"/>
    <w:pPr>
      <w:spacing w:after="120"/>
      <w:ind w:left="1260" w:leftChars="600"/>
    </w:pPr>
    <w:rPr>
      <w:sz w:val="21"/>
    </w:rPr>
  </w:style>
  <w:style w:type="paragraph" w:styleId="86">
    <w:name w:val="index 2"/>
    <w:basedOn w:val="1"/>
    <w:next w:val="1"/>
    <w:qFormat/>
    <w:uiPriority w:val="0"/>
    <w:pPr>
      <w:ind w:left="200" w:leftChars="200"/>
    </w:pPr>
    <w:rPr>
      <w:sz w:val="21"/>
    </w:rPr>
  </w:style>
  <w:style w:type="paragraph" w:styleId="87">
    <w:name w:val="Title"/>
    <w:basedOn w:val="1"/>
    <w:link w:val="342"/>
    <w:qFormat/>
    <w:uiPriority w:val="0"/>
    <w:pPr>
      <w:widowControl/>
      <w:overflowPunct w:val="0"/>
      <w:autoSpaceDE w:val="0"/>
      <w:autoSpaceDN w:val="0"/>
      <w:adjustRightInd w:val="0"/>
      <w:jc w:val="center"/>
      <w:textAlignment w:val="baseline"/>
    </w:pPr>
    <w:rPr>
      <w:rFonts w:asciiTheme="minorHAnsi" w:hAnsiTheme="minorHAnsi" w:eastAsiaTheme="minorEastAsia" w:cstheme="minorBidi"/>
      <w:b/>
      <w:sz w:val="24"/>
      <w:szCs w:val="22"/>
      <w:lang w:val="en-GB"/>
    </w:rPr>
  </w:style>
  <w:style w:type="character" w:styleId="89">
    <w:name w:val="Strong"/>
    <w:basedOn w:val="88"/>
    <w:qFormat/>
    <w:uiPriority w:val="22"/>
    <w:rPr>
      <w:b/>
    </w:rPr>
  </w:style>
  <w:style w:type="character" w:styleId="90">
    <w:name w:val="endnote reference"/>
    <w:qFormat/>
    <w:uiPriority w:val="0"/>
    <w:rPr>
      <w:vertAlign w:val="superscript"/>
    </w:rPr>
  </w:style>
  <w:style w:type="character" w:styleId="91">
    <w:name w:val="page number"/>
    <w:basedOn w:val="88"/>
    <w:qFormat/>
    <w:uiPriority w:val="0"/>
  </w:style>
  <w:style w:type="character" w:styleId="92">
    <w:name w:val="FollowedHyperlink"/>
    <w:qFormat/>
    <w:uiPriority w:val="0"/>
    <w:rPr>
      <w:color w:val="800080"/>
      <w:u w:val="single"/>
    </w:rPr>
  </w:style>
  <w:style w:type="character" w:styleId="93">
    <w:name w:val="Emphasis"/>
    <w:qFormat/>
    <w:uiPriority w:val="0"/>
    <w:rPr>
      <w:color w:val="CC0000"/>
    </w:rPr>
  </w:style>
  <w:style w:type="character" w:styleId="94">
    <w:name w:val="Hyperlink"/>
    <w:qFormat/>
    <w:uiPriority w:val="99"/>
    <w:rPr>
      <w:color w:val="0000FF"/>
      <w:u w:val="single"/>
    </w:rPr>
  </w:style>
  <w:style w:type="character" w:styleId="95">
    <w:name w:val="annotation reference"/>
    <w:qFormat/>
    <w:uiPriority w:val="0"/>
    <w:rPr>
      <w:sz w:val="21"/>
    </w:rPr>
  </w:style>
  <w:style w:type="character" w:styleId="96">
    <w:name w:val="footnote reference"/>
    <w:qFormat/>
    <w:uiPriority w:val="0"/>
    <w:rPr>
      <w:vertAlign w:val="superscript"/>
    </w:rPr>
  </w:style>
  <w:style w:type="table" w:styleId="98">
    <w:name w:val="Table Grid"/>
    <w:basedOn w:val="9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99">
    <w:name w:val="表格文字"/>
    <w:basedOn w:val="47"/>
    <w:next w:val="19"/>
    <w:qFormat/>
    <w:uiPriority w:val="0"/>
    <w:pPr>
      <w:adjustRightInd w:val="0"/>
      <w:spacing w:line="420" w:lineRule="atLeast"/>
      <w:textAlignment w:val="baseline"/>
    </w:pPr>
    <w:rPr>
      <w:kern w:val="0"/>
      <w:sz w:val="21"/>
    </w:rPr>
  </w:style>
  <w:style w:type="paragraph" w:customStyle="1" w:styleId="100">
    <w:name w:val="BodyText1I2"/>
    <w:basedOn w:val="101"/>
    <w:next w:val="1"/>
    <w:qFormat/>
    <w:uiPriority w:val="0"/>
    <w:pPr>
      <w:tabs>
        <w:tab w:val="left" w:pos="435"/>
      </w:tabs>
      <w:spacing w:after="120"/>
      <w:ind w:left="420" w:leftChars="200" w:firstLine="420" w:firstLineChars="200"/>
      <w:jc w:val="both"/>
      <w:textAlignment w:val="baseline"/>
    </w:pPr>
    <w:rPr>
      <w:sz w:val="28"/>
    </w:rPr>
  </w:style>
  <w:style w:type="paragraph" w:customStyle="1" w:styleId="101">
    <w:name w:val="BodyTextIndent"/>
    <w:basedOn w:val="1"/>
    <w:qFormat/>
    <w:uiPriority w:val="0"/>
    <w:pPr>
      <w:spacing w:after="120"/>
      <w:ind w:left="420" w:leftChars="200"/>
      <w:jc w:val="both"/>
      <w:textAlignment w:val="baseline"/>
    </w:pPr>
  </w:style>
  <w:style w:type="paragraph" w:customStyle="1" w:styleId="102">
    <w:name w:val="List2"/>
    <w:basedOn w:val="69"/>
    <w:qFormat/>
    <w:uiPriority w:val="0"/>
    <w:pPr>
      <w:spacing w:after="120" w:line="400" w:lineRule="exact"/>
      <w:ind w:left="0" w:firstLine="0" w:firstLineChars="0"/>
    </w:pPr>
    <w:rPr>
      <w:sz w:val="24"/>
      <w:szCs w:val="20"/>
    </w:rPr>
  </w:style>
  <w:style w:type="paragraph" w:customStyle="1" w:styleId="103">
    <w:name w:val="文章正文"/>
    <w:basedOn w:val="1"/>
    <w:qFormat/>
    <w:uiPriority w:val="0"/>
    <w:pPr>
      <w:spacing w:line="360" w:lineRule="auto"/>
      <w:ind w:firstLine="200" w:firstLineChars="200"/>
    </w:pPr>
    <w:rPr>
      <w:sz w:val="24"/>
      <w:szCs w:val="24"/>
    </w:rPr>
  </w:style>
  <w:style w:type="character" w:customStyle="1" w:styleId="104">
    <w:name w:val="页眉 Char"/>
    <w:basedOn w:val="88"/>
    <w:link w:val="60"/>
    <w:qFormat/>
    <w:uiPriority w:val="99"/>
    <w:rPr>
      <w:sz w:val="18"/>
      <w:szCs w:val="18"/>
    </w:rPr>
  </w:style>
  <w:style w:type="character" w:customStyle="1" w:styleId="105">
    <w:name w:val="页脚 Char"/>
    <w:basedOn w:val="88"/>
    <w:link w:val="57"/>
    <w:qFormat/>
    <w:uiPriority w:val="99"/>
    <w:rPr>
      <w:sz w:val="18"/>
      <w:szCs w:val="18"/>
    </w:rPr>
  </w:style>
  <w:style w:type="character" w:customStyle="1" w:styleId="106">
    <w:name w:val="标题 1 Char"/>
    <w:basedOn w:val="88"/>
    <w:link w:val="3"/>
    <w:qFormat/>
    <w:uiPriority w:val="9"/>
    <w:rPr>
      <w:rFonts w:ascii="黑体" w:hAnsi="Calibri" w:eastAsia="宋体" w:cs="Times New Roman"/>
      <w:b/>
      <w:kern w:val="0"/>
      <w:sz w:val="32"/>
      <w:szCs w:val="20"/>
    </w:rPr>
  </w:style>
  <w:style w:type="character" w:customStyle="1" w:styleId="107">
    <w:name w:val="标题 2 Char"/>
    <w:basedOn w:val="88"/>
    <w:qFormat/>
    <w:uiPriority w:val="0"/>
    <w:rPr>
      <w:rFonts w:asciiTheme="majorHAnsi" w:hAnsiTheme="majorHAnsi" w:eastAsiaTheme="majorEastAsia" w:cstheme="majorBidi"/>
      <w:b/>
      <w:bCs/>
      <w:sz w:val="32"/>
      <w:szCs w:val="32"/>
    </w:rPr>
  </w:style>
  <w:style w:type="character" w:customStyle="1" w:styleId="108">
    <w:name w:val="标题 3 Char"/>
    <w:basedOn w:val="88"/>
    <w:link w:val="5"/>
    <w:qFormat/>
    <w:uiPriority w:val="0"/>
    <w:rPr>
      <w:rFonts w:ascii="Calibri" w:hAnsi="Calibri" w:eastAsia="宋体" w:cs="Times New Roman"/>
      <w:b/>
      <w:kern w:val="0"/>
      <w:sz w:val="32"/>
      <w:szCs w:val="20"/>
    </w:rPr>
  </w:style>
  <w:style w:type="character" w:customStyle="1" w:styleId="109">
    <w:name w:val="标题 4 Char"/>
    <w:basedOn w:val="88"/>
    <w:link w:val="6"/>
    <w:qFormat/>
    <w:uiPriority w:val="0"/>
    <w:rPr>
      <w:rFonts w:ascii="Arial" w:hAnsi="Arial" w:eastAsia="黑体" w:cs="Times New Roman"/>
      <w:b/>
      <w:sz w:val="28"/>
      <w:szCs w:val="20"/>
    </w:rPr>
  </w:style>
  <w:style w:type="character" w:customStyle="1" w:styleId="110">
    <w:name w:val="标题 5 Char"/>
    <w:basedOn w:val="88"/>
    <w:link w:val="9"/>
    <w:qFormat/>
    <w:uiPriority w:val="0"/>
    <w:rPr>
      <w:rFonts w:ascii="Calibri" w:hAnsi="Calibri" w:eastAsia="宋体" w:cs="Times New Roman"/>
      <w:b/>
      <w:sz w:val="28"/>
      <w:szCs w:val="20"/>
    </w:rPr>
  </w:style>
  <w:style w:type="character" w:customStyle="1" w:styleId="111">
    <w:name w:val="标题 6 Char"/>
    <w:basedOn w:val="88"/>
    <w:link w:val="10"/>
    <w:qFormat/>
    <w:uiPriority w:val="0"/>
    <w:rPr>
      <w:rFonts w:ascii="Arial" w:hAnsi="Arial" w:eastAsia="黑体" w:cs="Times New Roman"/>
      <w:b/>
      <w:kern w:val="0"/>
      <w:sz w:val="24"/>
      <w:szCs w:val="20"/>
    </w:rPr>
  </w:style>
  <w:style w:type="character" w:customStyle="1" w:styleId="112">
    <w:name w:val="标题 7 Char"/>
    <w:basedOn w:val="88"/>
    <w:link w:val="11"/>
    <w:qFormat/>
    <w:uiPriority w:val="0"/>
    <w:rPr>
      <w:rFonts w:ascii="Calibri" w:hAnsi="Calibri" w:eastAsia="宋体" w:cs="Times New Roman"/>
      <w:b/>
      <w:kern w:val="0"/>
      <w:sz w:val="24"/>
      <w:szCs w:val="20"/>
    </w:rPr>
  </w:style>
  <w:style w:type="character" w:customStyle="1" w:styleId="113">
    <w:name w:val="标题 8 Char"/>
    <w:basedOn w:val="88"/>
    <w:link w:val="12"/>
    <w:qFormat/>
    <w:uiPriority w:val="0"/>
    <w:rPr>
      <w:rFonts w:ascii="Arial" w:hAnsi="Arial" w:eastAsia="黑体" w:cs="Times New Roman"/>
      <w:kern w:val="0"/>
      <w:sz w:val="24"/>
      <w:szCs w:val="20"/>
    </w:rPr>
  </w:style>
  <w:style w:type="character" w:customStyle="1" w:styleId="114">
    <w:name w:val="标题 9 Char"/>
    <w:basedOn w:val="88"/>
    <w:link w:val="13"/>
    <w:qFormat/>
    <w:uiPriority w:val="0"/>
    <w:rPr>
      <w:rFonts w:ascii="Arial" w:hAnsi="Arial" w:eastAsia="黑体" w:cs="Times New Roman"/>
      <w:kern w:val="0"/>
      <w:szCs w:val="20"/>
    </w:rPr>
  </w:style>
  <w:style w:type="character" w:customStyle="1" w:styleId="115">
    <w:name w:val="正文文本缩进 Char"/>
    <w:basedOn w:val="88"/>
    <w:link w:val="8"/>
    <w:qFormat/>
    <w:uiPriority w:val="0"/>
    <w:rPr>
      <w:rFonts w:ascii="Calibri" w:hAnsi="Calibri" w:eastAsia="宋体" w:cs="Times New Roman"/>
      <w:sz w:val="28"/>
      <w:szCs w:val="20"/>
    </w:rPr>
  </w:style>
  <w:style w:type="character" w:customStyle="1" w:styleId="116">
    <w:name w:val="正文首行缩进 2 Char"/>
    <w:basedOn w:val="115"/>
    <w:qFormat/>
    <w:uiPriority w:val="0"/>
    <w:rPr>
      <w:rFonts w:ascii="Calibri" w:hAnsi="Calibri" w:eastAsia="宋体" w:cs="Times New Roman"/>
      <w:sz w:val="28"/>
      <w:szCs w:val="20"/>
    </w:rPr>
  </w:style>
  <w:style w:type="character" w:customStyle="1" w:styleId="117">
    <w:name w:val="正文文本 Char"/>
    <w:basedOn w:val="88"/>
    <w:link w:val="19"/>
    <w:qFormat/>
    <w:uiPriority w:val="0"/>
    <w:rPr>
      <w:rFonts w:ascii="Calibri" w:hAnsi="Calibri" w:eastAsia="宋体" w:cs="Times New Roman"/>
      <w:sz w:val="28"/>
      <w:szCs w:val="20"/>
    </w:rPr>
  </w:style>
  <w:style w:type="character" w:customStyle="1" w:styleId="118">
    <w:name w:val="正文首行缩进 Char"/>
    <w:basedOn w:val="117"/>
    <w:link w:val="119"/>
    <w:qFormat/>
    <w:uiPriority w:val="0"/>
    <w:rPr>
      <w:rFonts w:ascii="Calibri" w:hAnsi="Calibri" w:eastAsia="宋体" w:cs="Times New Roman"/>
      <w:sz w:val="28"/>
      <w:szCs w:val="20"/>
    </w:rPr>
  </w:style>
  <w:style w:type="paragraph" w:customStyle="1" w:styleId="119">
    <w:name w:val="正文首行缩进1"/>
    <w:basedOn w:val="19"/>
    <w:link w:val="118"/>
    <w:qFormat/>
    <w:uiPriority w:val="0"/>
    <w:pPr>
      <w:spacing w:after="0"/>
      <w:ind w:firstLine="420" w:firstLineChars="100"/>
    </w:pPr>
  </w:style>
  <w:style w:type="character" w:customStyle="1" w:styleId="120">
    <w:name w:val="标题 Char"/>
    <w:basedOn w:val="88"/>
    <w:qFormat/>
    <w:uiPriority w:val="0"/>
    <w:rPr>
      <w:rFonts w:eastAsia="宋体" w:asciiTheme="majorHAnsi" w:hAnsiTheme="majorHAnsi" w:cstheme="majorBidi"/>
      <w:b/>
      <w:bCs/>
      <w:sz w:val="32"/>
      <w:szCs w:val="32"/>
    </w:rPr>
  </w:style>
  <w:style w:type="character" w:customStyle="1" w:styleId="121">
    <w:name w:val="批注文字 Char"/>
    <w:basedOn w:val="88"/>
    <w:link w:val="16"/>
    <w:qFormat/>
    <w:uiPriority w:val="0"/>
    <w:rPr>
      <w:rFonts w:ascii="Calibri" w:hAnsi="Calibri" w:eastAsia="宋体" w:cs="Times New Roman"/>
      <w:sz w:val="28"/>
      <w:szCs w:val="20"/>
    </w:rPr>
  </w:style>
  <w:style w:type="character" w:customStyle="1" w:styleId="122">
    <w:name w:val="批注主题 Char"/>
    <w:basedOn w:val="121"/>
    <w:link w:val="123"/>
    <w:qFormat/>
    <w:uiPriority w:val="0"/>
    <w:rPr>
      <w:rFonts w:ascii="Calibri" w:hAnsi="Calibri" w:eastAsia="宋体" w:cs="Times New Roman"/>
      <w:b/>
      <w:bCs/>
      <w:sz w:val="28"/>
      <w:szCs w:val="20"/>
    </w:rPr>
  </w:style>
  <w:style w:type="paragraph" w:customStyle="1" w:styleId="123">
    <w:name w:val="批注主题1"/>
    <w:basedOn w:val="16"/>
    <w:next w:val="16"/>
    <w:link w:val="122"/>
    <w:qFormat/>
    <w:uiPriority w:val="0"/>
    <w:rPr>
      <w:b/>
      <w:bCs/>
    </w:rPr>
  </w:style>
  <w:style w:type="character" w:customStyle="1" w:styleId="124">
    <w:name w:val="宏文本 Char"/>
    <w:basedOn w:val="88"/>
    <w:qFormat/>
    <w:uiPriority w:val="0"/>
    <w:rPr>
      <w:rFonts w:ascii="Courier New" w:hAnsi="Courier New" w:eastAsia="宋体" w:cs="Courier New"/>
      <w:sz w:val="24"/>
      <w:szCs w:val="24"/>
    </w:rPr>
  </w:style>
  <w:style w:type="character" w:customStyle="1" w:styleId="125">
    <w:name w:val="注释标题 Char"/>
    <w:basedOn w:val="88"/>
    <w:qFormat/>
    <w:uiPriority w:val="0"/>
    <w:rPr>
      <w:rFonts w:ascii="Calibri" w:hAnsi="Calibri" w:eastAsia="宋体" w:cs="Times New Roman"/>
      <w:sz w:val="28"/>
      <w:szCs w:val="20"/>
    </w:rPr>
  </w:style>
  <w:style w:type="character" w:customStyle="1" w:styleId="126">
    <w:name w:val="电子邮件签名 Char"/>
    <w:basedOn w:val="88"/>
    <w:qFormat/>
    <w:uiPriority w:val="0"/>
    <w:rPr>
      <w:rFonts w:ascii="Calibri" w:hAnsi="Calibri" w:eastAsia="宋体" w:cs="Times New Roman"/>
      <w:sz w:val="28"/>
      <w:szCs w:val="20"/>
    </w:rPr>
  </w:style>
  <w:style w:type="character" w:customStyle="1" w:styleId="127">
    <w:name w:val="文档结构图 Char"/>
    <w:basedOn w:val="88"/>
    <w:qFormat/>
    <w:uiPriority w:val="0"/>
    <w:rPr>
      <w:rFonts w:ascii="宋体" w:hAnsi="Calibri" w:eastAsia="宋体" w:cs="Times New Roman"/>
      <w:sz w:val="18"/>
      <w:szCs w:val="18"/>
    </w:rPr>
  </w:style>
  <w:style w:type="character" w:customStyle="1" w:styleId="128">
    <w:name w:val="称呼 Char"/>
    <w:basedOn w:val="88"/>
    <w:qFormat/>
    <w:uiPriority w:val="0"/>
    <w:rPr>
      <w:rFonts w:ascii="Calibri" w:hAnsi="Calibri" w:eastAsia="宋体" w:cs="Times New Roman"/>
      <w:sz w:val="28"/>
      <w:szCs w:val="20"/>
    </w:rPr>
  </w:style>
  <w:style w:type="character" w:customStyle="1" w:styleId="129">
    <w:name w:val="正文文本 3 Char"/>
    <w:basedOn w:val="88"/>
    <w:qFormat/>
    <w:uiPriority w:val="0"/>
    <w:rPr>
      <w:rFonts w:ascii="Calibri" w:hAnsi="Calibri" w:eastAsia="宋体" w:cs="Times New Roman"/>
      <w:sz w:val="16"/>
      <w:szCs w:val="16"/>
    </w:rPr>
  </w:style>
  <w:style w:type="character" w:customStyle="1" w:styleId="130">
    <w:name w:val="结束语 Char"/>
    <w:basedOn w:val="88"/>
    <w:qFormat/>
    <w:uiPriority w:val="0"/>
    <w:rPr>
      <w:rFonts w:ascii="Calibri" w:hAnsi="Calibri" w:eastAsia="宋体" w:cs="Times New Roman"/>
      <w:sz w:val="28"/>
      <w:szCs w:val="20"/>
    </w:rPr>
  </w:style>
  <w:style w:type="character" w:customStyle="1" w:styleId="131">
    <w:name w:val="HTML 地址 Char"/>
    <w:basedOn w:val="88"/>
    <w:qFormat/>
    <w:uiPriority w:val="0"/>
    <w:rPr>
      <w:rFonts w:ascii="Calibri" w:hAnsi="Calibri" w:eastAsia="宋体" w:cs="Times New Roman"/>
      <w:i/>
      <w:iCs/>
      <w:sz w:val="28"/>
      <w:szCs w:val="20"/>
    </w:rPr>
  </w:style>
  <w:style w:type="character" w:customStyle="1" w:styleId="132">
    <w:name w:val="纯文本 Char"/>
    <w:basedOn w:val="88"/>
    <w:qFormat/>
    <w:uiPriority w:val="0"/>
    <w:rPr>
      <w:rFonts w:ascii="宋体" w:hAnsi="Courier New" w:eastAsia="宋体" w:cs="Courier New"/>
      <w:szCs w:val="21"/>
    </w:rPr>
  </w:style>
  <w:style w:type="character" w:customStyle="1" w:styleId="133">
    <w:name w:val="日期 Char"/>
    <w:basedOn w:val="88"/>
    <w:qFormat/>
    <w:uiPriority w:val="0"/>
    <w:rPr>
      <w:rFonts w:ascii="Calibri" w:hAnsi="Calibri" w:eastAsia="宋体" w:cs="Times New Roman"/>
      <w:sz w:val="28"/>
      <w:szCs w:val="20"/>
    </w:rPr>
  </w:style>
  <w:style w:type="character" w:customStyle="1" w:styleId="134">
    <w:name w:val="正文文本缩进 2 Char"/>
    <w:basedOn w:val="88"/>
    <w:link w:val="135"/>
    <w:qFormat/>
    <w:uiPriority w:val="0"/>
    <w:rPr>
      <w:rFonts w:ascii="Calibri" w:hAnsi="Calibri" w:eastAsia="宋体" w:cs="Times New Roman"/>
      <w:sz w:val="28"/>
      <w:szCs w:val="20"/>
    </w:rPr>
  </w:style>
  <w:style w:type="paragraph" w:customStyle="1" w:styleId="135">
    <w:name w:val="正文文本缩进 22"/>
    <w:basedOn w:val="1"/>
    <w:link w:val="134"/>
    <w:qFormat/>
    <w:uiPriority w:val="0"/>
    <w:pPr>
      <w:adjustRightInd w:val="0"/>
      <w:spacing w:line="400" w:lineRule="atLeast"/>
      <w:ind w:firstLine="540"/>
      <w:textAlignment w:val="baseline"/>
    </w:pPr>
  </w:style>
  <w:style w:type="character" w:customStyle="1" w:styleId="136">
    <w:name w:val="尾注文本 Char"/>
    <w:basedOn w:val="88"/>
    <w:qFormat/>
    <w:uiPriority w:val="0"/>
    <w:rPr>
      <w:rFonts w:ascii="Calibri" w:hAnsi="Calibri" w:eastAsia="宋体" w:cs="Times New Roman"/>
      <w:sz w:val="28"/>
      <w:szCs w:val="20"/>
    </w:rPr>
  </w:style>
  <w:style w:type="character" w:customStyle="1" w:styleId="137">
    <w:name w:val="批注框文本 Char"/>
    <w:basedOn w:val="88"/>
    <w:qFormat/>
    <w:uiPriority w:val="99"/>
    <w:rPr>
      <w:rFonts w:ascii="Calibri" w:hAnsi="Calibri" w:eastAsia="宋体" w:cs="Times New Roman"/>
      <w:sz w:val="18"/>
      <w:szCs w:val="18"/>
    </w:rPr>
  </w:style>
  <w:style w:type="character" w:customStyle="1" w:styleId="138">
    <w:name w:val="签名 Char"/>
    <w:basedOn w:val="88"/>
    <w:qFormat/>
    <w:uiPriority w:val="0"/>
    <w:rPr>
      <w:rFonts w:ascii="Calibri" w:hAnsi="Calibri" w:eastAsia="宋体" w:cs="Times New Roman"/>
      <w:sz w:val="28"/>
      <w:szCs w:val="20"/>
    </w:rPr>
  </w:style>
  <w:style w:type="character" w:customStyle="1" w:styleId="139">
    <w:name w:val="副标题 Char"/>
    <w:basedOn w:val="88"/>
    <w:qFormat/>
    <w:uiPriority w:val="0"/>
    <w:rPr>
      <w:rFonts w:eastAsia="宋体" w:asciiTheme="majorHAnsi" w:hAnsiTheme="majorHAnsi" w:cstheme="majorBidi"/>
      <w:b/>
      <w:bCs/>
      <w:kern w:val="28"/>
      <w:sz w:val="32"/>
      <w:szCs w:val="32"/>
    </w:rPr>
  </w:style>
  <w:style w:type="character" w:customStyle="1" w:styleId="140">
    <w:name w:val="脚注文本 Char"/>
    <w:basedOn w:val="88"/>
    <w:qFormat/>
    <w:uiPriority w:val="0"/>
    <w:rPr>
      <w:rFonts w:ascii="Calibri" w:hAnsi="Calibri" w:eastAsia="宋体" w:cs="Times New Roman"/>
      <w:sz w:val="18"/>
      <w:szCs w:val="18"/>
    </w:rPr>
  </w:style>
  <w:style w:type="character" w:customStyle="1" w:styleId="141">
    <w:name w:val="正文文本缩进 3 Char"/>
    <w:basedOn w:val="88"/>
    <w:link w:val="142"/>
    <w:qFormat/>
    <w:uiPriority w:val="0"/>
    <w:rPr>
      <w:rFonts w:ascii="Calibri" w:hAnsi="Calibri" w:eastAsia="宋体" w:cs="Times New Roman"/>
      <w:sz w:val="16"/>
      <w:szCs w:val="16"/>
    </w:rPr>
  </w:style>
  <w:style w:type="paragraph" w:customStyle="1" w:styleId="142">
    <w:name w:val="正文文本缩进 31"/>
    <w:basedOn w:val="1"/>
    <w:link w:val="141"/>
    <w:qFormat/>
    <w:uiPriority w:val="0"/>
    <w:pPr>
      <w:spacing w:line="360" w:lineRule="auto"/>
      <w:ind w:firstLine="490" w:firstLineChars="204"/>
    </w:pPr>
    <w:rPr>
      <w:sz w:val="16"/>
      <w:szCs w:val="16"/>
    </w:rPr>
  </w:style>
  <w:style w:type="character" w:customStyle="1" w:styleId="143">
    <w:name w:val="正文文本 2 Char"/>
    <w:basedOn w:val="88"/>
    <w:link w:val="144"/>
    <w:qFormat/>
    <w:uiPriority w:val="0"/>
    <w:rPr>
      <w:rFonts w:ascii="Calibri" w:hAnsi="Calibri" w:eastAsia="宋体" w:cs="Times New Roman"/>
      <w:sz w:val="28"/>
      <w:szCs w:val="20"/>
    </w:rPr>
  </w:style>
  <w:style w:type="paragraph" w:customStyle="1" w:styleId="144">
    <w:name w:val="正文文本 22"/>
    <w:basedOn w:val="1"/>
    <w:link w:val="143"/>
    <w:qFormat/>
    <w:uiPriority w:val="0"/>
    <w:pPr>
      <w:adjustRightInd w:val="0"/>
      <w:ind w:firstLine="510"/>
      <w:jc w:val="left"/>
      <w:textAlignment w:val="baseline"/>
    </w:pPr>
  </w:style>
  <w:style w:type="character" w:customStyle="1" w:styleId="145">
    <w:name w:val="信息标题 Char"/>
    <w:basedOn w:val="88"/>
    <w:qFormat/>
    <w:uiPriority w:val="0"/>
    <w:rPr>
      <w:rFonts w:asciiTheme="majorHAnsi" w:hAnsiTheme="majorHAnsi" w:eastAsiaTheme="majorEastAsia" w:cstheme="majorBidi"/>
      <w:sz w:val="24"/>
      <w:szCs w:val="24"/>
      <w:shd w:val="pct20" w:color="auto" w:fill="auto"/>
    </w:rPr>
  </w:style>
  <w:style w:type="character" w:customStyle="1" w:styleId="146">
    <w:name w:val="HTML 预设格式 Char"/>
    <w:basedOn w:val="88"/>
    <w:link w:val="147"/>
    <w:qFormat/>
    <w:uiPriority w:val="0"/>
    <w:rPr>
      <w:rFonts w:ascii="Courier New" w:hAnsi="Courier New" w:eastAsia="宋体" w:cs="Courier New"/>
      <w:sz w:val="20"/>
      <w:szCs w:val="20"/>
    </w:rPr>
  </w:style>
  <w:style w:type="paragraph" w:customStyle="1" w:styleId="147">
    <w:name w:val="HTML 预设格式1"/>
    <w:basedOn w:val="1"/>
    <w:link w:val="146"/>
    <w:qFormat/>
    <w:uiPriority w:val="0"/>
    <w:rPr>
      <w:rFonts w:ascii="Courier New" w:hAnsi="Courier New" w:cs="Courier New"/>
      <w:sz w:val="20"/>
    </w:rPr>
  </w:style>
  <w:style w:type="character" w:customStyle="1" w:styleId="148">
    <w:name w:val="bemq"/>
    <w:qFormat/>
    <w:uiPriority w:val="0"/>
  </w:style>
  <w:style w:type="character" w:customStyle="1" w:styleId="149">
    <w:name w:val="标题 Char3"/>
    <w:qFormat/>
    <w:uiPriority w:val="0"/>
    <w:rPr>
      <w:b/>
      <w:sz w:val="24"/>
      <w:lang w:val="en-GB"/>
    </w:rPr>
  </w:style>
  <w:style w:type="character" w:customStyle="1" w:styleId="150">
    <w:name w:val="HTML 打字机1"/>
    <w:qFormat/>
    <w:uiPriority w:val="0"/>
    <w:rPr>
      <w:rFonts w:ascii="Courier New" w:hAnsi="Courier New"/>
      <w:sz w:val="20"/>
    </w:rPr>
  </w:style>
  <w:style w:type="character" w:customStyle="1" w:styleId="151">
    <w:name w:val="样式1 Char Char"/>
    <w:link w:val="152"/>
    <w:qFormat/>
    <w:uiPriority w:val="0"/>
    <w:rPr>
      <w:rFonts w:ascii="黑体"/>
      <w:b/>
      <w:sz w:val="32"/>
    </w:rPr>
  </w:style>
  <w:style w:type="paragraph" w:customStyle="1" w:styleId="152">
    <w:name w:val="样式1"/>
    <w:basedOn w:val="3"/>
    <w:link w:val="151"/>
    <w:qFormat/>
    <w:uiPriority w:val="0"/>
    <w:pPr>
      <w:tabs>
        <w:tab w:val="left" w:pos="-839"/>
      </w:tabs>
      <w:ind w:left="1320" w:hanging="1320"/>
    </w:pPr>
    <w:rPr>
      <w:rFonts w:hAnsiTheme="minorHAnsi" w:eastAsiaTheme="minorEastAsia" w:cstheme="minorBidi"/>
      <w:kern w:val="2"/>
      <w:szCs w:val="22"/>
    </w:rPr>
  </w:style>
  <w:style w:type="character" w:customStyle="1" w:styleId="153">
    <w:name w:val="日期 Char1"/>
    <w:qFormat/>
    <w:uiPriority w:val="0"/>
    <w:rPr>
      <w:rFonts w:ascii="Times New Roman" w:hAnsi="Times New Roman" w:eastAsia="宋体"/>
    </w:rPr>
  </w:style>
  <w:style w:type="character" w:customStyle="1" w:styleId="154">
    <w:name w:val="标题 9 字符"/>
    <w:qFormat/>
    <w:uiPriority w:val="0"/>
    <w:rPr>
      <w:rFonts w:ascii="等线 Light" w:hAnsi="等线 Light" w:eastAsia="等线 Light"/>
      <w:kern w:val="2"/>
      <w:sz w:val="21"/>
    </w:rPr>
  </w:style>
  <w:style w:type="character" w:customStyle="1" w:styleId="155">
    <w:name w:val="标题 3 Char Char Char"/>
    <w:qFormat/>
    <w:uiPriority w:val="0"/>
    <w:rPr>
      <w:rFonts w:eastAsia="宋体"/>
      <w:b/>
      <w:kern w:val="2"/>
      <w:sz w:val="32"/>
      <w:lang w:val="en-US" w:eastAsia="zh-CN"/>
    </w:rPr>
  </w:style>
  <w:style w:type="character" w:customStyle="1" w:styleId="156">
    <w:name w:val="正文文本缩进 字符"/>
    <w:qFormat/>
    <w:uiPriority w:val="0"/>
    <w:rPr>
      <w:rFonts w:ascii="Times New Roman" w:hAnsi="Times New Roman" w:eastAsia="宋体"/>
      <w:kern w:val="2"/>
      <w:sz w:val="21"/>
    </w:rPr>
  </w:style>
  <w:style w:type="character" w:customStyle="1" w:styleId="157">
    <w:name w:val="style1 style6 style7"/>
    <w:qFormat/>
    <w:uiPriority w:val="0"/>
  </w:style>
  <w:style w:type="character" w:customStyle="1" w:styleId="158">
    <w:name w:val="h2 Char"/>
    <w:qFormat/>
    <w:uiPriority w:val="0"/>
    <w:rPr>
      <w:rFonts w:ascii="Arial" w:hAnsi="Arial" w:eastAsia="黑体"/>
      <w:color w:val="0000FF"/>
      <w:sz w:val="24"/>
      <w:lang w:val="en-US" w:eastAsia="zh-CN"/>
    </w:rPr>
  </w:style>
  <w:style w:type="character" w:customStyle="1" w:styleId="159">
    <w:name w:val="页脚 字符"/>
    <w:qFormat/>
    <w:uiPriority w:val="0"/>
    <w:rPr>
      <w:kern w:val="2"/>
      <w:sz w:val="18"/>
    </w:rPr>
  </w:style>
  <w:style w:type="character" w:customStyle="1" w:styleId="160">
    <w:name w:val="content3"/>
    <w:qFormat/>
    <w:uiPriority w:val="0"/>
    <w:rPr>
      <w:b/>
      <w:sz w:val="18"/>
    </w:rPr>
  </w:style>
  <w:style w:type="character" w:customStyle="1" w:styleId="161">
    <w:name w:val="street-address"/>
    <w:qFormat/>
    <w:uiPriority w:val="0"/>
  </w:style>
  <w:style w:type="character" w:customStyle="1" w:styleId="162">
    <w:name w:val="正文文本缩进 2 Char1"/>
    <w:qFormat/>
    <w:uiPriority w:val="0"/>
    <w:rPr>
      <w:rFonts w:ascii="黑体" w:eastAsia="黑体"/>
      <w:sz w:val="28"/>
    </w:rPr>
  </w:style>
  <w:style w:type="character" w:customStyle="1" w:styleId="163">
    <w:name w:val="标题 7 字符"/>
    <w:qFormat/>
    <w:uiPriority w:val="0"/>
    <w:rPr>
      <w:rFonts w:ascii="Times New Roman" w:hAnsi="Times New Roman" w:eastAsia="宋体"/>
      <w:b/>
      <w:kern w:val="2"/>
      <w:sz w:val="24"/>
    </w:rPr>
  </w:style>
  <w:style w:type="character" w:customStyle="1" w:styleId="164">
    <w:name w:val="正文（首行缩进两字） + Arial Char Char Char Char Char Char Char Char Char Char Char Char Char Char Char Char Char Char Char Char Char Char Char Char Char Char Char"/>
    <w:qFormat/>
    <w:uiPriority w:val="0"/>
    <w:rPr>
      <w:rFonts w:ascii="Arial" w:hAnsi="Arial" w:eastAsia="宋体"/>
      <w:sz w:val="24"/>
      <w:lang w:val="en-US" w:eastAsia="zh-CN"/>
    </w:rPr>
  </w:style>
  <w:style w:type="character" w:customStyle="1" w:styleId="165">
    <w:name w:val="内文 Char Char"/>
    <w:link w:val="166"/>
    <w:qFormat/>
    <w:uiPriority w:val="0"/>
    <w:rPr>
      <w:rFonts w:ascii="Arial" w:hAnsi="Arial" w:eastAsia="Times New Roman"/>
    </w:rPr>
  </w:style>
  <w:style w:type="paragraph" w:customStyle="1" w:styleId="166">
    <w:name w:val="内文"/>
    <w:link w:val="165"/>
    <w:qFormat/>
    <w:uiPriority w:val="0"/>
    <w:pPr>
      <w:adjustRightInd w:val="0"/>
      <w:snapToGrid w:val="0"/>
      <w:spacing w:line="400" w:lineRule="exact"/>
      <w:ind w:firstLine="200" w:firstLineChars="200"/>
      <w:jc w:val="both"/>
    </w:pPr>
    <w:rPr>
      <w:rFonts w:ascii="Arial" w:hAnsi="Arial" w:eastAsia="Times New Roman" w:cstheme="minorBidi"/>
      <w:kern w:val="2"/>
      <w:sz w:val="21"/>
      <w:szCs w:val="22"/>
      <w:lang w:val="en-US" w:eastAsia="zh-CN" w:bidi="ar-SA"/>
    </w:rPr>
  </w:style>
  <w:style w:type="character" w:customStyle="1" w:styleId="167">
    <w:name w:val="font14news1"/>
    <w:qFormat/>
    <w:uiPriority w:val="0"/>
    <w:rPr>
      <w:color w:val="333333"/>
      <w:sz w:val="21"/>
    </w:rPr>
  </w:style>
  <w:style w:type="character" w:customStyle="1" w:styleId="168">
    <w:name w:val="标题 6 Char1"/>
    <w:qFormat/>
    <w:uiPriority w:val="0"/>
    <w:rPr>
      <w:rFonts w:ascii="Arial" w:hAnsi="Arial" w:eastAsia="黑体"/>
      <w:b/>
      <w:sz w:val="24"/>
      <w:lang w:val="en-US" w:eastAsia="zh-CN"/>
    </w:rPr>
  </w:style>
  <w:style w:type="character" w:customStyle="1" w:styleId="169">
    <w:name w:val="HTML 变量1"/>
    <w:qFormat/>
    <w:uiPriority w:val="0"/>
    <w:rPr>
      <w:i/>
    </w:rPr>
  </w:style>
  <w:style w:type="character" w:customStyle="1" w:styleId="170">
    <w:name w:val="标题 2 Char1"/>
    <w:qFormat/>
    <w:uiPriority w:val="0"/>
    <w:rPr>
      <w:rFonts w:ascii="Arial" w:hAnsi="Arial" w:eastAsia="黑体"/>
      <w:b/>
      <w:sz w:val="32"/>
      <w:lang w:val="en-US" w:eastAsia="zh-CN"/>
    </w:rPr>
  </w:style>
  <w:style w:type="character" w:customStyle="1" w:styleId="171">
    <w:name w:val="样式10 Char"/>
    <w:link w:val="172"/>
    <w:qFormat/>
    <w:uiPriority w:val="0"/>
    <w:rPr>
      <w:b/>
      <w:sz w:val="24"/>
    </w:rPr>
  </w:style>
  <w:style w:type="paragraph" w:customStyle="1" w:styleId="172">
    <w:name w:val="样式10"/>
    <w:basedOn w:val="1"/>
    <w:link w:val="171"/>
    <w:qFormat/>
    <w:uiPriority w:val="0"/>
    <w:pPr>
      <w:spacing w:line="360" w:lineRule="auto"/>
    </w:pPr>
    <w:rPr>
      <w:rFonts w:asciiTheme="minorHAnsi" w:hAnsiTheme="minorHAnsi" w:eastAsiaTheme="minorEastAsia" w:cstheme="minorBidi"/>
      <w:b/>
      <w:sz w:val="24"/>
      <w:szCs w:val="22"/>
    </w:rPr>
  </w:style>
  <w:style w:type="character" w:customStyle="1" w:styleId="173">
    <w:name w:val="注释标题 字符"/>
    <w:qFormat/>
    <w:uiPriority w:val="0"/>
    <w:rPr>
      <w:kern w:val="2"/>
      <w:sz w:val="28"/>
    </w:rPr>
  </w:style>
  <w:style w:type="character" w:customStyle="1" w:styleId="174">
    <w:name w:val="标题 1 Char2"/>
    <w:qFormat/>
    <w:uiPriority w:val="0"/>
    <w:rPr>
      <w:rFonts w:ascii="Arial Unicode MS" w:hAnsi="Arial Unicode MS" w:eastAsia="Arial Unicode MS"/>
      <w:b/>
      <w:kern w:val="36"/>
      <w:sz w:val="48"/>
      <w:lang w:val="en-US" w:eastAsia="zh-CN"/>
    </w:rPr>
  </w:style>
  <w:style w:type="character" w:customStyle="1" w:styleId="175">
    <w:name w:val="Comment Text Char"/>
    <w:qFormat/>
    <w:uiPriority w:val="0"/>
    <w:rPr>
      <w:rFonts w:ascii="Times New Roman" w:hAnsi="Times New Roman" w:eastAsia="宋体"/>
      <w:sz w:val="24"/>
    </w:rPr>
  </w:style>
  <w:style w:type="character" w:customStyle="1" w:styleId="176">
    <w:name w:val="纯文本 字符"/>
    <w:qFormat/>
    <w:uiPriority w:val="0"/>
    <w:rPr>
      <w:rFonts w:ascii="宋体" w:hAnsi="Courier New" w:eastAsia="宋体"/>
      <w:kern w:val="2"/>
      <w:sz w:val="21"/>
    </w:rPr>
  </w:style>
  <w:style w:type="character" w:customStyle="1" w:styleId="177">
    <w:name w:val="页脚 Char2"/>
    <w:qFormat/>
    <w:uiPriority w:val="0"/>
    <w:rPr>
      <w:kern w:val="2"/>
      <w:sz w:val="18"/>
    </w:rPr>
  </w:style>
  <w:style w:type="character" w:customStyle="1" w:styleId="178">
    <w:name w:val="个人撰写风格"/>
    <w:qFormat/>
    <w:uiPriority w:val="0"/>
    <w:rPr>
      <w:rFonts w:ascii="Arial" w:hAnsi="Arial" w:eastAsia="宋体"/>
      <w:color w:val="auto"/>
      <w:sz w:val="20"/>
    </w:rPr>
  </w:style>
  <w:style w:type="character" w:customStyle="1" w:styleId="179">
    <w:name w:val="正文文本缩进 Char1"/>
    <w:qFormat/>
    <w:uiPriority w:val="0"/>
    <w:rPr>
      <w:rFonts w:ascii="宋体" w:hAnsi="宋体" w:eastAsia="宋体"/>
      <w:spacing w:val="-6"/>
      <w:kern w:val="2"/>
      <w:sz w:val="21"/>
      <w:lang w:val="en-US" w:eastAsia="zh-CN"/>
    </w:rPr>
  </w:style>
  <w:style w:type="character" w:customStyle="1" w:styleId="180">
    <w:name w:val="Char Char6"/>
    <w:qFormat/>
    <w:uiPriority w:val="0"/>
    <w:rPr>
      <w:rFonts w:ascii="宋体" w:hAnsi="Courier New" w:eastAsia="宋体"/>
      <w:kern w:val="2"/>
      <w:sz w:val="21"/>
      <w:lang w:val="en-US" w:eastAsia="zh-CN"/>
    </w:rPr>
  </w:style>
  <w:style w:type="character" w:customStyle="1" w:styleId="181">
    <w:name w:val="Char Char"/>
    <w:link w:val="182"/>
    <w:qFormat/>
    <w:uiPriority w:val="0"/>
    <w:rPr>
      <w:rFonts w:eastAsia="仿宋_GB2312"/>
      <w:sz w:val="28"/>
    </w:rPr>
  </w:style>
  <w:style w:type="paragraph" w:customStyle="1" w:styleId="182">
    <w:name w:val="Char12"/>
    <w:basedOn w:val="1"/>
    <w:link w:val="181"/>
    <w:qFormat/>
    <w:uiPriority w:val="0"/>
    <w:rPr>
      <w:rFonts w:eastAsia="仿宋_GB2312" w:asciiTheme="minorHAnsi" w:hAnsiTheme="minorHAnsi" w:cstheme="minorBidi"/>
      <w:szCs w:val="22"/>
    </w:rPr>
  </w:style>
  <w:style w:type="character" w:customStyle="1" w:styleId="183">
    <w:name w:val="Plain Text Char"/>
    <w:qFormat/>
    <w:uiPriority w:val="0"/>
    <w:rPr>
      <w:rFonts w:ascii="宋体" w:hAnsi="Courier New" w:eastAsia="宋体"/>
      <w:kern w:val="2"/>
      <w:sz w:val="21"/>
      <w:lang w:val="en-US" w:eastAsia="zh-CN"/>
    </w:rPr>
  </w:style>
  <w:style w:type="character" w:customStyle="1" w:styleId="184">
    <w:name w:val="zbggmain"/>
    <w:qFormat/>
    <w:uiPriority w:val="0"/>
  </w:style>
  <w:style w:type="character" w:customStyle="1" w:styleId="185">
    <w:name w:val="标题 2 Char2"/>
    <w:link w:val="4"/>
    <w:qFormat/>
    <w:uiPriority w:val="0"/>
    <w:rPr>
      <w:rFonts w:ascii="Arial" w:hAnsi="Arial" w:eastAsia="黑体" w:cs="Times New Roman"/>
      <w:b/>
      <w:szCs w:val="20"/>
    </w:rPr>
  </w:style>
  <w:style w:type="character" w:customStyle="1" w:styleId="186">
    <w:name w:val="8953"/>
    <w:qFormat/>
    <w:uiPriority w:val="0"/>
  </w:style>
  <w:style w:type="character" w:customStyle="1" w:styleId="187">
    <w:name w:val="H1 Char"/>
    <w:qFormat/>
    <w:uiPriority w:val="0"/>
    <w:rPr>
      <w:rFonts w:ascii="Arial Unicode MS" w:hAnsi="Arial Unicode MS" w:eastAsia="Arial Unicode MS"/>
      <w:b/>
      <w:kern w:val="36"/>
      <w:sz w:val="48"/>
      <w:lang w:val="en-US" w:eastAsia="zh-CN"/>
    </w:rPr>
  </w:style>
  <w:style w:type="character" w:customStyle="1" w:styleId="188">
    <w:name w:val="样式 标题 3Heading 3 Char1Heading 3 Char Char列表编号33 bullet2ERM... Char"/>
    <w:link w:val="189"/>
    <w:qFormat/>
    <w:uiPriority w:val="0"/>
    <w:rPr>
      <w:b/>
    </w:rPr>
  </w:style>
  <w:style w:type="paragraph" w:customStyle="1" w:styleId="189">
    <w:name w:val="样式 标题 3Heading 3 Char1Heading 3 Char Char列表编号33 bullet2ERM..."/>
    <w:basedOn w:val="5"/>
    <w:link w:val="188"/>
    <w:qFormat/>
    <w:uiPriority w:val="0"/>
    <w:pPr>
      <w:widowControl w:val="0"/>
      <w:tabs>
        <w:tab w:val="clear" w:pos="720"/>
      </w:tabs>
      <w:adjustRightInd w:val="0"/>
      <w:snapToGrid w:val="0"/>
      <w:spacing w:before="0" w:after="0"/>
      <w:ind w:left="0" w:firstLine="0"/>
      <w:jc w:val="both"/>
    </w:pPr>
    <w:rPr>
      <w:rFonts w:asciiTheme="minorHAnsi" w:hAnsiTheme="minorHAnsi" w:eastAsiaTheme="minorEastAsia" w:cstheme="minorBidi"/>
      <w:kern w:val="2"/>
      <w:sz w:val="21"/>
      <w:szCs w:val="22"/>
    </w:rPr>
  </w:style>
  <w:style w:type="character" w:customStyle="1" w:styleId="190">
    <w:name w:val="Char Char12"/>
    <w:qFormat/>
    <w:uiPriority w:val="0"/>
    <w:rPr>
      <w:rFonts w:ascii="Arial" w:hAnsi="Arial" w:eastAsia="黑体"/>
      <w:b/>
      <w:sz w:val="24"/>
    </w:rPr>
  </w:style>
  <w:style w:type="character" w:customStyle="1" w:styleId="191">
    <w:name w:val="页眉 Char1"/>
    <w:qFormat/>
    <w:uiPriority w:val="0"/>
    <w:rPr>
      <w:rFonts w:eastAsia="宋体"/>
      <w:kern w:val="2"/>
      <w:sz w:val="18"/>
      <w:lang w:val="en-US" w:eastAsia="zh-CN"/>
    </w:rPr>
  </w:style>
  <w:style w:type="character" w:customStyle="1" w:styleId="192">
    <w:name w:val="正文文本缩进 2 字符"/>
    <w:qFormat/>
    <w:uiPriority w:val="0"/>
    <w:rPr>
      <w:rFonts w:ascii="Times New Roman" w:hAnsi="Times New Roman" w:eastAsia="宋体"/>
      <w:kern w:val="2"/>
      <w:sz w:val="21"/>
    </w:rPr>
  </w:style>
  <w:style w:type="character" w:customStyle="1" w:styleId="193">
    <w:name w:val="页眉 Char2"/>
    <w:qFormat/>
    <w:uiPriority w:val="0"/>
    <w:rPr>
      <w:kern w:val="2"/>
      <w:sz w:val="18"/>
    </w:rPr>
  </w:style>
  <w:style w:type="character" w:customStyle="1" w:styleId="194">
    <w:name w:val="批注主题 Char1"/>
    <w:qFormat/>
    <w:uiPriority w:val="0"/>
    <w:rPr>
      <w:b/>
    </w:rPr>
  </w:style>
  <w:style w:type="character" w:customStyle="1" w:styleId="195">
    <w:name w:val="qclx"/>
    <w:qFormat/>
    <w:uiPriority w:val="0"/>
  </w:style>
  <w:style w:type="character" w:customStyle="1" w:styleId="196">
    <w:name w:val="even Char Char"/>
    <w:qFormat/>
    <w:uiPriority w:val="0"/>
    <w:rPr>
      <w:rFonts w:ascii="Times New Roman" w:hAnsi="Times New Roman" w:eastAsia="宋体"/>
      <w:sz w:val="18"/>
    </w:rPr>
  </w:style>
  <w:style w:type="character" w:customStyle="1" w:styleId="197">
    <w:name w:val="正文文本缩进 3 Char1"/>
    <w:qFormat/>
    <w:uiPriority w:val="0"/>
    <w:rPr>
      <w:sz w:val="28"/>
    </w:rPr>
  </w:style>
  <w:style w:type="character" w:customStyle="1" w:styleId="198">
    <w:name w:val="信息标题 字符"/>
    <w:qFormat/>
    <w:uiPriority w:val="0"/>
    <w:rPr>
      <w:rFonts w:ascii="等线 Light" w:hAnsi="等线 Light" w:eastAsia="等线 Light"/>
      <w:kern w:val="2"/>
      <w:sz w:val="24"/>
      <w:shd w:val="pct20" w:color="auto" w:fill="auto"/>
    </w:rPr>
  </w:style>
  <w:style w:type="character" w:customStyle="1" w:styleId="199">
    <w:name w:val="标题 5 字符"/>
    <w:qFormat/>
    <w:uiPriority w:val="0"/>
    <w:rPr>
      <w:rFonts w:ascii="Times New Roman" w:hAnsi="Times New Roman" w:eastAsia="宋体"/>
      <w:b/>
      <w:kern w:val="2"/>
      <w:sz w:val="28"/>
    </w:rPr>
  </w:style>
  <w:style w:type="character" w:customStyle="1" w:styleId="200">
    <w:name w:val="HTML 预设格式 Char2"/>
    <w:qFormat/>
    <w:uiPriority w:val="0"/>
    <w:rPr>
      <w:rFonts w:ascii="黑体" w:hAnsi="Courier New" w:eastAsia="黑体"/>
    </w:rPr>
  </w:style>
  <w:style w:type="character" w:customStyle="1" w:styleId="201">
    <w:name w:val="p7"/>
    <w:qFormat/>
    <w:uiPriority w:val="0"/>
  </w:style>
  <w:style w:type="character" w:customStyle="1" w:styleId="202">
    <w:name w:val="签名 字符"/>
    <w:qFormat/>
    <w:uiPriority w:val="0"/>
    <w:rPr>
      <w:kern w:val="2"/>
      <w:sz w:val="28"/>
    </w:rPr>
  </w:style>
  <w:style w:type="character" w:customStyle="1" w:styleId="203">
    <w:name w:val="批注文字 Char1"/>
    <w:qFormat/>
    <w:uiPriority w:val="0"/>
    <w:rPr>
      <w:rFonts w:eastAsia="宋体"/>
      <w:kern w:val="2"/>
      <w:sz w:val="21"/>
      <w:lang w:val="en-US" w:eastAsia="zh-CN"/>
    </w:rPr>
  </w:style>
  <w:style w:type="character" w:customStyle="1" w:styleId="204">
    <w:name w:val="文档结构图 Char1"/>
    <w:qFormat/>
    <w:uiPriority w:val="0"/>
    <w:rPr>
      <w:rFonts w:eastAsia="宋体"/>
      <w:kern w:val="2"/>
      <w:sz w:val="21"/>
      <w:lang w:val="en-US" w:eastAsia="zh-CN"/>
    </w:rPr>
  </w:style>
  <w:style w:type="character" w:customStyle="1" w:styleId="205">
    <w:name w:val="纯文本 Char1"/>
    <w:qFormat/>
    <w:uiPriority w:val="0"/>
    <w:rPr>
      <w:rFonts w:ascii="宋体" w:hAnsi="Courier New" w:eastAsia="宋体"/>
      <w:kern w:val="2"/>
      <w:sz w:val="21"/>
    </w:rPr>
  </w:style>
  <w:style w:type="character" w:customStyle="1" w:styleId="206">
    <w:name w:val="无间隔 Char"/>
    <w:link w:val="207"/>
    <w:qFormat/>
    <w:locked/>
    <w:uiPriority w:val="0"/>
    <w:rPr>
      <w:rFonts w:ascii="宋体" w:hAnsi="宋体"/>
      <w:szCs w:val="24"/>
    </w:rPr>
  </w:style>
  <w:style w:type="paragraph" w:customStyle="1" w:styleId="207">
    <w:name w:val="无间隔1"/>
    <w:basedOn w:val="1"/>
    <w:link w:val="206"/>
    <w:qFormat/>
    <w:uiPriority w:val="0"/>
    <w:rPr>
      <w:rFonts w:ascii="宋体" w:hAnsi="宋体" w:eastAsiaTheme="minorEastAsia" w:cstheme="minorBidi"/>
      <w:sz w:val="21"/>
      <w:szCs w:val="24"/>
    </w:rPr>
  </w:style>
  <w:style w:type="character" w:customStyle="1" w:styleId="208">
    <w:name w:val="HTML 引文1"/>
    <w:qFormat/>
    <w:uiPriority w:val="0"/>
    <w:rPr>
      <w:i/>
    </w:rPr>
  </w:style>
  <w:style w:type="character" w:customStyle="1" w:styleId="209">
    <w:name w:val="Char Char13"/>
    <w:qFormat/>
    <w:uiPriority w:val="0"/>
    <w:rPr>
      <w:rFonts w:ascii="Times New Roman" w:hAnsi="Times New Roman" w:eastAsia="宋体"/>
      <w:b/>
      <w:sz w:val="28"/>
    </w:rPr>
  </w:style>
  <w:style w:type="character" w:customStyle="1" w:styleId="210">
    <w:name w:val="brown1"/>
    <w:qFormat/>
    <w:uiPriority w:val="0"/>
    <w:rPr>
      <w:color w:val="80786A"/>
    </w:rPr>
  </w:style>
  <w:style w:type="character" w:customStyle="1" w:styleId="211">
    <w:name w:val="正文首行缩进 2 字符"/>
    <w:basedOn w:val="212"/>
    <w:qFormat/>
    <w:uiPriority w:val="0"/>
    <w:rPr>
      <w:rFonts w:ascii="黑体" w:eastAsia="黑体"/>
      <w:sz w:val="28"/>
    </w:rPr>
  </w:style>
  <w:style w:type="character" w:customStyle="1" w:styleId="212">
    <w:name w:val="正文文本缩进 Char2"/>
    <w:qFormat/>
    <w:uiPriority w:val="0"/>
    <w:rPr>
      <w:rFonts w:ascii="黑体" w:eastAsia="黑体"/>
      <w:sz w:val="28"/>
    </w:rPr>
  </w:style>
  <w:style w:type="character" w:customStyle="1" w:styleId="213">
    <w:name w:val="正文非缩进 Char"/>
    <w:qFormat/>
    <w:uiPriority w:val="0"/>
    <w:rPr>
      <w:rFonts w:ascii="宋体" w:eastAsia="宋体"/>
      <w:snapToGrid w:val="0"/>
      <w:color w:val="000000"/>
      <w:kern w:val="28"/>
      <w:sz w:val="28"/>
      <w:lang w:val="en-US" w:eastAsia="zh-CN"/>
    </w:rPr>
  </w:style>
  <w:style w:type="character" w:customStyle="1" w:styleId="214">
    <w:name w:val="标题 1 1 Char"/>
    <w:qFormat/>
    <w:uiPriority w:val="0"/>
    <w:rPr>
      <w:rFonts w:ascii="Times New Roman" w:hAnsi="Times New Roman" w:eastAsia="宋体"/>
      <w:b/>
      <w:kern w:val="44"/>
      <w:sz w:val="44"/>
    </w:rPr>
  </w:style>
  <w:style w:type="character" w:customStyle="1" w:styleId="215">
    <w:name w:val="z-窗体底端 Char"/>
    <w:qFormat/>
    <w:uiPriority w:val="0"/>
    <w:rPr>
      <w:rFonts w:ascii="Arial" w:hAnsi="Arial"/>
      <w:vanish/>
      <w:sz w:val="16"/>
    </w:rPr>
  </w:style>
  <w:style w:type="paragraph" w:customStyle="1" w:styleId="216">
    <w:name w:val="z-窗体底端1"/>
    <w:basedOn w:val="1"/>
    <w:next w:val="1"/>
    <w:link w:val="382"/>
    <w:qFormat/>
    <w:uiPriority w:val="0"/>
    <w:pPr>
      <w:pBdr>
        <w:top w:val="single" w:color="auto" w:sz="6" w:space="1"/>
      </w:pBdr>
      <w:jc w:val="center"/>
    </w:pPr>
    <w:rPr>
      <w:rFonts w:ascii="Arial" w:hAnsi="Arial" w:eastAsiaTheme="minorEastAsia" w:cstheme="minorBidi"/>
      <w:vanish/>
      <w:sz w:val="16"/>
      <w:szCs w:val="22"/>
    </w:rPr>
  </w:style>
  <w:style w:type="character" w:customStyle="1" w:styleId="217">
    <w:name w:val="font161"/>
    <w:qFormat/>
    <w:uiPriority w:val="0"/>
    <w:rPr>
      <w:b/>
      <w:sz w:val="32"/>
    </w:rPr>
  </w:style>
  <w:style w:type="character" w:customStyle="1" w:styleId="218">
    <w:name w:val="脚注文本 字符"/>
    <w:qFormat/>
    <w:uiPriority w:val="0"/>
    <w:rPr>
      <w:kern w:val="2"/>
      <w:sz w:val="18"/>
    </w:rPr>
  </w:style>
  <w:style w:type="character" w:customStyle="1" w:styleId="219">
    <w:name w:val="HTML 代码1"/>
    <w:qFormat/>
    <w:uiPriority w:val="0"/>
    <w:rPr>
      <w:rFonts w:ascii="Courier New" w:hAnsi="Courier New"/>
      <w:sz w:val="20"/>
    </w:rPr>
  </w:style>
  <w:style w:type="character" w:customStyle="1" w:styleId="220">
    <w:name w:val="标题 Char2"/>
    <w:qFormat/>
    <w:uiPriority w:val="0"/>
    <w:rPr>
      <w:rFonts w:ascii="Arial" w:hAnsi="Arial" w:eastAsia="宋体"/>
      <w:b/>
      <w:sz w:val="32"/>
      <w:lang w:val="en-US" w:eastAsia="zh-CN"/>
    </w:rPr>
  </w:style>
  <w:style w:type="character" w:customStyle="1" w:styleId="221">
    <w:name w:val="正文文本 Char2"/>
    <w:qFormat/>
    <w:uiPriority w:val="0"/>
    <w:rPr>
      <w:sz w:val="24"/>
    </w:rPr>
  </w:style>
  <w:style w:type="character" w:customStyle="1" w:styleId="222">
    <w:name w:val="lemmatitleh11"/>
    <w:qFormat/>
    <w:uiPriority w:val="0"/>
  </w:style>
  <w:style w:type="character" w:customStyle="1" w:styleId="223">
    <w:name w:val="Char Char16"/>
    <w:qFormat/>
    <w:uiPriority w:val="0"/>
    <w:rPr>
      <w:kern w:val="2"/>
      <w:sz w:val="18"/>
    </w:rPr>
  </w:style>
  <w:style w:type="character" w:customStyle="1" w:styleId="224">
    <w:name w:val="正文首行缩进 Char1"/>
    <w:qFormat/>
    <w:uiPriority w:val="0"/>
    <w:rPr>
      <w:rFonts w:ascii="等线" w:hAnsi="等线" w:eastAsia="等线"/>
    </w:rPr>
  </w:style>
  <w:style w:type="character" w:customStyle="1" w:styleId="225">
    <w:name w:val="Char Char17"/>
    <w:qFormat/>
    <w:uiPriority w:val="0"/>
    <w:rPr>
      <w:kern w:val="2"/>
      <w:sz w:val="18"/>
    </w:rPr>
  </w:style>
  <w:style w:type="character" w:customStyle="1" w:styleId="226">
    <w:name w:val="font31"/>
    <w:basedOn w:val="88"/>
    <w:qFormat/>
    <w:uiPriority w:val="0"/>
    <w:rPr>
      <w:rFonts w:hint="eastAsia" w:ascii="宋体" w:hAnsi="宋体" w:eastAsia="宋体"/>
      <w:color w:val="0000FF"/>
      <w:sz w:val="21"/>
      <w:u w:val="none"/>
      <w:vertAlign w:val="superscript"/>
    </w:rPr>
  </w:style>
  <w:style w:type="character" w:customStyle="1" w:styleId="227">
    <w:name w:val="标题 4 Char1"/>
    <w:qFormat/>
    <w:uiPriority w:val="0"/>
    <w:rPr>
      <w:rFonts w:ascii="Arial" w:hAnsi="Arial" w:eastAsia="黑体"/>
      <w:b/>
      <w:kern w:val="2"/>
      <w:sz w:val="28"/>
      <w:lang w:val="en-US" w:eastAsia="zh-CN"/>
    </w:rPr>
  </w:style>
  <w:style w:type="character" w:customStyle="1" w:styleId="228">
    <w:name w:val="p141"/>
    <w:qFormat/>
    <w:uiPriority w:val="0"/>
    <w:rPr>
      <w:sz w:val="21"/>
      <w:szCs w:val="21"/>
    </w:rPr>
  </w:style>
  <w:style w:type="character" w:customStyle="1" w:styleId="229">
    <w:name w:val="批注引用1"/>
    <w:qFormat/>
    <w:uiPriority w:val="0"/>
    <w:rPr>
      <w:sz w:val="21"/>
    </w:rPr>
  </w:style>
  <w:style w:type="character" w:customStyle="1" w:styleId="230">
    <w:name w:val="发布"/>
    <w:qFormat/>
    <w:uiPriority w:val="0"/>
    <w:rPr>
      <w:rFonts w:ascii="黑体" w:eastAsia="黑体"/>
      <w:spacing w:val="22"/>
      <w:w w:val="100"/>
      <w:position w:val="3"/>
      <w:sz w:val="28"/>
    </w:rPr>
  </w:style>
  <w:style w:type="character" w:customStyle="1" w:styleId="231">
    <w:name w:val="j23x"/>
    <w:qFormat/>
    <w:uiPriority w:val="0"/>
  </w:style>
  <w:style w:type="character" w:customStyle="1" w:styleId="232">
    <w:name w:val="纯文本 Char2"/>
    <w:qFormat/>
    <w:uiPriority w:val="0"/>
    <w:rPr>
      <w:rFonts w:ascii="宋体" w:hAnsi="Courier New" w:eastAsia="宋体"/>
      <w:kern w:val="2"/>
      <w:sz w:val="21"/>
      <w:lang w:val="en-US" w:eastAsia="zh-CN"/>
    </w:rPr>
  </w:style>
  <w:style w:type="character" w:customStyle="1" w:styleId="233">
    <w:name w:val="567r"/>
    <w:qFormat/>
    <w:uiPriority w:val="0"/>
  </w:style>
  <w:style w:type="character" w:customStyle="1" w:styleId="234">
    <w:name w:val="文档结构图 字符"/>
    <w:qFormat/>
    <w:uiPriority w:val="0"/>
    <w:rPr>
      <w:rFonts w:ascii="Microsoft YaHei UI" w:hAnsi="Times New Roman" w:eastAsia="Microsoft YaHei UI"/>
      <w:kern w:val="2"/>
      <w:sz w:val="18"/>
    </w:rPr>
  </w:style>
  <w:style w:type="character" w:customStyle="1" w:styleId="235">
    <w:name w:val="正文文本 2 字符"/>
    <w:qFormat/>
    <w:uiPriority w:val="0"/>
    <w:rPr>
      <w:kern w:val="2"/>
      <w:sz w:val="28"/>
    </w:rPr>
  </w:style>
  <w:style w:type="character" w:customStyle="1" w:styleId="236">
    <w:name w:val="font01"/>
    <w:basedOn w:val="88"/>
    <w:qFormat/>
    <w:uiPriority w:val="0"/>
    <w:rPr>
      <w:rFonts w:hint="eastAsia" w:ascii="宋体" w:hAnsi="宋体" w:eastAsia="宋体" w:cs="宋体"/>
      <w:color w:val="000000"/>
      <w:sz w:val="22"/>
      <w:szCs w:val="22"/>
      <w:u w:val="none"/>
    </w:rPr>
  </w:style>
  <w:style w:type="character" w:customStyle="1" w:styleId="237">
    <w:name w:val="Title Char"/>
    <w:qFormat/>
    <w:uiPriority w:val="0"/>
    <w:rPr>
      <w:rFonts w:ascii="Arial" w:hAnsi="Arial" w:eastAsia="宋体"/>
      <w:b/>
      <w:kern w:val="2"/>
      <w:sz w:val="32"/>
      <w:lang w:val="en-US" w:eastAsia="zh-CN"/>
    </w:rPr>
  </w:style>
  <w:style w:type="character" w:customStyle="1" w:styleId="238">
    <w:name w:val="宏文本 字符"/>
    <w:qFormat/>
    <w:uiPriority w:val="0"/>
    <w:rPr>
      <w:rFonts w:ascii="Courier New" w:hAnsi="Courier New"/>
      <w:kern w:val="2"/>
      <w:sz w:val="24"/>
    </w:rPr>
  </w:style>
  <w:style w:type="character" w:customStyle="1" w:styleId="239">
    <w:name w:val="Char Char22"/>
    <w:qFormat/>
    <w:uiPriority w:val="0"/>
    <w:rPr>
      <w:rFonts w:ascii="Arial" w:hAnsi="Arial" w:eastAsia="黑体"/>
      <w:b/>
      <w:kern w:val="2"/>
      <w:sz w:val="32"/>
      <w:lang w:val="en-US" w:eastAsia="zh-CN"/>
    </w:rPr>
  </w:style>
  <w:style w:type="character" w:customStyle="1" w:styleId="240">
    <w:name w:val="尾注文本 字符"/>
    <w:qFormat/>
    <w:uiPriority w:val="0"/>
    <w:rPr>
      <w:kern w:val="2"/>
      <w:sz w:val="28"/>
    </w:rPr>
  </w:style>
  <w:style w:type="character" w:customStyle="1" w:styleId="241">
    <w:name w:val="副标题 Char1"/>
    <w:qFormat/>
    <w:uiPriority w:val="0"/>
    <w:rPr>
      <w:rFonts w:ascii="Calibri Light" w:hAnsi="Calibri Light" w:eastAsia="宋体"/>
      <w:b/>
      <w:kern w:val="28"/>
      <w:sz w:val="32"/>
    </w:rPr>
  </w:style>
  <w:style w:type="character" w:customStyle="1" w:styleId="242">
    <w:name w:val="正文文本 Char1"/>
    <w:qFormat/>
    <w:uiPriority w:val="0"/>
    <w:rPr>
      <w:rFonts w:ascii="宋体" w:hAnsi="宋体" w:eastAsia="宋体"/>
      <w:spacing w:val="-6"/>
      <w:kern w:val="2"/>
      <w:sz w:val="21"/>
      <w:lang w:val="en-US" w:eastAsia="zh-CN"/>
    </w:rPr>
  </w:style>
  <w:style w:type="character" w:customStyle="1" w:styleId="243">
    <w:name w:val="HTML 缩写1"/>
    <w:qFormat/>
    <w:uiPriority w:val="0"/>
  </w:style>
  <w:style w:type="character" w:customStyle="1" w:styleId="244">
    <w:name w:val="标题 1 Char1"/>
    <w:qFormat/>
    <w:uiPriority w:val="0"/>
    <w:rPr>
      <w:rFonts w:eastAsia="宋体"/>
      <w:b/>
      <w:kern w:val="44"/>
      <w:sz w:val="44"/>
      <w:lang w:val="en-US" w:eastAsia="zh-CN"/>
    </w:rPr>
  </w:style>
  <w:style w:type="character" w:customStyle="1" w:styleId="245">
    <w:name w:val="15"/>
    <w:qFormat/>
    <w:uiPriority w:val="0"/>
  </w:style>
  <w:style w:type="character" w:customStyle="1" w:styleId="246">
    <w:name w:val="样式 正文文本 Char"/>
    <w:link w:val="247"/>
    <w:qFormat/>
    <w:uiPriority w:val="0"/>
    <w:rPr>
      <w:rFonts w:ascii="Arial" w:hAnsi="Arial"/>
      <w:color w:val="000000"/>
    </w:rPr>
  </w:style>
  <w:style w:type="paragraph" w:customStyle="1" w:styleId="247">
    <w:name w:val="样式 正文文本"/>
    <w:basedOn w:val="1"/>
    <w:link w:val="246"/>
    <w:qFormat/>
    <w:uiPriority w:val="0"/>
    <w:pPr>
      <w:adjustRightInd w:val="0"/>
      <w:snapToGrid w:val="0"/>
      <w:spacing w:line="400" w:lineRule="exact"/>
      <w:ind w:firstLine="200" w:firstLineChars="200"/>
    </w:pPr>
    <w:rPr>
      <w:rFonts w:ascii="Arial" w:hAnsi="Arial" w:eastAsiaTheme="minorEastAsia" w:cstheme="minorBidi"/>
      <w:color w:val="000000"/>
      <w:sz w:val="21"/>
      <w:szCs w:val="22"/>
    </w:rPr>
  </w:style>
  <w:style w:type="character" w:customStyle="1" w:styleId="248">
    <w:name w:val="正文格式 Char"/>
    <w:link w:val="249"/>
    <w:qFormat/>
    <w:uiPriority w:val="0"/>
    <w:rPr>
      <w:rFonts w:ascii="Times New Roman" w:hAnsi="Times New Roman"/>
      <w:sz w:val="24"/>
    </w:rPr>
  </w:style>
  <w:style w:type="paragraph" w:customStyle="1" w:styleId="249">
    <w:name w:val="正文格式"/>
    <w:basedOn w:val="1"/>
    <w:link w:val="248"/>
    <w:qFormat/>
    <w:uiPriority w:val="0"/>
    <w:pPr>
      <w:widowControl/>
      <w:adjustRightInd w:val="0"/>
      <w:spacing w:line="480" w:lineRule="atLeast"/>
      <w:ind w:firstLine="482"/>
      <w:textAlignment w:val="baseline"/>
    </w:pPr>
    <w:rPr>
      <w:rFonts w:ascii="Times New Roman" w:hAnsi="Times New Roman" w:eastAsiaTheme="minorEastAsia" w:cstheme="minorBidi"/>
      <w:sz w:val="24"/>
      <w:szCs w:val="22"/>
    </w:rPr>
  </w:style>
  <w:style w:type="character" w:customStyle="1" w:styleId="250">
    <w:name w:val="bulletintext1"/>
    <w:qFormat/>
    <w:uiPriority w:val="0"/>
    <w:rPr>
      <w:color w:val="000000"/>
      <w:sz w:val="18"/>
    </w:rPr>
  </w:style>
  <w:style w:type="character" w:customStyle="1" w:styleId="251">
    <w:name w:val="fonts11"/>
    <w:qFormat/>
    <w:uiPriority w:val="0"/>
    <w:rPr>
      <w:sz w:val="18"/>
    </w:rPr>
  </w:style>
  <w:style w:type="character" w:customStyle="1" w:styleId="252">
    <w:name w:val="locality"/>
    <w:qFormat/>
    <w:uiPriority w:val="0"/>
  </w:style>
  <w:style w:type="character" w:customStyle="1" w:styleId="253">
    <w:name w:val="标题 3 字符"/>
    <w:qFormat/>
    <w:uiPriority w:val="0"/>
    <w:rPr>
      <w:rFonts w:ascii="Times New Roman" w:hAnsi="Times New Roman" w:eastAsia="宋体"/>
      <w:b/>
      <w:kern w:val="2"/>
      <w:sz w:val="32"/>
    </w:rPr>
  </w:style>
  <w:style w:type="character" w:customStyle="1" w:styleId="254">
    <w:name w:val="标题 8 字符"/>
    <w:qFormat/>
    <w:uiPriority w:val="0"/>
    <w:rPr>
      <w:rFonts w:ascii="等线 Light" w:hAnsi="等线 Light" w:eastAsia="等线 Light"/>
      <w:kern w:val="2"/>
      <w:sz w:val="24"/>
    </w:rPr>
  </w:style>
  <w:style w:type="character" w:customStyle="1" w:styleId="255">
    <w:name w:val="批注主题 字符"/>
    <w:qFormat/>
    <w:uiPriority w:val="0"/>
    <w:rPr>
      <w:b/>
      <w:kern w:val="2"/>
      <w:sz w:val="28"/>
    </w:rPr>
  </w:style>
  <w:style w:type="character" w:customStyle="1" w:styleId="256">
    <w:name w:val="H3 Char"/>
    <w:qFormat/>
    <w:uiPriority w:val="0"/>
    <w:rPr>
      <w:rFonts w:eastAsia="宋体"/>
      <w:b/>
      <w:kern w:val="2"/>
      <w:sz w:val="32"/>
      <w:lang w:val="en-US" w:eastAsia="zh-CN"/>
    </w:rPr>
  </w:style>
  <w:style w:type="character" w:customStyle="1" w:styleId="257">
    <w:name w:val="标题 9 Char1"/>
    <w:qFormat/>
    <w:uiPriority w:val="0"/>
    <w:rPr>
      <w:rFonts w:ascii="Arial" w:hAnsi="Arial" w:eastAsia="黑体"/>
      <w:sz w:val="21"/>
      <w:lang w:val="en-US" w:eastAsia="zh-CN"/>
    </w:rPr>
  </w:style>
  <w:style w:type="character" w:customStyle="1" w:styleId="258">
    <w:name w:val="公文正文 Char"/>
    <w:link w:val="259"/>
    <w:qFormat/>
    <w:uiPriority w:val="0"/>
    <w:rPr>
      <w:rFonts w:ascii="仿宋_GB2312" w:eastAsia="仿宋_GB2312"/>
      <w:sz w:val="24"/>
    </w:rPr>
  </w:style>
  <w:style w:type="paragraph" w:customStyle="1" w:styleId="259">
    <w:name w:val="公文正文"/>
    <w:basedOn w:val="1"/>
    <w:link w:val="258"/>
    <w:qFormat/>
    <w:uiPriority w:val="0"/>
    <w:pPr>
      <w:spacing w:before="156" w:line="360" w:lineRule="auto"/>
      <w:ind w:firstLine="360" w:firstLineChars="200"/>
    </w:pPr>
    <w:rPr>
      <w:rFonts w:ascii="仿宋_GB2312" w:eastAsia="仿宋_GB2312" w:hAnsiTheme="minorHAnsi" w:cstheme="minorBidi"/>
      <w:sz w:val="24"/>
      <w:szCs w:val="22"/>
    </w:rPr>
  </w:style>
  <w:style w:type="character" w:customStyle="1" w:styleId="260">
    <w:name w:val="正文文本缩进 3 字符"/>
    <w:qFormat/>
    <w:uiPriority w:val="0"/>
    <w:rPr>
      <w:rFonts w:ascii="Times New Roman" w:hAnsi="Times New Roman" w:eastAsia="宋体"/>
      <w:kern w:val="2"/>
      <w:sz w:val="16"/>
    </w:rPr>
  </w:style>
  <w:style w:type="character" w:customStyle="1" w:styleId="261">
    <w:name w:val="my Char"/>
    <w:link w:val="262"/>
    <w:qFormat/>
    <w:uiPriority w:val="0"/>
    <w:rPr>
      <w:rFonts w:ascii="宋体" w:hAnsi="宋体"/>
      <w:sz w:val="24"/>
    </w:rPr>
  </w:style>
  <w:style w:type="paragraph" w:customStyle="1" w:styleId="262">
    <w:name w:val="my"/>
    <w:basedOn w:val="1"/>
    <w:link w:val="261"/>
    <w:qFormat/>
    <w:uiPriority w:val="0"/>
    <w:pPr>
      <w:widowControl/>
      <w:tabs>
        <w:tab w:val="left" w:pos="0"/>
        <w:tab w:val="left" w:pos="5823"/>
      </w:tabs>
      <w:adjustRightInd w:val="0"/>
      <w:ind w:firstLine="480" w:firstLineChars="200"/>
    </w:pPr>
    <w:rPr>
      <w:rFonts w:ascii="宋体" w:hAnsi="宋体" w:eastAsiaTheme="minorEastAsia" w:cstheme="minorBidi"/>
      <w:sz w:val="24"/>
      <w:szCs w:val="22"/>
    </w:rPr>
  </w:style>
  <w:style w:type="character" w:customStyle="1" w:styleId="263">
    <w:name w:val="info1"/>
    <w:qFormat/>
    <w:uiPriority w:val="99"/>
    <w:rPr>
      <w:color w:val="000000"/>
      <w:spacing w:val="15"/>
      <w:sz w:val="24"/>
    </w:rPr>
  </w:style>
  <w:style w:type="character" w:customStyle="1" w:styleId="264">
    <w:name w:val="正文文本 2 Char1"/>
    <w:qFormat/>
    <w:uiPriority w:val="0"/>
  </w:style>
  <w:style w:type="character" w:customStyle="1" w:styleId="265">
    <w:name w:val="HTML 预设格式 Char1"/>
    <w:qFormat/>
    <w:uiPriority w:val="0"/>
    <w:rPr>
      <w:rFonts w:ascii="Courier New" w:hAnsi="Courier New" w:eastAsia="宋体"/>
      <w:kern w:val="2"/>
    </w:rPr>
  </w:style>
  <w:style w:type="character" w:customStyle="1" w:styleId="266">
    <w:name w:val="电子邮件签名 字符"/>
    <w:qFormat/>
    <w:uiPriority w:val="0"/>
    <w:rPr>
      <w:kern w:val="2"/>
      <w:sz w:val="28"/>
    </w:rPr>
  </w:style>
  <w:style w:type="character" w:customStyle="1" w:styleId="267">
    <w:name w:val="称呼 字符"/>
    <w:qFormat/>
    <w:uiPriority w:val="0"/>
    <w:rPr>
      <w:kern w:val="2"/>
      <w:sz w:val="28"/>
    </w:rPr>
  </w:style>
  <w:style w:type="character" w:customStyle="1" w:styleId="268">
    <w:name w:val="标题 4 Char Char Char Char Char Char"/>
    <w:qFormat/>
    <w:uiPriority w:val="0"/>
    <w:rPr>
      <w:rFonts w:eastAsia="宋体"/>
      <w:kern w:val="2"/>
      <w:sz w:val="24"/>
      <w:lang w:val="en-US" w:eastAsia="zh-CN"/>
    </w:rPr>
  </w:style>
  <w:style w:type="character" w:customStyle="1" w:styleId="269">
    <w:name w:val="标题 6 字符"/>
    <w:qFormat/>
    <w:uiPriority w:val="0"/>
    <w:rPr>
      <w:rFonts w:ascii="等线 Light" w:hAnsi="等线 Light" w:eastAsia="等线 Light"/>
      <w:b/>
      <w:kern w:val="2"/>
      <w:sz w:val="24"/>
    </w:rPr>
  </w:style>
  <w:style w:type="character" w:customStyle="1" w:styleId="270">
    <w:name w:val="标题 7 Char1"/>
    <w:qFormat/>
    <w:uiPriority w:val="0"/>
    <w:rPr>
      <w:rFonts w:eastAsia="宋体"/>
      <w:b/>
      <w:sz w:val="24"/>
      <w:lang w:val="en-US" w:eastAsia="zh-CN"/>
    </w:rPr>
  </w:style>
  <w:style w:type="character" w:customStyle="1" w:styleId="271">
    <w:name w:val="副标题 字符"/>
    <w:qFormat/>
    <w:uiPriority w:val="0"/>
    <w:rPr>
      <w:rFonts w:ascii="等线 Light" w:hAnsi="等线 Light"/>
      <w:b/>
      <w:kern w:val="28"/>
      <w:sz w:val="32"/>
    </w:rPr>
  </w:style>
  <w:style w:type="character" w:customStyle="1" w:styleId="272">
    <w:name w:val="font21"/>
    <w:basedOn w:val="88"/>
    <w:qFormat/>
    <w:uiPriority w:val="0"/>
    <w:rPr>
      <w:rFonts w:hint="eastAsia" w:ascii="宋体" w:hAnsi="宋体" w:eastAsia="宋体"/>
      <w:color w:val="FF0000"/>
      <w:sz w:val="21"/>
      <w:u w:val="none"/>
      <w:vertAlign w:val="superscript"/>
    </w:rPr>
  </w:style>
  <w:style w:type="character" w:customStyle="1" w:styleId="273">
    <w:name w:val="font41"/>
    <w:basedOn w:val="88"/>
    <w:qFormat/>
    <w:uiPriority w:val="0"/>
    <w:rPr>
      <w:rFonts w:hint="eastAsia" w:ascii="宋体" w:hAnsi="宋体" w:eastAsia="宋体" w:cs="宋体"/>
      <w:color w:val="000000"/>
      <w:sz w:val="20"/>
      <w:szCs w:val="20"/>
      <w:u w:val="none"/>
    </w:rPr>
  </w:style>
  <w:style w:type="character" w:customStyle="1" w:styleId="274">
    <w:name w:val="结束语 字符"/>
    <w:qFormat/>
    <w:uiPriority w:val="0"/>
    <w:rPr>
      <w:kern w:val="2"/>
      <w:sz w:val="28"/>
    </w:rPr>
  </w:style>
  <w:style w:type="character" w:customStyle="1" w:styleId="275">
    <w:name w:val="彩色列表 - 着色 1 字符"/>
    <w:link w:val="276"/>
    <w:qFormat/>
    <w:uiPriority w:val="0"/>
  </w:style>
  <w:style w:type="paragraph" w:customStyle="1" w:styleId="276">
    <w:name w:val="彩色列表 - 着色 12"/>
    <w:basedOn w:val="1"/>
    <w:link w:val="275"/>
    <w:qFormat/>
    <w:uiPriority w:val="0"/>
    <w:pPr>
      <w:ind w:firstLine="420" w:firstLineChars="200"/>
    </w:pPr>
    <w:rPr>
      <w:rFonts w:asciiTheme="minorHAnsi" w:hAnsiTheme="minorHAnsi" w:eastAsiaTheme="minorEastAsia" w:cstheme="minorBidi"/>
      <w:sz w:val="21"/>
      <w:szCs w:val="22"/>
    </w:rPr>
  </w:style>
  <w:style w:type="character" w:customStyle="1" w:styleId="277">
    <w:name w:val="正文文本 3 Char1"/>
    <w:qFormat/>
    <w:uiPriority w:val="0"/>
    <w:rPr>
      <w:rFonts w:eastAsia="宋体"/>
      <w:color w:val="FF0000"/>
      <w:kern w:val="2"/>
      <w:sz w:val="24"/>
      <w:lang w:val="en-US" w:eastAsia="zh-CN"/>
    </w:rPr>
  </w:style>
  <w:style w:type="character" w:customStyle="1" w:styleId="278">
    <w:name w:val="纯文本 Char3"/>
    <w:qFormat/>
    <w:uiPriority w:val="0"/>
    <w:rPr>
      <w:rFonts w:ascii="宋体" w:hAnsi="Courier New" w:eastAsia="宋体"/>
    </w:rPr>
  </w:style>
  <w:style w:type="character" w:customStyle="1" w:styleId="279">
    <w:name w:val="个人答复风格"/>
    <w:qFormat/>
    <w:uiPriority w:val="0"/>
    <w:rPr>
      <w:rFonts w:ascii="Arial" w:hAnsi="Arial" w:eastAsia="宋体"/>
      <w:color w:val="auto"/>
      <w:sz w:val="20"/>
    </w:rPr>
  </w:style>
  <w:style w:type="character" w:customStyle="1" w:styleId="280">
    <w:name w:val="标题 3 Char1"/>
    <w:qFormat/>
    <w:uiPriority w:val="0"/>
    <w:rPr>
      <w:rFonts w:eastAsia="宋体"/>
      <w:b/>
      <w:kern w:val="2"/>
      <w:sz w:val="32"/>
      <w:lang w:val="en-US" w:eastAsia="zh-CN"/>
    </w:rPr>
  </w:style>
  <w:style w:type="character" w:customStyle="1" w:styleId="281">
    <w:name w:val="脚注文本 Char1"/>
    <w:qFormat/>
    <w:uiPriority w:val="0"/>
    <w:rPr>
      <w:rFonts w:eastAsia="宋体"/>
      <w:kern w:val="2"/>
      <w:sz w:val="18"/>
      <w:lang w:val="en-US" w:eastAsia="zh-CN"/>
    </w:rPr>
  </w:style>
  <w:style w:type="character" w:customStyle="1" w:styleId="282">
    <w:name w:val="无格式表格 31"/>
    <w:qFormat/>
    <w:uiPriority w:val="0"/>
    <w:rPr>
      <w:i/>
      <w:color w:val="808080"/>
    </w:rPr>
  </w:style>
  <w:style w:type="character" w:customStyle="1" w:styleId="283">
    <w:name w:val="HTML 键盘1"/>
    <w:qFormat/>
    <w:uiPriority w:val="0"/>
    <w:rPr>
      <w:rFonts w:ascii="Courier New" w:hAnsi="Courier New"/>
      <w:sz w:val="20"/>
    </w:rPr>
  </w:style>
  <w:style w:type="character" w:customStyle="1" w:styleId="284">
    <w:name w:val="标题 Char1"/>
    <w:qFormat/>
    <w:uiPriority w:val="0"/>
    <w:rPr>
      <w:rFonts w:ascii="Cambria" w:hAnsi="Cambria" w:eastAsia="宋体"/>
      <w:b/>
      <w:sz w:val="32"/>
    </w:rPr>
  </w:style>
  <w:style w:type="character" w:customStyle="1" w:styleId="285">
    <w:name w:val="样式8 字符"/>
    <w:link w:val="286"/>
    <w:qFormat/>
    <w:uiPriority w:val="0"/>
    <w:rPr>
      <w:rFonts w:ascii="Times New Roman" w:hAnsi="Times New Roman"/>
      <w:sz w:val="24"/>
      <w:szCs w:val="27"/>
    </w:rPr>
  </w:style>
  <w:style w:type="paragraph" w:customStyle="1" w:styleId="286">
    <w:name w:val="样式8"/>
    <w:basedOn w:val="287"/>
    <w:link w:val="285"/>
    <w:qFormat/>
    <w:uiPriority w:val="0"/>
    <w:pPr>
      <w:tabs>
        <w:tab w:val="left" w:pos="1301"/>
        <w:tab w:val="left" w:pos="6043"/>
      </w:tabs>
      <w:ind w:right="0" w:rightChars="0"/>
    </w:pPr>
    <w:rPr>
      <w:rFonts w:eastAsiaTheme="minorEastAsia" w:cstheme="minorBidi"/>
    </w:rPr>
  </w:style>
  <w:style w:type="paragraph" w:customStyle="1" w:styleId="287">
    <w:name w:val="样式6"/>
    <w:basedOn w:val="1"/>
    <w:qFormat/>
    <w:uiPriority w:val="0"/>
    <w:pPr>
      <w:widowControl/>
      <w:tabs>
        <w:tab w:val="left" w:pos="1301"/>
        <w:tab w:val="left" w:pos="6043"/>
      </w:tabs>
      <w:adjustRightInd w:val="0"/>
      <w:snapToGrid w:val="0"/>
      <w:spacing w:line="360" w:lineRule="auto"/>
      <w:ind w:left="709" w:right="100" w:rightChars="100"/>
      <w:textAlignment w:val="baseline"/>
    </w:pPr>
    <w:rPr>
      <w:rFonts w:ascii="Times New Roman" w:hAnsi="Times New Roman"/>
      <w:sz w:val="24"/>
      <w:szCs w:val="27"/>
    </w:rPr>
  </w:style>
  <w:style w:type="character" w:customStyle="1" w:styleId="288">
    <w:name w:val="font11"/>
    <w:basedOn w:val="88"/>
    <w:qFormat/>
    <w:uiPriority w:val="0"/>
    <w:rPr>
      <w:rFonts w:hint="eastAsia" w:ascii="宋体" w:hAnsi="宋体" w:eastAsia="宋体"/>
      <w:color w:val="000000"/>
      <w:sz w:val="21"/>
      <w:u w:val="none"/>
      <w:vertAlign w:val="superscript"/>
    </w:rPr>
  </w:style>
  <w:style w:type="character" w:customStyle="1" w:styleId="289">
    <w:name w:val="页脚 Char1"/>
    <w:qFormat/>
    <w:uiPriority w:val="0"/>
    <w:rPr>
      <w:rFonts w:eastAsia="宋体"/>
      <w:kern w:val="2"/>
      <w:sz w:val="18"/>
      <w:lang w:val="en-US" w:eastAsia="zh-CN"/>
    </w:rPr>
  </w:style>
  <w:style w:type="character" w:customStyle="1" w:styleId="290">
    <w:name w:val="country-name"/>
    <w:qFormat/>
    <w:uiPriority w:val="0"/>
  </w:style>
  <w:style w:type="character" w:customStyle="1" w:styleId="291">
    <w:name w:val="HTML 样本1"/>
    <w:qFormat/>
    <w:uiPriority w:val="0"/>
    <w:rPr>
      <w:rFonts w:ascii="Courier New" w:hAnsi="Courier New"/>
    </w:rPr>
  </w:style>
  <w:style w:type="character" w:customStyle="1" w:styleId="292">
    <w:name w:val="标题 4 字符"/>
    <w:qFormat/>
    <w:uiPriority w:val="0"/>
    <w:rPr>
      <w:rFonts w:ascii="等线 Light" w:hAnsi="等线 Light" w:eastAsia="等线 Light"/>
      <w:b/>
      <w:kern w:val="2"/>
      <w:sz w:val="28"/>
    </w:rPr>
  </w:style>
  <w:style w:type="character" w:customStyle="1" w:styleId="293">
    <w:name w:val="zbggmain style9"/>
    <w:qFormat/>
    <w:uiPriority w:val="0"/>
  </w:style>
  <w:style w:type="character" w:customStyle="1" w:styleId="294">
    <w:name w:val="标题 1 Char Char"/>
    <w:qFormat/>
    <w:uiPriority w:val="0"/>
    <w:rPr>
      <w:rFonts w:ascii="Arial" w:hAnsi="Arial" w:eastAsia="黑体"/>
      <w:kern w:val="44"/>
      <w:sz w:val="24"/>
      <w:lang w:val="en-US" w:eastAsia="zh-CN"/>
    </w:rPr>
  </w:style>
  <w:style w:type="character" w:customStyle="1" w:styleId="295">
    <w:name w:val="批注框文本 Char1"/>
    <w:qFormat/>
    <w:uiPriority w:val="0"/>
    <w:rPr>
      <w:rFonts w:eastAsia="宋体"/>
      <w:kern w:val="2"/>
      <w:sz w:val="18"/>
      <w:lang w:val="en-US" w:eastAsia="zh-CN"/>
    </w:rPr>
  </w:style>
  <w:style w:type="character" w:customStyle="1" w:styleId="296">
    <w:name w:val="HTML 地址 字符"/>
    <w:qFormat/>
    <w:uiPriority w:val="0"/>
    <w:rPr>
      <w:i/>
      <w:kern w:val="2"/>
      <w:sz w:val="28"/>
    </w:rPr>
  </w:style>
  <w:style w:type="character" w:customStyle="1" w:styleId="297">
    <w:name w:val="正文文本 字符"/>
    <w:qFormat/>
    <w:uiPriority w:val="0"/>
    <w:rPr>
      <w:rFonts w:ascii="Times New Roman" w:hAnsi="Times New Roman" w:eastAsia="宋体"/>
      <w:kern w:val="2"/>
      <w:sz w:val="21"/>
    </w:rPr>
  </w:style>
  <w:style w:type="character" w:customStyle="1" w:styleId="298">
    <w:name w:val="页眉 字符"/>
    <w:qFormat/>
    <w:uiPriority w:val="0"/>
    <w:rPr>
      <w:kern w:val="2"/>
      <w:sz w:val="18"/>
    </w:rPr>
  </w:style>
  <w:style w:type="character" w:customStyle="1" w:styleId="299">
    <w:name w:val="标题 5 Char1"/>
    <w:qFormat/>
    <w:uiPriority w:val="0"/>
    <w:rPr>
      <w:rFonts w:eastAsia="宋体"/>
      <w:b/>
      <w:sz w:val="28"/>
      <w:lang w:val="en-US" w:eastAsia="zh-CN"/>
    </w:rPr>
  </w:style>
  <w:style w:type="character" w:customStyle="1" w:styleId="300">
    <w:name w:val="正文文字4 Char Char"/>
    <w:qFormat/>
    <w:uiPriority w:val="0"/>
    <w:rPr>
      <w:rFonts w:ascii="宋体" w:hAnsi="宋体" w:eastAsia="宋体"/>
      <w:spacing w:val="-6"/>
      <w:kern w:val="2"/>
      <w:sz w:val="21"/>
      <w:lang w:val="en-US" w:eastAsia="zh-CN"/>
    </w:rPr>
  </w:style>
  <w:style w:type="character" w:customStyle="1" w:styleId="301">
    <w:name w:val="z-窗体顶端 Char"/>
    <w:link w:val="302"/>
    <w:qFormat/>
    <w:uiPriority w:val="0"/>
    <w:rPr>
      <w:rFonts w:ascii="Arial" w:hAnsi="Arial"/>
      <w:vanish/>
      <w:sz w:val="16"/>
    </w:rPr>
  </w:style>
  <w:style w:type="paragraph" w:customStyle="1" w:styleId="302">
    <w:name w:val="z-窗体顶端1"/>
    <w:basedOn w:val="1"/>
    <w:next w:val="1"/>
    <w:link w:val="301"/>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03">
    <w:name w:val="正文文本 3 字符"/>
    <w:qFormat/>
    <w:uiPriority w:val="0"/>
    <w:rPr>
      <w:kern w:val="2"/>
      <w:sz w:val="16"/>
    </w:rPr>
  </w:style>
  <w:style w:type="character" w:customStyle="1" w:styleId="304">
    <w:name w:val="s81i"/>
    <w:qFormat/>
    <w:uiPriority w:val="0"/>
  </w:style>
  <w:style w:type="character" w:customStyle="1" w:styleId="305">
    <w:name w:val="正文缩进 Char"/>
    <w:link w:val="7"/>
    <w:qFormat/>
    <w:uiPriority w:val="0"/>
    <w:rPr>
      <w:rFonts w:eastAsia="宋体"/>
      <w:sz w:val="24"/>
    </w:rPr>
  </w:style>
  <w:style w:type="character" w:customStyle="1" w:styleId="306">
    <w:name w:val="Char Char23"/>
    <w:qFormat/>
    <w:uiPriority w:val="0"/>
    <w:rPr>
      <w:rFonts w:eastAsia="宋体"/>
      <w:b/>
      <w:kern w:val="44"/>
      <w:sz w:val="44"/>
      <w:lang w:val="en-US" w:eastAsia="zh-CN"/>
    </w:rPr>
  </w:style>
  <w:style w:type="character" w:customStyle="1" w:styleId="307">
    <w:name w:val="apple-converted-space"/>
    <w:qFormat/>
    <w:uiPriority w:val="0"/>
  </w:style>
  <w:style w:type="character" w:customStyle="1" w:styleId="308">
    <w:name w:val="highlight1"/>
    <w:qFormat/>
    <w:uiPriority w:val="0"/>
    <w:rPr>
      <w:color w:val="FF0000"/>
    </w:rPr>
  </w:style>
  <w:style w:type="character" w:customStyle="1" w:styleId="309">
    <w:name w:val="正文2 Char Char"/>
    <w:qFormat/>
    <w:uiPriority w:val="0"/>
    <w:rPr>
      <w:rFonts w:eastAsia="宋体"/>
      <w:kern w:val="2"/>
      <w:sz w:val="24"/>
      <w:lang w:val="en-US" w:eastAsia="zh-CN"/>
    </w:rPr>
  </w:style>
  <w:style w:type="character" w:customStyle="1" w:styleId="310">
    <w:name w:val="标题1"/>
    <w:qFormat/>
    <w:uiPriority w:val="0"/>
    <w:rPr>
      <w:b/>
      <w:sz w:val="28"/>
    </w:rPr>
  </w:style>
  <w:style w:type="character" w:customStyle="1" w:styleId="311">
    <w:name w:val="正文2 Char"/>
    <w:link w:val="312"/>
    <w:qFormat/>
    <w:uiPriority w:val="0"/>
    <w:rPr>
      <w:rFonts w:eastAsia="宋体"/>
      <w:sz w:val="24"/>
    </w:rPr>
  </w:style>
  <w:style w:type="paragraph" w:customStyle="1" w:styleId="312">
    <w:name w:val="正文2"/>
    <w:basedOn w:val="1"/>
    <w:link w:val="311"/>
    <w:qFormat/>
    <w:uiPriority w:val="0"/>
    <w:pPr>
      <w:spacing w:before="156" w:line="360" w:lineRule="auto"/>
      <w:ind w:firstLine="510" w:firstLineChars="200"/>
    </w:pPr>
    <w:rPr>
      <w:rFonts w:asciiTheme="minorHAnsi" w:hAnsiTheme="minorHAnsi" w:cstheme="minorBidi"/>
      <w:sz w:val="24"/>
      <w:szCs w:val="22"/>
    </w:rPr>
  </w:style>
  <w:style w:type="character" w:customStyle="1" w:styleId="313">
    <w:name w:val="HTML 定义1"/>
    <w:qFormat/>
    <w:uiPriority w:val="0"/>
    <w:rPr>
      <w:i/>
    </w:rPr>
  </w:style>
  <w:style w:type="character" w:customStyle="1" w:styleId="314">
    <w:name w:val="批注框文本 字符"/>
    <w:qFormat/>
    <w:uiPriority w:val="0"/>
    <w:rPr>
      <w:rFonts w:ascii="Times New Roman" w:hAnsi="Times New Roman" w:eastAsia="宋体"/>
      <w:kern w:val="2"/>
      <w:sz w:val="18"/>
    </w:rPr>
  </w:style>
  <w:style w:type="character" w:customStyle="1" w:styleId="315">
    <w:name w:val="75pk"/>
    <w:qFormat/>
    <w:uiPriority w:val="0"/>
  </w:style>
  <w:style w:type="character" w:customStyle="1" w:styleId="316">
    <w:name w:val="z-窗体底端 字符"/>
    <w:qFormat/>
    <w:uiPriority w:val="0"/>
    <w:rPr>
      <w:rFonts w:ascii="Arial" w:hAnsi="Arial"/>
      <w:vanish/>
      <w:kern w:val="2"/>
      <w:sz w:val="16"/>
    </w:rPr>
  </w:style>
  <w:style w:type="character" w:customStyle="1" w:styleId="317">
    <w:name w:val="页码1"/>
    <w:qFormat/>
    <w:uiPriority w:val="0"/>
  </w:style>
  <w:style w:type="character" w:customStyle="1" w:styleId="318">
    <w:name w:val="Char Char21"/>
    <w:qFormat/>
    <w:uiPriority w:val="0"/>
    <w:rPr>
      <w:rFonts w:eastAsia="楷体_GB2312"/>
      <w:kern w:val="2"/>
      <w:sz w:val="28"/>
      <w:lang w:val="en-US" w:eastAsia="zh-CN"/>
    </w:rPr>
  </w:style>
  <w:style w:type="character" w:customStyle="1" w:styleId="319">
    <w:name w:val="列出段落 字符"/>
    <w:qFormat/>
    <w:uiPriority w:val="0"/>
    <w:rPr>
      <w:kern w:val="2"/>
      <w:sz w:val="21"/>
    </w:rPr>
  </w:style>
  <w:style w:type="character" w:customStyle="1" w:styleId="320">
    <w:name w:val="批注文字 字符"/>
    <w:qFormat/>
    <w:uiPriority w:val="0"/>
    <w:rPr>
      <w:kern w:val="2"/>
      <w:sz w:val="28"/>
    </w:rPr>
  </w:style>
  <w:style w:type="character" w:customStyle="1" w:styleId="321">
    <w:name w:val="日期 Char2"/>
    <w:qFormat/>
    <w:uiPriority w:val="0"/>
    <w:rPr>
      <w:rFonts w:eastAsia="仿宋_GB2312"/>
      <w:b/>
      <w:sz w:val="28"/>
    </w:rPr>
  </w:style>
  <w:style w:type="character" w:customStyle="1" w:styleId="322">
    <w:name w:val="z-窗体顶端 Char1"/>
    <w:qFormat/>
    <w:uiPriority w:val="0"/>
    <w:rPr>
      <w:rFonts w:ascii="Arial" w:hAnsi="Arial"/>
      <w:vanish/>
      <w:sz w:val="16"/>
    </w:rPr>
  </w:style>
  <w:style w:type="paragraph" w:customStyle="1" w:styleId="323">
    <w:name w:val="z-窗体顶端2"/>
    <w:basedOn w:val="1"/>
    <w:next w:val="1"/>
    <w:link w:val="459"/>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24">
    <w:name w:val="标题 1 1 Char1"/>
    <w:qFormat/>
    <w:uiPriority w:val="0"/>
    <w:rPr>
      <w:rFonts w:ascii="Times New Roman" w:hAnsi="Times New Roman" w:eastAsia="宋体"/>
      <w:b/>
      <w:kern w:val="44"/>
      <w:sz w:val="44"/>
    </w:rPr>
  </w:style>
  <w:style w:type="character" w:customStyle="1" w:styleId="325">
    <w:name w:val="标题 8 Char1"/>
    <w:qFormat/>
    <w:uiPriority w:val="0"/>
    <w:rPr>
      <w:rFonts w:ascii="Arial" w:hAnsi="Arial" w:eastAsia="黑体"/>
      <w:sz w:val="24"/>
      <w:lang w:val="en-US" w:eastAsia="zh-CN"/>
    </w:rPr>
  </w:style>
  <w:style w:type="character" w:customStyle="1" w:styleId="326">
    <w:name w:val="font61"/>
    <w:qFormat/>
    <w:uiPriority w:val="0"/>
    <w:rPr>
      <w:rFonts w:hint="eastAsia" w:ascii="宋体" w:hAnsi="宋体" w:eastAsia="宋体" w:cs="宋体"/>
      <w:color w:val="000000"/>
      <w:sz w:val="20"/>
      <w:szCs w:val="20"/>
      <w:u w:val="none"/>
    </w:rPr>
  </w:style>
  <w:style w:type="character" w:customStyle="1" w:styleId="327">
    <w:name w:val="尾注文本 Char1"/>
    <w:basedOn w:val="88"/>
    <w:link w:val="54"/>
    <w:qFormat/>
    <w:uiPriority w:val="0"/>
  </w:style>
  <w:style w:type="character" w:customStyle="1" w:styleId="328">
    <w:name w:val="电子邮件签名 Char1"/>
    <w:basedOn w:val="88"/>
    <w:link w:val="26"/>
    <w:qFormat/>
    <w:uiPriority w:val="0"/>
  </w:style>
  <w:style w:type="character" w:customStyle="1" w:styleId="329">
    <w:name w:val="正文文本 2 Char2"/>
    <w:basedOn w:val="88"/>
    <w:link w:val="79"/>
    <w:qFormat/>
    <w:uiPriority w:val="0"/>
  </w:style>
  <w:style w:type="character" w:customStyle="1" w:styleId="330">
    <w:name w:val="正文文本 Char3"/>
    <w:basedOn w:val="88"/>
    <w:semiHidden/>
    <w:qFormat/>
    <w:uiPriority w:val="99"/>
    <w:rPr>
      <w:rFonts w:ascii="Calibri" w:hAnsi="Calibri" w:eastAsia="宋体" w:cs="Times New Roman"/>
      <w:sz w:val="28"/>
      <w:szCs w:val="20"/>
    </w:rPr>
  </w:style>
  <w:style w:type="character" w:customStyle="1" w:styleId="331">
    <w:name w:val="日期 Char3"/>
    <w:basedOn w:val="88"/>
    <w:link w:val="52"/>
    <w:qFormat/>
    <w:uiPriority w:val="0"/>
    <w:rPr>
      <w:rFonts w:eastAsia="仿宋_GB2312"/>
      <w:b/>
      <w:sz w:val="28"/>
    </w:rPr>
  </w:style>
  <w:style w:type="character" w:customStyle="1" w:styleId="332">
    <w:name w:val="纯文本 Char4"/>
    <w:basedOn w:val="88"/>
    <w:link w:val="47"/>
    <w:qFormat/>
    <w:uiPriority w:val="0"/>
    <w:rPr>
      <w:rFonts w:ascii="宋体" w:hAnsi="Courier New" w:eastAsia="宋体"/>
    </w:rPr>
  </w:style>
  <w:style w:type="character" w:customStyle="1" w:styleId="333">
    <w:name w:val="结束语 Char1"/>
    <w:basedOn w:val="88"/>
    <w:link w:val="37"/>
    <w:qFormat/>
    <w:uiPriority w:val="0"/>
  </w:style>
  <w:style w:type="character" w:customStyle="1" w:styleId="334">
    <w:name w:val="注释标题 Char1"/>
    <w:basedOn w:val="88"/>
    <w:link w:val="23"/>
    <w:qFormat/>
    <w:uiPriority w:val="0"/>
  </w:style>
  <w:style w:type="character" w:customStyle="1" w:styleId="335">
    <w:name w:val="正文文本缩进 2 Char2"/>
    <w:basedOn w:val="88"/>
    <w:link w:val="53"/>
    <w:qFormat/>
    <w:uiPriority w:val="0"/>
    <w:rPr>
      <w:rFonts w:ascii="黑体" w:eastAsia="黑体"/>
      <w:sz w:val="28"/>
    </w:rPr>
  </w:style>
  <w:style w:type="character" w:customStyle="1" w:styleId="336">
    <w:name w:val="文档结构图 Char2"/>
    <w:basedOn w:val="88"/>
    <w:link w:val="32"/>
    <w:qFormat/>
    <w:uiPriority w:val="0"/>
    <w:rPr>
      <w:sz w:val="28"/>
      <w:shd w:val="clear" w:color="auto" w:fill="000080"/>
    </w:rPr>
  </w:style>
  <w:style w:type="character" w:customStyle="1" w:styleId="337">
    <w:name w:val="正文文本缩进 Char3"/>
    <w:basedOn w:val="88"/>
    <w:semiHidden/>
    <w:qFormat/>
    <w:uiPriority w:val="99"/>
    <w:rPr>
      <w:rFonts w:ascii="Calibri" w:hAnsi="Calibri" w:eastAsia="宋体" w:cs="Times New Roman"/>
      <w:sz w:val="28"/>
      <w:szCs w:val="20"/>
    </w:rPr>
  </w:style>
  <w:style w:type="character" w:customStyle="1" w:styleId="338">
    <w:name w:val="宏文本 Char1"/>
    <w:basedOn w:val="88"/>
    <w:link w:val="22"/>
    <w:qFormat/>
    <w:uiPriority w:val="0"/>
    <w:rPr>
      <w:rFonts w:ascii="Courier New" w:hAnsi="Courier New"/>
      <w:sz w:val="24"/>
    </w:rPr>
  </w:style>
  <w:style w:type="character" w:customStyle="1" w:styleId="339">
    <w:name w:val="HTML 地址 Char1"/>
    <w:basedOn w:val="88"/>
    <w:link w:val="43"/>
    <w:qFormat/>
    <w:uiPriority w:val="0"/>
    <w:rPr>
      <w:i/>
    </w:rPr>
  </w:style>
  <w:style w:type="character" w:customStyle="1" w:styleId="340">
    <w:name w:val="正文首行缩进 Char2"/>
    <w:basedOn w:val="330"/>
    <w:link w:val="18"/>
    <w:qFormat/>
    <w:uiPriority w:val="0"/>
    <w:rPr>
      <w:rFonts w:ascii="等线" w:hAnsi="等线" w:eastAsia="等线" w:cs="Times New Roman"/>
      <w:sz w:val="28"/>
      <w:szCs w:val="20"/>
    </w:rPr>
  </w:style>
  <w:style w:type="character" w:customStyle="1" w:styleId="341">
    <w:name w:val="正文首行缩进 2 Char1"/>
    <w:basedOn w:val="337"/>
    <w:link w:val="59"/>
    <w:qFormat/>
    <w:uiPriority w:val="0"/>
    <w:rPr>
      <w:rFonts w:ascii="等线" w:hAnsi="等线" w:eastAsia="等线" w:cs="Times New Roman"/>
      <w:sz w:val="28"/>
      <w:szCs w:val="20"/>
    </w:rPr>
  </w:style>
  <w:style w:type="character" w:customStyle="1" w:styleId="342">
    <w:name w:val="标题 Char4"/>
    <w:basedOn w:val="88"/>
    <w:link w:val="87"/>
    <w:qFormat/>
    <w:uiPriority w:val="0"/>
    <w:rPr>
      <w:b/>
      <w:sz w:val="24"/>
      <w:lang w:val="en-GB"/>
    </w:rPr>
  </w:style>
  <w:style w:type="character" w:customStyle="1" w:styleId="343">
    <w:name w:val="批注框文本 Char2"/>
    <w:basedOn w:val="88"/>
    <w:link w:val="56"/>
    <w:qFormat/>
    <w:uiPriority w:val="99"/>
    <w:rPr>
      <w:sz w:val="18"/>
    </w:rPr>
  </w:style>
  <w:style w:type="character" w:customStyle="1" w:styleId="344">
    <w:name w:val="称呼 Char1"/>
    <w:basedOn w:val="88"/>
    <w:link w:val="35"/>
    <w:qFormat/>
    <w:uiPriority w:val="0"/>
    <w:rPr>
      <w:rFonts w:ascii="宋体"/>
      <w:sz w:val="28"/>
    </w:rPr>
  </w:style>
  <w:style w:type="character" w:customStyle="1" w:styleId="345">
    <w:name w:val="批注文字 Char2"/>
    <w:basedOn w:val="88"/>
    <w:semiHidden/>
    <w:qFormat/>
    <w:uiPriority w:val="99"/>
    <w:rPr>
      <w:rFonts w:ascii="Calibri" w:hAnsi="Calibri" w:eastAsia="宋体" w:cs="Times New Roman"/>
      <w:sz w:val="28"/>
      <w:szCs w:val="20"/>
    </w:rPr>
  </w:style>
  <w:style w:type="character" w:customStyle="1" w:styleId="346">
    <w:name w:val="正文文本缩进 3 Char2"/>
    <w:basedOn w:val="88"/>
    <w:link w:val="73"/>
    <w:qFormat/>
    <w:uiPriority w:val="0"/>
    <w:rPr>
      <w:sz w:val="28"/>
    </w:rPr>
  </w:style>
  <w:style w:type="character" w:customStyle="1" w:styleId="347">
    <w:name w:val="签名 Char1"/>
    <w:basedOn w:val="88"/>
    <w:link w:val="61"/>
    <w:qFormat/>
    <w:uiPriority w:val="0"/>
  </w:style>
  <w:style w:type="character" w:customStyle="1" w:styleId="348">
    <w:name w:val="正文文本 3 Char2"/>
    <w:basedOn w:val="88"/>
    <w:link w:val="36"/>
    <w:qFormat/>
    <w:uiPriority w:val="0"/>
    <w:rPr>
      <w:sz w:val="16"/>
    </w:rPr>
  </w:style>
  <w:style w:type="character" w:customStyle="1" w:styleId="349">
    <w:name w:val="副标题 Char2"/>
    <w:basedOn w:val="88"/>
    <w:link w:val="67"/>
    <w:qFormat/>
    <w:uiPriority w:val="0"/>
    <w:rPr>
      <w:rFonts w:ascii="Cambria" w:hAnsi="Cambria"/>
      <w:b/>
      <w:kern w:val="28"/>
      <w:sz w:val="32"/>
    </w:rPr>
  </w:style>
  <w:style w:type="character" w:customStyle="1" w:styleId="350">
    <w:name w:val="脚注文本 Char2"/>
    <w:basedOn w:val="88"/>
    <w:link w:val="70"/>
    <w:qFormat/>
    <w:uiPriority w:val="0"/>
    <w:rPr>
      <w:sz w:val="18"/>
    </w:rPr>
  </w:style>
  <w:style w:type="character" w:customStyle="1" w:styleId="351">
    <w:name w:val="信息标题 Char1"/>
    <w:basedOn w:val="88"/>
    <w:link w:val="82"/>
    <w:qFormat/>
    <w:uiPriority w:val="0"/>
    <w:rPr>
      <w:rFonts w:ascii="Arial" w:hAnsi="Arial"/>
      <w:sz w:val="24"/>
      <w:shd w:val="pct20" w:color="auto" w:fill="auto"/>
    </w:rPr>
  </w:style>
  <w:style w:type="character" w:customStyle="1" w:styleId="352">
    <w:name w:val="HTML 预设格式 Char3"/>
    <w:basedOn w:val="88"/>
    <w:link w:val="83"/>
    <w:qFormat/>
    <w:uiPriority w:val="0"/>
    <w:rPr>
      <w:rFonts w:ascii="黑体" w:hAnsi="Courier New" w:eastAsia="黑体"/>
    </w:rPr>
  </w:style>
  <w:style w:type="character" w:customStyle="1" w:styleId="353">
    <w:name w:val="批注主题 Char2"/>
    <w:basedOn w:val="345"/>
    <w:link w:val="15"/>
    <w:qFormat/>
    <w:uiPriority w:val="0"/>
    <w:rPr>
      <w:rFonts w:ascii="Calibri" w:hAnsi="Calibri" w:eastAsia="宋体" w:cs="Times New Roman"/>
      <w:b/>
      <w:sz w:val="28"/>
      <w:szCs w:val="20"/>
    </w:rPr>
  </w:style>
  <w:style w:type="paragraph" w:customStyle="1" w:styleId="354">
    <w:name w:val="表1"/>
    <w:basedOn w:val="1"/>
    <w:qFormat/>
    <w:uiPriority w:val="0"/>
    <w:pPr>
      <w:tabs>
        <w:tab w:val="left" w:pos="720"/>
        <w:tab w:val="left" w:pos="851"/>
      </w:tabs>
      <w:overflowPunct w:val="0"/>
      <w:autoSpaceDE w:val="0"/>
      <w:autoSpaceDN w:val="0"/>
      <w:adjustRightInd w:val="0"/>
      <w:spacing w:before="200" w:line="320" w:lineRule="atLeast"/>
      <w:ind w:firstLine="624"/>
      <w:textAlignment w:val="baseline"/>
    </w:pPr>
    <w:rPr>
      <w:kern w:val="0"/>
      <w:sz w:val="24"/>
    </w:rPr>
  </w:style>
  <w:style w:type="paragraph" w:customStyle="1" w:styleId="355">
    <w:name w:val="xl39"/>
    <w:basedOn w:val="1"/>
    <w:qFormat/>
    <w:uiPriority w:val="0"/>
    <w:pPr>
      <w:widowControl/>
      <w:pBdr>
        <w:bottom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56">
    <w:name w:val="6'"/>
    <w:basedOn w:val="1"/>
    <w:qFormat/>
    <w:uiPriority w:val="0"/>
    <w:pPr>
      <w:autoSpaceDE w:val="0"/>
      <w:autoSpaceDN w:val="0"/>
      <w:adjustRightInd w:val="0"/>
      <w:snapToGrid w:val="0"/>
      <w:spacing w:line="320" w:lineRule="exact"/>
      <w:textAlignment w:val="baseline"/>
    </w:pPr>
    <w:rPr>
      <w:spacing w:val="20"/>
      <w:kern w:val="28"/>
      <w:sz w:val="21"/>
    </w:rPr>
  </w:style>
  <w:style w:type="paragraph" w:customStyle="1" w:styleId="357">
    <w:name w:val="正文A"/>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358">
    <w:name w:val="三级条标题"/>
    <w:basedOn w:val="359"/>
    <w:next w:val="360"/>
    <w:qFormat/>
    <w:uiPriority w:val="0"/>
    <w:pPr>
      <w:tabs>
        <w:tab w:val="left" w:pos="360"/>
        <w:tab w:val="left" w:pos="720"/>
        <w:tab w:val="left" w:pos="3600"/>
      </w:tabs>
      <w:ind w:left="2100" w:hanging="420"/>
      <w:jc w:val="left"/>
      <w:outlineLvl w:val="4"/>
    </w:pPr>
    <w:rPr>
      <w:rFonts w:ascii="Times New Roman"/>
      <w:sz w:val="20"/>
    </w:rPr>
  </w:style>
  <w:style w:type="paragraph" w:customStyle="1" w:styleId="359">
    <w:name w:val="二级条标题"/>
    <w:basedOn w:val="1"/>
    <w:next w:val="360"/>
    <w:qFormat/>
    <w:uiPriority w:val="0"/>
    <w:pPr>
      <w:widowControl/>
      <w:tabs>
        <w:tab w:val="left" w:pos="360"/>
      </w:tabs>
      <w:outlineLvl w:val="3"/>
    </w:pPr>
    <w:rPr>
      <w:rFonts w:ascii="黑体" w:eastAsia="黑体"/>
      <w:kern w:val="0"/>
      <w:sz w:val="21"/>
    </w:rPr>
  </w:style>
  <w:style w:type="paragraph" w:customStyle="1" w:styleId="360">
    <w:name w:val="段"/>
    <w:qFormat/>
    <w:uiPriority w:val="0"/>
    <w:pPr>
      <w:ind w:firstLine="200" w:firstLineChars="200"/>
      <w:jc w:val="both"/>
    </w:pPr>
    <w:rPr>
      <w:rFonts w:ascii="宋体" w:hAnsi="Calibri" w:eastAsia="宋体" w:cs="Times New Roman"/>
      <w:sz w:val="21"/>
      <w:lang w:val="en-US" w:eastAsia="zh-CN" w:bidi="ar-SA"/>
    </w:rPr>
  </w:style>
  <w:style w:type="paragraph" w:customStyle="1" w:styleId="361">
    <w:name w:val="reader-word-layer"/>
    <w:basedOn w:val="1"/>
    <w:qFormat/>
    <w:uiPriority w:val="0"/>
    <w:pPr>
      <w:widowControl/>
      <w:spacing w:before="100" w:beforeAutospacing="1" w:after="100" w:afterAutospacing="1"/>
      <w:jc w:val="left"/>
    </w:pPr>
    <w:rPr>
      <w:rFonts w:ascii="宋体" w:hAnsi="宋体"/>
      <w:kern w:val="0"/>
      <w:sz w:val="24"/>
    </w:rPr>
  </w:style>
  <w:style w:type="paragraph" w:customStyle="1" w:styleId="362">
    <w:name w:val="样式 居中"/>
    <w:basedOn w:val="1"/>
    <w:qFormat/>
    <w:uiPriority w:val="0"/>
    <w:pPr>
      <w:spacing w:line="360" w:lineRule="auto"/>
      <w:jc w:val="center"/>
    </w:pPr>
    <w:rPr>
      <w:sz w:val="21"/>
    </w:rPr>
  </w:style>
  <w:style w:type="paragraph" w:customStyle="1" w:styleId="363">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4">
    <w:name w:val="正文文本缩进1"/>
    <w:basedOn w:val="1"/>
    <w:qFormat/>
    <w:uiPriority w:val="0"/>
    <w:pPr>
      <w:spacing w:after="120"/>
      <w:ind w:left="420" w:leftChars="200"/>
    </w:pPr>
    <w:rPr>
      <w:sz w:val="21"/>
    </w:rPr>
  </w:style>
  <w:style w:type="paragraph" w:customStyle="1" w:styleId="365">
    <w:name w:val="编号列项（三级）"/>
    <w:qFormat/>
    <w:uiPriority w:val="0"/>
    <w:pPr>
      <w:ind w:left="800" w:leftChars="600" w:hanging="200" w:hangingChars="200"/>
    </w:pPr>
    <w:rPr>
      <w:rFonts w:ascii="宋体" w:hAnsi="Calibri" w:eastAsia="宋体" w:cs="Times New Roman"/>
      <w:lang w:val="en-US" w:eastAsia="zh-CN" w:bidi="ar-SA"/>
    </w:rPr>
  </w:style>
  <w:style w:type="paragraph" w:customStyle="1" w:styleId="366">
    <w:name w:val="正文文本缩进 21"/>
    <w:basedOn w:val="1"/>
    <w:qFormat/>
    <w:uiPriority w:val="0"/>
    <w:pPr>
      <w:adjustRightInd w:val="0"/>
      <w:spacing w:line="400" w:lineRule="atLeast"/>
      <w:ind w:firstLine="540"/>
      <w:textAlignment w:val="baseline"/>
    </w:pPr>
    <w:rPr>
      <w:rFonts w:ascii="宋体"/>
      <w:kern w:val="0"/>
      <w:sz w:val="24"/>
    </w:rPr>
  </w:style>
  <w:style w:type="paragraph" w:customStyle="1" w:styleId="367">
    <w:name w:val="封面标准名称"/>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368">
    <w:name w:val="表名A"/>
    <w:basedOn w:val="1"/>
    <w:qFormat/>
    <w:uiPriority w:val="0"/>
    <w:pPr>
      <w:widowControl/>
      <w:tabs>
        <w:tab w:val="left" w:pos="0"/>
      </w:tabs>
      <w:adjustRightInd w:val="0"/>
      <w:snapToGrid w:val="0"/>
      <w:spacing w:beforeLines="80" w:afterLines="20"/>
    </w:pPr>
    <w:rPr>
      <w:b/>
      <w:snapToGrid w:val="0"/>
      <w:kern w:val="0"/>
      <w:sz w:val="21"/>
    </w:rPr>
  </w:style>
  <w:style w:type="paragraph" w:customStyle="1" w:styleId="369">
    <w:name w:val="样式 正文（首行缩进两字） + 首行缩进:  2 字符"/>
    <w:basedOn w:val="7"/>
    <w:qFormat/>
    <w:uiPriority w:val="0"/>
    <w:pPr>
      <w:widowControl w:val="0"/>
      <w:autoSpaceDE w:val="0"/>
      <w:autoSpaceDN w:val="0"/>
      <w:adjustRightInd w:val="0"/>
      <w:spacing w:line="460" w:lineRule="exact"/>
      <w:ind w:firstLine="536"/>
    </w:pPr>
    <w:rPr>
      <w:rFonts w:hint="eastAsia" w:ascii="宋体"/>
      <w:spacing w:val="6"/>
      <w:kern w:val="24"/>
    </w:rPr>
  </w:style>
  <w:style w:type="paragraph" w:customStyle="1" w:styleId="370">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71">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2">
    <w:name w:val="xl5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FF0000"/>
      <w:kern w:val="0"/>
      <w:sz w:val="20"/>
    </w:rPr>
  </w:style>
  <w:style w:type="paragraph" w:customStyle="1" w:styleId="373">
    <w:name w:val="文档结构图1"/>
    <w:basedOn w:val="1"/>
    <w:qFormat/>
    <w:uiPriority w:val="0"/>
    <w:pPr>
      <w:shd w:val="clear" w:color="auto" w:fill="000080"/>
    </w:pPr>
    <w:rPr>
      <w:kern w:val="0"/>
      <w:sz w:val="20"/>
      <w:shd w:val="clear" w:color="auto" w:fill="000080"/>
    </w:rPr>
  </w:style>
  <w:style w:type="paragraph" w:customStyle="1" w:styleId="374">
    <w:name w:val="简单回函地址"/>
    <w:basedOn w:val="1"/>
    <w:qFormat/>
    <w:uiPriority w:val="0"/>
    <w:pPr>
      <w:adjustRightInd w:val="0"/>
      <w:spacing w:line="312" w:lineRule="atLeast"/>
      <w:textAlignment w:val="baseline"/>
    </w:pPr>
    <w:rPr>
      <w:kern w:val="0"/>
      <w:sz w:val="21"/>
    </w:rPr>
  </w:style>
  <w:style w:type="paragraph" w:customStyle="1" w:styleId="375">
    <w:name w:val="Char Char Char Char Char Char3 Char Char Char Char Char Char Char"/>
    <w:basedOn w:val="1"/>
    <w:next w:val="1"/>
    <w:qFormat/>
    <w:uiPriority w:val="0"/>
    <w:rPr>
      <w:rFonts w:eastAsia="黑体"/>
    </w:rPr>
  </w:style>
  <w:style w:type="paragraph" w:customStyle="1" w:styleId="376">
    <w:name w:val="彩色列表 - 强调文字颜色 11"/>
    <w:basedOn w:val="1"/>
    <w:qFormat/>
    <w:uiPriority w:val="0"/>
    <w:pPr>
      <w:spacing w:before="100" w:beforeAutospacing="1" w:after="100" w:afterAutospacing="1" w:line="300" w:lineRule="auto"/>
      <w:ind w:firstLine="420" w:firstLineChars="200"/>
    </w:pPr>
    <w:rPr>
      <w:sz w:val="21"/>
    </w:rPr>
  </w:style>
  <w:style w:type="paragraph" w:customStyle="1" w:styleId="377">
    <w:name w:val="0"/>
    <w:basedOn w:val="1"/>
    <w:qFormat/>
    <w:uiPriority w:val="0"/>
    <w:pPr>
      <w:widowControl/>
    </w:pPr>
    <w:rPr>
      <w:kern w:val="0"/>
      <w:sz w:val="21"/>
    </w:rPr>
  </w:style>
  <w:style w:type="paragraph" w:customStyle="1" w:styleId="378">
    <w:name w:val="正文21"/>
    <w:basedOn w:val="1"/>
    <w:qFormat/>
    <w:uiPriority w:val="0"/>
    <w:pPr>
      <w:adjustRightInd w:val="0"/>
      <w:spacing w:line="420" w:lineRule="atLeast"/>
      <w:textAlignment w:val="baseline"/>
    </w:pPr>
    <w:rPr>
      <w:kern w:val="0"/>
      <w:sz w:val="21"/>
    </w:rPr>
  </w:style>
  <w:style w:type="paragraph" w:customStyle="1" w:styleId="379">
    <w:name w:val="标准书脚_偶数页"/>
    <w:qFormat/>
    <w:uiPriority w:val="0"/>
    <w:pPr>
      <w:spacing w:before="120"/>
    </w:pPr>
    <w:rPr>
      <w:rFonts w:ascii="Calibri" w:hAnsi="Calibri" w:eastAsia="宋体" w:cs="Times New Roman"/>
      <w:sz w:val="18"/>
      <w:lang w:val="en-US" w:eastAsia="zh-CN" w:bidi="ar-SA"/>
    </w:rPr>
  </w:style>
  <w:style w:type="paragraph" w:customStyle="1" w:styleId="380">
    <w:name w:val="目次、索引正文"/>
    <w:qFormat/>
    <w:uiPriority w:val="0"/>
    <w:pPr>
      <w:spacing w:line="320" w:lineRule="exact"/>
      <w:jc w:val="both"/>
    </w:pPr>
    <w:rPr>
      <w:rFonts w:ascii="宋体" w:hAnsi="Calibri" w:eastAsia="宋体" w:cs="Times New Roman"/>
      <w:lang w:val="en-US" w:eastAsia="zh-CN" w:bidi="ar-SA"/>
    </w:rPr>
  </w:style>
  <w:style w:type="paragraph" w:customStyle="1" w:styleId="381">
    <w:name w:val="网格表 31"/>
    <w:basedOn w:val="3"/>
    <w:next w:val="1"/>
    <w:qFormat/>
    <w:uiPriority w:val="0"/>
    <w:pPr>
      <w:keepLines/>
      <w:spacing w:before="480" w:line="276" w:lineRule="auto"/>
      <w:jc w:val="left"/>
      <w:outlineLvl w:val="9"/>
    </w:pPr>
    <w:rPr>
      <w:rFonts w:ascii="Cambria" w:hAnsi="Cambria"/>
      <w:color w:val="365F91"/>
      <w:sz w:val="28"/>
    </w:rPr>
  </w:style>
  <w:style w:type="character" w:customStyle="1" w:styleId="382">
    <w:name w:val="z-窗体底端 Char1"/>
    <w:basedOn w:val="88"/>
    <w:link w:val="216"/>
    <w:qFormat/>
    <w:uiPriority w:val="0"/>
    <w:rPr>
      <w:rFonts w:ascii="Arial" w:hAnsi="Arial"/>
      <w:vanish/>
      <w:sz w:val="16"/>
    </w:rPr>
  </w:style>
  <w:style w:type="paragraph" w:customStyle="1" w:styleId="383">
    <w:name w:val="正文表标题"/>
    <w:next w:val="360"/>
    <w:qFormat/>
    <w:uiPriority w:val="0"/>
    <w:pPr>
      <w:jc w:val="center"/>
    </w:pPr>
    <w:rPr>
      <w:rFonts w:ascii="黑体" w:hAnsi="Calibri" w:eastAsia="黑体" w:cs="Times New Roman"/>
      <w:sz w:val="21"/>
      <w:lang w:val="en-US" w:eastAsia="zh-CN" w:bidi="ar-SA"/>
    </w:rPr>
  </w:style>
  <w:style w:type="paragraph" w:customStyle="1" w:styleId="384">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u w:color="000000"/>
    </w:rPr>
  </w:style>
  <w:style w:type="paragraph" w:customStyle="1" w:styleId="385">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386">
    <w:name w:val="网格表 32"/>
    <w:basedOn w:val="3"/>
    <w:next w:val="1"/>
    <w:qFormat/>
    <w:uiPriority w:val="0"/>
    <w:pPr>
      <w:keepLines/>
      <w:spacing w:before="480" w:line="276" w:lineRule="auto"/>
      <w:jc w:val="left"/>
      <w:outlineLvl w:val="9"/>
    </w:pPr>
    <w:rPr>
      <w:rFonts w:ascii="等线 Light" w:hAnsi="等线 Light" w:eastAsia="等线 Light"/>
      <w:color w:val="2E74B5"/>
      <w:sz w:val="28"/>
    </w:rPr>
  </w:style>
  <w:style w:type="paragraph" w:customStyle="1" w:styleId="387">
    <w:name w:val="四级条标题"/>
    <w:basedOn w:val="358"/>
    <w:next w:val="360"/>
    <w:qFormat/>
    <w:uiPriority w:val="0"/>
    <w:pPr>
      <w:ind w:left="0" w:firstLine="0"/>
      <w:outlineLvl w:val="5"/>
    </w:pPr>
  </w:style>
  <w:style w:type="paragraph" w:customStyle="1" w:styleId="388">
    <w:name w:val="xl5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18"/>
    </w:rPr>
  </w:style>
  <w:style w:type="paragraph" w:customStyle="1" w:styleId="389">
    <w:name w:val="font8"/>
    <w:basedOn w:val="1"/>
    <w:qFormat/>
    <w:uiPriority w:val="0"/>
    <w:pPr>
      <w:widowControl/>
      <w:spacing w:before="100" w:beforeAutospacing="1" w:after="100" w:afterAutospacing="1"/>
    </w:pPr>
    <w:rPr>
      <w:rFonts w:eastAsia="Arial Unicode MS"/>
      <w:kern w:val="0"/>
      <w:sz w:val="24"/>
    </w:rPr>
  </w:style>
  <w:style w:type="paragraph" w:customStyle="1" w:styleId="390">
    <w:name w:val="xl2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91">
    <w:name w:val="彩色列表 - 着色 11"/>
    <w:basedOn w:val="1"/>
    <w:qFormat/>
    <w:uiPriority w:val="0"/>
    <w:pPr>
      <w:widowControl/>
      <w:ind w:firstLine="420" w:firstLineChars="200"/>
      <w:jc w:val="left"/>
    </w:pPr>
    <w:rPr>
      <w:rFonts w:ascii="宋体" w:hAnsi="宋体"/>
      <w:kern w:val="0"/>
      <w:sz w:val="24"/>
    </w:rPr>
  </w:style>
  <w:style w:type="paragraph" w:customStyle="1" w:styleId="392">
    <w:name w:val="Char Char20"/>
    <w:basedOn w:val="1"/>
    <w:qFormat/>
    <w:uiPriority w:val="0"/>
    <w:pPr>
      <w:snapToGrid w:val="0"/>
      <w:spacing w:afterLines="30" w:line="360" w:lineRule="auto"/>
      <w:ind w:firstLine="200" w:firstLineChars="200"/>
    </w:pPr>
    <w:rPr>
      <w:sz w:val="21"/>
    </w:rPr>
  </w:style>
  <w:style w:type="paragraph" w:customStyle="1" w:styleId="393">
    <w:name w:val="附录一级条标题"/>
    <w:basedOn w:val="394"/>
    <w:next w:val="360"/>
    <w:qFormat/>
    <w:uiPriority w:val="0"/>
    <w:pPr>
      <w:tabs>
        <w:tab w:val="left" w:pos="720"/>
        <w:tab w:val="left" w:pos="840"/>
        <w:tab w:val="left" w:pos="1440"/>
      </w:tabs>
      <w:autoSpaceDN w:val="0"/>
      <w:ind w:left="0" w:firstLine="0"/>
      <w:outlineLvl w:val="2"/>
    </w:pPr>
  </w:style>
  <w:style w:type="paragraph" w:customStyle="1" w:styleId="394">
    <w:name w:val="附录章标题"/>
    <w:next w:val="360"/>
    <w:qFormat/>
    <w:uiPriority w:val="0"/>
    <w:pPr>
      <w:tabs>
        <w:tab w:val="left" w:pos="720"/>
        <w:tab w:val="left" w:pos="1440"/>
      </w:tabs>
      <w:wordWrap w:val="0"/>
      <w:overflowPunct w:val="0"/>
      <w:autoSpaceDE w:val="0"/>
      <w:spacing w:beforeLines="50" w:afterLines="50"/>
      <w:ind w:left="840" w:hanging="420"/>
      <w:jc w:val="both"/>
      <w:textAlignment w:val="baseline"/>
      <w:outlineLvl w:val="1"/>
    </w:pPr>
    <w:rPr>
      <w:rFonts w:ascii="黑体" w:hAnsi="Calibri" w:eastAsia="黑体" w:cs="Times New Roman"/>
      <w:kern w:val="21"/>
      <w:lang w:val="en-US" w:eastAsia="zh-CN" w:bidi="ar-SA"/>
    </w:rPr>
  </w:style>
  <w:style w:type="paragraph" w:customStyle="1" w:styleId="395">
    <w:name w:val="表格3"/>
    <w:basedOn w:val="1"/>
    <w:qFormat/>
    <w:uiPriority w:val="0"/>
    <w:pPr>
      <w:adjustRightInd w:val="0"/>
      <w:spacing w:line="420" w:lineRule="atLeast"/>
      <w:textAlignment w:val="baseline"/>
    </w:pPr>
    <w:rPr>
      <w:rFonts w:eastAsia="楷体"/>
      <w:kern w:val="0"/>
      <w:sz w:val="21"/>
    </w:rPr>
  </w:style>
  <w:style w:type="paragraph" w:customStyle="1" w:styleId="396">
    <w:name w:val="样式 一号 加粗 居中"/>
    <w:basedOn w:val="1"/>
    <w:qFormat/>
    <w:uiPriority w:val="0"/>
    <w:pPr>
      <w:jc w:val="center"/>
    </w:pPr>
    <w:rPr>
      <w:sz w:val="52"/>
    </w:rPr>
  </w:style>
  <w:style w:type="paragraph" w:customStyle="1" w:styleId="397">
    <w:name w:val="xl26"/>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kern w:val="0"/>
      <w:sz w:val="24"/>
    </w:rPr>
  </w:style>
  <w:style w:type="paragraph" w:customStyle="1" w:styleId="398">
    <w:name w:val="字母编号列项（一级）"/>
    <w:qFormat/>
    <w:uiPriority w:val="0"/>
    <w:pPr>
      <w:ind w:left="840" w:leftChars="200" w:hanging="420" w:hangingChars="200"/>
      <w:jc w:val="both"/>
    </w:pPr>
    <w:rPr>
      <w:rFonts w:ascii="宋体" w:hAnsi="Calibri" w:eastAsia="宋体" w:cs="Times New Roman"/>
      <w:lang w:val="en-US" w:eastAsia="zh-CN" w:bidi="ar-SA"/>
    </w:rPr>
  </w:style>
  <w:style w:type="paragraph" w:customStyle="1" w:styleId="399">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400">
    <w:name w:val="表格文字居中"/>
    <w:basedOn w:val="1"/>
    <w:qFormat/>
    <w:uiPriority w:val="0"/>
    <w:pPr>
      <w:adjustRightInd w:val="0"/>
      <w:snapToGrid w:val="0"/>
      <w:textAlignment w:val="center"/>
    </w:pPr>
    <w:rPr>
      <w:rFonts w:ascii="宋体"/>
      <w:snapToGrid w:val="0"/>
      <w:spacing w:val="12"/>
      <w:kern w:val="0"/>
      <w:sz w:val="21"/>
    </w:rPr>
  </w:style>
  <w:style w:type="paragraph" w:customStyle="1" w:styleId="401">
    <w:name w:val="p0"/>
    <w:basedOn w:val="1"/>
    <w:qFormat/>
    <w:uiPriority w:val="0"/>
    <w:pPr>
      <w:widowControl/>
      <w:spacing w:before="100" w:beforeAutospacing="1" w:after="100" w:afterAutospacing="1"/>
      <w:jc w:val="left"/>
    </w:pPr>
    <w:rPr>
      <w:rFonts w:ascii="宋体" w:hAnsi="宋体"/>
      <w:kern w:val="0"/>
      <w:sz w:val="24"/>
    </w:rPr>
  </w:style>
  <w:style w:type="paragraph" w:customStyle="1" w:styleId="402">
    <w:name w:val="正文缩进2"/>
    <w:basedOn w:val="1"/>
    <w:qFormat/>
    <w:uiPriority w:val="0"/>
    <w:pPr>
      <w:ind w:firstLine="420"/>
    </w:pPr>
    <w:rPr>
      <w:sz w:val="21"/>
    </w:rPr>
  </w:style>
  <w:style w:type="paragraph" w:customStyle="1" w:styleId="403">
    <w:name w:val="表头"/>
    <w:basedOn w:val="404"/>
    <w:qFormat/>
    <w:uiPriority w:val="0"/>
    <w:pPr>
      <w:spacing w:before="120" w:after="60"/>
    </w:pPr>
    <w:rPr>
      <w:rFonts w:ascii="黑体" w:eastAsia="黑体"/>
      <w:b/>
    </w:rPr>
  </w:style>
  <w:style w:type="paragraph" w:customStyle="1" w:styleId="404">
    <w:name w:val="表格方字"/>
    <w:basedOn w:val="1"/>
    <w:qFormat/>
    <w:uiPriority w:val="0"/>
    <w:pPr>
      <w:adjustRightInd w:val="0"/>
      <w:spacing w:line="420" w:lineRule="atLeast"/>
      <w:textAlignment w:val="baseline"/>
    </w:pPr>
    <w:rPr>
      <w:kern w:val="0"/>
      <w:sz w:val="21"/>
    </w:rPr>
  </w:style>
  <w:style w:type="paragraph" w:customStyle="1" w:styleId="405">
    <w:name w:val="正文段"/>
    <w:basedOn w:val="1"/>
    <w:qFormat/>
    <w:uiPriority w:val="0"/>
    <w:pPr>
      <w:widowControl/>
      <w:snapToGrid w:val="0"/>
      <w:spacing w:afterLines="50"/>
      <w:ind w:firstLine="200" w:firstLineChars="200"/>
    </w:pPr>
    <w:rPr>
      <w:kern w:val="0"/>
      <w:sz w:val="24"/>
    </w:rPr>
  </w:style>
  <w:style w:type="paragraph" w:customStyle="1" w:styleId="406">
    <w:name w:val="正文A Char Char Char"/>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407">
    <w:name w:val="列项●（二级）"/>
    <w:qFormat/>
    <w:uiPriority w:val="0"/>
    <w:pPr>
      <w:tabs>
        <w:tab w:val="left" w:pos="720"/>
        <w:tab w:val="left" w:pos="760"/>
        <w:tab w:val="left" w:pos="840"/>
      </w:tabs>
      <w:ind w:left="600" w:leftChars="400" w:hanging="200" w:hangingChars="200"/>
      <w:jc w:val="both"/>
    </w:pPr>
    <w:rPr>
      <w:rFonts w:ascii="宋体" w:hAnsi="Calibri" w:eastAsia="宋体" w:cs="Times New Roman"/>
      <w:lang w:val="en-US" w:eastAsia="zh-CN" w:bidi="ar-SA"/>
    </w:rPr>
  </w:style>
  <w:style w:type="paragraph" w:customStyle="1" w:styleId="408">
    <w:name w:val="xl560"/>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09">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410">
    <w:name w:val="xl557"/>
    <w:basedOn w:val="1"/>
    <w:qFormat/>
    <w:uiPriority w:val="0"/>
    <w:pPr>
      <w:widowControl/>
      <w:spacing w:before="100" w:beforeAutospacing="1" w:after="100" w:afterAutospacing="1"/>
      <w:jc w:val="left"/>
    </w:pPr>
    <w:rPr>
      <w:rFonts w:ascii="宋体" w:hAnsi="宋体"/>
      <w:color w:val="FF0000"/>
      <w:kern w:val="0"/>
      <w:sz w:val="20"/>
    </w:rPr>
  </w:style>
  <w:style w:type="paragraph" w:customStyle="1" w:styleId="411">
    <w:name w:val="1"/>
    <w:basedOn w:val="1"/>
    <w:qFormat/>
    <w:uiPriority w:val="0"/>
    <w:pPr>
      <w:adjustRightInd w:val="0"/>
      <w:spacing w:before="360" w:after="240" w:line="420" w:lineRule="atLeast"/>
      <w:ind w:firstLine="454"/>
      <w:textAlignment w:val="baseline"/>
    </w:pPr>
    <w:rPr>
      <w:b/>
      <w:kern w:val="0"/>
      <w:sz w:val="21"/>
    </w:rPr>
  </w:style>
  <w:style w:type="paragraph" w:customStyle="1" w:styleId="412">
    <w:name w:val="附录四级条标题"/>
    <w:basedOn w:val="413"/>
    <w:next w:val="360"/>
    <w:qFormat/>
    <w:uiPriority w:val="0"/>
    <w:pPr>
      <w:tabs>
        <w:tab w:val="left" w:pos="720"/>
        <w:tab w:val="left" w:pos="840"/>
        <w:tab w:val="left" w:pos="1440"/>
      </w:tabs>
      <w:outlineLvl w:val="5"/>
    </w:pPr>
  </w:style>
  <w:style w:type="paragraph" w:customStyle="1" w:styleId="413">
    <w:name w:val="附录三级条标题"/>
    <w:basedOn w:val="414"/>
    <w:next w:val="360"/>
    <w:qFormat/>
    <w:uiPriority w:val="0"/>
    <w:pPr>
      <w:tabs>
        <w:tab w:val="left" w:pos="720"/>
        <w:tab w:val="left" w:pos="840"/>
        <w:tab w:val="left" w:pos="1440"/>
      </w:tabs>
      <w:outlineLvl w:val="4"/>
    </w:pPr>
  </w:style>
  <w:style w:type="paragraph" w:customStyle="1" w:styleId="414">
    <w:name w:val="附录二级条标题"/>
    <w:basedOn w:val="393"/>
    <w:next w:val="360"/>
    <w:qFormat/>
    <w:uiPriority w:val="0"/>
    <w:pPr>
      <w:outlineLvl w:val="3"/>
    </w:pPr>
  </w:style>
  <w:style w:type="paragraph" w:customStyle="1" w:styleId="415">
    <w:name w:val="引文目录标题1"/>
    <w:basedOn w:val="1"/>
    <w:next w:val="1"/>
    <w:qFormat/>
    <w:uiPriority w:val="0"/>
    <w:pPr>
      <w:spacing w:before="120"/>
    </w:pPr>
    <w:rPr>
      <w:rFonts w:ascii="Arial" w:hAnsi="Arial"/>
      <w:sz w:val="24"/>
    </w:rPr>
  </w:style>
  <w:style w:type="paragraph" w:customStyle="1" w:styleId="416">
    <w:name w:val="Char Char Char Char Char Char Char Char Char"/>
    <w:basedOn w:val="1"/>
    <w:qFormat/>
    <w:uiPriority w:val="0"/>
    <w:pPr>
      <w:widowControl/>
      <w:spacing w:after="160" w:line="240" w:lineRule="exact"/>
      <w:jc w:val="left"/>
    </w:pPr>
    <w:rPr>
      <w:sz w:val="21"/>
    </w:rPr>
  </w:style>
  <w:style w:type="paragraph" w:customStyle="1" w:styleId="417">
    <w:name w:val="默认段落字体 Para Char Char Char Char"/>
    <w:basedOn w:val="1"/>
    <w:qFormat/>
    <w:uiPriority w:val="0"/>
    <w:pPr>
      <w:spacing w:line="360" w:lineRule="auto"/>
      <w:ind w:firstLine="200" w:firstLineChars="200"/>
    </w:pPr>
    <w:rPr>
      <w:rFonts w:ascii="宋体" w:hAnsi="宋体"/>
      <w:sz w:val="24"/>
    </w:rPr>
  </w:style>
  <w:style w:type="paragraph" w:customStyle="1" w:styleId="418">
    <w:name w:val="Char Char Char1 Char"/>
    <w:basedOn w:val="1"/>
    <w:next w:val="1"/>
    <w:qFormat/>
    <w:uiPriority w:val="0"/>
    <w:rPr>
      <w:sz w:val="21"/>
    </w:rPr>
  </w:style>
  <w:style w:type="paragraph" w:customStyle="1" w:styleId="419">
    <w:name w:val="列出段落3"/>
    <w:basedOn w:val="1"/>
    <w:qFormat/>
    <w:uiPriority w:val="0"/>
    <w:pPr>
      <w:spacing w:before="100" w:beforeAutospacing="1" w:after="100" w:afterAutospacing="1" w:line="300" w:lineRule="auto"/>
      <w:ind w:firstLine="420" w:firstLineChars="200"/>
    </w:pPr>
    <w:rPr>
      <w:sz w:val="21"/>
    </w:rPr>
  </w:style>
  <w:style w:type="paragraph" w:customStyle="1" w:styleId="42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kern w:val="0"/>
      <w:sz w:val="24"/>
    </w:rPr>
  </w:style>
  <w:style w:type="paragraph" w:customStyle="1" w:styleId="421">
    <w:name w:val="实施日期"/>
    <w:basedOn w:val="422"/>
    <w:qFormat/>
    <w:uiPriority w:val="0"/>
    <w:pPr>
      <w:jc w:val="right"/>
    </w:pPr>
  </w:style>
  <w:style w:type="paragraph" w:customStyle="1" w:styleId="422">
    <w:name w:val="发布日期"/>
    <w:qFormat/>
    <w:uiPriority w:val="0"/>
    <w:rPr>
      <w:rFonts w:ascii="Calibri" w:hAnsi="Calibri" w:eastAsia="黑体" w:cs="Times New Roman"/>
      <w:sz w:val="28"/>
      <w:lang w:val="en-US" w:eastAsia="zh-CN" w:bidi="ar-SA"/>
    </w:rPr>
  </w:style>
  <w:style w:type="paragraph" w:customStyle="1" w:styleId="423">
    <w:name w:val="一般格式"/>
    <w:basedOn w:val="1"/>
    <w:qFormat/>
    <w:uiPriority w:val="0"/>
    <w:pPr>
      <w:spacing w:line="360" w:lineRule="auto"/>
      <w:ind w:firstLine="200" w:firstLineChars="200"/>
    </w:pPr>
    <w:rPr>
      <w:sz w:val="24"/>
    </w:rPr>
  </w:style>
  <w:style w:type="paragraph" w:customStyle="1" w:styleId="424">
    <w:name w:val="附录图标题"/>
    <w:next w:val="360"/>
    <w:qFormat/>
    <w:uiPriority w:val="0"/>
    <w:pPr>
      <w:tabs>
        <w:tab w:val="left" w:pos="360"/>
      </w:tabs>
      <w:jc w:val="center"/>
    </w:pPr>
    <w:rPr>
      <w:rFonts w:ascii="黑体" w:hAnsi="Calibri" w:eastAsia="黑体" w:cs="Times New Roman"/>
      <w:sz w:val="21"/>
      <w:lang w:val="en-US" w:eastAsia="zh-CN" w:bidi="ar-SA"/>
    </w:rPr>
  </w:style>
  <w:style w:type="paragraph" w:customStyle="1" w:styleId="425">
    <w:name w:val="1.4"/>
    <w:basedOn w:val="1"/>
    <w:qFormat/>
    <w:uiPriority w:val="0"/>
    <w:pPr>
      <w:widowControl/>
      <w:spacing w:line="288" w:lineRule="auto"/>
      <w:ind w:left="3" w:firstLine="503"/>
    </w:pPr>
    <w:rPr>
      <w:rFonts w:ascii="宋体" w:hAnsi="宋体"/>
      <w:kern w:val="0"/>
      <w:sz w:val="24"/>
    </w:rPr>
  </w:style>
  <w:style w:type="paragraph" w:customStyle="1" w:styleId="426">
    <w:name w:val="正文3"/>
    <w:qFormat/>
    <w:uiPriority w:val="0"/>
    <w:pPr>
      <w:widowControl w:val="0"/>
      <w:adjustRightInd w:val="0"/>
      <w:spacing w:line="360" w:lineRule="atLeast"/>
      <w:textAlignment w:val="baseline"/>
    </w:pPr>
    <w:rPr>
      <w:rFonts w:ascii="宋体" w:hAnsi="Calibri" w:eastAsia="宋体" w:cs="Times New Roman"/>
      <w:sz w:val="34"/>
      <w:lang w:val="en-US" w:eastAsia="zh-CN" w:bidi="ar-SA"/>
    </w:rPr>
  </w:style>
  <w:style w:type="paragraph" w:customStyle="1" w:styleId="427">
    <w:name w:val="p17"/>
    <w:basedOn w:val="1"/>
    <w:qFormat/>
    <w:uiPriority w:val="0"/>
    <w:pPr>
      <w:widowControl/>
      <w:spacing w:before="100" w:after="100" w:line="432" w:lineRule="auto"/>
      <w:jc w:val="left"/>
    </w:pPr>
    <w:rPr>
      <w:rFonts w:ascii="宋体" w:hAnsi="宋体"/>
      <w:kern w:val="0"/>
      <w:sz w:val="27"/>
    </w:rPr>
  </w:style>
  <w:style w:type="paragraph" w:customStyle="1" w:styleId="428">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429">
    <w:name w:val="xl2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430">
    <w:name w:val="xl5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31">
    <w:name w:val="正文缩进3"/>
    <w:basedOn w:val="1"/>
    <w:qFormat/>
    <w:uiPriority w:val="0"/>
    <w:pPr>
      <w:ind w:firstLine="420"/>
    </w:pPr>
    <w:rPr>
      <w:sz w:val="21"/>
    </w:rPr>
  </w:style>
  <w:style w:type="paragraph" w:customStyle="1" w:styleId="432">
    <w:name w:val="五级条标题"/>
    <w:basedOn w:val="387"/>
    <w:next w:val="360"/>
    <w:qFormat/>
    <w:uiPriority w:val="0"/>
    <w:pPr>
      <w:outlineLvl w:val="6"/>
    </w:pPr>
  </w:style>
  <w:style w:type="paragraph" w:customStyle="1" w:styleId="433">
    <w:name w:val="正文文本 31"/>
    <w:basedOn w:val="1"/>
    <w:qFormat/>
    <w:uiPriority w:val="0"/>
    <w:rPr>
      <w:rFonts w:eastAsia="隶书"/>
      <w:kern w:val="0"/>
      <w:sz w:val="24"/>
    </w:rPr>
  </w:style>
  <w:style w:type="paragraph" w:customStyle="1" w:styleId="434">
    <w:name w:val="杭州页脚"/>
    <w:basedOn w:val="1"/>
    <w:qFormat/>
    <w:uiPriority w:val="0"/>
    <w:pPr>
      <w:tabs>
        <w:tab w:val="left" w:pos="340"/>
      </w:tabs>
      <w:adjustRightInd w:val="0"/>
      <w:snapToGrid w:val="0"/>
      <w:ind w:left="340" w:hanging="340"/>
    </w:pPr>
    <w:rPr>
      <w:rFonts w:eastAsia="HYKai U3HK"/>
      <w:sz w:val="20"/>
    </w:rPr>
  </w:style>
  <w:style w:type="paragraph" w:customStyle="1" w:styleId="435">
    <w:name w:val="xl38"/>
    <w:basedOn w:val="1"/>
    <w:qFormat/>
    <w:uiPriority w:val="0"/>
    <w:pPr>
      <w:widowControl/>
      <w:pBdr>
        <w:top w:val="single" w:color="auto" w:sz="4" w:space="0"/>
        <w:bottom w:val="single" w:color="auto" w:sz="8" w:space="0"/>
        <w:right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436">
    <w:name w:val="p16"/>
    <w:basedOn w:val="1"/>
    <w:qFormat/>
    <w:uiPriority w:val="0"/>
    <w:pPr>
      <w:widowControl/>
      <w:spacing w:before="100" w:beforeAutospacing="1" w:after="100" w:afterAutospacing="1"/>
      <w:jc w:val="left"/>
    </w:pPr>
    <w:rPr>
      <w:rFonts w:ascii="宋体" w:hAnsi="宋体"/>
      <w:kern w:val="0"/>
      <w:sz w:val="24"/>
    </w:rPr>
  </w:style>
  <w:style w:type="paragraph" w:customStyle="1" w:styleId="437">
    <w:name w:val="xl5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rPr>
  </w:style>
  <w:style w:type="paragraph" w:customStyle="1" w:styleId="438">
    <w:name w:val="Char Char Char"/>
    <w:basedOn w:val="1"/>
    <w:qFormat/>
    <w:uiPriority w:val="0"/>
    <w:pPr>
      <w:spacing w:line="360" w:lineRule="auto"/>
      <w:ind w:firstLine="200" w:firstLineChars="200"/>
    </w:pPr>
    <w:rPr>
      <w:rFonts w:ascii="宋体" w:hAnsi="宋体"/>
      <w:sz w:val="24"/>
    </w:rPr>
  </w:style>
  <w:style w:type="paragraph" w:customStyle="1" w:styleId="439">
    <w:name w:val="样式 标题 3 + (中文) 黑体 小四 非加粗 段前: 7.8 磅 段后: 0 磅 行距: 固定值 20 磅"/>
    <w:basedOn w:val="5"/>
    <w:qFormat/>
    <w:uiPriority w:val="0"/>
    <w:pPr>
      <w:widowControl w:val="0"/>
      <w:tabs>
        <w:tab w:val="clear" w:pos="720"/>
      </w:tabs>
      <w:spacing w:before="0" w:after="0" w:line="400" w:lineRule="exact"/>
      <w:ind w:left="0" w:firstLine="0"/>
      <w:jc w:val="both"/>
    </w:pPr>
    <w:rPr>
      <w:rFonts w:eastAsia="黑体"/>
      <w:b w:val="0"/>
      <w:kern w:val="2"/>
      <w:sz w:val="24"/>
    </w:rPr>
  </w:style>
  <w:style w:type="paragraph" w:customStyle="1" w:styleId="440">
    <w:name w:val="纯文本1"/>
    <w:basedOn w:val="1"/>
    <w:qFormat/>
    <w:uiPriority w:val="0"/>
    <w:pPr>
      <w:widowControl/>
      <w:jc w:val="left"/>
    </w:pPr>
    <w:rPr>
      <w:rFonts w:ascii="宋体" w:hAnsi="Courier New"/>
      <w:kern w:val="0"/>
      <w:sz w:val="20"/>
    </w:rPr>
  </w:style>
  <w:style w:type="paragraph" w:customStyle="1" w:styleId="441">
    <w:name w:val="列出段落1"/>
    <w:basedOn w:val="1"/>
    <w:qFormat/>
    <w:uiPriority w:val="0"/>
    <w:pPr>
      <w:ind w:firstLine="420" w:firstLineChars="200"/>
    </w:pPr>
    <w:rPr>
      <w:sz w:val="21"/>
    </w:rPr>
  </w:style>
  <w:style w:type="paragraph" w:customStyle="1" w:styleId="442">
    <w:name w:val="正文文本 21"/>
    <w:basedOn w:val="1"/>
    <w:qFormat/>
    <w:uiPriority w:val="0"/>
    <w:pPr>
      <w:adjustRightInd w:val="0"/>
      <w:spacing w:line="300" w:lineRule="auto"/>
      <w:jc w:val="center"/>
    </w:pPr>
    <w:rPr>
      <w:rFonts w:hint="eastAsia" w:ascii="宋体" w:hAnsi="宋体"/>
      <w:sz w:val="24"/>
    </w:rPr>
  </w:style>
  <w:style w:type="paragraph" w:customStyle="1" w:styleId="443">
    <w:name w:val="表格文字2"/>
    <w:basedOn w:val="1"/>
    <w:qFormat/>
    <w:uiPriority w:val="0"/>
    <w:rPr>
      <w:spacing w:val="-4"/>
      <w:sz w:val="24"/>
    </w:rPr>
  </w:style>
  <w:style w:type="paragraph" w:customStyle="1" w:styleId="444">
    <w:name w:val="图表左对齐"/>
    <w:basedOn w:val="1"/>
    <w:qFormat/>
    <w:uiPriority w:val="0"/>
    <w:pPr>
      <w:spacing w:line="360" w:lineRule="exact"/>
      <w:jc w:val="left"/>
    </w:pPr>
    <w:rPr>
      <w:spacing w:val="-10"/>
      <w:sz w:val="24"/>
    </w:rPr>
  </w:style>
  <w:style w:type="paragraph" w:customStyle="1" w:styleId="445">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446">
    <w:name w:val="样式 标题 2 + Times New Roman 四号 非加粗 段前: 5 磅 段后: 0 磅 行距: 固定值 20..."/>
    <w:basedOn w:val="4"/>
    <w:qFormat/>
    <w:uiPriority w:val="0"/>
    <w:pPr>
      <w:tabs>
        <w:tab w:val="clear" w:pos="706"/>
      </w:tabs>
      <w:spacing w:before="100" w:line="400" w:lineRule="exact"/>
      <w:ind w:left="0" w:firstLine="0"/>
    </w:pPr>
    <w:rPr>
      <w:rFonts w:ascii="Times New Roman" w:hAnsi="Times New Roman"/>
      <w:b w:val="0"/>
      <w:kern w:val="0"/>
      <w:sz w:val="28"/>
    </w:rPr>
  </w:style>
  <w:style w:type="paragraph" w:customStyle="1" w:styleId="447">
    <w:name w:val="Char Char Char Char Char Char Char"/>
    <w:basedOn w:val="1"/>
    <w:qFormat/>
    <w:uiPriority w:val="0"/>
    <w:pPr>
      <w:widowControl/>
      <w:spacing w:after="160" w:line="240" w:lineRule="exact"/>
      <w:jc w:val="left"/>
    </w:pPr>
    <w:rPr>
      <w:rFonts w:ascii="Verdana" w:hAnsi="Verdana" w:eastAsia="仿宋_GB2312"/>
      <w:kern w:val="0"/>
      <w:sz w:val="30"/>
      <w:lang w:eastAsia="en-US"/>
    </w:rPr>
  </w:style>
  <w:style w:type="paragraph" w:customStyle="1" w:styleId="448">
    <w:name w:val="正文1"/>
    <w:basedOn w:val="1"/>
    <w:qFormat/>
    <w:uiPriority w:val="0"/>
    <w:pPr>
      <w:autoSpaceDE w:val="0"/>
      <w:autoSpaceDN w:val="0"/>
      <w:adjustRightInd w:val="0"/>
      <w:spacing w:before="120" w:line="360" w:lineRule="auto"/>
      <w:ind w:left="1366" w:hanging="686"/>
      <w:textAlignment w:val="baseline"/>
    </w:pPr>
    <w:rPr>
      <w:sz w:val="21"/>
    </w:rPr>
  </w:style>
  <w:style w:type="paragraph" w:customStyle="1" w:styleId="449">
    <w:name w:val="前言、引言标题"/>
    <w:next w:val="1"/>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450">
    <w:name w:val="纯文本3"/>
    <w:basedOn w:val="1"/>
    <w:qFormat/>
    <w:uiPriority w:val="0"/>
    <w:pPr>
      <w:widowControl/>
      <w:jc w:val="left"/>
    </w:pPr>
    <w:rPr>
      <w:rFonts w:ascii="宋体" w:hAnsi="Courier New"/>
      <w:kern w:val="0"/>
      <w:sz w:val="20"/>
    </w:rPr>
  </w:style>
  <w:style w:type="paragraph" w:customStyle="1" w:styleId="451">
    <w:name w:val="表格6"/>
    <w:basedOn w:val="1"/>
    <w:qFormat/>
    <w:uiPriority w:val="0"/>
    <w:pPr>
      <w:adjustRightInd w:val="0"/>
      <w:spacing w:line="420" w:lineRule="atLeast"/>
      <w:ind w:left="737"/>
      <w:textAlignment w:val="baseline"/>
    </w:pPr>
    <w:rPr>
      <w:rFonts w:ascii="宋体"/>
      <w:kern w:val="0"/>
      <w:sz w:val="21"/>
    </w:rPr>
  </w:style>
  <w:style w:type="paragraph" w:customStyle="1" w:styleId="452">
    <w:name w:val="reader-word-layer reader-word-s1-8"/>
    <w:basedOn w:val="1"/>
    <w:qFormat/>
    <w:uiPriority w:val="0"/>
    <w:pPr>
      <w:widowControl/>
      <w:spacing w:before="100" w:beforeAutospacing="1" w:after="100" w:afterAutospacing="1"/>
      <w:jc w:val="left"/>
    </w:pPr>
    <w:rPr>
      <w:rFonts w:ascii="宋体" w:hAnsi="宋体"/>
      <w:kern w:val="0"/>
      <w:sz w:val="24"/>
    </w:rPr>
  </w:style>
  <w:style w:type="paragraph" w:customStyle="1" w:styleId="453">
    <w:name w:val="默认段落字体 Para Char Char Char Char Char Char Char Char Char Char Char Char Char"/>
    <w:basedOn w:val="1"/>
    <w:qFormat/>
    <w:uiPriority w:val="0"/>
    <w:rPr>
      <w:sz w:val="21"/>
    </w:rPr>
  </w:style>
  <w:style w:type="paragraph" w:customStyle="1" w:styleId="454">
    <w:name w:val="修订1"/>
    <w:qFormat/>
    <w:uiPriority w:val="0"/>
    <w:rPr>
      <w:rFonts w:ascii="宋体" w:hAnsi="Calibri" w:eastAsia="宋体" w:cs="Times New Roman"/>
      <w:kern w:val="2"/>
      <w:sz w:val="28"/>
      <w:lang w:val="en-US" w:eastAsia="zh-CN" w:bidi="ar-SA"/>
    </w:rPr>
  </w:style>
  <w:style w:type="paragraph" w:customStyle="1" w:styleId="455">
    <w:name w:val="xl5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20"/>
    </w:rPr>
  </w:style>
  <w:style w:type="paragraph" w:customStyle="1" w:styleId="456">
    <w:name w:val="列项◆（三级）"/>
    <w:qFormat/>
    <w:uiPriority w:val="0"/>
    <w:pPr>
      <w:tabs>
        <w:tab w:val="left" w:pos="720"/>
        <w:tab w:val="left" w:pos="960"/>
      </w:tabs>
      <w:ind w:left="800" w:leftChars="600" w:hanging="200" w:hangingChars="200"/>
    </w:pPr>
    <w:rPr>
      <w:rFonts w:ascii="宋体" w:hAnsi="Calibri" w:eastAsia="宋体" w:cs="Times New Roman"/>
      <w:lang w:val="en-US" w:eastAsia="zh-CN" w:bidi="ar-SA"/>
    </w:rPr>
  </w:style>
  <w:style w:type="paragraph" w:customStyle="1" w:styleId="457">
    <w:name w:val="目录3"/>
    <w:basedOn w:val="1"/>
    <w:qFormat/>
    <w:uiPriority w:val="0"/>
    <w:pPr>
      <w:adjustRightInd w:val="0"/>
      <w:spacing w:line="420" w:lineRule="atLeast"/>
      <w:ind w:left="454"/>
      <w:textAlignment w:val="baseline"/>
    </w:pPr>
    <w:rPr>
      <w:kern w:val="0"/>
      <w:sz w:val="21"/>
    </w:rPr>
  </w:style>
  <w:style w:type="paragraph" w:customStyle="1" w:styleId="458">
    <w:name w:val="默认段落字体 Para Char Char Char Char Char Char Char Char Char1 Char Char Char Char"/>
    <w:basedOn w:val="1"/>
    <w:qFormat/>
    <w:uiPriority w:val="0"/>
    <w:rPr>
      <w:rFonts w:ascii="Tahoma" w:hAnsi="Tahoma"/>
      <w:sz w:val="24"/>
    </w:rPr>
  </w:style>
  <w:style w:type="character" w:customStyle="1" w:styleId="459">
    <w:name w:val="z-窗体顶端 Char2"/>
    <w:basedOn w:val="88"/>
    <w:link w:val="323"/>
    <w:qFormat/>
    <w:uiPriority w:val="0"/>
    <w:rPr>
      <w:rFonts w:ascii="Arial" w:hAnsi="Arial"/>
      <w:vanish/>
      <w:sz w:val="16"/>
    </w:rPr>
  </w:style>
  <w:style w:type="paragraph" w:customStyle="1" w:styleId="46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461">
    <w:name w:val="样式3"/>
    <w:basedOn w:val="5"/>
    <w:qFormat/>
    <w:uiPriority w:val="0"/>
    <w:pPr>
      <w:widowControl w:val="0"/>
      <w:tabs>
        <w:tab w:val="clear" w:pos="720"/>
      </w:tabs>
      <w:ind w:left="0" w:firstLine="0"/>
      <w:jc w:val="both"/>
    </w:pPr>
    <w:rPr>
      <w:b w:val="0"/>
      <w:kern w:val="2"/>
      <w:sz w:val="24"/>
    </w:rPr>
  </w:style>
  <w:style w:type="paragraph" w:customStyle="1" w:styleId="462">
    <w:name w:val="样式 居中 行距: 固定值 60 磅"/>
    <w:basedOn w:val="1"/>
    <w:qFormat/>
    <w:uiPriority w:val="0"/>
    <w:pPr>
      <w:spacing w:line="360" w:lineRule="auto"/>
      <w:jc w:val="center"/>
    </w:pPr>
    <w:rPr>
      <w:sz w:val="21"/>
    </w:rPr>
  </w:style>
  <w:style w:type="paragraph" w:customStyle="1" w:styleId="463">
    <w:name w:val="其他发布部门"/>
    <w:basedOn w:val="464"/>
    <w:qFormat/>
    <w:uiPriority w:val="0"/>
    <w:pPr>
      <w:spacing w:line="0" w:lineRule="atLeast"/>
    </w:pPr>
    <w:rPr>
      <w:rFonts w:ascii="黑体" w:eastAsia="黑体"/>
      <w:b w:val="0"/>
    </w:rPr>
  </w:style>
  <w:style w:type="paragraph" w:customStyle="1" w:styleId="464">
    <w:name w:val="发布部门"/>
    <w:next w:val="360"/>
    <w:qFormat/>
    <w:uiPriority w:val="0"/>
    <w:pPr>
      <w:jc w:val="center"/>
    </w:pPr>
    <w:rPr>
      <w:rFonts w:ascii="宋体" w:hAnsi="Calibri" w:eastAsia="宋体" w:cs="Times New Roman"/>
      <w:b/>
      <w:spacing w:val="20"/>
      <w:w w:val="135"/>
      <w:sz w:val="36"/>
      <w:lang w:val="en-US" w:eastAsia="zh-CN" w:bidi="ar-SA"/>
    </w:rPr>
  </w:style>
  <w:style w:type="paragraph" w:customStyle="1" w:styleId="465">
    <w:name w:val="示例"/>
    <w:next w:val="360"/>
    <w:qFormat/>
    <w:uiPriority w:val="0"/>
    <w:pPr>
      <w:tabs>
        <w:tab w:val="left" w:pos="720"/>
        <w:tab w:val="left" w:pos="816"/>
      </w:tabs>
      <w:ind w:firstLine="419" w:firstLineChars="233"/>
      <w:jc w:val="both"/>
    </w:pPr>
    <w:rPr>
      <w:rFonts w:ascii="宋体" w:hAnsi="Calibri" w:eastAsia="宋体" w:cs="Times New Roman"/>
      <w:sz w:val="18"/>
      <w:lang w:val="en-US" w:eastAsia="zh-CN" w:bidi="ar-SA"/>
    </w:rPr>
  </w:style>
  <w:style w:type="paragraph" w:customStyle="1" w:styleId="466">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华文楷体" w:hAnsi="华文楷体" w:eastAsia="华文楷体"/>
      <w:kern w:val="0"/>
      <w:sz w:val="24"/>
    </w:rPr>
  </w:style>
  <w:style w:type="paragraph" w:customStyle="1" w:styleId="467">
    <w:name w:val="样式 标题 1 + 黑体 三号 非加粗 居中 段前: 6 磅 段后: 6 磅 行距: 固定值 20 磅"/>
    <w:basedOn w:val="3"/>
    <w:qFormat/>
    <w:uiPriority w:val="0"/>
    <w:pPr>
      <w:keepLines/>
      <w:widowControl w:val="0"/>
      <w:spacing w:before="120" w:after="120" w:line="400" w:lineRule="exact"/>
      <w:jc w:val="both"/>
    </w:pPr>
    <w:rPr>
      <w:rFonts w:hAnsi="黑体" w:eastAsia="黑体"/>
      <w:b w:val="0"/>
      <w:kern w:val="44"/>
    </w:rPr>
  </w:style>
  <w:style w:type="paragraph" w:customStyle="1" w:styleId="468">
    <w:name w:val="标题2"/>
    <w:basedOn w:val="1"/>
    <w:qFormat/>
    <w:uiPriority w:val="0"/>
    <w:rPr>
      <w:rFonts w:ascii="宋体" w:hAnsi="宋体"/>
      <w:b/>
      <w:sz w:val="21"/>
    </w:rPr>
  </w:style>
  <w:style w:type="paragraph" w:customStyle="1" w:styleId="469">
    <w:name w:val="Char"/>
    <w:basedOn w:val="1"/>
    <w:qFormat/>
    <w:uiPriority w:val="0"/>
    <w:rPr>
      <w:rFonts w:ascii="仿宋_GB2312" w:eastAsia="仿宋_GB2312"/>
      <w:b/>
      <w:sz w:val="32"/>
    </w:rPr>
  </w:style>
  <w:style w:type="paragraph" w:customStyle="1" w:styleId="470">
    <w:name w:val="无间隔2"/>
    <w:qFormat/>
    <w:uiPriority w:val="0"/>
    <w:rPr>
      <w:rFonts w:ascii="Calibri" w:hAnsi="Calibri" w:eastAsia="宋体" w:cs="Times New Roman"/>
      <w:sz w:val="22"/>
      <w:lang w:val="en-US" w:eastAsia="en-US" w:bidi="ar-SA"/>
    </w:rPr>
  </w:style>
  <w:style w:type="paragraph" w:customStyle="1" w:styleId="471">
    <w:name w:val="xl5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rPr>
  </w:style>
  <w:style w:type="paragraph" w:customStyle="1" w:styleId="472">
    <w:name w:val="Char Char Char 字元 字元"/>
    <w:basedOn w:val="1"/>
    <w:qFormat/>
    <w:uiPriority w:val="0"/>
    <w:rPr>
      <w:rFonts w:ascii="Tahoma" w:hAnsi="Tahoma"/>
      <w:sz w:val="24"/>
    </w:rPr>
  </w:style>
  <w:style w:type="paragraph" w:customStyle="1" w:styleId="473">
    <w:name w:val="标准书眉_偶数页"/>
    <w:basedOn w:val="1"/>
    <w:next w:val="1"/>
    <w:qFormat/>
    <w:uiPriority w:val="0"/>
    <w:pPr>
      <w:widowControl/>
      <w:tabs>
        <w:tab w:val="center" w:pos="4154"/>
        <w:tab w:val="right" w:pos="8306"/>
      </w:tabs>
      <w:spacing w:after="120"/>
    </w:pPr>
    <w:rPr>
      <w:kern w:val="0"/>
      <w:sz w:val="21"/>
    </w:rPr>
  </w:style>
  <w:style w:type="paragraph" w:customStyle="1" w:styleId="47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kern w:val="0"/>
      <w:sz w:val="24"/>
    </w:rPr>
  </w:style>
  <w:style w:type="paragraph" w:customStyle="1" w:styleId="475">
    <w:name w:val="样式 正文缩进 + 首行缩进:  2 字符"/>
    <w:basedOn w:val="476"/>
    <w:qFormat/>
    <w:uiPriority w:val="99"/>
    <w:pPr>
      <w:spacing w:line="360" w:lineRule="auto"/>
      <w:ind w:firstLine="200"/>
    </w:pPr>
    <w:rPr>
      <w:rFonts w:ascii="Calibri" w:hAnsi="Calibri"/>
      <w:sz w:val="24"/>
      <w:szCs w:val="24"/>
    </w:rPr>
  </w:style>
  <w:style w:type="paragraph" w:customStyle="1" w:styleId="476">
    <w:name w:val="正文缩进_0"/>
    <w:basedOn w:val="371"/>
    <w:qFormat/>
    <w:uiPriority w:val="0"/>
    <w:pPr>
      <w:ind w:firstLine="420"/>
    </w:pPr>
    <w:rPr>
      <w:rFonts w:ascii="Times New Roman" w:hAnsi="Times New Roman"/>
      <w:kern w:val="0"/>
      <w:szCs w:val="20"/>
    </w:rPr>
  </w:style>
  <w:style w:type="paragraph" w:customStyle="1" w:styleId="477">
    <w:name w:val="列出段落2"/>
    <w:basedOn w:val="1"/>
    <w:qFormat/>
    <w:uiPriority w:val="0"/>
    <w:pPr>
      <w:spacing w:before="100" w:beforeAutospacing="1" w:after="100" w:afterAutospacing="1" w:line="300" w:lineRule="auto"/>
      <w:ind w:firstLine="420" w:firstLineChars="200"/>
    </w:pPr>
    <w:rPr>
      <w:sz w:val="21"/>
    </w:rPr>
  </w:style>
  <w:style w:type="paragraph" w:customStyle="1" w:styleId="478">
    <w:name w:val="xl5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479">
    <w:name w:val="font1"/>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80">
    <w:name w:val="表格"/>
    <w:basedOn w:val="1"/>
    <w:qFormat/>
    <w:uiPriority w:val="0"/>
    <w:pPr>
      <w:textAlignment w:val="center"/>
    </w:pPr>
    <w:rPr>
      <w:rFonts w:ascii="华文细黑" w:hAnsi="华文细黑"/>
      <w:kern w:val="0"/>
      <w:sz w:val="21"/>
    </w:rPr>
  </w:style>
  <w:style w:type="paragraph" w:customStyle="1" w:styleId="481">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482">
    <w:name w:val="图表脚注"/>
    <w:next w:val="360"/>
    <w:qFormat/>
    <w:uiPriority w:val="0"/>
    <w:pPr>
      <w:ind w:left="300" w:leftChars="200" w:hanging="100" w:hangingChars="100"/>
      <w:jc w:val="both"/>
    </w:pPr>
    <w:rPr>
      <w:rFonts w:ascii="宋体" w:hAnsi="Calibri" w:eastAsia="宋体" w:cs="Times New Roman"/>
      <w:sz w:val="18"/>
      <w:lang w:val="en-US" w:eastAsia="zh-CN" w:bidi="ar-SA"/>
    </w:rPr>
  </w:style>
  <w:style w:type="paragraph" w:customStyle="1" w:styleId="483">
    <w:name w:val="末级"/>
    <w:basedOn w:val="1"/>
    <w:qFormat/>
    <w:uiPriority w:val="0"/>
    <w:pPr>
      <w:tabs>
        <w:tab w:val="left" w:pos="851"/>
      </w:tabs>
      <w:spacing w:line="360" w:lineRule="auto"/>
      <w:ind w:firstLine="510"/>
    </w:pPr>
    <w:rPr>
      <w:sz w:val="24"/>
    </w:rPr>
  </w:style>
  <w:style w:type="paragraph" w:customStyle="1" w:styleId="484">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485">
    <w:name w:val="Char Char Char Char Char Char Char Char Char Char Char Char Char Char Char Char Char Char Char Char Char Char Char Char Char"/>
    <w:basedOn w:val="1"/>
    <w:qFormat/>
    <w:uiPriority w:val="0"/>
    <w:rPr>
      <w:rFonts w:ascii="Tahoma" w:hAnsi="Tahoma"/>
      <w:sz w:val="24"/>
    </w:rPr>
  </w:style>
  <w:style w:type="paragraph" w:customStyle="1" w:styleId="486">
    <w:name w:val="bold_10"/>
    <w:basedOn w:val="1"/>
    <w:next w:val="1"/>
    <w:qFormat/>
    <w:uiPriority w:val="0"/>
    <w:pPr>
      <w:widowControl/>
    </w:pPr>
    <w:rPr>
      <w:rFonts w:ascii="Arial" w:hAnsi="Arial"/>
      <w:b/>
      <w:kern w:val="0"/>
      <w:sz w:val="20"/>
      <w:lang w:val="en-AU"/>
    </w:rPr>
  </w:style>
  <w:style w:type="paragraph" w:customStyle="1" w:styleId="487">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8">
    <w:name w:val="p18"/>
    <w:basedOn w:val="1"/>
    <w:qFormat/>
    <w:uiPriority w:val="99"/>
    <w:pPr>
      <w:widowControl/>
      <w:spacing w:line="500" w:lineRule="atLeast"/>
      <w:ind w:firstLine="420"/>
    </w:pPr>
    <w:rPr>
      <w:kern w:val="0"/>
      <w:szCs w:val="28"/>
    </w:rPr>
  </w:style>
  <w:style w:type="paragraph" w:customStyle="1" w:styleId="489">
    <w:name w:val="xl5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rPr>
  </w:style>
  <w:style w:type="paragraph" w:customStyle="1" w:styleId="490">
    <w:name w:val="xl5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000000"/>
      <w:kern w:val="0"/>
      <w:sz w:val="20"/>
    </w:rPr>
  </w:style>
  <w:style w:type="paragraph" w:customStyle="1" w:styleId="491">
    <w:name w:val="xl32"/>
    <w:basedOn w:val="1"/>
    <w:qFormat/>
    <w:uiPriority w:val="0"/>
    <w:pPr>
      <w:widowControl/>
      <w:spacing w:before="100" w:beforeAutospacing="1" w:after="100" w:afterAutospacing="1"/>
    </w:pPr>
    <w:rPr>
      <w:rFonts w:ascii="Arial Unicode MS" w:hAnsi="Arial Unicode MS" w:eastAsia="Arial Unicode MS"/>
      <w:b/>
      <w:kern w:val="0"/>
      <w:sz w:val="40"/>
    </w:rPr>
  </w:style>
  <w:style w:type="paragraph" w:customStyle="1" w:styleId="492">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493">
    <w:name w:val="Char Char3"/>
    <w:basedOn w:val="32"/>
    <w:qFormat/>
    <w:uiPriority w:val="0"/>
    <w:rPr>
      <w:rFonts w:ascii="Tahoma" w:hAnsi="Tahoma"/>
      <w:sz w:val="24"/>
    </w:rPr>
  </w:style>
  <w:style w:type="paragraph" w:customStyle="1" w:styleId="494">
    <w:name w:val="多级符号2"/>
    <w:basedOn w:val="495"/>
    <w:qFormat/>
    <w:uiPriority w:val="0"/>
    <w:pPr>
      <w:outlineLvl w:val="9"/>
    </w:pPr>
    <w:rPr>
      <w:b w:val="0"/>
      <w:sz w:val="24"/>
    </w:rPr>
  </w:style>
  <w:style w:type="paragraph" w:customStyle="1" w:styleId="495">
    <w:name w:val="多级符号1"/>
    <w:basedOn w:val="1"/>
    <w:next w:val="1"/>
    <w:qFormat/>
    <w:uiPriority w:val="0"/>
    <w:pPr>
      <w:spacing w:line="360" w:lineRule="auto"/>
      <w:jc w:val="left"/>
      <w:outlineLvl w:val="0"/>
    </w:pPr>
    <w:rPr>
      <w:rFonts w:eastAsia="仿宋_GB2312"/>
      <w:b/>
      <w:sz w:val="30"/>
    </w:rPr>
  </w:style>
  <w:style w:type="paragraph" w:customStyle="1" w:styleId="496">
    <w:name w:val="reader-word-layer reader-word-s1-9"/>
    <w:basedOn w:val="1"/>
    <w:qFormat/>
    <w:uiPriority w:val="0"/>
    <w:pPr>
      <w:widowControl/>
      <w:spacing w:before="100" w:beforeAutospacing="1" w:after="100" w:afterAutospacing="1"/>
      <w:jc w:val="left"/>
    </w:pPr>
    <w:rPr>
      <w:rFonts w:ascii="宋体" w:hAnsi="宋体"/>
      <w:kern w:val="0"/>
      <w:sz w:val="24"/>
    </w:rPr>
  </w:style>
  <w:style w:type="paragraph" w:customStyle="1" w:styleId="497">
    <w:name w:val="xl2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color w:val="FF0000"/>
      <w:kern w:val="0"/>
      <w:sz w:val="24"/>
    </w:rPr>
  </w:style>
  <w:style w:type="paragraph" w:customStyle="1" w:styleId="498">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99">
    <w:name w:val="彩色底纹 - 着色 11"/>
    <w:qFormat/>
    <w:uiPriority w:val="0"/>
    <w:rPr>
      <w:rFonts w:ascii="Calibri" w:hAnsi="Calibri" w:eastAsia="宋体" w:cs="Times New Roman"/>
      <w:kern w:val="2"/>
      <w:sz w:val="21"/>
      <w:lang w:val="en-US" w:eastAsia="zh-CN" w:bidi="ar-SA"/>
    </w:rPr>
  </w:style>
  <w:style w:type="paragraph" w:customStyle="1" w:styleId="500">
    <w:name w:val="xl5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01">
    <w:name w:val="正文文字缩进 2"/>
    <w:basedOn w:val="1"/>
    <w:qFormat/>
    <w:uiPriority w:val="0"/>
    <w:pPr>
      <w:widowControl/>
      <w:spacing w:line="351" w:lineRule="atLeast"/>
      <w:ind w:firstLine="481"/>
      <w:textAlignment w:val="baseline"/>
    </w:pPr>
    <w:rPr>
      <w:rFonts w:ascii="仿宋_GB2312" w:eastAsia="仿宋_GB2312"/>
      <w:color w:val="000000"/>
      <w:kern w:val="0"/>
      <w:sz w:val="24"/>
      <w:u w:color="000000"/>
    </w:rPr>
  </w:style>
  <w:style w:type="paragraph" w:customStyle="1" w:styleId="502">
    <w:name w:val="xl558"/>
    <w:basedOn w:val="1"/>
    <w:qFormat/>
    <w:uiPriority w:val="0"/>
    <w:pPr>
      <w:widowControl/>
      <w:spacing w:before="100" w:beforeAutospacing="1" w:after="100" w:afterAutospacing="1"/>
      <w:jc w:val="left"/>
    </w:pPr>
    <w:rPr>
      <w:rFonts w:ascii="宋体" w:hAnsi="宋体"/>
      <w:kern w:val="0"/>
      <w:sz w:val="20"/>
    </w:rPr>
  </w:style>
  <w:style w:type="paragraph" w:customStyle="1" w:styleId="503">
    <w:name w:val="Table textB"/>
    <w:basedOn w:val="1"/>
    <w:next w:val="1"/>
    <w:qFormat/>
    <w:uiPriority w:val="0"/>
    <w:pPr>
      <w:widowControl/>
      <w:spacing w:before="80" w:after="80"/>
      <w:jc w:val="center"/>
    </w:pPr>
    <w:rPr>
      <w:rFonts w:ascii="Arial" w:hAnsi="Arial"/>
      <w:b/>
      <w:spacing w:val="-5"/>
      <w:kern w:val="0"/>
      <w:sz w:val="18"/>
    </w:rPr>
  </w:style>
  <w:style w:type="paragraph" w:customStyle="1" w:styleId="504">
    <w:name w:val="封面标准代替信息"/>
    <w:basedOn w:val="505"/>
    <w:qFormat/>
    <w:uiPriority w:val="0"/>
    <w:pPr>
      <w:spacing w:before="57"/>
    </w:pPr>
    <w:rPr>
      <w:rFonts w:ascii="宋体"/>
      <w:sz w:val="21"/>
    </w:rPr>
  </w:style>
  <w:style w:type="paragraph" w:customStyle="1" w:styleId="505">
    <w:name w:val="封面标准号2"/>
    <w:basedOn w:val="506"/>
    <w:qFormat/>
    <w:uiPriority w:val="0"/>
    <w:pPr>
      <w:adjustRightInd w:val="0"/>
      <w:spacing w:before="357" w:line="280" w:lineRule="exact"/>
    </w:pPr>
  </w:style>
  <w:style w:type="paragraph" w:customStyle="1" w:styleId="506">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507">
    <w:name w:val="flName"/>
    <w:basedOn w:val="1"/>
    <w:qFormat/>
    <w:uiPriority w:val="0"/>
    <w:pPr>
      <w:adjustRightInd w:val="0"/>
      <w:spacing w:before="320" w:after="160" w:line="360" w:lineRule="atLeast"/>
      <w:jc w:val="center"/>
      <w:textAlignment w:val="baseline"/>
    </w:pPr>
    <w:rPr>
      <w:rFonts w:ascii="Arial" w:eastAsia="黑体"/>
      <w:kern w:val="0"/>
      <w:sz w:val="32"/>
    </w:rPr>
  </w:style>
  <w:style w:type="paragraph" w:customStyle="1" w:styleId="508">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509">
    <w:name w:val="目次、标准名称标题"/>
    <w:basedOn w:val="1"/>
    <w:next w:val="360"/>
    <w:qFormat/>
    <w:uiPriority w:val="0"/>
    <w:pPr>
      <w:widowControl/>
      <w:shd w:val="clear" w:color="FFFFFF" w:fill="FFFFFF"/>
      <w:spacing w:before="640" w:after="560" w:line="460" w:lineRule="exact"/>
      <w:jc w:val="center"/>
      <w:outlineLvl w:val="0"/>
    </w:pPr>
    <w:rPr>
      <w:rFonts w:ascii="黑体" w:eastAsia="黑体"/>
      <w:kern w:val="0"/>
      <w:sz w:val="32"/>
    </w:rPr>
  </w:style>
  <w:style w:type="paragraph" w:customStyle="1" w:styleId="510">
    <w:name w:val="表中"/>
    <w:basedOn w:val="1"/>
    <w:qFormat/>
    <w:uiPriority w:val="0"/>
    <w:pPr>
      <w:autoSpaceDE w:val="0"/>
      <w:autoSpaceDN w:val="0"/>
      <w:adjustRightInd w:val="0"/>
      <w:spacing w:line="360" w:lineRule="atLeast"/>
    </w:pPr>
    <w:rPr>
      <w:rFonts w:ascii="宋体"/>
      <w:kern w:val="0"/>
      <w:sz w:val="21"/>
    </w:rPr>
  </w:style>
  <w:style w:type="paragraph" w:customStyle="1" w:styleId="511">
    <w:name w:val="1 Char Char Char"/>
    <w:basedOn w:val="1"/>
    <w:next w:val="5"/>
    <w:qFormat/>
    <w:uiPriority w:val="0"/>
    <w:pPr>
      <w:spacing w:line="500" w:lineRule="exact"/>
      <w:ind w:firstLine="200"/>
      <w:jc w:val="center"/>
    </w:pPr>
    <w:rPr>
      <w:rFonts w:ascii="仿宋_GB2312" w:hAnsi="Arial" w:eastAsia="仿宋_GB2312"/>
      <w:sz w:val="32"/>
    </w:rPr>
  </w:style>
  <w:style w:type="paragraph" w:customStyle="1" w:styleId="512">
    <w:name w:val="样式2"/>
    <w:basedOn w:val="76"/>
    <w:qFormat/>
    <w:uiPriority w:val="0"/>
    <w:pPr>
      <w:ind w:left="200" w:leftChars="200" w:hanging="200" w:hangingChars="200"/>
      <w:jc w:val="both"/>
    </w:pPr>
    <w:rPr>
      <w:rFonts w:ascii="Times New Roman" w:hAnsi="Times New Roman"/>
      <w:smallCaps w:val="0"/>
      <w:sz w:val="21"/>
    </w:rPr>
  </w:style>
  <w:style w:type="paragraph" w:customStyle="1" w:styleId="513">
    <w:name w:val="样式 标题 4 + 五号"/>
    <w:basedOn w:val="6"/>
    <w:qFormat/>
    <w:uiPriority w:val="0"/>
    <w:rPr>
      <w:kern w:val="0"/>
      <w:sz w:val="21"/>
    </w:rPr>
  </w:style>
  <w:style w:type="paragraph" w:customStyle="1" w:styleId="51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olor w:val="FF0000"/>
      <w:kern w:val="0"/>
      <w:sz w:val="24"/>
    </w:rPr>
  </w:style>
  <w:style w:type="paragraph" w:customStyle="1" w:styleId="515">
    <w:name w:val="字元 字元 Char Char Char 字元 字元 Char 字元 字元 Char Char 字元 字元1 Char Char Char Char Char Char 字元 字元"/>
    <w:basedOn w:val="1"/>
    <w:qFormat/>
    <w:uiPriority w:val="0"/>
    <w:rPr>
      <w:rFonts w:ascii="Tahoma" w:hAnsi="Tahoma"/>
      <w:sz w:val="24"/>
    </w:rPr>
  </w:style>
  <w:style w:type="paragraph" w:customStyle="1" w:styleId="516">
    <w:name w:val="Default"/>
    <w:qFormat/>
    <w:uiPriority w:val="0"/>
    <w:pPr>
      <w:widowControl w:val="0"/>
      <w:autoSpaceDE w:val="0"/>
      <w:autoSpaceDN w:val="0"/>
      <w:adjustRightInd w:val="0"/>
    </w:pPr>
    <w:rPr>
      <w:rFonts w:ascii="Arial" w:hAnsi="Arial" w:eastAsia="宋体" w:cs="Times New Roman"/>
      <w:color w:val="000000"/>
      <w:sz w:val="24"/>
      <w:lang w:val="en-US" w:eastAsia="zh-CN" w:bidi="ar-SA"/>
    </w:rPr>
  </w:style>
  <w:style w:type="paragraph" w:customStyle="1" w:styleId="517">
    <w:name w:val="Char11"/>
    <w:basedOn w:val="1"/>
    <w:qFormat/>
    <w:uiPriority w:val="0"/>
    <w:pPr>
      <w:widowControl/>
      <w:spacing w:after="160" w:line="240" w:lineRule="exact"/>
      <w:jc w:val="left"/>
    </w:pPr>
    <w:rPr>
      <w:rFonts w:ascii="Tahoma" w:hAnsi="Tahoma"/>
      <w:kern w:val="0"/>
      <w:sz w:val="24"/>
      <w:lang w:eastAsia="en-US"/>
    </w:rPr>
  </w:style>
  <w:style w:type="paragraph" w:customStyle="1" w:styleId="518">
    <w:name w:val="数字编号列项（二级）"/>
    <w:qFormat/>
    <w:uiPriority w:val="0"/>
    <w:pPr>
      <w:ind w:left="1260" w:leftChars="400" w:hanging="420" w:hangingChars="200"/>
      <w:jc w:val="both"/>
    </w:pPr>
    <w:rPr>
      <w:rFonts w:ascii="宋体" w:hAnsi="Calibri" w:eastAsia="宋体" w:cs="Times New Roman"/>
      <w:lang w:val="en-US" w:eastAsia="zh-CN" w:bidi="ar-SA"/>
    </w:rPr>
  </w:style>
  <w:style w:type="paragraph" w:customStyle="1" w:styleId="519">
    <w:name w:val="Char Char Char1 Char Char Char Char Char Char Char Char Char Char Char Char Char"/>
    <w:basedOn w:val="1"/>
    <w:qFormat/>
    <w:uiPriority w:val="0"/>
    <w:rPr>
      <w:rFonts w:ascii="Tahoma" w:hAnsi="Tahoma"/>
      <w:sz w:val="24"/>
    </w:rPr>
  </w:style>
  <w:style w:type="paragraph" w:customStyle="1" w:styleId="520">
    <w:name w:val="参考文献、索引标题"/>
    <w:basedOn w:val="449"/>
    <w:next w:val="1"/>
    <w:qFormat/>
    <w:uiPriority w:val="0"/>
    <w:pPr>
      <w:spacing w:after="200"/>
    </w:pPr>
    <w:rPr>
      <w:sz w:val="21"/>
    </w:rPr>
  </w:style>
  <w:style w:type="paragraph" w:customStyle="1" w:styleId="521">
    <w:name w:val="xl36"/>
    <w:basedOn w:val="1"/>
    <w:qFormat/>
    <w:uiPriority w:val="0"/>
    <w:pPr>
      <w:widowControl/>
      <w:pBdr>
        <w:top w:val="single" w:color="auto" w:sz="4" w:space="0"/>
        <w:left w:val="single" w:color="auto" w:sz="8"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22">
    <w:name w:val="xl3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23">
    <w:name w:val="纯文本2"/>
    <w:basedOn w:val="1"/>
    <w:qFormat/>
    <w:uiPriority w:val="0"/>
    <w:pPr>
      <w:adjustRightInd w:val="0"/>
      <w:spacing w:line="360" w:lineRule="atLeast"/>
      <w:textAlignment w:val="baseline"/>
    </w:pPr>
    <w:rPr>
      <w:rFonts w:ascii="宋体" w:hAnsi="Courier New"/>
    </w:rPr>
  </w:style>
  <w:style w:type="paragraph" w:customStyle="1" w:styleId="524">
    <w:name w:val="Körper"/>
    <w:basedOn w:val="1"/>
    <w:qFormat/>
    <w:uiPriority w:val="0"/>
    <w:pPr>
      <w:widowControl/>
      <w:spacing w:before="120" w:line="240" w:lineRule="exact"/>
    </w:pPr>
    <w:rPr>
      <w:rFonts w:ascii="Arial" w:hAnsi="Arial"/>
      <w:kern w:val="0"/>
      <w:sz w:val="20"/>
      <w:lang w:val="de-DE" w:eastAsia="de-DE"/>
    </w:rPr>
  </w:style>
  <w:style w:type="paragraph" w:customStyle="1" w:styleId="525">
    <w:name w:val="2"/>
    <w:basedOn w:val="1"/>
    <w:qFormat/>
    <w:uiPriority w:val="0"/>
    <w:rPr>
      <w:rFonts w:ascii="Tahoma" w:hAnsi="Tahoma"/>
      <w:sz w:val="24"/>
    </w:rPr>
  </w:style>
  <w:style w:type="paragraph" w:customStyle="1" w:styleId="526">
    <w:name w:val="正文2 Char Char Char Char Char Char Char Char Char Char Char Char1 Char Char Char Char Char Char Char Char1 Char Char Char Char Char Char"/>
    <w:basedOn w:val="1"/>
    <w:qFormat/>
    <w:uiPriority w:val="0"/>
    <w:pPr>
      <w:widowControl/>
      <w:spacing w:line="400" w:lineRule="exact"/>
    </w:pPr>
    <w:rPr>
      <w:rFonts w:ascii="Verdana" w:hAnsi="Verdana" w:eastAsia="楷体_GB2312"/>
      <w:kern w:val="0"/>
      <w:lang w:eastAsia="en-US"/>
    </w:rPr>
  </w:style>
  <w:style w:type="paragraph" w:customStyle="1" w:styleId="527">
    <w:name w:val="金宏发行正文 Char"/>
    <w:basedOn w:val="1"/>
    <w:qFormat/>
    <w:uiPriority w:val="99"/>
    <w:pPr>
      <w:spacing w:line="500" w:lineRule="atLeast"/>
      <w:ind w:firstLine="560" w:firstLineChars="200"/>
    </w:pPr>
    <w:rPr>
      <w:rFonts w:ascii="Times New Roman" w:hAnsi="Times New Roman" w:eastAsia="仿宋_GB2312"/>
      <w:szCs w:val="28"/>
    </w:rPr>
  </w:style>
  <w:style w:type="paragraph" w:customStyle="1" w:styleId="528">
    <w:name w:val="样式 三号 加粗 居中"/>
    <w:basedOn w:val="1"/>
    <w:qFormat/>
    <w:uiPriority w:val="0"/>
    <w:pPr>
      <w:spacing w:line="360" w:lineRule="auto"/>
      <w:jc w:val="center"/>
    </w:pPr>
    <w:rPr>
      <w:b/>
      <w:sz w:val="32"/>
    </w:rPr>
  </w:style>
  <w:style w:type="paragraph" w:customStyle="1" w:styleId="529">
    <w:name w:val="标准称谓"/>
    <w:next w:val="1"/>
    <w:qFormat/>
    <w:uiPriority w:val="0"/>
    <w:pPr>
      <w:widowControl w:val="0"/>
      <w:kinsoku w:val="0"/>
      <w:overflowPunct w:val="0"/>
      <w:autoSpaceDE w:val="0"/>
      <w:autoSpaceDN w:val="0"/>
      <w:spacing w:line="0" w:lineRule="atLeast"/>
      <w:jc w:val="distribute"/>
    </w:pPr>
    <w:rPr>
      <w:rFonts w:ascii="宋体" w:hAnsi="Calibri" w:eastAsia="宋体" w:cs="Times New Roman"/>
      <w:b/>
      <w:spacing w:val="20"/>
      <w:w w:val="148"/>
      <w:sz w:val="52"/>
      <w:lang w:val="en-US" w:eastAsia="zh-CN" w:bidi="ar-SA"/>
    </w:rPr>
  </w:style>
  <w:style w:type="paragraph" w:customStyle="1" w:styleId="530">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53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2">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3">
    <w:name w:val="xl31"/>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534">
    <w:name w:val="修订2"/>
    <w:qFormat/>
    <w:uiPriority w:val="0"/>
    <w:rPr>
      <w:rFonts w:ascii="Calibri" w:hAnsi="Calibri" w:eastAsia="宋体" w:cs="Times New Roman"/>
      <w:kern w:val="2"/>
      <w:sz w:val="28"/>
      <w:lang w:val="en-US" w:eastAsia="zh-CN" w:bidi="ar-SA"/>
    </w:rPr>
  </w:style>
  <w:style w:type="paragraph" w:customStyle="1" w:styleId="535">
    <w:name w:val="标题4"/>
    <w:basedOn w:val="1"/>
    <w:qFormat/>
    <w:uiPriority w:val="0"/>
    <w:rPr>
      <w:rFonts w:eastAsia="仿宋_GB2312"/>
      <w:sz w:val="32"/>
    </w:rPr>
  </w:style>
  <w:style w:type="paragraph" w:customStyle="1" w:styleId="536">
    <w:name w:val="3级"/>
    <w:basedOn w:val="1"/>
    <w:qFormat/>
    <w:uiPriority w:val="0"/>
    <w:pPr>
      <w:snapToGrid w:val="0"/>
      <w:spacing w:afterLines="30" w:line="360" w:lineRule="auto"/>
      <w:ind w:firstLine="200" w:firstLineChars="200"/>
    </w:pPr>
    <w:rPr>
      <w:rFonts w:ascii="宋体" w:hAnsi="Tahoma"/>
      <w:b/>
      <w:color w:val="0000FF"/>
    </w:rPr>
  </w:style>
  <w:style w:type="paragraph" w:customStyle="1" w:styleId="537">
    <w:name w:val="章标题"/>
    <w:next w:val="360"/>
    <w:qFormat/>
    <w:uiPriority w:val="0"/>
    <w:pPr>
      <w:tabs>
        <w:tab w:val="left" w:pos="420"/>
        <w:tab w:val="left" w:pos="480"/>
      </w:tabs>
      <w:spacing w:beforeLines="50" w:afterLines="50"/>
      <w:ind w:left="480" w:hanging="480"/>
      <w:jc w:val="both"/>
      <w:outlineLvl w:val="1"/>
    </w:pPr>
    <w:rPr>
      <w:rFonts w:ascii="黑体" w:hAnsi="Calibri" w:eastAsia="黑体" w:cs="Times New Roman"/>
      <w:b/>
      <w:lang w:val="en-US" w:eastAsia="zh-CN" w:bidi="ar-SA"/>
    </w:rPr>
  </w:style>
  <w:style w:type="paragraph" w:customStyle="1" w:styleId="538">
    <w:name w:val="xl3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39">
    <w:name w:val="图表小四中对齐"/>
    <w:basedOn w:val="1"/>
    <w:qFormat/>
    <w:uiPriority w:val="0"/>
    <w:pPr>
      <w:adjustRightInd w:val="0"/>
      <w:spacing w:line="360" w:lineRule="exact"/>
      <w:jc w:val="center"/>
      <w:textAlignment w:val="baseline"/>
    </w:pPr>
    <w:rPr>
      <w:color w:val="000000"/>
      <w:spacing w:val="-10"/>
      <w:sz w:val="24"/>
    </w:rPr>
  </w:style>
  <w:style w:type="paragraph" w:customStyle="1" w:styleId="540">
    <w:name w:val="标准书眉一"/>
    <w:qFormat/>
    <w:uiPriority w:val="0"/>
    <w:pPr>
      <w:jc w:val="both"/>
    </w:pPr>
    <w:rPr>
      <w:rFonts w:ascii="Calibri" w:hAnsi="Calibri" w:eastAsia="宋体" w:cs="Times New Roman"/>
      <w:lang w:val="en-US" w:eastAsia="zh-CN" w:bidi="ar-SA"/>
    </w:rPr>
  </w:style>
  <w:style w:type="paragraph" w:customStyle="1" w:styleId="541">
    <w:name w:val="Char Char Char Char Char Char3 Char Char Char Char Char Char Char Char Char Char"/>
    <w:basedOn w:val="1"/>
    <w:next w:val="1"/>
    <w:qFormat/>
    <w:uiPriority w:val="0"/>
    <w:rPr>
      <w:rFonts w:eastAsia="黑体"/>
    </w:rPr>
  </w:style>
  <w:style w:type="paragraph" w:customStyle="1" w:styleId="542">
    <w:name w:val="xl5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43">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544">
    <w:name w:val="Char Char Char Char1"/>
    <w:basedOn w:val="1"/>
    <w:qFormat/>
    <w:uiPriority w:val="0"/>
    <w:rPr>
      <w:sz w:val="21"/>
    </w:rPr>
  </w:style>
  <w:style w:type="paragraph" w:customStyle="1" w:styleId="545">
    <w:name w:val="表文C"/>
    <w:basedOn w:val="1"/>
    <w:qFormat/>
    <w:uiPriority w:val="0"/>
    <w:pPr>
      <w:widowControl/>
      <w:tabs>
        <w:tab w:val="left" w:pos="0"/>
      </w:tabs>
      <w:adjustRightInd w:val="0"/>
      <w:snapToGrid w:val="0"/>
    </w:pPr>
    <w:rPr>
      <w:snapToGrid w:val="0"/>
      <w:kern w:val="0"/>
      <w:sz w:val="21"/>
    </w:rPr>
  </w:style>
  <w:style w:type="paragraph" w:customStyle="1" w:styleId="546">
    <w:name w:val="_Style 3"/>
    <w:qFormat/>
    <w:uiPriority w:val="0"/>
    <w:rPr>
      <w:rFonts w:ascii="Calibri" w:hAnsi="Calibri" w:eastAsia="宋体" w:cs="Times New Roman"/>
      <w:sz w:val="22"/>
      <w:szCs w:val="22"/>
      <w:lang w:val="en-US" w:eastAsia="zh-CN" w:bidi="ar-SA"/>
    </w:rPr>
  </w:style>
  <w:style w:type="paragraph" w:customStyle="1" w:styleId="547">
    <w:name w:val="font0"/>
    <w:basedOn w:val="1"/>
    <w:qFormat/>
    <w:uiPriority w:val="0"/>
    <w:pPr>
      <w:widowControl/>
      <w:spacing w:before="100" w:beforeAutospacing="1" w:after="100" w:afterAutospacing="1"/>
    </w:pPr>
    <w:rPr>
      <w:rFonts w:hint="eastAsia" w:ascii="宋体" w:hAnsi="宋体"/>
      <w:kern w:val="0"/>
      <w:sz w:val="24"/>
    </w:rPr>
  </w:style>
  <w:style w:type="paragraph" w:customStyle="1" w:styleId="548">
    <w:name w:val="一级条标题"/>
    <w:next w:val="360"/>
    <w:qFormat/>
    <w:uiPriority w:val="0"/>
    <w:pPr>
      <w:outlineLvl w:val="2"/>
    </w:pPr>
    <w:rPr>
      <w:rFonts w:ascii="Calibri" w:hAnsi="Calibri" w:eastAsia="黑体" w:cs="Times New Roman"/>
      <w:sz w:val="21"/>
      <w:lang w:val="en-US" w:eastAsia="zh-CN" w:bidi="ar-SA"/>
    </w:rPr>
  </w:style>
  <w:style w:type="paragraph" w:customStyle="1" w:styleId="549">
    <w:name w:val="注×："/>
    <w:qFormat/>
    <w:uiPriority w:val="0"/>
    <w:pPr>
      <w:widowControl w:val="0"/>
      <w:tabs>
        <w:tab w:val="left" w:pos="630"/>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50">
    <w:name w:val="投标正文"/>
    <w:basedOn w:val="1"/>
    <w:qFormat/>
    <w:uiPriority w:val="0"/>
    <w:pPr>
      <w:spacing w:line="360" w:lineRule="auto"/>
      <w:ind w:left="100" w:firstLine="480" w:firstLineChars="200"/>
    </w:pPr>
    <w:rPr>
      <w:sz w:val="24"/>
      <w:szCs w:val="24"/>
    </w:rPr>
  </w:style>
  <w:style w:type="paragraph" w:customStyle="1" w:styleId="551">
    <w:name w:val="标题 0"/>
    <w:basedOn w:val="3"/>
    <w:qFormat/>
    <w:uiPriority w:val="0"/>
    <w:pPr>
      <w:keepNext w:val="0"/>
      <w:widowControl w:val="0"/>
      <w:autoSpaceDE w:val="0"/>
      <w:autoSpaceDN w:val="0"/>
      <w:adjustRightInd w:val="0"/>
      <w:spacing w:line="240" w:lineRule="auto"/>
      <w:jc w:val="left"/>
    </w:pPr>
    <w:rPr>
      <w:rFonts w:ascii="宋体"/>
      <w:snapToGrid w:val="0"/>
      <w:color w:val="000000"/>
      <w:sz w:val="44"/>
    </w:rPr>
  </w:style>
  <w:style w:type="paragraph" w:customStyle="1" w:styleId="552">
    <w:name w:val="标准标志"/>
    <w:next w:val="1"/>
    <w:qFormat/>
    <w:uiPriority w:val="0"/>
    <w:pPr>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553">
    <w:name w:val="条文脚注"/>
    <w:basedOn w:val="70"/>
    <w:qFormat/>
    <w:uiPriority w:val="0"/>
    <w:pPr>
      <w:ind w:left="780" w:leftChars="200" w:hanging="360" w:hangingChars="200"/>
      <w:jc w:val="both"/>
    </w:pPr>
    <w:rPr>
      <w:rFonts w:ascii="宋体"/>
    </w:rPr>
  </w:style>
  <w:style w:type="paragraph" w:customStyle="1" w:styleId="554">
    <w:name w:val="HTML 地址1"/>
    <w:basedOn w:val="1"/>
    <w:qFormat/>
    <w:uiPriority w:val="0"/>
    <w:rPr>
      <w:i/>
      <w:kern w:val="0"/>
      <w:sz w:val="20"/>
    </w:rPr>
  </w:style>
  <w:style w:type="paragraph" w:customStyle="1" w:styleId="555">
    <w:name w:val="表格5"/>
    <w:basedOn w:val="556"/>
    <w:qFormat/>
    <w:uiPriority w:val="0"/>
    <w:pPr>
      <w:ind w:left="1021" w:hanging="284"/>
    </w:pPr>
    <w:rPr>
      <w:rFonts w:ascii="宋体"/>
    </w:rPr>
  </w:style>
  <w:style w:type="paragraph" w:customStyle="1" w:styleId="556">
    <w:name w:val="表格2"/>
    <w:basedOn w:val="1"/>
    <w:qFormat/>
    <w:uiPriority w:val="0"/>
    <w:pPr>
      <w:adjustRightInd w:val="0"/>
      <w:spacing w:line="420" w:lineRule="atLeast"/>
      <w:ind w:left="284" w:firstLine="454"/>
      <w:textAlignment w:val="baseline"/>
    </w:pPr>
    <w:rPr>
      <w:kern w:val="0"/>
      <w:sz w:val="21"/>
    </w:rPr>
  </w:style>
  <w:style w:type="paragraph" w:customStyle="1" w:styleId="557">
    <w:name w:val="_Style 10"/>
    <w:basedOn w:val="1"/>
    <w:next w:val="1"/>
    <w:qFormat/>
    <w:uiPriority w:val="0"/>
    <w:rPr>
      <w:sz w:val="21"/>
    </w:rPr>
  </w:style>
  <w:style w:type="paragraph" w:customStyle="1" w:styleId="558">
    <w:name w:val="Char1"/>
    <w:basedOn w:val="1"/>
    <w:qFormat/>
    <w:uiPriority w:val="0"/>
    <w:rPr>
      <w:rFonts w:ascii="仿宋_GB2312" w:eastAsia="仿宋_GB2312"/>
      <w:b/>
      <w:sz w:val="32"/>
    </w:rPr>
  </w:style>
  <w:style w:type="paragraph" w:customStyle="1" w:styleId="559">
    <w:name w:val="Char Char Char Char Char Char Char Char Char Char Char Char1 Char"/>
    <w:basedOn w:val="32"/>
    <w:qFormat/>
    <w:uiPriority w:val="0"/>
    <w:rPr>
      <w:rFonts w:ascii="等线" w:hAnsi="等线"/>
      <w:sz w:val="21"/>
    </w:rPr>
  </w:style>
  <w:style w:type="paragraph" w:customStyle="1" w:styleId="560">
    <w:name w:val="Char Char2"/>
    <w:basedOn w:val="1"/>
    <w:qFormat/>
    <w:uiPriority w:val="0"/>
    <w:rPr>
      <w:rFonts w:ascii="Tahoma" w:hAnsi="Tahoma"/>
      <w:sz w:val="24"/>
    </w:rPr>
  </w:style>
  <w:style w:type="paragraph" w:customStyle="1" w:styleId="561">
    <w:name w:val="目录1"/>
    <w:basedOn w:val="1"/>
    <w:qFormat/>
    <w:uiPriority w:val="0"/>
    <w:pPr>
      <w:adjustRightInd w:val="0"/>
      <w:spacing w:line="420" w:lineRule="atLeast"/>
      <w:textAlignment w:val="baseline"/>
    </w:pPr>
    <w:rPr>
      <w:rFonts w:eastAsia="黑体"/>
      <w:b/>
      <w:kern w:val="0"/>
      <w:sz w:val="21"/>
    </w:rPr>
  </w:style>
  <w:style w:type="paragraph" w:customStyle="1" w:styleId="562">
    <w:name w:val="收件单位"/>
    <w:basedOn w:val="1"/>
    <w:qFormat/>
    <w:uiPriority w:val="0"/>
    <w:pPr>
      <w:tabs>
        <w:tab w:val="left" w:pos="1365"/>
      </w:tabs>
      <w:spacing w:beforeLines="100"/>
    </w:pPr>
    <w:rPr>
      <w:rFonts w:eastAsia="华文仿宋"/>
      <w:sz w:val="30"/>
    </w:rPr>
  </w:style>
  <w:style w:type="paragraph" w:customStyle="1" w:styleId="563">
    <w:name w:val="表内居中"/>
    <w:qFormat/>
    <w:uiPriority w:val="0"/>
    <w:pPr>
      <w:jc w:val="center"/>
    </w:pPr>
    <w:rPr>
      <w:rFonts w:ascii="Calibri" w:hAnsi="Calibri" w:eastAsia="宋体" w:cs="Times New Roman"/>
      <w:lang w:val="en-US" w:eastAsia="zh-CN" w:bidi="ar-SA"/>
    </w:rPr>
  </w:style>
  <w:style w:type="paragraph" w:customStyle="1" w:styleId="564">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65">
    <w:name w:val="文献分类号"/>
    <w:qFormat/>
    <w:uiPriority w:val="0"/>
    <w:pPr>
      <w:widowControl w:val="0"/>
      <w:textAlignment w:val="center"/>
    </w:pPr>
    <w:rPr>
      <w:rFonts w:ascii="Calibri" w:hAnsi="Calibri" w:eastAsia="黑体" w:cs="Times New Roman"/>
      <w:sz w:val="21"/>
      <w:lang w:val="en-US" w:eastAsia="zh-CN" w:bidi="ar-SA"/>
    </w:rPr>
  </w:style>
  <w:style w:type="paragraph" w:customStyle="1" w:styleId="566">
    <w:name w:val="封面正文"/>
    <w:qFormat/>
    <w:uiPriority w:val="0"/>
    <w:pPr>
      <w:jc w:val="both"/>
    </w:pPr>
    <w:rPr>
      <w:rFonts w:ascii="Calibri" w:hAnsi="Calibri" w:eastAsia="宋体" w:cs="Times New Roman"/>
      <w:lang w:val="en-US" w:eastAsia="zh-CN" w:bidi="ar-SA"/>
    </w:rPr>
  </w:style>
  <w:style w:type="paragraph" w:customStyle="1" w:styleId="567">
    <w:name w:val="表格1"/>
    <w:basedOn w:val="1"/>
    <w:qFormat/>
    <w:uiPriority w:val="0"/>
    <w:pPr>
      <w:adjustRightInd w:val="0"/>
      <w:spacing w:line="420" w:lineRule="atLeast"/>
      <w:ind w:left="284"/>
      <w:textAlignment w:val="baseline"/>
    </w:pPr>
    <w:rPr>
      <w:kern w:val="0"/>
      <w:sz w:val="21"/>
    </w:rPr>
  </w:style>
  <w:style w:type="paragraph" w:customStyle="1" w:styleId="56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569">
    <w:name w:val="xl2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1"/>
    </w:rPr>
  </w:style>
  <w:style w:type="paragraph" w:customStyle="1" w:styleId="570">
    <w:name w:val="xl28"/>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571">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olor w:val="000000"/>
      <w:kern w:val="0"/>
      <w:sz w:val="21"/>
    </w:rPr>
  </w:style>
  <w:style w:type="paragraph" w:customStyle="1" w:styleId="572">
    <w:name w:val="附录表标题"/>
    <w:next w:val="360"/>
    <w:qFormat/>
    <w:uiPriority w:val="0"/>
    <w:pPr>
      <w:tabs>
        <w:tab w:val="left" w:pos="360"/>
        <w:tab w:val="left" w:pos="720"/>
      </w:tabs>
      <w:jc w:val="center"/>
      <w:textAlignment w:val="baseline"/>
    </w:pPr>
    <w:rPr>
      <w:rFonts w:ascii="黑体" w:hAnsi="Calibri" w:eastAsia="黑体" w:cs="Times New Roman"/>
      <w:kern w:val="21"/>
      <w:lang w:val="en-US" w:eastAsia="zh-CN" w:bidi="ar-SA"/>
    </w:rPr>
  </w:style>
  <w:style w:type="paragraph" w:customStyle="1" w:styleId="573">
    <w:name w:val="_Style 32"/>
    <w:basedOn w:val="1"/>
    <w:next w:val="441"/>
    <w:qFormat/>
    <w:uiPriority w:val="34"/>
    <w:pPr>
      <w:ind w:firstLine="420" w:firstLineChars="200"/>
    </w:pPr>
  </w:style>
  <w:style w:type="paragraph" w:customStyle="1" w:styleId="574">
    <w:name w:val="日期1"/>
    <w:basedOn w:val="1"/>
    <w:next w:val="1"/>
    <w:qFormat/>
    <w:uiPriority w:val="0"/>
    <w:pPr>
      <w:ind w:left="100" w:leftChars="2500"/>
    </w:pPr>
    <w:rPr>
      <w:kern w:val="0"/>
      <w:sz w:val="20"/>
    </w:rPr>
  </w:style>
  <w:style w:type="paragraph" w:customStyle="1" w:styleId="575">
    <w:name w:val="xl5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0"/>
    </w:rPr>
  </w:style>
  <w:style w:type="paragraph" w:customStyle="1" w:styleId="576">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577">
    <w:name w:val="font6"/>
    <w:basedOn w:val="1"/>
    <w:qFormat/>
    <w:uiPriority w:val="0"/>
    <w:pPr>
      <w:widowControl/>
      <w:spacing w:before="100" w:beforeAutospacing="1" w:after="100" w:afterAutospacing="1"/>
    </w:pPr>
    <w:rPr>
      <w:rFonts w:hint="eastAsia" w:ascii="宋体" w:hAnsi="宋体"/>
      <w:b/>
      <w:kern w:val="0"/>
      <w:sz w:val="36"/>
      <w:u w:val="single"/>
    </w:rPr>
  </w:style>
  <w:style w:type="paragraph" w:customStyle="1" w:styleId="578">
    <w:name w:val="列项——（一级）"/>
    <w:qFormat/>
    <w:uiPriority w:val="0"/>
    <w:pPr>
      <w:widowControl w:val="0"/>
      <w:tabs>
        <w:tab w:val="left" w:pos="720"/>
        <w:tab w:val="left" w:pos="854"/>
      </w:tabs>
      <w:ind w:left="200" w:leftChars="200" w:hanging="200" w:hangingChars="200"/>
      <w:jc w:val="both"/>
    </w:pPr>
    <w:rPr>
      <w:rFonts w:ascii="宋体" w:hAnsi="Calibri" w:eastAsia="宋体" w:cs="Times New Roman"/>
      <w:lang w:val="en-US" w:eastAsia="zh-CN" w:bidi="ar-SA"/>
    </w:rPr>
  </w:style>
  <w:style w:type="paragraph" w:customStyle="1" w:styleId="579">
    <w:name w:val="19"/>
    <w:basedOn w:val="1"/>
    <w:qFormat/>
    <w:uiPriority w:val="0"/>
    <w:pPr>
      <w:widowControl/>
      <w:snapToGrid w:val="0"/>
      <w:spacing w:before="100" w:beforeAutospacing="1" w:after="120" w:line="360" w:lineRule="atLeast"/>
      <w:jc w:val="left"/>
    </w:pPr>
    <w:rPr>
      <w:rFonts w:ascii="宋体" w:hAnsi="宋体"/>
      <w:kern w:val="0"/>
    </w:rPr>
  </w:style>
  <w:style w:type="paragraph" w:customStyle="1" w:styleId="580">
    <w:name w:val="附录五级条标题"/>
    <w:basedOn w:val="412"/>
    <w:next w:val="360"/>
    <w:qFormat/>
    <w:uiPriority w:val="0"/>
    <w:pPr>
      <w:outlineLvl w:val="6"/>
    </w:pPr>
  </w:style>
  <w:style w:type="paragraph" w:customStyle="1" w:styleId="581">
    <w:name w:val="彩色底纹 - 强调文字颜色 11"/>
    <w:qFormat/>
    <w:uiPriority w:val="0"/>
    <w:rPr>
      <w:rFonts w:ascii="Calibri" w:hAnsi="Calibri" w:eastAsia="宋体" w:cs="Times New Roman"/>
      <w:kern w:val="2"/>
      <w:sz w:val="21"/>
      <w:lang w:val="en-US" w:eastAsia="zh-CN" w:bidi="ar-SA"/>
    </w:rPr>
  </w:style>
  <w:style w:type="paragraph" w:customStyle="1" w:styleId="582">
    <w:name w:val="xl559"/>
    <w:basedOn w:val="1"/>
    <w:qFormat/>
    <w:uiPriority w:val="0"/>
    <w:pPr>
      <w:widowControl/>
      <w:spacing w:before="100" w:beforeAutospacing="1" w:after="100" w:afterAutospacing="1"/>
      <w:jc w:val="center"/>
    </w:pPr>
    <w:rPr>
      <w:rFonts w:ascii="宋体" w:hAnsi="宋体"/>
      <w:color w:val="000000"/>
      <w:kern w:val="0"/>
      <w:sz w:val="20"/>
    </w:rPr>
  </w:style>
  <w:style w:type="paragraph" w:customStyle="1" w:styleId="583">
    <w:name w:val="正文内"/>
    <w:basedOn w:val="1"/>
    <w:qFormat/>
    <w:uiPriority w:val="0"/>
    <w:pPr>
      <w:spacing w:line="400" w:lineRule="exact"/>
      <w:ind w:firstLine="200" w:firstLineChars="200"/>
    </w:pPr>
    <w:rPr>
      <w:rFonts w:ascii="宋体" w:hAnsi="宋体"/>
      <w:sz w:val="21"/>
    </w:rPr>
  </w:style>
  <w:style w:type="paragraph" w:customStyle="1" w:styleId="584">
    <w:name w:val="表"/>
    <w:basedOn w:val="1"/>
    <w:qFormat/>
    <w:uiPriority w:val="0"/>
    <w:pPr>
      <w:spacing w:line="360" w:lineRule="auto"/>
      <w:jc w:val="center"/>
    </w:pPr>
    <w:rPr>
      <w:color w:val="000000"/>
      <w:sz w:val="21"/>
    </w:rPr>
  </w:style>
  <w:style w:type="paragraph" w:customStyle="1" w:styleId="585">
    <w:name w:val="附录标识"/>
    <w:basedOn w:val="449"/>
    <w:qFormat/>
    <w:uiPriority w:val="0"/>
    <w:pPr>
      <w:tabs>
        <w:tab w:val="left" w:pos="720"/>
        <w:tab w:val="left" w:pos="6405"/>
      </w:tabs>
      <w:spacing w:after="200"/>
      <w:ind w:left="360" w:hanging="360"/>
    </w:pPr>
    <w:rPr>
      <w:sz w:val="21"/>
    </w:rPr>
  </w:style>
  <w:style w:type="paragraph" w:customStyle="1" w:styleId="586">
    <w:name w:val="正文 A"/>
    <w:qFormat/>
    <w:uiPriority w:val="0"/>
    <w:rPr>
      <w:rFonts w:ascii="Calibri" w:hAnsi="Calibri" w:eastAsia="ヒラギノ角ゴ Pro W3" w:cs="Times New Roman"/>
      <w:color w:val="000000"/>
      <w:sz w:val="24"/>
      <w:lang w:val="en-US" w:eastAsia="zh-CN" w:bidi="ar-SA"/>
    </w:rPr>
  </w:style>
  <w:style w:type="paragraph" w:customStyle="1" w:styleId="587">
    <w:name w:val="标题C"/>
    <w:qFormat/>
    <w:uiPriority w:val="0"/>
    <w:pPr>
      <w:tabs>
        <w:tab w:val="left" w:pos="0"/>
      </w:tabs>
      <w:adjustRightInd w:val="0"/>
      <w:snapToGrid w:val="0"/>
      <w:spacing w:before="300"/>
      <w:outlineLvl w:val="2"/>
    </w:pPr>
    <w:rPr>
      <w:rFonts w:ascii="Calibri" w:hAnsi="Calibri" w:eastAsia="宋体" w:cs="Times New Roman"/>
      <w:b/>
      <w:snapToGrid w:val="0"/>
      <w:sz w:val="28"/>
      <w:lang w:val="en-US" w:eastAsia="zh-CN" w:bidi="ar-SA"/>
    </w:rPr>
  </w:style>
  <w:style w:type="paragraph" w:customStyle="1" w:styleId="5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89">
    <w:name w:val="默认段落字体 Para Char"/>
    <w:basedOn w:val="1"/>
    <w:qFormat/>
    <w:uiPriority w:val="0"/>
    <w:pPr>
      <w:tabs>
        <w:tab w:val="left" w:pos="425"/>
      </w:tabs>
      <w:ind w:left="425" w:hanging="425"/>
    </w:pPr>
    <w:rPr>
      <w:sz w:val="21"/>
    </w:rPr>
  </w:style>
  <w:style w:type="paragraph" w:customStyle="1" w:styleId="590">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591">
    <w:name w:val="_Style 40"/>
    <w:basedOn w:val="1"/>
    <w:qFormat/>
    <w:uiPriority w:val="0"/>
    <w:rPr>
      <w:sz w:val="21"/>
    </w:rPr>
  </w:style>
  <w:style w:type="paragraph" w:customStyle="1" w:styleId="592">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Calibri" w:eastAsia="宋体" w:cs="Times New Roman"/>
      <w:sz w:val="21"/>
      <w:lang w:val="en-US" w:eastAsia="zh-CN" w:bidi="ar-SA"/>
    </w:rPr>
  </w:style>
  <w:style w:type="paragraph" w:customStyle="1" w:styleId="593">
    <w:name w:val="注："/>
    <w:next w:val="360"/>
    <w:qFormat/>
    <w:uiPriority w:val="0"/>
    <w:pPr>
      <w:widowControl w:val="0"/>
      <w:tabs>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94">
    <w:name w:val="font7"/>
    <w:basedOn w:val="1"/>
    <w:qFormat/>
    <w:uiPriority w:val="0"/>
    <w:pPr>
      <w:widowControl/>
      <w:spacing w:before="100" w:beforeAutospacing="1" w:after="100" w:afterAutospacing="1"/>
    </w:pPr>
    <w:rPr>
      <w:rFonts w:hint="eastAsia" w:ascii="宋体" w:hAnsi="宋体"/>
      <w:kern w:val="0"/>
      <w:sz w:val="24"/>
    </w:rPr>
  </w:style>
  <w:style w:type="paragraph" w:customStyle="1" w:styleId="595">
    <w:name w:val="彩色列表 - 强调文字颜色 12"/>
    <w:basedOn w:val="1"/>
    <w:qFormat/>
    <w:uiPriority w:val="0"/>
    <w:pPr>
      <w:ind w:firstLine="420" w:firstLineChars="200"/>
    </w:pPr>
    <w:rPr>
      <w:sz w:val="21"/>
    </w:rPr>
  </w:style>
  <w:style w:type="paragraph" w:customStyle="1" w:styleId="596">
    <w:name w:val="xl5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kern w:val="0"/>
      <w:sz w:val="20"/>
    </w:rPr>
  </w:style>
  <w:style w:type="paragraph" w:customStyle="1" w:styleId="597">
    <w:name w:val="xl37"/>
    <w:basedOn w:val="1"/>
    <w:qFormat/>
    <w:uiPriority w:val="0"/>
    <w:pPr>
      <w:widowControl/>
      <w:pBdr>
        <w:top w:val="single" w:color="auto" w:sz="4"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98">
    <w:name w:val="正文样式"/>
    <w:basedOn w:val="1"/>
    <w:qFormat/>
    <w:uiPriority w:val="0"/>
    <w:pPr>
      <w:ind w:firstLine="480" w:firstLineChars="200"/>
    </w:pPr>
    <w:rPr>
      <w:rFonts w:eastAsia="华文仿宋"/>
      <w:szCs w:val="24"/>
    </w:rPr>
  </w:style>
  <w:style w:type="paragraph" w:customStyle="1" w:styleId="599">
    <w:name w:val="标题D"/>
    <w:qFormat/>
    <w:uiPriority w:val="0"/>
    <w:pPr>
      <w:adjustRightInd w:val="0"/>
      <w:snapToGrid w:val="0"/>
      <w:spacing w:before="240" w:line="360" w:lineRule="auto"/>
      <w:outlineLvl w:val="3"/>
    </w:pPr>
    <w:rPr>
      <w:rFonts w:ascii="Calibri" w:hAnsi="Calibri" w:eastAsia="宋体" w:cs="Times New Roman"/>
      <w:b/>
      <w:sz w:val="24"/>
      <w:lang w:val="en-US" w:eastAsia="zh-CN" w:bidi="ar-SA"/>
    </w:rPr>
  </w:style>
  <w:style w:type="paragraph" w:customStyle="1" w:styleId="600">
    <w:name w:val="正文图标题"/>
    <w:next w:val="360"/>
    <w:qFormat/>
    <w:uiPriority w:val="0"/>
    <w:pPr>
      <w:tabs>
        <w:tab w:val="left" w:pos="720"/>
      </w:tabs>
      <w:ind w:left="780" w:hanging="360"/>
      <w:jc w:val="center"/>
    </w:pPr>
    <w:rPr>
      <w:rFonts w:ascii="黑体" w:hAnsi="Calibri" w:eastAsia="黑体" w:cs="Times New Roman"/>
      <w:lang w:val="en-US" w:eastAsia="zh-CN" w:bidi="ar-SA"/>
    </w:rPr>
  </w:style>
  <w:style w:type="paragraph" w:customStyle="1" w:styleId="601">
    <w:name w:val="表格一"/>
    <w:basedOn w:val="1"/>
    <w:qFormat/>
    <w:uiPriority w:val="0"/>
    <w:pPr>
      <w:spacing w:line="240" w:lineRule="exact"/>
      <w:ind w:left="105" w:leftChars="50"/>
    </w:pPr>
    <w:rPr>
      <w:sz w:val="18"/>
    </w:rPr>
  </w:style>
  <w:style w:type="paragraph" w:customStyle="1" w:styleId="602">
    <w:name w:val="[Normal]"/>
    <w:qFormat/>
    <w:uiPriority w:val="0"/>
    <w:rPr>
      <w:rFonts w:ascii="宋体" w:hAnsi="宋体" w:eastAsia="宋体" w:cs="Times New Roman"/>
      <w:sz w:val="24"/>
      <w:szCs w:val="22"/>
      <w:lang w:val="zh-CN" w:eastAsia="zh-CN" w:bidi="ar-SA"/>
    </w:rPr>
  </w:style>
  <w:style w:type="paragraph" w:customStyle="1" w:styleId="603">
    <w:name w:val="moban"/>
    <w:basedOn w:val="1"/>
    <w:qFormat/>
    <w:uiPriority w:val="0"/>
    <w:pPr>
      <w:pBdr>
        <w:bottom w:val="single" w:color="auto" w:sz="4" w:space="5"/>
      </w:pBdr>
      <w:spacing w:line="360" w:lineRule="auto"/>
    </w:pPr>
  </w:style>
  <w:style w:type="character" w:customStyle="1" w:styleId="604">
    <w:name w:val="large1"/>
    <w:qFormat/>
    <w:uiPriority w:val="0"/>
    <w:rPr>
      <w:rFonts w:hint="eastAsia" w:ascii="宋体" w:hAnsi="宋体" w:eastAsia="宋体"/>
      <w:sz w:val="21"/>
      <w:szCs w:val="21"/>
    </w:rPr>
  </w:style>
  <w:style w:type="paragraph" w:customStyle="1" w:styleId="605">
    <w:name w:val="正文缩进2格"/>
    <w:qFormat/>
    <w:uiPriority w:val="99"/>
    <w:pPr>
      <w:widowControl w:val="0"/>
      <w:pBdr>
        <w:top w:val="none" w:color="FFFFFF" w:sz="0" w:space="31"/>
        <w:left w:val="none" w:color="FFFFFF" w:sz="0" w:space="31"/>
        <w:bottom w:val="none" w:color="FFFFFF" w:sz="0" w:space="31"/>
        <w:right w:val="none" w:color="FFFFFF" w:sz="0" w:space="31"/>
      </w:pBdr>
      <w:spacing w:line="600" w:lineRule="exact"/>
      <w:ind w:firstLine="639"/>
      <w:jc w:val="both"/>
    </w:pPr>
    <w:rPr>
      <w:rFonts w:ascii="??_GB2312" w:hAnsi="??_GB2312" w:eastAsia="宋体" w:cs="??_GB2312"/>
      <w:color w:val="000000"/>
      <w:kern w:val="2"/>
      <w:sz w:val="31"/>
      <w:szCs w:val="31"/>
      <w:u w:color="000000"/>
      <w:lang w:val="en-US" w:eastAsia="zh-CN" w:bidi="ar-SA"/>
    </w:rPr>
  </w:style>
  <w:style w:type="paragraph" w:customStyle="1" w:styleId="606">
    <w:name w:val="Table Paragraph"/>
    <w:basedOn w:val="1"/>
    <w:qFormat/>
    <w:uiPriority w:val="1"/>
    <w:rPr>
      <w:rFonts w:ascii="宋体" w:hAnsi="宋体" w:cs="宋体"/>
      <w:lang w:val="zh-CN" w:bidi="zh-CN"/>
    </w:rPr>
  </w:style>
  <w:style w:type="character" w:customStyle="1" w:styleId="607">
    <w:name w:val="Hyperlink.3"/>
    <w:basedOn w:val="608"/>
    <w:qFormat/>
    <w:uiPriority w:val="99"/>
    <w:rPr>
      <w:rFonts w:ascii="宋体" w:hAnsi="宋体" w:eastAsia="宋体" w:cs="宋体"/>
      <w:lang w:val="en-US"/>
    </w:rPr>
  </w:style>
  <w:style w:type="character" w:customStyle="1" w:styleId="608">
    <w:name w:val="无"/>
    <w:qFormat/>
    <w:uiPriority w:val="99"/>
  </w:style>
  <w:style w:type="paragraph" w:customStyle="1" w:styleId="60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0">
    <w:name w:val="标题3"/>
    <w:basedOn w:val="5"/>
    <w:qFormat/>
    <w:uiPriority w:val="0"/>
    <w:pPr>
      <w:numPr>
        <w:ilvl w:val="2"/>
        <w:numId w:val="1"/>
      </w:numPr>
      <w:adjustRightInd w:val="0"/>
      <w:snapToGrid w:val="0"/>
      <w:spacing w:before="200" w:after="200"/>
    </w:pPr>
    <w:rPr>
      <w:rFonts w:ascii="Times New Roman" w:hAnsi="Times New Roman"/>
      <w:snapToGrid w:val="0"/>
      <w:sz w:val="30"/>
    </w:rPr>
  </w:style>
  <w:style w:type="paragraph" w:customStyle="1" w:styleId="611">
    <w:name w:val="国普正文"/>
    <w:basedOn w:val="1"/>
    <w:qFormat/>
    <w:uiPriority w:val="0"/>
    <w:pPr>
      <w:spacing w:line="360" w:lineRule="auto"/>
      <w:ind w:firstLine="600" w:firstLineChars="200"/>
    </w:pPr>
    <w:rPr>
      <w:rFonts w:ascii="仿宋_GB2312" w:eastAsia="仿宋_GB2312"/>
      <w:sz w:val="30"/>
      <w:szCs w:val="30"/>
    </w:rPr>
  </w:style>
  <w:style w:type="paragraph" w:customStyle="1" w:styleId="612">
    <w:name w:val="Body text|1"/>
    <w:basedOn w:val="1"/>
    <w:qFormat/>
    <w:uiPriority w:val="0"/>
    <w:pPr>
      <w:spacing w:line="401" w:lineRule="auto"/>
      <w:ind w:firstLine="400"/>
    </w:pPr>
    <w:rPr>
      <w:rFonts w:ascii="宋体" w:hAnsi="宋体" w:cs="宋体"/>
      <w:sz w:val="30"/>
      <w:szCs w:val="30"/>
      <w:lang w:val="zh-TW" w:eastAsia="zh-TW" w:bidi="zh-TW"/>
    </w:rPr>
  </w:style>
  <w:style w:type="paragraph" w:customStyle="1" w:styleId="613">
    <w:name w:val="默认"/>
    <w:qFormat/>
    <w:uiPriority w:val="0"/>
    <w:rPr>
      <w:rFonts w:ascii="Arial Unicode MS" w:hAnsi="Arial Unicode MS" w:eastAsia="Arial Unicode MS" w:cs="Arial Unicode MS"/>
      <w:color w:val="000000"/>
      <w:sz w:val="22"/>
      <w:szCs w:val="22"/>
      <w:lang w:val="zh-TW" w:eastAsia="zh-TW" w:bidi="ar-SA"/>
    </w:rPr>
  </w:style>
  <w:style w:type="paragraph" w:customStyle="1" w:styleId="614">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615">
    <w:name w:val="_Style 1"/>
    <w:qFormat/>
    <w:uiPriority w:val="0"/>
    <w:rPr>
      <w:rFonts w:ascii="Calibri" w:hAnsi="Calibri" w:eastAsia="宋体" w:cs="Times New Roman"/>
      <w:kern w:val="2"/>
      <w:sz w:val="28"/>
      <w:szCs w:val="22"/>
      <w:lang w:val="en-US" w:eastAsia="zh-CN" w:bidi="ar-SA"/>
    </w:rPr>
  </w:style>
  <w:style w:type="paragraph" w:customStyle="1" w:styleId="616">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617">
    <w:name w:val="List Paragraph"/>
    <w:basedOn w:val="1"/>
    <w:qFormat/>
    <w:uiPriority w:val="99"/>
    <w:pPr>
      <w:ind w:firstLine="420" w:firstLineChars="200"/>
    </w:pPr>
  </w:style>
  <w:style w:type="paragraph" w:customStyle="1" w:styleId="618">
    <w:name w:val="Body Text First Indent 21"/>
    <w:basedOn w:val="619"/>
    <w:qFormat/>
    <w:uiPriority w:val="0"/>
    <w:pPr>
      <w:ind w:firstLine="420"/>
    </w:pPr>
  </w:style>
  <w:style w:type="paragraph" w:customStyle="1" w:styleId="619">
    <w:name w:val="Body Text Indent1"/>
    <w:basedOn w:val="1"/>
    <w:qFormat/>
    <w:uiPriority w:val="99"/>
    <w:pPr>
      <w:ind w:left="420" w:leftChars="200"/>
    </w:pPr>
  </w:style>
  <w:style w:type="table" w:customStyle="1" w:styleId="620">
    <w:name w:val="Table Normal"/>
    <w:unhideWhenUsed/>
    <w:qFormat/>
    <w:uiPriority w:val="0"/>
    <w:tblPr>
      <w:tblLayout w:type="fixed"/>
      <w:tblCellMar>
        <w:top w:w="0" w:type="dxa"/>
        <w:left w:w="0" w:type="dxa"/>
        <w:bottom w:w="0" w:type="dxa"/>
        <w:right w:w="0" w:type="dxa"/>
      </w:tblCellMar>
    </w:tblPr>
  </w:style>
  <w:style w:type="paragraph" w:customStyle="1" w:styleId="621">
    <w:name w:val="Table Text"/>
    <w:basedOn w:val="1"/>
    <w:semiHidden/>
    <w:qFormat/>
    <w:uiPriority w:val="0"/>
    <w:rPr>
      <w:rFonts w:ascii="仿宋" w:hAnsi="仿宋" w:eastAsia="仿宋" w:cs="仿宋"/>
      <w:sz w:val="22"/>
      <w:szCs w:val="22"/>
      <w:lang w:val="en-US" w:eastAsia="en-US" w:bidi="ar-SA"/>
    </w:rPr>
  </w:style>
  <w:style w:type="character" w:customStyle="1" w:styleId="622">
    <w:name w:val="font81"/>
    <w:basedOn w:val="88"/>
    <w:qFormat/>
    <w:uiPriority w:val="0"/>
    <w:rPr>
      <w:rFonts w:ascii="Tahoma" w:hAnsi="Tahoma" w:eastAsia="Tahoma" w:cs="Tahoma"/>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3" Type="http://schemas.openxmlformats.org/officeDocument/2006/relationships/fontTable" Target="fontTable.xml"/><Relationship Id="rId42" Type="http://schemas.openxmlformats.org/officeDocument/2006/relationships/customXml" Target="../customXml/item2.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header" Target="header2.xml"/><Relationship Id="rId39" Type="http://schemas.openxmlformats.org/officeDocument/2006/relationships/image" Target="media/image27.png"/><Relationship Id="rId38" Type="http://schemas.openxmlformats.org/officeDocument/2006/relationships/image" Target="media/image26.png"/><Relationship Id="rId37" Type="http://schemas.openxmlformats.org/officeDocument/2006/relationships/image" Target="media/image25.png"/><Relationship Id="rId36" Type="http://schemas.openxmlformats.org/officeDocument/2006/relationships/image" Target="media/image24.png"/><Relationship Id="rId35" Type="http://schemas.openxmlformats.org/officeDocument/2006/relationships/image" Target="media/image23.png"/><Relationship Id="rId34" Type="http://schemas.openxmlformats.org/officeDocument/2006/relationships/image" Target="media/image22.png"/><Relationship Id="rId33" Type="http://schemas.openxmlformats.org/officeDocument/2006/relationships/image" Target="media/image21.png"/><Relationship Id="rId32" Type="http://schemas.openxmlformats.org/officeDocument/2006/relationships/image" Target="media/image20.png"/><Relationship Id="rId31" Type="http://schemas.openxmlformats.org/officeDocument/2006/relationships/image" Target="media/image19.png"/><Relationship Id="rId30" Type="http://schemas.openxmlformats.org/officeDocument/2006/relationships/image" Target="media/image18.png"/><Relationship Id="rId3" Type="http://schemas.openxmlformats.org/officeDocument/2006/relationships/header" Target="header1.xml"/><Relationship Id="rId29" Type="http://schemas.openxmlformats.org/officeDocument/2006/relationships/image" Target="media/image17.png"/><Relationship Id="rId28" Type="http://schemas.openxmlformats.org/officeDocument/2006/relationships/image" Target="media/image16.png"/><Relationship Id="rId27" Type="http://schemas.openxmlformats.org/officeDocument/2006/relationships/image" Target="media/image15.png"/><Relationship Id="rId26" Type="http://schemas.openxmlformats.org/officeDocument/2006/relationships/image" Target="media/image14.png"/><Relationship Id="rId25" Type="http://schemas.openxmlformats.org/officeDocument/2006/relationships/image" Target="media/image13.png"/><Relationship Id="rId24" Type="http://schemas.openxmlformats.org/officeDocument/2006/relationships/image" Target="media/image12.png"/><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C16B34-28DB-4D1E-9906-8BD5974CAE5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83</Pages>
  <Words>58767</Words>
  <Characters>64357</Characters>
  <Lines>299</Lines>
  <Paragraphs>84</Paragraphs>
  <TotalTime>3</TotalTime>
  <ScaleCrop>false</ScaleCrop>
  <LinksUpToDate>false</LinksUpToDate>
  <CharactersWithSpaces>67151</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2020-07-14T03:29:00Z</dcterms:created>
  <dc:creator>yht</dc:creator>
  <cp:lastModifiedBy>Administrator</cp:lastModifiedBy>
  <cp:lastPrinted>2022-12-01T02:43:00Z</cp:lastPrinted>
  <dcterms:modified xsi:type="dcterms:W3CDTF">2025-06-19T09:00:08Z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262BEB81A33A4EB0803597DDE99406A1_13</vt:lpwstr>
  </property>
  <property fmtid="{D5CDD505-2E9C-101B-9397-08002B2CF9AE}" pid="4" name="commondata">
    <vt:lpwstr>eyJoZGlkIjoiNmRkMjM0YzBkMTQyODhiY2M3ZWU5ZTE4NTFhMDAxMGUifQ==</vt:lpwstr>
  </property>
  <property fmtid="{D5CDD505-2E9C-101B-9397-08002B2CF9AE}" pid="5" name="KSOTemplateDocerSaveRecord">
    <vt:lpwstr>eyJoZGlkIjoiMzEwNTM5NzYwMDRjMzkwZTVkZjY2ODkwMGIxNGU0OTUiLCJ1c2VySWQiOiIxMTQ4NDA1NjM4In0=</vt:lpwstr>
  </property>
</Properties>
</file>